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B2A004" w14:textId="77777777" w:rsidR="00003D14" w:rsidRPr="00BC7BB5" w:rsidRDefault="00003D14" w:rsidP="00FF7EE4">
      <w:pPr>
        <w:autoSpaceDE w:val="0"/>
        <w:autoSpaceDN w:val="0"/>
        <w:adjustRightInd w:val="0"/>
        <w:spacing w:line="240" w:lineRule="atLeast"/>
        <w:jc w:val="center"/>
        <w:rPr>
          <w:rFonts w:ascii="Times New Roman" w:hAnsi="Times New Roman" w:cs="Times New Roman"/>
          <w:caps/>
          <w:color w:val="000000"/>
        </w:rPr>
      </w:pPr>
      <w:bookmarkStart w:id="0" w:name="_GoBack"/>
      <w:bookmarkEnd w:id="0"/>
    </w:p>
    <w:p w14:paraId="53B2A005" w14:textId="77777777" w:rsidR="00F9756B" w:rsidRPr="00BC7BB5" w:rsidRDefault="00DF0162" w:rsidP="00FF7EE4">
      <w:pPr>
        <w:autoSpaceDE w:val="0"/>
        <w:autoSpaceDN w:val="0"/>
        <w:adjustRightInd w:val="0"/>
        <w:spacing w:line="240" w:lineRule="atLeast"/>
        <w:jc w:val="center"/>
        <w:rPr>
          <w:rFonts w:ascii="Times New Roman" w:hAnsi="Times New Roman" w:cs="Times New Roman"/>
          <w:caps/>
          <w:color w:val="000000"/>
        </w:rPr>
      </w:pPr>
      <w:r w:rsidRPr="00BC7BB5">
        <w:rPr>
          <w:rFonts w:ascii="Times New Roman" w:hAnsi="Times New Roman" w:cs="Times New Roman"/>
          <w:caps/>
          <w:color w:val="000000"/>
        </w:rPr>
        <w:t>Document of</w:t>
      </w:r>
    </w:p>
    <w:p w14:paraId="53B2A006" w14:textId="77777777" w:rsidR="00DF0162" w:rsidRPr="00BC7BB5" w:rsidRDefault="00DF0162" w:rsidP="00FF7EE4">
      <w:pPr>
        <w:autoSpaceDE w:val="0"/>
        <w:autoSpaceDN w:val="0"/>
        <w:adjustRightInd w:val="0"/>
        <w:spacing w:line="240" w:lineRule="atLeast"/>
        <w:jc w:val="center"/>
        <w:rPr>
          <w:rFonts w:ascii="Times New Roman" w:hAnsi="Times New Roman" w:cs="Times New Roman"/>
          <w:caps/>
          <w:color w:val="000000"/>
        </w:rPr>
      </w:pPr>
      <w:r w:rsidRPr="00BC7BB5">
        <w:rPr>
          <w:rFonts w:ascii="Times New Roman" w:hAnsi="Times New Roman" w:cs="Times New Roman"/>
          <w:caps/>
          <w:color w:val="000000"/>
        </w:rPr>
        <w:t>The World Bank</w:t>
      </w:r>
    </w:p>
    <w:p w14:paraId="53B2A007" w14:textId="77777777" w:rsidR="00DF0162" w:rsidRPr="00BC7BB5" w:rsidRDefault="00DF0162" w:rsidP="00FF7EE4">
      <w:pPr>
        <w:autoSpaceDE w:val="0"/>
        <w:autoSpaceDN w:val="0"/>
        <w:adjustRightInd w:val="0"/>
        <w:spacing w:line="240" w:lineRule="atLeast"/>
        <w:jc w:val="center"/>
        <w:rPr>
          <w:rFonts w:ascii="Times New Roman" w:hAnsi="Times New Roman" w:cs="Times New Roman"/>
          <w:caps/>
          <w:color w:val="000000"/>
        </w:rPr>
      </w:pPr>
    </w:p>
    <w:p w14:paraId="53B2A008" w14:textId="77777777" w:rsidR="00DF0162" w:rsidRPr="00BC7BB5" w:rsidRDefault="00DF0162" w:rsidP="00FF7EE4">
      <w:pPr>
        <w:autoSpaceDE w:val="0"/>
        <w:autoSpaceDN w:val="0"/>
        <w:adjustRightInd w:val="0"/>
        <w:spacing w:line="240" w:lineRule="atLeast"/>
        <w:jc w:val="center"/>
        <w:rPr>
          <w:rFonts w:ascii="Times New Roman" w:hAnsi="Times New Roman" w:cs="Times New Roman"/>
          <w:caps/>
          <w:color w:val="000000"/>
        </w:rPr>
      </w:pPr>
      <w:r w:rsidRPr="00BC7BB5">
        <w:rPr>
          <w:rFonts w:ascii="Times New Roman" w:hAnsi="Times New Roman" w:cs="Times New Roman"/>
          <w:caps/>
          <w:color w:val="000000"/>
        </w:rPr>
        <w:t>for official use only</w:t>
      </w:r>
    </w:p>
    <w:p w14:paraId="18E18A78" w14:textId="77777777" w:rsidR="00B067D3" w:rsidRDefault="00B067D3" w:rsidP="00FF7EE4">
      <w:pPr>
        <w:autoSpaceDE w:val="0"/>
        <w:autoSpaceDN w:val="0"/>
        <w:adjustRightInd w:val="0"/>
        <w:spacing w:line="240" w:lineRule="atLeast"/>
        <w:jc w:val="center"/>
        <w:rPr>
          <w:rFonts w:ascii="Times New Roman" w:hAnsi="Times New Roman" w:cs="Times New Roman"/>
          <w:caps/>
          <w:color w:val="000000"/>
        </w:rPr>
      </w:pPr>
    </w:p>
    <w:p w14:paraId="53B2A009" w14:textId="1CE1AE1F" w:rsidR="00F9756B" w:rsidRPr="00BC7BB5" w:rsidRDefault="00B067D3" w:rsidP="00FF7EE4">
      <w:pPr>
        <w:autoSpaceDE w:val="0"/>
        <w:autoSpaceDN w:val="0"/>
        <w:adjustRightInd w:val="0"/>
        <w:spacing w:line="240" w:lineRule="atLeast"/>
        <w:jc w:val="center"/>
        <w:rPr>
          <w:rFonts w:ascii="Times New Roman" w:hAnsi="Times New Roman" w:cs="Times New Roman"/>
          <w:caps/>
          <w:color w:val="000000"/>
        </w:rPr>
      </w:pPr>
      <w:r>
        <w:rPr>
          <w:rFonts w:ascii="Times New Roman" w:hAnsi="Times New Roman" w:cs="Times New Roman"/>
          <w:caps/>
          <w:color w:val="000000"/>
        </w:rPr>
        <w:t>International Bank for reconstruction and development</w:t>
      </w:r>
    </w:p>
    <w:p w14:paraId="53B2A00A" w14:textId="77777777" w:rsidR="00DF0162" w:rsidRPr="00BC7BB5" w:rsidRDefault="00DF0162" w:rsidP="00FF7EE4">
      <w:pPr>
        <w:autoSpaceDE w:val="0"/>
        <w:autoSpaceDN w:val="0"/>
        <w:adjustRightInd w:val="0"/>
        <w:spacing w:line="240" w:lineRule="atLeast"/>
        <w:jc w:val="center"/>
        <w:rPr>
          <w:rFonts w:ascii="Times New Roman" w:hAnsi="Times New Roman" w:cs="Times New Roman"/>
          <w:caps/>
          <w:color w:val="000000"/>
        </w:rPr>
      </w:pPr>
    </w:p>
    <w:p w14:paraId="53B2A00B" w14:textId="77777777" w:rsidR="00FF7EE4" w:rsidRPr="00BC7BB5" w:rsidRDefault="001D2940" w:rsidP="00FF7EE4">
      <w:pPr>
        <w:autoSpaceDE w:val="0"/>
        <w:autoSpaceDN w:val="0"/>
        <w:adjustRightInd w:val="0"/>
        <w:spacing w:line="240" w:lineRule="atLeast"/>
        <w:jc w:val="center"/>
        <w:rPr>
          <w:rFonts w:ascii="Times New Roman" w:hAnsi="Times New Roman" w:cs="Times New Roman"/>
          <w:caps/>
          <w:color w:val="000000"/>
        </w:rPr>
      </w:pPr>
      <w:r w:rsidRPr="00BC7BB5">
        <w:rPr>
          <w:rFonts w:ascii="Times New Roman" w:hAnsi="Times New Roman" w:cs="Times New Roman"/>
          <w:caps/>
          <w:color w:val="000000"/>
        </w:rPr>
        <w:t>Program APPRAISAL DOCUMENT</w:t>
      </w:r>
    </w:p>
    <w:p w14:paraId="53B2A00C" w14:textId="77777777" w:rsidR="00FF7EE4" w:rsidRPr="00BC7BB5" w:rsidRDefault="001D2940" w:rsidP="00FF7EE4">
      <w:pPr>
        <w:autoSpaceDE w:val="0"/>
        <w:autoSpaceDN w:val="0"/>
        <w:adjustRightInd w:val="0"/>
        <w:spacing w:line="240" w:lineRule="atLeast"/>
        <w:jc w:val="center"/>
        <w:rPr>
          <w:rFonts w:ascii="Times New Roman" w:hAnsi="Times New Roman" w:cs="Times New Roman"/>
          <w:caps/>
          <w:color w:val="000000"/>
        </w:rPr>
      </w:pPr>
      <w:r w:rsidRPr="00BC7BB5">
        <w:rPr>
          <w:rFonts w:ascii="Times New Roman" w:hAnsi="Times New Roman" w:cs="Times New Roman"/>
          <w:caps/>
          <w:color w:val="000000"/>
        </w:rPr>
        <w:t>ON A</w:t>
      </w:r>
    </w:p>
    <w:p w14:paraId="403FE16C" w14:textId="61FAA07C" w:rsidR="006A516B" w:rsidRPr="00BC7BB5" w:rsidRDefault="001D2940" w:rsidP="00FF7EE4">
      <w:pPr>
        <w:autoSpaceDE w:val="0"/>
        <w:autoSpaceDN w:val="0"/>
        <w:adjustRightInd w:val="0"/>
        <w:spacing w:line="240" w:lineRule="atLeast"/>
        <w:jc w:val="center"/>
        <w:rPr>
          <w:rFonts w:ascii="Times New Roman" w:hAnsi="Times New Roman" w:cs="Times New Roman"/>
          <w:caps/>
          <w:color w:val="000000"/>
        </w:rPr>
      </w:pPr>
      <w:r w:rsidRPr="00BC7BB5">
        <w:rPr>
          <w:rFonts w:ascii="Times New Roman" w:hAnsi="Times New Roman" w:cs="Times New Roman"/>
          <w:caps/>
          <w:color w:val="000000"/>
        </w:rPr>
        <w:t xml:space="preserve">PROPOSED </w:t>
      </w:r>
      <w:r w:rsidR="00AE3895" w:rsidRPr="00BC7BB5">
        <w:rPr>
          <w:rFonts w:ascii="Times New Roman" w:hAnsi="Times New Roman" w:cs="Times New Roman"/>
          <w:caps/>
          <w:color w:val="000000"/>
        </w:rPr>
        <w:t>LOAN</w:t>
      </w:r>
    </w:p>
    <w:p w14:paraId="53B2A00F" w14:textId="723B28ED" w:rsidR="00FF7EE4" w:rsidRPr="00BC7BB5" w:rsidRDefault="001D2940" w:rsidP="00FF7EE4">
      <w:pPr>
        <w:autoSpaceDE w:val="0"/>
        <w:autoSpaceDN w:val="0"/>
        <w:adjustRightInd w:val="0"/>
        <w:spacing w:line="240" w:lineRule="atLeast"/>
        <w:jc w:val="center"/>
        <w:rPr>
          <w:rFonts w:ascii="Times New Roman" w:hAnsi="Times New Roman" w:cs="Times New Roman"/>
          <w:caps/>
          <w:color w:val="000000"/>
        </w:rPr>
      </w:pPr>
      <w:r w:rsidRPr="00BC7BB5">
        <w:rPr>
          <w:rFonts w:ascii="Times New Roman" w:hAnsi="Times New Roman" w:cs="Times New Roman"/>
          <w:caps/>
          <w:color w:val="000000"/>
        </w:rPr>
        <w:t xml:space="preserve">IN THE amount </w:t>
      </w:r>
      <w:r w:rsidR="00B067D3">
        <w:rPr>
          <w:rFonts w:ascii="Times New Roman" w:hAnsi="Times New Roman" w:cs="Times New Roman"/>
          <w:caps/>
          <w:color w:val="000000"/>
        </w:rPr>
        <w:t xml:space="preserve">of </w:t>
      </w:r>
      <w:r w:rsidR="002D48EF" w:rsidRPr="00BC7BB5">
        <w:rPr>
          <w:rFonts w:ascii="Times New Roman" w:hAnsi="Times New Roman" w:cs="Times New Roman"/>
          <w:caps/>
          <w:color w:val="000000"/>
        </w:rPr>
        <w:t>US$20</w:t>
      </w:r>
      <w:r w:rsidR="003D1935" w:rsidRPr="00BC7BB5">
        <w:rPr>
          <w:rFonts w:ascii="Times New Roman" w:hAnsi="Times New Roman" w:cs="Times New Roman"/>
          <w:caps/>
          <w:color w:val="000000"/>
        </w:rPr>
        <w:t>0</w:t>
      </w:r>
      <w:r w:rsidR="002D48EF" w:rsidRPr="00BC7BB5">
        <w:rPr>
          <w:rFonts w:ascii="Times New Roman" w:hAnsi="Times New Roman" w:cs="Times New Roman"/>
          <w:caps/>
          <w:color w:val="000000"/>
        </w:rPr>
        <w:t xml:space="preserve"> MILLION</w:t>
      </w:r>
    </w:p>
    <w:p w14:paraId="0A80FC84" w14:textId="77777777" w:rsidR="0033395F" w:rsidRDefault="0033395F" w:rsidP="00FF7EE4">
      <w:pPr>
        <w:autoSpaceDE w:val="0"/>
        <w:autoSpaceDN w:val="0"/>
        <w:adjustRightInd w:val="0"/>
        <w:spacing w:line="240" w:lineRule="atLeast"/>
        <w:jc w:val="center"/>
        <w:rPr>
          <w:rFonts w:ascii="Times New Roman" w:hAnsi="Times New Roman" w:cs="Times New Roman"/>
          <w:caps/>
          <w:color w:val="000000"/>
        </w:rPr>
      </w:pPr>
    </w:p>
    <w:p w14:paraId="53B2A010" w14:textId="5FC10245" w:rsidR="00FF7EE4" w:rsidRPr="00BC7BB5" w:rsidRDefault="001D2940" w:rsidP="00FF7EE4">
      <w:pPr>
        <w:autoSpaceDE w:val="0"/>
        <w:autoSpaceDN w:val="0"/>
        <w:adjustRightInd w:val="0"/>
        <w:spacing w:line="240" w:lineRule="atLeast"/>
        <w:jc w:val="center"/>
        <w:rPr>
          <w:rFonts w:ascii="Times New Roman" w:hAnsi="Times New Roman" w:cs="Times New Roman"/>
          <w:caps/>
          <w:color w:val="000000"/>
        </w:rPr>
      </w:pPr>
      <w:r w:rsidRPr="00BC7BB5">
        <w:rPr>
          <w:rFonts w:ascii="Times New Roman" w:hAnsi="Times New Roman" w:cs="Times New Roman"/>
          <w:caps/>
          <w:color w:val="000000"/>
        </w:rPr>
        <w:t>TO THE</w:t>
      </w:r>
    </w:p>
    <w:p w14:paraId="53B2A012" w14:textId="5609E4B6" w:rsidR="00FF7EE4" w:rsidRPr="00BC7BB5" w:rsidRDefault="002D48EF" w:rsidP="00FF7EE4">
      <w:pPr>
        <w:autoSpaceDE w:val="0"/>
        <w:autoSpaceDN w:val="0"/>
        <w:adjustRightInd w:val="0"/>
        <w:spacing w:line="240" w:lineRule="atLeast"/>
        <w:jc w:val="center"/>
        <w:rPr>
          <w:rFonts w:ascii="Times New Roman" w:hAnsi="Times New Roman" w:cs="Times New Roman"/>
          <w:caps/>
          <w:color w:val="000000"/>
        </w:rPr>
      </w:pPr>
      <w:r w:rsidRPr="00BC7BB5">
        <w:rPr>
          <w:rFonts w:ascii="Times New Roman" w:hAnsi="Times New Roman" w:cs="Times New Roman"/>
          <w:caps/>
          <w:color w:val="000000"/>
        </w:rPr>
        <w:t>KINGDOM OF MOROCCO</w:t>
      </w:r>
    </w:p>
    <w:p w14:paraId="53B2A013" w14:textId="77777777" w:rsidR="00FF7EE4" w:rsidRPr="00BC7BB5" w:rsidRDefault="00FF7EE4" w:rsidP="00FF7EE4">
      <w:pPr>
        <w:autoSpaceDE w:val="0"/>
        <w:autoSpaceDN w:val="0"/>
        <w:adjustRightInd w:val="0"/>
        <w:spacing w:line="240" w:lineRule="atLeast"/>
        <w:jc w:val="center"/>
        <w:rPr>
          <w:rFonts w:ascii="Times New Roman" w:hAnsi="Times New Roman" w:cs="Times New Roman"/>
          <w:caps/>
          <w:color w:val="000000"/>
        </w:rPr>
      </w:pPr>
    </w:p>
    <w:p w14:paraId="53B2A014" w14:textId="5AE9B537" w:rsidR="00FF7EE4" w:rsidRPr="00BC7BB5" w:rsidRDefault="001D2940" w:rsidP="00FF7EE4">
      <w:pPr>
        <w:autoSpaceDE w:val="0"/>
        <w:autoSpaceDN w:val="0"/>
        <w:adjustRightInd w:val="0"/>
        <w:spacing w:line="240" w:lineRule="atLeast"/>
        <w:jc w:val="center"/>
        <w:rPr>
          <w:rFonts w:ascii="Times New Roman" w:hAnsi="Times New Roman" w:cs="Times New Roman"/>
          <w:caps/>
          <w:color w:val="000000"/>
        </w:rPr>
      </w:pPr>
      <w:r w:rsidRPr="00BC7BB5">
        <w:rPr>
          <w:rFonts w:ascii="Times New Roman" w:hAnsi="Times New Roman" w:cs="Times New Roman"/>
          <w:caps/>
          <w:color w:val="000000"/>
        </w:rPr>
        <w:t>FOR A</w:t>
      </w:r>
    </w:p>
    <w:p w14:paraId="53B2A015" w14:textId="77777777" w:rsidR="00FF7EE4" w:rsidRPr="00BC7BB5" w:rsidRDefault="00FF7EE4" w:rsidP="00FF7EE4">
      <w:pPr>
        <w:autoSpaceDE w:val="0"/>
        <w:autoSpaceDN w:val="0"/>
        <w:adjustRightInd w:val="0"/>
        <w:spacing w:line="240" w:lineRule="atLeast"/>
        <w:jc w:val="center"/>
        <w:rPr>
          <w:rFonts w:ascii="Times New Roman" w:hAnsi="Times New Roman" w:cs="Times New Roman"/>
          <w:caps/>
          <w:color w:val="000000"/>
        </w:rPr>
      </w:pPr>
    </w:p>
    <w:p w14:paraId="53B2A016" w14:textId="1A1685E0" w:rsidR="00FF7EE4" w:rsidRPr="00BC7BB5" w:rsidRDefault="00D028CB" w:rsidP="00FF7EE4">
      <w:pPr>
        <w:autoSpaceDE w:val="0"/>
        <w:autoSpaceDN w:val="0"/>
        <w:adjustRightInd w:val="0"/>
        <w:spacing w:line="240" w:lineRule="atLeast"/>
        <w:jc w:val="center"/>
        <w:rPr>
          <w:rFonts w:ascii="Times New Roman" w:hAnsi="Times New Roman" w:cs="Times New Roman"/>
          <w:color w:val="000000"/>
        </w:rPr>
      </w:pPr>
      <w:r w:rsidRPr="00BC7BB5">
        <w:rPr>
          <w:rFonts w:ascii="Times New Roman" w:hAnsi="Times New Roman" w:cs="Times New Roman"/>
        </w:rPr>
        <w:t xml:space="preserve">STRENGTHENING </w:t>
      </w:r>
      <w:r w:rsidR="002D48EF" w:rsidRPr="00BC7BB5">
        <w:rPr>
          <w:rFonts w:ascii="Times New Roman" w:hAnsi="Times New Roman" w:cs="Times New Roman"/>
        </w:rPr>
        <w:t>AGRI-FOOD VALUE CHAINS PROGRAM</w:t>
      </w:r>
      <w:r w:rsidR="007B7DD7">
        <w:rPr>
          <w:rFonts w:ascii="Times New Roman" w:hAnsi="Times New Roman" w:cs="Times New Roman"/>
        </w:rPr>
        <w:t>-FOR-RESULTS</w:t>
      </w:r>
    </w:p>
    <w:p w14:paraId="53B2A017" w14:textId="1FEA561D" w:rsidR="00FF7EE4" w:rsidRPr="00BC7BB5" w:rsidRDefault="007B7DD7" w:rsidP="00FF7EE4">
      <w:pPr>
        <w:autoSpaceDE w:val="0"/>
        <w:autoSpaceDN w:val="0"/>
        <w:adjustRightInd w:val="0"/>
        <w:spacing w:line="240" w:lineRule="atLeast"/>
        <w:jc w:val="center"/>
        <w:rPr>
          <w:rFonts w:ascii="Times New Roman" w:hAnsi="Times New Roman" w:cs="Times New Roman"/>
          <w:color w:val="000000"/>
        </w:rPr>
      </w:pPr>
      <w:r>
        <w:rPr>
          <w:rFonts w:ascii="Times New Roman" w:hAnsi="Times New Roman" w:cs="Times New Roman"/>
          <w:color w:val="000000"/>
        </w:rPr>
        <w:t xml:space="preserve">NOVEMBER </w:t>
      </w:r>
      <w:r w:rsidR="00952A25">
        <w:rPr>
          <w:rFonts w:ascii="Times New Roman" w:hAnsi="Times New Roman" w:cs="Times New Roman"/>
          <w:color w:val="000000"/>
        </w:rPr>
        <w:t>2</w:t>
      </w:r>
      <w:r w:rsidR="00202C37">
        <w:rPr>
          <w:rFonts w:ascii="Times New Roman" w:hAnsi="Times New Roman" w:cs="Times New Roman"/>
          <w:color w:val="000000"/>
        </w:rPr>
        <w:t>9</w:t>
      </w:r>
      <w:r>
        <w:rPr>
          <w:rFonts w:ascii="Times New Roman" w:hAnsi="Times New Roman" w:cs="Times New Roman"/>
          <w:color w:val="000000"/>
        </w:rPr>
        <w:t>, 2017</w:t>
      </w:r>
    </w:p>
    <w:p w14:paraId="13B66CB7" w14:textId="77777777" w:rsidR="007B7DD7" w:rsidRDefault="007B7DD7" w:rsidP="007B7DD7">
      <w:pPr>
        <w:autoSpaceDE w:val="0"/>
        <w:autoSpaceDN w:val="0"/>
        <w:adjustRightInd w:val="0"/>
        <w:spacing w:after="0" w:line="0" w:lineRule="atLeast"/>
        <w:rPr>
          <w:rFonts w:ascii="Times New Roman" w:hAnsi="Times New Roman" w:cs="Times New Roman"/>
          <w:color w:val="000000"/>
        </w:rPr>
      </w:pPr>
    </w:p>
    <w:p w14:paraId="53F06480" w14:textId="77777777" w:rsidR="00F67E92" w:rsidRDefault="00F67E92" w:rsidP="007B7DD7">
      <w:pPr>
        <w:autoSpaceDE w:val="0"/>
        <w:autoSpaceDN w:val="0"/>
        <w:adjustRightInd w:val="0"/>
        <w:spacing w:after="0" w:line="0" w:lineRule="atLeast"/>
        <w:rPr>
          <w:rFonts w:ascii="Times New Roman" w:hAnsi="Times New Roman" w:cs="Times New Roman"/>
          <w:color w:val="000000"/>
        </w:rPr>
      </w:pPr>
    </w:p>
    <w:p w14:paraId="1883E5A1" w14:textId="77777777" w:rsidR="00F67E92" w:rsidRDefault="00F67E92" w:rsidP="007B7DD7">
      <w:pPr>
        <w:autoSpaceDE w:val="0"/>
        <w:autoSpaceDN w:val="0"/>
        <w:adjustRightInd w:val="0"/>
        <w:spacing w:after="0" w:line="0" w:lineRule="atLeast"/>
        <w:rPr>
          <w:rFonts w:ascii="Times New Roman" w:hAnsi="Times New Roman" w:cs="Times New Roman"/>
          <w:color w:val="000000"/>
        </w:rPr>
      </w:pPr>
    </w:p>
    <w:p w14:paraId="53B2A018" w14:textId="16E634CA" w:rsidR="00FF7EE4" w:rsidRDefault="007B7DD7" w:rsidP="007B7DD7">
      <w:pPr>
        <w:autoSpaceDE w:val="0"/>
        <w:autoSpaceDN w:val="0"/>
        <w:adjustRightInd w:val="0"/>
        <w:spacing w:after="0" w:line="0" w:lineRule="atLeast"/>
        <w:rPr>
          <w:rFonts w:ascii="Times New Roman" w:hAnsi="Times New Roman" w:cs="Times New Roman"/>
          <w:color w:val="000000"/>
        </w:rPr>
      </w:pPr>
      <w:r>
        <w:rPr>
          <w:rFonts w:ascii="Times New Roman" w:hAnsi="Times New Roman" w:cs="Times New Roman"/>
          <w:color w:val="000000"/>
        </w:rPr>
        <w:t>Agriculture Global Practice</w:t>
      </w:r>
    </w:p>
    <w:p w14:paraId="7166A525" w14:textId="7624A70E" w:rsidR="007B7DD7" w:rsidRDefault="007B7DD7" w:rsidP="007B7DD7">
      <w:pPr>
        <w:autoSpaceDE w:val="0"/>
        <w:autoSpaceDN w:val="0"/>
        <w:adjustRightInd w:val="0"/>
        <w:spacing w:after="0" w:line="0" w:lineRule="atLeast"/>
        <w:rPr>
          <w:rFonts w:ascii="Times New Roman" w:hAnsi="Times New Roman" w:cs="Times New Roman"/>
          <w:color w:val="000000"/>
        </w:rPr>
      </w:pPr>
      <w:r>
        <w:rPr>
          <w:rFonts w:ascii="Times New Roman" w:hAnsi="Times New Roman" w:cs="Times New Roman"/>
          <w:color w:val="000000"/>
        </w:rPr>
        <w:t>Trade and Competitiveness Global Practice</w:t>
      </w:r>
    </w:p>
    <w:p w14:paraId="7729BDD7" w14:textId="5CBBB085" w:rsidR="007B7DD7" w:rsidRPr="00BC7BB5" w:rsidRDefault="007B7DD7" w:rsidP="007B7DD7">
      <w:pPr>
        <w:autoSpaceDE w:val="0"/>
        <w:autoSpaceDN w:val="0"/>
        <w:adjustRightInd w:val="0"/>
        <w:spacing w:after="0" w:line="0" w:lineRule="atLeast"/>
        <w:rPr>
          <w:rFonts w:ascii="Times New Roman" w:hAnsi="Times New Roman" w:cs="Times New Roman"/>
          <w:color w:val="000000"/>
        </w:rPr>
      </w:pPr>
      <w:r>
        <w:rPr>
          <w:rFonts w:ascii="Times New Roman" w:hAnsi="Times New Roman" w:cs="Times New Roman"/>
          <w:color w:val="000000"/>
        </w:rPr>
        <w:t>Middle East and North Africa Region</w:t>
      </w:r>
    </w:p>
    <w:p w14:paraId="53B2A019" w14:textId="7752F098" w:rsidR="00FF7EE4" w:rsidRDefault="00FF7EE4" w:rsidP="00FF7EE4">
      <w:pPr>
        <w:autoSpaceDE w:val="0"/>
        <w:autoSpaceDN w:val="0"/>
        <w:adjustRightInd w:val="0"/>
        <w:spacing w:line="240" w:lineRule="atLeast"/>
        <w:jc w:val="center"/>
        <w:rPr>
          <w:rFonts w:ascii="Times New Roman" w:hAnsi="Times New Roman" w:cs="Times New Roman"/>
          <w:color w:val="000000"/>
        </w:rPr>
      </w:pPr>
    </w:p>
    <w:p w14:paraId="14B03895" w14:textId="0ACCD3C3" w:rsidR="00F67E92" w:rsidRDefault="00F67E92" w:rsidP="00FF7EE4">
      <w:pPr>
        <w:autoSpaceDE w:val="0"/>
        <w:autoSpaceDN w:val="0"/>
        <w:adjustRightInd w:val="0"/>
        <w:spacing w:line="240" w:lineRule="atLeast"/>
        <w:jc w:val="center"/>
        <w:rPr>
          <w:rFonts w:ascii="Times New Roman" w:hAnsi="Times New Roman" w:cs="Times New Roman"/>
          <w:color w:val="000000"/>
        </w:rPr>
      </w:pPr>
    </w:p>
    <w:p w14:paraId="253AF674" w14:textId="5C790574" w:rsidR="00F67E92" w:rsidRPr="00BC7BB5" w:rsidRDefault="00F67E92" w:rsidP="00FF7EE4">
      <w:pPr>
        <w:autoSpaceDE w:val="0"/>
        <w:autoSpaceDN w:val="0"/>
        <w:adjustRightInd w:val="0"/>
        <w:spacing w:line="240" w:lineRule="atLeast"/>
        <w:jc w:val="center"/>
        <w:rPr>
          <w:rFonts w:ascii="Times New Roman" w:hAnsi="Times New Roman" w:cs="Times New Roman"/>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0"/>
      </w:tblGrid>
      <w:tr w:rsidR="00FF7EE4" w:rsidRPr="00BC7BB5" w14:paraId="53B2A01C" w14:textId="77777777" w:rsidTr="00C902A6">
        <w:tc>
          <w:tcPr>
            <w:tcW w:w="9576" w:type="dxa"/>
          </w:tcPr>
          <w:p w14:paraId="53B2A01B" w14:textId="137E5AA8" w:rsidR="004F1094" w:rsidRPr="00BC7BB5" w:rsidRDefault="001D2940" w:rsidP="00C902A6">
            <w:pPr>
              <w:autoSpaceDE w:val="0"/>
              <w:autoSpaceDN w:val="0"/>
              <w:adjustRightInd w:val="0"/>
              <w:spacing w:line="240" w:lineRule="atLeast"/>
              <w:jc w:val="both"/>
              <w:rPr>
                <w:rFonts w:ascii="Times New Roman" w:hAnsi="Times New Roman" w:cs="Times New Roman"/>
              </w:rPr>
            </w:pPr>
            <w:r w:rsidRPr="00BC7BB5">
              <w:rPr>
                <w:rFonts w:ascii="Times New Roman" w:hAnsi="Times New Roman" w:cs="Times New Roman"/>
              </w:rPr>
              <w:t>This document has a restricted distribution and may be used by recipients only in the performance of their official duties.  Its contents may not otherwise be disclosed without World Bank authorization.</w:t>
            </w:r>
          </w:p>
        </w:tc>
      </w:tr>
    </w:tbl>
    <w:p w14:paraId="53B2A01D" w14:textId="77777777" w:rsidR="00FF7EE4" w:rsidRPr="00BC7BB5" w:rsidRDefault="00FF7EE4" w:rsidP="00FF7EE4">
      <w:pPr>
        <w:jc w:val="center"/>
        <w:rPr>
          <w:rFonts w:ascii="Times New Roman" w:hAnsi="Times New Roman" w:cs="Times New Roman"/>
        </w:rPr>
      </w:pPr>
    </w:p>
    <w:p w14:paraId="53B2A01E" w14:textId="5ADD5EB0" w:rsidR="002F20EB" w:rsidRPr="00BC7BB5" w:rsidRDefault="00DF0162" w:rsidP="00DF0162">
      <w:pPr>
        <w:jc w:val="center"/>
        <w:rPr>
          <w:rFonts w:ascii="Times New Roman" w:hAnsi="Times New Roman" w:cs="Times New Roman"/>
        </w:rPr>
      </w:pPr>
      <w:r w:rsidRPr="00BC7BB5">
        <w:rPr>
          <w:rFonts w:ascii="Times New Roman" w:hAnsi="Times New Roman" w:cs="Times New Roman"/>
        </w:rPr>
        <w:lastRenderedPageBreak/>
        <w:t>CURRENCY EQUIVALENTS</w:t>
      </w:r>
    </w:p>
    <w:p w14:paraId="3FCBD258" w14:textId="3D5B6862" w:rsidR="00536850" w:rsidRPr="00BC7BB5" w:rsidRDefault="00536850" w:rsidP="00DF0162">
      <w:pPr>
        <w:jc w:val="center"/>
        <w:rPr>
          <w:rFonts w:ascii="Times New Roman" w:hAnsi="Times New Roman" w:cs="Times New Roman"/>
        </w:rPr>
      </w:pPr>
      <w:r w:rsidRPr="00BC7BB5">
        <w:rPr>
          <w:rFonts w:ascii="Times New Roman" w:hAnsi="Times New Roman" w:cs="Times New Roman"/>
        </w:rPr>
        <w:t xml:space="preserve">(Exchange Rate Effective </w:t>
      </w:r>
      <w:r w:rsidR="00F33614">
        <w:rPr>
          <w:rFonts w:ascii="Times New Roman" w:hAnsi="Times New Roman" w:cs="Times New Roman"/>
        </w:rPr>
        <w:t>October 31</w:t>
      </w:r>
      <w:r w:rsidR="00E82A65" w:rsidRPr="00BC7BB5">
        <w:rPr>
          <w:rFonts w:ascii="Times New Roman" w:hAnsi="Times New Roman" w:cs="Times New Roman"/>
        </w:rPr>
        <w:t>, 2017</w:t>
      </w:r>
      <w:r w:rsidRPr="00BC7BB5">
        <w:rPr>
          <w:rFonts w:ascii="Times New Roman" w:hAnsi="Times New Roman" w:cs="Times New Roman"/>
        </w:rPr>
        <w:t>)</w:t>
      </w:r>
    </w:p>
    <w:tbl>
      <w:tblPr>
        <w:tblW w:w="0" w:type="auto"/>
        <w:tblInd w:w="622" w:type="dxa"/>
        <w:tblLayout w:type="fixed"/>
        <w:tblLook w:val="0000" w:firstRow="0" w:lastRow="0" w:firstColumn="0" w:lastColumn="0" w:noHBand="0" w:noVBand="0"/>
      </w:tblPr>
      <w:tblGrid>
        <w:gridCol w:w="3698"/>
        <w:gridCol w:w="390"/>
        <w:gridCol w:w="4029"/>
      </w:tblGrid>
      <w:tr w:rsidR="00536850" w:rsidRPr="00BC7BB5" w14:paraId="552F1AF1" w14:textId="77777777" w:rsidTr="00536850">
        <w:tc>
          <w:tcPr>
            <w:tcW w:w="3698" w:type="dxa"/>
          </w:tcPr>
          <w:p w14:paraId="272C8DC3" w14:textId="77777777" w:rsidR="00536850" w:rsidRPr="00BC7BB5" w:rsidRDefault="00536850" w:rsidP="00536850">
            <w:pPr>
              <w:autoSpaceDE w:val="0"/>
              <w:autoSpaceDN w:val="0"/>
              <w:adjustRightInd w:val="0"/>
              <w:spacing w:after="0" w:line="240" w:lineRule="auto"/>
              <w:ind w:right="-20"/>
              <w:jc w:val="right"/>
              <w:rPr>
                <w:rFonts w:ascii="Times New Roman" w:hAnsi="Times New Roman" w:cs="Times New Roman"/>
                <w:color w:val="000000"/>
              </w:rPr>
            </w:pPr>
            <w:r w:rsidRPr="00BC7BB5">
              <w:rPr>
                <w:rFonts w:ascii="Times New Roman" w:hAnsi="Times New Roman" w:cs="Times New Roman"/>
                <w:color w:val="000000"/>
              </w:rPr>
              <w:t>Currency Unit</w:t>
            </w:r>
          </w:p>
        </w:tc>
        <w:tc>
          <w:tcPr>
            <w:tcW w:w="390" w:type="dxa"/>
          </w:tcPr>
          <w:p w14:paraId="734732CD" w14:textId="77777777" w:rsidR="00536850" w:rsidRPr="00BC7BB5" w:rsidRDefault="00536850" w:rsidP="00536850">
            <w:pPr>
              <w:autoSpaceDE w:val="0"/>
              <w:autoSpaceDN w:val="0"/>
              <w:adjustRightInd w:val="0"/>
              <w:spacing w:after="0" w:line="240" w:lineRule="auto"/>
              <w:ind w:right="250"/>
              <w:rPr>
                <w:rFonts w:ascii="Times New Roman" w:hAnsi="Times New Roman" w:cs="Times New Roman"/>
                <w:color w:val="000000"/>
              </w:rPr>
            </w:pPr>
            <w:r w:rsidRPr="00BC7BB5">
              <w:rPr>
                <w:rFonts w:ascii="Times New Roman" w:hAnsi="Times New Roman" w:cs="Times New Roman"/>
                <w:color w:val="000000"/>
              </w:rPr>
              <w:t>=</w:t>
            </w:r>
          </w:p>
        </w:tc>
        <w:tc>
          <w:tcPr>
            <w:tcW w:w="4029" w:type="dxa"/>
          </w:tcPr>
          <w:p w14:paraId="0D74CED3" w14:textId="6B0C96F9" w:rsidR="00536850" w:rsidRPr="00BC7BB5" w:rsidRDefault="00536850" w:rsidP="00536850">
            <w:pPr>
              <w:autoSpaceDE w:val="0"/>
              <w:autoSpaceDN w:val="0"/>
              <w:adjustRightInd w:val="0"/>
              <w:spacing w:after="0" w:line="240" w:lineRule="auto"/>
              <w:ind w:right="250"/>
              <w:rPr>
                <w:rFonts w:ascii="Times New Roman" w:hAnsi="Times New Roman" w:cs="Times New Roman"/>
                <w:color w:val="000000"/>
              </w:rPr>
            </w:pPr>
            <w:r w:rsidRPr="00BC7BB5">
              <w:rPr>
                <w:rFonts w:ascii="Times New Roman" w:hAnsi="Times New Roman" w:cs="Times New Roman"/>
                <w:color w:val="000000"/>
              </w:rPr>
              <w:t>Moroccan Dirham (MAD)</w:t>
            </w:r>
          </w:p>
        </w:tc>
      </w:tr>
      <w:tr w:rsidR="00536850" w:rsidRPr="00BC7BB5" w14:paraId="430547B2" w14:textId="77777777" w:rsidTr="00536850">
        <w:tc>
          <w:tcPr>
            <w:tcW w:w="3698" w:type="dxa"/>
          </w:tcPr>
          <w:p w14:paraId="0B29626D" w14:textId="76FEC8D0" w:rsidR="00536850" w:rsidRPr="00BC7BB5" w:rsidRDefault="00536850" w:rsidP="00536850">
            <w:pPr>
              <w:autoSpaceDE w:val="0"/>
              <w:autoSpaceDN w:val="0"/>
              <w:adjustRightInd w:val="0"/>
              <w:spacing w:after="0" w:line="240" w:lineRule="auto"/>
              <w:ind w:right="-20"/>
              <w:jc w:val="right"/>
              <w:rPr>
                <w:rFonts w:ascii="Times New Roman" w:hAnsi="Times New Roman" w:cs="Times New Roman"/>
                <w:color w:val="000000"/>
              </w:rPr>
            </w:pPr>
            <w:r w:rsidRPr="00BC7BB5">
              <w:rPr>
                <w:rFonts w:ascii="Times New Roman" w:hAnsi="Times New Roman" w:cs="Times New Roman"/>
                <w:color w:val="000000"/>
              </w:rPr>
              <w:t xml:space="preserve"> US$ 1.00</w:t>
            </w:r>
          </w:p>
        </w:tc>
        <w:tc>
          <w:tcPr>
            <w:tcW w:w="390" w:type="dxa"/>
          </w:tcPr>
          <w:p w14:paraId="4DB19F07" w14:textId="77777777" w:rsidR="00536850" w:rsidRPr="00BC7BB5" w:rsidRDefault="00536850" w:rsidP="00536850">
            <w:pPr>
              <w:autoSpaceDE w:val="0"/>
              <w:autoSpaceDN w:val="0"/>
              <w:adjustRightInd w:val="0"/>
              <w:spacing w:after="0" w:line="240" w:lineRule="auto"/>
              <w:ind w:right="250"/>
              <w:rPr>
                <w:rFonts w:ascii="Times New Roman" w:hAnsi="Times New Roman" w:cs="Times New Roman"/>
                <w:color w:val="000000"/>
              </w:rPr>
            </w:pPr>
            <w:r w:rsidRPr="00BC7BB5">
              <w:rPr>
                <w:rFonts w:ascii="Times New Roman" w:hAnsi="Times New Roman" w:cs="Times New Roman"/>
                <w:color w:val="000000"/>
              </w:rPr>
              <w:t>=</w:t>
            </w:r>
          </w:p>
        </w:tc>
        <w:tc>
          <w:tcPr>
            <w:tcW w:w="4029" w:type="dxa"/>
          </w:tcPr>
          <w:p w14:paraId="322EA88F" w14:textId="3E607CF9" w:rsidR="00536850" w:rsidRPr="00BC7BB5" w:rsidRDefault="00536850" w:rsidP="00536850">
            <w:pPr>
              <w:autoSpaceDE w:val="0"/>
              <w:autoSpaceDN w:val="0"/>
              <w:adjustRightInd w:val="0"/>
              <w:spacing w:after="0" w:line="240" w:lineRule="auto"/>
              <w:ind w:right="250"/>
              <w:rPr>
                <w:rFonts w:ascii="Times New Roman" w:hAnsi="Times New Roman" w:cs="Times New Roman"/>
                <w:color w:val="000000"/>
              </w:rPr>
            </w:pPr>
            <w:r w:rsidRPr="00BC7BB5">
              <w:rPr>
                <w:rFonts w:ascii="Times New Roman" w:hAnsi="Times New Roman" w:cs="Times New Roman"/>
                <w:color w:val="000000"/>
              </w:rPr>
              <w:t>MAD</w:t>
            </w:r>
            <w:r w:rsidR="00FF7541" w:rsidRPr="00BC7BB5">
              <w:rPr>
                <w:rFonts w:ascii="Times New Roman" w:hAnsi="Times New Roman" w:cs="Times New Roman"/>
                <w:color w:val="000000"/>
              </w:rPr>
              <w:t xml:space="preserve"> </w:t>
            </w:r>
            <w:r w:rsidR="0052010C" w:rsidRPr="00BC7BB5">
              <w:rPr>
                <w:rFonts w:ascii="Times New Roman" w:hAnsi="Times New Roman" w:cs="Times New Roman"/>
                <w:color w:val="000000"/>
              </w:rPr>
              <w:t>9.44</w:t>
            </w:r>
          </w:p>
        </w:tc>
      </w:tr>
      <w:tr w:rsidR="00536850" w:rsidRPr="00BC7BB5" w14:paraId="7D29DCC2" w14:textId="77777777" w:rsidTr="00536850">
        <w:tc>
          <w:tcPr>
            <w:tcW w:w="3698" w:type="dxa"/>
          </w:tcPr>
          <w:p w14:paraId="3C9C5806" w14:textId="72DD525E" w:rsidR="00536850" w:rsidRPr="00BC7BB5" w:rsidRDefault="00536850" w:rsidP="00536850">
            <w:pPr>
              <w:autoSpaceDE w:val="0"/>
              <w:autoSpaceDN w:val="0"/>
              <w:adjustRightInd w:val="0"/>
              <w:spacing w:after="0" w:line="240" w:lineRule="auto"/>
              <w:ind w:right="-20"/>
              <w:jc w:val="right"/>
              <w:rPr>
                <w:rFonts w:ascii="Times New Roman" w:hAnsi="Times New Roman" w:cs="Times New Roman"/>
                <w:color w:val="000000"/>
              </w:rPr>
            </w:pPr>
            <w:r w:rsidRPr="00BC7BB5">
              <w:rPr>
                <w:rFonts w:ascii="Times New Roman" w:hAnsi="Times New Roman" w:cs="Times New Roman"/>
                <w:color w:val="000000"/>
              </w:rPr>
              <w:t>MAD 1.00</w:t>
            </w:r>
          </w:p>
        </w:tc>
        <w:tc>
          <w:tcPr>
            <w:tcW w:w="390" w:type="dxa"/>
          </w:tcPr>
          <w:p w14:paraId="54E9A848" w14:textId="77777777" w:rsidR="00536850" w:rsidRPr="00BC7BB5" w:rsidRDefault="00536850" w:rsidP="00536850">
            <w:pPr>
              <w:autoSpaceDE w:val="0"/>
              <w:autoSpaceDN w:val="0"/>
              <w:adjustRightInd w:val="0"/>
              <w:spacing w:after="0" w:line="240" w:lineRule="auto"/>
              <w:ind w:right="250"/>
              <w:rPr>
                <w:rFonts w:ascii="Times New Roman" w:hAnsi="Times New Roman" w:cs="Times New Roman"/>
                <w:color w:val="000000"/>
              </w:rPr>
            </w:pPr>
            <w:r w:rsidRPr="00BC7BB5">
              <w:rPr>
                <w:rFonts w:ascii="Times New Roman" w:hAnsi="Times New Roman" w:cs="Times New Roman"/>
                <w:color w:val="000000"/>
              </w:rPr>
              <w:t>=</w:t>
            </w:r>
          </w:p>
        </w:tc>
        <w:tc>
          <w:tcPr>
            <w:tcW w:w="4029" w:type="dxa"/>
          </w:tcPr>
          <w:p w14:paraId="22E9C4A6" w14:textId="01F067C3" w:rsidR="00536850" w:rsidRPr="00BC7BB5" w:rsidRDefault="00536850" w:rsidP="00536850">
            <w:pPr>
              <w:autoSpaceDE w:val="0"/>
              <w:autoSpaceDN w:val="0"/>
              <w:adjustRightInd w:val="0"/>
              <w:spacing w:after="0" w:line="240" w:lineRule="auto"/>
              <w:ind w:right="250"/>
              <w:rPr>
                <w:rFonts w:ascii="Times New Roman" w:hAnsi="Times New Roman" w:cs="Times New Roman"/>
                <w:color w:val="000000"/>
              </w:rPr>
            </w:pPr>
            <w:r w:rsidRPr="00BC7BB5">
              <w:rPr>
                <w:rFonts w:ascii="Times New Roman" w:hAnsi="Times New Roman" w:cs="Times New Roman"/>
                <w:color w:val="000000"/>
              </w:rPr>
              <w:t>US$</w:t>
            </w:r>
            <w:r w:rsidR="00FF7541" w:rsidRPr="00BC7BB5">
              <w:rPr>
                <w:rFonts w:ascii="Times New Roman" w:hAnsi="Times New Roman" w:cs="Times New Roman"/>
                <w:color w:val="000000"/>
              </w:rPr>
              <w:t xml:space="preserve"> 0.11</w:t>
            </w:r>
          </w:p>
        </w:tc>
      </w:tr>
    </w:tbl>
    <w:p w14:paraId="4A06F11E" w14:textId="77777777" w:rsidR="00536850" w:rsidRPr="00BC7BB5" w:rsidRDefault="00536850" w:rsidP="00536850">
      <w:pPr>
        <w:autoSpaceDE w:val="0"/>
        <w:autoSpaceDN w:val="0"/>
        <w:adjustRightInd w:val="0"/>
        <w:spacing w:after="0" w:line="240" w:lineRule="auto"/>
        <w:rPr>
          <w:rFonts w:ascii="Times New Roman" w:hAnsi="Times New Roman" w:cs="Times New Roman"/>
          <w:color w:val="000000"/>
        </w:rPr>
      </w:pPr>
    </w:p>
    <w:p w14:paraId="075CE272" w14:textId="26966F55" w:rsidR="00536850" w:rsidRPr="00BC7BB5" w:rsidRDefault="007B7DD7" w:rsidP="00536850">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 xml:space="preserve">GOVERNMENT </w:t>
      </w:r>
      <w:r w:rsidR="00536850" w:rsidRPr="00BC7BB5">
        <w:rPr>
          <w:rFonts w:ascii="Times New Roman" w:hAnsi="Times New Roman" w:cs="Times New Roman"/>
          <w:color w:val="000000"/>
        </w:rPr>
        <w:t>FISCAL YEAR</w:t>
      </w:r>
    </w:p>
    <w:tbl>
      <w:tblPr>
        <w:tblW w:w="0" w:type="auto"/>
        <w:tblInd w:w="622" w:type="dxa"/>
        <w:tblLook w:val="0000" w:firstRow="0" w:lastRow="0" w:firstColumn="0" w:lastColumn="0" w:noHBand="0" w:noVBand="0"/>
      </w:tblPr>
      <w:tblGrid>
        <w:gridCol w:w="3698"/>
        <w:gridCol w:w="568"/>
        <w:gridCol w:w="4045"/>
      </w:tblGrid>
      <w:tr w:rsidR="00536850" w:rsidRPr="00BC7BB5" w14:paraId="2E15E4C4" w14:textId="77777777" w:rsidTr="003168F9">
        <w:tc>
          <w:tcPr>
            <w:tcW w:w="3698" w:type="dxa"/>
          </w:tcPr>
          <w:p w14:paraId="1167DB07" w14:textId="77777777" w:rsidR="00536850" w:rsidRPr="00BC7BB5" w:rsidRDefault="00536850" w:rsidP="003168F9">
            <w:pPr>
              <w:autoSpaceDE w:val="0"/>
              <w:autoSpaceDN w:val="0"/>
              <w:adjustRightInd w:val="0"/>
              <w:spacing w:after="0" w:line="240" w:lineRule="auto"/>
              <w:jc w:val="right"/>
              <w:rPr>
                <w:rFonts w:ascii="Times New Roman" w:hAnsi="Times New Roman" w:cs="Times New Roman"/>
                <w:color w:val="000000"/>
              </w:rPr>
            </w:pPr>
            <w:r w:rsidRPr="00BC7BB5">
              <w:rPr>
                <w:rFonts w:ascii="Times New Roman" w:hAnsi="Times New Roman" w:cs="Times New Roman"/>
                <w:color w:val="000000"/>
              </w:rPr>
              <w:t>January 1</w:t>
            </w:r>
          </w:p>
        </w:tc>
        <w:tc>
          <w:tcPr>
            <w:tcW w:w="568" w:type="dxa"/>
          </w:tcPr>
          <w:p w14:paraId="584A4414" w14:textId="77777777" w:rsidR="00536850" w:rsidRPr="00BC7BB5" w:rsidRDefault="00536850" w:rsidP="00536850">
            <w:pPr>
              <w:autoSpaceDE w:val="0"/>
              <w:autoSpaceDN w:val="0"/>
              <w:adjustRightInd w:val="0"/>
              <w:spacing w:after="0" w:line="240" w:lineRule="auto"/>
              <w:jc w:val="center"/>
              <w:rPr>
                <w:rFonts w:ascii="Times New Roman" w:hAnsi="Times New Roman" w:cs="Times New Roman"/>
                <w:color w:val="000000"/>
              </w:rPr>
            </w:pPr>
            <w:r w:rsidRPr="00BC7BB5">
              <w:rPr>
                <w:rFonts w:ascii="Times New Roman" w:hAnsi="Times New Roman" w:cs="Times New Roman"/>
              </w:rPr>
              <w:t>–</w:t>
            </w:r>
          </w:p>
        </w:tc>
        <w:tc>
          <w:tcPr>
            <w:tcW w:w="4045" w:type="dxa"/>
          </w:tcPr>
          <w:p w14:paraId="3422975F" w14:textId="77777777" w:rsidR="00536850" w:rsidRPr="00BC7BB5" w:rsidRDefault="00536850" w:rsidP="00536850">
            <w:pPr>
              <w:autoSpaceDE w:val="0"/>
              <w:autoSpaceDN w:val="0"/>
              <w:adjustRightInd w:val="0"/>
              <w:spacing w:after="0" w:line="240" w:lineRule="auto"/>
              <w:rPr>
                <w:rFonts w:ascii="Times New Roman" w:hAnsi="Times New Roman" w:cs="Times New Roman"/>
                <w:color w:val="000000"/>
              </w:rPr>
            </w:pPr>
            <w:r w:rsidRPr="00BC7BB5">
              <w:rPr>
                <w:rFonts w:ascii="Times New Roman" w:hAnsi="Times New Roman" w:cs="Times New Roman"/>
                <w:color w:val="000000"/>
              </w:rPr>
              <w:t>December 31</w:t>
            </w:r>
          </w:p>
        </w:tc>
      </w:tr>
    </w:tbl>
    <w:p w14:paraId="53B2A01F" w14:textId="77777777" w:rsidR="00DF0162" w:rsidRPr="00BC7BB5" w:rsidRDefault="00DF0162" w:rsidP="00FF7EE4">
      <w:pPr>
        <w:rPr>
          <w:rFonts w:ascii="Times New Roman" w:hAnsi="Times New Roman" w:cs="Times New Roman"/>
        </w:rPr>
      </w:pPr>
    </w:p>
    <w:p w14:paraId="53B2A022" w14:textId="77777777" w:rsidR="00DF0162" w:rsidRPr="00BC7BB5" w:rsidRDefault="00DF0162" w:rsidP="00DF0162">
      <w:pPr>
        <w:jc w:val="center"/>
        <w:rPr>
          <w:rFonts w:ascii="Times New Roman" w:hAnsi="Times New Roman" w:cs="Times New Roman"/>
        </w:rPr>
      </w:pPr>
      <w:r w:rsidRPr="00BC7BB5">
        <w:rPr>
          <w:rFonts w:ascii="Times New Roman" w:hAnsi="Times New Roman" w:cs="Times New Roman"/>
        </w:rPr>
        <w:t>ABBREVIATIONS AND ACRONYMS</w:t>
      </w:r>
    </w:p>
    <w:p w14:paraId="54D5AA11" w14:textId="5451A5DB" w:rsidR="00807B78" w:rsidRPr="004D563E" w:rsidRDefault="00807B78" w:rsidP="00807B78">
      <w:pPr>
        <w:pStyle w:val="NoSpacing"/>
        <w:ind w:left="360"/>
        <w:rPr>
          <w:rFonts w:ascii="Times New Roman" w:hAnsi="Times New Roman" w:cs="Times New Roman"/>
          <w:sz w:val="21"/>
          <w:szCs w:val="21"/>
          <w:lang w:val="fr-FR"/>
        </w:rPr>
      </w:pPr>
      <w:r w:rsidRPr="004D563E">
        <w:rPr>
          <w:rFonts w:ascii="Times New Roman" w:hAnsi="Times New Roman" w:cs="Times New Roman"/>
          <w:sz w:val="21"/>
          <w:szCs w:val="21"/>
          <w:lang w:val="fr-FR"/>
        </w:rPr>
        <w:t>ADA</w:t>
      </w:r>
      <w:r w:rsidRPr="004D563E">
        <w:rPr>
          <w:rFonts w:ascii="Times New Roman" w:hAnsi="Times New Roman" w:cs="Times New Roman"/>
          <w:sz w:val="21"/>
          <w:szCs w:val="21"/>
          <w:lang w:val="fr-FR"/>
        </w:rPr>
        <w:tab/>
      </w:r>
      <w:r w:rsidRPr="004D563E">
        <w:rPr>
          <w:rFonts w:ascii="Times New Roman" w:hAnsi="Times New Roman" w:cs="Times New Roman"/>
          <w:sz w:val="21"/>
          <w:szCs w:val="21"/>
          <w:lang w:val="fr-FR"/>
        </w:rPr>
        <w:tab/>
      </w:r>
      <w:r w:rsidRPr="0033395F">
        <w:rPr>
          <w:rFonts w:ascii="Times New Roman" w:hAnsi="Times New Roman" w:cs="Times New Roman"/>
          <w:i/>
          <w:sz w:val="21"/>
          <w:szCs w:val="21"/>
          <w:lang w:val="fr-FR"/>
        </w:rPr>
        <w:t xml:space="preserve">Agence </w:t>
      </w:r>
      <w:r w:rsidR="00AC1BC2" w:rsidRPr="0033395F">
        <w:rPr>
          <w:rFonts w:ascii="Times New Roman" w:hAnsi="Times New Roman" w:cs="Times New Roman"/>
          <w:i/>
          <w:sz w:val="21"/>
          <w:szCs w:val="21"/>
          <w:lang w:val="fr-FR"/>
        </w:rPr>
        <w:t>pour le</w:t>
      </w:r>
      <w:r w:rsidRPr="0033395F">
        <w:rPr>
          <w:rFonts w:ascii="Times New Roman" w:hAnsi="Times New Roman" w:cs="Times New Roman"/>
          <w:i/>
          <w:sz w:val="21"/>
          <w:szCs w:val="21"/>
          <w:lang w:val="fr-FR"/>
        </w:rPr>
        <w:t xml:space="preserve"> Développement Agricole</w:t>
      </w:r>
      <w:r w:rsidR="00482152" w:rsidRPr="004D563E">
        <w:rPr>
          <w:rFonts w:ascii="Times New Roman" w:hAnsi="Times New Roman" w:cs="Times New Roman"/>
          <w:sz w:val="21"/>
          <w:szCs w:val="21"/>
          <w:lang w:val="fr-FR"/>
        </w:rPr>
        <w:t xml:space="preserve"> (Agricultural Development Agency)</w:t>
      </w:r>
    </w:p>
    <w:p w14:paraId="23EA326F" w14:textId="6234BE33" w:rsidR="00807B78" w:rsidRPr="004D563E" w:rsidRDefault="00807B78" w:rsidP="00807B78">
      <w:pPr>
        <w:pStyle w:val="NoSpacing"/>
        <w:ind w:left="360"/>
        <w:rPr>
          <w:rFonts w:ascii="Times New Roman" w:hAnsi="Times New Roman" w:cs="Times New Roman"/>
          <w:sz w:val="21"/>
          <w:szCs w:val="21"/>
          <w:lang w:val="fr-FR"/>
        </w:rPr>
      </w:pPr>
      <w:r w:rsidRPr="004D563E">
        <w:rPr>
          <w:rFonts w:ascii="Times New Roman" w:hAnsi="Times New Roman" w:cs="Times New Roman"/>
          <w:sz w:val="21"/>
          <w:szCs w:val="21"/>
          <w:lang w:val="fr-FR"/>
        </w:rPr>
        <w:t>AFD</w:t>
      </w:r>
      <w:r w:rsidRPr="004D563E">
        <w:rPr>
          <w:rFonts w:ascii="Times New Roman" w:hAnsi="Times New Roman" w:cs="Times New Roman"/>
          <w:sz w:val="21"/>
          <w:szCs w:val="21"/>
          <w:lang w:val="fr-FR"/>
        </w:rPr>
        <w:tab/>
      </w:r>
      <w:r w:rsidRPr="004D563E">
        <w:rPr>
          <w:rFonts w:ascii="Times New Roman" w:hAnsi="Times New Roman" w:cs="Times New Roman"/>
          <w:sz w:val="21"/>
          <w:szCs w:val="21"/>
          <w:lang w:val="fr-FR"/>
        </w:rPr>
        <w:tab/>
      </w:r>
      <w:r w:rsidRPr="0033395F">
        <w:rPr>
          <w:rFonts w:ascii="Times New Roman" w:hAnsi="Times New Roman" w:cs="Times New Roman"/>
          <w:i/>
          <w:sz w:val="21"/>
          <w:szCs w:val="21"/>
          <w:lang w:val="fr-FR"/>
        </w:rPr>
        <w:t>Agence Française de Développement</w:t>
      </w:r>
      <w:r w:rsidRPr="004D563E">
        <w:rPr>
          <w:rFonts w:ascii="Times New Roman" w:hAnsi="Times New Roman" w:cs="Times New Roman"/>
          <w:sz w:val="21"/>
          <w:szCs w:val="21"/>
          <w:lang w:val="fr-FR"/>
        </w:rPr>
        <w:t xml:space="preserve"> </w:t>
      </w:r>
      <w:r w:rsidR="0033395F">
        <w:rPr>
          <w:rFonts w:ascii="Times New Roman" w:hAnsi="Times New Roman" w:cs="Times New Roman"/>
          <w:sz w:val="21"/>
          <w:szCs w:val="21"/>
          <w:lang w:val="fr-FR"/>
        </w:rPr>
        <w:t>(French Development Agency)</w:t>
      </w:r>
    </w:p>
    <w:p w14:paraId="6A9D8125" w14:textId="77777777" w:rsidR="00807B78" w:rsidRPr="004D563E" w:rsidRDefault="00807B78" w:rsidP="00807B78">
      <w:pPr>
        <w:pStyle w:val="NoSpacing"/>
        <w:ind w:left="360"/>
        <w:rPr>
          <w:rFonts w:ascii="Times New Roman" w:hAnsi="Times New Roman" w:cs="Times New Roman"/>
          <w:sz w:val="21"/>
          <w:szCs w:val="21"/>
          <w:lang w:val="fr-FR"/>
        </w:rPr>
      </w:pPr>
      <w:r w:rsidRPr="004D563E">
        <w:rPr>
          <w:rFonts w:ascii="Times New Roman" w:hAnsi="Times New Roman" w:cs="Times New Roman"/>
          <w:sz w:val="21"/>
          <w:szCs w:val="21"/>
          <w:lang w:val="fr-FR"/>
        </w:rPr>
        <w:t>BDS</w:t>
      </w:r>
      <w:r w:rsidRPr="004D563E">
        <w:rPr>
          <w:rFonts w:ascii="Times New Roman" w:hAnsi="Times New Roman" w:cs="Times New Roman"/>
          <w:sz w:val="21"/>
          <w:szCs w:val="21"/>
          <w:lang w:val="fr-FR"/>
        </w:rPr>
        <w:tab/>
      </w:r>
      <w:r w:rsidRPr="004D563E">
        <w:rPr>
          <w:rFonts w:ascii="Times New Roman" w:hAnsi="Times New Roman" w:cs="Times New Roman"/>
          <w:sz w:val="21"/>
          <w:szCs w:val="21"/>
          <w:lang w:val="fr-FR"/>
        </w:rPr>
        <w:tab/>
        <w:t>Business Development Services</w:t>
      </w:r>
    </w:p>
    <w:p w14:paraId="37706AD1" w14:textId="58FEB3A9" w:rsidR="00807B78" w:rsidRPr="004D563E" w:rsidRDefault="00807B78" w:rsidP="00807B78">
      <w:pPr>
        <w:pStyle w:val="NoSpacing"/>
        <w:ind w:left="360"/>
        <w:rPr>
          <w:rFonts w:ascii="Times New Roman" w:hAnsi="Times New Roman" w:cs="Times New Roman"/>
          <w:sz w:val="21"/>
          <w:szCs w:val="21"/>
          <w:lang w:val="fr-FR"/>
        </w:rPr>
      </w:pPr>
      <w:r w:rsidRPr="004D563E">
        <w:rPr>
          <w:rFonts w:ascii="Times New Roman" w:hAnsi="Times New Roman" w:cs="Times New Roman"/>
          <w:sz w:val="21"/>
          <w:szCs w:val="21"/>
          <w:lang w:val="fr-FR"/>
        </w:rPr>
        <w:t>CAM</w:t>
      </w:r>
      <w:r w:rsidRPr="004D563E">
        <w:rPr>
          <w:rFonts w:ascii="Times New Roman" w:hAnsi="Times New Roman" w:cs="Times New Roman"/>
          <w:sz w:val="21"/>
          <w:szCs w:val="21"/>
          <w:lang w:val="fr-FR"/>
        </w:rPr>
        <w:tab/>
      </w:r>
      <w:r w:rsidRPr="004D563E">
        <w:rPr>
          <w:rFonts w:ascii="Times New Roman" w:hAnsi="Times New Roman" w:cs="Times New Roman"/>
          <w:sz w:val="21"/>
          <w:szCs w:val="21"/>
          <w:lang w:val="fr-FR"/>
        </w:rPr>
        <w:tab/>
      </w:r>
      <w:r w:rsidRPr="0033395F">
        <w:rPr>
          <w:rFonts w:ascii="Times New Roman" w:hAnsi="Times New Roman" w:cs="Times New Roman"/>
          <w:i/>
          <w:sz w:val="21"/>
          <w:szCs w:val="21"/>
          <w:lang w:val="fr-FR"/>
        </w:rPr>
        <w:t>Crédit Agricole du Maroc</w:t>
      </w:r>
      <w:r w:rsidR="00F67E92">
        <w:rPr>
          <w:rFonts w:ascii="Times New Roman" w:hAnsi="Times New Roman" w:cs="Times New Roman"/>
          <w:i/>
          <w:sz w:val="21"/>
          <w:szCs w:val="21"/>
          <w:lang w:val="fr-FR"/>
        </w:rPr>
        <w:t xml:space="preserve"> </w:t>
      </w:r>
    </w:p>
    <w:p w14:paraId="6EBEAFDC" w14:textId="53E28328" w:rsidR="00807B78" w:rsidRPr="006207C8" w:rsidRDefault="00807B78" w:rsidP="00F67E92">
      <w:pPr>
        <w:pStyle w:val="NoSpacing"/>
        <w:ind w:left="2160" w:hanging="1800"/>
        <w:rPr>
          <w:rFonts w:ascii="Times New Roman" w:hAnsi="Times New Roman" w:cs="Times New Roman"/>
          <w:sz w:val="21"/>
          <w:szCs w:val="21"/>
          <w:lang w:val="fr-FR"/>
        </w:rPr>
      </w:pPr>
      <w:r w:rsidRPr="004D563E">
        <w:rPr>
          <w:rFonts w:ascii="Times New Roman" w:hAnsi="Times New Roman" w:cs="Times New Roman"/>
          <w:sz w:val="21"/>
          <w:szCs w:val="21"/>
          <w:lang w:val="fr-FR"/>
        </w:rPr>
        <w:t>CETIA</w:t>
      </w:r>
      <w:r w:rsidRPr="004D563E">
        <w:rPr>
          <w:rFonts w:ascii="Times New Roman" w:hAnsi="Times New Roman" w:cs="Times New Roman"/>
          <w:sz w:val="21"/>
          <w:szCs w:val="21"/>
          <w:lang w:val="fr-FR"/>
        </w:rPr>
        <w:tab/>
      </w:r>
      <w:r w:rsidRPr="0033395F">
        <w:rPr>
          <w:rFonts w:ascii="Times New Roman" w:hAnsi="Times New Roman" w:cs="Times New Roman"/>
          <w:i/>
          <w:sz w:val="21"/>
          <w:szCs w:val="21"/>
          <w:lang w:val="fr-FR"/>
        </w:rPr>
        <w:t>Centre Technique Industriel marocain de l’agro-alimentaire</w:t>
      </w:r>
      <w:r w:rsidR="00F67E92">
        <w:rPr>
          <w:rFonts w:ascii="Times New Roman" w:hAnsi="Times New Roman" w:cs="Times New Roman"/>
          <w:i/>
          <w:sz w:val="21"/>
          <w:szCs w:val="21"/>
          <w:lang w:val="fr-FR"/>
        </w:rPr>
        <w:t xml:space="preserve"> </w:t>
      </w:r>
      <w:r w:rsidR="00F67E92" w:rsidRPr="006207C8">
        <w:rPr>
          <w:rFonts w:ascii="Times New Roman" w:hAnsi="Times New Roman" w:cs="Times New Roman"/>
          <w:sz w:val="21"/>
          <w:szCs w:val="21"/>
          <w:lang w:val="fr-FR"/>
        </w:rPr>
        <w:t>(Moroccan Technical and Industrial Center for the Agri-Food Sector)</w:t>
      </w:r>
    </w:p>
    <w:p w14:paraId="246D8642" w14:textId="0A0AFA59" w:rsidR="00807B78" w:rsidRPr="0033395F" w:rsidRDefault="004D563E" w:rsidP="00807B78">
      <w:pPr>
        <w:pStyle w:val="NoSpacing"/>
        <w:ind w:left="360"/>
        <w:rPr>
          <w:rFonts w:ascii="Times New Roman" w:hAnsi="Times New Roman" w:cs="Times New Roman"/>
          <w:sz w:val="21"/>
          <w:szCs w:val="21"/>
          <w:lang w:val="fr-FR"/>
        </w:rPr>
      </w:pPr>
      <w:r>
        <w:rPr>
          <w:rFonts w:ascii="Times New Roman" w:hAnsi="Times New Roman" w:cs="Times New Roman"/>
          <w:sz w:val="21"/>
          <w:szCs w:val="21"/>
          <w:lang w:val="fr-FR"/>
        </w:rPr>
        <w:t>CIA</w:t>
      </w:r>
      <w:r w:rsidR="00807B78" w:rsidRPr="004D563E">
        <w:rPr>
          <w:rFonts w:ascii="Times New Roman" w:hAnsi="Times New Roman" w:cs="Times New Roman"/>
          <w:sz w:val="21"/>
          <w:szCs w:val="21"/>
          <w:lang w:val="fr-FR"/>
        </w:rPr>
        <w:tab/>
      </w:r>
      <w:r w:rsidR="00807B78" w:rsidRPr="004D563E">
        <w:rPr>
          <w:rFonts w:ascii="Times New Roman" w:hAnsi="Times New Roman" w:cs="Times New Roman"/>
          <w:sz w:val="21"/>
          <w:szCs w:val="21"/>
          <w:lang w:val="fr-FR"/>
        </w:rPr>
        <w:tab/>
      </w:r>
      <w:r w:rsidR="00807B78" w:rsidRPr="0033395F">
        <w:rPr>
          <w:rFonts w:ascii="Times New Roman" w:hAnsi="Times New Roman" w:cs="Times New Roman"/>
          <w:i/>
          <w:sz w:val="21"/>
          <w:szCs w:val="21"/>
          <w:lang w:val="fr-FR"/>
        </w:rPr>
        <w:t>Centre d’Innovation Agro-Alimentaire</w:t>
      </w:r>
      <w:r w:rsidR="0033395F">
        <w:rPr>
          <w:rFonts w:ascii="Times New Roman" w:hAnsi="Times New Roman" w:cs="Times New Roman"/>
          <w:i/>
          <w:sz w:val="21"/>
          <w:szCs w:val="21"/>
          <w:lang w:val="fr-FR"/>
        </w:rPr>
        <w:t xml:space="preserve"> </w:t>
      </w:r>
      <w:r w:rsidR="0033395F">
        <w:rPr>
          <w:rFonts w:ascii="Times New Roman" w:hAnsi="Times New Roman" w:cs="Times New Roman"/>
          <w:sz w:val="21"/>
          <w:szCs w:val="21"/>
          <w:lang w:val="fr-FR"/>
        </w:rPr>
        <w:t>(Agri-F</w:t>
      </w:r>
      <w:r w:rsidR="0033395F" w:rsidRPr="0033395F">
        <w:rPr>
          <w:rFonts w:ascii="Times New Roman" w:hAnsi="Times New Roman" w:cs="Times New Roman"/>
          <w:sz w:val="21"/>
          <w:szCs w:val="21"/>
          <w:lang w:val="fr-FR"/>
        </w:rPr>
        <w:t>ood Innovation Center)</w:t>
      </w:r>
    </w:p>
    <w:p w14:paraId="18C444DB" w14:textId="3AD07C1C" w:rsidR="00807B78" w:rsidRPr="006207C8" w:rsidRDefault="00807B78" w:rsidP="00F67E92">
      <w:pPr>
        <w:pStyle w:val="NoSpacing"/>
        <w:ind w:left="2160" w:hanging="1800"/>
        <w:rPr>
          <w:rFonts w:ascii="Times New Roman" w:hAnsi="Times New Roman" w:cs="Times New Roman"/>
          <w:sz w:val="21"/>
          <w:szCs w:val="21"/>
          <w:lang w:val="fr-FR"/>
        </w:rPr>
      </w:pPr>
      <w:r w:rsidRPr="004D563E">
        <w:rPr>
          <w:rFonts w:ascii="Times New Roman" w:hAnsi="Times New Roman" w:cs="Times New Roman"/>
          <w:sz w:val="21"/>
          <w:szCs w:val="21"/>
          <w:lang w:val="fr-FR"/>
        </w:rPr>
        <w:t>CNCP</w:t>
      </w:r>
      <w:r w:rsidRPr="004D563E">
        <w:rPr>
          <w:rFonts w:ascii="Times New Roman" w:hAnsi="Times New Roman" w:cs="Times New Roman"/>
          <w:sz w:val="21"/>
          <w:szCs w:val="21"/>
          <w:lang w:val="fr-FR"/>
        </w:rPr>
        <w:tab/>
      </w:r>
      <w:r w:rsidRPr="0033395F">
        <w:rPr>
          <w:rFonts w:ascii="Times New Roman" w:hAnsi="Times New Roman" w:cs="Times New Roman"/>
          <w:i/>
          <w:sz w:val="21"/>
          <w:szCs w:val="21"/>
          <w:lang w:val="fr-FR"/>
        </w:rPr>
        <w:t>Commission Nationale de la Commande Publique</w:t>
      </w:r>
      <w:r w:rsidR="00F67E92">
        <w:rPr>
          <w:rFonts w:ascii="Times New Roman" w:hAnsi="Times New Roman" w:cs="Times New Roman"/>
          <w:i/>
          <w:sz w:val="21"/>
          <w:szCs w:val="21"/>
          <w:lang w:val="fr-FR"/>
        </w:rPr>
        <w:t xml:space="preserve"> </w:t>
      </w:r>
      <w:r w:rsidR="00F67E92" w:rsidRPr="006207C8">
        <w:rPr>
          <w:rFonts w:ascii="Times New Roman" w:hAnsi="Times New Roman" w:cs="Times New Roman"/>
          <w:sz w:val="21"/>
          <w:szCs w:val="21"/>
          <w:lang w:val="fr-FR"/>
        </w:rPr>
        <w:t>(National Commission for Public Procurement)</w:t>
      </w:r>
    </w:p>
    <w:p w14:paraId="3C9245D9" w14:textId="0E138D0E" w:rsidR="00807B78" w:rsidRPr="006207C8" w:rsidRDefault="004D563E" w:rsidP="00807B78">
      <w:pPr>
        <w:pStyle w:val="NoSpacing"/>
        <w:ind w:left="360"/>
        <w:rPr>
          <w:rFonts w:ascii="Times New Roman" w:hAnsi="Times New Roman" w:cs="Times New Roman"/>
          <w:sz w:val="21"/>
          <w:szCs w:val="21"/>
        </w:rPr>
      </w:pPr>
      <w:r>
        <w:rPr>
          <w:rFonts w:ascii="Times New Roman" w:hAnsi="Times New Roman" w:cs="Times New Roman"/>
          <w:sz w:val="21"/>
          <w:szCs w:val="21"/>
        </w:rPr>
        <w:t>CP</w:t>
      </w: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ab/>
      </w:r>
      <w:r w:rsidRPr="0033395F">
        <w:rPr>
          <w:rFonts w:ascii="Times New Roman" w:hAnsi="Times New Roman" w:cs="Times New Roman"/>
          <w:i/>
          <w:sz w:val="21"/>
          <w:szCs w:val="21"/>
        </w:rPr>
        <w:t>Contrat-Programme</w:t>
      </w:r>
      <w:r w:rsidR="00F67E92">
        <w:rPr>
          <w:rFonts w:ascii="Times New Roman" w:hAnsi="Times New Roman" w:cs="Times New Roman"/>
          <w:i/>
          <w:sz w:val="21"/>
          <w:szCs w:val="21"/>
        </w:rPr>
        <w:t xml:space="preserve"> </w:t>
      </w:r>
      <w:r w:rsidR="00F67E92" w:rsidRPr="006207C8">
        <w:rPr>
          <w:rFonts w:ascii="Times New Roman" w:hAnsi="Times New Roman" w:cs="Times New Roman"/>
          <w:sz w:val="21"/>
          <w:szCs w:val="21"/>
        </w:rPr>
        <w:t>(Results-based Contractual Programs)</w:t>
      </w:r>
    </w:p>
    <w:p w14:paraId="528E69D3" w14:textId="0EE15B01" w:rsidR="00807B78" w:rsidRPr="00BC7BB5" w:rsidRDefault="00807B78" w:rsidP="00807B78">
      <w:pPr>
        <w:pStyle w:val="NoSpacing"/>
        <w:ind w:left="360"/>
        <w:rPr>
          <w:rFonts w:ascii="Times New Roman" w:hAnsi="Times New Roman" w:cs="Times New Roman"/>
          <w:sz w:val="21"/>
          <w:szCs w:val="21"/>
        </w:rPr>
      </w:pPr>
      <w:r w:rsidRPr="00BC7BB5">
        <w:rPr>
          <w:rFonts w:ascii="Times New Roman" w:hAnsi="Times New Roman" w:cs="Times New Roman"/>
          <w:sz w:val="21"/>
          <w:szCs w:val="21"/>
        </w:rPr>
        <w:t>CPS</w:t>
      </w:r>
      <w:r w:rsidRPr="00BC7BB5">
        <w:rPr>
          <w:rFonts w:ascii="Times New Roman" w:hAnsi="Times New Roman" w:cs="Times New Roman"/>
          <w:sz w:val="21"/>
          <w:szCs w:val="21"/>
        </w:rPr>
        <w:tab/>
      </w:r>
      <w:r w:rsidRPr="00BC7BB5">
        <w:rPr>
          <w:rFonts w:ascii="Times New Roman" w:hAnsi="Times New Roman" w:cs="Times New Roman"/>
          <w:sz w:val="21"/>
          <w:szCs w:val="21"/>
        </w:rPr>
        <w:tab/>
        <w:t>Country Partnership Strategy</w:t>
      </w:r>
    </w:p>
    <w:p w14:paraId="3C7EB53F" w14:textId="7A9FDA7B" w:rsidR="00807B78" w:rsidRPr="00FA3400" w:rsidRDefault="00807B78" w:rsidP="00807B78">
      <w:pPr>
        <w:pStyle w:val="NoSpacing"/>
        <w:ind w:left="360"/>
        <w:rPr>
          <w:rFonts w:ascii="Times New Roman" w:hAnsi="Times New Roman" w:cs="Times New Roman"/>
          <w:sz w:val="21"/>
          <w:szCs w:val="21"/>
        </w:rPr>
      </w:pPr>
      <w:r w:rsidRPr="00FA3400">
        <w:rPr>
          <w:rFonts w:ascii="Times New Roman" w:hAnsi="Times New Roman" w:cs="Times New Roman"/>
          <w:sz w:val="21"/>
          <w:szCs w:val="21"/>
        </w:rPr>
        <w:t>CTT</w:t>
      </w:r>
      <w:r w:rsidRPr="00FA3400">
        <w:rPr>
          <w:rFonts w:ascii="Times New Roman" w:hAnsi="Times New Roman" w:cs="Times New Roman"/>
          <w:sz w:val="21"/>
          <w:szCs w:val="21"/>
        </w:rPr>
        <w:tab/>
      </w:r>
      <w:r w:rsidRPr="00FA3400">
        <w:rPr>
          <w:rFonts w:ascii="Times New Roman" w:hAnsi="Times New Roman" w:cs="Times New Roman"/>
          <w:sz w:val="21"/>
          <w:szCs w:val="21"/>
        </w:rPr>
        <w:tab/>
      </w:r>
      <w:r w:rsidRPr="00FA3400">
        <w:rPr>
          <w:rFonts w:ascii="Times New Roman" w:hAnsi="Times New Roman" w:cs="Times New Roman"/>
          <w:i/>
          <w:sz w:val="21"/>
          <w:szCs w:val="21"/>
        </w:rPr>
        <w:t>Centre de Transfert &amp; Technologie</w:t>
      </w:r>
      <w:r w:rsidR="00F67E92" w:rsidRPr="00FA3400">
        <w:rPr>
          <w:rFonts w:ascii="Times New Roman" w:hAnsi="Times New Roman" w:cs="Times New Roman"/>
          <w:i/>
          <w:sz w:val="21"/>
          <w:szCs w:val="21"/>
        </w:rPr>
        <w:t xml:space="preserve"> </w:t>
      </w:r>
      <w:r w:rsidR="00F67E92" w:rsidRPr="00FA3400">
        <w:rPr>
          <w:rFonts w:ascii="Times New Roman" w:hAnsi="Times New Roman" w:cs="Times New Roman"/>
          <w:sz w:val="21"/>
          <w:szCs w:val="21"/>
        </w:rPr>
        <w:t>(Center for Technology Transfer)</w:t>
      </w:r>
    </w:p>
    <w:p w14:paraId="63FBF372" w14:textId="09C38590" w:rsidR="00807B78" w:rsidRPr="006207C8" w:rsidRDefault="00807B78" w:rsidP="006207C8">
      <w:pPr>
        <w:pStyle w:val="NoSpacing"/>
        <w:ind w:left="2160" w:hanging="1800"/>
        <w:rPr>
          <w:rFonts w:ascii="Times New Roman" w:hAnsi="Times New Roman" w:cs="Times New Roman"/>
          <w:sz w:val="21"/>
          <w:szCs w:val="21"/>
          <w:lang w:val="fr-FR"/>
        </w:rPr>
      </w:pPr>
      <w:r w:rsidRPr="004D563E">
        <w:rPr>
          <w:rFonts w:ascii="Times New Roman" w:hAnsi="Times New Roman" w:cs="Times New Roman"/>
          <w:sz w:val="21"/>
          <w:szCs w:val="21"/>
          <w:lang w:val="fr-FR"/>
        </w:rPr>
        <w:t>DDFP</w:t>
      </w:r>
      <w:r w:rsidRPr="004D563E">
        <w:rPr>
          <w:rFonts w:ascii="Times New Roman" w:hAnsi="Times New Roman" w:cs="Times New Roman"/>
          <w:sz w:val="21"/>
          <w:szCs w:val="21"/>
          <w:lang w:val="fr-FR"/>
        </w:rPr>
        <w:tab/>
      </w:r>
      <w:r w:rsidRPr="0033395F">
        <w:rPr>
          <w:rFonts w:ascii="Times New Roman" w:hAnsi="Times New Roman" w:cs="Times New Roman"/>
          <w:i/>
          <w:sz w:val="21"/>
          <w:szCs w:val="21"/>
          <w:lang w:val="fr-FR"/>
        </w:rPr>
        <w:t>Direction du Développement des Filières de Production</w:t>
      </w:r>
      <w:r w:rsidR="00F67E92">
        <w:rPr>
          <w:rFonts w:ascii="Times New Roman" w:hAnsi="Times New Roman" w:cs="Times New Roman"/>
          <w:i/>
          <w:sz w:val="21"/>
          <w:szCs w:val="21"/>
          <w:lang w:val="fr-FR"/>
        </w:rPr>
        <w:t xml:space="preserve"> </w:t>
      </w:r>
      <w:r w:rsidR="00F67E92" w:rsidRPr="006207C8">
        <w:rPr>
          <w:rFonts w:ascii="Times New Roman" w:hAnsi="Times New Roman" w:cs="Times New Roman"/>
          <w:sz w:val="21"/>
          <w:szCs w:val="21"/>
          <w:lang w:val="fr-FR"/>
        </w:rPr>
        <w:t>(Directorate for the Development of Value Chains)</w:t>
      </w:r>
    </w:p>
    <w:p w14:paraId="53B75A25" w14:textId="2CE7AB72" w:rsidR="00807B78" w:rsidRPr="006207C8" w:rsidRDefault="0095319E" w:rsidP="006207C8">
      <w:pPr>
        <w:pStyle w:val="NoSpacing"/>
        <w:ind w:left="2160" w:hanging="1800"/>
        <w:rPr>
          <w:rFonts w:ascii="Times New Roman" w:hAnsi="Times New Roman" w:cs="Times New Roman"/>
          <w:sz w:val="21"/>
          <w:szCs w:val="21"/>
          <w:lang w:val="fr-FR"/>
        </w:rPr>
      </w:pPr>
      <w:r w:rsidRPr="0033395F">
        <w:rPr>
          <w:rFonts w:ascii="Times New Roman" w:hAnsi="Times New Roman" w:cs="Times New Roman"/>
          <w:sz w:val="21"/>
          <w:szCs w:val="21"/>
          <w:lang w:val="fr-FR"/>
        </w:rPr>
        <w:t>DEFR</w:t>
      </w:r>
      <w:r w:rsidRPr="0033395F">
        <w:rPr>
          <w:rFonts w:ascii="Times New Roman" w:hAnsi="Times New Roman" w:cs="Times New Roman"/>
          <w:i/>
          <w:sz w:val="21"/>
          <w:szCs w:val="21"/>
          <w:lang w:val="fr-FR"/>
        </w:rPr>
        <w:tab/>
        <w:t>Direction de</w:t>
      </w:r>
      <w:r w:rsidR="00807B78" w:rsidRPr="0033395F">
        <w:rPr>
          <w:rFonts w:ascii="Times New Roman" w:hAnsi="Times New Roman" w:cs="Times New Roman"/>
          <w:i/>
          <w:sz w:val="21"/>
          <w:szCs w:val="21"/>
          <w:lang w:val="fr-FR"/>
        </w:rPr>
        <w:t xml:space="preserve"> </w:t>
      </w:r>
      <w:r w:rsidRPr="0033395F">
        <w:rPr>
          <w:rFonts w:ascii="Times New Roman" w:hAnsi="Times New Roman" w:cs="Times New Roman"/>
          <w:i/>
          <w:sz w:val="21"/>
          <w:szCs w:val="21"/>
          <w:lang w:val="fr-FR"/>
        </w:rPr>
        <w:t>l’</w:t>
      </w:r>
      <w:r w:rsidR="00AC1BC2" w:rsidRPr="0033395F">
        <w:rPr>
          <w:rFonts w:ascii="Times New Roman" w:hAnsi="Times New Roman" w:cs="Times New Roman"/>
          <w:i/>
          <w:sz w:val="21"/>
          <w:szCs w:val="21"/>
          <w:lang w:val="fr-FR"/>
        </w:rPr>
        <w:t>Enseignement</w:t>
      </w:r>
      <w:r w:rsidR="00807B78" w:rsidRPr="0033395F">
        <w:rPr>
          <w:rFonts w:ascii="Times New Roman" w:hAnsi="Times New Roman" w:cs="Times New Roman"/>
          <w:i/>
          <w:sz w:val="21"/>
          <w:szCs w:val="21"/>
          <w:lang w:val="fr-FR"/>
        </w:rPr>
        <w:t xml:space="preserve">, </w:t>
      </w:r>
      <w:r w:rsidRPr="0033395F">
        <w:rPr>
          <w:rFonts w:ascii="Times New Roman" w:hAnsi="Times New Roman" w:cs="Times New Roman"/>
          <w:i/>
          <w:sz w:val="21"/>
          <w:szCs w:val="21"/>
          <w:lang w:val="fr-FR"/>
        </w:rPr>
        <w:t>de la Formation et de la Recherche</w:t>
      </w:r>
      <w:r w:rsidR="00F67E92">
        <w:rPr>
          <w:rFonts w:ascii="Times New Roman" w:hAnsi="Times New Roman" w:cs="Times New Roman"/>
          <w:i/>
          <w:sz w:val="21"/>
          <w:szCs w:val="21"/>
          <w:lang w:val="fr-FR"/>
        </w:rPr>
        <w:t xml:space="preserve"> </w:t>
      </w:r>
      <w:r w:rsidR="00F67E92" w:rsidRPr="006207C8">
        <w:rPr>
          <w:rFonts w:ascii="Times New Roman" w:hAnsi="Times New Roman" w:cs="Times New Roman"/>
          <w:sz w:val="21"/>
          <w:szCs w:val="21"/>
          <w:lang w:val="fr-FR"/>
        </w:rPr>
        <w:t>(Directorate for Education, Training and Research)</w:t>
      </w:r>
    </w:p>
    <w:p w14:paraId="68FB4489" w14:textId="4EA90EDA" w:rsidR="00807B78" w:rsidRPr="006207C8" w:rsidRDefault="00807B78" w:rsidP="006207C8">
      <w:pPr>
        <w:pStyle w:val="NoSpacing"/>
        <w:ind w:left="2160" w:hanging="1800"/>
        <w:rPr>
          <w:rFonts w:ascii="Times New Roman" w:hAnsi="Times New Roman" w:cs="Times New Roman"/>
          <w:sz w:val="21"/>
          <w:szCs w:val="21"/>
          <w:lang w:val="fr-FR"/>
        </w:rPr>
      </w:pPr>
      <w:r w:rsidRPr="0033395F">
        <w:rPr>
          <w:rFonts w:ascii="Times New Roman" w:hAnsi="Times New Roman" w:cs="Times New Roman"/>
          <w:sz w:val="21"/>
          <w:szCs w:val="21"/>
          <w:lang w:val="fr-FR"/>
        </w:rPr>
        <w:t>DERS</w:t>
      </w:r>
      <w:r w:rsidRPr="0033395F">
        <w:rPr>
          <w:rFonts w:ascii="Times New Roman" w:hAnsi="Times New Roman" w:cs="Times New Roman"/>
          <w:i/>
          <w:sz w:val="21"/>
          <w:szCs w:val="21"/>
          <w:lang w:val="fr-FR"/>
        </w:rPr>
        <w:tab/>
        <w:t>Division de l’Evaluation des Risques Sanitaires</w:t>
      </w:r>
      <w:r w:rsidR="00F67E92">
        <w:rPr>
          <w:rFonts w:ascii="Times New Roman" w:hAnsi="Times New Roman" w:cs="Times New Roman"/>
          <w:i/>
          <w:sz w:val="21"/>
          <w:szCs w:val="21"/>
          <w:lang w:val="fr-FR"/>
        </w:rPr>
        <w:t xml:space="preserve"> </w:t>
      </w:r>
      <w:r w:rsidR="00F67E92" w:rsidRPr="006207C8">
        <w:rPr>
          <w:rFonts w:ascii="Times New Roman" w:hAnsi="Times New Roman" w:cs="Times New Roman"/>
          <w:sz w:val="21"/>
          <w:szCs w:val="21"/>
          <w:lang w:val="fr-FR"/>
        </w:rPr>
        <w:t>(Division of Sanitary Risks Assessment)</w:t>
      </w:r>
    </w:p>
    <w:p w14:paraId="0A812400" w14:textId="0874DA47" w:rsidR="00807B78" w:rsidRPr="006207C8" w:rsidRDefault="00AC1BC2" w:rsidP="00807B78">
      <w:pPr>
        <w:pStyle w:val="NoSpacing"/>
        <w:ind w:left="360"/>
        <w:rPr>
          <w:rFonts w:ascii="Times New Roman" w:hAnsi="Times New Roman" w:cs="Times New Roman"/>
          <w:sz w:val="21"/>
          <w:szCs w:val="21"/>
          <w:lang w:val="fr-FR"/>
        </w:rPr>
      </w:pPr>
      <w:r w:rsidRPr="0033395F">
        <w:rPr>
          <w:rFonts w:ascii="Times New Roman" w:hAnsi="Times New Roman" w:cs="Times New Roman"/>
          <w:sz w:val="21"/>
          <w:szCs w:val="21"/>
          <w:lang w:val="fr-FR"/>
        </w:rPr>
        <w:t>DF</w:t>
      </w:r>
      <w:r w:rsidRPr="0033395F">
        <w:rPr>
          <w:rFonts w:ascii="Times New Roman" w:hAnsi="Times New Roman" w:cs="Times New Roman"/>
          <w:i/>
          <w:sz w:val="21"/>
          <w:szCs w:val="21"/>
          <w:lang w:val="fr-FR"/>
        </w:rPr>
        <w:tab/>
      </w:r>
      <w:r w:rsidRPr="0033395F">
        <w:rPr>
          <w:rFonts w:ascii="Times New Roman" w:hAnsi="Times New Roman" w:cs="Times New Roman"/>
          <w:i/>
          <w:sz w:val="21"/>
          <w:szCs w:val="21"/>
          <w:lang w:val="fr-FR"/>
        </w:rPr>
        <w:tab/>
      </w:r>
      <w:r w:rsidRPr="0033395F">
        <w:rPr>
          <w:rFonts w:ascii="Times New Roman" w:hAnsi="Times New Roman" w:cs="Times New Roman"/>
          <w:i/>
          <w:sz w:val="21"/>
          <w:szCs w:val="21"/>
          <w:lang w:val="fr-FR"/>
        </w:rPr>
        <w:tab/>
        <w:t>Direction</w:t>
      </w:r>
      <w:r w:rsidR="0095319E" w:rsidRPr="0033395F">
        <w:rPr>
          <w:rFonts w:ascii="Times New Roman" w:hAnsi="Times New Roman" w:cs="Times New Roman"/>
          <w:i/>
          <w:sz w:val="21"/>
          <w:szCs w:val="21"/>
          <w:lang w:val="fr-FR"/>
        </w:rPr>
        <w:t xml:space="preserve"> Financ</w:t>
      </w:r>
      <w:r w:rsidRPr="0033395F">
        <w:rPr>
          <w:rFonts w:ascii="Times New Roman" w:hAnsi="Times New Roman" w:cs="Times New Roman"/>
          <w:i/>
          <w:sz w:val="21"/>
          <w:szCs w:val="21"/>
          <w:lang w:val="fr-FR"/>
        </w:rPr>
        <w:t>ière</w:t>
      </w:r>
      <w:r w:rsidR="006207C8">
        <w:rPr>
          <w:rFonts w:ascii="Times New Roman" w:hAnsi="Times New Roman" w:cs="Times New Roman"/>
          <w:i/>
          <w:sz w:val="21"/>
          <w:szCs w:val="21"/>
          <w:lang w:val="fr-FR"/>
        </w:rPr>
        <w:t xml:space="preserve"> </w:t>
      </w:r>
      <w:r w:rsidR="006207C8" w:rsidRPr="006207C8">
        <w:rPr>
          <w:rFonts w:ascii="Times New Roman" w:hAnsi="Times New Roman" w:cs="Times New Roman"/>
          <w:sz w:val="21"/>
          <w:szCs w:val="21"/>
          <w:lang w:val="fr-FR"/>
        </w:rPr>
        <w:t>(Directorate of Finances)</w:t>
      </w:r>
    </w:p>
    <w:p w14:paraId="42561B5E" w14:textId="25537A47" w:rsidR="00807B78" w:rsidRPr="005D0D0A" w:rsidRDefault="00807B78" w:rsidP="00807B78">
      <w:pPr>
        <w:pStyle w:val="NoSpacing"/>
        <w:ind w:left="360"/>
        <w:rPr>
          <w:rFonts w:ascii="Times New Roman" w:hAnsi="Times New Roman" w:cs="Times New Roman"/>
          <w:sz w:val="21"/>
          <w:szCs w:val="21"/>
          <w:lang w:val="fr-FR"/>
        </w:rPr>
      </w:pPr>
      <w:r w:rsidRPr="005D0D0A">
        <w:rPr>
          <w:rFonts w:ascii="Times New Roman" w:hAnsi="Times New Roman" w:cs="Times New Roman"/>
          <w:sz w:val="21"/>
          <w:szCs w:val="21"/>
          <w:lang w:val="fr-FR"/>
        </w:rPr>
        <w:t>DLI</w:t>
      </w:r>
      <w:r w:rsidRPr="005D0D0A">
        <w:rPr>
          <w:rFonts w:ascii="Times New Roman" w:hAnsi="Times New Roman" w:cs="Times New Roman"/>
          <w:sz w:val="21"/>
          <w:szCs w:val="21"/>
          <w:lang w:val="fr-FR"/>
        </w:rPr>
        <w:tab/>
      </w:r>
      <w:r w:rsidRPr="005D0D0A">
        <w:rPr>
          <w:rFonts w:ascii="Times New Roman" w:hAnsi="Times New Roman" w:cs="Times New Roman"/>
          <w:sz w:val="21"/>
          <w:szCs w:val="21"/>
          <w:lang w:val="fr-FR"/>
        </w:rPr>
        <w:tab/>
      </w:r>
      <w:r w:rsidR="00CA2C03" w:rsidRPr="005D0D0A">
        <w:rPr>
          <w:rFonts w:ascii="Times New Roman" w:hAnsi="Times New Roman" w:cs="Times New Roman"/>
          <w:sz w:val="21"/>
          <w:szCs w:val="21"/>
          <w:lang w:val="fr-FR"/>
        </w:rPr>
        <w:tab/>
      </w:r>
      <w:r w:rsidRPr="005D0D0A">
        <w:rPr>
          <w:rFonts w:ascii="Times New Roman" w:hAnsi="Times New Roman" w:cs="Times New Roman"/>
          <w:sz w:val="21"/>
          <w:szCs w:val="21"/>
          <w:lang w:val="fr-FR"/>
        </w:rPr>
        <w:t>Disbursement Linked Indicator</w:t>
      </w:r>
    </w:p>
    <w:p w14:paraId="7C64AE93" w14:textId="41C90A09" w:rsidR="00807B78" w:rsidRPr="005D0D0A" w:rsidRDefault="00807B78" w:rsidP="00807B78">
      <w:pPr>
        <w:pStyle w:val="NoSpacing"/>
        <w:ind w:left="360"/>
        <w:rPr>
          <w:rFonts w:ascii="Times New Roman" w:hAnsi="Times New Roman" w:cs="Times New Roman"/>
          <w:sz w:val="21"/>
          <w:szCs w:val="21"/>
          <w:lang w:val="fr-FR"/>
        </w:rPr>
      </w:pPr>
      <w:r w:rsidRPr="005D0D0A">
        <w:rPr>
          <w:rFonts w:ascii="Times New Roman" w:hAnsi="Times New Roman" w:cs="Times New Roman"/>
          <w:sz w:val="21"/>
          <w:szCs w:val="21"/>
          <w:lang w:val="fr-FR"/>
        </w:rPr>
        <w:t>DPA</w:t>
      </w:r>
      <w:r w:rsidRPr="005D0D0A">
        <w:rPr>
          <w:rFonts w:ascii="Times New Roman" w:hAnsi="Times New Roman" w:cs="Times New Roman"/>
          <w:sz w:val="21"/>
          <w:szCs w:val="21"/>
          <w:lang w:val="fr-FR"/>
        </w:rPr>
        <w:tab/>
      </w:r>
      <w:r w:rsidRPr="005D0D0A">
        <w:rPr>
          <w:rFonts w:ascii="Times New Roman" w:hAnsi="Times New Roman" w:cs="Times New Roman"/>
          <w:sz w:val="21"/>
          <w:szCs w:val="21"/>
          <w:lang w:val="fr-FR"/>
        </w:rPr>
        <w:tab/>
      </w:r>
      <w:r w:rsidRPr="006207C8">
        <w:rPr>
          <w:rFonts w:ascii="Times New Roman" w:hAnsi="Times New Roman" w:cs="Times New Roman"/>
          <w:i/>
          <w:sz w:val="21"/>
          <w:szCs w:val="21"/>
          <w:lang w:val="fr-FR"/>
        </w:rPr>
        <w:t>Direct</w:t>
      </w:r>
      <w:r w:rsidR="003D7A69" w:rsidRPr="006207C8">
        <w:rPr>
          <w:rFonts w:ascii="Times New Roman" w:hAnsi="Times New Roman" w:cs="Times New Roman"/>
          <w:i/>
          <w:sz w:val="21"/>
          <w:szCs w:val="21"/>
          <w:lang w:val="fr-FR"/>
        </w:rPr>
        <w:t>ion Provinciale de l’Agriculture</w:t>
      </w:r>
      <w:r w:rsidR="006207C8">
        <w:rPr>
          <w:rFonts w:ascii="Times New Roman" w:hAnsi="Times New Roman" w:cs="Times New Roman"/>
          <w:i/>
          <w:sz w:val="21"/>
          <w:szCs w:val="21"/>
          <w:lang w:val="fr-FR"/>
        </w:rPr>
        <w:t xml:space="preserve"> </w:t>
      </w:r>
      <w:r w:rsidR="006207C8" w:rsidRPr="006207C8">
        <w:rPr>
          <w:rFonts w:ascii="Times New Roman" w:hAnsi="Times New Roman" w:cs="Times New Roman"/>
          <w:sz w:val="21"/>
          <w:szCs w:val="21"/>
          <w:lang w:val="fr-FR"/>
        </w:rPr>
        <w:t>(Provincial Directorate of Agriculture)</w:t>
      </w:r>
    </w:p>
    <w:p w14:paraId="3D8A3DE8" w14:textId="2CE8A7FD" w:rsidR="00807B78" w:rsidRPr="005D0D0A" w:rsidRDefault="00807B78" w:rsidP="00807B78">
      <w:pPr>
        <w:pStyle w:val="NoSpacing"/>
        <w:ind w:left="360"/>
        <w:rPr>
          <w:rFonts w:ascii="Times New Roman" w:hAnsi="Times New Roman" w:cs="Times New Roman"/>
          <w:sz w:val="21"/>
          <w:szCs w:val="21"/>
          <w:lang w:val="fr-FR"/>
        </w:rPr>
      </w:pPr>
      <w:r w:rsidRPr="005D0D0A">
        <w:rPr>
          <w:rFonts w:ascii="Times New Roman" w:hAnsi="Times New Roman" w:cs="Times New Roman"/>
          <w:sz w:val="21"/>
          <w:szCs w:val="21"/>
          <w:lang w:val="fr-FR"/>
        </w:rPr>
        <w:t>DPL</w:t>
      </w:r>
      <w:r w:rsidRPr="005D0D0A">
        <w:rPr>
          <w:rFonts w:ascii="Times New Roman" w:hAnsi="Times New Roman" w:cs="Times New Roman"/>
          <w:sz w:val="21"/>
          <w:szCs w:val="21"/>
          <w:lang w:val="fr-FR"/>
        </w:rPr>
        <w:tab/>
      </w:r>
      <w:r w:rsidRPr="005D0D0A">
        <w:rPr>
          <w:rFonts w:ascii="Times New Roman" w:hAnsi="Times New Roman" w:cs="Times New Roman"/>
          <w:sz w:val="21"/>
          <w:szCs w:val="21"/>
          <w:lang w:val="fr-FR"/>
        </w:rPr>
        <w:tab/>
        <w:t>Development Policy Loan</w:t>
      </w:r>
    </w:p>
    <w:p w14:paraId="7B75B489" w14:textId="4713BDA9" w:rsidR="00807B78" w:rsidRPr="006207C8" w:rsidRDefault="003D7A69" w:rsidP="00807B78">
      <w:pPr>
        <w:pStyle w:val="NoSpacing"/>
        <w:ind w:left="360"/>
        <w:rPr>
          <w:rFonts w:ascii="Times New Roman" w:hAnsi="Times New Roman" w:cs="Times New Roman"/>
          <w:sz w:val="21"/>
          <w:szCs w:val="21"/>
          <w:lang w:val="fr-FR"/>
        </w:rPr>
      </w:pPr>
      <w:r w:rsidRPr="00F93402">
        <w:rPr>
          <w:rFonts w:ascii="Times New Roman" w:hAnsi="Times New Roman" w:cs="Times New Roman"/>
          <w:sz w:val="21"/>
          <w:szCs w:val="21"/>
          <w:lang w:val="fr-FR"/>
        </w:rPr>
        <w:t>DRA</w:t>
      </w:r>
      <w:r w:rsidRPr="00F93402">
        <w:rPr>
          <w:rFonts w:ascii="Times New Roman" w:hAnsi="Times New Roman" w:cs="Times New Roman"/>
          <w:sz w:val="21"/>
          <w:szCs w:val="21"/>
          <w:lang w:val="fr-FR"/>
        </w:rPr>
        <w:tab/>
      </w:r>
      <w:r w:rsidRPr="00F93402">
        <w:rPr>
          <w:rFonts w:ascii="Times New Roman" w:hAnsi="Times New Roman" w:cs="Times New Roman"/>
          <w:sz w:val="21"/>
          <w:szCs w:val="21"/>
          <w:lang w:val="fr-FR"/>
        </w:rPr>
        <w:tab/>
      </w:r>
      <w:r w:rsidRPr="0033395F">
        <w:rPr>
          <w:rFonts w:ascii="Times New Roman" w:hAnsi="Times New Roman" w:cs="Times New Roman"/>
          <w:i/>
          <w:sz w:val="21"/>
          <w:szCs w:val="21"/>
          <w:lang w:val="fr-FR"/>
        </w:rPr>
        <w:t>Direction</w:t>
      </w:r>
      <w:r w:rsidR="00AC1BC2" w:rsidRPr="0033395F">
        <w:rPr>
          <w:rFonts w:ascii="Times New Roman" w:hAnsi="Times New Roman" w:cs="Times New Roman"/>
          <w:i/>
          <w:sz w:val="21"/>
          <w:szCs w:val="21"/>
          <w:lang w:val="fr-FR"/>
        </w:rPr>
        <w:t>s</w:t>
      </w:r>
      <w:r w:rsidRPr="0033395F">
        <w:rPr>
          <w:rFonts w:ascii="Times New Roman" w:hAnsi="Times New Roman" w:cs="Times New Roman"/>
          <w:i/>
          <w:sz w:val="21"/>
          <w:szCs w:val="21"/>
          <w:lang w:val="fr-FR"/>
        </w:rPr>
        <w:t xml:space="preserve"> Régionale</w:t>
      </w:r>
      <w:r w:rsidR="00AC1BC2" w:rsidRPr="0033395F">
        <w:rPr>
          <w:rFonts w:ascii="Times New Roman" w:hAnsi="Times New Roman" w:cs="Times New Roman"/>
          <w:i/>
          <w:sz w:val="21"/>
          <w:szCs w:val="21"/>
          <w:lang w:val="fr-FR"/>
        </w:rPr>
        <w:t>s</w:t>
      </w:r>
      <w:r w:rsidRPr="0033395F">
        <w:rPr>
          <w:rFonts w:ascii="Times New Roman" w:hAnsi="Times New Roman" w:cs="Times New Roman"/>
          <w:i/>
          <w:sz w:val="21"/>
          <w:szCs w:val="21"/>
          <w:lang w:val="fr-FR"/>
        </w:rPr>
        <w:t xml:space="preserve"> de</w:t>
      </w:r>
      <w:r w:rsidR="00F93402" w:rsidRPr="0033395F">
        <w:rPr>
          <w:rFonts w:ascii="Times New Roman" w:hAnsi="Times New Roman" w:cs="Times New Roman"/>
          <w:i/>
          <w:sz w:val="21"/>
          <w:szCs w:val="21"/>
          <w:lang w:val="fr-FR"/>
        </w:rPr>
        <w:t xml:space="preserve"> </w:t>
      </w:r>
      <w:r w:rsidRPr="0033395F">
        <w:rPr>
          <w:rFonts w:ascii="Times New Roman" w:hAnsi="Times New Roman" w:cs="Times New Roman"/>
          <w:i/>
          <w:sz w:val="21"/>
          <w:szCs w:val="21"/>
          <w:lang w:val="fr-FR"/>
        </w:rPr>
        <w:t>l</w:t>
      </w:r>
      <w:r w:rsidR="00F93402" w:rsidRPr="0033395F">
        <w:rPr>
          <w:rFonts w:ascii="Times New Roman" w:hAnsi="Times New Roman" w:cs="Times New Roman"/>
          <w:i/>
          <w:sz w:val="21"/>
          <w:szCs w:val="21"/>
          <w:lang w:val="fr-FR"/>
        </w:rPr>
        <w:t>’</w:t>
      </w:r>
      <w:r w:rsidR="00807B78" w:rsidRPr="0033395F">
        <w:rPr>
          <w:rFonts w:ascii="Times New Roman" w:hAnsi="Times New Roman" w:cs="Times New Roman"/>
          <w:i/>
          <w:sz w:val="21"/>
          <w:szCs w:val="21"/>
          <w:lang w:val="fr-FR"/>
        </w:rPr>
        <w:t>Agriculture</w:t>
      </w:r>
      <w:r w:rsidR="006207C8">
        <w:rPr>
          <w:rFonts w:ascii="Times New Roman" w:hAnsi="Times New Roman" w:cs="Times New Roman"/>
          <w:i/>
          <w:sz w:val="21"/>
          <w:szCs w:val="21"/>
          <w:lang w:val="fr-FR"/>
        </w:rPr>
        <w:t xml:space="preserve"> </w:t>
      </w:r>
      <w:r w:rsidR="006207C8" w:rsidRPr="006207C8">
        <w:rPr>
          <w:rFonts w:ascii="Times New Roman" w:hAnsi="Times New Roman" w:cs="Times New Roman"/>
          <w:sz w:val="21"/>
          <w:szCs w:val="21"/>
          <w:lang w:val="fr-FR"/>
        </w:rPr>
        <w:t>(Regional Directorate of Agriculture)</w:t>
      </w:r>
    </w:p>
    <w:p w14:paraId="6D9BE201" w14:textId="732B7A84" w:rsidR="00807B78" w:rsidRPr="00F93402" w:rsidRDefault="00807B78" w:rsidP="00807B78">
      <w:pPr>
        <w:pStyle w:val="NoSpacing"/>
        <w:ind w:left="360"/>
        <w:rPr>
          <w:rFonts w:ascii="Times New Roman" w:hAnsi="Times New Roman" w:cs="Times New Roman"/>
          <w:sz w:val="21"/>
          <w:szCs w:val="21"/>
          <w:lang w:val="fr-FR"/>
        </w:rPr>
      </w:pPr>
      <w:r w:rsidRPr="00F93402">
        <w:rPr>
          <w:rFonts w:ascii="Times New Roman" w:hAnsi="Times New Roman" w:cs="Times New Roman"/>
          <w:sz w:val="21"/>
          <w:szCs w:val="21"/>
          <w:lang w:val="fr-FR"/>
        </w:rPr>
        <w:t>DSS</w:t>
      </w:r>
      <w:r w:rsidRPr="00F93402">
        <w:rPr>
          <w:rFonts w:ascii="Times New Roman" w:hAnsi="Times New Roman" w:cs="Times New Roman"/>
          <w:sz w:val="21"/>
          <w:szCs w:val="21"/>
          <w:lang w:val="fr-FR"/>
        </w:rPr>
        <w:tab/>
      </w:r>
      <w:r w:rsidRPr="00F93402">
        <w:rPr>
          <w:rFonts w:ascii="Times New Roman" w:hAnsi="Times New Roman" w:cs="Times New Roman"/>
          <w:sz w:val="21"/>
          <w:szCs w:val="21"/>
          <w:lang w:val="fr-FR"/>
        </w:rPr>
        <w:tab/>
      </w:r>
      <w:r w:rsidRPr="0033395F">
        <w:rPr>
          <w:rFonts w:ascii="Times New Roman" w:hAnsi="Times New Roman" w:cs="Times New Roman"/>
          <w:i/>
          <w:sz w:val="21"/>
          <w:szCs w:val="21"/>
          <w:lang w:val="fr-FR"/>
        </w:rPr>
        <w:t>Direct</w:t>
      </w:r>
      <w:r w:rsidR="00F93402" w:rsidRPr="0033395F">
        <w:rPr>
          <w:rFonts w:ascii="Times New Roman" w:hAnsi="Times New Roman" w:cs="Times New Roman"/>
          <w:i/>
          <w:sz w:val="21"/>
          <w:szCs w:val="21"/>
          <w:lang w:val="fr-FR"/>
        </w:rPr>
        <w:t>ion de la Stratégie et des Statistiques</w:t>
      </w:r>
      <w:r w:rsidR="006207C8">
        <w:rPr>
          <w:rFonts w:ascii="Times New Roman" w:hAnsi="Times New Roman" w:cs="Times New Roman"/>
          <w:i/>
          <w:sz w:val="21"/>
          <w:szCs w:val="21"/>
          <w:lang w:val="fr-FR"/>
        </w:rPr>
        <w:t xml:space="preserve"> </w:t>
      </w:r>
      <w:r w:rsidR="006207C8" w:rsidRPr="006207C8">
        <w:rPr>
          <w:rFonts w:ascii="Times New Roman" w:hAnsi="Times New Roman" w:cs="Times New Roman"/>
          <w:sz w:val="21"/>
          <w:szCs w:val="21"/>
          <w:lang w:val="fr-FR"/>
        </w:rPr>
        <w:t>(Directorate of Strategy and Statistics)</w:t>
      </w:r>
    </w:p>
    <w:p w14:paraId="5909686E" w14:textId="3629DABD" w:rsidR="005573DA" w:rsidRDefault="005573DA" w:rsidP="00807B78">
      <w:pPr>
        <w:pStyle w:val="NoSpacing"/>
        <w:ind w:left="360"/>
        <w:rPr>
          <w:rFonts w:ascii="Times New Roman" w:hAnsi="Times New Roman" w:cs="Times New Roman"/>
          <w:sz w:val="21"/>
          <w:szCs w:val="21"/>
        </w:rPr>
      </w:pPr>
      <w:r w:rsidRPr="005573DA">
        <w:rPr>
          <w:rFonts w:ascii="Times New Roman" w:hAnsi="Times New Roman" w:cs="Times New Roman"/>
          <w:sz w:val="21"/>
          <w:szCs w:val="21"/>
        </w:rPr>
        <w:t>EBA</w:t>
      </w:r>
      <w:r w:rsidRPr="005573DA">
        <w:rPr>
          <w:rFonts w:ascii="Times New Roman" w:hAnsi="Times New Roman" w:cs="Times New Roman"/>
          <w:sz w:val="21"/>
          <w:szCs w:val="21"/>
        </w:rPr>
        <w:tab/>
      </w:r>
      <w:r>
        <w:rPr>
          <w:rFonts w:ascii="Times New Roman" w:hAnsi="Times New Roman" w:cs="Times New Roman"/>
          <w:sz w:val="21"/>
          <w:szCs w:val="21"/>
        </w:rPr>
        <w:tab/>
      </w:r>
      <w:r w:rsidRPr="005573DA">
        <w:rPr>
          <w:rFonts w:ascii="Times New Roman" w:hAnsi="Times New Roman" w:cs="Times New Roman"/>
          <w:sz w:val="21"/>
          <w:szCs w:val="21"/>
        </w:rPr>
        <w:t>Enabling the Business of Agriculture</w:t>
      </w:r>
    </w:p>
    <w:p w14:paraId="103A327B" w14:textId="3949A345" w:rsidR="00807B78" w:rsidRPr="00BC7BB5" w:rsidRDefault="00807B78" w:rsidP="00807B78">
      <w:pPr>
        <w:pStyle w:val="NoSpacing"/>
        <w:ind w:left="360"/>
        <w:rPr>
          <w:rFonts w:ascii="Times New Roman" w:hAnsi="Times New Roman" w:cs="Times New Roman"/>
          <w:sz w:val="21"/>
          <w:szCs w:val="21"/>
        </w:rPr>
      </w:pPr>
      <w:r w:rsidRPr="00BC7BB5">
        <w:rPr>
          <w:rFonts w:ascii="Times New Roman" w:hAnsi="Times New Roman" w:cs="Times New Roman"/>
          <w:sz w:val="21"/>
          <w:szCs w:val="21"/>
        </w:rPr>
        <w:t>EBRD</w:t>
      </w:r>
      <w:r w:rsidRPr="00BC7BB5">
        <w:rPr>
          <w:rFonts w:ascii="Times New Roman" w:hAnsi="Times New Roman" w:cs="Times New Roman"/>
          <w:sz w:val="21"/>
          <w:szCs w:val="21"/>
        </w:rPr>
        <w:tab/>
      </w:r>
      <w:r w:rsidRPr="00BC7BB5">
        <w:rPr>
          <w:rFonts w:ascii="Times New Roman" w:hAnsi="Times New Roman" w:cs="Times New Roman"/>
          <w:sz w:val="21"/>
          <w:szCs w:val="21"/>
        </w:rPr>
        <w:tab/>
        <w:t>European Bank for Reconstruction and Development</w:t>
      </w:r>
    </w:p>
    <w:p w14:paraId="23AF64BD" w14:textId="77777777" w:rsidR="00807B78" w:rsidRPr="00FA3400" w:rsidRDefault="00807B78" w:rsidP="00807B78">
      <w:pPr>
        <w:pStyle w:val="NoSpacing"/>
        <w:ind w:left="360"/>
        <w:rPr>
          <w:rFonts w:ascii="Times New Roman" w:hAnsi="Times New Roman" w:cs="Times New Roman"/>
          <w:sz w:val="21"/>
          <w:szCs w:val="21"/>
        </w:rPr>
      </w:pPr>
      <w:r w:rsidRPr="00FA3400">
        <w:rPr>
          <w:rFonts w:ascii="Times New Roman" w:hAnsi="Times New Roman" w:cs="Times New Roman"/>
          <w:sz w:val="21"/>
          <w:szCs w:val="21"/>
        </w:rPr>
        <w:t>EC</w:t>
      </w:r>
      <w:r w:rsidRPr="00FA3400">
        <w:rPr>
          <w:rFonts w:ascii="Times New Roman" w:hAnsi="Times New Roman" w:cs="Times New Roman"/>
          <w:sz w:val="21"/>
          <w:szCs w:val="21"/>
        </w:rPr>
        <w:tab/>
      </w:r>
      <w:r w:rsidRPr="00FA3400">
        <w:rPr>
          <w:rFonts w:ascii="Times New Roman" w:hAnsi="Times New Roman" w:cs="Times New Roman"/>
          <w:sz w:val="21"/>
          <w:szCs w:val="21"/>
        </w:rPr>
        <w:tab/>
      </w:r>
      <w:r w:rsidRPr="00FA3400">
        <w:rPr>
          <w:rFonts w:ascii="Times New Roman" w:hAnsi="Times New Roman" w:cs="Times New Roman"/>
          <w:sz w:val="21"/>
          <w:szCs w:val="21"/>
        </w:rPr>
        <w:tab/>
        <w:t>European Commission</w:t>
      </w:r>
    </w:p>
    <w:p w14:paraId="1AB86826" w14:textId="47CE8469" w:rsidR="00807B78" w:rsidRPr="00FA3400" w:rsidRDefault="00807B78" w:rsidP="00807B78">
      <w:pPr>
        <w:pStyle w:val="NoSpacing"/>
        <w:ind w:left="360"/>
        <w:rPr>
          <w:rFonts w:ascii="Times New Roman" w:hAnsi="Times New Roman" w:cs="Times New Roman"/>
          <w:sz w:val="21"/>
          <w:szCs w:val="21"/>
        </w:rPr>
      </w:pPr>
      <w:r w:rsidRPr="00FA3400">
        <w:rPr>
          <w:rFonts w:ascii="Times New Roman" w:hAnsi="Times New Roman" w:cs="Times New Roman"/>
          <w:sz w:val="21"/>
          <w:szCs w:val="21"/>
        </w:rPr>
        <w:t>EIA</w:t>
      </w:r>
      <w:r w:rsidRPr="00FA3400">
        <w:rPr>
          <w:rFonts w:ascii="Times New Roman" w:hAnsi="Times New Roman" w:cs="Times New Roman"/>
          <w:sz w:val="21"/>
          <w:szCs w:val="21"/>
        </w:rPr>
        <w:tab/>
      </w:r>
      <w:r w:rsidRPr="00FA3400">
        <w:rPr>
          <w:rFonts w:ascii="Times New Roman" w:hAnsi="Times New Roman" w:cs="Times New Roman"/>
          <w:sz w:val="21"/>
          <w:szCs w:val="21"/>
        </w:rPr>
        <w:tab/>
      </w:r>
      <w:r w:rsidR="00CA2C03" w:rsidRPr="00FA3400">
        <w:rPr>
          <w:rFonts w:ascii="Times New Roman" w:hAnsi="Times New Roman" w:cs="Times New Roman"/>
          <w:sz w:val="21"/>
          <w:szCs w:val="21"/>
        </w:rPr>
        <w:tab/>
      </w:r>
      <w:r w:rsidRPr="00FA3400">
        <w:rPr>
          <w:rFonts w:ascii="Times New Roman" w:hAnsi="Times New Roman" w:cs="Times New Roman"/>
          <w:sz w:val="21"/>
          <w:szCs w:val="21"/>
        </w:rPr>
        <w:t>Environmental Impact Assessment</w:t>
      </w:r>
    </w:p>
    <w:p w14:paraId="2F804A34" w14:textId="3628E1FC" w:rsidR="00807B78" w:rsidRPr="006207C8" w:rsidRDefault="00807B78" w:rsidP="00807B78">
      <w:pPr>
        <w:pStyle w:val="NoSpacing"/>
        <w:ind w:left="360"/>
        <w:rPr>
          <w:rFonts w:ascii="Times New Roman" w:hAnsi="Times New Roman" w:cs="Times New Roman"/>
          <w:sz w:val="21"/>
          <w:szCs w:val="21"/>
        </w:rPr>
      </w:pPr>
      <w:r w:rsidRPr="00FA3400">
        <w:rPr>
          <w:rFonts w:ascii="Times New Roman" w:hAnsi="Times New Roman" w:cs="Times New Roman"/>
          <w:sz w:val="21"/>
          <w:szCs w:val="21"/>
        </w:rPr>
        <w:t>ENA</w:t>
      </w:r>
      <w:r w:rsidRPr="00FA3400">
        <w:rPr>
          <w:rFonts w:ascii="Times New Roman" w:hAnsi="Times New Roman" w:cs="Times New Roman"/>
          <w:sz w:val="21"/>
          <w:szCs w:val="21"/>
        </w:rPr>
        <w:tab/>
      </w:r>
      <w:r w:rsidRPr="00FA3400">
        <w:rPr>
          <w:rFonts w:ascii="Times New Roman" w:hAnsi="Times New Roman" w:cs="Times New Roman"/>
          <w:sz w:val="21"/>
          <w:szCs w:val="21"/>
        </w:rPr>
        <w:tab/>
      </w:r>
      <w:r w:rsidRPr="00FA3400">
        <w:rPr>
          <w:rFonts w:ascii="Times New Roman" w:hAnsi="Times New Roman" w:cs="Times New Roman"/>
          <w:i/>
          <w:sz w:val="21"/>
          <w:szCs w:val="21"/>
        </w:rPr>
        <w:t>Ecole Nationale d’Agriculture de Meknès</w:t>
      </w:r>
      <w:r w:rsidR="006207C8" w:rsidRPr="00FA3400">
        <w:rPr>
          <w:rFonts w:ascii="Times New Roman" w:hAnsi="Times New Roman" w:cs="Times New Roman"/>
          <w:i/>
          <w:sz w:val="21"/>
          <w:szCs w:val="21"/>
        </w:rPr>
        <w:t xml:space="preserve"> </w:t>
      </w:r>
      <w:r w:rsidR="006207C8" w:rsidRPr="00FA3400">
        <w:rPr>
          <w:rFonts w:ascii="Times New Roman" w:hAnsi="Times New Roman" w:cs="Times New Roman"/>
          <w:sz w:val="21"/>
          <w:szCs w:val="21"/>
        </w:rPr>
        <w:t>(National Agriculture School of Mekn</w:t>
      </w:r>
      <w:r w:rsidR="006207C8" w:rsidRPr="006207C8">
        <w:rPr>
          <w:rFonts w:ascii="Times New Roman" w:hAnsi="Times New Roman" w:cs="Times New Roman"/>
          <w:sz w:val="21"/>
          <w:szCs w:val="21"/>
        </w:rPr>
        <w:t>ès)</w:t>
      </w:r>
    </w:p>
    <w:p w14:paraId="67AB82E8" w14:textId="77777777" w:rsidR="00807B78" w:rsidRPr="00BC7BB5" w:rsidRDefault="00807B78" w:rsidP="00807B78">
      <w:pPr>
        <w:pStyle w:val="NoSpacing"/>
        <w:ind w:left="360"/>
        <w:rPr>
          <w:rFonts w:ascii="Times New Roman" w:hAnsi="Times New Roman" w:cs="Times New Roman"/>
          <w:sz w:val="21"/>
          <w:szCs w:val="21"/>
        </w:rPr>
      </w:pPr>
      <w:r w:rsidRPr="00BC7BB5">
        <w:rPr>
          <w:rFonts w:ascii="Times New Roman" w:hAnsi="Times New Roman" w:cs="Times New Roman"/>
          <w:sz w:val="21"/>
          <w:szCs w:val="21"/>
        </w:rPr>
        <w:t>ESIA</w:t>
      </w:r>
      <w:r w:rsidRPr="00BC7BB5">
        <w:rPr>
          <w:rFonts w:ascii="Times New Roman" w:hAnsi="Times New Roman" w:cs="Times New Roman"/>
          <w:sz w:val="21"/>
          <w:szCs w:val="21"/>
        </w:rPr>
        <w:tab/>
      </w:r>
      <w:r w:rsidRPr="00BC7BB5">
        <w:rPr>
          <w:rFonts w:ascii="Times New Roman" w:hAnsi="Times New Roman" w:cs="Times New Roman"/>
          <w:sz w:val="21"/>
          <w:szCs w:val="21"/>
        </w:rPr>
        <w:tab/>
        <w:t>Environmental and Social Impact Assessment</w:t>
      </w:r>
    </w:p>
    <w:p w14:paraId="39C9EC34" w14:textId="77777777" w:rsidR="00807B78" w:rsidRPr="00BC7BB5" w:rsidRDefault="00807B78" w:rsidP="00807B78">
      <w:pPr>
        <w:pStyle w:val="NoSpacing"/>
        <w:ind w:left="360"/>
        <w:rPr>
          <w:rFonts w:ascii="Times New Roman" w:hAnsi="Times New Roman" w:cs="Times New Roman"/>
          <w:sz w:val="21"/>
          <w:szCs w:val="21"/>
        </w:rPr>
      </w:pPr>
      <w:r w:rsidRPr="00BC7BB5">
        <w:rPr>
          <w:rFonts w:ascii="Times New Roman" w:hAnsi="Times New Roman" w:cs="Times New Roman"/>
          <w:sz w:val="21"/>
          <w:szCs w:val="21"/>
        </w:rPr>
        <w:t>ESMP</w:t>
      </w:r>
      <w:r w:rsidRPr="00BC7BB5">
        <w:rPr>
          <w:rFonts w:ascii="Times New Roman" w:hAnsi="Times New Roman" w:cs="Times New Roman"/>
          <w:sz w:val="21"/>
          <w:szCs w:val="21"/>
        </w:rPr>
        <w:tab/>
      </w:r>
      <w:r w:rsidRPr="00BC7BB5">
        <w:rPr>
          <w:rFonts w:ascii="Times New Roman" w:hAnsi="Times New Roman" w:cs="Times New Roman"/>
          <w:sz w:val="21"/>
          <w:szCs w:val="21"/>
        </w:rPr>
        <w:tab/>
        <w:t>Environmental and Social Management Plan</w:t>
      </w:r>
    </w:p>
    <w:p w14:paraId="12774C47" w14:textId="77777777" w:rsidR="00807B78" w:rsidRPr="00BC7BB5" w:rsidRDefault="00807B78" w:rsidP="00807B78">
      <w:pPr>
        <w:pStyle w:val="NoSpacing"/>
        <w:ind w:left="360"/>
        <w:rPr>
          <w:rFonts w:ascii="Times New Roman" w:hAnsi="Times New Roman" w:cs="Times New Roman"/>
          <w:sz w:val="21"/>
          <w:szCs w:val="21"/>
        </w:rPr>
      </w:pPr>
      <w:r w:rsidRPr="00BC7BB5">
        <w:rPr>
          <w:rFonts w:ascii="Times New Roman" w:hAnsi="Times New Roman" w:cs="Times New Roman"/>
          <w:sz w:val="21"/>
          <w:szCs w:val="21"/>
        </w:rPr>
        <w:t>ESSA</w:t>
      </w:r>
      <w:r w:rsidRPr="00BC7BB5">
        <w:rPr>
          <w:rFonts w:ascii="Times New Roman" w:hAnsi="Times New Roman" w:cs="Times New Roman"/>
          <w:sz w:val="21"/>
          <w:szCs w:val="21"/>
        </w:rPr>
        <w:tab/>
      </w:r>
      <w:r w:rsidRPr="00BC7BB5">
        <w:rPr>
          <w:rFonts w:ascii="Times New Roman" w:hAnsi="Times New Roman" w:cs="Times New Roman"/>
          <w:sz w:val="21"/>
          <w:szCs w:val="21"/>
        </w:rPr>
        <w:tab/>
        <w:t>Environmental and Social Systems Assessment</w:t>
      </w:r>
    </w:p>
    <w:p w14:paraId="05B5FAEA" w14:textId="77777777" w:rsidR="00807B78" w:rsidRPr="00BC7BB5" w:rsidRDefault="00807B78" w:rsidP="00807B78">
      <w:pPr>
        <w:pStyle w:val="NoSpacing"/>
        <w:ind w:left="360"/>
        <w:rPr>
          <w:rFonts w:ascii="Times New Roman" w:hAnsi="Times New Roman" w:cs="Times New Roman"/>
          <w:sz w:val="21"/>
          <w:szCs w:val="21"/>
        </w:rPr>
      </w:pPr>
      <w:r w:rsidRPr="00BC7BB5">
        <w:rPr>
          <w:rFonts w:ascii="Times New Roman" w:hAnsi="Times New Roman" w:cs="Times New Roman"/>
          <w:sz w:val="21"/>
          <w:szCs w:val="21"/>
        </w:rPr>
        <w:t>EU</w:t>
      </w:r>
      <w:r w:rsidRPr="00BC7BB5">
        <w:rPr>
          <w:rFonts w:ascii="Times New Roman" w:hAnsi="Times New Roman" w:cs="Times New Roman"/>
          <w:sz w:val="21"/>
          <w:szCs w:val="21"/>
        </w:rPr>
        <w:tab/>
      </w:r>
      <w:r w:rsidRPr="00BC7BB5">
        <w:rPr>
          <w:rFonts w:ascii="Times New Roman" w:hAnsi="Times New Roman" w:cs="Times New Roman"/>
          <w:sz w:val="21"/>
          <w:szCs w:val="21"/>
        </w:rPr>
        <w:tab/>
      </w:r>
      <w:r w:rsidRPr="00BC7BB5">
        <w:rPr>
          <w:rFonts w:ascii="Times New Roman" w:hAnsi="Times New Roman" w:cs="Times New Roman"/>
          <w:sz w:val="21"/>
          <w:szCs w:val="21"/>
        </w:rPr>
        <w:tab/>
        <w:t>European Union</w:t>
      </w:r>
    </w:p>
    <w:p w14:paraId="3167A28C" w14:textId="7BF46DD0" w:rsidR="00807B78" w:rsidRPr="00BC7BB5" w:rsidRDefault="00807B78" w:rsidP="00807B78">
      <w:pPr>
        <w:pStyle w:val="NoSpacing"/>
        <w:ind w:left="360"/>
        <w:rPr>
          <w:rFonts w:ascii="Times New Roman" w:hAnsi="Times New Roman" w:cs="Times New Roman"/>
          <w:sz w:val="21"/>
          <w:szCs w:val="21"/>
        </w:rPr>
      </w:pPr>
      <w:r w:rsidRPr="00BC7BB5">
        <w:rPr>
          <w:rFonts w:ascii="Times New Roman" w:hAnsi="Times New Roman" w:cs="Times New Roman"/>
          <w:sz w:val="21"/>
          <w:szCs w:val="21"/>
        </w:rPr>
        <w:t>FAO</w:t>
      </w:r>
      <w:r w:rsidRPr="00BC7BB5">
        <w:rPr>
          <w:rFonts w:ascii="Times New Roman" w:hAnsi="Times New Roman" w:cs="Times New Roman"/>
          <w:sz w:val="21"/>
          <w:szCs w:val="21"/>
        </w:rPr>
        <w:tab/>
      </w:r>
      <w:r w:rsidRPr="00BC7BB5">
        <w:rPr>
          <w:rFonts w:ascii="Times New Roman" w:hAnsi="Times New Roman" w:cs="Times New Roman"/>
          <w:sz w:val="21"/>
          <w:szCs w:val="21"/>
        </w:rPr>
        <w:tab/>
        <w:t xml:space="preserve">Food and Agriculture Organization </w:t>
      </w:r>
      <w:r w:rsidR="00B3048E" w:rsidRPr="00BC7BB5">
        <w:rPr>
          <w:rFonts w:ascii="Times New Roman" w:hAnsi="Times New Roman" w:cs="Times New Roman"/>
          <w:sz w:val="21"/>
          <w:szCs w:val="21"/>
        </w:rPr>
        <w:t xml:space="preserve">of the </w:t>
      </w:r>
      <w:r w:rsidRPr="00BC7BB5">
        <w:rPr>
          <w:rFonts w:ascii="Times New Roman" w:hAnsi="Times New Roman" w:cs="Times New Roman"/>
          <w:sz w:val="21"/>
          <w:szCs w:val="21"/>
        </w:rPr>
        <w:t>United Nations</w:t>
      </w:r>
      <w:r w:rsidRPr="00BC7BB5">
        <w:rPr>
          <w:rFonts w:ascii="Times New Roman" w:hAnsi="Times New Roman" w:cs="Times New Roman"/>
          <w:sz w:val="21"/>
          <w:szCs w:val="21"/>
        </w:rPr>
        <w:tab/>
      </w:r>
      <w:r w:rsidRPr="00BC7BB5">
        <w:rPr>
          <w:rFonts w:ascii="Times New Roman" w:hAnsi="Times New Roman" w:cs="Times New Roman"/>
          <w:sz w:val="21"/>
          <w:szCs w:val="21"/>
        </w:rPr>
        <w:tab/>
      </w:r>
    </w:p>
    <w:p w14:paraId="6FD3AFE5" w14:textId="77777777" w:rsidR="00807B78" w:rsidRPr="004D563E" w:rsidRDefault="00807B78" w:rsidP="00807B78">
      <w:pPr>
        <w:pStyle w:val="NoSpacing"/>
        <w:ind w:left="360"/>
        <w:rPr>
          <w:rFonts w:ascii="Times New Roman" w:hAnsi="Times New Roman" w:cs="Times New Roman"/>
          <w:sz w:val="21"/>
          <w:szCs w:val="21"/>
          <w:lang w:val="fr-FR"/>
        </w:rPr>
      </w:pPr>
      <w:r w:rsidRPr="004D563E">
        <w:rPr>
          <w:rFonts w:ascii="Times New Roman" w:hAnsi="Times New Roman" w:cs="Times New Roman"/>
          <w:sz w:val="21"/>
          <w:szCs w:val="21"/>
          <w:lang w:val="fr-FR"/>
        </w:rPr>
        <w:t>FDA</w:t>
      </w:r>
      <w:r w:rsidRPr="004D563E">
        <w:rPr>
          <w:rFonts w:ascii="Times New Roman" w:hAnsi="Times New Roman" w:cs="Times New Roman"/>
          <w:sz w:val="21"/>
          <w:szCs w:val="21"/>
          <w:lang w:val="fr-FR"/>
        </w:rPr>
        <w:tab/>
      </w:r>
      <w:r w:rsidRPr="004D563E">
        <w:rPr>
          <w:rFonts w:ascii="Times New Roman" w:hAnsi="Times New Roman" w:cs="Times New Roman"/>
          <w:sz w:val="21"/>
          <w:szCs w:val="21"/>
          <w:lang w:val="fr-FR"/>
        </w:rPr>
        <w:tab/>
      </w:r>
      <w:r w:rsidRPr="0033395F">
        <w:rPr>
          <w:rFonts w:ascii="Times New Roman" w:hAnsi="Times New Roman" w:cs="Times New Roman"/>
          <w:i/>
          <w:sz w:val="21"/>
          <w:szCs w:val="21"/>
          <w:lang w:val="fr-FR"/>
        </w:rPr>
        <w:t>Fond de Développement Agricole</w:t>
      </w:r>
      <w:r w:rsidRPr="004D563E">
        <w:rPr>
          <w:rFonts w:ascii="Times New Roman" w:hAnsi="Times New Roman" w:cs="Times New Roman"/>
          <w:sz w:val="21"/>
          <w:szCs w:val="21"/>
          <w:lang w:val="fr-FR"/>
        </w:rPr>
        <w:t xml:space="preserve"> (Agricultural Development Fund)</w:t>
      </w:r>
    </w:p>
    <w:p w14:paraId="270FD8A2" w14:textId="77777777" w:rsidR="00807B78" w:rsidRPr="00BC7BB5" w:rsidRDefault="00807B78" w:rsidP="00807B78">
      <w:pPr>
        <w:pStyle w:val="NoSpacing"/>
        <w:ind w:left="360"/>
        <w:rPr>
          <w:rFonts w:ascii="Times New Roman" w:hAnsi="Times New Roman" w:cs="Times New Roman"/>
          <w:sz w:val="21"/>
          <w:szCs w:val="21"/>
        </w:rPr>
      </w:pPr>
      <w:r w:rsidRPr="00BC7BB5">
        <w:rPr>
          <w:rFonts w:ascii="Times New Roman" w:hAnsi="Times New Roman" w:cs="Times New Roman"/>
          <w:sz w:val="21"/>
          <w:szCs w:val="21"/>
        </w:rPr>
        <w:t>FSA</w:t>
      </w:r>
      <w:r w:rsidRPr="00BC7BB5">
        <w:rPr>
          <w:rFonts w:ascii="Times New Roman" w:hAnsi="Times New Roman" w:cs="Times New Roman"/>
          <w:sz w:val="21"/>
          <w:szCs w:val="21"/>
        </w:rPr>
        <w:tab/>
      </w:r>
      <w:r w:rsidRPr="00BC7BB5">
        <w:rPr>
          <w:rFonts w:ascii="Times New Roman" w:hAnsi="Times New Roman" w:cs="Times New Roman"/>
          <w:sz w:val="21"/>
          <w:szCs w:val="21"/>
        </w:rPr>
        <w:tab/>
        <w:t>Fiduciary Systems Assessment</w:t>
      </w:r>
    </w:p>
    <w:p w14:paraId="25F67CD2" w14:textId="77777777" w:rsidR="00807B78" w:rsidRPr="00BC7BB5" w:rsidRDefault="00807B78" w:rsidP="00807B78">
      <w:pPr>
        <w:pStyle w:val="NoSpacing"/>
        <w:ind w:left="360"/>
        <w:rPr>
          <w:rFonts w:ascii="Times New Roman" w:hAnsi="Times New Roman" w:cs="Times New Roman"/>
          <w:sz w:val="21"/>
          <w:szCs w:val="21"/>
        </w:rPr>
      </w:pPr>
      <w:r w:rsidRPr="00BC7BB5">
        <w:rPr>
          <w:rFonts w:ascii="Times New Roman" w:hAnsi="Times New Roman" w:cs="Times New Roman"/>
          <w:sz w:val="21"/>
          <w:szCs w:val="21"/>
        </w:rPr>
        <w:t>FY</w:t>
      </w:r>
      <w:r w:rsidRPr="00BC7BB5">
        <w:rPr>
          <w:rFonts w:ascii="Times New Roman" w:hAnsi="Times New Roman" w:cs="Times New Roman"/>
          <w:sz w:val="21"/>
          <w:szCs w:val="21"/>
        </w:rPr>
        <w:tab/>
      </w:r>
      <w:r w:rsidRPr="00BC7BB5">
        <w:rPr>
          <w:rFonts w:ascii="Times New Roman" w:hAnsi="Times New Roman" w:cs="Times New Roman"/>
          <w:sz w:val="21"/>
          <w:szCs w:val="21"/>
        </w:rPr>
        <w:tab/>
      </w:r>
      <w:r w:rsidRPr="00BC7BB5">
        <w:rPr>
          <w:rFonts w:ascii="Times New Roman" w:hAnsi="Times New Roman" w:cs="Times New Roman"/>
          <w:sz w:val="21"/>
          <w:szCs w:val="21"/>
        </w:rPr>
        <w:tab/>
        <w:t>Fiscal Year</w:t>
      </w:r>
    </w:p>
    <w:p w14:paraId="5F12D42D" w14:textId="3FDF00A5" w:rsidR="00D9748F" w:rsidRDefault="00D9748F" w:rsidP="00807B78">
      <w:pPr>
        <w:pStyle w:val="NoSpacing"/>
        <w:ind w:left="360"/>
        <w:rPr>
          <w:rFonts w:ascii="Times New Roman" w:hAnsi="Times New Roman" w:cs="Times New Roman"/>
          <w:sz w:val="21"/>
          <w:szCs w:val="21"/>
        </w:rPr>
      </w:pPr>
      <w:r w:rsidRPr="00D9748F">
        <w:rPr>
          <w:rFonts w:ascii="Times New Roman" w:hAnsi="Times New Roman" w:cs="Times New Roman"/>
          <w:sz w:val="21"/>
          <w:szCs w:val="21"/>
        </w:rPr>
        <w:t>GCC</w:t>
      </w:r>
      <w:r w:rsidRPr="00D9748F">
        <w:rPr>
          <w:rFonts w:ascii="Times New Roman" w:hAnsi="Times New Roman" w:cs="Times New Roman"/>
          <w:sz w:val="21"/>
          <w:szCs w:val="21"/>
        </w:rPr>
        <w:tab/>
      </w:r>
      <w:r>
        <w:rPr>
          <w:rFonts w:ascii="Times New Roman" w:hAnsi="Times New Roman" w:cs="Times New Roman"/>
          <w:sz w:val="21"/>
          <w:szCs w:val="21"/>
        </w:rPr>
        <w:tab/>
      </w:r>
      <w:r w:rsidRPr="00D9748F">
        <w:rPr>
          <w:rFonts w:ascii="Times New Roman" w:hAnsi="Times New Roman" w:cs="Times New Roman"/>
          <w:sz w:val="21"/>
          <w:szCs w:val="21"/>
        </w:rPr>
        <w:t>General Contract Conditio</w:t>
      </w:r>
      <w:r w:rsidR="00F93402">
        <w:rPr>
          <w:rFonts w:ascii="Times New Roman" w:hAnsi="Times New Roman" w:cs="Times New Roman"/>
          <w:sz w:val="21"/>
          <w:szCs w:val="21"/>
        </w:rPr>
        <w:t>ns</w:t>
      </w:r>
    </w:p>
    <w:p w14:paraId="7C1F4014" w14:textId="5C9519FD" w:rsidR="00807B78" w:rsidRPr="00BC7BB5" w:rsidRDefault="00807B78" w:rsidP="00807B78">
      <w:pPr>
        <w:pStyle w:val="NoSpacing"/>
        <w:ind w:left="360"/>
        <w:rPr>
          <w:rFonts w:ascii="Times New Roman" w:hAnsi="Times New Roman" w:cs="Times New Roman"/>
          <w:sz w:val="21"/>
          <w:szCs w:val="21"/>
        </w:rPr>
      </w:pPr>
      <w:r w:rsidRPr="00BC7BB5">
        <w:rPr>
          <w:rFonts w:ascii="Times New Roman" w:hAnsi="Times New Roman" w:cs="Times New Roman"/>
          <w:sz w:val="21"/>
          <w:szCs w:val="21"/>
        </w:rPr>
        <w:t>GDP</w:t>
      </w:r>
      <w:r w:rsidRPr="00BC7BB5">
        <w:rPr>
          <w:rFonts w:ascii="Times New Roman" w:hAnsi="Times New Roman" w:cs="Times New Roman"/>
          <w:sz w:val="21"/>
          <w:szCs w:val="21"/>
        </w:rPr>
        <w:tab/>
      </w:r>
      <w:r w:rsidRPr="00BC7BB5">
        <w:rPr>
          <w:rFonts w:ascii="Times New Roman" w:hAnsi="Times New Roman" w:cs="Times New Roman"/>
          <w:sz w:val="21"/>
          <w:szCs w:val="21"/>
        </w:rPr>
        <w:tab/>
        <w:t>Gross Domestic Product</w:t>
      </w:r>
    </w:p>
    <w:p w14:paraId="55EA3D85" w14:textId="77777777" w:rsidR="00807B78" w:rsidRPr="00BC7BB5" w:rsidRDefault="00807B78" w:rsidP="00807B78">
      <w:pPr>
        <w:pStyle w:val="NoSpacing"/>
        <w:ind w:left="360"/>
        <w:rPr>
          <w:rFonts w:ascii="Times New Roman" w:hAnsi="Times New Roman" w:cs="Times New Roman"/>
          <w:sz w:val="21"/>
          <w:szCs w:val="21"/>
        </w:rPr>
      </w:pPr>
      <w:r w:rsidRPr="00BC7BB5">
        <w:rPr>
          <w:rFonts w:ascii="Times New Roman" w:hAnsi="Times New Roman" w:cs="Times New Roman"/>
          <w:sz w:val="21"/>
          <w:szCs w:val="21"/>
        </w:rPr>
        <w:lastRenderedPageBreak/>
        <w:t>GEF</w:t>
      </w:r>
      <w:r w:rsidRPr="00BC7BB5">
        <w:rPr>
          <w:rFonts w:ascii="Times New Roman" w:hAnsi="Times New Roman" w:cs="Times New Roman"/>
          <w:sz w:val="21"/>
          <w:szCs w:val="21"/>
        </w:rPr>
        <w:tab/>
      </w:r>
      <w:r w:rsidRPr="00BC7BB5">
        <w:rPr>
          <w:rFonts w:ascii="Times New Roman" w:hAnsi="Times New Roman" w:cs="Times New Roman"/>
          <w:sz w:val="21"/>
          <w:szCs w:val="21"/>
        </w:rPr>
        <w:tab/>
        <w:t>Global Environmental Facility</w:t>
      </w:r>
    </w:p>
    <w:p w14:paraId="02E45049" w14:textId="7C374E1A" w:rsidR="00D9748F" w:rsidRDefault="00D9748F" w:rsidP="00807B78">
      <w:pPr>
        <w:pStyle w:val="NoSpacing"/>
        <w:ind w:left="360"/>
        <w:rPr>
          <w:rFonts w:ascii="Times New Roman" w:hAnsi="Times New Roman" w:cs="Times New Roman"/>
          <w:sz w:val="21"/>
          <w:szCs w:val="21"/>
        </w:rPr>
      </w:pPr>
      <w:r w:rsidRPr="00DD65B1">
        <w:rPr>
          <w:rFonts w:ascii="Times New Roman" w:hAnsi="Times New Roman" w:cs="Times New Roman"/>
        </w:rPr>
        <w:t>GHG</w:t>
      </w:r>
      <w:r>
        <w:rPr>
          <w:rFonts w:ascii="Times New Roman" w:hAnsi="Times New Roman" w:cs="Times New Roman"/>
        </w:rPr>
        <w:tab/>
      </w:r>
      <w:r>
        <w:rPr>
          <w:rFonts w:ascii="Times New Roman" w:hAnsi="Times New Roman" w:cs="Times New Roman"/>
        </w:rPr>
        <w:tab/>
      </w:r>
      <w:r w:rsidRPr="00DD65B1">
        <w:rPr>
          <w:rFonts w:ascii="Times New Roman" w:hAnsi="Times New Roman" w:cs="Times New Roman"/>
        </w:rPr>
        <w:t>Greenhouse Gas</w:t>
      </w:r>
    </w:p>
    <w:p w14:paraId="1646F3B5" w14:textId="6BDFC70E" w:rsidR="00807B78" w:rsidRPr="004D563E" w:rsidRDefault="00807B78" w:rsidP="00807B78">
      <w:pPr>
        <w:pStyle w:val="NoSpacing"/>
        <w:ind w:left="360"/>
        <w:rPr>
          <w:rFonts w:ascii="Times New Roman" w:hAnsi="Times New Roman" w:cs="Times New Roman"/>
          <w:sz w:val="21"/>
          <w:szCs w:val="21"/>
          <w:lang w:val="fr-FR"/>
        </w:rPr>
      </w:pPr>
      <w:r w:rsidRPr="004D563E">
        <w:rPr>
          <w:rFonts w:ascii="Times New Roman" w:hAnsi="Times New Roman" w:cs="Times New Roman"/>
          <w:sz w:val="21"/>
          <w:szCs w:val="21"/>
          <w:lang w:val="fr-FR"/>
        </w:rPr>
        <w:t>GI</w:t>
      </w:r>
      <w:r w:rsidRPr="004D563E">
        <w:rPr>
          <w:rFonts w:ascii="Times New Roman" w:hAnsi="Times New Roman" w:cs="Times New Roman"/>
          <w:sz w:val="21"/>
          <w:szCs w:val="21"/>
          <w:lang w:val="fr-FR"/>
        </w:rPr>
        <w:tab/>
      </w:r>
      <w:r w:rsidRPr="004D563E">
        <w:rPr>
          <w:rFonts w:ascii="Times New Roman" w:hAnsi="Times New Roman" w:cs="Times New Roman"/>
          <w:sz w:val="21"/>
          <w:szCs w:val="21"/>
          <w:lang w:val="fr-FR"/>
        </w:rPr>
        <w:tab/>
      </w:r>
      <w:r w:rsidRPr="004D563E">
        <w:rPr>
          <w:rFonts w:ascii="Times New Roman" w:hAnsi="Times New Roman" w:cs="Times New Roman"/>
          <w:sz w:val="21"/>
          <w:szCs w:val="21"/>
          <w:lang w:val="fr-FR"/>
        </w:rPr>
        <w:tab/>
        <w:t>Geographical Indications</w:t>
      </w:r>
    </w:p>
    <w:p w14:paraId="0DC47D91" w14:textId="6350D430" w:rsidR="00807B78" w:rsidRPr="006207C8" w:rsidRDefault="00807B78" w:rsidP="00807B78">
      <w:pPr>
        <w:pStyle w:val="NoSpacing"/>
        <w:ind w:left="360"/>
        <w:rPr>
          <w:rFonts w:ascii="Times New Roman" w:hAnsi="Times New Roman" w:cs="Times New Roman"/>
          <w:sz w:val="21"/>
          <w:szCs w:val="21"/>
          <w:lang w:val="fr-FR"/>
        </w:rPr>
      </w:pPr>
      <w:r w:rsidRPr="004D563E">
        <w:rPr>
          <w:rFonts w:ascii="Times New Roman" w:hAnsi="Times New Roman" w:cs="Times New Roman"/>
          <w:sz w:val="21"/>
          <w:szCs w:val="21"/>
          <w:lang w:val="fr-FR"/>
        </w:rPr>
        <w:t>GIE</w:t>
      </w:r>
      <w:r w:rsidRPr="004D563E">
        <w:rPr>
          <w:rFonts w:ascii="Times New Roman" w:hAnsi="Times New Roman" w:cs="Times New Roman"/>
          <w:sz w:val="21"/>
          <w:szCs w:val="21"/>
          <w:lang w:val="fr-FR"/>
        </w:rPr>
        <w:tab/>
      </w:r>
      <w:r w:rsidRPr="004D563E">
        <w:rPr>
          <w:rFonts w:ascii="Times New Roman" w:hAnsi="Times New Roman" w:cs="Times New Roman"/>
          <w:sz w:val="21"/>
          <w:szCs w:val="21"/>
          <w:lang w:val="fr-FR"/>
        </w:rPr>
        <w:tab/>
      </w:r>
      <w:r w:rsidR="00CA2C03" w:rsidRPr="004D563E">
        <w:rPr>
          <w:rFonts w:ascii="Times New Roman" w:hAnsi="Times New Roman" w:cs="Times New Roman"/>
          <w:sz w:val="21"/>
          <w:szCs w:val="21"/>
          <w:lang w:val="fr-FR"/>
        </w:rPr>
        <w:tab/>
      </w:r>
      <w:r w:rsidR="0073546F" w:rsidRPr="0033395F">
        <w:rPr>
          <w:rFonts w:ascii="Times New Roman" w:hAnsi="Times New Roman" w:cs="Times New Roman"/>
          <w:i/>
          <w:sz w:val="21"/>
          <w:szCs w:val="21"/>
          <w:lang w:val="fr-FR"/>
        </w:rPr>
        <w:t>Groupements d’Intérê</w:t>
      </w:r>
      <w:r w:rsidRPr="0033395F">
        <w:rPr>
          <w:rFonts w:ascii="Times New Roman" w:hAnsi="Times New Roman" w:cs="Times New Roman"/>
          <w:i/>
          <w:sz w:val="21"/>
          <w:szCs w:val="21"/>
          <w:lang w:val="fr-FR"/>
        </w:rPr>
        <w:t>t Economique</w:t>
      </w:r>
      <w:r w:rsidR="006207C8">
        <w:rPr>
          <w:rFonts w:ascii="Times New Roman" w:hAnsi="Times New Roman" w:cs="Times New Roman"/>
          <w:i/>
          <w:sz w:val="21"/>
          <w:szCs w:val="21"/>
          <w:lang w:val="fr-FR"/>
        </w:rPr>
        <w:t xml:space="preserve"> </w:t>
      </w:r>
      <w:r w:rsidR="006207C8" w:rsidRPr="006207C8">
        <w:rPr>
          <w:rFonts w:ascii="Times New Roman" w:hAnsi="Times New Roman" w:cs="Times New Roman"/>
          <w:sz w:val="21"/>
          <w:szCs w:val="21"/>
          <w:lang w:val="fr-FR"/>
        </w:rPr>
        <w:t>(Economic Interest Group)</w:t>
      </w:r>
    </w:p>
    <w:p w14:paraId="4611D847" w14:textId="6A70363F" w:rsidR="00807B78" w:rsidRPr="00BC7BB5" w:rsidRDefault="00AC1BC2" w:rsidP="00807B78">
      <w:pPr>
        <w:pStyle w:val="NoSpacing"/>
        <w:ind w:left="360"/>
        <w:rPr>
          <w:rFonts w:ascii="Times New Roman" w:hAnsi="Times New Roman" w:cs="Times New Roman"/>
          <w:sz w:val="21"/>
          <w:szCs w:val="21"/>
        </w:rPr>
      </w:pPr>
      <w:r>
        <w:rPr>
          <w:rFonts w:ascii="Times New Roman" w:hAnsi="Times New Roman" w:cs="Times New Roman"/>
          <w:sz w:val="21"/>
          <w:szCs w:val="21"/>
        </w:rPr>
        <w:t>GoM</w:t>
      </w:r>
      <w:r>
        <w:rPr>
          <w:rFonts w:ascii="Times New Roman" w:hAnsi="Times New Roman" w:cs="Times New Roman"/>
          <w:sz w:val="21"/>
          <w:szCs w:val="21"/>
        </w:rPr>
        <w:tab/>
      </w:r>
      <w:r>
        <w:rPr>
          <w:rFonts w:ascii="Times New Roman" w:hAnsi="Times New Roman" w:cs="Times New Roman"/>
          <w:sz w:val="21"/>
          <w:szCs w:val="21"/>
        </w:rPr>
        <w:tab/>
        <w:t>Government of Morocco</w:t>
      </w:r>
    </w:p>
    <w:p w14:paraId="35A2E2E7" w14:textId="77777777" w:rsidR="00807B78" w:rsidRPr="00BC7BB5" w:rsidRDefault="00807B78" w:rsidP="00807B78">
      <w:pPr>
        <w:pStyle w:val="NoSpacing"/>
        <w:ind w:left="360"/>
        <w:rPr>
          <w:rFonts w:ascii="Times New Roman" w:hAnsi="Times New Roman" w:cs="Times New Roman"/>
          <w:sz w:val="21"/>
          <w:szCs w:val="21"/>
        </w:rPr>
      </w:pPr>
      <w:r w:rsidRPr="00BC7BB5">
        <w:rPr>
          <w:rFonts w:ascii="Times New Roman" w:hAnsi="Times New Roman" w:cs="Times New Roman"/>
          <w:sz w:val="21"/>
          <w:szCs w:val="21"/>
        </w:rPr>
        <w:t>GRS</w:t>
      </w:r>
      <w:r w:rsidRPr="00BC7BB5">
        <w:rPr>
          <w:rFonts w:ascii="Times New Roman" w:hAnsi="Times New Roman" w:cs="Times New Roman"/>
          <w:sz w:val="21"/>
          <w:szCs w:val="21"/>
        </w:rPr>
        <w:tab/>
      </w:r>
      <w:r w:rsidRPr="00BC7BB5">
        <w:rPr>
          <w:rFonts w:ascii="Times New Roman" w:hAnsi="Times New Roman" w:cs="Times New Roman"/>
          <w:sz w:val="21"/>
          <w:szCs w:val="21"/>
        </w:rPr>
        <w:tab/>
        <w:t>Grievance Redress Service</w:t>
      </w:r>
    </w:p>
    <w:p w14:paraId="7F3A9A66" w14:textId="5639E5A9" w:rsidR="00807B78" w:rsidRPr="00FA3400" w:rsidRDefault="00807B78" w:rsidP="00807B78">
      <w:pPr>
        <w:pStyle w:val="NoSpacing"/>
        <w:ind w:left="360"/>
        <w:rPr>
          <w:rFonts w:ascii="Times New Roman" w:hAnsi="Times New Roman" w:cs="Times New Roman"/>
          <w:sz w:val="21"/>
          <w:szCs w:val="21"/>
        </w:rPr>
      </w:pPr>
      <w:r w:rsidRPr="00FA3400">
        <w:rPr>
          <w:rFonts w:ascii="Times New Roman" w:hAnsi="Times New Roman" w:cs="Times New Roman"/>
          <w:sz w:val="21"/>
          <w:szCs w:val="21"/>
        </w:rPr>
        <w:t>IAV</w:t>
      </w:r>
      <w:r w:rsidRPr="00FA3400">
        <w:rPr>
          <w:rFonts w:ascii="Times New Roman" w:hAnsi="Times New Roman" w:cs="Times New Roman"/>
          <w:sz w:val="21"/>
          <w:szCs w:val="21"/>
        </w:rPr>
        <w:tab/>
      </w:r>
      <w:r w:rsidRPr="00FA3400">
        <w:rPr>
          <w:rFonts w:ascii="Times New Roman" w:hAnsi="Times New Roman" w:cs="Times New Roman"/>
          <w:sz w:val="21"/>
          <w:szCs w:val="21"/>
        </w:rPr>
        <w:tab/>
      </w:r>
      <w:r w:rsidRPr="00FA3400">
        <w:rPr>
          <w:rFonts w:ascii="Times New Roman" w:hAnsi="Times New Roman" w:cs="Times New Roman"/>
          <w:i/>
          <w:sz w:val="21"/>
          <w:szCs w:val="21"/>
        </w:rPr>
        <w:t>Institut Agronomique et Vétérinaire</w:t>
      </w:r>
      <w:r w:rsidR="006207C8" w:rsidRPr="00FA3400">
        <w:rPr>
          <w:rFonts w:ascii="Times New Roman" w:hAnsi="Times New Roman" w:cs="Times New Roman"/>
          <w:i/>
          <w:sz w:val="21"/>
          <w:szCs w:val="21"/>
        </w:rPr>
        <w:t xml:space="preserve"> </w:t>
      </w:r>
      <w:r w:rsidR="006207C8" w:rsidRPr="00FA3400">
        <w:rPr>
          <w:rFonts w:ascii="Times New Roman" w:hAnsi="Times New Roman" w:cs="Times New Roman"/>
          <w:sz w:val="21"/>
          <w:szCs w:val="21"/>
        </w:rPr>
        <w:t>(Agronomic and Veterinary Institute)</w:t>
      </w:r>
    </w:p>
    <w:p w14:paraId="06424514" w14:textId="77777777" w:rsidR="00807B78" w:rsidRPr="00FA3400" w:rsidRDefault="00807B78" w:rsidP="00807B78">
      <w:pPr>
        <w:pStyle w:val="NoSpacing"/>
        <w:ind w:left="360"/>
        <w:rPr>
          <w:rFonts w:ascii="Times New Roman" w:hAnsi="Times New Roman" w:cs="Times New Roman"/>
          <w:sz w:val="21"/>
          <w:szCs w:val="21"/>
        </w:rPr>
      </w:pPr>
      <w:r w:rsidRPr="00FA3400">
        <w:rPr>
          <w:rFonts w:ascii="Times New Roman" w:hAnsi="Times New Roman" w:cs="Times New Roman"/>
          <w:sz w:val="21"/>
          <w:szCs w:val="21"/>
        </w:rPr>
        <w:t>IBRD</w:t>
      </w:r>
      <w:r w:rsidRPr="00FA3400">
        <w:rPr>
          <w:rFonts w:ascii="Times New Roman" w:hAnsi="Times New Roman" w:cs="Times New Roman"/>
          <w:sz w:val="21"/>
          <w:szCs w:val="21"/>
        </w:rPr>
        <w:tab/>
      </w:r>
      <w:r w:rsidRPr="00FA3400">
        <w:rPr>
          <w:rFonts w:ascii="Times New Roman" w:hAnsi="Times New Roman" w:cs="Times New Roman"/>
          <w:sz w:val="21"/>
          <w:szCs w:val="21"/>
        </w:rPr>
        <w:tab/>
        <w:t>International Bank for Reconstruction and Development</w:t>
      </w:r>
    </w:p>
    <w:p w14:paraId="3760B3DB" w14:textId="03384391" w:rsidR="00807B78" w:rsidRPr="006207C8" w:rsidRDefault="002416AA" w:rsidP="006207C8">
      <w:pPr>
        <w:pStyle w:val="NoSpacing"/>
        <w:ind w:left="2160" w:hanging="1800"/>
        <w:rPr>
          <w:rFonts w:ascii="Times New Roman" w:hAnsi="Times New Roman" w:cs="Times New Roman"/>
          <w:sz w:val="21"/>
          <w:szCs w:val="21"/>
          <w:lang w:val="fr-FR"/>
        </w:rPr>
      </w:pPr>
      <w:r w:rsidRPr="004D563E">
        <w:rPr>
          <w:rFonts w:ascii="Times New Roman" w:hAnsi="Times New Roman" w:cs="Times New Roman"/>
          <w:sz w:val="21"/>
          <w:szCs w:val="21"/>
          <w:lang w:val="fr-FR"/>
        </w:rPr>
        <w:t>ICPC</w:t>
      </w:r>
      <w:r w:rsidRPr="004D563E">
        <w:rPr>
          <w:rFonts w:ascii="Times New Roman" w:hAnsi="Times New Roman" w:cs="Times New Roman"/>
          <w:sz w:val="21"/>
          <w:szCs w:val="21"/>
          <w:lang w:val="fr-FR"/>
        </w:rPr>
        <w:tab/>
      </w:r>
      <w:r w:rsidRPr="0033395F">
        <w:rPr>
          <w:rFonts w:ascii="Times New Roman" w:hAnsi="Times New Roman" w:cs="Times New Roman"/>
          <w:i/>
          <w:sz w:val="21"/>
          <w:szCs w:val="21"/>
          <w:lang w:val="fr-FR"/>
        </w:rPr>
        <w:t>Instance Centrale de Pré</w:t>
      </w:r>
      <w:r w:rsidR="00807B78" w:rsidRPr="0033395F">
        <w:rPr>
          <w:rFonts w:ascii="Times New Roman" w:hAnsi="Times New Roman" w:cs="Times New Roman"/>
          <w:i/>
          <w:sz w:val="21"/>
          <w:szCs w:val="21"/>
          <w:lang w:val="fr-FR"/>
        </w:rPr>
        <w:t>vention de la Corruption</w:t>
      </w:r>
      <w:r w:rsidR="006207C8">
        <w:rPr>
          <w:rFonts w:ascii="Times New Roman" w:hAnsi="Times New Roman" w:cs="Times New Roman"/>
          <w:i/>
          <w:sz w:val="21"/>
          <w:szCs w:val="21"/>
          <w:lang w:val="fr-FR"/>
        </w:rPr>
        <w:t xml:space="preserve"> </w:t>
      </w:r>
      <w:r w:rsidR="006207C8" w:rsidRPr="006207C8">
        <w:rPr>
          <w:rFonts w:ascii="Times New Roman" w:hAnsi="Times New Roman" w:cs="Times New Roman"/>
          <w:sz w:val="21"/>
          <w:szCs w:val="21"/>
          <w:lang w:val="fr-FR"/>
        </w:rPr>
        <w:t xml:space="preserve">(Central </w:t>
      </w:r>
      <w:r w:rsidR="00677466">
        <w:rPr>
          <w:rFonts w:ascii="Times New Roman" w:hAnsi="Times New Roman" w:cs="Times New Roman"/>
          <w:sz w:val="21"/>
          <w:szCs w:val="21"/>
          <w:lang w:val="fr-FR"/>
        </w:rPr>
        <w:t xml:space="preserve">Body </w:t>
      </w:r>
      <w:r w:rsidR="006207C8" w:rsidRPr="006207C8">
        <w:rPr>
          <w:rFonts w:ascii="Times New Roman" w:hAnsi="Times New Roman" w:cs="Times New Roman"/>
          <w:sz w:val="21"/>
          <w:szCs w:val="21"/>
          <w:lang w:val="fr-FR"/>
        </w:rPr>
        <w:t xml:space="preserve">for </w:t>
      </w:r>
      <w:r w:rsidR="00677466">
        <w:rPr>
          <w:rFonts w:ascii="Times New Roman" w:hAnsi="Times New Roman" w:cs="Times New Roman"/>
          <w:sz w:val="21"/>
          <w:szCs w:val="21"/>
          <w:lang w:val="fr-FR"/>
        </w:rPr>
        <w:t>Corruption</w:t>
      </w:r>
      <w:r w:rsidR="00677466" w:rsidRPr="006207C8">
        <w:rPr>
          <w:rFonts w:ascii="Times New Roman" w:hAnsi="Times New Roman" w:cs="Times New Roman"/>
          <w:sz w:val="21"/>
          <w:szCs w:val="21"/>
          <w:lang w:val="fr-FR"/>
        </w:rPr>
        <w:t xml:space="preserve"> </w:t>
      </w:r>
      <w:r w:rsidR="006207C8" w:rsidRPr="006207C8">
        <w:rPr>
          <w:rFonts w:ascii="Times New Roman" w:hAnsi="Times New Roman" w:cs="Times New Roman"/>
          <w:sz w:val="21"/>
          <w:szCs w:val="21"/>
          <w:lang w:val="fr-FR"/>
        </w:rPr>
        <w:t>Prevention)</w:t>
      </w:r>
    </w:p>
    <w:p w14:paraId="13E0BD1E" w14:textId="72BCFA01" w:rsidR="00807B78" w:rsidRPr="004D563E" w:rsidRDefault="00807B78" w:rsidP="00807B78">
      <w:pPr>
        <w:pStyle w:val="NoSpacing"/>
        <w:ind w:left="360"/>
        <w:rPr>
          <w:rFonts w:ascii="Times New Roman" w:hAnsi="Times New Roman" w:cs="Times New Roman"/>
          <w:sz w:val="21"/>
          <w:szCs w:val="21"/>
          <w:lang w:val="fr-FR"/>
        </w:rPr>
      </w:pPr>
      <w:r w:rsidRPr="004D563E">
        <w:rPr>
          <w:rFonts w:ascii="Times New Roman" w:hAnsi="Times New Roman" w:cs="Times New Roman"/>
          <w:sz w:val="21"/>
          <w:szCs w:val="21"/>
          <w:lang w:val="fr-FR"/>
        </w:rPr>
        <w:t>ICT</w:t>
      </w:r>
      <w:r w:rsidR="004D65FC" w:rsidRPr="004D563E">
        <w:rPr>
          <w:rFonts w:ascii="Times New Roman" w:hAnsi="Times New Roman" w:cs="Times New Roman"/>
          <w:sz w:val="21"/>
          <w:szCs w:val="21"/>
          <w:lang w:val="fr-FR"/>
        </w:rPr>
        <w:tab/>
      </w:r>
      <w:r w:rsidR="004D65FC" w:rsidRPr="004D563E">
        <w:rPr>
          <w:rFonts w:ascii="Times New Roman" w:hAnsi="Times New Roman" w:cs="Times New Roman"/>
          <w:sz w:val="21"/>
          <w:szCs w:val="21"/>
          <w:lang w:val="fr-FR"/>
        </w:rPr>
        <w:tab/>
      </w:r>
      <w:r w:rsidR="004D65FC" w:rsidRPr="004D563E">
        <w:rPr>
          <w:rFonts w:ascii="Times New Roman" w:hAnsi="Times New Roman" w:cs="Times New Roman"/>
          <w:sz w:val="21"/>
          <w:szCs w:val="21"/>
          <w:lang w:val="fr-FR"/>
        </w:rPr>
        <w:tab/>
        <w:t>Information and Communications Technologies</w:t>
      </w:r>
    </w:p>
    <w:p w14:paraId="2FC3D23C" w14:textId="36CE3435" w:rsidR="00807B78" w:rsidRPr="004D563E" w:rsidRDefault="00807B78" w:rsidP="00807B78">
      <w:pPr>
        <w:pStyle w:val="NoSpacing"/>
        <w:ind w:left="360"/>
        <w:rPr>
          <w:rFonts w:ascii="Times New Roman" w:hAnsi="Times New Roman" w:cs="Times New Roman"/>
          <w:sz w:val="21"/>
          <w:szCs w:val="21"/>
          <w:lang w:val="fr-FR"/>
        </w:rPr>
      </w:pPr>
      <w:r w:rsidRPr="004D563E">
        <w:rPr>
          <w:rFonts w:ascii="Times New Roman" w:hAnsi="Times New Roman" w:cs="Times New Roman"/>
          <w:sz w:val="21"/>
          <w:szCs w:val="21"/>
          <w:lang w:val="fr-FR"/>
        </w:rPr>
        <w:t>IEG</w:t>
      </w:r>
      <w:r w:rsidR="004D65FC" w:rsidRPr="004D563E">
        <w:rPr>
          <w:rFonts w:ascii="Times New Roman" w:hAnsi="Times New Roman" w:cs="Times New Roman"/>
          <w:sz w:val="21"/>
          <w:szCs w:val="21"/>
          <w:lang w:val="fr-FR"/>
        </w:rPr>
        <w:tab/>
      </w:r>
      <w:r w:rsidR="004D65FC" w:rsidRPr="004D563E">
        <w:rPr>
          <w:rFonts w:ascii="Times New Roman" w:hAnsi="Times New Roman" w:cs="Times New Roman"/>
          <w:sz w:val="21"/>
          <w:szCs w:val="21"/>
          <w:lang w:val="fr-FR"/>
        </w:rPr>
        <w:tab/>
      </w:r>
      <w:r w:rsidR="00CA2C03" w:rsidRPr="004D563E">
        <w:rPr>
          <w:rFonts w:ascii="Times New Roman" w:hAnsi="Times New Roman" w:cs="Times New Roman"/>
          <w:sz w:val="21"/>
          <w:szCs w:val="21"/>
          <w:lang w:val="fr-FR"/>
        </w:rPr>
        <w:tab/>
      </w:r>
      <w:r w:rsidR="004D65FC" w:rsidRPr="004D563E">
        <w:rPr>
          <w:rFonts w:ascii="Times New Roman" w:hAnsi="Times New Roman" w:cs="Times New Roman"/>
          <w:sz w:val="21"/>
          <w:szCs w:val="21"/>
          <w:lang w:val="fr-FR"/>
        </w:rPr>
        <w:t>Independent Evaluation Group</w:t>
      </w:r>
    </w:p>
    <w:p w14:paraId="1C578911" w14:textId="1D4110D6" w:rsidR="004D65FC" w:rsidRPr="004D563E" w:rsidRDefault="00807B78" w:rsidP="004D65FC">
      <w:pPr>
        <w:pStyle w:val="NoSpacing"/>
        <w:ind w:left="360"/>
        <w:rPr>
          <w:rFonts w:ascii="Times New Roman" w:hAnsi="Times New Roman" w:cs="Times New Roman"/>
          <w:sz w:val="21"/>
          <w:szCs w:val="21"/>
          <w:lang w:val="fr-FR"/>
        </w:rPr>
      </w:pPr>
      <w:r w:rsidRPr="004D563E">
        <w:rPr>
          <w:rFonts w:ascii="Times New Roman" w:hAnsi="Times New Roman" w:cs="Times New Roman"/>
          <w:sz w:val="21"/>
          <w:szCs w:val="21"/>
          <w:lang w:val="fr-FR"/>
        </w:rPr>
        <w:t>IFC</w:t>
      </w:r>
      <w:r w:rsidR="004D65FC" w:rsidRPr="004D563E">
        <w:rPr>
          <w:rFonts w:ascii="Times New Roman" w:hAnsi="Times New Roman" w:cs="Times New Roman"/>
          <w:sz w:val="21"/>
          <w:szCs w:val="21"/>
          <w:lang w:val="fr-FR"/>
        </w:rPr>
        <w:tab/>
      </w:r>
      <w:r w:rsidR="004D65FC" w:rsidRPr="004D563E">
        <w:rPr>
          <w:rFonts w:ascii="Times New Roman" w:hAnsi="Times New Roman" w:cs="Times New Roman"/>
          <w:sz w:val="21"/>
          <w:szCs w:val="21"/>
          <w:lang w:val="fr-FR"/>
        </w:rPr>
        <w:tab/>
      </w:r>
      <w:r w:rsidR="004D65FC" w:rsidRPr="004D563E">
        <w:rPr>
          <w:rFonts w:ascii="Times New Roman" w:hAnsi="Times New Roman" w:cs="Times New Roman"/>
          <w:sz w:val="21"/>
          <w:szCs w:val="21"/>
          <w:lang w:val="fr-FR"/>
        </w:rPr>
        <w:tab/>
      </w:r>
      <w:r w:rsidR="00CA2C03" w:rsidRPr="004D563E">
        <w:rPr>
          <w:rFonts w:ascii="Times New Roman" w:hAnsi="Times New Roman" w:cs="Times New Roman"/>
          <w:sz w:val="21"/>
          <w:szCs w:val="21"/>
          <w:lang w:val="fr-FR"/>
        </w:rPr>
        <w:t>International Finance Corporation</w:t>
      </w:r>
    </w:p>
    <w:p w14:paraId="6D8335E4" w14:textId="4EDF82E6" w:rsidR="00771A24" w:rsidRPr="00677466" w:rsidRDefault="00771A24" w:rsidP="004D65FC">
      <w:pPr>
        <w:pStyle w:val="NoSpacing"/>
        <w:ind w:left="360"/>
        <w:rPr>
          <w:rFonts w:ascii="Times New Roman" w:hAnsi="Times New Roman" w:cs="Times New Roman"/>
          <w:sz w:val="21"/>
          <w:szCs w:val="21"/>
          <w:lang w:val="fr-FR"/>
        </w:rPr>
      </w:pPr>
      <w:r w:rsidRPr="004D563E">
        <w:rPr>
          <w:rFonts w:ascii="Times New Roman" w:hAnsi="Times New Roman" w:cs="Times New Roman"/>
          <w:sz w:val="21"/>
          <w:szCs w:val="21"/>
          <w:lang w:val="fr-FR"/>
        </w:rPr>
        <w:t>IGA</w:t>
      </w:r>
      <w:r w:rsidRPr="004D563E">
        <w:rPr>
          <w:rFonts w:ascii="Times New Roman" w:hAnsi="Times New Roman" w:cs="Times New Roman"/>
          <w:sz w:val="21"/>
          <w:szCs w:val="21"/>
          <w:lang w:val="fr-FR"/>
        </w:rPr>
        <w:tab/>
      </w:r>
      <w:r w:rsidRPr="004D563E">
        <w:rPr>
          <w:rFonts w:ascii="Times New Roman" w:hAnsi="Times New Roman" w:cs="Times New Roman"/>
          <w:sz w:val="21"/>
          <w:szCs w:val="21"/>
          <w:lang w:val="fr-FR"/>
        </w:rPr>
        <w:tab/>
      </w:r>
      <w:r w:rsidRPr="0033395F">
        <w:rPr>
          <w:rFonts w:ascii="Times New Roman" w:hAnsi="Times New Roman" w:cs="Times New Roman"/>
          <w:i/>
          <w:sz w:val="21"/>
          <w:szCs w:val="21"/>
          <w:lang w:val="fr-FR"/>
        </w:rPr>
        <w:t>Inspection Générale de l’Agriculture</w:t>
      </w:r>
      <w:r w:rsidR="00677466">
        <w:rPr>
          <w:rFonts w:ascii="Times New Roman" w:hAnsi="Times New Roman" w:cs="Times New Roman"/>
          <w:i/>
          <w:sz w:val="21"/>
          <w:szCs w:val="21"/>
          <w:lang w:val="fr-FR"/>
        </w:rPr>
        <w:t xml:space="preserve"> </w:t>
      </w:r>
      <w:r w:rsidR="00677466" w:rsidRPr="00677466">
        <w:rPr>
          <w:rFonts w:ascii="Times New Roman" w:hAnsi="Times New Roman" w:cs="Times New Roman"/>
          <w:sz w:val="21"/>
          <w:szCs w:val="21"/>
          <w:lang w:val="fr-FR"/>
        </w:rPr>
        <w:t>(General Inspectorate of Agriculture)</w:t>
      </w:r>
    </w:p>
    <w:p w14:paraId="44F50FC8" w14:textId="278825F7" w:rsidR="00771A24" w:rsidRPr="00677466" w:rsidRDefault="00807B78" w:rsidP="00771A24">
      <w:pPr>
        <w:pStyle w:val="NoSpacing"/>
        <w:ind w:left="360"/>
        <w:rPr>
          <w:rFonts w:ascii="Times New Roman" w:hAnsi="Times New Roman" w:cs="Times New Roman"/>
          <w:sz w:val="21"/>
          <w:szCs w:val="21"/>
          <w:lang w:val="fr-FR"/>
        </w:rPr>
      </w:pPr>
      <w:r w:rsidRPr="004D563E">
        <w:rPr>
          <w:rFonts w:ascii="Times New Roman" w:hAnsi="Times New Roman" w:cs="Times New Roman"/>
          <w:sz w:val="21"/>
          <w:szCs w:val="21"/>
          <w:lang w:val="fr-FR"/>
        </w:rPr>
        <w:t>IGF</w:t>
      </w:r>
      <w:r w:rsidRPr="004D563E">
        <w:rPr>
          <w:rFonts w:ascii="Times New Roman" w:hAnsi="Times New Roman" w:cs="Times New Roman"/>
          <w:sz w:val="21"/>
          <w:szCs w:val="21"/>
          <w:lang w:val="fr-FR"/>
        </w:rPr>
        <w:tab/>
      </w:r>
      <w:r w:rsidRPr="004D563E">
        <w:rPr>
          <w:rFonts w:ascii="Times New Roman" w:hAnsi="Times New Roman" w:cs="Times New Roman"/>
          <w:sz w:val="21"/>
          <w:szCs w:val="21"/>
          <w:lang w:val="fr-FR"/>
        </w:rPr>
        <w:tab/>
      </w:r>
      <w:r w:rsidRPr="004D563E">
        <w:rPr>
          <w:rFonts w:ascii="Times New Roman" w:hAnsi="Times New Roman" w:cs="Times New Roman"/>
          <w:sz w:val="21"/>
          <w:szCs w:val="21"/>
          <w:lang w:val="fr-FR"/>
        </w:rPr>
        <w:tab/>
      </w:r>
      <w:r w:rsidRPr="0033395F">
        <w:rPr>
          <w:rFonts w:ascii="Times New Roman" w:hAnsi="Times New Roman" w:cs="Times New Roman"/>
          <w:i/>
          <w:sz w:val="21"/>
          <w:szCs w:val="21"/>
          <w:lang w:val="fr-FR"/>
        </w:rPr>
        <w:t>Inspection Générale des Finances</w:t>
      </w:r>
      <w:r w:rsidR="00677466">
        <w:rPr>
          <w:rFonts w:ascii="Times New Roman" w:hAnsi="Times New Roman" w:cs="Times New Roman"/>
          <w:i/>
          <w:sz w:val="21"/>
          <w:szCs w:val="21"/>
          <w:lang w:val="fr-FR"/>
        </w:rPr>
        <w:t xml:space="preserve"> </w:t>
      </w:r>
      <w:r w:rsidR="00677466" w:rsidRPr="00677466">
        <w:rPr>
          <w:rFonts w:ascii="Times New Roman" w:hAnsi="Times New Roman" w:cs="Times New Roman"/>
          <w:sz w:val="21"/>
          <w:szCs w:val="21"/>
          <w:lang w:val="fr-FR"/>
        </w:rPr>
        <w:t>(General Inspectorate of Finances)</w:t>
      </w:r>
    </w:p>
    <w:p w14:paraId="06254BBE" w14:textId="2765CD2D" w:rsidR="00807B78" w:rsidRPr="00AF6A5D" w:rsidRDefault="00807B78" w:rsidP="00807B78">
      <w:pPr>
        <w:pStyle w:val="NoSpacing"/>
        <w:ind w:left="360"/>
        <w:rPr>
          <w:rFonts w:ascii="Times New Roman" w:hAnsi="Times New Roman" w:cs="Times New Roman"/>
          <w:sz w:val="21"/>
          <w:szCs w:val="21"/>
          <w:lang w:val="fr-FR"/>
        </w:rPr>
      </w:pPr>
      <w:r w:rsidRPr="00AF6A5D">
        <w:rPr>
          <w:rFonts w:ascii="Times New Roman" w:hAnsi="Times New Roman" w:cs="Times New Roman"/>
          <w:sz w:val="21"/>
          <w:szCs w:val="21"/>
          <w:lang w:val="fr-FR"/>
        </w:rPr>
        <w:t>IMF</w:t>
      </w:r>
      <w:r w:rsidR="004D65FC" w:rsidRPr="00AF6A5D">
        <w:rPr>
          <w:rFonts w:ascii="Times New Roman" w:hAnsi="Times New Roman" w:cs="Times New Roman"/>
          <w:sz w:val="21"/>
          <w:szCs w:val="21"/>
          <w:lang w:val="fr-FR"/>
        </w:rPr>
        <w:tab/>
      </w:r>
      <w:r w:rsidR="004D65FC" w:rsidRPr="00AF6A5D">
        <w:rPr>
          <w:rFonts w:ascii="Times New Roman" w:hAnsi="Times New Roman" w:cs="Times New Roman"/>
          <w:sz w:val="21"/>
          <w:szCs w:val="21"/>
          <w:lang w:val="fr-FR"/>
        </w:rPr>
        <w:tab/>
        <w:t>International Monetary Fund</w:t>
      </w:r>
    </w:p>
    <w:p w14:paraId="5FD76534" w14:textId="2084B3FF" w:rsidR="00807B78" w:rsidRPr="00677466" w:rsidRDefault="00807B78" w:rsidP="00677466">
      <w:pPr>
        <w:pStyle w:val="NoSpacing"/>
        <w:ind w:left="2160" w:hanging="1800"/>
        <w:rPr>
          <w:rFonts w:ascii="Times New Roman" w:hAnsi="Times New Roman" w:cs="Times New Roman"/>
          <w:sz w:val="21"/>
          <w:szCs w:val="21"/>
          <w:lang w:val="fr-FR"/>
        </w:rPr>
      </w:pPr>
      <w:r w:rsidRPr="00AC1BC2">
        <w:rPr>
          <w:rFonts w:ascii="Times New Roman" w:hAnsi="Times New Roman" w:cs="Times New Roman"/>
          <w:sz w:val="21"/>
          <w:szCs w:val="21"/>
          <w:lang w:val="fr-FR"/>
        </w:rPr>
        <w:t>INRA</w:t>
      </w:r>
      <w:r w:rsidRPr="00AC1BC2">
        <w:rPr>
          <w:rFonts w:ascii="Times New Roman" w:hAnsi="Times New Roman" w:cs="Times New Roman"/>
          <w:sz w:val="21"/>
          <w:szCs w:val="21"/>
          <w:lang w:val="fr-FR"/>
        </w:rPr>
        <w:tab/>
      </w:r>
      <w:r w:rsidR="00AC1BC2" w:rsidRPr="0033395F">
        <w:rPr>
          <w:rFonts w:ascii="Times New Roman" w:hAnsi="Times New Roman" w:cs="Times New Roman"/>
          <w:i/>
          <w:sz w:val="21"/>
          <w:szCs w:val="21"/>
          <w:lang w:val="fr-FR"/>
        </w:rPr>
        <w:t>Institut National de Recherche Agronomique</w:t>
      </w:r>
      <w:r w:rsidR="00677466">
        <w:rPr>
          <w:rFonts w:ascii="Times New Roman" w:hAnsi="Times New Roman" w:cs="Times New Roman"/>
          <w:i/>
          <w:sz w:val="21"/>
          <w:szCs w:val="21"/>
          <w:lang w:val="fr-FR"/>
        </w:rPr>
        <w:t xml:space="preserve"> </w:t>
      </w:r>
      <w:r w:rsidR="00677466" w:rsidRPr="00677466">
        <w:rPr>
          <w:rFonts w:ascii="Times New Roman" w:hAnsi="Times New Roman" w:cs="Times New Roman"/>
          <w:sz w:val="21"/>
          <w:szCs w:val="21"/>
          <w:lang w:val="fr-FR"/>
        </w:rPr>
        <w:t>(National Agronomic Research Institute)</w:t>
      </w:r>
    </w:p>
    <w:p w14:paraId="65526A09" w14:textId="376551E9" w:rsidR="00807B78" w:rsidRPr="00BC7BB5" w:rsidRDefault="00807B78" w:rsidP="00807B78">
      <w:pPr>
        <w:pStyle w:val="NoSpacing"/>
        <w:ind w:left="360"/>
        <w:rPr>
          <w:rFonts w:ascii="Times New Roman" w:hAnsi="Times New Roman" w:cs="Times New Roman"/>
          <w:sz w:val="21"/>
          <w:szCs w:val="21"/>
        </w:rPr>
      </w:pPr>
      <w:r w:rsidRPr="00BC7BB5">
        <w:rPr>
          <w:rFonts w:ascii="Times New Roman" w:hAnsi="Times New Roman" w:cs="Times New Roman"/>
          <w:sz w:val="21"/>
          <w:szCs w:val="21"/>
        </w:rPr>
        <w:t>IPF</w:t>
      </w:r>
      <w:r w:rsidR="004D65FC" w:rsidRPr="00BC7BB5">
        <w:rPr>
          <w:rFonts w:ascii="Times New Roman" w:hAnsi="Times New Roman" w:cs="Times New Roman"/>
          <w:sz w:val="21"/>
          <w:szCs w:val="21"/>
        </w:rPr>
        <w:tab/>
      </w:r>
      <w:r w:rsidR="004D65FC" w:rsidRPr="00BC7BB5">
        <w:rPr>
          <w:rFonts w:ascii="Times New Roman" w:hAnsi="Times New Roman" w:cs="Times New Roman"/>
          <w:sz w:val="21"/>
          <w:szCs w:val="21"/>
        </w:rPr>
        <w:tab/>
      </w:r>
      <w:r w:rsidR="004D65FC" w:rsidRPr="00BC7BB5">
        <w:rPr>
          <w:rFonts w:ascii="Times New Roman" w:hAnsi="Times New Roman" w:cs="Times New Roman"/>
          <w:sz w:val="21"/>
          <w:szCs w:val="21"/>
        </w:rPr>
        <w:tab/>
      </w:r>
      <w:r w:rsidR="00CA2C03" w:rsidRPr="00BC7BB5">
        <w:rPr>
          <w:rFonts w:ascii="Times New Roman" w:hAnsi="Times New Roman" w:cs="Times New Roman"/>
          <w:sz w:val="21"/>
          <w:szCs w:val="21"/>
        </w:rPr>
        <w:t>Investment Project Financing</w:t>
      </w:r>
    </w:p>
    <w:p w14:paraId="3DF521DB" w14:textId="1DF9F876" w:rsidR="00A3445C" w:rsidRDefault="00A3445C" w:rsidP="00807B78">
      <w:pPr>
        <w:pStyle w:val="NoSpacing"/>
        <w:ind w:left="360"/>
        <w:rPr>
          <w:rFonts w:ascii="Times New Roman" w:hAnsi="Times New Roman" w:cs="Times New Roman"/>
          <w:sz w:val="21"/>
          <w:szCs w:val="21"/>
        </w:rPr>
      </w:pPr>
      <w:r w:rsidRPr="00A3445C">
        <w:rPr>
          <w:rFonts w:ascii="Times New Roman" w:hAnsi="Times New Roman" w:cs="Times New Roman"/>
          <w:sz w:val="21"/>
          <w:szCs w:val="21"/>
        </w:rPr>
        <w:t>IRR</w:t>
      </w:r>
      <w:r>
        <w:rPr>
          <w:rFonts w:ascii="Times New Roman" w:hAnsi="Times New Roman" w:cs="Times New Roman"/>
          <w:sz w:val="21"/>
          <w:szCs w:val="21"/>
        </w:rPr>
        <w:tab/>
      </w:r>
      <w:r>
        <w:rPr>
          <w:rFonts w:ascii="Times New Roman" w:hAnsi="Times New Roman" w:cs="Times New Roman"/>
          <w:sz w:val="21"/>
          <w:szCs w:val="21"/>
        </w:rPr>
        <w:tab/>
      </w:r>
      <w:r w:rsidRPr="00A3445C">
        <w:rPr>
          <w:rFonts w:ascii="Times New Roman" w:hAnsi="Times New Roman" w:cs="Times New Roman"/>
          <w:sz w:val="21"/>
          <w:szCs w:val="21"/>
        </w:rPr>
        <w:tab/>
        <w:t xml:space="preserve">Internal rate of </w:t>
      </w:r>
      <w:r w:rsidR="008C1FE3">
        <w:rPr>
          <w:rFonts w:ascii="Times New Roman" w:hAnsi="Times New Roman" w:cs="Times New Roman"/>
          <w:sz w:val="21"/>
          <w:szCs w:val="21"/>
        </w:rPr>
        <w:t>r</w:t>
      </w:r>
      <w:r w:rsidRPr="00A3445C">
        <w:rPr>
          <w:rFonts w:ascii="Times New Roman" w:hAnsi="Times New Roman" w:cs="Times New Roman"/>
          <w:sz w:val="21"/>
          <w:szCs w:val="21"/>
        </w:rPr>
        <w:t>eturn</w:t>
      </w:r>
    </w:p>
    <w:p w14:paraId="25BAB58F" w14:textId="5345F5D7" w:rsidR="00807B78" w:rsidRPr="00BC7BB5" w:rsidRDefault="00807B78" w:rsidP="00807B78">
      <w:pPr>
        <w:pStyle w:val="NoSpacing"/>
        <w:ind w:left="360"/>
        <w:rPr>
          <w:rFonts w:ascii="Times New Roman" w:hAnsi="Times New Roman" w:cs="Times New Roman"/>
          <w:sz w:val="21"/>
          <w:szCs w:val="21"/>
        </w:rPr>
      </w:pPr>
      <w:r w:rsidRPr="00BC7BB5">
        <w:rPr>
          <w:rFonts w:ascii="Times New Roman" w:hAnsi="Times New Roman" w:cs="Times New Roman"/>
          <w:sz w:val="21"/>
          <w:szCs w:val="21"/>
        </w:rPr>
        <w:t>ISP</w:t>
      </w:r>
      <w:r w:rsidRPr="00BC7BB5">
        <w:rPr>
          <w:rFonts w:ascii="Times New Roman" w:hAnsi="Times New Roman" w:cs="Times New Roman"/>
          <w:sz w:val="21"/>
          <w:szCs w:val="21"/>
        </w:rPr>
        <w:tab/>
      </w:r>
      <w:r w:rsidRPr="00BC7BB5">
        <w:rPr>
          <w:rFonts w:ascii="Times New Roman" w:hAnsi="Times New Roman" w:cs="Times New Roman"/>
          <w:sz w:val="21"/>
          <w:szCs w:val="21"/>
        </w:rPr>
        <w:tab/>
      </w:r>
      <w:r w:rsidRPr="00BC7BB5">
        <w:rPr>
          <w:rFonts w:ascii="Times New Roman" w:hAnsi="Times New Roman" w:cs="Times New Roman"/>
          <w:sz w:val="21"/>
          <w:szCs w:val="21"/>
        </w:rPr>
        <w:tab/>
        <w:t>Implementation Support Plan</w:t>
      </w:r>
    </w:p>
    <w:p w14:paraId="06D40412" w14:textId="40339471" w:rsidR="00807B78" w:rsidRPr="00BC7BB5" w:rsidRDefault="00807B78" w:rsidP="00807B78">
      <w:pPr>
        <w:pStyle w:val="NoSpacing"/>
        <w:ind w:left="360"/>
        <w:rPr>
          <w:rFonts w:ascii="Times New Roman" w:hAnsi="Times New Roman" w:cs="Times New Roman"/>
          <w:sz w:val="21"/>
          <w:szCs w:val="21"/>
        </w:rPr>
      </w:pPr>
      <w:r w:rsidRPr="00BC7BB5">
        <w:rPr>
          <w:rFonts w:ascii="Times New Roman" w:hAnsi="Times New Roman" w:cs="Times New Roman"/>
          <w:sz w:val="21"/>
          <w:szCs w:val="21"/>
        </w:rPr>
        <w:t>IVA</w:t>
      </w:r>
      <w:r w:rsidRPr="00BC7BB5">
        <w:rPr>
          <w:rFonts w:ascii="Times New Roman" w:hAnsi="Times New Roman" w:cs="Times New Roman"/>
          <w:sz w:val="21"/>
          <w:szCs w:val="21"/>
        </w:rPr>
        <w:tab/>
      </w:r>
      <w:r w:rsidRPr="00BC7BB5">
        <w:rPr>
          <w:rFonts w:ascii="Times New Roman" w:hAnsi="Times New Roman" w:cs="Times New Roman"/>
          <w:sz w:val="21"/>
          <w:szCs w:val="21"/>
        </w:rPr>
        <w:tab/>
        <w:t>Independent Verification Agency</w:t>
      </w:r>
    </w:p>
    <w:p w14:paraId="10CD89D4" w14:textId="1290F133" w:rsidR="0001299B" w:rsidRDefault="0001299B" w:rsidP="00807B78">
      <w:pPr>
        <w:pStyle w:val="NoSpacing"/>
        <w:ind w:left="360"/>
        <w:rPr>
          <w:rFonts w:ascii="Times New Roman" w:hAnsi="Times New Roman" w:cs="Times New Roman"/>
          <w:sz w:val="21"/>
          <w:szCs w:val="21"/>
        </w:rPr>
      </w:pPr>
      <w:r w:rsidRPr="0001299B">
        <w:rPr>
          <w:rFonts w:ascii="Times New Roman" w:hAnsi="Times New Roman" w:cs="Times New Roman"/>
          <w:sz w:val="21"/>
          <w:szCs w:val="21"/>
        </w:rPr>
        <w:t>K</w:t>
      </w:r>
      <w:r>
        <w:rPr>
          <w:rFonts w:ascii="Times New Roman" w:hAnsi="Times New Roman" w:cs="Times New Roman"/>
          <w:sz w:val="21"/>
          <w:szCs w:val="21"/>
        </w:rPr>
        <w:t>G</w:t>
      </w:r>
      <w:r w:rsidRPr="0001299B">
        <w:rPr>
          <w:rFonts w:ascii="Times New Roman" w:hAnsi="Times New Roman" w:cs="Times New Roman"/>
          <w:sz w:val="21"/>
          <w:szCs w:val="21"/>
        </w:rPr>
        <w:tab/>
      </w:r>
      <w:r>
        <w:rPr>
          <w:rFonts w:ascii="Times New Roman" w:hAnsi="Times New Roman" w:cs="Times New Roman"/>
          <w:sz w:val="21"/>
          <w:szCs w:val="21"/>
        </w:rPr>
        <w:tab/>
      </w:r>
      <w:r w:rsidRPr="0001299B">
        <w:rPr>
          <w:rFonts w:ascii="Times New Roman" w:hAnsi="Times New Roman" w:cs="Times New Roman"/>
          <w:sz w:val="21"/>
          <w:szCs w:val="21"/>
        </w:rPr>
        <w:tab/>
        <w:t>Kilograms</w:t>
      </w:r>
    </w:p>
    <w:p w14:paraId="0EACE735" w14:textId="534ECAF9" w:rsidR="00807B78" w:rsidRPr="00BC7BB5" w:rsidRDefault="00807B78" w:rsidP="00807B78">
      <w:pPr>
        <w:pStyle w:val="NoSpacing"/>
        <w:ind w:left="360"/>
        <w:rPr>
          <w:rFonts w:ascii="Times New Roman" w:hAnsi="Times New Roman" w:cs="Times New Roman"/>
          <w:sz w:val="21"/>
          <w:szCs w:val="21"/>
        </w:rPr>
      </w:pPr>
      <w:r w:rsidRPr="00BC7BB5">
        <w:rPr>
          <w:rFonts w:ascii="Times New Roman" w:hAnsi="Times New Roman" w:cs="Times New Roman"/>
          <w:sz w:val="21"/>
          <w:szCs w:val="21"/>
        </w:rPr>
        <w:t>M&amp;E</w:t>
      </w:r>
      <w:r w:rsidRPr="00BC7BB5">
        <w:rPr>
          <w:rFonts w:ascii="Times New Roman" w:hAnsi="Times New Roman" w:cs="Times New Roman"/>
          <w:sz w:val="21"/>
          <w:szCs w:val="21"/>
        </w:rPr>
        <w:tab/>
      </w:r>
      <w:r w:rsidRPr="00BC7BB5">
        <w:rPr>
          <w:rFonts w:ascii="Times New Roman" w:hAnsi="Times New Roman" w:cs="Times New Roman"/>
          <w:sz w:val="21"/>
          <w:szCs w:val="21"/>
        </w:rPr>
        <w:tab/>
        <w:t>Monitoring and Evaluation</w:t>
      </w:r>
    </w:p>
    <w:p w14:paraId="1A2E865E" w14:textId="28011044" w:rsidR="00807B78" w:rsidRPr="00BC7BB5" w:rsidRDefault="00807B78" w:rsidP="00807B78">
      <w:pPr>
        <w:pStyle w:val="NoSpacing"/>
        <w:ind w:left="360"/>
        <w:rPr>
          <w:rFonts w:ascii="Times New Roman" w:hAnsi="Times New Roman" w:cs="Times New Roman"/>
          <w:sz w:val="21"/>
          <w:szCs w:val="21"/>
        </w:rPr>
      </w:pPr>
      <w:r w:rsidRPr="00BC7BB5">
        <w:rPr>
          <w:rFonts w:ascii="Times New Roman" w:hAnsi="Times New Roman" w:cs="Times New Roman"/>
          <w:sz w:val="21"/>
          <w:szCs w:val="21"/>
        </w:rPr>
        <w:t>MAD</w:t>
      </w:r>
      <w:r w:rsidR="00CA2C03" w:rsidRPr="00BC7BB5">
        <w:rPr>
          <w:rFonts w:ascii="Times New Roman" w:hAnsi="Times New Roman" w:cs="Times New Roman"/>
          <w:sz w:val="21"/>
          <w:szCs w:val="21"/>
        </w:rPr>
        <w:tab/>
      </w:r>
      <w:r w:rsidR="00CA2C03" w:rsidRPr="00BC7BB5">
        <w:rPr>
          <w:rFonts w:ascii="Times New Roman" w:hAnsi="Times New Roman" w:cs="Times New Roman"/>
          <w:sz w:val="21"/>
          <w:szCs w:val="21"/>
        </w:rPr>
        <w:tab/>
        <w:t>Moroccan Dirham</w:t>
      </w:r>
    </w:p>
    <w:p w14:paraId="4FA3C15D" w14:textId="52B28D6A" w:rsidR="00807B78" w:rsidRPr="00BC7BB5" w:rsidRDefault="00807B78" w:rsidP="00807B78">
      <w:pPr>
        <w:pStyle w:val="NoSpacing"/>
        <w:ind w:left="2160" w:hanging="1800"/>
        <w:rPr>
          <w:rFonts w:ascii="Times New Roman" w:hAnsi="Times New Roman" w:cs="Times New Roman"/>
          <w:sz w:val="21"/>
          <w:szCs w:val="21"/>
        </w:rPr>
      </w:pPr>
      <w:r w:rsidRPr="00BC7BB5">
        <w:rPr>
          <w:rFonts w:ascii="Times New Roman" w:hAnsi="Times New Roman" w:cs="Times New Roman"/>
          <w:sz w:val="21"/>
          <w:szCs w:val="21"/>
        </w:rPr>
        <w:t>MAPMDREF</w:t>
      </w:r>
      <w:r w:rsidRPr="00BC7BB5">
        <w:rPr>
          <w:rFonts w:ascii="Times New Roman" w:hAnsi="Times New Roman" w:cs="Times New Roman"/>
          <w:sz w:val="21"/>
          <w:szCs w:val="21"/>
        </w:rPr>
        <w:tab/>
        <w:t>Ministry of Agriculture, Marine Fisheries, Rural Development, Water and Forests</w:t>
      </w:r>
    </w:p>
    <w:p w14:paraId="0E66C9B4" w14:textId="78E608A9" w:rsidR="00DB7E5E" w:rsidRDefault="00DB7E5E" w:rsidP="00807B78">
      <w:pPr>
        <w:pStyle w:val="NoSpacing"/>
        <w:ind w:left="360"/>
        <w:rPr>
          <w:rFonts w:ascii="Times New Roman" w:hAnsi="Times New Roman" w:cs="Times New Roman"/>
          <w:sz w:val="21"/>
          <w:szCs w:val="21"/>
        </w:rPr>
      </w:pPr>
      <w:r>
        <w:rPr>
          <w:rFonts w:ascii="Times New Roman" w:hAnsi="Times New Roman" w:cs="Times New Roman"/>
          <w:sz w:val="21"/>
          <w:szCs w:val="21"/>
        </w:rPr>
        <w:t>MCC</w:t>
      </w:r>
      <w:r>
        <w:rPr>
          <w:rFonts w:ascii="Times New Roman" w:hAnsi="Times New Roman" w:cs="Times New Roman"/>
          <w:sz w:val="21"/>
          <w:szCs w:val="21"/>
        </w:rPr>
        <w:tab/>
      </w:r>
      <w:r>
        <w:rPr>
          <w:rFonts w:ascii="Times New Roman" w:hAnsi="Times New Roman" w:cs="Times New Roman"/>
          <w:sz w:val="21"/>
          <w:szCs w:val="21"/>
        </w:rPr>
        <w:tab/>
      </w:r>
      <w:r w:rsidRPr="00DB7E5E">
        <w:rPr>
          <w:rFonts w:ascii="Times New Roman" w:hAnsi="Times New Roman" w:cs="Times New Roman"/>
          <w:sz w:val="21"/>
          <w:szCs w:val="21"/>
        </w:rPr>
        <w:t>Millennium Challenge Corporation</w:t>
      </w:r>
    </w:p>
    <w:p w14:paraId="65BA055E" w14:textId="34C66C3D" w:rsidR="002C2DD4" w:rsidRDefault="002C2DD4" w:rsidP="00807B78">
      <w:pPr>
        <w:pStyle w:val="NoSpacing"/>
        <w:ind w:left="360"/>
        <w:rPr>
          <w:rFonts w:ascii="Times New Roman" w:hAnsi="Times New Roman" w:cs="Times New Roman"/>
          <w:sz w:val="21"/>
          <w:szCs w:val="21"/>
        </w:rPr>
      </w:pPr>
      <w:r w:rsidRPr="002C2DD4">
        <w:rPr>
          <w:rFonts w:ascii="Times New Roman" w:hAnsi="Times New Roman" w:cs="Times New Roman"/>
          <w:sz w:val="21"/>
          <w:szCs w:val="21"/>
        </w:rPr>
        <w:t>MEAS</w:t>
      </w:r>
      <w:r w:rsidRPr="002C2DD4">
        <w:rPr>
          <w:rFonts w:ascii="Times New Roman" w:hAnsi="Times New Roman" w:cs="Times New Roman"/>
          <w:sz w:val="21"/>
          <w:szCs w:val="21"/>
        </w:rPr>
        <w:tab/>
      </w:r>
      <w:r>
        <w:rPr>
          <w:rFonts w:ascii="Times New Roman" w:hAnsi="Times New Roman" w:cs="Times New Roman"/>
          <w:sz w:val="21"/>
          <w:szCs w:val="21"/>
        </w:rPr>
        <w:tab/>
      </w:r>
      <w:r w:rsidRPr="002C2DD4">
        <w:rPr>
          <w:rFonts w:ascii="Times New Roman" w:hAnsi="Times New Roman" w:cs="Times New Roman"/>
          <w:sz w:val="21"/>
          <w:szCs w:val="21"/>
        </w:rPr>
        <w:t>Ministry of Employment and Social Affairs</w:t>
      </w:r>
      <w:r>
        <w:rPr>
          <w:rFonts w:ascii="Times New Roman" w:hAnsi="Times New Roman" w:cs="Times New Roman"/>
          <w:sz w:val="21"/>
          <w:szCs w:val="21"/>
        </w:rPr>
        <w:tab/>
      </w:r>
    </w:p>
    <w:p w14:paraId="5C82BA3D" w14:textId="61ED3FEB" w:rsidR="00807B78" w:rsidRPr="00BC7BB5" w:rsidRDefault="00807B78" w:rsidP="00807B78">
      <w:pPr>
        <w:pStyle w:val="NoSpacing"/>
        <w:ind w:left="360"/>
        <w:rPr>
          <w:rFonts w:ascii="Times New Roman" w:hAnsi="Times New Roman" w:cs="Times New Roman"/>
          <w:sz w:val="21"/>
          <w:szCs w:val="21"/>
        </w:rPr>
      </w:pPr>
      <w:r w:rsidRPr="00BC7BB5">
        <w:rPr>
          <w:rFonts w:ascii="Times New Roman" w:hAnsi="Times New Roman" w:cs="Times New Roman"/>
          <w:sz w:val="21"/>
          <w:szCs w:val="21"/>
        </w:rPr>
        <w:t>MEF</w:t>
      </w:r>
      <w:r w:rsidRPr="00BC7BB5">
        <w:rPr>
          <w:rFonts w:ascii="Times New Roman" w:hAnsi="Times New Roman" w:cs="Times New Roman"/>
          <w:sz w:val="21"/>
          <w:szCs w:val="21"/>
        </w:rPr>
        <w:tab/>
      </w:r>
      <w:r w:rsidRPr="00BC7BB5">
        <w:rPr>
          <w:rFonts w:ascii="Times New Roman" w:hAnsi="Times New Roman" w:cs="Times New Roman"/>
          <w:sz w:val="21"/>
          <w:szCs w:val="21"/>
        </w:rPr>
        <w:tab/>
        <w:t>Ministry of Economy and Finance</w:t>
      </w:r>
    </w:p>
    <w:p w14:paraId="1E2FADD3" w14:textId="77777777" w:rsidR="00807B78" w:rsidRPr="00BC7BB5" w:rsidRDefault="00807B78" w:rsidP="00807B78">
      <w:pPr>
        <w:pStyle w:val="NoSpacing"/>
        <w:ind w:left="360"/>
        <w:rPr>
          <w:rFonts w:ascii="Times New Roman" w:hAnsi="Times New Roman" w:cs="Times New Roman"/>
          <w:sz w:val="21"/>
          <w:szCs w:val="21"/>
        </w:rPr>
      </w:pPr>
      <w:r w:rsidRPr="00BC7BB5">
        <w:rPr>
          <w:rFonts w:ascii="Times New Roman" w:hAnsi="Times New Roman" w:cs="Times New Roman"/>
          <w:sz w:val="21"/>
          <w:szCs w:val="21"/>
        </w:rPr>
        <w:t>MENA</w:t>
      </w:r>
      <w:r w:rsidRPr="00BC7BB5">
        <w:rPr>
          <w:rFonts w:ascii="Times New Roman" w:hAnsi="Times New Roman" w:cs="Times New Roman"/>
          <w:sz w:val="21"/>
          <w:szCs w:val="21"/>
        </w:rPr>
        <w:tab/>
      </w:r>
      <w:r w:rsidRPr="00BC7BB5">
        <w:rPr>
          <w:rFonts w:ascii="Times New Roman" w:hAnsi="Times New Roman" w:cs="Times New Roman"/>
          <w:sz w:val="21"/>
          <w:szCs w:val="21"/>
        </w:rPr>
        <w:tab/>
        <w:t>Middle East and North Africa</w:t>
      </w:r>
    </w:p>
    <w:p w14:paraId="262C2E34" w14:textId="77777777" w:rsidR="00807B78" w:rsidRPr="00BC7BB5" w:rsidRDefault="00807B78" w:rsidP="00807B78">
      <w:pPr>
        <w:pStyle w:val="NoSpacing"/>
        <w:ind w:left="360"/>
        <w:rPr>
          <w:rFonts w:ascii="Times New Roman" w:hAnsi="Times New Roman" w:cs="Times New Roman"/>
          <w:sz w:val="21"/>
          <w:szCs w:val="21"/>
        </w:rPr>
      </w:pPr>
      <w:r w:rsidRPr="00BC7BB5">
        <w:rPr>
          <w:rFonts w:ascii="Times New Roman" w:hAnsi="Times New Roman" w:cs="Times New Roman"/>
          <w:sz w:val="21"/>
          <w:szCs w:val="21"/>
        </w:rPr>
        <w:t>MI</w:t>
      </w:r>
      <w:r w:rsidRPr="00BC7BB5">
        <w:rPr>
          <w:rFonts w:ascii="Times New Roman" w:hAnsi="Times New Roman" w:cs="Times New Roman"/>
          <w:sz w:val="21"/>
          <w:szCs w:val="21"/>
        </w:rPr>
        <w:tab/>
      </w:r>
      <w:r w:rsidRPr="00BC7BB5">
        <w:rPr>
          <w:rFonts w:ascii="Times New Roman" w:hAnsi="Times New Roman" w:cs="Times New Roman"/>
          <w:sz w:val="21"/>
          <w:szCs w:val="21"/>
        </w:rPr>
        <w:tab/>
      </w:r>
      <w:r w:rsidRPr="00BC7BB5">
        <w:rPr>
          <w:rFonts w:ascii="Times New Roman" w:hAnsi="Times New Roman" w:cs="Times New Roman"/>
          <w:sz w:val="21"/>
          <w:szCs w:val="21"/>
        </w:rPr>
        <w:tab/>
        <w:t>Ministry of Interior</w:t>
      </w:r>
    </w:p>
    <w:p w14:paraId="07F53D5D" w14:textId="3EA67F74" w:rsidR="00807B78" w:rsidRPr="00BC7BB5" w:rsidRDefault="00807B78" w:rsidP="00807B78">
      <w:pPr>
        <w:pStyle w:val="NoSpacing"/>
        <w:ind w:left="360"/>
        <w:rPr>
          <w:rFonts w:ascii="Times New Roman" w:hAnsi="Times New Roman" w:cs="Times New Roman"/>
          <w:sz w:val="21"/>
          <w:szCs w:val="21"/>
        </w:rPr>
      </w:pPr>
      <w:r w:rsidRPr="00BC7BB5">
        <w:rPr>
          <w:rFonts w:ascii="Times New Roman" w:hAnsi="Times New Roman" w:cs="Times New Roman"/>
          <w:sz w:val="21"/>
          <w:szCs w:val="21"/>
        </w:rPr>
        <w:t>MIICEN</w:t>
      </w:r>
      <w:r w:rsidRPr="00BC7BB5">
        <w:rPr>
          <w:rFonts w:ascii="Times New Roman" w:hAnsi="Times New Roman" w:cs="Times New Roman"/>
          <w:sz w:val="21"/>
          <w:szCs w:val="21"/>
        </w:rPr>
        <w:tab/>
      </w:r>
      <w:r w:rsidRPr="00BC7BB5">
        <w:rPr>
          <w:rFonts w:ascii="Times New Roman" w:hAnsi="Times New Roman" w:cs="Times New Roman"/>
          <w:sz w:val="21"/>
          <w:szCs w:val="21"/>
        </w:rPr>
        <w:tab/>
        <w:t xml:space="preserve">Ministry of Industry, Investment, Commerce and </w:t>
      </w:r>
      <w:r w:rsidR="009563F5" w:rsidRPr="00BC7BB5">
        <w:rPr>
          <w:rFonts w:ascii="Times New Roman" w:hAnsi="Times New Roman" w:cs="Times New Roman"/>
          <w:sz w:val="21"/>
          <w:szCs w:val="21"/>
        </w:rPr>
        <w:t>the Digital Economy</w:t>
      </w:r>
    </w:p>
    <w:p w14:paraId="663FBC4D" w14:textId="06728862" w:rsidR="00807B78" w:rsidRPr="00BC7BB5" w:rsidRDefault="00807B78" w:rsidP="00807B78">
      <w:pPr>
        <w:pStyle w:val="NoSpacing"/>
        <w:ind w:left="360"/>
        <w:rPr>
          <w:rFonts w:ascii="Times New Roman" w:hAnsi="Times New Roman" w:cs="Times New Roman"/>
          <w:sz w:val="21"/>
          <w:szCs w:val="21"/>
        </w:rPr>
      </w:pPr>
      <w:r w:rsidRPr="00BC7BB5">
        <w:rPr>
          <w:rFonts w:ascii="Times New Roman" w:hAnsi="Times New Roman" w:cs="Times New Roman"/>
          <w:sz w:val="21"/>
          <w:szCs w:val="21"/>
        </w:rPr>
        <w:t>MIS</w:t>
      </w:r>
      <w:r w:rsidRPr="00BC7BB5">
        <w:rPr>
          <w:rFonts w:ascii="Times New Roman" w:hAnsi="Times New Roman" w:cs="Times New Roman"/>
          <w:sz w:val="21"/>
          <w:szCs w:val="21"/>
        </w:rPr>
        <w:tab/>
      </w:r>
      <w:r w:rsidRPr="00BC7BB5">
        <w:rPr>
          <w:rFonts w:ascii="Times New Roman" w:hAnsi="Times New Roman" w:cs="Times New Roman"/>
          <w:sz w:val="21"/>
          <w:szCs w:val="21"/>
        </w:rPr>
        <w:tab/>
        <w:t>Market Information Systems</w:t>
      </w:r>
    </w:p>
    <w:p w14:paraId="3627B38F" w14:textId="77777777" w:rsidR="00807B78" w:rsidRPr="00BC7BB5" w:rsidRDefault="00807B78" w:rsidP="00807B78">
      <w:pPr>
        <w:pStyle w:val="NoSpacing"/>
        <w:ind w:left="360"/>
        <w:rPr>
          <w:rFonts w:ascii="Times New Roman" w:hAnsi="Times New Roman" w:cs="Times New Roman"/>
          <w:sz w:val="21"/>
          <w:szCs w:val="21"/>
        </w:rPr>
      </w:pPr>
      <w:r w:rsidRPr="00BC7BB5">
        <w:rPr>
          <w:rFonts w:ascii="Times New Roman" w:hAnsi="Times New Roman" w:cs="Times New Roman"/>
          <w:sz w:val="21"/>
          <w:szCs w:val="21"/>
        </w:rPr>
        <w:t>MoU</w:t>
      </w:r>
      <w:r w:rsidRPr="00BC7BB5">
        <w:rPr>
          <w:rFonts w:ascii="Times New Roman" w:hAnsi="Times New Roman" w:cs="Times New Roman"/>
          <w:sz w:val="21"/>
          <w:szCs w:val="21"/>
        </w:rPr>
        <w:tab/>
      </w:r>
      <w:r w:rsidRPr="00BC7BB5">
        <w:rPr>
          <w:rFonts w:ascii="Times New Roman" w:hAnsi="Times New Roman" w:cs="Times New Roman"/>
          <w:sz w:val="21"/>
          <w:szCs w:val="21"/>
        </w:rPr>
        <w:tab/>
        <w:t>Memorandum of Understanding</w:t>
      </w:r>
    </w:p>
    <w:p w14:paraId="2C2049C5" w14:textId="40C1E068" w:rsidR="00807B78" w:rsidRPr="00BC7BB5" w:rsidRDefault="00807B78" w:rsidP="00807B78">
      <w:pPr>
        <w:pStyle w:val="NoSpacing"/>
        <w:ind w:left="360"/>
        <w:rPr>
          <w:rFonts w:ascii="Times New Roman" w:hAnsi="Times New Roman" w:cs="Times New Roman"/>
          <w:sz w:val="21"/>
          <w:szCs w:val="21"/>
        </w:rPr>
      </w:pPr>
      <w:r w:rsidRPr="00BC7BB5">
        <w:rPr>
          <w:rFonts w:ascii="Times New Roman" w:hAnsi="Times New Roman" w:cs="Times New Roman"/>
          <w:sz w:val="21"/>
          <w:szCs w:val="21"/>
        </w:rPr>
        <w:t>MT</w:t>
      </w:r>
      <w:r w:rsidR="00CA2C03" w:rsidRPr="00BC7BB5">
        <w:rPr>
          <w:rFonts w:ascii="Times New Roman" w:hAnsi="Times New Roman" w:cs="Times New Roman"/>
          <w:sz w:val="21"/>
          <w:szCs w:val="21"/>
        </w:rPr>
        <w:tab/>
      </w:r>
      <w:r w:rsidR="00CA2C03" w:rsidRPr="00BC7BB5">
        <w:rPr>
          <w:rFonts w:ascii="Times New Roman" w:hAnsi="Times New Roman" w:cs="Times New Roman"/>
          <w:sz w:val="21"/>
          <w:szCs w:val="21"/>
        </w:rPr>
        <w:tab/>
      </w:r>
      <w:r w:rsidR="00CA2C03" w:rsidRPr="00BC7BB5">
        <w:rPr>
          <w:rFonts w:ascii="Times New Roman" w:hAnsi="Times New Roman" w:cs="Times New Roman"/>
          <w:sz w:val="21"/>
          <w:szCs w:val="21"/>
        </w:rPr>
        <w:tab/>
        <w:t>Metric Ton</w:t>
      </w:r>
    </w:p>
    <w:p w14:paraId="4A33648E" w14:textId="1647009E" w:rsidR="00975217" w:rsidRDefault="00975217" w:rsidP="00807B78">
      <w:pPr>
        <w:pStyle w:val="NoSpacing"/>
        <w:ind w:left="360"/>
        <w:rPr>
          <w:rFonts w:ascii="Times New Roman" w:hAnsi="Times New Roman" w:cs="Times New Roman"/>
          <w:sz w:val="21"/>
          <w:szCs w:val="21"/>
        </w:rPr>
      </w:pPr>
      <w:r w:rsidRPr="00975217">
        <w:rPr>
          <w:rFonts w:ascii="Times New Roman" w:hAnsi="Times New Roman" w:cs="Times New Roman"/>
          <w:sz w:val="21"/>
          <w:szCs w:val="21"/>
        </w:rPr>
        <w:t>MTEF</w:t>
      </w:r>
      <w:r w:rsidRPr="00975217">
        <w:rPr>
          <w:rFonts w:ascii="Times New Roman" w:hAnsi="Times New Roman" w:cs="Times New Roman"/>
          <w:sz w:val="21"/>
          <w:szCs w:val="21"/>
        </w:rPr>
        <w:tab/>
      </w:r>
      <w:r>
        <w:rPr>
          <w:rFonts w:ascii="Times New Roman" w:hAnsi="Times New Roman" w:cs="Times New Roman"/>
          <w:sz w:val="21"/>
          <w:szCs w:val="21"/>
        </w:rPr>
        <w:tab/>
      </w:r>
      <w:r w:rsidRPr="00975217">
        <w:rPr>
          <w:rFonts w:ascii="Times New Roman" w:hAnsi="Times New Roman" w:cs="Times New Roman"/>
          <w:sz w:val="21"/>
          <w:szCs w:val="21"/>
        </w:rPr>
        <w:t>Medium-Term Expenditure Framework</w:t>
      </w:r>
      <w:r>
        <w:rPr>
          <w:rFonts w:ascii="Times New Roman" w:hAnsi="Times New Roman" w:cs="Times New Roman"/>
          <w:sz w:val="21"/>
          <w:szCs w:val="21"/>
        </w:rPr>
        <w:tab/>
      </w:r>
    </w:p>
    <w:p w14:paraId="33A5D4CD" w14:textId="766209E0" w:rsidR="00807B78" w:rsidRPr="00677466" w:rsidRDefault="00807B78" w:rsidP="00807B78">
      <w:pPr>
        <w:pStyle w:val="NoSpacing"/>
        <w:ind w:left="360"/>
        <w:rPr>
          <w:rFonts w:ascii="Times New Roman" w:hAnsi="Times New Roman" w:cs="Times New Roman"/>
          <w:sz w:val="21"/>
          <w:szCs w:val="21"/>
          <w:lang w:val="fr-FR"/>
        </w:rPr>
      </w:pPr>
      <w:r w:rsidRPr="004D563E">
        <w:rPr>
          <w:rFonts w:ascii="Times New Roman" w:hAnsi="Times New Roman" w:cs="Times New Roman"/>
          <w:sz w:val="21"/>
          <w:szCs w:val="21"/>
          <w:lang w:val="fr-FR"/>
        </w:rPr>
        <w:t>ONCA</w:t>
      </w:r>
      <w:r w:rsidRPr="004D563E">
        <w:rPr>
          <w:rFonts w:ascii="Times New Roman" w:hAnsi="Times New Roman" w:cs="Times New Roman"/>
          <w:sz w:val="21"/>
          <w:szCs w:val="21"/>
          <w:lang w:val="fr-FR"/>
        </w:rPr>
        <w:tab/>
      </w:r>
      <w:r w:rsidRPr="004D563E">
        <w:rPr>
          <w:rFonts w:ascii="Times New Roman" w:hAnsi="Times New Roman" w:cs="Times New Roman"/>
          <w:sz w:val="21"/>
          <w:szCs w:val="21"/>
          <w:lang w:val="fr-FR"/>
        </w:rPr>
        <w:tab/>
      </w:r>
      <w:r w:rsidRPr="0033395F">
        <w:rPr>
          <w:rFonts w:ascii="Times New Roman" w:hAnsi="Times New Roman" w:cs="Times New Roman"/>
          <w:i/>
          <w:sz w:val="21"/>
          <w:szCs w:val="21"/>
          <w:lang w:val="fr-FR"/>
        </w:rPr>
        <w:t>Office National de Conseil Agricole</w:t>
      </w:r>
      <w:r w:rsidR="00677466">
        <w:rPr>
          <w:rFonts w:ascii="Times New Roman" w:hAnsi="Times New Roman" w:cs="Times New Roman"/>
          <w:i/>
          <w:sz w:val="21"/>
          <w:szCs w:val="21"/>
          <w:lang w:val="fr-FR"/>
        </w:rPr>
        <w:t xml:space="preserve"> </w:t>
      </w:r>
      <w:r w:rsidR="00677466" w:rsidRPr="00677466">
        <w:rPr>
          <w:rFonts w:ascii="Times New Roman" w:hAnsi="Times New Roman" w:cs="Times New Roman"/>
          <w:sz w:val="21"/>
          <w:szCs w:val="21"/>
          <w:lang w:val="fr-FR"/>
        </w:rPr>
        <w:t>(National Agricultural Extension Agency)</w:t>
      </w:r>
    </w:p>
    <w:p w14:paraId="022670DA" w14:textId="56FB0680" w:rsidR="00745516" w:rsidRPr="004D563E" w:rsidRDefault="00745516" w:rsidP="00807B78">
      <w:pPr>
        <w:pStyle w:val="NoSpacing"/>
        <w:ind w:left="360"/>
        <w:rPr>
          <w:rFonts w:ascii="Times New Roman" w:hAnsi="Times New Roman" w:cs="Times New Roman"/>
          <w:sz w:val="21"/>
          <w:szCs w:val="21"/>
          <w:lang w:val="fr-FR"/>
        </w:rPr>
      </w:pPr>
      <w:r w:rsidRPr="004D563E">
        <w:rPr>
          <w:rFonts w:ascii="Times New Roman" w:hAnsi="Times New Roman" w:cs="Times New Roman"/>
          <w:sz w:val="21"/>
          <w:szCs w:val="21"/>
          <w:lang w:val="fr-FR"/>
        </w:rPr>
        <w:t>ONCB</w:t>
      </w:r>
      <w:r w:rsidRPr="004D563E">
        <w:rPr>
          <w:rFonts w:ascii="Times New Roman" w:hAnsi="Times New Roman" w:cs="Times New Roman"/>
          <w:sz w:val="21"/>
          <w:szCs w:val="21"/>
          <w:lang w:val="fr-FR"/>
        </w:rPr>
        <w:tab/>
      </w:r>
      <w:r w:rsidRPr="004D563E">
        <w:rPr>
          <w:rFonts w:ascii="Times New Roman" w:hAnsi="Times New Roman" w:cs="Times New Roman"/>
          <w:sz w:val="21"/>
          <w:szCs w:val="21"/>
          <w:lang w:val="fr-FR"/>
        </w:rPr>
        <w:tab/>
        <w:t>Open National Competitive Bidding</w:t>
      </w:r>
    </w:p>
    <w:p w14:paraId="7BE1981B" w14:textId="7E534A98" w:rsidR="00807B78" w:rsidRPr="00677466" w:rsidRDefault="00807B78" w:rsidP="00677466">
      <w:pPr>
        <w:pStyle w:val="NoSpacing"/>
        <w:ind w:left="2160" w:hanging="1800"/>
        <w:rPr>
          <w:rFonts w:ascii="Times New Roman" w:hAnsi="Times New Roman" w:cs="Times New Roman"/>
          <w:sz w:val="21"/>
          <w:szCs w:val="21"/>
          <w:lang w:val="fr-FR"/>
        </w:rPr>
      </w:pPr>
      <w:r w:rsidRPr="004D563E">
        <w:rPr>
          <w:rFonts w:ascii="Times New Roman" w:hAnsi="Times New Roman" w:cs="Times New Roman"/>
          <w:sz w:val="21"/>
          <w:szCs w:val="21"/>
          <w:lang w:val="fr-FR"/>
        </w:rPr>
        <w:t>ONSSA</w:t>
      </w:r>
      <w:r w:rsidRPr="004D563E">
        <w:rPr>
          <w:rFonts w:ascii="Times New Roman" w:hAnsi="Times New Roman" w:cs="Times New Roman"/>
          <w:sz w:val="21"/>
          <w:szCs w:val="21"/>
          <w:lang w:val="fr-FR"/>
        </w:rPr>
        <w:tab/>
      </w:r>
      <w:r w:rsidRPr="0033395F">
        <w:rPr>
          <w:rFonts w:ascii="Times New Roman" w:hAnsi="Times New Roman" w:cs="Times New Roman"/>
          <w:i/>
          <w:sz w:val="21"/>
          <w:szCs w:val="21"/>
          <w:lang w:val="fr-FR"/>
        </w:rPr>
        <w:t>Office National de Sécurité Sanitaire des produits Alimentaires</w:t>
      </w:r>
      <w:r w:rsidR="00677466">
        <w:rPr>
          <w:rFonts w:ascii="Times New Roman" w:hAnsi="Times New Roman" w:cs="Times New Roman"/>
          <w:i/>
          <w:sz w:val="21"/>
          <w:szCs w:val="21"/>
          <w:lang w:val="fr-FR"/>
        </w:rPr>
        <w:t xml:space="preserve"> </w:t>
      </w:r>
      <w:r w:rsidR="00677466" w:rsidRPr="00677466">
        <w:rPr>
          <w:rFonts w:ascii="Times New Roman" w:hAnsi="Times New Roman" w:cs="Times New Roman"/>
          <w:sz w:val="21"/>
          <w:szCs w:val="21"/>
          <w:lang w:val="fr-FR"/>
        </w:rPr>
        <w:t>(National Food Safety Agency)</w:t>
      </w:r>
    </w:p>
    <w:p w14:paraId="6A0A9697" w14:textId="6C5627C4" w:rsidR="00301311" w:rsidRPr="00FA3400" w:rsidRDefault="00301311" w:rsidP="00807B78">
      <w:pPr>
        <w:pStyle w:val="NoSpacing"/>
        <w:ind w:left="360"/>
        <w:rPr>
          <w:rFonts w:ascii="Times New Roman" w:hAnsi="Times New Roman" w:cs="Times New Roman"/>
          <w:sz w:val="21"/>
          <w:szCs w:val="21"/>
          <w:lang w:val="fr-FR"/>
        </w:rPr>
      </w:pPr>
      <w:r w:rsidRPr="00FA3400">
        <w:rPr>
          <w:rFonts w:ascii="Times New Roman" w:hAnsi="Times New Roman" w:cs="Times New Roman"/>
          <w:sz w:val="21"/>
          <w:szCs w:val="21"/>
          <w:lang w:val="fr-FR"/>
        </w:rPr>
        <w:t>OPRC</w:t>
      </w:r>
      <w:r w:rsidRPr="00FA3400">
        <w:rPr>
          <w:rFonts w:ascii="Times New Roman" w:hAnsi="Times New Roman" w:cs="Times New Roman"/>
          <w:sz w:val="21"/>
          <w:szCs w:val="21"/>
          <w:lang w:val="fr-FR"/>
        </w:rPr>
        <w:tab/>
      </w:r>
      <w:r w:rsidRPr="00FA3400">
        <w:rPr>
          <w:rFonts w:ascii="Times New Roman" w:hAnsi="Times New Roman" w:cs="Times New Roman"/>
          <w:sz w:val="21"/>
          <w:szCs w:val="21"/>
          <w:lang w:val="fr-FR"/>
        </w:rPr>
        <w:tab/>
        <w:t>Operations Procurement Review Committee</w:t>
      </w:r>
    </w:p>
    <w:p w14:paraId="189549A2" w14:textId="416DB811" w:rsidR="00807B78" w:rsidRPr="00BC7BB5" w:rsidRDefault="0093455C" w:rsidP="00807B78">
      <w:pPr>
        <w:pStyle w:val="NoSpacing"/>
        <w:ind w:left="360"/>
        <w:rPr>
          <w:rFonts w:ascii="Times New Roman" w:hAnsi="Times New Roman" w:cs="Times New Roman"/>
          <w:sz w:val="21"/>
          <w:szCs w:val="21"/>
        </w:rPr>
      </w:pPr>
      <w:r>
        <w:rPr>
          <w:rFonts w:ascii="Times New Roman" w:hAnsi="Times New Roman" w:cs="Times New Roman"/>
          <w:sz w:val="21"/>
          <w:szCs w:val="21"/>
        </w:rPr>
        <w:t>P</w:t>
      </w:r>
      <w:r w:rsidR="008C1FE3">
        <w:rPr>
          <w:rFonts w:ascii="Times New Roman" w:hAnsi="Times New Roman" w:cs="Times New Roman"/>
          <w:sz w:val="21"/>
          <w:szCs w:val="21"/>
        </w:rPr>
        <w:t>f</w:t>
      </w:r>
      <w:r>
        <w:rPr>
          <w:rFonts w:ascii="Times New Roman" w:hAnsi="Times New Roman" w:cs="Times New Roman"/>
          <w:sz w:val="21"/>
          <w:szCs w:val="21"/>
        </w:rPr>
        <w:t>or</w:t>
      </w:r>
      <w:r w:rsidR="0033395F">
        <w:rPr>
          <w:rFonts w:ascii="Times New Roman" w:hAnsi="Times New Roman" w:cs="Times New Roman"/>
          <w:sz w:val="21"/>
          <w:szCs w:val="21"/>
        </w:rPr>
        <w:t>R</w:t>
      </w:r>
      <w:r w:rsidR="0033395F">
        <w:rPr>
          <w:rFonts w:ascii="Times New Roman" w:hAnsi="Times New Roman" w:cs="Times New Roman"/>
          <w:sz w:val="21"/>
          <w:szCs w:val="21"/>
        </w:rPr>
        <w:tab/>
      </w:r>
      <w:r w:rsidR="0033395F">
        <w:rPr>
          <w:rFonts w:ascii="Times New Roman" w:hAnsi="Times New Roman" w:cs="Times New Roman"/>
          <w:sz w:val="21"/>
          <w:szCs w:val="21"/>
        </w:rPr>
        <w:tab/>
        <w:t>Program</w:t>
      </w:r>
      <w:r w:rsidR="008C1FE3">
        <w:rPr>
          <w:rFonts w:ascii="Times New Roman" w:hAnsi="Times New Roman" w:cs="Times New Roman"/>
          <w:sz w:val="21"/>
          <w:szCs w:val="21"/>
        </w:rPr>
        <w:t>-</w:t>
      </w:r>
      <w:r w:rsidR="0033395F">
        <w:rPr>
          <w:rFonts w:ascii="Times New Roman" w:hAnsi="Times New Roman" w:cs="Times New Roman"/>
          <w:sz w:val="21"/>
          <w:szCs w:val="21"/>
        </w:rPr>
        <w:t>f</w:t>
      </w:r>
      <w:r w:rsidR="00807B78" w:rsidRPr="00BC7BB5">
        <w:rPr>
          <w:rFonts w:ascii="Times New Roman" w:hAnsi="Times New Roman" w:cs="Times New Roman"/>
          <w:sz w:val="21"/>
          <w:szCs w:val="21"/>
        </w:rPr>
        <w:t>or</w:t>
      </w:r>
      <w:r w:rsidR="008C1FE3">
        <w:rPr>
          <w:rFonts w:ascii="Times New Roman" w:hAnsi="Times New Roman" w:cs="Times New Roman"/>
          <w:sz w:val="21"/>
          <w:szCs w:val="21"/>
        </w:rPr>
        <w:t>-</w:t>
      </w:r>
      <w:r w:rsidR="00807B78" w:rsidRPr="00BC7BB5">
        <w:rPr>
          <w:rFonts w:ascii="Times New Roman" w:hAnsi="Times New Roman" w:cs="Times New Roman"/>
          <w:sz w:val="21"/>
          <w:szCs w:val="21"/>
        </w:rPr>
        <w:t>Results</w:t>
      </w:r>
    </w:p>
    <w:p w14:paraId="32368F37" w14:textId="77777777" w:rsidR="00807B78" w:rsidRPr="00BC7BB5" w:rsidRDefault="00807B78" w:rsidP="00807B78">
      <w:pPr>
        <w:pStyle w:val="NoSpacing"/>
        <w:ind w:left="360"/>
        <w:rPr>
          <w:rFonts w:ascii="Times New Roman" w:hAnsi="Times New Roman" w:cs="Times New Roman"/>
          <w:sz w:val="21"/>
          <w:szCs w:val="21"/>
        </w:rPr>
      </w:pPr>
      <w:r w:rsidRPr="00BC7BB5">
        <w:rPr>
          <w:rFonts w:ascii="Times New Roman" w:hAnsi="Times New Roman" w:cs="Times New Roman"/>
          <w:sz w:val="21"/>
          <w:szCs w:val="21"/>
        </w:rPr>
        <w:t>PAP</w:t>
      </w:r>
      <w:r w:rsidRPr="00BC7BB5">
        <w:rPr>
          <w:rFonts w:ascii="Times New Roman" w:hAnsi="Times New Roman" w:cs="Times New Roman"/>
          <w:sz w:val="21"/>
          <w:szCs w:val="21"/>
        </w:rPr>
        <w:tab/>
      </w:r>
      <w:r w:rsidRPr="00BC7BB5">
        <w:rPr>
          <w:rFonts w:ascii="Times New Roman" w:hAnsi="Times New Roman" w:cs="Times New Roman"/>
          <w:sz w:val="21"/>
          <w:szCs w:val="21"/>
        </w:rPr>
        <w:tab/>
        <w:t>Program Action Plan</w:t>
      </w:r>
    </w:p>
    <w:p w14:paraId="7220EFC5" w14:textId="77777777" w:rsidR="00807B78" w:rsidRPr="00BC7BB5" w:rsidRDefault="00807B78" w:rsidP="00807B78">
      <w:pPr>
        <w:pStyle w:val="NoSpacing"/>
        <w:ind w:left="360"/>
        <w:rPr>
          <w:rFonts w:ascii="Times New Roman" w:hAnsi="Times New Roman" w:cs="Times New Roman"/>
          <w:sz w:val="21"/>
          <w:szCs w:val="21"/>
        </w:rPr>
      </w:pPr>
      <w:r w:rsidRPr="00BC7BB5">
        <w:rPr>
          <w:rFonts w:ascii="Times New Roman" w:hAnsi="Times New Roman" w:cs="Times New Roman"/>
          <w:sz w:val="21"/>
          <w:szCs w:val="21"/>
        </w:rPr>
        <w:t>PDO</w:t>
      </w:r>
      <w:r w:rsidRPr="00BC7BB5">
        <w:rPr>
          <w:rFonts w:ascii="Times New Roman" w:hAnsi="Times New Roman" w:cs="Times New Roman"/>
          <w:sz w:val="21"/>
          <w:szCs w:val="21"/>
        </w:rPr>
        <w:tab/>
      </w:r>
      <w:r w:rsidRPr="00BC7BB5">
        <w:rPr>
          <w:rFonts w:ascii="Times New Roman" w:hAnsi="Times New Roman" w:cs="Times New Roman"/>
          <w:sz w:val="21"/>
          <w:szCs w:val="21"/>
        </w:rPr>
        <w:tab/>
        <w:t>Program Development Objective</w:t>
      </w:r>
    </w:p>
    <w:p w14:paraId="749B3AA5" w14:textId="77777777" w:rsidR="00807B78" w:rsidRPr="00BC7BB5" w:rsidRDefault="00807B78" w:rsidP="00807B78">
      <w:pPr>
        <w:pStyle w:val="NoSpacing"/>
        <w:ind w:left="360"/>
        <w:rPr>
          <w:rFonts w:ascii="Times New Roman" w:hAnsi="Times New Roman" w:cs="Times New Roman"/>
          <w:sz w:val="21"/>
          <w:szCs w:val="21"/>
        </w:rPr>
      </w:pPr>
      <w:r w:rsidRPr="00BC7BB5">
        <w:rPr>
          <w:rFonts w:ascii="Times New Roman" w:hAnsi="Times New Roman" w:cs="Times New Roman"/>
          <w:sz w:val="21"/>
          <w:szCs w:val="21"/>
        </w:rPr>
        <w:t>PEFA</w:t>
      </w:r>
      <w:r w:rsidRPr="00BC7BB5">
        <w:rPr>
          <w:rFonts w:ascii="Times New Roman" w:hAnsi="Times New Roman" w:cs="Times New Roman"/>
          <w:sz w:val="21"/>
          <w:szCs w:val="21"/>
        </w:rPr>
        <w:tab/>
      </w:r>
      <w:r w:rsidRPr="00BC7BB5">
        <w:rPr>
          <w:rFonts w:ascii="Times New Roman" w:hAnsi="Times New Roman" w:cs="Times New Roman"/>
          <w:sz w:val="21"/>
          <w:szCs w:val="21"/>
        </w:rPr>
        <w:tab/>
        <w:t>Public Expenditure and Financial Accountability</w:t>
      </w:r>
    </w:p>
    <w:p w14:paraId="5940016C" w14:textId="7C568358" w:rsidR="00061ED0" w:rsidRDefault="00061ED0" w:rsidP="00807B78">
      <w:pPr>
        <w:pStyle w:val="NoSpacing"/>
        <w:ind w:left="360"/>
        <w:rPr>
          <w:rFonts w:ascii="Times New Roman" w:hAnsi="Times New Roman" w:cs="Times New Roman"/>
          <w:sz w:val="21"/>
          <w:szCs w:val="21"/>
        </w:rPr>
      </w:pPr>
      <w:r w:rsidRPr="00061ED0">
        <w:rPr>
          <w:rFonts w:ascii="Times New Roman" w:hAnsi="Times New Roman" w:cs="Times New Roman"/>
          <w:sz w:val="21"/>
          <w:szCs w:val="21"/>
        </w:rPr>
        <w:t>PGI</w:t>
      </w:r>
      <w:r>
        <w:rPr>
          <w:rFonts w:ascii="Times New Roman" w:hAnsi="Times New Roman" w:cs="Times New Roman"/>
          <w:sz w:val="21"/>
          <w:szCs w:val="21"/>
        </w:rPr>
        <w:tab/>
      </w:r>
      <w:r>
        <w:rPr>
          <w:rFonts w:ascii="Times New Roman" w:hAnsi="Times New Roman" w:cs="Times New Roman"/>
          <w:sz w:val="21"/>
          <w:szCs w:val="21"/>
        </w:rPr>
        <w:tab/>
      </w:r>
      <w:r w:rsidRPr="00061ED0">
        <w:rPr>
          <w:rFonts w:ascii="Times New Roman" w:hAnsi="Times New Roman" w:cs="Times New Roman"/>
          <w:sz w:val="21"/>
          <w:szCs w:val="21"/>
        </w:rPr>
        <w:tab/>
        <w:t>Protected Geographical Indications</w:t>
      </w:r>
    </w:p>
    <w:p w14:paraId="0225C34E" w14:textId="667608E4" w:rsidR="00807B78" w:rsidRPr="00BC7BB5" w:rsidRDefault="00807B78" w:rsidP="00807B78">
      <w:pPr>
        <w:pStyle w:val="NoSpacing"/>
        <w:ind w:left="360"/>
        <w:rPr>
          <w:rFonts w:ascii="Times New Roman" w:hAnsi="Times New Roman" w:cs="Times New Roman"/>
          <w:sz w:val="21"/>
          <w:szCs w:val="21"/>
        </w:rPr>
      </w:pPr>
      <w:r w:rsidRPr="00BC7BB5">
        <w:rPr>
          <w:rFonts w:ascii="Times New Roman" w:hAnsi="Times New Roman" w:cs="Times New Roman"/>
          <w:sz w:val="21"/>
          <w:szCs w:val="21"/>
        </w:rPr>
        <w:t>PMU</w:t>
      </w:r>
      <w:r w:rsidRPr="00BC7BB5">
        <w:rPr>
          <w:rFonts w:ascii="Times New Roman" w:hAnsi="Times New Roman" w:cs="Times New Roman"/>
          <w:sz w:val="21"/>
          <w:szCs w:val="21"/>
        </w:rPr>
        <w:tab/>
      </w:r>
      <w:r w:rsidRPr="00BC7BB5">
        <w:rPr>
          <w:rFonts w:ascii="Times New Roman" w:hAnsi="Times New Roman" w:cs="Times New Roman"/>
          <w:sz w:val="21"/>
          <w:szCs w:val="21"/>
        </w:rPr>
        <w:tab/>
        <w:t>Program Management Unit</w:t>
      </w:r>
    </w:p>
    <w:p w14:paraId="7DC24872" w14:textId="470AE276" w:rsidR="00807B78" w:rsidRPr="00677466" w:rsidRDefault="00807B78" w:rsidP="00807B78">
      <w:pPr>
        <w:pStyle w:val="NoSpacing"/>
        <w:ind w:left="360"/>
        <w:rPr>
          <w:rFonts w:ascii="Times New Roman" w:hAnsi="Times New Roman" w:cs="Times New Roman"/>
          <w:sz w:val="21"/>
          <w:szCs w:val="21"/>
        </w:rPr>
      </w:pPr>
      <w:r w:rsidRPr="00BC7BB5">
        <w:rPr>
          <w:rFonts w:ascii="Times New Roman" w:hAnsi="Times New Roman" w:cs="Times New Roman"/>
          <w:sz w:val="21"/>
          <w:szCs w:val="21"/>
        </w:rPr>
        <w:t>PMV</w:t>
      </w:r>
      <w:r w:rsidRPr="00BC7BB5">
        <w:rPr>
          <w:rFonts w:ascii="Times New Roman" w:hAnsi="Times New Roman" w:cs="Times New Roman"/>
          <w:sz w:val="21"/>
          <w:szCs w:val="21"/>
        </w:rPr>
        <w:tab/>
      </w:r>
      <w:r w:rsidRPr="00BC7BB5">
        <w:rPr>
          <w:rFonts w:ascii="Times New Roman" w:hAnsi="Times New Roman" w:cs="Times New Roman"/>
          <w:sz w:val="21"/>
          <w:szCs w:val="21"/>
        </w:rPr>
        <w:tab/>
      </w:r>
      <w:r w:rsidRPr="0033395F">
        <w:rPr>
          <w:rFonts w:ascii="Times New Roman" w:hAnsi="Times New Roman" w:cs="Times New Roman"/>
          <w:i/>
          <w:sz w:val="21"/>
          <w:szCs w:val="21"/>
        </w:rPr>
        <w:t>Plan Maroc Vert</w:t>
      </w:r>
      <w:r w:rsidR="00677466">
        <w:rPr>
          <w:rFonts w:ascii="Times New Roman" w:hAnsi="Times New Roman" w:cs="Times New Roman"/>
          <w:i/>
          <w:sz w:val="21"/>
          <w:szCs w:val="21"/>
        </w:rPr>
        <w:t xml:space="preserve"> </w:t>
      </w:r>
      <w:r w:rsidR="00677466" w:rsidRPr="00677466">
        <w:rPr>
          <w:rFonts w:ascii="Times New Roman" w:hAnsi="Times New Roman" w:cs="Times New Roman"/>
          <w:sz w:val="21"/>
          <w:szCs w:val="21"/>
        </w:rPr>
        <w:t>(Morocco Green Plan)</w:t>
      </w:r>
    </w:p>
    <w:p w14:paraId="65D1CB3A" w14:textId="6F68462C" w:rsidR="001B784E" w:rsidRDefault="001B784E" w:rsidP="00807B78">
      <w:pPr>
        <w:pStyle w:val="NoSpacing"/>
        <w:ind w:left="360"/>
        <w:rPr>
          <w:rFonts w:ascii="Times New Roman" w:hAnsi="Times New Roman" w:cs="Times New Roman"/>
          <w:sz w:val="21"/>
          <w:szCs w:val="21"/>
        </w:rPr>
      </w:pPr>
      <w:r w:rsidRPr="001B784E">
        <w:rPr>
          <w:rFonts w:ascii="Times New Roman" w:hAnsi="Times New Roman" w:cs="Times New Roman"/>
          <w:sz w:val="21"/>
          <w:szCs w:val="21"/>
        </w:rPr>
        <w:t>PPP</w:t>
      </w:r>
      <w:r w:rsidRPr="001B784E">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ab/>
      </w:r>
      <w:r w:rsidRPr="001B784E">
        <w:rPr>
          <w:rFonts w:ascii="Times New Roman" w:hAnsi="Times New Roman" w:cs="Times New Roman"/>
          <w:sz w:val="21"/>
          <w:szCs w:val="21"/>
        </w:rPr>
        <w:t>Public-Private Partnership</w:t>
      </w:r>
    </w:p>
    <w:p w14:paraId="5B735E22" w14:textId="665EAEF8" w:rsidR="00312192" w:rsidRDefault="00A2050F" w:rsidP="00807B78">
      <w:pPr>
        <w:pStyle w:val="NoSpacing"/>
        <w:ind w:left="360"/>
        <w:rPr>
          <w:rFonts w:ascii="Times New Roman" w:hAnsi="Times New Roman" w:cs="Times New Roman"/>
          <w:sz w:val="21"/>
          <w:szCs w:val="21"/>
        </w:rPr>
      </w:pPr>
      <w:r w:rsidRPr="00A2050F">
        <w:rPr>
          <w:rFonts w:ascii="Times New Roman" w:hAnsi="Times New Roman" w:cs="Times New Roman"/>
          <w:sz w:val="21"/>
          <w:szCs w:val="21"/>
        </w:rPr>
        <w:t>R&amp;D</w:t>
      </w:r>
      <w:r w:rsidR="00312192" w:rsidRPr="00312192">
        <w:rPr>
          <w:rFonts w:ascii="Times New Roman" w:hAnsi="Times New Roman" w:cs="Times New Roman"/>
          <w:sz w:val="21"/>
          <w:szCs w:val="21"/>
        </w:rPr>
        <w:t xml:space="preserve"> </w:t>
      </w:r>
      <w:r w:rsidR="00312192">
        <w:rPr>
          <w:rFonts w:ascii="Times New Roman" w:hAnsi="Times New Roman" w:cs="Times New Roman"/>
          <w:sz w:val="21"/>
          <w:szCs w:val="21"/>
        </w:rPr>
        <w:t xml:space="preserve">                        </w:t>
      </w:r>
      <w:r w:rsidR="008C1FE3">
        <w:rPr>
          <w:rFonts w:ascii="Times New Roman" w:hAnsi="Times New Roman" w:cs="Times New Roman"/>
          <w:sz w:val="21"/>
          <w:szCs w:val="21"/>
        </w:rPr>
        <w:t xml:space="preserve"> </w:t>
      </w:r>
      <w:r w:rsidR="00312192" w:rsidRPr="00A2050F">
        <w:rPr>
          <w:rFonts w:ascii="Times New Roman" w:hAnsi="Times New Roman" w:cs="Times New Roman"/>
          <w:sz w:val="21"/>
          <w:szCs w:val="21"/>
        </w:rPr>
        <w:t xml:space="preserve">Research </w:t>
      </w:r>
      <w:r w:rsidR="007E08E8">
        <w:rPr>
          <w:rFonts w:ascii="Times New Roman" w:hAnsi="Times New Roman" w:cs="Times New Roman"/>
          <w:sz w:val="21"/>
          <w:szCs w:val="21"/>
        </w:rPr>
        <w:t>a</w:t>
      </w:r>
      <w:r w:rsidR="00312192" w:rsidRPr="00A2050F">
        <w:rPr>
          <w:rFonts w:ascii="Times New Roman" w:hAnsi="Times New Roman" w:cs="Times New Roman"/>
          <w:sz w:val="21"/>
          <w:szCs w:val="21"/>
        </w:rPr>
        <w:t>nd Development</w:t>
      </w:r>
    </w:p>
    <w:p w14:paraId="1A31364D" w14:textId="436070EA" w:rsidR="00A2050F" w:rsidRDefault="00312192" w:rsidP="00807B78">
      <w:pPr>
        <w:pStyle w:val="NoSpacing"/>
        <w:ind w:left="360"/>
        <w:rPr>
          <w:rFonts w:ascii="Times New Roman" w:hAnsi="Times New Roman" w:cs="Times New Roman"/>
          <w:sz w:val="21"/>
          <w:szCs w:val="21"/>
        </w:rPr>
      </w:pPr>
      <w:r>
        <w:rPr>
          <w:rFonts w:ascii="Times New Roman" w:hAnsi="Times New Roman" w:cs="Times New Roman"/>
          <w:sz w:val="21"/>
          <w:szCs w:val="21"/>
        </w:rPr>
        <w:t>RRA</w:t>
      </w:r>
      <w:r w:rsidR="00A2050F" w:rsidRPr="00A2050F">
        <w:rPr>
          <w:rFonts w:ascii="Times New Roman" w:hAnsi="Times New Roman" w:cs="Times New Roman"/>
          <w:sz w:val="21"/>
          <w:szCs w:val="21"/>
        </w:rPr>
        <w:tab/>
      </w:r>
      <w:r w:rsidR="00A2050F">
        <w:rPr>
          <w:rFonts w:ascii="Times New Roman" w:hAnsi="Times New Roman" w:cs="Times New Roman"/>
          <w:sz w:val="21"/>
          <w:szCs w:val="21"/>
        </w:rPr>
        <w:tab/>
      </w:r>
      <w:r w:rsidRPr="0033395F">
        <w:rPr>
          <w:rFonts w:ascii="Times New Roman" w:hAnsi="Times New Roman" w:cs="Times New Roman"/>
          <w:i/>
          <w:sz w:val="21"/>
          <w:szCs w:val="21"/>
        </w:rPr>
        <w:t>Rabat R</w:t>
      </w:r>
      <w:r w:rsidR="007E08E8" w:rsidRPr="0033395F">
        <w:rPr>
          <w:rFonts w:ascii="Times New Roman" w:hAnsi="Times New Roman" w:cs="Times New Roman"/>
          <w:i/>
          <w:sz w:val="21"/>
          <w:szCs w:val="21"/>
        </w:rPr>
        <w:t>é</w:t>
      </w:r>
      <w:r w:rsidRPr="0033395F">
        <w:rPr>
          <w:rFonts w:ascii="Times New Roman" w:hAnsi="Times New Roman" w:cs="Times New Roman"/>
          <w:i/>
          <w:sz w:val="21"/>
          <w:szCs w:val="21"/>
        </w:rPr>
        <w:t>gion Am</w:t>
      </w:r>
      <w:r w:rsidR="007E08E8" w:rsidRPr="0033395F">
        <w:rPr>
          <w:rFonts w:ascii="Times New Roman" w:hAnsi="Times New Roman" w:cs="Times New Roman"/>
          <w:i/>
          <w:sz w:val="21"/>
          <w:szCs w:val="21"/>
        </w:rPr>
        <w:t>é</w:t>
      </w:r>
      <w:r w:rsidRPr="0033395F">
        <w:rPr>
          <w:rFonts w:ascii="Times New Roman" w:hAnsi="Times New Roman" w:cs="Times New Roman"/>
          <w:i/>
          <w:sz w:val="21"/>
          <w:szCs w:val="21"/>
        </w:rPr>
        <w:t>nagement</w:t>
      </w:r>
    </w:p>
    <w:p w14:paraId="216237B4" w14:textId="3DA91256" w:rsidR="00807B78" w:rsidRPr="00BC7BB5" w:rsidRDefault="00807B78" w:rsidP="00807B78">
      <w:pPr>
        <w:pStyle w:val="NoSpacing"/>
        <w:ind w:left="360"/>
        <w:rPr>
          <w:rFonts w:ascii="Times New Roman" w:hAnsi="Times New Roman" w:cs="Times New Roman"/>
          <w:sz w:val="21"/>
          <w:szCs w:val="21"/>
        </w:rPr>
      </w:pPr>
      <w:r w:rsidRPr="00BC7BB5">
        <w:rPr>
          <w:rFonts w:ascii="Times New Roman" w:hAnsi="Times New Roman" w:cs="Times New Roman"/>
          <w:sz w:val="21"/>
          <w:szCs w:val="21"/>
        </w:rPr>
        <w:t>SCD</w:t>
      </w:r>
      <w:r w:rsidR="00CA2C03" w:rsidRPr="00BC7BB5">
        <w:rPr>
          <w:rFonts w:ascii="Times New Roman" w:hAnsi="Times New Roman" w:cs="Times New Roman"/>
          <w:sz w:val="21"/>
          <w:szCs w:val="21"/>
        </w:rPr>
        <w:tab/>
      </w:r>
      <w:r w:rsidR="00CA2C03" w:rsidRPr="00BC7BB5">
        <w:rPr>
          <w:rFonts w:ascii="Times New Roman" w:hAnsi="Times New Roman" w:cs="Times New Roman"/>
          <w:sz w:val="21"/>
          <w:szCs w:val="21"/>
        </w:rPr>
        <w:tab/>
        <w:t>Systematic Country Diagnostic</w:t>
      </w:r>
    </w:p>
    <w:p w14:paraId="4FFFA95D" w14:textId="775D62FF" w:rsidR="00807B78" w:rsidRPr="00677466" w:rsidRDefault="00807B78" w:rsidP="00807B78">
      <w:pPr>
        <w:pStyle w:val="NoSpacing"/>
        <w:ind w:left="360"/>
        <w:rPr>
          <w:rFonts w:ascii="Times New Roman" w:hAnsi="Times New Roman" w:cs="Times New Roman"/>
          <w:sz w:val="21"/>
          <w:szCs w:val="21"/>
          <w:lang w:val="fr-FR"/>
        </w:rPr>
      </w:pPr>
      <w:r w:rsidRPr="004A4845">
        <w:rPr>
          <w:rFonts w:ascii="Times New Roman" w:hAnsi="Times New Roman" w:cs="Times New Roman"/>
          <w:sz w:val="21"/>
          <w:szCs w:val="21"/>
          <w:lang w:val="fr-FR"/>
        </w:rPr>
        <w:t>SDL</w:t>
      </w:r>
      <w:r w:rsidRPr="004A4845">
        <w:rPr>
          <w:rFonts w:ascii="Times New Roman" w:hAnsi="Times New Roman" w:cs="Times New Roman"/>
          <w:sz w:val="21"/>
          <w:szCs w:val="21"/>
          <w:lang w:val="fr-FR"/>
        </w:rPr>
        <w:tab/>
      </w:r>
      <w:r w:rsidRPr="004A4845">
        <w:rPr>
          <w:rFonts w:ascii="Times New Roman" w:hAnsi="Times New Roman" w:cs="Times New Roman"/>
          <w:sz w:val="21"/>
          <w:szCs w:val="21"/>
          <w:lang w:val="fr-FR"/>
        </w:rPr>
        <w:tab/>
      </w:r>
      <w:r w:rsidRPr="0033395F">
        <w:rPr>
          <w:rFonts w:ascii="Times New Roman" w:hAnsi="Times New Roman" w:cs="Times New Roman"/>
          <w:i/>
          <w:sz w:val="21"/>
          <w:szCs w:val="21"/>
          <w:lang w:val="fr-FR"/>
        </w:rPr>
        <w:t>Société de Dévelopment Local</w:t>
      </w:r>
      <w:r w:rsidR="00677466">
        <w:rPr>
          <w:rFonts w:ascii="Times New Roman" w:hAnsi="Times New Roman" w:cs="Times New Roman"/>
          <w:i/>
          <w:sz w:val="21"/>
          <w:szCs w:val="21"/>
          <w:lang w:val="fr-FR"/>
        </w:rPr>
        <w:t xml:space="preserve"> </w:t>
      </w:r>
      <w:r w:rsidR="00677466" w:rsidRPr="00677466">
        <w:rPr>
          <w:rFonts w:ascii="Times New Roman" w:hAnsi="Times New Roman" w:cs="Times New Roman"/>
          <w:sz w:val="21"/>
          <w:szCs w:val="21"/>
          <w:lang w:val="fr-FR"/>
        </w:rPr>
        <w:t xml:space="preserve">(Local Development </w:t>
      </w:r>
      <w:r w:rsidR="00677466">
        <w:rPr>
          <w:rFonts w:ascii="Times New Roman" w:hAnsi="Times New Roman" w:cs="Times New Roman"/>
          <w:sz w:val="21"/>
          <w:szCs w:val="21"/>
          <w:lang w:val="fr-FR"/>
        </w:rPr>
        <w:t>Company</w:t>
      </w:r>
      <w:r w:rsidR="00677466" w:rsidRPr="00677466">
        <w:rPr>
          <w:rFonts w:ascii="Times New Roman" w:hAnsi="Times New Roman" w:cs="Times New Roman"/>
          <w:sz w:val="21"/>
          <w:szCs w:val="21"/>
          <w:lang w:val="fr-FR"/>
        </w:rPr>
        <w:t>)</w:t>
      </w:r>
    </w:p>
    <w:p w14:paraId="1E113EBC" w14:textId="51188C18" w:rsidR="00807B78" w:rsidRDefault="00807B78" w:rsidP="00807B78">
      <w:pPr>
        <w:pStyle w:val="NoSpacing"/>
        <w:ind w:left="2160" w:hanging="1800"/>
        <w:rPr>
          <w:rFonts w:ascii="Times New Roman" w:hAnsi="Times New Roman" w:cs="Times New Roman"/>
          <w:sz w:val="21"/>
          <w:szCs w:val="21"/>
          <w:lang w:val="fr-FR"/>
        </w:rPr>
      </w:pPr>
      <w:r w:rsidRPr="004A4845">
        <w:rPr>
          <w:rFonts w:ascii="Times New Roman" w:hAnsi="Times New Roman" w:cs="Times New Roman"/>
          <w:sz w:val="21"/>
          <w:szCs w:val="21"/>
          <w:lang w:val="fr-FR"/>
        </w:rPr>
        <w:lastRenderedPageBreak/>
        <w:t>SDOQ</w:t>
      </w:r>
      <w:r w:rsidRPr="004A4845">
        <w:rPr>
          <w:rFonts w:ascii="Times New Roman" w:hAnsi="Times New Roman" w:cs="Times New Roman"/>
          <w:sz w:val="21"/>
          <w:szCs w:val="21"/>
          <w:lang w:val="fr-FR"/>
        </w:rPr>
        <w:tab/>
      </w:r>
      <w:r w:rsidRPr="00F20464">
        <w:rPr>
          <w:rFonts w:ascii="Times New Roman" w:hAnsi="Times New Roman" w:cs="Times New Roman"/>
          <w:i/>
          <w:sz w:val="21"/>
          <w:szCs w:val="21"/>
          <w:lang w:val="fr-FR"/>
        </w:rPr>
        <w:t>Signes Distinctifs d’Origine et de Qualité</w:t>
      </w:r>
      <w:r w:rsidRPr="004A4845">
        <w:rPr>
          <w:rFonts w:ascii="Times New Roman" w:hAnsi="Times New Roman" w:cs="Times New Roman"/>
          <w:sz w:val="21"/>
          <w:szCs w:val="21"/>
          <w:lang w:val="fr-FR"/>
        </w:rPr>
        <w:t xml:space="preserve"> (Distinctive Signs of Origin and Quality)</w:t>
      </w:r>
    </w:p>
    <w:p w14:paraId="35C35035" w14:textId="73CA6224" w:rsidR="00AC1BC2" w:rsidRPr="00F20464" w:rsidRDefault="00AC1BC2" w:rsidP="00807B78">
      <w:pPr>
        <w:pStyle w:val="NoSpacing"/>
        <w:ind w:left="2160" w:hanging="1800"/>
        <w:rPr>
          <w:rFonts w:ascii="Times New Roman" w:hAnsi="Times New Roman" w:cs="Times New Roman"/>
          <w:sz w:val="21"/>
          <w:szCs w:val="21"/>
          <w:lang w:val="fr-FR"/>
        </w:rPr>
      </w:pPr>
      <w:r>
        <w:rPr>
          <w:rFonts w:ascii="Times New Roman" w:hAnsi="Times New Roman" w:cs="Times New Roman"/>
          <w:sz w:val="21"/>
          <w:szCs w:val="21"/>
          <w:lang w:val="fr-FR"/>
        </w:rPr>
        <w:t>SDR</w:t>
      </w:r>
      <w:r>
        <w:rPr>
          <w:rFonts w:ascii="Times New Roman" w:hAnsi="Times New Roman" w:cs="Times New Roman"/>
          <w:sz w:val="21"/>
          <w:szCs w:val="21"/>
          <w:lang w:val="fr-FR"/>
        </w:rPr>
        <w:tab/>
      </w:r>
      <w:r w:rsidRPr="0033395F">
        <w:rPr>
          <w:rFonts w:ascii="Times New Roman" w:hAnsi="Times New Roman" w:cs="Times New Roman"/>
          <w:i/>
          <w:sz w:val="21"/>
          <w:szCs w:val="21"/>
          <w:lang w:val="fr-FR"/>
        </w:rPr>
        <w:t>Société de Développement Régional</w:t>
      </w:r>
      <w:r w:rsidR="00F20464">
        <w:rPr>
          <w:rFonts w:ascii="Times New Roman" w:hAnsi="Times New Roman" w:cs="Times New Roman"/>
          <w:i/>
          <w:sz w:val="21"/>
          <w:szCs w:val="21"/>
          <w:lang w:val="fr-FR"/>
        </w:rPr>
        <w:t xml:space="preserve"> </w:t>
      </w:r>
      <w:r w:rsidR="00F20464" w:rsidRPr="00F20464">
        <w:rPr>
          <w:rFonts w:ascii="Times New Roman" w:hAnsi="Times New Roman" w:cs="Times New Roman"/>
          <w:sz w:val="21"/>
          <w:szCs w:val="21"/>
          <w:lang w:val="fr-FR"/>
        </w:rPr>
        <w:t>(Regional Development Company)</w:t>
      </w:r>
    </w:p>
    <w:p w14:paraId="16A085FF" w14:textId="3E0B587F" w:rsidR="00807B78" w:rsidRPr="00FA3400" w:rsidRDefault="00807B78" w:rsidP="00807B78">
      <w:pPr>
        <w:pStyle w:val="NoSpacing"/>
        <w:ind w:left="360"/>
        <w:rPr>
          <w:rFonts w:ascii="Times New Roman" w:hAnsi="Times New Roman" w:cs="Times New Roman"/>
          <w:sz w:val="21"/>
          <w:szCs w:val="21"/>
        </w:rPr>
      </w:pPr>
      <w:r w:rsidRPr="00FA3400">
        <w:rPr>
          <w:rFonts w:ascii="Times New Roman" w:hAnsi="Times New Roman" w:cs="Times New Roman"/>
          <w:sz w:val="21"/>
          <w:szCs w:val="21"/>
        </w:rPr>
        <w:t>SECO</w:t>
      </w:r>
      <w:r w:rsidR="00CA2C03" w:rsidRPr="00FA3400">
        <w:rPr>
          <w:rFonts w:ascii="Times New Roman" w:hAnsi="Times New Roman" w:cs="Times New Roman"/>
          <w:sz w:val="21"/>
          <w:szCs w:val="21"/>
        </w:rPr>
        <w:tab/>
      </w:r>
      <w:r w:rsidR="00CA2C03" w:rsidRPr="00FA3400">
        <w:rPr>
          <w:rFonts w:ascii="Times New Roman" w:hAnsi="Times New Roman" w:cs="Times New Roman"/>
          <w:sz w:val="21"/>
          <w:szCs w:val="21"/>
        </w:rPr>
        <w:tab/>
        <w:t>Swiss State Secretariat for Economic Affairs</w:t>
      </w:r>
    </w:p>
    <w:p w14:paraId="274136FE" w14:textId="77777777" w:rsidR="00807B78" w:rsidRPr="00BC7BB5" w:rsidRDefault="00807B78" w:rsidP="00807B78">
      <w:pPr>
        <w:pStyle w:val="NoSpacing"/>
        <w:ind w:left="360"/>
        <w:rPr>
          <w:rFonts w:ascii="Times New Roman" w:hAnsi="Times New Roman" w:cs="Times New Roman"/>
          <w:sz w:val="21"/>
          <w:szCs w:val="21"/>
        </w:rPr>
      </w:pPr>
      <w:r w:rsidRPr="00BC7BB5">
        <w:rPr>
          <w:rFonts w:ascii="Times New Roman" w:hAnsi="Times New Roman" w:cs="Times New Roman"/>
          <w:sz w:val="21"/>
          <w:szCs w:val="21"/>
        </w:rPr>
        <w:t>SME</w:t>
      </w:r>
      <w:r w:rsidRPr="00BC7BB5">
        <w:rPr>
          <w:rFonts w:ascii="Times New Roman" w:hAnsi="Times New Roman" w:cs="Times New Roman"/>
          <w:sz w:val="21"/>
          <w:szCs w:val="21"/>
        </w:rPr>
        <w:tab/>
      </w:r>
      <w:r w:rsidRPr="00BC7BB5">
        <w:rPr>
          <w:rFonts w:ascii="Times New Roman" w:hAnsi="Times New Roman" w:cs="Times New Roman"/>
          <w:sz w:val="21"/>
          <w:szCs w:val="21"/>
        </w:rPr>
        <w:tab/>
        <w:t>Small and Medium Enterprises</w:t>
      </w:r>
    </w:p>
    <w:p w14:paraId="0BE78053" w14:textId="77777777" w:rsidR="00807B78" w:rsidRPr="00BC7BB5" w:rsidRDefault="00807B78" w:rsidP="00807B78">
      <w:pPr>
        <w:pStyle w:val="NoSpacing"/>
        <w:ind w:left="360"/>
        <w:rPr>
          <w:rFonts w:ascii="Times New Roman" w:hAnsi="Times New Roman" w:cs="Times New Roman"/>
          <w:sz w:val="21"/>
          <w:szCs w:val="21"/>
        </w:rPr>
      </w:pPr>
      <w:r w:rsidRPr="00BC7BB5">
        <w:rPr>
          <w:rFonts w:ascii="Times New Roman" w:hAnsi="Times New Roman" w:cs="Times New Roman"/>
          <w:sz w:val="21"/>
          <w:szCs w:val="21"/>
        </w:rPr>
        <w:t>SNDD</w:t>
      </w:r>
      <w:r w:rsidRPr="00BC7BB5">
        <w:rPr>
          <w:rFonts w:ascii="Times New Roman" w:hAnsi="Times New Roman" w:cs="Times New Roman"/>
          <w:sz w:val="21"/>
          <w:szCs w:val="21"/>
        </w:rPr>
        <w:tab/>
      </w:r>
      <w:r w:rsidRPr="00BC7BB5">
        <w:rPr>
          <w:rFonts w:ascii="Times New Roman" w:hAnsi="Times New Roman" w:cs="Times New Roman"/>
          <w:sz w:val="21"/>
          <w:szCs w:val="21"/>
        </w:rPr>
        <w:tab/>
        <w:t>National Sustainable Development Strategy</w:t>
      </w:r>
    </w:p>
    <w:p w14:paraId="4B329FA8" w14:textId="77777777" w:rsidR="00807B78" w:rsidRPr="00BC7BB5" w:rsidRDefault="00807B78" w:rsidP="00807B78">
      <w:pPr>
        <w:pStyle w:val="NoSpacing"/>
        <w:ind w:left="360"/>
        <w:rPr>
          <w:rFonts w:ascii="Times New Roman" w:hAnsi="Times New Roman" w:cs="Times New Roman"/>
          <w:sz w:val="21"/>
          <w:szCs w:val="21"/>
        </w:rPr>
      </w:pPr>
      <w:r w:rsidRPr="00BC7BB5">
        <w:rPr>
          <w:rFonts w:ascii="Times New Roman" w:hAnsi="Times New Roman" w:cs="Times New Roman"/>
          <w:sz w:val="21"/>
          <w:szCs w:val="21"/>
        </w:rPr>
        <w:t>SORT</w:t>
      </w:r>
      <w:r w:rsidRPr="00BC7BB5">
        <w:rPr>
          <w:rFonts w:ascii="Times New Roman" w:hAnsi="Times New Roman" w:cs="Times New Roman"/>
          <w:sz w:val="21"/>
          <w:szCs w:val="21"/>
        </w:rPr>
        <w:tab/>
      </w:r>
      <w:r w:rsidRPr="00BC7BB5">
        <w:rPr>
          <w:rFonts w:ascii="Times New Roman" w:hAnsi="Times New Roman" w:cs="Times New Roman"/>
          <w:sz w:val="21"/>
          <w:szCs w:val="21"/>
        </w:rPr>
        <w:tab/>
        <w:t>Systematic Operations Risk-Rating Tool</w:t>
      </w:r>
    </w:p>
    <w:p w14:paraId="7023D003" w14:textId="2BCD66C4" w:rsidR="00807B78" w:rsidRDefault="00807B78" w:rsidP="00807B78">
      <w:pPr>
        <w:pStyle w:val="NoSpacing"/>
        <w:ind w:left="360"/>
        <w:rPr>
          <w:rFonts w:ascii="Times New Roman" w:hAnsi="Times New Roman" w:cs="Times New Roman"/>
          <w:sz w:val="21"/>
          <w:szCs w:val="21"/>
        </w:rPr>
      </w:pPr>
      <w:r w:rsidRPr="00BC7BB5">
        <w:rPr>
          <w:rFonts w:ascii="Times New Roman" w:hAnsi="Times New Roman" w:cs="Times New Roman"/>
          <w:sz w:val="21"/>
          <w:szCs w:val="21"/>
        </w:rPr>
        <w:t>SPS</w:t>
      </w:r>
      <w:r w:rsidRPr="00BC7BB5">
        <w:rPr>
          <w:rFonts w:ascii="Times New Roman" w:hAnsi="Times New Roman" w:cs="Times New Roman"/>
          <w:sz w:val="21"/>
          <w:szCs w:val="21"/>
        </w:rPr>
        <w:tab/>
      </w:r>
      <w:r w:rsidRPr="00BC7BB5">
        <w:rPr>
          <w:rFonts w:ascii="Times New Roman" w:hAnsi="Times New Roman" w:cs="Times New Roman"/>
          <w:sz w:val="21"/>
          <w:szCs w:val="21"/>
        </w:rPr>
        <w:tab/>
      </w:r>
      <w:r w:rsidR="00CA2C03" w:rsidRPr="00BC7BB5">
        <w:rPr>
          <w:rFonts w:ascii="Times New Roman" w:hAnsi="Times New Roman" w:cs="Times New Roman"/>
          <w:sz w:val="21"/>
          <w:szCs w:val="21"/>
        </w:rPr>
        <w:tab/>
      </w:r>
      <w:r w:rsidRPr="00BC7BB5">
        <w:rPr>
          <w:rFonts w:ascii="Times New Roman" w:hAnsi="Times New Roman" w:cs="Times New Roman"/>
          <w:sz w:val="21"/>
          <w:szCs w:val="21"/>
        </w:rPr>
        <w:t>Sanitary and Phytosanitary</w:t>
      </w:r>
    </w:p>
    <w:p w14:paraId="01EC4399" w14:textId="4B9ED8D4" w:rsidR="00312192" w:rsidRPr="00BC7BB5" w:rsidRDefault="00312192" w:rsidP="00807B78">
      <w:pPr>
        <w:pStyle w:val="NoSpacing"/>
        <w:ind w:left="360"/>
        <w:rPr>
          <w:rFonts w:ascii="Times New Roman" w:hAnsi="Times New Roman" w:cs="Times New Roman"/>
          <w:sz w:val="21"/>
          <w:szCs w:val="21"/>
        </w:rPr>
      </w:pPr>
      <w:r>
        <w:rPr>
          <w:rFonts w:ascii="Times New Roman" w:hAnsi="Times New Roman" w:cs="Times New Roman"/>
          <w:sz w:val="21"/>
          <w:szCs w:val="21"/>
        </w:rPr>
        <w:t xml:space="preserve">SSSD                         </w:t>
      </w:r>
      <w:r w:rsidRPr="00443CCD">
        <w:rPr>
          <w:rFonts w:ascii="Times New Roman" w:hAnsi="Times New Roman"/>
        </w:rPr>
        <w:t>State Secretariat for Sustainable Development</w:t>
      </w:r>
      <w:r w:rsidR="0033395F">
        <w:rPr>
          <w:rFonts w:ascii="Times New Roman" w:hAnsi="Times New Roman"/>
        </w:rPr>
        <w:t xml:space="preserve"> of the Ministry of Environment</w:t>
      </w:r>
    </w:p>
    <w:p w14:paraId="23D03059" w14:textId="49F85EB5" w:rsidR="004608B0" w:rsidRDefault="004608B0" w:rsidP="00807B78">
      <w:pPr>
        <w:pStyle w:val="NoSpacing"/>
        <w:ind w:left="360"/>
        <w:rPr>
          <w:rFonts w:ascii="Times New Roman" w:hAnsi="Times New Roman" w:cs="Times New Roman"/>
          <w:sz w:val="21"/>
          <w:szCs w:val="21"/>
        </w:rPr>
      </w:pPr>
      <w:r w:rsidRPr="004608B0">
        <w:rPr>
          <w:rFonts w:ascii="Times New Roman" w:hAnsi="Times New Roman" w:cs="Times New Roman"/>
          <w:sz w:val="21"/>
          <w:szCs w:val="21"/>
        </w:rPr>
        <w:t>TA</w:t>
      </w:r>
      <w:r w:rsidRPr="004608B0">
        <w:rPr>
          <w:rFonts w:ascii="Times New Roman" w:hAnsi="Times New Roman" w:cs="Times New Roman"/>
          <w:sz w:val="21"/>
          <w:szCs w:val="21"/>
        </w:rPr>
        <w:tab/>
      </w:r>
      <w:r w:rsidRPr="004608B0">
        <w:rPr>
          <w:rFonts w:ascii="Times New Roman" w:hAnsi="Times New Roman" w:cs="Times New Roman"/>
          <w:sz w:val="21"/>
          <w:szCs w:val="21"/>
        </w:rPr>
        <w:tab/>
      </w:r>
      <w:r>
        <w:rPr>
          <w:rFonts w:ascii="Times New Roman" w:hAnsi="Times New Roman" w:cs="Times New Roman"/>
          <w:sz w:val="21"/>
          <w:szCs w:val="21"/>
        </w:rPr>
        <w:tab/>
      </w:r>
      <w:r w:rsidRPr="004608B0">
        <w:rPr>
          <w:rFonts w:ascii="Times New Roman" w:hAnsi="Times New Roman" w:cs="Times New Roman"/>
          <w:sz w:val="21"/>
          <w:szCs w:val="21"/>
        </w:rPr>
        <w:t xml:space="preserve">Technical </w:t>
      </w:r>
      <w:r w:rsidR="008C1FE3">
        <w:rPr>
          <w:rFonts w:ascii="Times New Roman" w:hAnsi="Times New Roman" w:cs="Times New Roman"/>
          <w:sz w:val="21"/>
          <w:szCs w:val="21"/>
        </w:rPr>
        <w:t>a</w:t>
      </w:r>
      <w:r w:rsidRPr="004608B0">
        <w:rPr>
          <w:rFonts w:ascii="Times New Roman" w:hAnsi="Times New Roman" w:cs="Times New Roman"/>
          <w:sz w:val="21"/>
          <w:szCs w:val="21"/>
        </w:rPr>
        <w:t>ssistance</w:t>
      </w:r>
    </w:p>
    <w:p w14:paraId="28EFF715" w14:textId="1BB38780" w:rsidR="00807B78" w:rsidRPr="00BC7BB5" w:rsidRDefault="00807B78" w:rsidP="00807B78">
      <w:pPr>
        <w:pStyle w:val="NoSpacing"/>
        <w:ind w:left="360"/>
        <w:rPr>
          <w:rFonts w:ascii="Times New Roman" w:hAnsi="Times New Roman" w:cs="Times New Roman"/>
          <w:sz w:val="21"/>
          <w:szCs w:val="21"/>
        </w:rPr>
      </w:pPr>
      <w:r w:rsidRPr="00BC7BB5">
        <w:rPr>
          <w:rFonts w:ascii="Times New Roman" w:hAnsi="Times New Roman" w:cs="Times New Roman"/>
          <w:sz w:val="21"/>
          <w:szCs w:val="21"/>
        </w:rPr>
        <w:t>UNDP</w:t>
      </w:r>
      <w:r w:rsidRPr="00BC7BB5">
        <w:rPr>
          <w:rFonts w:ascii="Times New Roman" w:hAnsi="Times New Roman" w:cs="Times New Roman"/>
          <w:sz w:val="21"/>
          <w:szCs w:val="21"/>
        </w:rPr>
        <w:tab/>
      </w:r>
      <w:r w:rsidRPr="00BC7BB5">
        <w:rPr>
          <w:rFonts w:ascii="Times New Roman" w:hAnsi="Times New Roman" w:cs="Times New Roman"/>
          <w:sz w:val="21"/>
          <w:szCs w:val="21"/>
        </w:rPr>
        <w:tab/>
      </w:r>
      <w:r w:rsidR="00CA2C03" w:rsidRPr="00BC7BB5">
        <w:rPr>
          <w:rFonts w:ascii="Times New Roman" w:hAnsi="Times New Roman" w:cs="Times New Roman"/>
          <w:sz w:val="21"/>
          <w:szCs w:val="21"/>
        </w:rPr>
        <w:t>United Nations Development Program</w:t>
      </w:r>
    </w:p>
    <w:p w14:paraId="18E69B00" w14:textId="77777777" w:rsidR="00807B78" w:rsidRPr="00BC7BB5" w:rsidRDefault="00807B78" w:rsidP="00807B78">
      <w:pPr>
        <w:pStyle w:val="NoSpacing"/>
        <w:ind w:left="360"/>
        <w:rPr>
          <w:rFonts w:ascii="Times New Roman" w:hAnsi="Times New Roman" w:cs="Times New Roman"/>
          <w:sz w:val="21"/>
          <w:szCs w:val="21"/>
        </w:rPr>
      </w:pPr>
      <w:r w:rsidRPr="00BC7BB5">
        <w:rPr>
          <w:rFonts w:ascii="Times New Roman" w:hAnsi="Times New Roman" w:cs="Times New Roman"/>
          <w:sz w:val="21"/>
          <w:szCs w:val="21"/>
        </w:rPr>
        <w:t>US</w:t>
      </w:r>
      <w:r w:rsidRPr="00BC7BB5">
        <w:rPr>
          <w:rFonts w:ascii="Times New Roman" w:hAnsi="Times New Roman" w:cs="Times New Roman"/>
          <w:sz w:val="21"/>
          <w:szCs w:val="21"/>
        </w:rPr>
        <w:tab/>
      </w:r>
      <w:r w:rsidRPr="00BC7BB5">
        <w:rPr>
          <w:rFonts w:ascii="Times New Roman" w:hAnsi="Times New Roman" w:cs="Times New Roman"/>
          <w:sz w:val="21"/>
          <w:szCs w:val="21"/>
        </w:rPr>
        <w:tab/>
      </w:r>
      <w:r w:rsidRPr="00BC7BB5">
        <w:rPr>
          <w:rFonts w:ascii="Times New Roman" w:hAnsi="Times New Roman" w:cs="Times New Roman"/>
          <w:sz w:val="21"/>
          <w:szCs w:val="21"/>
        </w:rPr>
        <w:tab/>
        <w:t>United States of America</w:t>
      </w:r>
    </w:p>
    <w:p w14:paraId="7C110AC7" w14:textId="77777777" w:rsidR="00807B78" w:rsidRPr="00BC7BB5" w:rsidRDefault="00807B78" w:rsidP="00807B78">
      <w:pPr>
        <w:pStyle w:val="NoSpacing"/>
        <w:ind w:left="360"/>
        <w:rPr>
          <w:rFonts w:ascii="Times New Roman" w:hAnsi="Times New Roman" w:cs="Times New Roman"/>
          <w:sz w:val="21"/>
          <w:szCs w:val="21"/>
        </w:rPr>
      </w:pPr>
      <w:r w:rsidRPr="00BC7BB5">
        <w:rPr>
          <w:rFonts w:ascii="Times New Roman" w:hAnsi="Times New Roman" w:cs="Times New Roman"/>
          <w:sz w:val="21"/>
          <w:szCs w:val="21"/>
        </w:rPr>
        <w:t>WB</w:t>
      </w:r>
      <w:r w:rsidRPr="00BC7BB5">
        <w:rPr>
          <w:rFonts w:ascii="Times New Roman" w:hAnsi="Times New Roman" w:cs="Times New Roman"/>
          <w:sz w:val="21"/>
          <w:szCs w:val="21"/>
        </w:rPr>
        <w:tab/>
      </w:r>
      <w:r w:rsidRPr="00BC7BB5">
        <w:rPr>
          <w:rFonts w:ascii="Times New Roman" w:hAnsi="Times New Roman" w:cs="Times New Roman"/>
          <w:sz w:val="21"/>
          <w:szCs w:val="21"/>
        </w:rPr>
        <w:tab/>
      </w:r>
      <w:r w:rsidRPr="00BC7BB5">
        <w:rPr>
          <w:rFonts w:ascii="Times New Roman" w:hAnsi="Times New Roman" w:cs="Times New Roman"/>
          <w:sz w:val="21"/>
          <w:szCs w:val="21"/>
        </w:rPr>
        <w:tab/>
        <w:t>World Bank</w:t>
      </w:r>
    </w:p>
    <w:p w14:paraId="53B2A032" w14:textId="4C563330" w:rsidR="002F20EB" w:rsidRDefault="002F20EB" w:rsidP="002F20EB">
      <w:pPr>
        <w:autoSpaceDE w:val="0"/>
        <w:autoSpaceDN w:val="0"/>
        <w:adjustRightInd w:val="0"/>
        <w:spacing w:line="240" w:lineRule="atLeast"/>
        <w:jc w:val="center"/>
        <w:rPr>
          <w:rFonts w:ascii="Times New Roman" w:hAnsi="Times New Roman" w:cs="Times New Roman"/>
          <w:color w:val="000000"/>
        </w:rPr>
      </w:pPr>
    </w:p>
    <w:p w14:paraId="21F6A636" w14:textId="0E531D11" w:rsidR="00424509" w:rsidRDefault="00424509" w:rsidP="002F20EB">
      <w:pPr>
        <w:autoSpaceDE w:val="0"/>
        <w:autoSpaceDN w:val="0"/>
        <w:adjustRightInd w:val="0"/>
        <w:spacing w:line="240" w:lineRule="atLeast"/>
        <w:jc w:val="center"/>
        <w:rPr>
          <w:rFonts w:ascii="Times New Roman" w:hAnsi="Times New Roman" w:cs="Times New Roman"/>
          <w:color w:val="000000"/>
        </w:rPr>
      </w:pPr>
    </w:p>
    <w:p w14:paraId="258ED88A" w14:textId="7415E4EB" w:rsidR="00424509" w:rsidRDefault="00424509" w:rsidP="002F20EB">
      <w:pPr>
        <w:autoSpaceDE w:val="0"/>
        <w:autoSpaceDN w:val="0"/>
        <w:adjustRightInd w:val="0"/>
        <w:spacing w:line="240" w:lineRule="atLeast"/>
        <w:jc w:val="center"/>
        <w:rPr>
          <w:rFonts w:ascii="Times New Roman" w:hAnsi="Times New Roman" w:cs="Times New Roman"/>
          <w:color w:val="000000"/>
        </w:rPr>
      </w:pPr>
    </w:p>
    <w:p w14:paraId="06FC13D2" w14:textId="0F9109ED" w:rsidR="00424509" w:rsidRDefault="00424509" w:rsidP="002F20EB">
      <w:pPr>
        <w:autoSpaceDE w:val="0"/>
        <w:autoSpaceDN w:val="0"/>
        <w:adjustRightInd w:val="0"/>
        <w:spacing w:line="240" w:lineRule="atLeast"/>
        <w:jc w:val="center"/>
        <w:rPr>
          <w:rFonts w:ascii="Times New Roman" w:hAnsi="Times New Roman" w:cs="Times New Roman"/>
          <w:color w:val="000000"/>
        </w:rPr>
      </w:pPr>
    </w:p>
    <w:p w14:paraId="4A368A23" w14:textId="295E2DAB" w:rsidR="00424509" w:rsidRDefault="00424509" w:rsidP="002F20EB">
      <w:pPr>
        <w:autoSpaceDE w:val="0"/>
        <w:autoSpaceDN w:val="0"/>
        <w:adjustRightInd w:val="0"/>
        <w:spacing w:line="240" w:lineRule="atLeast"/>
        <w:jc w:val="center"/>
        <w:rPr>
          <w:rFonts w:ascii="Times New Roman" w:hAnsi="Times New Roman" w:cs="Times New Roman"/>
          <w:color w:val="000000"/>
        </w:rPr>
      </w:pPr>
    </w:p>
    <w:p w14:paraId="1D0AC181" w14:textId="40AE372C" w:rsidR="00424509" w:rsidRDefault="00424509" w:rsidP="002F20EB">
      <w:pPr>
        <w:autoSpaceDE w:val="0"/>
        <w:autoSpaceDN w:val="0"/>
        <w:adjustRightInd w:val="0"/>
        <w:spacing w:line="240" w:lineRule="atLeast"/>
        <w:jc w:val="center"/>
        <w:rPr>
          <w:rFonts w:ascii="Times New Roman" w:hAnsi="Times New Roman" w:cs="Times New Roman"/>
          <w:color w:val="000000"/>
        </w:rPr>
      </w:pPr>
    </w:p>
    <w:p w14:paraId="76876D7F" w14:textId="44808B29" w:rsidR="00424509" w:rsidRDefault="00424509" w:rsidP="002F20EB">
      <w:pPr>
        <w:autoSpaceDE w:val="0"/>
        <w:autoSpaceDN w:val="0"/>
        <w:adjustRightInd w:val="0"/>
        <w:spacing w:line="240" w:lineRule="atLeast"/>
        <w:jc w:val="center"/>
        <w:rPr>
          <w:rFonts w:ascii="Times New Roman" w:hAnsi="Times New Roman" w:cs="Times New Roman"/>
          <w:color w:val="000000"/>
        </w:rPr>
      </w:pPr>
    </w:p>
    <w:p w14:paraId="12677EA3" w14:textId="2771E56B" w:rsidR="00424509" w:rsidRDefault="00424509" w:rsidP="002F20EB">
      <w:pPr>
        <w:autoSpaceDE w:val="0"/>
        <w:autoSpaceDN w:val="0"/>
        <w:adjustRightInd w:val="0"/>
        <w:spacing w:line="240" w:lineRule="atLeast"/>
        <w:jc w:val="center"/>
        <w:rPr>
          <w:rFonts w:ascii="Times New Roman" w:hAnsi="Times New Roman" w:cs="Times New Roman"/>
          <w:color w:val="000000"/>
        </w:rPr>
      </w:pPr>
    </w:p>
    <w:p w14:paraId="577B082C" w14:textId="25F552B5" w:rsidR="00424509" w:rsidRDefault="00424509" w:rsidP="002F20EB">
      <w:pPr>
        <w:autoSpaceDE w:val="0"/>
        <w:autoSpaceDN w:val="0"/>
        <w:adjustRightInd w:val="0"/>
        <w:spacing w:line="240" w:lineRule="atLeast"/>
        <w:jc w:val="center"/>
        <w:rPr>
          <w:rFonts w:ascii="Times New Roman" w:hAnsi="Times New Roman" w:cs="Times New Roman"/>
          <w:color w:val="000000"/>
        </w:rPr>
      </w:pPr>
    </w:p>
    <w:p w14:paraId="4F72B19C" w14:textId="7E148EED" w:rsidR="00424509" w:rsidRDefault="00424509" w:rsidP="002F20EB">
      <w:pPr>
        <w:autoSpaceDE w:val="0"/>
        <w:autoSpaceDN w:val="0"/>
        <w:adjustRightInd w:val="0"/>
        <w:spacing w:line="240" w:lineRule="atLeast"/>
        <w:jc w:val="center"/>
        <w:rPr>
          <w:rFonts w:ascii="Times New Roman" w:hAnsi="Times New Roman" w:cs="Times New Roman"/>
          <w:color w:val="000000"/>
        </w:rPr>
      </w:pPr>
    </w:p>
    <w:p w14:paraId="75BC1175" w14:textId="4AF69CFB" w:rsidR="00424509" w:rsidRDefault="00424509" w:rsidP="002F20EB">
      <w:pPr>
        <w:autoSpaceDE w:val="0"/>
        <w:autoSpaceDN w:val="0"/>
        <w:adjustRightInd w:val="0"/>
        <w:spacing w:line="240" w:lineRule="atLeast"/>
        <w:jc w:val="center"/>
        <w:rPr>
          <w:rFonts w:ascii="Times New Roman" w:hAnsi="Times New Roman" w:cs="Times New Roman"/>
          <w:color w:val="000000"/>
        </w:rPr>
      </w:pPr>
    </w:p>
    <w:p w14:paraId="71F11D2D" w14:textId="49F938F0" w:rsidR="00424509" w:rsidRDefault="00424509" w:rsidP="002F20EB">
      <w:pPr>
        <w:autoSpaceDE w:val="0"/>
        <w:autoSpaceDN w:val="0"/>
        <w:adjustRightInd w:val="0"/>
        <w:spacing w:line="240" w:lineRule="atLeast"/>
        <w:jc w:val="center"/>
        <w:rPr>
          <w:rFonts w:ascii="Times New Roman" w:hAnsi="Times New Roman" w:cs="Times New Roman"/>
          <w:color w:val="000000"/>
        </w:rPr>
      </w:pPr>
    </w:p>
    <w:p w14:paraId="790A371C" w14:textId="17F12AE8" w:rsidR="00424509" w:rsidRDefault="00424509" w:rsidP="002F20EB">
      <w:pPr>
        <w:autoSpaceDE w:val="0"/>
        <w:autoSpaceDN w:val="0"/>
        <w:adjustRightInd w:val="0"/>
        <w:spacing w:line="240" w:lineRule="atLeast"/>
        <w:jc w:val="center"/>
        <w:rPr>
          <w:rFonts w:ascii="Times New Roman" w:hAnsi="Times New Roman" w:cs="Times New Roman"/>
          <w:color w:val="000000"/>
        </w:rPr>
      </w:pPr>
    </w:p>
    <w:p w14:paraId="1A07B1F8" w14:textId="34432699" w:rsidR="00424509" w:rsidRDefault="00424509" w:rsidP="002F20EB">
      <w:pPr>
        <w:autoSpaceDE w:val="0"/>
        <w:autoSpaceDN w:val="0"/>
        <w:adjustRightInd w:val="0"/>
        <w:spacing w:line="240" w:lineRule="atLeast"/>
        <w:jc w:val="center"/>
        <w:rPr>
          <w:rFonts w:ascii="Times New Roman" w:hAnsi="Times New Roman" w:cs="Times New Roman"/>
          <w:color w:val="000000"/>
        </w:rPr>
      </w:pPr>
    </w:p>
    <w:p w14:paraId="0F2C9B92" w14:textId="3D58D74D" w:rsidR="00424509" w:rsidRDefault="00424509" w:rsidP="002F20EB">
      <w:pPr>
        <w:autoSpaceDE w:val="0"/>
        <w:autoSpaceDN w:val="0"/>
        <w:adjustRightInd w:val="0"/>
        <w:spacing w:line="240" w:lineRule="atLeast"/>
        <w:jc w:val="center"/>
        <w:rPr>
          <w:rFonts w:ascii="Times New Roman" w:hAnsi="Times New Roman" w:cs="Times New Roman"/>
          <w:color w:val="000000"/>
        </w:rPr>
      </w:pPr>
    </w:p>
    <w:p w14:paraId="144885B5" w14:textId="3D3E3756" w:rsidR="00424509" w:rsidRDefault="00424509" w:rsidP="002F20EB">
      <w:pPr>
        <w:autoSpaceDE w:val="0"/>
        <w:autoSpaceDN w:val="0"/>
        <w:adjustRightInd w:val="0"/>
        <w:spacing w:line="240" w:lineRule="atLeast"/>
        <w:jc w:val="center"/>
        <w:rPr>
          <w:rFonts w:ascii="Times New Roman" w:hAnsi="Times New Roman" w:cs="Times New Roman"/>
          <w:color w:val="000000"/>
        </w:rPr>
      </w:pPr>
    </w:p>
    <w:p w14:paraId="16DDBC21" w14:textId="53870851" w:rsidR="00424509" w:rsidRDefault="00424509" w:rsidP="002F20EB">
      <w:pPr>
        <w:autoSpaceDE w:val="0"/>
        <w:autoSpaceDN w:val="0"/>
        <w:adjustRightInd w:val="0"/>
        <w:spacing w:line="240" w:lineRule="atLeast"/>
        <w:jc w:val="center"/>
        <w:rPr>
          <w:rFonts w:ascii="Times New Roman" w:hAnsi="Times New Roman" w:cs="Times New Roman"/>
          <w:color w:val="000000"/>
        </w:rPr>
      </w:pPr>
    </w:p>
    <w:p w14:paraId="7E56EC74" w14:textId="67BA26F5" w:rsidR="00424509" w:rsidRDefault="00424509" w:rsidP="002F20EB">
      <w:pPr>
        <w:autoSpaceDE w:val="0"/>
        <w:autoSpaceDN w:val="0"/>
        <w:adjustRightInd w:val="0"/>
        <w:spacing w:line="240" w:lineRule="atLeast"/>
        <w:jc w:val="center"/>
        <w:rPr>
          <w:rFonts w:ascii="Times New Roman" w:hAnsi="Times New Roman" w:cs="Times New Roman"/>
          <w:color w:val="000000"/>
        </w:rPr>
      </w:pPr>
    </w:p>
    <w:p w14:paraId="7A813D3B" w14:textId="77777777" w:rsidR="00424509" w:rsidRPr="00BC7BB5" w:rsidRDefault="00424509" w:rsidP="002F20EB">
      <w:pPr>
        <w:autoSpaceDE w:val="0"/>
        <w:autoSpaceDN w:val="0"/>
        <w:adjustRightInd w:val="0"/>
        <w:spacing w:line="240" w:lineRule="atLeast"/>
        <w:jc w:val="center"/>
        <w:rPr>
          <w:rFonts w:ascii="Times New Roman" w:hAnsi="Times New Roman" w:cs="Times New Roman"/>
          <w:color w:val="000000"/>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546"/>
        <w:gridCol w:w="355"/>
        <w:gridCol w:w="4449"/>
      </w:tblGrid>
      <w:tr w:rsidR="002F20EB" w:rsidRPr="00BC7BB5" w14:paraId="53B2A036" w14:textId="77777777" w:rsidTr="002D48EF">
        <w:tc>
          <w:tcPr>
            <w:tcW w:w="4546" w:type="dxa"/>
          </w:tcPr>
          <w:p w14:paraId="3A657F10" w14:textId="77777777" w:rsidR="002F20EB" w:rsidRPr="00BC7BB5" w:rsidRDefault="00670001" w:rsidP="00426526">
            <w:pPr>
              <w:autoSpaceDE w:val="0"/>
              <w:autoSpaceDN w:val="0"/>
              <w:adjustRightInd w:val="0"/>
              <w:spacing w:after="0" w:line="240" w:lineRule="auto"/>
              <w:jc w:val="right"/>
              <w:rPr>
                <w:rFonts w:ascii="Times New Roman" w:hAnsi="Times New Roman" w:cs="Times New Roman"/>
                <w:color w:val="000000"/>
              </w:rPr>
            </w:pPr>
            <w:r w:rsidRPr="00BC7BB5">
              <w:rPr>
                <w:rFonts w:ascii="Times New Roman" w:hAnsi="Times New Roman" w:cs="Times New Roman"/>
                <w:color w:val="000000"/>
              </w:rPr>
              <w:t xml:space="preserve">Regional </w:t>
            </w:r>
            <w:r w:rsidR="002F20EB" w:rsidRPr="00BC7BB5">
              <w:rPr>
                <w:rFonts w:ascii="Times New Roman" w:hAnsi="Times New Roman" w:cs="Times New Roman"/>
                <w:color w:val="000000"/>
              </w:rPr>
              <w:t>Vice President:</w:t>
            </w:r>
          </w:p>
          <w:p w14:paraId="34D892D0" w14:textId="2C18A7A6" w:rsidR="0066625B" w:rsidRPr="00BC7BB5" w:rsidRDefault="0066625B" w:rsidP="00426526">
            <w:pPr>
              <w:autoSpaceDE w:val="0"/>
              <w:autoSpaceDN w:val="0"/>
              <w:adjustRightInd w:val="0"/>
              <w:spacing w:after="0" w:line="240" w:lineRule="auto"/>
              <w:jc w:val="right"/>
              <w:rPr>
                <w:rFonts w:ascii="Times New Roman" w:hAnsi="Times New Roman" w:cs="Times New Roman"/>
                <w:color w:val="000000"/>
              </w:rPr>
            </w:pPr>
            <w:r w:rsidRPr="00BC7BB5">
              <w:rPr>
                <w:rFonts w:ascii="Times New Roman" w:hAnsi="Times New Roman" w:cs="Times New Roman"/>
                <w:color w:val="000000"/>
              </w:rPr>
              <w:t>Country Director:</w:t>
            </w:r>
          </w:p>
          <w:p w14:paraId="53B2A033" w14:textId="7BF6599B" w:rsidR="00670001" w:rsidRPr="00BC7BB5" w:rsidRDefault="00670001" w:rsidP="00426526">
            <w:pPr>
              <w:autoSpaceDE w:val="0"/>
              <w:autoSpaceDN w:val="0"/>
              <w:adjustRightInd w:val="0"/>
              <w:spacing w:after="0" w:line="240" w:lineRule="auto"/>
              <w:jc w:val="right"/>
              <w:rPr>
                <w:rFonts w:ascii="Times New Roman" w:hAnsi="Times New Roman" w:cs="Times New Roman"/>
                <w:color w:val="000000"/>
              </w:rPr>
            </w:pPr>
            <w:r w:rsidRPr="00BC7BB5">
              <w:rPr>
                <w:rFonts w:ascii="Times New Roman" w:hAnsi="Times New Roman" w:cs="Times New Roman"/>
                <w:color w:val="000000"/>
              </w:rPr>
              <w:t>Global Practice Vice President:</w:t>
            </w:r>
          </w:p>
        </w:tc>
        <w:tc>
          <w:tcPr>
            <w:tcW w:w="355" w:type="dxa"/>
          </w:tcPr>
          <w:p w14:paraId="53B2A034" w14:textId="77777777" w:rsidR="002F20EB" w:rsidRPr="00BC7BB5" w:rsidRDefault="002F20EB" w:rsidP="00426526">
            <w:pPr>
              <w:autoSpaceDE w:val="0"/>
              <w:autoSpaceDN w:val="0"/>
              <w:adjustRightInd w:val="0"/>
              <w:spacing w:after="0" w:line="240" w:lineRule="auto"/>
              <w:rPr>
                <w:rFonts w:ascii="Times New Roman" w:hAnsi="Times New Roman" w:cs="Times New Roman"/>
                <w:color w:val="000000"/>
              </w:rPr>
            </w:pPr>
          </w:p>
        </w:tc>
        <w:tc>
          <w:tcPr>
            <w:tcW w:w="4449" w:type="dxa"/>
          </w:tcPr>
          <w:p w14:paraId="7403A555" w14:textId="77777777" w:rsidR="002D48EF" w:rsidRPr="004D563E" w:rsidRDefault="002D48EF" w:rsidP="00426526">
            <w:pPr>
              <w:autoSpaceDE w:val="0"/>
              <w:autoSpaceDN w:val="0"/>
              <w:adjustRightInd w:val="0"/>
              <w:spacing w:after="0" w:line="240" w:lineRule="auto"/>
              <w:rPr>
                <w:rFonts w:ascii="Times New Roman" w:hAnsi="Times New Roman" w:cs="Times New Roman"/>
                <w:lang w:val="fr-FR"/>
              </w:rPr>
            </w:pPr>
            <w:r w:rsidRPr="00BC7BB5">
              <w:rPr>
                <w:rFonts w:ascii="Times New Roman" w:hAnsi="Times New Roman" w:cs="Times New Roman"/>
              </w:rPr>
              <w:fldChar w:fldCharType="begin"/>
            </w:r>
            <w:r w:rsidRPr="004D563E">
              <w:rPr>
                <w:rFonts w:ascii="Times New Roman" w:hAnsi="Times New Roman" w:cs="Times New Roman"/>
                <w:lang w:val="fr-FR"/>
              </w:rPr>
              <w:instrText xml:space="preserve"> DOCPROPERTY VicePresident \* MERGEFORMAT </w:instrText>
            </w:r>
            <w:r w:rsidRPr="00BC7BB5">
              <w:rPr>
                <w:rFonts w:ascii="Times New Roman" w:hAnsi="Times New Roman" w:cs="Times New Roman"/>
              </w:rPr>
              <w:fldChar w:fldCharType="separate"/>
            </w:r>
            <w:r w:rsidRPr="004D563E">
              <w:rPr>
                <w:rFonts w:ascii="Times New Roman" w:hAnsi="Times New Roman" w:cs="Times New Roman"/>
                <w:color w:val="000000"/>
                <w:lang w:val="fr-FR"/>
              </w:rPr>
              <w:t>Hafez M. H. Ghanem</w:t>
            </w:r>
            <w:r w:rsidRPr="00BC7BB5">
              <w:rPr>
                <w:rFonts w:ascii="Times New Roman" w:hAnsi="Times New Roman" w:cs="Times New Roman"/>
              </w:rPr>
              <w:fldChar w:fldCharType="end"/>
            </w:r>
          </w:p>
          <w:p w14:paraId="1A4787F8" w14:textId="4AF576A4" w:rsidR="0066625B" w:rsidRPr="004D563E" w:rsidRDefault="0066625B" w:rsidP="00426526">
            <w:pPr>
              <w:autoSpaceDE w:val="0"/>
              <w:autoSpaceDN w:val="0"/>
              <w:adjustRightInd w:val="0"/>
              <w:spacing w:after="0" w:line="240" w:lineRule="auto"/>
              <w:rPr>
                <w:rFonts w:ascii="Times New Roman" w:hAnsi="Times New Roman" w:cs="Times New Roman"/>
                <w:szCs w:val="24"/>
                <w:lang w:val="fr-FR"/>
              </w:rPr>
            </w:pPr>
            <w:r w:rsidRPr="004D563E">
              <w:rPr>
                <w:rFonts w:ascii="Times New Roman" w:hAnsi="Times New Roman" w:cs="Times New Roman"/>
                <w:szCs w:val="24"/>
                <w:lang w:val="fr-FR"/>
              </w:rPr>
              <w:t>Marie-Francoise Marie-Nelly</w:t>
            </w:r>
          </w:p>
          <w:p w14:paraId="53B2A035" w14:textId="393751BD" w:rsidR="00670001" w:rsidRPr="00BC7BB5" w:rsidRDefault="002D48EF" w:rsidP="00426526">
            <w:pPr>
              <w:autoSpaceDE w:val="0"/>
              <w:autoSpaceDN w:val="0"/>
              <w:adjustRightInd w:val="0"/>
              <w:spacing w:after="0" w:line="240" w:lineRule="auto"/>
              <w:rPr>
                <w:rFonts w:ascii="Times New Roman" w:hAnsi="Times New Roman" w:cs="Times New Roman"/>
              </w:rPr>
            </w:pPr>
            <w:r w:rsidRPr="00BC7BB5">
              <w:rPr>
                <w:rFonts w:ascii="Times New Roman" w:hAnsi="Times New Roman" w:cs="Times New Roman"/>
                <w:szCs w:val="24"/>
              </w:rPr>
              <w:fldChar w:fldCharType="begin"/>
            </w:r>
            <w:r w:rsidRPr="00BC7BB5">
              <w:rPr>
                <w:rFonts w:ascii="Times New Roman" w:hAnsi="Times New Roman" w:cs="Times New Roman"/>
              </w:rPr>
              <w:instrText xml:space="preserve"> DOCPROPERTY SectorManager \* MERGEFORMAT </w:instrText>
            </w:r>
            <w:r w:rsidRPr="00BC7BB5">
              <w:rPr>
                <w:rFonts w:ascii="Times New Roman" w:hAnsi="Times New Roman" w:cs="Times New Roman"/>
                <w:szCs w:val="24"/>
              </w:rPr>
              <w:fldChar w:fldCharType="separate"/>
            </w:r>
            <w:r w:rsidRPr="00BC7BB5">
              <w:rPr>
                <w:rFonts w:ascii="Times New Roman" w:hAnsi="Times New Roman" w:cs="Times New Roman"/>
                <w:color w:val="000000"/>
              </w:rPr>
              <w:t>Juergen Voegele</w:t>
            </w:r>
            <w:r w:rsidRPr="00BC7BB5">
              <w:rPr>
                <w:rFonts w:ascii="Times New Roman" w:hAnsi="Times New Roman" w:cs="Times New Roman"/>
                <w:color w:val="000000"/>
              </w:rPr>
              <w:fldChar w:fldCharType="end"/>
            </w:r>
            <w:r w:rsidRPr="00BC7BB5">
              <w:rPr>
                <w:rFonts w:ascii="Times New Roman" w:hAnsi="Times New Roman" w:cs="Times New Roman"/>
                <w:color w:val="000000"/>
              </w:rPr>
              <w:t>/Anabel Gonzalez</w:t>
            </w:r>
          </w:p>
        </w:tc>
      </w:tr>
      <w:tr w:rsidR="002D48EF" w:rsidRPr="00BC7BB5" w14:paraId="53B2A040" w14:textId="77777777" w:rsidTr="002D48EF">
        <w:tc>
          <w:tcPr>
            <w:tcW w:w="4546" w:type="dxa"/>
          </w:tcPr>
          <w:p w14:paraId="53B2A03C" w14:textId="64BD1EFD" w:rsidR="002D48EF" w:rsidRPr="00BC7BB5" w:rsidRDefault="002D48EF" w:rsidP="00426526">
            <w:pPr>
              <w:autoSpaceDE w:val="0"/>
              <w:autoSpaceDN w:val="0"/>
              <w:adjustRightInd w:val="0"/>
              <w:spacing w:after="0" w:line="240" w:lineRule="auto"/>
              <w:jc w:val="right"/>
              <w:rPr>
                <w:rFonts w:ascii="Times New Roman" w:hAnsi="Times New Roman" w:cs="Times New Roman"/>
                <w:color w:val="000000"/>
              </w:rPr>
            </w:pPr>
            <w:r w:rsidRPr="00BC7BB5">
              <w:rPr>
                <w:rFonts w:ascii="Times New Roman" w:hAnsi="Times New Roman" w:cs="Times New Roman"/>
                <w:color w:val="000000"/>
              </w:rPr>
              <w:t>Practice Manager</w:t>
            </w:r>
            <w:r w:rsidR="00C8414C">
              <w:rPr>
                <w:rFonts w:ascii="Times New Roman" w:hAnsi="Times New Roman" w:cs="Times New Roman"/>
                <w:color w:val="000000"/>
              </w:rPr>
              <w:t>s</w:t>
            </w:r>
            <w:r w:rsidRPr="00BC7BB5">
              <w:rPr>
                <w:rFonts w:ascii="Times New Roman" w:hAnsi="Times New Roman" w:cs="Times New Roman"/>
                <w:color w:val="000000"/>
              </w:rPr>
              <w:t>:</w:t>
            </w:r>
          </w:p>
        </w:tc>
        <w:tc>
          <w:tcPr>
            <w:tcW w:w="355" w:type="dxa"/>
          </w:tcPr>
          <w:p w14:paraId="53B2A03D" w14:textId="77777777" w:rsidR="002D48EF" w:rsidRPr="00BC7BB5" w:rsidRDefault="002D48EF" w:rsidP="00426526">
            <w:pPr>
              <w:autoSpaceDE w:val="0"/>
              <w:autoSpaceDN w:val="0"/>
              <w:adjustRightInd w:val="0"/>
              <w:spacing w:after="0" w:line="240" w:lineRule="auto"/>
              <w:rPr>
                <w:rFonts w:ascii="Times New Roman" w:hAnsi="Times New Roman" w:cs="Times New Roman"/>
                <w:color w:val="000000"/>
              </w:rPr>
            </w:pPr>
          </w:p>
        </w:tc>
        <w:tc>
          <w:tcPr>
            <w:tcW w:w="4449" w:type="dxa"/>
          </w:tcPr>
          <w:p w14:paraId="53B2A03F" w14:textId="6D10D232" w:rsidR="002D48EF" w:rsidRPr="00BC7BB5" w:rsidRDefault="002D48EF" w:rsidP="00426526">
            <w:pPr>
              <w:autoSpaceDE w:val="0"/>
              <w:autoSpaceDN w:val="0"/>
              <w:adjustRightInd w:val="0"/>
              <w:spacing w:after="0" w:line="240" w:lineRule="auto"/>
              <w:rPr>
                <w:rFonts w:ascii="Times New Roman" w:hAnsi="Times New Roman" w:cs="Times New Roman"/>
              </w:rPr>
            </w:pPr>
            <w:r w:rsidRPr="00BC7BB5">
              <w:rPr>
                <w:rFonts w:ascii="Times New Roman" w:hAnsi="Times New Roman" w:cs="Times New Roman"/>
              </w:rPr>
              <w:fldChar w:fldCharType="begin"/>
            </w:r>
            <w:r w:rsidRPr="00BC7BB5">
              <w:rPr>
                <w:rFonts w:ascii="Times New Roman" w:hAnsi="Times New Roman" w:cs="Times New Roman"/>
              </w:rPr>
              <w:instrText xml:space="preserve"> DOCPROPERTY SectorManager \* MERGEFORMAT </w:instrText>
            </w:r>
            <w:r w:rsidRPr="00BC7BB5">
              <w:rPr>
                <w:rFonts w:ascii="Times New Roman" w:hAnsi="Times New Roman" w:cs="Times New Roman"/>
              </w:rPr>
              <w:fldChar w:fldCharType="separate"/>
            </w:r>
            <w:r w:rsidRPr="00BC7BB5">
              <w:rPr>
                <w:rFonts w:ascii="Times New Roman" w:hAnsi="Times New Roman" w:cs="Times New Roman"/>
                <w:color w:val="000000"/>
              </w:rPr>
              <w:t>Julian A. Lampietti</w:t>
            </w:r>
            <w:r w:rsidRPr="00BC7BB5">
              <w:rPr>
                <w:rFonts w:ascii="Times New Roman" w:hAnsi="Times New Roman" w:cs="Times New Roman"/>
              </w:rPr>
              <w:fldChar w:fldCharType="end"/>
            </w:r>
            <w:r w:rsidRPr="00BC7BB5">
              <w:rPr>
                <w:rFonts w:ascii="Times New Roman" w:hAnsi="Times New Roman" w:cs="Times New Roman"/>
              </w:rPr>
              <w:t>/</w:t>
            </w:r>
            <w:r w:rsidR="004F339B" w:rsidRPr="00BC7BB5">
              <w:rPr>
                <w:rFonts w:ascii="Times New Roman" w:hAnsi="Times New Roman" w:cs="Times New Roman"/>
              </w:rPr>
              <w:t>Nabila Assaf</w:t>
            </w:r>
          </w:p>
        </w:tc>
      </w:tr>
      <w:tr w:rsidR="002F20EB" w:rsidRPr="00BC7BB5" w14:paraId="53B2A044" w14:textId="77777777" w:rsidTr="002D48EF">
        <w:tc>
          <w:tcPr>
            <w:tcW w:w="4546" w:type="dxa"/>
          </w:tcPr>
          <w:p w14:paraId="53B2A041" w14:textId="0E50E24B" w:rsidR="002F20EB" w:rsidRPr="00BC7BB5" w:rsidRDefault="002F20EB" w:rsidP="00426526">
            <w:pPr>
              <w:autoSpaceDE w:val="0"/>
              <w:autoSpaceDN w:val="0"/>
              <w:adjustRightInd w:val="0"/>
              <w:spacing w:after="0" w:line="240" w:lineRule="auto"/>
              <w:jc w:val="right"/>
              <w:rPr>
                <w:rFonts w:ascii="Times New Roman" w:hAnsi="Times New Roman" w:cs="Times New Roman"/>
                <w:color w:val="000000"/>
              </w:rPr>
            </w:pPr>
            <w:r w:rsidRPr="00BC7BB5">
              <w:rPr>
                <w:rFonts w:ascii="Times New Roman" w:hAnsi="Times New Roman" w:cs="Times New Roman"/>
                <w:color w:val="000000"/>
              </w:rPr>
              <w:t>Task Team Leader</w:t>
            </w:r>
            <w:r w:rsidR="00AF176C" w:rsidRPr="00BC7BB5">
              <w:rPr>
                <w:rFonts w:ascii="Times New Roman" w:hAnsi="Times New Roman" w:cs="Times New Roman"/>
                <w:color w:val="000000"/>
              </w:rPr>
              <w:t>s</w:t>
            </w:r>
            <w:r w:rsidRPr="00BC7BB5">
              <w:rPr>
                <w:rFonts w:ascii="Times New Roman" w:hAnsi="Times New Roman" w:cs="Times New Roman"/>
                <w:color w:val="000000"/>
              </w:rPr>
              <w:t>:</w:t>
            </w:r>
          </w:p>
        </w:tc>
        <w:tc>
          <w:tcPr>
            <w:tcW w:w="355" w:type="dxa"/>
          </w:tcPr>
          <w:p w14:paraId="53B2A042" w14:textId="77777777" w:rsidR="002F20EB" w:rsidRPr="00BC7BB5" w:rsidRDefault="002F20EB" w:rsidP="00426526">
            <w:pPr>
              <w:autoSpaceDE w:val="0"/>
              <w:autoSpaceDN w:val="0"/>
              <w:adjustRightInd w:val="0"/>
              <w:spacing w:after="0" w:line="240" w:lineRule="auto"/>
              <w:rPr>
                <w:rFonts w:ascii="Times New Roman" w:hAnsi="Times New Roman" w:cs="Times New Roman"/>
                <w:color w:val="000000"/>
              </w:rPr>
            </w:pPr>
          </w:p>
        </w:tc>
        <w:tc>
          <w:tcPr>
            <w:tcW w:w="4449" w:type="dxa"/>
          </w:tcPr>
          <w:p w14:paraId="53B2A043" w14:textId="4DF5B0F1" w:rsidR="002F20EB" w:rsidRPr="00BC7BB5" w:rsidRDefault="002D48EF" w:rsidP="00426526">
            <w:pPr>
              <w:autoSpaceDE w:val="0"/>
              <w:autoSpaceDN w:val="0"/>
              <w:adjustRightInd w:val="0"/>
              <w:spacing w:after="0" w:line="240" w:lineRule="auto"/>
              <w:rPr>
                <w:rFonts w:ascii="Times New Roman" w:hAnsi="Times New Roman" w:cs="Times New Roman"/>
                <w:color w:val="000000"/>
              </w:rPr>
            </w:pPr>
            <w:r w:rsidRPr="00BC7BB5">
              <w:rPr>
                <w:rFonts w:ascii="Times New Roman" w:hAnsi="Times New Roman" w:cs="Times New Roman"/>
              </w:rPr>
              <w:t>Marianne Grosclaude/Hind Kadiri</w:t>
            </w:r>
          </w:p>
        </w:tc>
      </w:tr>
    </w:tbl>
    <w:p w14:paraId="53B2A047" w14:textId="2330C364" w:rsidR="00667179" w:rsidRPr="00BC7BB5" w:rsidRDefault="002D48EF" w:rsidP="00DF0162">
      <w:pPr>
        <w:jc w:val="center"/>
        <w:rPr>
          <w:rFonts w:ascii="Times New Roman Bold" w:hAnsi="Times New Roman Bold" w:cs="Times New Roman"/>
          <w:b/>
          <w:caps/>
        </w:rPr>
      </w:pPr>
      <w:r w:rsidRPr="00BC7BB5">
        <w:rPr>
          <w:rFonts w:ascii="Times New Roman Bold" w:hAnsi="Times New Roman Bold" w:cs="Times New Roman"/>
          <w:b/>
          <w:caps/>
        </w:rPr>
        <w:lastRenderedPageBreak/>
        <w:t>Kingdom of Morocco</w:t>
      </w:r>
    </w:p>
    <w:p w14:paraId="53B2A048" w14:textId="2468F0AE" w:rsidR="000F4826" w:rsidRPr="00BC7BB5" w:rsidRDefault="004F339B" w:rsidP="000F4826">
      <w:pPr>
        <w:pStyle w:val="NoSpacing"/>
        <w:jc w:val="center"/>
        <w:rPr>
          <w:rFonts w:ascii="Times New Roman" w:hAnsi="Times New Roman" w:cs="Times New Roman"/>
          <w:b/>
        </w:rPr>
      </w:pPr>
      <w:r w:rsidRPr="00BC7BB5">
        <w:rPr>
          <w:rFonts w:ascii="Times New Roman" w:hAnsi="Times New Roman" w:cs="Times New Roman"/>
          <w:b/>
        </w:rPr>
        <w:t xml:space="preserve">Strengthening </w:t>
      </w:r>
      <w:r w:rsidR="002D48EF" w:rsidRPr="00BC7BB5">
        <w:rPr>
          <w:rFonts w:ascii="Times New Roman" w:hAnsi="Times New Roman" w:cs="Times New Roman"/>
          <w:b/>
        </w:rPr>
        <w:t>Agri-food Value Chains Program</w:t>
      </w:r>
      <w:r w:rsidR="008C1FE3">
        <w:rPr>
          <w:rFonts w:ascii="Times New Roman" w:hAnsi="Times New Roman" w:cs="Times New Roman"/>
          <w:b/>
        </w:rPr>
        <w:t>-for-Results</w:t>
      </w:r>
    </w:p>
    <w:p w14:paraId="53B2A049" w14:textId="77777777" w:rsidR="000F4826" w:rsidRPr="00BC7BB5" w:rsidRDefault="000F4826" w:rsidP="000F4826">
      <w:pPr>
        <w:pStyle w:val="NoSpacing"/>
        <w:jc w:val="center"/>
        <w:rPr>
          <w:rFonts w:ascii="Times New Roman" w:hAnsi="Times New Roman" w:cs="Times New Roman"/>
          <w:b/>
        </w:rPr>
      </w:pPr>
    </w:p>
    <w:p w14:paraId="53B2A04A" w14:textId="77777777" w:rsidR="000F4826" w:rsidRPr="00BC7BB5" w:rsidRDefault="001D2940" w:rsidP="000F4826">
      <w:pPr>
        <w:pStyle w:val="NoSpacing"/>
        <w:jc w:val="center"/>
        <w:rPr>
          <w:rFonts w:ascii="Times New Roman" w:hAnsi="Times New Roman" w:cs="Times New Roman"/>
          <w:b/>
        </w:rPr>
      </w:pPr>
      <w:r w:rsidRPr="00BC7BB5">
        <w:rPr>
          <w:rFonts w:ascii="Times New Roman" w:hAnsi="Times New Roman" w:cs="Times New Roman"/>
          <w:b/>
        </w:rPr>
        <w:t>Table of Contents</w:t>
      </w:r>
    </w:p>
    <w:p w14:paraId="53B2A04B" w14:textId="77777777" w:rsidR="000F4826" w:rsidRPr="00BC7BB5" w:rsidRDefault="000F4826" w:rsidP="000F4826">
      <w:pPr>
        <w:pStyle w:val="NoSpacing"/>
        <w:jc w:val="center"/>
        <w:rPr>
          <w:rFonts w:ascii="Times New Roman" w:hAnsi="Times New Roman" w:cs="Times New Roman"/>
          <w:b/>
        </w:rPr>
      </w:pPr>
    </w:p>
    <w:p w14:paraId="53B2A04C" w14:textId="49FBBDF4" w:rsidR="000F4826" w:rsidRPr="00BC7BB5" w:rsidRDefault="001D2940" w:rsidP="000F4826">
      <w:pPr>
        <w:pStyle w:val="NoSpacing"/>
        <w:jc w:val="right"/>
        <w:rPr>
          <w:rFonts w:ascii="Times New Roman" w:hAnsi="Times New Roman" w:cs="Times New Roman"/>
          <w:b/>
        </w:rPr>
      </w:pPr>
      <w:r w:rsidRPr="00BC7BB5">
        <w:rPr>
          <w:rFonts w:ascii="Times New Roman" w:hAnsi="Times New Roman" w:cs="Times New Roman"/>
          <w:b/>
        </w:rPr>
        <w:t>Page</w:t>
      </w:r>
    </w:p>
    <w:p w14:paraId="59B30684" w14:textId="77777777" w:rsidR="008F7AEF" w:rsidRPr="00BC7BB5" w:rsidRDefault="008F7AEF" w:rsidP="008F7AEF">
      <w:pPr>
        <w:pStyle w:val="NoSpacing"/>
        <w:rPr>
          <w:rFonts w:ascii="Times New Roman" w:hAnsi="Times New Roman" w:cs="Times New Roman"/>
          <w:b/>
        </w:rPr>
      </w:pPr>
    </w:p>
    <w:p w14:paraId="53B2A04D" w14:textId="77777777" w:rsidR="000F4826" w:rsidRPr="00BC7BB5" w:rsidRDefault="000F4826" w:rsidP="000F4826">
      <w:pPr>
        <w:pStyle w:val="NoSpacing"/>
        <w:jc w:val="center"/>
        <w:rPr>
          <w:rFonts w:ascii="Times New Roman" w:hAnsi="Times New Roman" w:cs="Times New Roman"/>
          <w:b/>
        </w:rPr>
      </w:pPr>
    </w:p>
    <w:p w14:paraId="6DB5BCB3" w14:textId="32C47D5C" w:rsidR="004F7642" w:rsidRDefault="00730643">
      <w:pPr>
        <w:pStyle w:val="TOC1"/>
        <w:rPr>
          <w:rFonts w:asciiTheme="minorHAnsi" w:eastAsiaTheme="minorEastAsia" w:hAnsiTheme="minorHAnsi"/>
          <w:b w:val="0"/>
          <w:bCs w:val="0"/>
          <w:noProof/>
          <w:sz w:val="22"/>
          <w:szCs w:val="22"/>
        </w:rPr>
      </w:pPr>
      <w:r w:rsidRPr="00BC7BB5">
        <w:rPr>
          <w:rFonts w:cs="Times New Roman"/>
        </w:rPr>
        <w:fldChar w:fldCharType="begin"/>
      </w:r>
      <w:r w:rsidRPr="00BC7BB5">
        <w:rPr>
          <w:rFonts w:cs="Times New Roman"/>
        </w:rPr>
        <w:instrText xml:space="preserve"> TOC \o "1-3" \h \z \u </w:instrText>
      </w:r>
      <w:r w:rsidRPr="00BC7BB5">
        <w:rPr>
          <w:rFonts w:cs="Times New Roman"/>
        </w:rPr>
        <w:fldChar w:fldCharType="separate"/>
      </w:r>
      <w:hyperlink w:anchor="_Toc499113390" w:history="1">
        <w:r w:rsidR="004F7642" w:rsidRPr="00186925">
          <w:rPr>
            <w:rStyle w:val="Hyperlink"/>
            <w:rFonts w:cs="Times New Roman"/>
            <w:noProof/>
          </w:rPr>
          <w:t>I.</w:t>
        </w:r>
        <w:r w:rsidR="004F7642">
          <w:rPr>
            <w:rFonts w:asciiTheme="minorHAnsi" w:eastAsiaTheme="minorEastAsia" w:hAnsiTheme="minorHAnsi"/>
            <w:b w:val="0"/>
            <w:bCs w:val="0"/>
            <w:noProof/>
            <w:sz w:val="22"/>
            <w:szCs w:val="22"/>
          </w:rPr>
          <w:tab/>
        </w:r>
        <w:r w:rsidR="004F7642" w:rsidRPr="00186925">
          <w:rPr>
            <w:rStyle w:val="Hyperlink"/>
            <w:rFonts w:cs="Times New Roman"/>
            <w:noProof/>
          </w:rPr>
          <w:t>STRATEGIC CONTEXT</w:t>
        </w:r>
        <w:r w:rsidR="004F7642">
          <w:rPr>
            <w:noProof/>
            <w:webHidden/>
          </w:rPr>
          <w:tab/>
        </w:r>
        <w:r w:rsidR="004F7642">
          <w:rPr>
            <w:noProof/>
            <w:webHidden/>
          </w:rPr>
          <w:fldChar w:fldCharType="begin"/>
        </w:r>
        <w:r w:rsidR="004F7642">
          <w:rPr>
            <w:noProof/>
            <w:webHidden/>
          </w:rPr>
          <w:instrText xml:space="preserve"> PAGEREF _Toc499113390 \h </w:instrText>
        </w:r>
        <w:r w:rsidR="004F7642">
          <w:rPr>
            <w:noProof/>
            <w:webHidden/>
          </w:rPr>
        </w:r>
        <w:r w:rsidR="004F7642">
          <w:rPr>
            <w:noProof/>
            <w:webHidden/>
          </w:rPr>
          <w:fldChar w:fldCharType="separate"/>
        </w:r>
        <w:r w:rsidR="00297F7D">
          <w:rPr>
            <w:noProof/>
            <w:webHidden/>
          </w:rPr>
          <w:t>1</w:t>
        </w:r>
        <w:r w:rsidR="004F7642">
          <w:rPr>
            <w:noProof/>
            <w:webHidden/>
          </w:rPr>
          <w:fldChar w:fldCharType="end"/>
        </w:r>
      </w:hyperlink>
    </w:p>
    <w:p w14:paraId="7015132A" w14:textId="358FE0FB" w:rsidR="004F7642" w:rsidRDefault="00F8126C">
      <w:pPr>
        <w:pStyle w:val="TOC2"/>
        <w:rPr>
          <w:rFonts w:asciiTheme="minorHAnsi" w:eastAsiaTheme="minorEastAsia" w:hAnsiTheme="minorHAnsi"/>
          <w:iCs w:val="0"/>
          <w:noProof/>
          <w:sz w:val="22"/>
          <w:szCs w:val="22"/>
        </w:rPr>
      </w:pPr>
      <w:hyperlink w:anchor="_Toc499113391" w:history="1">
        <w:r w:rsidR="004F7642" w:rsidRPr="00186925">
          <w:rPr>
            <w:rStyle w:val="Hyperlink"/>
            <w:rFonts w:ascii="Times New Roman Bold" w:hAnsi="Times New Roman Bold" w:cs="Times New Roman"/>
            <w:noProof/>
          </w:rPr>
          <w:t>A.</w:t>
        </w:r>
        <w:r w:rsidR="004F7642">
          <w:rPr>
            <w:rFonts w:asciiTheme="minorHAnsi" w:eastAsiaTheme="minorEastAsia" w:hAnsiTheme="minorHAnsi"/>
            <w:iCs w:val="0"/>
            <w:noProof/>
            <w:sz w:val="22"/>
            <w:szCs w:val="22"/>
          </w:rPr>
          <w:tab/>
        </w:r>
        <w:r w:rsidR="004F7642" w:rsidRPr="00186925">
          <w:rPr>
            <w:rStyle w:val="Hyperlink"/>
            <w:rFonts w:ascii="Times New Roman Bold" w:hAnsi="Times New Roman Bold" w:cs="Times New Roman"/>
            <w:noProof/>
          </w:rPr>
          <w:t>Country Context</w:t>
        </w:r>
        <w:r w:rsidR="004F7642">
          <w:rPr>
            <w:noProof/>
            <w:webHidden/>
          </w:rPr>
          <w:tab/>
        </w:r>
        <w:r w:rsidR="004F7642">
          <w:rPr>
            <w:noProof/>
            <w:webHidden/>
          </w:rPr>
          <w:fldChar w:fldCharType="begin"/>
        </w:r>
        <w:r w:rsidR="004F7642">
          <w:rPr>
            <w:noProof/>
            <w:webHidden/>
          </w:rPr>
          <w:instrText xml:space="preserve"> PAGEREF _Toc499113391 \h </w:instrText>
        </w:r>
        <w:r w:rsidR="004F7642">
          <w:rPr>
            <w:noProof/>
            <w:webHidden/>
          </w:rPr>
        </w:r>
        <w:r w:rsidR="004F7642">
          <w:rPr>
            <w:noProof/>
            <w:webHidden/>
          </w:rPr>
          <w:fldChar w:fldCharType="separate"/>
        </w:r>
        <w:r w:rsidR="00297F7D">
          <w:rPr>
            <w:noProof/>
            <w:webHidden/>
          </w:rPr>
          <w:t>1</w:t>
        </w:r>
        <w:r w:rsidR="004F7642">
          <w:rPr>
            <w:noProof/>
            <w:webHidden/>
          </w:rPr>
          <w:fldChar w:fldCharType="end"/>
        </w:r>
      </w:hyperlink>
    </w:p>
    <w:p w14:paraId="738D2113" w14:textId="17FCE01E" w:rsidR="004F7642" w:rsidRDefault="00F8126C">
      <w:pPr>
        <w:pStyle w:val="TOC2"/>
        <w:rPr>
          <w:rFonts w:asciiTheme="minorHAnsi" w:eastAsiaTheme="minorEastAsia" w:hAnsiTheme="minorHAnsi"/>
          <w:iCs w:val="0"/>
          <w:noProof/>
          <w:sz w:val="22"/>
          <w:szCs w:val="22"/>
        </w:rPr>
      </w:pPr>
      <w:hyperlink w:anchor="_Toc499113392" w:history="1">
        <w:r w:rsidR="004F7642" w:rsidRPr="00186925">
          <w:rPr>
            <w:rStyle w:val="Hyperlink"/>
            <w:rFonts w:ascii="Times New Roman Bold" w:hAnsi="Times New Roman Bold" w:cs="Times New Roman"/>
            <w:noProof/>
          </w:rPr>
          <w:t>B.</w:t>
        </w:r>
        <w:r w:rsidR="004F7642">
          <w:rPr>
            <w:rFonts w:asciiTheme="minorHAnsi" w:eastAsiaTheme="minorEastAsia" w:hAnsiTheme="minorHAnsi"/>
            <w:iCs w:val="0"/>
            <w:noProof/>
            <w:sz w:val="22"/>
            <w:szCs w:val="22"/>
          </w:rPr>
          <w:tab/>
        </w:r>
        <w:r w:rsidR="004F7642" w:rsidRPr="00186925">
          <w:rPr>
            <w:rStyle w:val="Hyperlink"/>
            <w:rFonts w:ascii="Times New Roman Bold" w:hAnsi="Times New Roman Bold" w:cs="Times New Roman"/>
            <w:noProof/>
          </w:rPr>
          <w:t>Sectoral and Institutional Context</w:t>
        </w:r>
        <w:r w:rsidR="004F7642">
          <w:rPr>
            <w:noProof/>
            <w:webHidden/>
          </w:rPr>
          <w:tab/>
        </w:r>
        <w:r w:rsidR="004F7642">
          <w:rPr>
            <w:noProof/>
            <w:webHidden/>
          </w:rPr>
          <w:fldChar w:fldCharType="begin"/>
        </w:r>
        <w:r w:rsidR="004F7642">
          <w:rPr>
            <w:noProof/>
            <w:webHidden/>
          </w:rPr>
          <w:instrText xml:space="preserve"> PAGEREF _Toc499113392 \h </w:instrText>
        </w:r>
        <w:r w:rsidR="004F7642">
          <w:rPr>
            <w:noProof/>
            <w:webHidden/>
          </w:rPr>
        </w:r>
        <w:r w:rsidR="004F7642">
          <w:rPr>
            <w:noProof/>
            <w:webHidden/>
          </w:rPr>
          <w:fldChar w:fldCharType="separate"/>
        </w:r>
        <w:r w:rsidR="00297F7D">
          <w:rPr>
            <w:noProof/>
            <w:webHidden/>
          </w:rPr>
          <w:t>1</w:t>
        </w:r>
        <w:r w:rsidR="004F7642">
          <w:rPr>
            <w:noProof/>
            <w:webHidden/>
          </w:rPr>
          <w:fldChar w:fldCharType="end"/>
        </w:r>
      </w:hyperlink>
    </w:p>
    <w:p w14:paraId="083AC89F" w14:textId="74E90C4B" w:rsidR="004F7642" w:rsidRDefault="00F8126C">
      <w:pPr>
        <w:pStyle w:val="TOC2"/>
        <w:rPr>
          <w:rFonts w:asciiTheme="minorHAnsi" w:eastAsiaTheme="minorEastAsia" w:hAnsiTheme="minorHAnsi"/>
          <w:iCs w:val="0"/>
          <w:noProof/>
          <w:sz w:val="22"/>
          <w:szCs w:val="22"/>
        </w:rPr>
      </w:pPr>
      <w:hyperlink w:anchor="_Toc499113393" w:history="1">
        <w:r w:rsidR="004F7642" w:rsidRPr="00186925">
          <w:rPr>
            <w:rStyle w:val="Hyperlink"/>
            <w:rFonts w:ascii="Times New Roman Bold" w:hAnsi="Times New Roman Bold" w:cs="Times New Roman"/>
            <w:noProof/>
          </w:rPr>
          <w:t>C.</w:t>
        </w:r>
        <w:r w:rsidR="004F7642">
          <w:rPr>
            <w:rFonts w:asciiTheme="minorHAnsi" w:eastAsiaTheme="minorEastAsia" w:hAnsiTheme="minorHAnsi"/>
            <w:iCs w:val="0"/>
            <w:noProof/>
            <w:sz w:val="22"/>
            <w:szCs w:val="22"/>
          </w:rPr>
          <w:tab/>
        </w:r>
        <w:r w:rsidR="004F7642" w:rsidRPr="00186925">
          <w:rPr>
            <w:rStyle w:val="Hyperlink"/>
            <w:rFonts w:ascii="Times New Roman Bold" w:hAnsi="Times New Roman Bold" w:cs="Times New Roman"/>
            <w:noProof/>
          </w:rPr>
          <w:t>Relationship to the CPS</w:t>
        </w:r>
        <w:r w:rsidR="004F7642">
          <w:rPr>
            <w:noProof/>
            <w:webHidden/>
          </w:rPr>
          <w:tab/>
        </w:r>
        <w:r w:rsidR="004F7642">
          <w:rPr>
            <w:noProof/>
            <w:webHidden/>
          </w:rPr>
          <w:fldChar w:fldCharType="begin"/>
        </w:r>
        <w:r w:rsidR="004F7642">
          <w:rPr>
            <w:noProof/>
            <w:webHidden/>
          </w:rPr>
          <w:instrText xml:space="preserve"> PAGEREF _Toc499113393 \h </w:instrText>
        </w:r>
        <w:r w:rsidR="004F7642">
          <w:rPr>
            <w:noProof/>
            <w:webHidden/>
          </w:rPr>
        </w:r>
        <w:r w:rsidR="004F7642">
          <w:rPr>
            <w:noProof/>
            <w:webHidden/>
          </w:rPr>
          <w:fldChar w:fldCharType="separate"/>
        </w:r>
        <w:r w:rsidR="00297F7D">
          <w:rPr>
            <w:noProof/>
            <w:webHidden/>
          </w:rPr>
          <w:t>5</w:t>
        </w:r>
        <w:r w:rsidR="004F7642">
          <w:rPr>
            <w:noProof/>
            <w:webHidden/>
          </w:rPr>
          <w:fldChar w:fldCharType="end"/>
        </w:r>
      </w:hyperlink>
    </w:p>
    <w:p w14:paraId="522F32D5" w14:textId="61732C36" w:rsidR="004F7642" w:rsidRDefault="00F8126C">
      <w:pPr>
        <w:pStyle w:val="TOC2"/>
        <w:rPr>
          <w:rFonts w:asciiTheme="minorHAnsi" w:eastAsiaTheme="minorEastAsia" w:hAnsiTheme="minorHAnsi"/>
          <w:iCs w:val="0"/>
          <w:noProof/>
          <w:sz w:val="22"/>
          <w:szCs w:val="22"/>
        </w:rPr>
      </w:pPr>
      <w:hyperlink w:anchor="_Toc499113394" w:history="1">
        <w:r w:rsidR="004F7642" w:rsidRPr="00186925">
          <w:rPr>
            <w:rStyle w:val="Hyperlink"/>
            <w:rFonts w:ascii="Times New Roman Bold" w:hAnsi="Times New Roman Bold" w:cs="Times New Roman"/>
            <w:noProof/>
          </w:rPr>
          <w:t>D.</w:t>
        </w:r>
        <w:r w:rsidR="004F7642">
          <w:rPr>
            <w:rFonts w:asciiTheme="minorHAnsi" w:eastAsiaTheme="minorEastAsia" w:hAnsiTheme="minorHAnsi"/>
            <w:iCs w:val="0"/>
            <w:noProof/>
            <w:sz w:val="22"/>
            <w:szCs w:val="22"/>
          </w:rPr>
          <w:tab/>
        </w:r>
        <w:r w:rsidR="004F7642" w:rsidRPr="00186925">
          <w:rPr>
            <w:rStyle w:val="Hyperlink"/>
            <w:rFonts w:ascii="Times New Roman Bold" w:hAnsi="Times New Roman Bold" w:cs="Times New Roman"/>
            <w:noProof/>
          </w:rPr>
          <w:t>Rationale for Bank Engagement and Choice of Financing Instrument</w:t>
        </w:r>
        <w:r w:rsidR="004F7642">
          <w:rPr>
            <w:noProof/>
            <w:webHidden/>
          </w:rPr>
          <w:tab/>
        </w:r>
        <w:r w:rsidR="004F7642">
          <w:rPr>
            <w:noProof/>
            <w:webHidden/>
          </w:rPr>
          <w:fldChar w:fldCharType="begin"/>
        </w:r>
        <w:r w:rsidR="004F7642">
          <w:rPr>
            <w:noProof/>
            <w:webHidden/>
          </w:rPr>
          <w:instrText xml:space="preserve"> PAGEREF _Toc499113394 \h </w:instrText>
        </w:r>
        <w:r w:rsidR="004F7642">
          <w:rPr>
            <w:noProof/>
            <w:webHidden/>
          </w:rPr>
        </w:r>
        <w:r w:rsidR="004F7642">
          <w:rPr>
            <w:noProof/>
            <w:webHidden/>
          </w:rPr>
          <w:fldChar w:fldCharType="separate"/>
        </w:r>
        <w:r w:rsidR="00297F7D">
          <w:rPr>
            <w:noProof/>
            <w:webHidden/>
          </w:rPr>
          <w:t>6</w:t>
        </w:r>
        <w:r w:rsidR="004F7642">
          <w:rPr>
            <w:noProof/>
            <w:webHidden/>
          </w:rPr>
          <w:fldChar w:fldCharType="end"/>
        </w:r>
      </w:hyperlink>
    </w:p>
    <w:p w14:paraId="77BE029F" w14:textId="166973A7" w:rsidR="004F7642" w:rsidRDefault="00F8126C">
      <w:pPr>
        <w:pStyle w:val="TOC1"/>
        <w:rPr>
          <w:rFonts w:asciiTheme="minorHAnsi" w:eastAsiaTheme="minorEastAsia" w:hAnsiTheme="minorHAnsi"/>
          <w:b w:val="0"/>
          <w:bCs w:val="0"/>
          <w:noProof/>
          <w:sz w:val="22"/>
          <w:szCs w:val="22"/>
        </w:rPr>
      </w:pPr>
      <w:hyperlink w:anchor="_Toc499113395" w:history="1">
        <w:r w:rsidR="004F7642" w:rsidRPr="00186925">
          <w:rPr>
            <w:rStyle w:val="Hyperlink"/>
            <w:rFonts w:cs="Times New Roman"/>
            <w:noProof/>
          </w:rPr>
          <w:t>II.</w:t>
        </w:r>
        <w:r w:rsidR="004F7642">
          <w:rPr>
            <w:rFonts w:asciiTheme="minorHAnsi" w:eastAsiaTheme="minorEastAsia" w:hAnsiTheme="minorHAnsi"/>
            <w:b w:val="0"/>
            <w:bCs w:val="0"/>
            <w:noProof/>
            <w:sz w:val="22"/>
            <w:szCs w:val="22"/>
          </w:rPr>
          <w:tab/>
        </w:r>
        <w:r w:rsidR="004F7642" w:rsidRPr="00186925">
          <w:rPr>
            <w:rStyle w:val="Hyperlink"/>
            <w:rFonts w:cs="Times New Roman"/>
            <w:noProof/>
          </w:rPr>
          <w:t>PROGRAM DESCRIPTION</w:t>
        </w:r>
        <w:r w:rsidR="004F7642">
          <w:rPr>
            <w:noProof/>
            <w:webHidden/>
          </w:rPr>
          <w:tab/>
        </w:r>
        <w:r w:rsidR="004F7642">
          <w:rPr>
            <w:noProof/>
            <w:webHidden/>
          </w:rPr>
          <w:fldChar w:fldCharType="begin"/>
        </w:r>
        <w:r w:rsidR="004F7642">
          <w:rPr>
            <w:noProof/>
            <w:webHidden/>
          </w:rPr>
          <w:instrText xml:space="preserve"> PAGEREF _Toc499113395 \h </w:instrText>
        </w:r>
        <w:r w:rsidR="004F7642">
          <w:rPr>
            <w:noProof/>
            <w:webHidden/>
          </w:rPr>
        </w:r>
        <w:r w:rsidR="004F7642">
          <w:rPr>
            <w:noProof/>
            <w:webHidden/>
          </w:rPr>
          <w:fldChar w:fldCharType="separate"/>
        </w:r>
        <w:r w:rsidR="00297F7D">
          <w:rPr>
            <w:noProof/>
            <w:webHidden/>
          </w:rPr>
          <w:t>7</w:t>
        </w:r>
        <w:r w:rsidR="004F7642">
          <w:rPr>
            <w:noProof/>
            <w:webHidden/>
          </w:rPr>
          <w:fldChar w:fldCharType="end"/>
        </w:r>
      </w:hyperlink>
    </w:p>
    <w:p w14:paraId="4F778785" w14:textId="0CFD314E" w:rsidR="004F7642" w:rsidRDefault="00F8126C">
      <w:pPr>
        <w:pStyle w:val="TOC2"/>
        <w:rPr>
          <w:rFonts w:asciiTheme="minorHAnsi" w:eastAsiaTheme="minorEastAsia" w:hAnsiTheme="minorHAnsi"/>
          <w:iCs w:val="0"/>
          <w:noProof/>
          <w:sz w:val="22"/>
          <w:szCs w:val="22"/>
        </w:rPr>
      </w:pPr>
      <w:hyperlink w:anchor="_Toc499113396" w:history="1">
        <w:r w:rsidR="004F7642" w:rsidRPr="00186925">
          <w:rPr>
            <w:rStyle w:val="Hyperlink"/>
            <w:rFonts w:ascii="Times New Roman Bold" w:hAnsi="Times New Roman Bold" w:cs="Times New Roman"/>
            <w:noProof/>
          </w:rPr>
          <w:t>A.</w:t>
        </w:r>
        <w:r w:rsidR="004F7642">
          <w:rPr>
            <w:rFonts w:asciiTheme="minorHAnsi" w:eastAsiaTheme="minorEastAsia" w:hAnsiTheme="minorHAnsi"/>
            <w:iCs w:val="0"/>
            <w:noProof/>
            <w:sz w:val="22"/>
            <w:szCs w:val="22"/>
          </w:rPr>
          <w:tab/>
        </w:r>
        <w:r w:rsidR="004F7642" w:rsidRPr="00186925">
          <w:rPr>
            <w:rStyle w:val="Hyperlink"/>
            <w:rFonts w:ascii="Times New Roman Bold" w:hAnsi="Times New Roman Bold" w:cs="Times New Roman"/>
            <w:noProof/>
          </w:rPr>
          <w:t>Government program</w:t>
        </w:r>
        <w:r w:rsidR="004F7642">
          <w:rPr>
            <w:noProof/>
            <w:webHidden/>
          </w:rPr>
          <w:tab/>
        </w:r>
        <w:r w:rsidR="004F7642">
          <w:rPr>
            <w:noProof/>
            <w:webHidden/>
          </w:rPr>
          <w:fldChar w:fldCharType="begin"/>
        </w:r>
        <w:r w:rsidR="004F7642">
          <w:rPr>
            <w:noProof/>
            <w:webHidden/>
          </w:rPr>
          <w:instrText xml:space="preserve"> PAGEREF _Toc499113396 \h </w:instrText>
        </w:r>
        <w:r w:rsidR="004F7642">
          <w:rPr>
            <w:noProof/>
            <w:webHidden/>
          </w:rPr>
        </w:r>
        <w:r w:rsidR="004F7642">
          <w:rPr>
            <w:noProof/>
            <w:webHidden/>
          </w:rPr>
          <w:fldChar w:fldCharType="separate"/>
        </w:r>
        <w:r w:rsidR="00297F7D">
          <w:rPr>
            <w:noProof/>
            <w:webHidden/>
          </w:rPr>
          <w:t>7</w:t>
        </w:r>
        <w:r w:rsidR="004F7642">
          <w:rPr>
            <w:noProof/>
            <w:webHidden/>
          </w:rPr>
          <w:fldChar w:fldCharType="end"/>
        </w:r>
      </w:hyperlink>
    </w:p>
    <w:p w14:paraId="3796D99A" w14:textId="0474F604" w:rsidR="004F7642" w:rsidRDefault="00F8126C">
      <w:pPr>
        <w:pStyle w:val="TOC2"/>
        <w:rPr>
          <w:rFonts w:asciiTheme="minorHAnsi" w:eastAsiaTheme="minorEastAsia" w:hAnsiTheme="minorHAnsi"/>
          <w:iCs w:val="0"/>
          <w:noProof/>
          <w:sz w:val="22"/>
          <w:szCs w:val="22"/>
        </w:rPr>
      </w:pPr>
      <w:hyperlink w:anchor="_Toc499113397" w:history="1">
        <w:r w:rsidR="004F7642" w:rsidRPr="00186925">
          <w:rPr>
            <w:rStyle w:val="Hyperlink"/>
            <w:rFonts w:ascii="Times New Roman Bold" w:hAnsi="Times New Roman Bold" w:cs="Times New Roman"/>
            <w:noProof/>
          </w:rPr>
          <w:t>B.</w:t>
        </w:r>
        <w:r w:rsidR="004F7642">
          <w:rPr>
            <w:rFonts w:asciiTheme="minorHAnsi" w:eastAsiaTheme="minorEastAsia" w:hAnsiTheme="minorHAnsi"/>
            <w:iCs w:val="0"/>
            <w:noProof/>
            <w:sz w:val="22"/>
            <w:szCs w:val="22"/>
          </w:rPr>
          <w:tab/>
        </w:r>
        <w:r w:rsidR="004F7642" w:rsidRPr="00186925">
          <w:rPr>
            <w:rStyle w:val="Hyperlink"/>
            <w:rFonts w:ascii="Times New Roman Bold" w:hAnsi="Times New Roman Bold" w:cs="Times New Roman"/>
            <w:noProof/>
          </w:rPr>
          <w:t>Program Development Objective (PDO) and key results</w:t>
        </w:r>
        <w:r w:rsidR="004F7642">
          <w:rPr>
            <w:noProof/>
            <w:webHidden/>
          </w:rPr>
          <w:tab/>
        </w:r>
        <w:r w:rsidR="004F7642">
          <w:rPr>
            <w:noProof/>
            <w:webHidden/>
          </w:rPr>
          <w:fldChar w:fldCharType="begin"/>
        </w:r>
        <w:r w:rsidR="004F7642">
          <w:rPr>
            <w:noProof/>
            <w:webHidden/>
          </w:rPr>
          <w:instrText xml:space="preserve"> PAGEREF _Toc499113397 \h </w:instrText>
        </w:r>
        <w:r w:rsidR="004F7642">
          <w:rPr>
            <w:noProof/>
            <w:webHidden/>
          </w:rPr>
        </w:r>
        <w:r w:rsidR="004F7642">
          <w:rPr>
            <w:noProof/>
            <w:webHidden/>
          </w:rPr>
          <w:fldChar w:fldCharType="separate"/>
        </w:r>
        <w:r w:rsidR="00297F7D">
          <w:rPr>
            <w:noProof/>
            <w:webHidden/>
          </w:rPr>
          <w:t>9</w:t>
        </w:r>
        <w:r w:rsidR="004F7642">
          <w:rPr>
            <w:noProof/>
            <w:webHidden/>
          </w:rPr>
          <w:fldChar w:fldCharType="end"/>
        </w:r>
      </w:hyperlink>
    </w:p>
    <w:p w14:paraId="3126AC15" w14:textId="0F2BBFD8" w:rsidR="004F7642" w:rsidRDefault="00F8126C">
      <w:pPr>
        <w:pStyle w:val="TOC2"/>
        <w:rPr>
          <w:rFonts w:asciiTheme="minorHAnsi" w:eastAsiaTheme="minorEastAsia" w:hAnsiTheme="minorHAnsi"/>
          <w:iCs w:val="0"/>
          <w:noProof/>
          <w:sz w:val="22"/>
          <w:szCs w:val="22"/>
        </w:rPr>
      </w:pPr>
      <w:hyperlink w:anchor="_Toc499113398" w:history="1">
        <w:r w:rsidR="004F7642" w:rsidRPr="00186925">
          <w:rPr>
            <w:rStyle w:val="Hyperlink"/>
            <w:rFonts w:ascii="Times New Roman Bold" w:hAnsi="Times New Roman Bold" w:cs="Times New Roman"/>
            <w:noProof/>
          </w:rPr>
          <w:t>C.</w:t>
        </w:r>
        <w:r w:rsidR="004F7642">
          <w:rPr>
            <w:rFonts w:asciiTheme="minorHAnsi" w:eastAsiaTheme="minorEastAsia" w:hAnsiTheme="minorHAnsi"/>
            <w:iCs w:val="0"/>
            <w:noProof/>
            <w:sz w:val="22"/>
            <w:szCs w:val="22"/>
          </w:rPr>
          <w:tab/>
        </w:r>
        <w:r w:rsidR="004F7642" w:rsidRPr="00186925">
          <w:rPr>
            <w:rStyle w:val="Hyperlink"/>
            <w:rFonts w:ascii="Times New Roman Bold" w:hAnsi="Times New Roman Bold" w:cs="Times New Roman"/>
            <w:noProof/>
          </w:rPr>
          <w:t>PforR Program Scope</w:t>
        </w:r>
        <w:r w:rsidR="004F7642">
          <w:rPr>
            <w:noProof/>
            <w:webHidden/>
          </w:rPr>
          <w:tab/>
        </w:r>
        <w:r w:rsidR="004F7642">
          <w:rPr>
            <w:noProof/>
            <w:webHidden/>
          </w:rPr>
          <w:fldChar w:fldCharType="begin"/>
        </w:r>
        <w:r w:rsidR="004F7642">
          <w:rPr>
            <w:noProof/>
            <w:webHidden/>
          </w:rPr>
          <w:instrText xml:space="preserve"> PAGEREF _Toc499113398 \h </w:instrText>
        </w:r>
        <w:r w:rsidR="004F7642">
          <w:rPr>
            <w:noProof/>
            <w:webHidden/>
          </w:rPr>
        </w:r>
        <w:r w:rsidR="004F7642">
          <w:rPr>
            <w:noProof/>
            <w:webHidden/>
          </w:rPr>
          <w:fldChar w:fldCharType="separate"/>
        </w:r>
        <w:r w:rsidR="00297F7D">
          <w:rPr>
            <w:noProof/>
            <w:webHidden/>
          </w:rPr>
          <w:t>9</w:t>
        </w:r>
        <w:r w:rsidR="004F7642">
          <w:rPr>
            <w:noProof/>
            <w:webHidden/>
          </w:rPr>
          <w:fldChar w:fldCharType="end"/>
        </w:r>
      </w:hyperlink>
    </w:p>
    <w:p w14:paraId="33A471E1" w14:textId="22EE8C51" w:rsidR="004F7642" w:rsidRDefault="00F8126C">
      <w:pPr>
        <w:pStyle w:val="TOC2"/>
        <w:rPr>
          <w:rFonts w:asciiTheme="minorHAnsi" w:eastAsiaTheme="minorEastAsia" w:hAnsiTheme="minorHAnsi"/>
          <w:iCs w:val="0"/>
          <w:noProof/>
          <w:sz w:val="22"/>
          <w:szCs w:val="22"/>
        </w:rPr>
      </w:pPr>
      <w:hyperlink w:anchor="_Toc499113399" w:history="1">
        <w:r w:rsidR="004F7642" w:rsidRPr="00186925">
          <w:rPr>
            <w:rStyle w:val="Hyperlink"/>
            <w:rFonts w:ascii="Times New Roman Bold" w:hAnsi="Times New Roman Bold" w:cs="Times New Roman"/>
            <w:noProof/>
          </w:rPr>
          <w:t>D.</w:t>
        </w:r>
        <w:r w:rsidR="004F7642">
          <w:rPr>
            <w:rFonts w:asciiTheme="minorHAnsi" w:eastAsiaTheme="minorEastAsia" w:hAnsiTheme="minorHAnsi"/>
            <w:iCs w:val="0"/>
            <w:noProof/>
            <w:sz w:val="22"/>
            <w:szCs w:val="22"/>
          </w:rPr>
          <w:tab/>
        </w:r>
        <w:r w:rsidR="004F7642" w:rsidRPr="00186925">
          <w:rPr>
            <w:rStyle w:val="Hyperlink"/>
            <w:rFonts w:ascii="Times New Roman Bold" w:hAnsi="Times New Roman Bold" w:cs="Times New Roman"/>
            <w:noProof/>
          </w:rPr>
          <w:t>Disbursement Linked Indicators (DLIs) and Verification Protocols</w:t>
        </w:r>
        <w:r w:rsidR="004F7642">
          <w:rPr>
            <w:noProof/>
            <w:webHidden/>
          </w:rPr>
          <w:tab/>
        </w:r>
        <w:r w:rsidR="004F7642">
          <w:rPr>
            <w:noProof/>
            <w:webHidden/>
          </w:rPr>
          <w:fldChar w:fldCharType="begin"/>
        </w:r>
        <w:r w:rsidR="004F7642">
          <w:rPr>
            <w:noProof/>
            <w:webHidden/>
          </w:rPr>
          <w:instrText xml:space="preserve"> PAGEREF _Toc499113399 \h </w:instrText>
        </w:r>
        <w:r w:rsidR="004F7642">
          <w:rPr>
            <w:noProof/>
            <w:webHidden/>
          </w:rPr>
        </w:r>
        <w:r w:rsidR="004F7642">
          <w:rPr>
            <w:noProof/>
            <w:webHidden/>
          </w:rPr>
          <w:fldChar w:fldCharType="separate"/>
        </w:r>
        <w:r w:rsidR="00297F7D">
          <w:rPr>
            <w:noProof/>
            <w:webHidden/>
          </w:rPr>
          <w:t>15</w:t>
        </w:r>
        <w:r w:rsidR="004F7642">
          <w:rPr>
            <w:noProof/>
            <w:webHidden/>
          </w:rPr>
          <w:fldChar w:fldCharType="end"/>
        </w:r>
      </w:hyperlink>
    </w:p>
    <w:p w14:paraId="46B18CD2" w14:textId="3E46734F" w:rsidR="004F7642" w:rsidRDefault="00F8126C">
      <w:pPr>
        <w:pStyle w:val="TOC2"/>
        <w:rPr>
          <w:rFonts w:asciiTheme="minorHAnsi" w:eastAsiaTheme="minorEastAsia" w:hAnsiTheme="minorHAnsi"/>
          <w:iCs w:val="0"/>
          <w:noProof/>
          <w:sz w:val="22"/>
          <w:szCs w:val="22"/>
        </w:rPr>
      </w:pPr>
      <w:hyperlink w:anchor="_Toc499113400" w:history="1">
        <w:r w:rsidR="004F7642" w:rsidRPr="00186925">
          <w:rPr>
            <w:rStyle w:val="Hyperlink"/>
            <w:rFonts w:ascii="Times New Roman Bold" w:hAnsi="Times New Roman Bold" w:cs="Times New Roman"/>
            <w:noProof/>
          </w:rPr>
          <w:t>E.</w:t>
        </w:r>
        <w:r w:rsidR="004F7642">
          <w:rPr>
            <w:rFonts w:asciiTheme="minorHAnsi" w:eastAsiaTheme="minorEastAsia" w:hAnsiTheme="minorHAnsi"/>
            <w:iCs w:val="0"/>
            <w:noProof/>
            <w:sz w:val="22"/>
            <w:szCs w:val="22"/>
          </w:rPr>
          <w:tab/>
        </w:r>
        <w:r w:rsidR="004F7642" w:rsidRPr="00186925">
          <w:rPr>
            <w:rStyle w:val="Hyperlink"/>
            <w:rFonts w:ascii="Times New Roman Bold" w:hAnsi="Times New Roman Bold" w:cs="Times New Roman"/>
            <w:noProof/>
          </w:rPr>
          <w:t>Capacity Building and Institutional Strengthening</w:t>
        </w:r>
        <w:r w:rsidR="004F7642">
          <w:rPr>
            <w:noProof/>
            <w:webHidden/>
          </w:rPr>
          <w:tab/>
        </w:r>
        <w:r w:rsidR="004F7642">
          <w:rPr>
            <w:noProof/>
            <w:webHidden/>
          </w:rPr>
          <w:fldChar w:fldCharType="begin"/>
        </w:r>
        <w:r w:rsidR="004F7642">
          <w:rPr>
            <w:noProof/>
            <w:webHidden/>
          </w:rPr>
          <w:instrText xml:space="preserve"> PAGEREF _Toc499113400 \h </w:instrText>
        </w:r>
        <w:r w:rsidR="004F7642">
          <w:rPr>
            <w:noProof/>
            <w:webHidden/>
          </w:rPr>
        </w:r>
        <w:r w:rsidR="004F7642">
          <w:rPr>
            <w:noProof/>
            <w:webHidden/>
          </w:rPr>
          <w:fldChar w:fldCharType="separate"/>
        </w:r>
        <w:r w:rsidR="00297F7D">
          <w:rPr>
            <w:noProof/>
            <w:webHidden/>
          </w:rPr>
          <w:t>16</w:t>
        </w:r>
        <w:r w:rsidR="004F7642">
          <w:rPr>
            <w:noProof/>
            <w:webHidden/>
          </w:rPr>
          <w:fldChar w:fldCharType="end"/>
        </w:r>
      </w:hyperlink>
    </w:p>
    <w:p w14:paraId="24742417" w14:textId="0E9BA17F" w:rsidR="004F7642" w:rsidRDefault="00F8126C">
      <w:pPr>
        <w:pStyle w:val="TOC1"/>
        <w:rPr>
          <w:rFonts w:asciiTheme="minorHAnsi" w:eastAsiaTheme="minorEastAsia" w:hAnsiTheme="minorHAnsi"/>
          <w:b w:val="0"/>
          <w:bCs w:val="0"/>
          <w:noProof/>
          <w:sz w:val="22"/>
          <w:szCs w:val="22"/>
        </w:rPr>
      </w:pPr>
      <w:hyperlink w:anchor="_Toc499113401" w:history="1">
        <w:r w:rsidR="004F7642" w:rsidRPr="00186925">
          <w:rPr>
            <w:rStyle w:val="Hyperlink"/>
            <w:rFonts w:cs="Times New Roman"/>
            <w:noProof/>
          </w:rPr>
          <w:t>III.</w:t>
        </w:r>
        <w:r w:rsidR="004F7642">
          <w:rPr>
            <w:rFonts w:asciiTheme="minorHAnsi" w:eastAsiaTheme="minorEastAsia" w:hAnsiTheme="minorHAnsi"/>
            <w:b w:val="0"/>
            <w:bCs w:val="0"/>
            <w:noProof/>
            <w:sz w:val="22"/>
            <w:szCs w:val="22"/>
          </w:rPr>
          <w:tab/>
        </w:r>
        <w:r w:rsidR="004F7642" w:rsidRPr="00186925">
          <w:rPr>
            <w:rStyle w:val="Hyperlink"/>
            <w:rFonts w:cs="Times New Roman"/>
            <w:noProof/>
          </w:rPr>
          <w:t>PROGRAM IMPLEMENTATION</w:t>
        </w:r>
        <w:r w:rsidR="004F7642">
          <w:rPr>
            <w:noProof/>
            <w:webHidden/>
          </w:rPr>
          <w:tab/>
        </w:r>
        <w:r w:rsidR="004F7642">
          <w:rPr>
            <w:noProof/>
            <w:webHidden/>
          </w:rPr>
          <w:fldChar w:fldCharType="begin"/>
        </w:r>
        <w:r w:rsidR="004F7642">
          <w:rPr>
            <w:noProof/>
            <w:webHidden/>
          </w:rPr>
          <w:instrText xml:space="preserve"> PAGEREF _Toc499113401 \h </w:instrText>
        </w:r>
        <w:r w:rsidR="004F7642">
          <w:rPr>
            <w:noProof/>
            <w:webHidden/>
          </w:rPr>
        </w:r>
        <w:r w:rsidR="004F7642">
          <w:rPr>
            <w:noProof/>
            <w:webHidden/>
          </w:rPr>
          <w:fldChar w:fldCharType="separate"/>
        </w:r>
        <w:r w:rsidR="00297F7D">
          <w:rPr>
            <w:noProof/>
            <w:webHidden/>
          </w:rPr>
          <w:t>17</w:t>
        </w:r>
        <w:r w:rsidR="004F7642">
          <w:rPr>
            <w:noProof/>
            <w:webHidden/>
          </w:rPr>
          <w:fldChar w:fldCharType="end"/>
        </w:r>
      </w:hyperlink>
    </w:p>
    <w:p w14:paraId="16994AFE" w14:textId="3FF6806C" w:rsidR="004F7642" w:rsidRDefault="00F8126C">
      <w:pPr>
        <w:pStyle w:val="TOC2"/>
        <w:rPr>
          <w:rFonts w:asciiTheme="minorHAnsi" w:eastAsiaTheme="minorEastAsia" w:hAnsiTheme="minorHAnsi"/>
          <w:iCs w:val="0"/>
          <w:noProof/>
          <w:sz w:val="22"/>
          <w:szCs w:val="22"/>
        </w:rPr>
      </w:pPr>
      <w:hyperlink w:anchor="_Toc499113402" w:history="1">
        <w:r w:rsidR="004F7642" w:rsidRPr="00186925">
          <w:rPr>
            <w:rStyle w:val="Hyperlink"/>
            <w:rFonts w:ascii="Times New Roman Bold" w:hAnsi="Times New Roman Bold" w:cs="Times New Roman"/>
            <w:noProof/>
          </w:rPr>
          <w:t>A.</w:t>
        </w:r>
        <w:r w:rsidR="004F7642">
          <w:rPr>
            <w:rFonts w:asciiTheme="minorHAnsi" w:eastAsiaTheme="minorEastAsia" w:hAnsiTheme="minorHAnsi"/>
            <w:iCs w:val="0"/>
            <w:noProof/>
            <w:sz w:val="22"/>
            <w:szCs w:val="22"/>
          </w:rPr>
          <w:tab/>
        </w:r>
        <w:r w:rsidR="004F7642" w:rsidRPr="00186925">
          <w:rPr>
            <w:rStyle w:val="Hyperlink"/>
            <w:rFonts w:ascii="Times New Roman Bold" w:hAnsi="Times New Roman Bold" w:cs="Times New Roman"/>
            <w:noProof/>
          </w:rPr>
          <w:t>Institutional and Implementation Arrangements</w:t>
        </w:r>
        <w:r w:rsidR="004F7642">
          <w:rPr>
            <w:noProof/>
            <w:webHidden/>
          </w:rPr>
          <w:tab/>
        </w:r>
        <w:r w:rsidR="004F7642">
          <w:rPr>
            <w:noProof/>
            <w:webHidden/>
          </w:rPr>
          <w:fldChar w:fldCharType="begin"/>
        </w:r>
        <w:r w:rsidR="004F7642">
          <w:rPr>
            <w:noProof/>
            <w:webHidden/>
          </w:rPr>
          <w:instrText xml:space="preserve"> PAGEREF _Toc499113402 \h </w:instrText>
        </w:r>
        <w:r w:rsidR="004F7642">
          <w:rPr>
            <w:noProof/>
            <w:webHidden/>
          </w:rPr>
        </w:r>
        <w:r w:rsidR="004F7642">
          <w:rPr>
            <w:noProof/>
            <w:webHidden/>
          </w:rPr>
          <w:fldChar w:fldCharType="separate"/>
        </w:r>
        <w:r w:rsidR="00297F7D">
          <w:rPr>
            <w:noProof/>
            <w:webHidden/>
          </w:rPr>
          <w:t>17</w:t>
        </w:r>
        <w:r w:rsidR="004F7642">
          <w:rPr>
            <w:noProof/>
            <w:webHidden/>
          </w:rPr>
          <w:fldChar w:fldCharType="end"/>
        </w:r>
      </w:hyperlink>
    </w:p>
    <w:p w14:paraId="11DEB470" w14:textId="3240D33C" w:rsidR="004F7642" w:rsidRDefault="00F8126C">
      <w:pPr>
        <w:pStyle w:val="TOC2"/>
        <w:rPr>
          <w:rFonts w:asciiTheme="minorHAnsi" w:eastAsiaTheme="minorEastAsia" w:hAnsiTheme="minorHAnsi"/>
          <w:iCs w:val="0"/>
          <w:noProof/>
          <w:sz w:val="22"/>
          <w:szCs w:val="22"/>
        </w:rPr>
      </w:pPr>
      <w:hyperlink w:anchor="_Toc499113403" w:history="1">
        <w:r w:rsidR="004F7642" w:rsidRPr="00186925">
          <w:rPr>
            <w:rStyle w:val="Hyperlink"/>
            <w:rFonts w:ascii="Times New Roman Bold" w:hAnsi="Times New Roman Bold" w:cs="Times New Roman"/>
            <w:noProof/>
          </w:rPr>
          <w:t>B.</w:t>
        </w:r>
        <w:r w:rsidR="004F7642">
          <w:rPr>
            <w:rFonts w:asciiTheme="minorHAnsi" w:eastAsiaTheme="minorEastAsia" w:hAnsiTheme="minorHAnsi"/>
            <w:iCs w:val="0"/>
            <w:noProof/>
            <w:sz w:val="22"/>
            <w:szCs w:val="22"/>
          </w:rPr>
          <w:tab/>
        </w:r>
        <w:r w:rsidR="004F7642" w:rsidRPr="00186925">
          <w:rPr>
            <w:rStyle w:val="Hyperlink"/>
            <w:rFonts w:ascii="Times New Roman Bold" w:hAnsi="Times New Roman Bold" w:cs="Times New Roman"/>
            <w:noProof/>
          </w:rPr>
          <w:t>Results Monitoring and Evaluation</w:t>
        </w:r>
        <w:r w:rsidR="004F7642">
          <w:rPr>
            <w:noProof/>
            <w:webHidden/>
          </w:rPr>
          <w:tab/>
        </w:r>
        <w:r w:rsidR="004F7642">
          <w:rPr>
            <w:noProof/>
            <w:webHidden/>
          </w:rPr>
          <w:fldChar w:fldCharType="begin"/>
        </w:r>
        <w:r w:rsidR="004F7642">
          <w:rPr>
            <w:noProof/>
            <w:webHidden/>
          </w:rPr>
          <w:instrText xml:space="preserve"> PAGEREF _Toc499113403 \h </w:instrText>
        </w:r>
        <w:r w:rsidR="004F7642">
          <w:rPr>
            <w:noProof/>
            <w:webHidden/>
          </w:rPr>
        </w:r>
        <w:r w:rsidR="004F7642">
          <w:rPr>
            <w:noProof/>
            <w:webHidden/>
          </w:rPr>
          <w:fldChar w:fldCharType="separate"/>
        </w:r>
        <w:r w:rsidR="00297F7D">
          <w:rPr>
            <w:noProof/>
            <w:webHidden/>
          </w:rPr>
          <w:t>19</w:t>
        </w:r>
        <w:r w:rsidR="004F7642">
          <w:rPr>
            <w:noProof/>
            <w:webHidden/>
          </w:rPr>
          <w:fldChar w:fldCharType="end"/>
        </w:r>
      </w:hyperlink>
    </w:p>
    <w:p w14:paraId="27BCEF13" w14:textId="4B26A352" w:rsidR="004F7642" w:rsidRDefault="00F8126C">
      <w:pPr>
        <w:pStyle w:val="TOC2"/>
        <w:rPr>
          <w:rFonts w:asciiTheme="minorHAnsi" w:eastAsiaTheme="minorEastAsia" w:hAnsiTheme="minorHAnsi"/>
          <w:iCs w:val="0"/>
          <w:noProof/>
          <w:sz w:val="22"/>
          <w:szCs w:val="22"/>
        </w:rPr>
      </w:pPr>
      <w:hyperlink w:anchor="_Toc499113404" w:history="1">
        <w:r w:rsidR="004F7642" w:rsidRPr="00186925">
          <w:rPr>
            <w:rStyle w:val="Hyperlink"/>
            <w:rFonts w:ascii="Times New Roman Bold" w:hAnsi="Times New Roman Bold" w:cs="Times New Roman"/>
            <w:noProof/>
          </w:rPr>
          <w:t>C.</w:t>
        </w:r>
        <w:r w:rsidR="004F7642">
          <w:rPr>
            <w:rFonts w:asciiTheme="minorHAnsi" w:eastAsiaTheme="minorEastAsia" w:hAnsiTheme="minorHAnsi"/>
            <w:iCs w:val="0"/>
            <w:noProof/>
            <w:sz w:val="22"/>
            <w:szCs w:val="22"/>
          </w:rPr>
          <w:tab/>
        </w:r>
        <w:r w:rsidR="004F7642" w:rsidRPr="00186925">
          <w:rPr>
            <w:rStyle w:val="Hyperlink"/>
            <w:rFonts w:ascii="Times New Roman Bold" w:hAnsi="Times New Roman Bold" w:cs="Times New Roman"/>
            <w:noProof/>
          </w:rPr>
          <w:t>Disbursement Arrangements</w:t>
        </w:r>
        <w:r w:rsidR="004F7642">
          <w:rPr>
            <w:noProof/>
            <w:webHidden/>
          </w:rPr>
          <w:tab/>
        </w:r>
        <w:r w:rsidR="004F7642">
          <w:rPr>
            <w:noProof/>
            <w:webHidden/>
          </w:rPr>
          <w:fldChar w:fldCharType="begin"/>
        </w:r>
        <w:r w:rsidR="004F7642">
          <w:rPr>
            <w:noProof/>
            <w:webHidden/>
          </w:rPr>
          <w:instrText xml:space="preserve"> PAGEREF _Toc499113404 \h </w:instrText>
        </w:r>
        <w:r w:rsidR="004F7642">
          <w:rPr>
            <w:noProof/>
            <w:webHidden/>
          </w:rPr>
        </w:r>
        <w:r w:rsidR="004F7642">
          <w:rPr>
            <w:noProof/>
            <w:webHidden/>
          </w:rPr>
          <w:fldChar w:fldCharType="separate"/>
        </w:r>
        <w:r w:rsidR="00297F7D">
          <w:rPr>
            <w:noProof/>
            <w:webHidden/>
          </w:rPr>
          <w:t>20</w:t>
        </w:r>
        <w:r w:rsidR="004F7642">
          <w:rPr>
            <w:noProof/>
            <w:webHidden/>
          </w:rPr>
          <w:fldChar w:fldCharType="end"/>
        </w:r>
      </w:hyperlink>
    </w:p>
    <w:p w14:paraId="162C8332" w14:textId="6BCC3E79" w:rsidR="004F7642" w:rsidRDefault="00F8126C">
      <w:pPr>
        <w:pStyle w:val="TOC1"/>
        <w:rPr>
          <w:rFonts w:asciiTheme="minorHAnsi" w:eastAsiaTheme="minorEastAsia" w:hAnsiTheme="minorHAnsi"/>
          <w:b w:val="0"/>
          <w:bCs w:val="0"/>
          <w:noProof/>
          <w:sz w:val="22"/>
          <w:szCs w:val="22"/>
        </w:rPr>
      </w:pPr>
      <w:hyperlink w:anchor="_Toc499113405" w:history="1">
        <w:r w:rsidR="004F7642" w:rsidRPr="00186925">
          <w:rPr>
            <w:rStyle w:val="Hyperlink"/>
            <w:rFonts w:cs="Times New Roman"/>
            <w:noProof/>
          </w:rPr>
          <w:t>IV.</w:t>
        </w:r>
        <w:r w:rsidR="004F7642">
          <w:rPr>
            <w:rFonts w:asciiTheme="minorHAnsi" w:eastAsiaTheme="minorEastAsia" w:hAnsiTheme="minorHAnsi"/>
            <w:b w:val="0"/>
            <w:bCs w:val="0"/>
            <w:noProof/>
            <w:sz w:val="22"/>
            <w:szCs w:val="22"/>
          </w:rPr>
          <w:tab/>
        </w:r>
        <w:r w:rsidR="004F7642" w:rsidRPr="00186925">
          <w:rPr>
            <w:rStyle w:val="Hyperlink"/>
            <w:rFonts w:cs="Times New Roman"/>
            <w:noProof/>
          </w:rPr>
          <w:t>ASSESSMENT SUMMARY</w:t>
        </w:r>
        <w:r w:rsidR="004F7642">
          <w:rPr>
            <w:noProof/>
            <w:webHidden/>
          </w:rPr>
          <w:tab/>
        </w:r>
        <w:r w:rsidR="004F7642">
          <w:rPr>
            <w:noProof/>
            <w:webHidden/>
          </w:rPr>
          <w:fldChar w:fldCharType="begin"/>
        </w:r>
        <w:r w:rsidR="004F7642">
          <w:rPr>
            <w:noProof/>
            <w:webHidden/>
          </w:rPr>
          <w:instrText xml:space="preserve"> PAGEREF _Toc499113405 \h </w:instrText>
        </w:r>
        <w:r w:rsidR="004F7642">
          <w:rPr>
            <w:noProof/>
            <w:webHidden/>
          </w:rPr>
        </w:r>
        <w:r w:rsidR="004F7642">
          <w:rPr>
            <w:noProof/>
            <w:webHidden/>
          </w:rPr>
          <w:fldChar w:fldCharType="separate"/>
        </w:r>
        <w:r w:rsidR="00297F7D">
          <w:rPr>
            <w:noProof/>
            <w:webHidden/>
          </w:rPr>
          <w:t>21</w:t>
        </w:r>
        <w:r w:rsidR="004F7642">
          <w:rPr>
            <w:noProof/>
            <w:webHidden/>
          </w:rPr>
          <w:fldChar w:fldCharType="end"/>
        </w:r>
      </w:hyperlink>
    </w:p>
    <w:p w14:paraId="44B1E018" w14:textId="779451F3" w:rsidR="004F7642" w:rsidRDefault="00F8126C">
      <w:pPr>
        <w:pStyle w:val="TOC2"/>
        <w:rPr>
          <w:rFonts w:asciiTheme="minorHAnsi" w:eastAsiaTheme="minorEastAsia" w:hAnsiTheme="minorHAnsi"/>
          <w:iCs w:val="0"/>
          <w:noProof/>
          <w:sz w:val="22"/>
          <w:szCs w:val="22"/>
        </w:rPr>
      </w:pPr>
      <w:hyperlink w:anchor="_Toc499113406" w:history="1">
        <w:r w:rsidR="004F7642" w:rsidRPr="00186925">
          <w:rPr>
            <w:rStyle w:val="Hyperlink"/>
            <w:rFonts w:ascii="Times New Roman Bold" w:hAnsi="Times New Roman Bold" w:cs="Times New Roman"/>
            <w:noProof/>
          </w:rPr>
          <w:t>A.</w:t>
        </w:r>
        <w:r w:rsidR="004F7642">
          <w:rPr>
            <w:rFonts w:asciiTheme="minorHAnsi" w:eastAsiaTheme="minorEastAsia" w:hAnsiTheme="minorHAnsi"/>
            <w:iCs w:val="0"/>
            <w:noProof/>
            <w:sz w:val="22"/>
            <w:szCs w:val="22"/>
          </w:rPr>
          <w:tab/>
        </w:r>
        <w:r w:rsidR="004F7642" w:rsidRPr="00186925">
          <w:rPr>
            <w:rStyle w:val="Hyperlink"/>
            <w:rFonts w:ascii="Times New Roman Bold" w:hAnsi="Times New Roman Bold" w:cs="Times New Roman"/>
            <w:noProof/>
          </w:rPr>
          <w:t>Technical</w:t>
        </w:r>
        <w:r w:rsidR="004F7642">
          <w:rPr>
            <w:noProof/>
            <w:webHidden/>
          </w:rPr>
          <w:tab/>
        </w:r>
        <w:r w:rsidR="004F7642">
          <w:rPr>
            <w:noProof/>
            <w:webHidden/>
          </w:rPr>
          <w:fldChar w:fldCharType="begin"/>
        </w:r>
        <w:r w:rsidR="004F7642">
          <w:rPr>
            <w:noProof/>
            <w:webHidden/>
          </w:rPr>
          <w:instrText xml:space="preserve"> PAGEREF _Toc499113406 \h </w:instrText>
        </w:r>
        <w:r w:rsidR="004F7642">
          <w:rPr>
            <w:noProof/>
            <w:webHidden/>
          </w:rPr>
        </w:r>
        <w:r w:rsidR="004F7642">
          <w:rPr>
            <w:noProof/>
            <w:webHidden/>
          </w:rPr>
          <w:fldChar w:fldCharType="separate"/>
        </w:r>
        <w:r w:rsidR="00297F7D">
          <w:rPr>
            <w:noProof/>
            <w:webHidden/>
          </w:rPr>
          <w:t>21</w:t>
        </w:r>
        <w:r w:rsidR="004F7642">
          <w:rPr>
            <w:noProof/>
            <w:webHidden/>
          </w:rPr>
          <w:fldChar w:fldCharType="end"/>
        </w:r>
      </w:hyperlink>
    </w:p>
    <w:p w14:paraId="76EEC4C5" w14:textId="3BBC6DB7" w:rsidR="004F7642" w:rsidRDefault="00F8126C">
      <w:pPr>
        <w:pStyle w:val="TOC2"/>
        <w:rPr>
          <w:rFonts w:asciiTheme="minorHAnsi" w:eastAsiaTheme="minorEastAsia" w:hAnsiTheme="minorHAnsi"/>
          <w:iCs w:val="0"/>
          <w:noProof/>
          <w:sz w:val="22"/>
          <w:szCs w:val="22"/>
        </w:rPr>
      </w:pPr>
      <w:hyperlink w:anchor="_Toc499113407" w:history="1">
        <w:r w:rsidR="004F7642" w:rsidRPr="00186925">
          <w:rPr>
            <w:rStyle w:val="Hyperlink"/>
            <w:rFonts w:ascii="Times New Roman Bold" w:hAnsi="Times New Roman Bold" w:cs="Times New Roman"/>
            <w:noProof/>
          </w:rPr>
          <w:t>B.</w:t>
        </w:r>
        <w:r w:rsidR="004F7642">
          <w:rPr>
            <w:rFonts w:asciiTheme="minorHAnsi" w:eastAsiaTheme="minorEastAsia" w:hAnsiTheme="minorHAnsi"/>
            <w:iCs w:val="0"/>
            <w:noProof/>
            <w:sz w:val="22"/>
            <w:szCs w:val="22"/>
          </w:rPr>
          <w:tab/>
        </w:r>
        <w:r w:rsidR="004F7642" w:rsidRPr="00186925">
          <w:rPr>
            <w:rStyle w:val="Hyperlink"/>
            <w:rFonts w:ascii="Times New Roman Bold" w:hAnsi="Times New Roman Bold" w:cs="Times New Roman"/>
            <w:noProof/>
          </w:rPr>
          <w:t>Fiduciary</w:t>
        </w:r>
        <w:r w:rsidR="004F7642">
          <w:rPr>
            <w:noProof/>
            <w:webHidden/>
          </w:rPr>
          <w:tab/>
        </w:r>
        <w:r w:rsidR="004F7642">
          <w:rPr>
            <w:noProof/>
            <w:webHidden/>
          </w:rPr>
          <w:fldChar w:fldCharType="begin"/>
        </w:r>
        <w:r w:rsidR="004F7642">
          <w:rPr>
            <w:noProof/>
            <w:webHidden/>
          </w:rPr>
          <w:instrText xml:space="preserve"> PAGEREF _Toc499113407 \h </w:instrText>
        </w:r>
        <w:r w:rsidR="004F7642">
          <w:rPr>
            <w:noProof/>
            <w:webHidden/>
          </w:rPr>
        </w:r>
        <w:r w:rsidR="004F7642">
          <w:rPr>
            <w:noProof/>
            <w:webHidden/>
          </w:rPr>
          <w:fldChar w:fldCharType="separate"/>
        </w:r>
        <w:r w:rsidR="00297F7D">
          <w:rPr>
            <w:noProof/>
            <w:webHidden/>
          </w:rPr>
          <w:t>24</w:t>
        </w:r>
        <w:r w:rsidR="004F7642">
          <w:rPr>
            <w:noProof/>
            <w:webHidden/>
          </w:rPr>
          <w:fldChar w:fldCharType="end"/>
        </w:r>
      </w:hyperlink>
    </w:p>
    <w:p w14:paraId="40FFA16B" w14:textId="1AC7F542" w:rsidR="004F7642" w:rsidRDefault="00F8126C">
      <w:pPr>
        <w:pStyle w:val="TOC2"/>
        <w:rPr>
          <w:rFonts w:asciiTheme="minorHAnsi" w:eastAsiaTheme="minorEastAsia" w:hAnsiTheme="minorHAnsi"/>
          <w:iCs w:val="0"/>
          <w:noProof/>
          <w:sz w:val="22"/>
          <w:szCs w:val="22"/>
        </w:rPr>
      </w:pPr>
      <w:hyperlink w:anchor="_Toc499113408" w:history="1">
        <w:r w:rsidR="004F7642" w:rsidRPr="00186925">
          <w:rPr>
            <w:rStyle w:val="Hyperlink"/>
            <w:rFonts w:ascii="Times New Roman Bold" w:hAnsi="Times New Roman Bold" w:cs="Times New Roman"/>
            <w:noProof/>
          </w:rPr>
          <w:t>C.</w:t>
        </w:r>
        <w:r w:rsidR="004F7642">
          <w:rPr>
            <w:rFonts w:asciiTheme="minorHAnsi" w:eastAsiaTheme="minorEastAsia" w:hAnsiTheme="minorHAnsi"/>
            <w:iCs w:val="0"/>
            <w:noProof/>
            <w:sz w:val="22"/>
            <w:szCs w:val="22"/>
          </w:rPr>
          <w:tab/>
        </w:r>
        <w:r w:rsidR="004F7642" w:rsidRPr="00186925">
          <w:rPr>
            <w:rStyle w:val="Hyperlink"/>
            <w:rFonts w:ascii="Times New Roman Bold" w:hAnsi="Times New Roman Bold" w:cs="Times New Roman"/>
            <w:noProof/>
          </w:rPr>
          <w:t>Environmental and Social Effects</w:t>
        </w:r>
        <w:r w:rsidR="004F7642">
          <w:rPr>
            <w:noProof/>
            <w:webHidden/>
          </w:rPr>
          <w:tab/>
        </w:r>
        <w:r w:rsidR="004F7642">
          <w:rPr>
            <w:noProof/>
            <w:webHidden/>
          </w:rPr>
          <w:fldChar w:fldCharType="begin"/>
        </w:r>
        <w:r w:rsidR="004F7642">
          <w:rPr>
            <w:noProof/>
            <w:webHidden/>
          </w:rPr>
          <w:instrText xml:space="preserve"> PAGEREF _Toc499113408 \h </w:instrText>
        </w:r>
        <w:r w:rsidR="004F7642">
          <w:rPr>
            <w:noProof/>
            <w:webHidden/>
          </w:rPr>
        </w:r>
        <w:r w:rsidR="004F7642">
          <w:rPr>
            <w:noProof/>
            <w:webHidden/>
          </w:rPr>
          <w:fldChar w:fldCharType="separate"/>
        </w:r>
        <w:r w:rsidR="00297F7D">
          <w:rPr>
            <w:noProof/>
            <w:webHidden/>
          </w:rPr>
          <w:t>25</w:t>
        </w:r>
        <w:r w:rsidR="004F7642">
          <w:rPr>
            <w:noProof/>
            <w:webHidden/>
          </w:rPr>
          <w:fldChar w:fldCharType="end"/>
        </w:r>
      </w:hyperlink>
    </w:p>
    <w:p w14:paraId="29E0566C" w14:textId="286B31E9" w:rsidR="004F7642" w:rsidRDefault="00F8126C">
      <w:pPr>
        <w:pStyle w:val="TOC2"/>
        <w:rPr>
          <w:rFonts w:asciiTheme="minorHAnsi" w:eastAsiaTheme="minorEastAsia" w:hAnsiTheme="minorHAnsi"/>
          <w:iCs w:val="0"/>
          <w:noProof/>
          <w:sz w:val="22"/>
          <w:szCs w:val="22"/>
        </w:rPr>
      </w:pPr>
      <w:hyperlink w:anchor="_Toc499113409" w:history="1">
        <w:r w:rsidR="004F7642" w:rsidRPr="00186925">
          <w:rPr>
            <w:rStyle w:val="Hyperlink"/>
            <w:rFonts w:ascii="Times New Roman Bold" w:hAnsi="Times New Roman Bold" w:cs="Times New Roman"/>
            <w:noProof/>
          </w:rPr>
          <w:t>D.</w:t>
        </w:r>
        <w:r w:rsidR="004F7642">
          <w:rPr>
            <w:rFonts w:asciiTheme="minorHAnsi" w:eastAsiaTheme="minorEastAsia" w:hAnsiTheme="minorHAnsi"/>
            <w:iCs w:val="0"/>
            <w:noProof/>
            <w:sz w:val="22"/>
            <w:szCs w:val="22"/>
          </w:rPr>
          <w:tab/>
        </w:r>
        <w:r w:rsidR="004F7642" w:rsidRPr="00186925">
          <w:rPr>
            <w:rStyle w:val="Hyperlink"/>
            <w:rFonts w:ascii="Times New Roman Bold" w:hAnsi="Times New Roman Bold" w:cs="Times New Roman"/>
            <w:noProof/>
          </w:rPr>
          <w:t>Risk Assessment</w:t>
        </w:r>
        <w:r w:rsidR="004F7642">
          <w:rPr>
            <w:noProof/>
            <w:webHidden/>
          </w:rPr>
          <w:tab/>
        </w:r>
        <w:r w:rsidR="004F7642">
          <w:rPr>
            <w:noProof/>
            <w:webHidden/>
          </w:rPr>
          <w:fldChar w:fldCharType="begin"/>
        </w:r>
        <w:r w:rsidR="004F7642">
          <w:rPr>
            <w:noProof/>
            <w:webHidden/>
          </w:rPr>
          <w:instrText xml:space="preserve"> PAGEREF _Toc499113409 \h </w:instrText>
        </w:r>
        <w:r w:rsidR="004F7642">
          <w:rPr>
            <w:noProof/>
            <w:webHidden/>
          </w:rPr>
        </w:r>
        <w:r w:rsidR="004F7642">
          <w:rPr>
            <w:noProof/>
            <w:webHidden/>
          </w:rPr>
          <w:fldChar w:fldCharType="separate"/>
        </w:r>
        <w:r w:rsidR="00297F7D">
          <w:rPr>
            <w:noProof/>
            <w:webHidden/>
          </w:rPr>
          <w:t>28</w:t>
        </w:r>
        <w:r w:rsidR="004F7642">
          <w:rPr>
            <w:noProof/>
            <w:webHidden/>
          </w:rPr>
          <w:fldChar w:fldCharType="end"/>
        </w:r>
      </w:hyperlink>
    </w:p>
    <w:p w14:paraId="1E602AD4" w14:textId="41B5F3EF" w:rsidR="004F7642" w:rsidRDefault="00F8126C">
      <w:pPr>
        <w:pStyle w:val="TOC2"/>
        <w:rPr>
          <w:rFonts w:asciiTheme="minorHAnsi" w:eastAsiaTheme="minorEastAsia" w:hAnsiTheme="minorHAnsi"/>
          <w:iCs w:val="0"/>
          <w:noProof/>
          <w:sz w:val="22"/>
          <w:szCs w:val="22"/>
        </w:rPr>
      </w:pPr>
      <w:hyperlink w:anchor="_Toc499113410" w:history="1">
        <w:r w:rsidR="004F7642" w:rsidRPr="00186925">
          <w:rPr>
            <w:rStyle w:val="Hyperlink"/>
            <w:rFonts w:ascii="Times New Roman Bold" w:hAnsi="Times New Roman Bold" w:cs="Times New Roman"/>
            <w:noProof/>
          </w:rPr>
          <w:t>E.</w:t>
        </w:r>
        <w:r w:rsidR="004F7642">
          <w:rPr>
            <w:rFonts w:asciiTheme="minorHAnsi" w:eastAsiaTheme="minorEastAsia" w:hAnsiTheme="minorHAnsi"/>
            <w:iCs w:val="0"/>
            <w:noProof/>
            <w:sz w:val="22"/>
            <w:szCs w:val="22"/>
          </w:rPr>
          <w:tab/>
        </w:r>
        <w:r w:rsidR="004F7642" w:rsidRPr="00186925">
          <w:rPr>
            <w:rStyle w:val="Hyperlink"/>
            <w:rFonts w:ascii="Times New Roman Bold" w:hAnsi="Times New Roman Bold" w:cs="Times New Roman"/>
            <w:noProof/>
          </w:rPr>
          <w:t>Program Action Plan</w:t>
        </w:r>
        <w:r w:rsidR="004F7642">
          <w:rPr>
            <w:noProof/>
            <w:webHidden/>
          </w:rPr>
          <w:tab/>
        </w:r>
        <w:r w:rsidR="004F7642">
          <w:rPr>
            <w:noProof/>
            <w:webHidden/>
          </w:rPr>
          <w:fldChar w:fldCharType="begin"/>
        </w:r>
        <w:r w:rsidR="004F7642">
          <w:rPr>
            <w:noProof/>
            <w:webHidden/>
          </w:rPr>
          <w:instrText xml:space="preserve"> PAGEREF _Toc499113410 \h </w:instrText>
        </w:r>
        <w:r w:rsidR="004F7642">
          <w:rPr>
            <w:noProof/>
            <w:webHidden/>
          </w:rPr>
        </w:r>
        <w:r w:rsidR="004F7642">
          <w:rPr>
            <w:noProof/>
            <w:webHidden/>
          </w:rPr>
          <w:fldChar w:fldCharType="separate"/>
        </w:r>
        <w:r w:rsidR="00297F7D">
          <w:rPr>
            <w:noProof/>
            <w:webHidden/>
          </w:rPr>
          <w:t>28</w:t>
        </w:r>
        <w:r w:rsidR="004F7642">
          <w:rPr>
            <w:noProof/>
            <w:webHidden/>
          </w:rPr>
          <w:fldChar w:fldCharType="end"/>
        </w:r>
      </w:hyperlink>
    </w:p>
    <w:p w14:paraId="6A57C654" w14:textId="422C25F0" w:rsidR="004F7642" w:rsidRDefault="00F8126C">
      <w:pPr>
        <w:pStyle w:val="TOC1"/>
        <w:rPr>
          <w:rFonts w:asciiTheme="minorHAnsi" w:eastAsiaTheme="minorEastAsia" w:hAnsiTheme="minorHAnsi"/>
          <w:b w:val="0"/>
          <w:bCs w:val="0"/>
          <w:noProof/>
          <w:sz w:val="22"/>
          <w:szCs w:val="22"/>
        </w:rPr>
      </w:pPr>
      <w:hyperlink w:anchor="_Toc499113411" w:history="1">
        <w:r w:rsidR="004F7642" w:rsidRPr="00186925">
          <w:rPr>
            <w:rStyle w:val="Hyperlink"/>
            <w:rFonts w:cs="Times New Roman"/>
            <w:noProof/>
          </w:rPr>
          <w:t>Annex 1: Detailed Program Description</w:t>
        </w:r>
        <w:r w:rsidR="004F7642">
          <w:rPr>
            <w:noProof/>
            <w:webHidden/>
          </w:rPr>
          <w:tab/>
        </w:r>
        <w:r w:rsidR="004F7642">
          <w:rPr>
            <w:noProof/>
            <w:webHidden/>
          </w:rPr>
          <w:fldChar w:fldCharType="begin"/>
        </w:r>
        <w:r w:rsidR="004F7642">
          <w:rPr>
            <w:noProof/>
            <w:webHidden/>
          </w:rPr>
          <w:instrText xml:space="preserve"> PAGEREF _Toc499113411 \h </w:instrText>
        </w:r>
        <w:r w:rsidR="004F7642">
          <w:rPr>
            <w:noProof/>
            <w:webHidden/>
          </w:rPr>
        </w:r>
        <w:r w:rsidR="004F7642">
          <w:rPr>
            <w:noProof/>
            <w:webHidden/>
          </w:rPr>
          <w:fldChar w:fldCharType="separate"/>
        </w:r>
        <w:r w:rsidR="00297F7D">
          <w:rPr>
            <w:noProof/>
            <w:webHidden/>
          </w:rPr>
          <w:t>30</w:t>
        </w:r>
        <w:r w:rsidR="004F7642">
          <w:rPr>
            <w:noProof/>
            <w:webHidden/>
          </w:rPr>
          <w:fldChar w:fldCharType="end"/>
        </w:r>
      </w:hyperlink>
    </w:p>
    <w:p w14:paraId="44607103" w14:textId="42C5860F" w:rsidR="004F7642" w:rsidRDefault="00F8126C">
      <w:pPr>
        <w:pStyle w:val="TOC1"/>
        <w:rPr>
          <w:rFonts w:asciiTheme="minorHAnsi" w:eastAsiaTheme="minorEastAsia" w:hAnsiTheme="minorHAnsi"/>
          <w:b w:val="0"/>
          <w:bCs w:val="0"/>
          <w:noProof/>
          <w:sz w:val="22"/>
          <w:szCs w:val="22"/>
        </w:rPr>
      </w:pPr>
      <w:hyperlink w:anchor="_Toc499113412" w:history="1">
        <w:r w:rsidR="004F7642" w:rsidRPr="00186925">
          <w:rPr>
            <w:rStyle w:val="Hyperlink"/>
            <w:rFonts w:cs="Times New Roman"/>
            <w:noProof/>
          </w:rPr>
          <w:t>Annex 2: Results Framework</w:t>
        </w:r>
        <w:r w:rsidR="004F7642">
          <w:rPr>
            <w:noProof/>
            <w:webHidden/>
          </w:rPr>
          <w:tab/>
        </w:r>
        <w:r w:rsidR="004F7642">
          <w:rPr>
            <w:noProof/>
            <w:webHidden/>
          </w:rPr>
          <w:fldChar w:fldCharType="begin"/>
        </w:r>
        <w:r w:rsidR="004F7642">
          <w:rPr>
            <w:noProof/>
            <w:webHidden/>
          </w:rPr>
          <w:instrText xml:space="preserve"> PAGEREF _Toc499113412 \h </w:instrText>
        </w:r>
        <w:r w:rsidR="004F7642">
          <w:rPr>
            <w:noProof/>
            <w:webHidden/>
          </w:rPr>
        </w:r>
        <w:r w:rsidR="004F7642">
          <w:rPr>
            <w:noProof/>
            <w:webHidden/>
          </w:rPr>
          <w:fldChar w:fldCharType="separate"/>
        </w:r>
        <w:r w:rsidR="00297F7D">
          <w:rPr>
            <w:noProof/>
            <w:webHidden/>
          </w:rPr>
          <w:t>43</w:t>
        </w:r>
        <w:r w:rsidR="004F7642">
          <w:rPr>
            <w:noProof/>
            <w:webHidden/>
          </w:rPr>
          <w:fldChar w:fldCharType="end"/>
        </w:r>
      </w:hyperlink>
    </w:p>
    <w:p w14:paraId="42DC5A87" w14:textId="2EFB5C5D" w:rsidR="004F7642" w:rsidRDefault="00F8126C">
      <w:pPr>
        <w:pStyle w:val="TOC1"/>
        <w:rPr>
          <w:rFonts w:asciiTheme="minorHAnsi" w:eastAsiaTheme="minorEastAsia" w:hAnsiTheme="minorHAnsi"/>
          <w:b w:val="0"/>
          <w:bCs w:val="0"/>
          <w:noProof/>
          <w:sz w:val="22"/>
          <w:szCs w:val="22"/>
        </w:rPr>
      </w:pPr>
      <w:hyperlink w:anchor="_Toc499113413" w:history="1">
        <w:r w:rsidR="004F7642" w:rsidRPr="00186925">
          <w:rPr>
            <w:rStyle w:val="Hyperlink"/>
            <w:rFonts w:cs="Times New Roman"/>
            <w:noProof/>
          </w:rPr>
          <w:t>Annex 3: Disbursement Linked Indicators, Disbursement Arrangements and Verification Protocols</w:t>
        </w:r>
        <w:r w:rsidR="004F7642">
          <w:rPr>
            <w:noProof/>
            <w:webHidden/>
          </w:rPr>
          <w:tab/>
        </w:r>
        <w:r w:rsidR="004F7642">
          <w:rPr>
            <w:noProof/>
            <w:webHidden/>
          </w:rPr>
          <w:fldChar w:fldCharType="begin"/>
        </w:r>
        <w:r w:rsidR="004F7642">
          <w:rPr>
            <w:noProof/>
            <w:webHidden/>
          </w:rPr>
          <w:instrText xml:space="preserve"> PAGEREF _Toc499113413 \h </w:instrText>
        </w:r>
        <w:r w:rsidR="004F7642">
          <w:rPr>
            <w:noProof/>
            <w:webHidden/>
          </w:rPr>
        </w:r>
        <w:r w:rsidR="004F7642">
          <w:rPr>
            <w:noProof/>
            <w:webHidden/>
          </w:rPr>
          <w:fldChar w:fldCharType="separate"/>
        </w:r>
        <w:r w:rsidR="00297F7D">
          <w:rPr>
            <w:noProof/>
            <w:webHidden/>
          </w:rPr>
          <w:t>47</w:t>
        </w:r>
        <w:r w:rsidR="004F7642">
          <w:rPr>
            <w:noProof/>
            <w:webHidden/>
          </w:rPr>
          <w:fldChar w:fldCharType="end"/>
        </w:r>
      </w:hyperlink>
    </w:p>
    <w:p w14:paraId="1A89D01A" w14:textId="3D6BF867" w:rsidR="004F7642" w:rsidRDefault="00F8126C">
      <w:pPr>
        <w:pStyle w:val="TOC1"/>
        <w:rPr>
          <w:rFonts w:asciiTheme="minorHAnsi" w:eastAsiaTheme="minorEastAsia" w:hAnsiTheme="minorHAnsi"/>
          <w:b w:val="0"/>
          <w:bCs w:val="0"/>
          <w:noProof/>
          <w:sz w:val="22"/>
          <w:szCs w:val="22"/>
        </w:rPr>
      </w:pPr>
      <w:hyperlink w:anchor="_Toc499113414" w:history="1">
        <w:r w:rsidR="004F7642" w:rsidRPr="00186925">
          <w:rPr>
            <w:rStyle w:val="Hyperlink"/>
            <w:rFonts w:cs="Times New Roman"/>
            <w:noProof/>
          </w:rPr>
          <w:t>Annex 4:  Summary Technical Assessment</w:t>
        </w:r>
        <w:r w:rsidR="004F7642">
          <w:rPr>
            <w:noProof/>
            <w:webHidden/>
          </w:rPr>
          <w:tab/>
        </w:r>
        <w:r w:rsidR="004F7642">
          <w:rPr>
            <w:noProof/>
            <w:webHidden/>
          </w:rPr>
          <w:fldChar w:fldCharType="begin"/>
        </w:r>
        <w:r w:rsidR="004F7642">
          <w:rPr>
            <w:noProof/>
            <w:webHidden/>
          </w:rPr>
          <w:instrText xml:space="preserve"> PAGEREF _Toc499113414 \h </w:instrText>
        </w:r>
        <w:r w:rsidR="004F7642">
          <w:rPr>
            <w:noProof/>
            <w:webHidden/>
          </w:rPr>
        </w:r>
        <w:r w:rsidR="004F7642">
          <w:rPr>
            <w:noProof/>
            <w:webHidden/>
          </w:rPr>
          <w:fldChar w:fldCharType="separate"/>
        </w:r>
        <w:r w:rsidR="00297F7D">
          <w:rPr>
            <w:noProof/>
            <w:webHidden/>
          </w:rPr>
          <w:t>55</w:t>
        </w:r>
        <w:r w:rsidR="004F7642">
          <w:rPr>
            <w:noProof/>
            <w:webHidden/>
          </w:rPr>
          <w:fldChar w:fldCharType="end"/>
        </w:r>
      </w:hyperlink>
    </w:p>
    <w:p w14:paraId="34012DDE" w14:textId="0A234340" w:rsidR="004F7642" w:rsidRDefault="00F8126C">
      <w:pPr>
        <w:pStyle w:val="TOC1"/>
        <w:rPr>
          <w:rFonts w:asciiTheme="minorHAnsi" w:eastAsiaTheme="minorEastAsia" w:hAnsiTheme="minorHAnsi"/>
          <w:b w:val="0"/>
          <w:bCs w:val="0"/>
          <w:noProof/>
          <w:sz w:val="22"/>
          <w:szCs w:val="22"/>
        </w:rPr>
      </w:pPr>
      <w:hyperlink w:anchor="_Toc499113415" w:history="1">
        <w:r w:rsidR="004F7642" w:rsidRPr="00186925">
          <w:rPr>
            <w:rStyle w:val="Hyperlink"/>
            <w:rFonts w:cs="Times New Roman"/>
            <w:noProof/>
          </w:rPr>
          <w:t>Annex 5: Fiduciary Systems Assessment</w:t>
        </w:r>
        <w:r w:rsidR="004F7642">
          <w:rPr>
            <w:noProof/>
            <w:webHidden/>
          </w:rPr>
          <w:tab/>
        </w:r>
        <w:r w:rsidR="004F7642">
          <w:rPr>
            <w:noProof/>
            <w:webHidden/>
          </w:rPr>
          <w:fldChar w:fldCharType="begin"/>
        </w:r>
        <w:r w:rsidR="004F7642">
          <w:rPr>
            <w:noProof/>
            <w:webHidden/>
          </w:rPr>
          <w:instrText xml:space="preserve"> PAGEREF _Toc499113415 \h </w:instrText>
        </w:r>
        <w:r w:rsidR="004F7642">
          <w:rPr>
            <w:noProof/>
            <w:webHidden/>
          </w:rPr>
        </w:r>
        <w:r w:rsidR="004F7642">
          <w:rPr>
            <w:noProof/>
            <w:webHidden/>
          </w:rPr>
          <w:fldChar w:fldCharType="separate"/>
        </w:r>
        <w:r w:rsidR="00297F7D">
          <w:rPr>
            <w:noProof/>
            <w:webHidden/>
          </w:rPr>
          <w:t>78</w:t>
        </w:r>
        <w:r w:rsidR="004F7642">
          <w:rPr>
            <w:noProof/>
            <w:webHidden/>
          </w:rPr>
          <w:fldChar w:fldCharType="end"/>
        </w:r>
      </w:hyperlink>
    </w:p>
    <w:p w14:paraId="2C496EDF" w14:textId="7878E21B" w:rsidR="004F7642" w:rsidRDefault="00F8126C">
      <w:pPr>
        <w:pStyle w:val="TOC1"/>
        <w:rPr>
          <w:rFonts w:asciiTheme="minorHAnsi" w:eastAsiaTheme="minorEastAsia" w:hAnsiTheme="minorHAnsi"/>
          <w:b w:val="0"/>
          <w:bCs w:val="0"/>
          <w:noProof/>
          <w:sz w:val="22"/>
          <w:szCs w:val="22"/>
        </w:rPr>
      </w:pPr>
      <w:hyperlink w:anchor="_Toc499113416" w:history="1">
        <w:r w:rsidR="004F7642" w:rsidRPr="00186925">
          <w:rPr>
            <w:rStyle w:val="Hyperlink"/>
            <w:rFonts w:cs="Times New Roman"/>
            <w:noProof/>
          </w:rPr>
          <w:t>Annex 6:  Summary Environmental and Social Systems Assessment</w:t>
        </w:r>
        <w:r w:rsidR="004F7642">
          <w:rPr>
            <w:noProof/>
            <w:webHidden/>
          </w:rPr>
          <w:tab/>
        </w:r>
        <w:r w:rsidR="004F7642">
          <w:rPr>
            <w:noProof/>
            <w:webHidden/>
          </w:rPr>
          <w:fldChar w:fldCharType="begin"/>
        </w:r>
        <w:r w:rsidR="004F7642">
          <w:rPr>
            <w:noProof/>
            <w:webHidden/>
          </w:rPr>
          <w:instrText xml:space="preserve"> PAGEREF _Toc499113416 \h </w:instrText>
        </w:r>
        <w:r w:rsidR="004F7642">
          <w:rPr>
            <w:noProof/>
            <w:webHidden/>
          </w:rPr>
        </w:r>
        <w:r w:rsidR="004F7642">
          <w:rPr>
            <w:noProof/>
            <w:webHidden/>
          </w:rPr>
          <w:fldChar w:fldCharType="separate"/>
        </w:r>
        <w:r w:rsidR="00297F7D">
          <w:rPr>
            <w:noProof/>
            <w:webHidden/>
          </w:rPr>
          <w:t>93</w:t>
        </w:r>
        <w:r w:rsidR="004F7642">
          <w:rPr>
            <w:noProof/>
            <w:webHidden/>
          </w:rPr>
          <w:fldChar w:fldCharType="end"/>
        </w:r>
      </w:hyperlink>
    </w:p>
    <w:p w14:paraId="182F36F5" w14:textId="5E191810" w:rsidR="004F7642" w:rsidRDefault="00F8126C">
      <w:pPr>
        <w:pStyle w:val="TOC1"/>
        <w:rPr>
          <w:rFonts w:asciiTheme="minorHAnsi" w:eastAsiaTheme="minorEastAsia" w:hAnsiTheme="minorHAnsi"/>
          <w:b w:val="0"/>
          <w:bCs w:val="0"/>
          <w:noProof/>
          <w:sz w:val="22"/>
          <w:szCs w:val="22"/>
        </w:rPr>
      </w:pPr>
      <w:hyperlink w:anchor="_Toc499113417" w:history="1">
        <w:r w:rsidR="004F7642" w:rsidRPr="00186925">
          <w:rPr>
            <w:rStyle w:val="Hyperlink"/>
            <w:rFonts w:cs="Times New Roman"/>
            <w:noProof/>
          </w:rPr>
          <w:t>Annex 7: Systematic Operations Risk Rating (SORT)</w:t>
        </w:r>
        <w:r w:rsidR="004F7642">
          <w:rPr>
            <w:noProof/>
            <w:webHidden/>
          </w:rPr>
          <w:tab/>
        </w:r>
        <w:r w:rsidR="004F7642">
          <w:rPr>
            <w:noProof/>
            <w:webHidden/>
          </w:rPr>
          <w:fldChar w:fldCharType="begin"/>
        </w:r>
        <w:r w:rsidR="004F7642">
          <w:rPr>
            <w:noProof/>
            <w:webHidden/>
          </w:rPr>
          <w:instrText xml:space="preserve"> PAGEREF _Toc499113417 \h </w:instrText>
        </w:r>
        <w:r w:rsidR="004F7642">
          <w:rPr>
            <w:noProof/>
            <w:webHidden/>
          </w:rPr>
        </w:r>
        <w:r w:rsidR="004F7642">
          <w:rPr>
            <w:noProof/>
            <w:webHidden/>
          </w:rPr>
          <w:fldChar w:fldCharType="separate"/>
        </w:r>
        <w:r w:rsidR="00297F7D">
          <w:rPr>
            <w:noProof/>
            <w:webHidden/>
          </w:rPr>
          <w:t>106</w:t>
        </w:r>
        <w:r w:rsidR="004F7642">
          <w:rPr>
            <w:noProof/>
            <w:webHidden/>
          </w:rPr>
          <w:fldChar w:fldCharType="end"/>
        </w:r>
      </w:hyperlink>
    </w:p>
    <w:p w14:paraId="665C1597" w14:textId="7FBD08CF" w:rsidR="004F7642" w:rsidRDefault="00F8126C">
      <w:pPr>
        <w:pStyle w:val="TOC1"/>
        <w:rPr>
          <w:rFonts w:asciiTheme="minorHAnsi" w:eastAsiaTheme="minorEastAsia" w:hAnsiTheme="minorHAnsi"/>
          <w:b w:val="0"/>
          <w:bCs w:val="0"/>
          <w:noProof/>
          <w:sz w:val="22"/>
          <w:szCs w:val="22"/>
        </w:rPr>
      </w:pPr>
      <w:hyperlink w:anchor="_Toc499113418" w:history="1">
        <w:r w:rsidR="004F7642" w:rsidRPr="00186925">
          <w:rPr>
            <w:rStyle w:val="Hyperlink"/>
            <w:rFonts w:cs="Times New Roman"/>
            <w:noProof/>
          </w:rPr>
          <w:t>Annex 8: Program Action Plan</w:t>
        </w:r>
        <w:r w:rsidR="004F7642">
          <w:rPr>
            <w:noProof/>
            <w:webHidden/>
          </w:rPr>
          <w:tab/>
        </w:r>
        <w:r w:rsidR="004F7642">
          <w:rPr>
            <w:noProof/>
            <w:webHidden/>
          </w:rPr>
          <w:fldChar w:fldCharType="begin"/>
        </w:r>
        <w:r w:rsidR="004F7642">
          <w:rPr>
            <w:noProof/>
            <w:webHidden/>
          </w:rPr>
          <w:instrText xml:space="preserve"> PAGEREF _Toc499113418 \h </w:instrText>
        </w:r>
        <w:r w:rsidR="004F7642">
          <w:rPr>
            <w:noProof/>
            <w:webHidden/>
          </w:rPr>
        </w:r>
        <w:r w:rsidR="004F7642">
          <w:rPr>
            <w:noProof/>
            <w:webHidden/>
          </w:rPr>
          <w:fldChar w:fldCharType="separate"/>
        </w:r>
        <w:r w:rsidR="00297F7D">
          <w:rPr>
            <w:noProof/>
            <w:webHidden/>
          </w:rPr>
          <w:t>107</w:t>
        </w:r>
        <w:r w:rsidR="004F7642">
          <w:rPr>
            <w:noProof/>
            <w:webHidden/>
          </w:rPr>
          <w:fldChar w:fldCharType="end"/>
        </w:r>
      </w:hyperlink>
    </w:p>
    <w:p w14:paraId="75B531B8" w14:textId="153BD2C1" w:rsidR="004F7642" w:rsidRDefault="00F8126C">
      <w:pPr>
        <w:pStyle w:val="TOC1"/>
        <w:rPr>
          <w:rFonts w:asciiTheme="minorHAnsi" w:eastAsiaTheme="minorEastAsia" w:hAnsiTheme="minorHAnsi"/>
          <w:b w:val="0"/>
          <w:bCs w:val="0"/>
          <w:noProof/>
          <w:sz w:val="22"/>
          <w:szCs w:val="22"/>
        </w:rPr>
      </w:pPr>
      <w:hyperlink w:anchor="_Toc499113419" w:history="1">
        <w:r w:rsidR="004F7642" w:rsidRPr="00186925">
          <w:rPr>
            <w:rStyle w:val="Hyperlink"/>
            <w:rFonts w:cs="Times New Roman"/>
            <w:noProof/>
          </w:rPr>
          <w:t>Annex 9: Implementation Support Plan</w:t>
        </w:r>
        <w:r w:rsidR="004F7642">
          <w:rPr>
            <w:noProof/>
            <w:webHidden/>
          </w:rPr>
          <w:tab/>
        </w:r>
        <w:r w:rsidR="004F7642">
          <w:rPr>
            <w:noProof/>
            <w:webHidden/>
          </w:rPr>
          <w:fldChar w:fldCharType="begin"/>
        </w:r>
        <w:r w:rsidR="004F7642">
          <w:rPr>
            <w:noProof/>
            <w:webHidden/>
          </w:rPr>
          <w:instrText xml:space="preserve"> PAGEREF _Toc499113419 \h </w:instrText>
        </w:r>
        <w:r w:rsidR="004F7642">
          <w:rPr>
            <w:noProof/>
            <w:webHidden/>
          </w:rPr>
        </w:r>
        <w:r w:rsidR="004F7642">
          <w:rPr>
            <w:noProof/>
            <w:webHidden/>
          </w:rPr>
          <w:fldChar w:fldCharType="separate"/>
        </w:r>
        <w:r w:rsidR="00297F7D">
          <w:rPr>
            <w:noProof/>
            <w:webHidden/>
          </w:rPr>
          <w:t>109</w:t>
        </w:r>
        <w:r w:rsidR="004F7642">
          <w:rPr>
            <w:noProof/>
            <w:webHidden/>
          </w:rPr>
          <w:fldChar w:fldCharType="end"/>
        </w:r>
      </w:hyperlink>
    </w:p>
    <w:p w14:paraId="75626753" w14:textId="4E31F5F6" w:rsidR="00FE6D62" w:rsidRPr="00BC7BB5" w:rsidRDefault="00730643">
      <w:pPr>
        <w:rPr>
          <w:rFonts w:ascii="Times New Roman" w:hAnsi="Times New Roman" w:cs="Times New Roman"/>
        </w:rPr>
        <w:sectPr w:rsidR="00FE6D62" w:rsidRPr="00BC7BB5" w:rsidSect="00CF260B">
          <w:footerReference w:type="default" r:id="rId13"/>
          <w:pgSz w:w="12240" w:h="15840"/>
          <w:pgMar w:top="1440" w:right="1440" w:bottom="1440" w:left="1440" w:header="720" w:footer="720" w:gutter="0"/>
          <w:pgNumType w:chapStyle="1"/>
          <w:cols w:space="720"/>
          <w:titlePg/>
          <w:docGrid w:linePitch="360"/>
        </w:sectPr>
      </w:pPr>
      <w:r w:rsidRPr="00BC7BB5">
        <w:rPr>
          <w:rFonts w:ascii="Times New Roman" w:hAnsi="Times New Roman" w:cs="Times New Roman"/>
          <w:b/>
          <w:bCs/>
          <w:sz w:val="20"/>
          <w:szCs w:val="20"/>
        </w:rPr>
        <w:fldChar w:fldCharType="end"/>
      </w:r>
    </w:p>
    <w:tbl>
      <w:tblPr>
        <w:tblW w:w="94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50" w:type="dxa"/>
          <w:right w:w="50" w:type="dxa"/>
        </w:tblCellMar>
        <w:tblLook w:val="0000" w:firstRow="0" w:lastRow="0" w:firstColumn="0" w:lastColumn="0" w:noHBand="0" w:noVBand="0"/>
      </w:tblPr>
      <w:tblGrid>
        <w:gridCol w:w="37"/>
        <w:gridCol w:w="550"/>
        <w:gridCol w:w="596"/>
        <w:gridCol w:w="199"/>
        <w:gridCol w:w="100"/>
        <w:gridCol w:w="306"/>
        <w:gridCol w:w="25"/>
        <w:gridCol w:w="167"/>
        <w:gridCol w:w="163"/>
        <w:gridCol w:w="128"/>
        <w:gridCol w:w="98"/>
        <w:gridCol w:w="254"/>
        <w:gridCol w:w="515"/>
        <w:gridCol w:w="265"/>
        <w:gridCol w:w="153"/>
        <w:gridCol w:w="117"/>
        <w:gridCol w:w="270"/>
        <w:gridCol w:w="67"/>
        <w:gridCol w:w="315"/>
        <w:gridCol w:w="208"/>
        <w:gridCol w:w="210"/>
        <w:gridCol w:w="220"/>
        <w:gridCol w:w="75"/>
        <w:gridCol w:w="306"/>
        <w:gridCol w:w="161"/>
        <w:gridCol w:w="178"/>
        <w:gridCol w:w="247"/>
        <w:gridCol w:w="205"/>
        <w:gridCol w:w="29"/>
        <w:gridCol w:w="574"/>
        <w:gridCol w:w="379"/>
        <w:gridCol w:w="667"/>
        <w:gridCol w:w="524"/>
        <w:gridCol w:w="43"/>
        <w:gridCol w:w="277"/>
        <w:gridCol w:w="291"/>
        <w:gridCol w:w="576"/>
      </w:tblGrid>
      <w:tr w:rsidR="00FF7EE4" w:rsidRPr="00BC7BB5" w14:paraId="53B2A070" w14:textId="77777777" w:rsidTr="00FA3400">
        <w:trPr>
          <w:trHeight w:val="401"/>
        </w:trPr>
        <w:tc>
          <w:tcPr>
            <w:tcW w:w="9495" w:type="dxa"/>
            <w:gridSpan w:val="37"/>
            <w:tcBorders>
              <w:top w:val="nil"/>
              <w:left w:val="nil"/>
              <w:bottom w:val="nil"/>
              <w:right w:val="nil"/>
            </w:tcBorders>
            <w:shd w:val="clear" w:color="auto" w:fill="FFFFFF"/>
            <w:tcMar>
              <w:top w:w="50" w:type="dxa"/>
              <w:left w:w="50" w:type="dxa"/>
              <w:bottom w:w="50" w:type="dxa"/>
              <w:right w:w="50" w:type="dxa"/>
            </w:tcMar>
            <w:vAlign w:val="center"/>
          </w:tcPr>
          <w:p w14:paraId="53B2A06F" w14:textId="77777777" w:rsidR="00FF7EE4" w:rsidRPr="00BC7BB5" w:rsidRDefault="001D2940" w:rsidP="004B3337">
            <w:pPr>
              <w:pStyle w:val="Tableheading"/>
              <w:rPr>
                <w:sz w:val="22"/>
                <w:szCs w:val="22"/>
              </w:rPr>
            </w:pPr>
            <w:r w:rsidRPr="00BC7BB5">
              <w:rPr>
                <w:sz w:val="22"/>
                <w:szCs w:val="22"/>
              </w:rPr>
              <w:lastRenderedPageBreak/>
              <w:t>PAD DATA SHEET</w:t>
            </w:r>
          </w:p>
        </w:tc>
      </w:tr>
      <w:tr w:rsidR="00FF7EE4" w:rsidRPr="00BC7BB5" w14:paraId="53B2A072" w14:textId="77777777" w:rsidTr="00FA3400">
        <w:trPr>
          <w:trHeight w:val="145"/>
        </w:trPr>
        <w:tc>
          <w:tcPr>
            <w:tcW w:w="9495" w:type="dxa"/>
            <w:gridSpan w:val="37"/>
            <w:tcBorders>
              <w:top w:val="nil"/>
              <w:left w:val="nil"/>
              <w:bottom w:val="nil"/>
              <w:right w:val="nil"/>
            </w:tcBorders>
            <w:shd w:val="clear" w:color="auto" w:fill="FFFFFF"/>
            <w:tcMar>
              <w:top w:w="50" w:type="dxa"/>
              <w:left w:w="50" w:type="dxa"/>
              <w:bottom w:w="50" w:type="dxa"/>
              <w:right w:w="50" w:type="dxa"/>
            </w:tcMar>
            <w:vAlign w:val="center"/>
          </w:tcPr>
          <w:p w14:paraId="53B2A071" w14:textId="77777777" w:rsidR="00FF7EE4" w:rsidRPr="00BC7BB5" w:rsidRDefault="001D2940" w:rsidP="004B3337">
            <w:pPr>
              <w:pStyle w:val="Tableheading"/>
              <w:rPr>
                <w:color w:val="FFFFFF"/>
                <w:sz w:val="2"/>
                <w:szCs w:val="2"/>
              </w:rPr>
            </w:pPr>
            <w:r w:rsidRPr="00BC7BB5">
              <w:rPr>
                <w:color w:val="FFFFFF"/>
                <w:sz w:val="2"/>
                <w:szCs w:val="2"/>
              </w:rPr>
              <w:t>.</w:t>
            </w:r>
          </w:p>
        </w:tc>
      </w:tr>
      <w:tr w:rsidR="00FF7EE4" w:rsidRPr="00BC7BB5" w14:paraId="53B2A074" w14:textId="77777777" w:rsidTr="00FA3400">
        <w:trPr>
          <w:trHeight w:val="145"/>
        </w:trPr>
        <w:tc>
          <w:tcPr>
            <w:tcW w:w="9495" w:type="dxa"/>
            <w:gridSpan w:val="37"/>
            <w:tcBorders>
              <w:top w:val="nil"/>
              <w:left w:val="nil"/>
              <w:bottom w:val="nil"/>
              <w:right w:val="nil"/>
            </w:tcBorders>
            <w:shd w:val="clear" w:color="auto" w:fill="FFFFFF"/>
            <w:tcMar>
              <w:top w:w="50" w:type="dxa"/>
              <w:left w:w="50" w:type="dxa"/>
              <w:bottom w:w="50" w:type="dxa"/>
              <w:right w:w="50" w:type="dxa"/>
            </w:tcMar>
            <w:vAlign w:val="center"/>
          </w:tcPr>
          <w:p w14:paraId="53B2A073" w14:textId="7BC62B99" w:rsidR="00FF7EE4" w:rsidRPr="00BC7BB5" w:rsidRDefault="002D48EF" w:rsidP="004B3337">
            <w:pPr>
              <w:pStyle w:val="Tableheading"/>
              <w:rPr>
                <w:rFonts w:ascii="Times New Roman Bold" w:hAnsi="Times New Roman Bold"/>
                <w:i w:val="0"/>
                <w:caps/>
                <w:sz w:val="22"/>
                <w:szCs w:val="22"/>
              </w:rPr>
            </w:pPr>
            <w:r w:rsidRPr="00BC7BB5">
              <w:rPr>
                <w:rFonts w:ascii="Times New Roman Bold" w:hAnsi="Times New Roman Bold"/>
                <w:i w:val="0"/>
                <w:iCs/>
                <w:caps/>
                <w:sz w:val="22"/>
                <w:szCs w:val="22"/>
              </w:rPr>
              <w:t>Kingdom of Morocco</w:t>
            </w:r>
          </w:p>
        </w:tc>
      </w:tr>
      <w:tr w:rsidR="00FF7EE4" w:rsidRPr="00BC7BB5" w14:paraId="53B2A076" w14:textId="77777777" w:rsidTr="00FA3400">
        <w:trPr>
          <w:trHeight w:val="145"/>
        </w:trPr>
        <w:tc>
          <w:tcPr>
            <w:tcW w:w="9495" w:type="dxa"/>
            <w:gridSpan w:val="37"/>
            <w:tcBorders>
              <w:top w:val="nil"/>
              <w:left w:val="nil"/>
              <w:bottom w:val="nil"/>
              <w:right w:val="nil"/>
            </w:tcBorders>
            <w:shd w:val="clear" w:color="auto" w:fill="FFFFFF"/>
            <w:tcMar>
              <w:top w:w="50" w:type="dxa"/>
              <w:left w:w="50" w:type="dxa"/>
              <w:bottom w:w="50" w:type="dxa"/>
              <w:right w:w="50" w:type="dxa"/>
            </w:tcMar>
            <w:vAlign w:val="center"/>
          </w:tcPr>
          <w:p w14:paraId="53B2A075" w14:textId="63B1F94B" w:rsidR="00FF7EE4" w:rsidRPr="00BC7BB5" w:rsidRDefault="00E06CB9" w:rsidP="00C902A6">
            <w:pPr>
              <w:jc w:val="center"/>
              <w:rPr>
                <w:rFonts w:ascii="Times New Roman Bold" w:eastAsiaTheme="minorEastAsia" w:hAnsi="Times New Roman Bold" w:cs="Times New Roman"/>
                <w:b/>
                <w:caps/>
              </w:rPr>
            </w:pPr>
            <w:r w:rsidRPr="00BC7BB5">
              <w:rPr>
                <w:rFonts w:ascii="Times New Roman Bold" w:eastAsiaTheme="minorEastAsia" w:hAnsi="Times New Roman Bold" w:cs="Times New Roman"/>
                <w:b/>
                <w:iCs/>
                <w:caps/>
              </w:rPr>
              <w:t xml:space="preserve">Strengthening </w:t>
            </w:r>
            <w:r w:rsidR="002D48EF" w:rsidRPr="00BC7BB5">
              <w:rPr>
                <w:rFonts w:ascii="Times New Roman Bold" w:eastAsiaTheme="minorEastAsia" w:hAnsi="Times New Roman Bold" w:cs="Times New Roman"/>
                <w:b/>
                <w:iCs/>
                <w:caps/>
              </w:rPr>
              <w:t>Agri</w:t>
            </w:r>
            <w:r w:rsidR="00A55C01" w:rsidRPr="00BC7BB5">
              <w:rPr>
                <w:rFonts w:ascii="Times New Roman Bold" w:eastAsiaTheme="minorEastAsia" w:hAnsi="Times New Roman Bold" w:cs="Times New Roman"/>
                <w:b/>
                <w:iCs/>
                <w:caps/>
              </w:rPr>
              <w:t>-</w:t>
            </w:r>
            <w:r w:rsidR="002D48EF" w:rsidRPr="00BC7BB5">
              <w:rPr>
                <w:rFonts w:ascii="Times New Roman Bold" w:eastAsiaTheme="minorEastAsia" w:hAnsi="Times New Roman Bold" w:cs="Times New Roman"/>
                <w:b/>
                <w:iCs/>
                <w:caps/>
              </w:rPr>
              <w:t>food Value Chains Program</w:t>
            </w:r>
            <w:r w:rsidR="008C1FE3">
              <w:rPr>
                <w:rFonts w:ascii="Times New Roman Bold" w:eastAsiaTheme="minorEastAsia" w:hAnsi="Times New Roman Bold" w:cs="Times New Roman"/>
                <w:b/>
                <w:iCs/>
                <w:caps/>
              </w:rPr>
              <w:t>-FOR-RESULTS</w:t>
            </w:r>
          </w:p>
        </w:tc>
      </w:tr>
      <w:tr w:rsidR="00FF7EE4" w:rsidRPr="00BC7BB5" w14:paraId="53B2A078" w14:textId="77777777" w:rsidTr="00FA3400">
        <w:trPr>
          <w:trHeight w:val="145"/>
        </w:trPr>
        <w:tc>
          <w:tcPr>
            <w:tcW w:w="9495" w:type="dxa"/>
            <w:gridSpan w:val="37"/>
            <w:tcBorders>
              <w:top w:val="nil"/>
              <w:left w:val="nil"/>
              <w:bottom w:val="nil"/>
              <w:right w:val="nil"/>
            </w:tcBorders>
            <w:shd w:val="clear" w:color="auto" w:fill="FFFFFF"/>
            <w:tcMar>
              <w:top w:w="50" w:type="dxa"/>
              <w:left w:w="50" w:type="dxa"/>
              <w:bottom w:w="50" w:type="dxa"/>
              <w:right w:w="50" w:type="dxa"/>
            </w:tcMar>
            <w:vAlign w:val="center"/>
          </w:tcPr>
          <w:p w14:paraId="53B2A077" w14:textId="77777777" w:rsidR="00FF7EE4" w:rsidRPr="00BC7BB5" w:rsidRDefault="001D2940" w:rsidP="00C902A6">
            <w:pPr>
              <w:rPr>
                <w:rFonts w:ascii="Times New Roman" w:eastAsiaTheme="minorEastAsia" w:hAnsi="Times New Roman" w:cs="Times New Roman"/>
                <w:color w:val="FFFFFF"/>
                <w:sz w:val="2"/>
                <w:szCs w:val="2"/>
              </w:rPr>
            </w:pPr>
            <w:r w:rsidRPr="00BC7BB5">
              <w:rPr>
                <w:rFonts w:ascii="Times New Roman" w:eastAsiaTheme="minorEastAsia" w:hAnsi="Times New Roman" w:cs="Times New Roman"/>
                <w:color w:val="FFFFFF"/>
                <w:sz w:val="2"/>
                <w:szCs w:val="2"/>
              </w:rPr>
              <w:t>.</w:t>
            </w:r>
          </w:p>
        </w:tc>
      </w:tr>
      <w:tr w:rsidR="00FF7EE4" w:rsidRPr="00BC7BB5" w14:paraId="53B2A07A" w14:textId="77777777" w:rsidTr="00FA3400">
        <w:trPr>
          <w:trHeight w:val="239"/>
        </w:trPr>
        <w:tc>
          <w:tcPr>
            <w:tcW w:w="9495" w:type="dxa"/>
            <w:gridSpan w:val="37"/>
            <w:tcBorders>
              <w:top w:val="nil"/>
              <w:left w:val="nil"/>
              <w:bottom w:val="nil"/>
              <w:right w:val="nil"/>
            </w:tcBorders>
            <w:shd w:val="clear" w:color="auto" w:fill="FFFFFF"/>
            <w:tcMar>
              <w:top w:w="50" w:type="dxa"/>
              <w:left w:w="50" w:type="dxa"/>
              <w:bottom w:w="50" w:type="dxa"/>
              <w:right w:w="50" w:type="dxa"/>
            </w:tcMar>
            <w:vAlign w:val="center"/>
          </w:tcPr>
          <w:p w14:paraId="53B2A079" w14:textId="77777777" w:rsidR="00FF7EE4" w:rsidRPr="00BC7BB5" w:rsidRDefault="001D2940" w:rsidP="009B4519">
            <w:pPr>
              <w:jc w:val="center"/>
              <w:rPr>
                <w:rFonts w:ascii="Times New Roman" w:eastAsiaTheme="minorEastAsia" w:hAnsi="Times New Roman" w:cs="Times New Roman"/>
              </w:rPr>
            </w:pPr>
            <w:r w:rsidRPr="00BC7BB5">
              <w:rPr>
                <w:rFonts w:ascii="Times New Roman" w:eastAsiaTheme="minorEastAsia" w:hAnsi="Times New Roman" w:cs="Times New Roman"/>
                <w:b/>
                <w:bCs/>
              </w:rPr>
              <w:t>PROGRAM APPRAISAL DOCUMENT</w:t>
            </w:r>
          </w:p>
        </w:tc>
      </w:tr>
      <w:tr w:rsidR="00FF7EE4" w:rsidRPr="00BC7BB5" w14:paraId="53B2A07C" w14:textId="77777777" w:rsidTr="00FA3400">
        <w:trPr>
          <w:trHeight w:val="145"/>
        </w:trPr>
        <w:tc>
          <w:tcPr>
            <w:tcW w:w="9495" w:type="dxa"/>
            <w:gridSpan w:val="37"/>
            <w:tcBorders>
              <w:top w:val="nil"/>
              <w:left w:val="nil"/>
              <w:bottom w:val="nil"/>
              <w:right w:val="nil"/>
            </w:tcBorders>
            <w:shd w:val="clear" w:color="auto" w:fill="FFFFFF"/>
            <w:tcMar>
              <w:top w:w="50" w:type="dxa"/>
              <w:left w:w="50" w:type="dxa"/>
              <w:bottom w:w="50" w:type="dxa"/>
              <w:right w:w="50" w:type="dxa"/>
            </w:tcMar>
            <w:vAlign w:val="center"/>
          </w:tcPr>
          <w:p w14:paraId="53B2A07B" w14:textId="77777777" w:rsidR="00FF7EE4" w:rsidRPr="00BC7BB5" w:rsidRDefault="001D2940" w:rsidP="00C902A6">
            <w:pPr>
              <w:rPr>
                <w:rFonts w:ascii="Times New Roman" w:eastAsiaTheme="minorEastAsia" w:hAnsi="Times New Roman" w:cs="Times New Roman"/>
                <w:color w:val="FFFFFF"/>
                <w:sz w:val="2"/>
                <w:szCs w:val="2"/>
              </w:rPr>
            </w:pPr>
            <w:r w:rsidRPr="00BC7BB5">
              <w:rPr>
                <w:rFonts w:ascii="Times New Roman" w:eastAsiaTheme="minorEastAsia" w:hAnsi="Times New Roman" w:cs="Times New Roman"/>
                <w:color w:val="FFFFFF"/>
                <w:sz w:val="2"/>
                <w:szCs w:val="2"/>
              </w:rPr>
              <w:t>.</w:t>
            </w:r>
          </w:p>
        </w:tc>
      </w:tr>
      <w:tr w:rsidR="00FF7EE4" w:rsidRPr="00BC7BB5" w14:paraId="53B2A07F" w14:textId="77777777" w:rsidTr="00FA3400">
        <w:trPr>
          <w:trHeight w:val="511"/>
        </w:trPr>
        <w:tc>
          <w:tcPr>
            <w:tcW w:w="9495" w:type="dxa"/>
            <w:gridSpan w:val="37"/>
            <w:vMerge w:val="restart"/>
            <w:tcBorders>
              <w:top w:val="nil"/>
              <w:left w:val="nil"/>
              <w:bottom w:val="nil"/>
              <w:right w:val="nil"/>
            </w:tcBorders>
            <w:shd w:val="clear" w:color="auto" w:fill="FFFFFF"/>
            <w:tcMar>
              <w:top w:w="50" w:type="dxa"/>
              <w:left w:w="50" w:type="dxa"/>
              <w:bottom w:w="50" w:type="dxa"/>
              <w:right w:w="50" w:type="dxa"/>
            </w:tcMar>
          </w:tcPr>
          <w:p w14:paraId="53B2A07D" w14:textId="545CBDA6" w:rsidR="00FF7EE4" w:rsidRPr="00BC7BB5" w:rsidRDefault="002D48EF" w:rsidP="004B3337">
            <w:pPr>
              <w:pStyle w:val="NoSpacing"/>
              <w:jc w:val="center"/>
              <w:rPr>
                <w:rFonts w:ascii="Times New Roman" w:hAnsi="Times New Roman" w:cs="Times New Roman"/>
                <w:b/>
                <w:i/>
              </w:rPr>
            </w:pPr>
            <w:r w:rsidRPr="00BC7BB5">
              <w:rPr>
                <w:rFonts w:ascii="Times New Roman" w:hAnsi="Times New Roman" w:cs="Times New Roman"/>
                <w:b/>
                <w:i/>
              </w:rPr>
              <w:t>Middle East and North Africa</w:t>
            </w:r>
            <w:r w:rsidR="009E4578" w:rsidRPr="00BC7BB5">
              <w:rPr>
                <w:rFonts w:ascii="Times New Roman" w:hAnsi="Times New Roman" w:cs="Times New Roman"/>
                <w:b/>
                <w:i/>
              </w:rPr>
              <w:t xml:space="preserve"> Region</w:t>
            </w:r>
          </w:p>
          <w:p w14:paraId="53B2A07E" w14:textId="58ADC592" w:rsidR="004B3337" w:rsidRPr="00BC7BB5" w:rsidRDefault="002D48EF" w:rsidP="00B55224">
            <w:pPr>
              <w:pStyle w:val="NoSpacing"/>
              <w:jc w:val="center"/>
              <w:rPr>
                <w:rFonts w:ascii="Times New Roman" w:hAnsi="Times New Roman" w:cs="Times New Roman"/>
              </w:rPr>
            </w:pPr>
            <w:r w:rsidRPr="00BC7BB5">
              <w:rPr>
                <w:rFonts w:ascii="Times New Roman" w:hAnsi="Times New Roman" w:cs="Times New Roman"/>
                <w:b/>
                <w:i/>
              </w:rPr>
              <w:t xml:space="preserve">Agriculture </w:t>
            </w:r>
            <w:r w:rsidR="009E4578" w:rsidRPr="00BC7BB5">
              <w:rPr>
                <w:rFonts w:ascii="Times New Roman" w:hAnsi="Times New Roman" w:cs="Times New Roman"/>
                <w:b/>
                <w:i/>
              </w:rPr>
              <w:t xml:space="preserve">and Trade </w:t>
            </w:r>
            <w:r w:rsidR="008C1FE3">
              <w:rPr>
                <w:rFonts w:ascii="Times New Roman" w:hAnsi="Times New Roman" w:cs="Times New Roman"/>
                <w:b/>
                <w:i/>
              </w:rPr>
              <w:t>and</w:t>
            </w:r>
            <w:r w:rsidR="008C1FE3" w:rsidRPr="00BC7BB5">
              <w:rPr>
                <w:rFonts w:ascii="Times New Roman" w:hAnsi="Times New Roman" w:cs="Times New Roman"/>
                <w:b/>
                <w:i/>
              </w:rPr>
              <w:t xml:space="preserve"> </w:t>
            </w:r>
            <w:r w:rsidR="009E4578" w:rsidRPr="00BC7BB5">
              <w:rPr>
                <w:rFonts w:ascii="Times New Roman" w:hAnsi="Times New Roman" w:cs="Times New Roman"/>
                <w:b/>
                <w:i/>
              </w:rPr>
              <w:t xml:space="preserve">Competitiveness </w:t>
            </w:r>
            <w:r w:rsidR="00B55224" w:rsidRPr="00BC7BB5">
              <w:rPr>
                <w:rFonts w:ascii="Times New Roman" w:hAnsi="Times New Roman" w:cs="Times New Roman"/>
                <w:b/>
                <w:i/>
              </w:rPr>
              <w:t>Global Practice</w:t>
            </w:r>
            <w:r w:rsidR="009E4578" w:rsidRPr="00BC7BB5">
              <w:rPr>
                <w:rFonts w:ascii="Times New Roman" w:hAnsi="Times New Roman" w:cs="Times New Roman"/>
                <w:b/>
                <w:i/>
              </w:rPr>
              <w:t>s</w:t>
            </w:r>
          </w:p>
        </w:tc>
      </w:tr>
      <w:tr w:rsidR="00FF7EE4" w:rsidRPr="00BC7BB5" w14:paraId="53B2A081" w14:textId="77777777" w:rsidTr="00FA3400">
        <w:trPr>
          <w:trHeight w:val="511"/>
        </w:trPr>
        <w:tc>
          <w:tcPr>
            <w:tcW w:w="9495" w:type="dxa"/>
            <w:gridSpan w:val="37"/>
            <w:vMerge/>
            <w:tcBorders>
              <w:top w:val="nil"/>
              <w:left w:val="nil"/>
              <w:bottom w:val="nil"/>
              <w:right w:val="nil"/>
            </w:tcBorders>
            <w:shd w:val="clear" w:color="auto" w:fill="FFFFFF"/>
            <w:tcMar>
              <w:top w:w="50" w:type="dxa"/>
              <w:left w:w="50" w:type="dxa"/>
              <w:bottom w:w="50" w:type="dxa"/>
              <w:right w:w="50" w:type="dxa"/>
            </w:tcMar>
          </w:tcPr>
          <w:p w14:paraId="53B2A080" w14:textId="77777777" w:rsidR="00FF7EE4" w:rsidRPr="00BC7BB5" w:rsidRDefault="00FF7EE4" w:rsidP="00C902A6">
            <w:pPr>
              <w:rPr>
                <w:rFonts w:ascii="Times New Roman" w:eastAsiaTheme="minorEastAsia" w:hAnsi="Times New Roman" w:cs="Times New Roman"/>
              </w:rPr>
            </w:pPr>
          </w:p>
        </w:tc>
      </w:tr>
      <w:tr w:rsidR="00FF7EE4" w:rsidRPr="00BC7BB5" w14:paraId="53B2A083" w14:textId="77777777" w:rsidTr="00FA3400">
        <w:trPr>
          <w:trHeight w:val="20"/>
        </w:trPr>
        <w:tc>
          <w:tcPr>
            <w:tcW w:w="9495" w:type="dxa"/>
            <w:gridSpan w:val="37"/>
            <w:tcBorders>
              <w:top w:val="single" w:sz="4" w:space="0" w:color="000000"/>
              <w:left w:val="nil"/>
              <w:bottom w:val="single" w:sz="4" w:space="0" w:color="000000"/>
              <w:right w:val="nil"/>
            </w:tcBorders>
            <w:shd w:val="clear" w:color="auto" w:fill="000000"/>
            <w:tcMar>
              <w:top w:w="50" w:type="dxa"/>
              <w:left w:w="50" w:type="dxa"/>
              <w:bottom w:w="50" w:type="dxa"/>
              <w:right w:w="50" w:type="dxa"/>
            </w:tcMar>
            <w:vAlign w:val="center"/>
          </w:tcPr>
          <w:p w14:paraId="53B2A082" w14:textId="77777777" w:rsidR="00FF7EE4" w:rsidRPr="00BC7BB5" w:rsidRDefault="001D2940" w:rsidP="00C902A6">
            <w:pPr>
              <w:rPr>
                <w:rFonts w:ascii="Times New Roman" w:eastAsiaTheme="minorEastAsia" w:hAnsi="Times New Roman" w:cs="Times New Roman"/>
                <w:sz w:val="2"/>
                <w:szCs w:val="2"/>
              </w:rPr>
            </w:pPr>
            <w:r w:rsidRPr="00BC7BB5">
              <w:rPr>
                <w:rFonts w:ascii="Times New Roman" w:eastAsiaTheme="minorEastAsia" w:hAnsi="Times New Roman" w:cs="Times New Roman"/>
                <w:sz w:val="2"/>
                <w:szCs w:val="2"/>
              </w:rPr>
              <w:t>.</w:t>
            </w:r>
          </w:p>
        </w:tc>
      </w:tr>
      <w:tr w:rsidR="00FF7EE4" w:rsidRPr="00BC7BB5" w14:paraId="53B2A085" w14:textId="77777777" w:rsidTr="00FA3400">
        <w:trPr>
          <w:trHeight w:val="145"/>
        </w:trPr>
        <w:tc>
          <w:tcPr>
            <w:tcW w:w="9495" w:type="dxa"/>
            <w:gridSpan w:val="37"/>
            <w:tcBorders>
              <w:top w:val="single" w:sz="4" w:space="0" w:color="000000"/>
              <w:left w:val="nil"/>
              <w:bottom w:val="single" w:sz="4" w:space="0" w:color="000000"/>
              <w:right w:val="nil"/>
            </w:tcBorders>
            <w:shd w:val="clear" w:color="auto" w:fill="DCDCDC"/>
            <w:tcMar>
              <w:top w:w="50" w:type="dxa"/>
              <w:left w:w="50" w:type="dxa"/>
              <w:bottom w:w="50" w:type="dxa"/>
              <w:right w:w="50" w:type="dxa"/>
            </w:tcMar>
          </w:tcPr>
          <w:p w14:paraId="53B2A084" w14:textId="77777777" w:rsidR="00FF7EE4" w:rsidRPr="00BC7BB5" w:rsidRDefault="001D2940" w:rsidP="00C902A6">
            <w:pPr>
              <w:jc w:val="center"/>
              <w:rPr>
                <w:rFonts w:ascii="Times New Roman" w:eastAsiaTheme="minorEastAsia" w:hAnsi="Times New Roman" w:cs="Times New Roman"/>
              </w:rPr>
            </w:pPr>
            <w:r w:rsidRPr="00BC7BB5">
              <w:rPr>
                <w:rFonts w:ascii="Times New Roman" w:eastAsiaTheme="minorEastAsia" w:hAnsi="Times New Roman" w:cs="Times New Roman"/>
                <w:b/>
                <w:bCs/>
              </w:rPr>
              <w:t>Basic Information</w:t>
            </w:r>
          </w:p>
        </w:tc>
      </w:tr>
      <w:tr w:rsidR="00517CA3" w:rsidRPr="00BC7BB5" w14:paraId="53B2A08A" w14:textId="77777777" w:rsidTr="00FA3400">
        <w:trPr>
          <w:trHeight w:val="141"/>
        </w:trPr>
        <w:tc>
          <w:tcPr>
            <w:tcW w:w="1984" w:type="dxa"/>
            <w:gridSpan w:val="8"/>
            <w:tcBorders>
              <w:top w:val="single" w:sz="4" w:space="0" w:color="000000"/>
              <w:left w:val="nil"/>
              <w:bottom w:val="nil"/>
              <w:right w:val="nil"/>
            </w:tcBorders>
            <w:shd w:val="clear" w:color="auto" w:fill="FFFFFF"/>
            <w:tcMar>
              <w:top w:w="50" w:type="dxa"/>
              <w:left w:w="50" w:type="dxa"/>
              <w:bottom w:w="50" w:type="dxa"/>
              <w:right w:w="50" w:type="dxa"/>
            </w:tcMar>
          </w:tcPr>
          <w:p w14:paraId="53B2A086" w14:textId="77777777" w:rsidR="00517CA3" w:rsidRPr="00BC7BB5" w:rsidRDefault="00517CA3" w:rsidP="008450B0">
            <w:pPr>
              <w:spacing w:after="0" w:line="240" w:lineRule="auto"/>
              <w:rPr>
                <w:rFonts w:ascii="Times New Roman" w:eastAsiaTheme="minorEastAsia" w:hAnsi="Times New Roman" w:cs="Times New Roman"/>
                <w:sz w:val="20"/>
                <w:szCs w:val="20"/>
              </w:rPr>
            </w:pPr>
            <w:r w:rsidRPr="00BC7BB5">
              <w:rPr>
                <w:rFonts w:ascii="Times New Roman" w:eastAsiaTheme="minorEastAsia" w:hAnsi="Times New Roman" w:cs="Times New Roman"/>
                <w:sz w:val="20"/>
                <w:szCs w:val="20"/>
              </w:rPr>
              <w:t>Date:</w:t>
            </w:r>
          </w:p>
        </w:tc>
        <w:tc>
          <w:tcPr>
            <w:tcW w:w="2345" w:type="dxa"/>
            <w:gridSpan w:val="11"/>
            <w:tcBorders>
              <w:top w:val="single" w:sz="4" w:space="0" w:color="000000"/>
              <w:left w:val="nil"/>
              <w:bottom w:val="nil"/>
              <w:right w:val="single" w:sz="4" w:space="0" w:color="000000"/>
            </w:tcBorders>
            <w:shd w:val="clear" w:color="auto" w:fill="FFFFFF"/>
            <w:tcMar>
              <w:top w:w="50" w:type="dxa"/>
              <w:left w:w="50" w:type="dxa"/>
              <w:bottom w:w="50" w:type="dxa"/>
              <w:right w:w="50" w:type="dxa"/>
            </w:tcMar>
          </w:tcPr>
          <w:p w14:paraId="53B2A087" w14:textId="77777777" w:rsidR="00517CA3" w:rsidRPr="00BC7BB5" w:rsidRDefault="00517CA3" w:rsidP="008450B0">
            <w:pPr>
              <w:spacing w:after="0" w:line="240" w:lineRule="auto"/>
              <w:rPr>
                <w:rFonts w:ascii="Times New Roman" w:eastAsiaTheme="minorEastAsia" w:hAnsi="Times New Roman" w:cs="Times New Roman"/>
                <w:sz w:val="20"/>
                <w:szCs w:val="20"/>
              </w:rPr>
            </w:pPr>
          </w:p>
        </w:tc>
        <w:tc>
          <w:tcPr>
            <w:tcW w:w="1019" w:type="dxa"/>
            <w:gridSpan w:val="5"/>
            <w:tcBorders>
              <w:top w:val="single" w:sz="4" w:space="0" w:color="000000"/>
              <w:left w:val="single" w:sz="4" w:space="0" w:color="000000"/>
              <w:bottom w:val="nil"/>
              <w:right w:val="nil"/>
            </w:tcBorders>
            <w:shd w:val="clear" w:color="auto" w:fill="FFFFFF"/>
            <w:tcMar>
              <w:top w:w="50" w:type="dxa"/>
              <w:left w:w="50" w:type="dxa"/>
              <w:bottom w:w="50" w:type="dxa"/>
              <w:right w:w="50" w:type="dxa"/>
            </w:tcMar>
          </w:tcPr>
          <w:p w14:paraId="53B2A088" w14:textId="22BC5FD7" w:rsidR="00517CA3" w:rsidRPr="00BC7BB5" w:rsidRDefault="00517CA3" w:rsidP="008450B0">
            <w:pPr>
              <w:spacing w:after="0" w:line="240" w:lineRule="auto"/>
              <w:ind w:right="-1039"/>
              <w:rPr>
                <w:rFonts w:ascii="Times New Roman" w:eastAsiaTheme="minorEastAsia" w:hAnsi="Times New Roman" w:cs="Times New Roman"/>
                <w:sz w:val="20"/>
                <w:szCs w:val="20"/>
              </w:rPr>
            </w:pPr>
            <w:r w:rsidRPr="00BC7BB5">
              <w:rPr>
                <w:rFonts w:ascii="Times New Roman" w:eastAsiaTheme="minorEastAsia" w:hAnsi="Times New Roman" w:cs="Times New Roman"/>
                <w:sz w:val="20"/>
                <w:szCs w:val="20"/>
              </w:rPr>
              <w:t xml:space="preserve">Sectors: </w:t>
            </w:r>
          </w:p>
        </w:tc>
        <w:tc>
          <w:tcPr>
            <w:tcW w:w="4147" w:type="dxa"/>
            <w:gridSpan w:val="13"/>
            <w:tcBorders>
              <w:top w:val="single" w:sz="4" w:space="0" w:color="000000"/>
              <w:left w:val="nil"/>
              <w:bottom w:val="nil"/>
              <w:right w:val="nil"/>
            </w:tcBorders>
            <w:shd w:val="clear" w:color="auto" w:fill="auto"/>
            <w:tcMar>
              <w:top w:w="50" w:type="dxa"/>
              <w:left w:w="50" w:type="dxa"/>
              <w:bottom w:w="50" w:type="dxa"/>
              <w:right w:w="50" w:type="dxa"/>
            </w:tcMar>
          </w:tcPr>
          <w:p w14:paraId="2B7607C3" w14:textId="77777777" w:rsidR="00441007" w:rsidRPr="00BC7BB5" w:rsidRDefault="00517CA3" w:rsidP="00441007">
            <w:pPr>
              <w:tabs>
                <w:tab w:val="left" w:pos="1296"/>
              </w:tabs>
              <w:spacing w:after="0" w:line="240" w:lineRule="auto"/>
              <w:ind w:right="-1039"/>
              <w:jc w:val="both"/>
              <w:rPr>
                <w:rFonts w:ascii="Times New Roman" w:hAnsi="Times New Roman" w:cs="Times New Roman"/>
                <w:color w:val="000000"/>
                <w:sz w:val="20"/>
                <w:szCs w:val="20"/>
              </w:rPr>
            </w:pPr>
            <w:r w:rsidRPr="00BC7BB5">
              <w:rPr>
                <w:rFonts w:ascii="Times New Roman" w:hAnsi="Times New Roman" w:cs="Times New Roman"/>
                <w:color w:val="000000"/>
                <w:sz w:val="20"/>
                <w:szCs w:val="20"/>
              </w:rPr>
              <w:t>General agriculture, fishing and forestry</w:t>
            </w:r>
            <w:r w:rsidR="00441007" w:rsidRPr="00BC7BB5">
              <w:rPr>
                <w:rFonts w:ascii="Times New Roman" w:hAnsi="Times New Roman" w:cs="Times New Roman"/>
                <w:color w:val="000000"/>
                <w:sz w:val="20"/>
                <w:szCs w:val="20"/>
              </w:rPr>
              <w:t xml:space="preserve"> </w:t>
            </w:r>
            <w:r w:rsidRPr="00BC7BB5">
              <w:rPr>
                <w:rFonts w:ascii="Times New Roman" w:hAnsi="Times New Roman" w:cs="Times New Roman"/>
                <w:color w:val="000000"/>
                <w:sz w:val="20"/>
                <w:szCs w:val="20"/>
              </w:rPr>
              <w:t>(35%),</w:t>
            </w:r>
          </w:p>
          <w:p w14:paraId="6AC57F56" w14:textId="77777777" w:rsidR="00441007" w:rsidRPr="00BC7BB5" w:rsidRDefault="00517CA3" w:rsidP="00441007">
            <w:pPr>
              <w:tabs>
                <w:tab w:val="left" w:pos="1296"/>
              </w:tabs>
              <w:spacing w:after="0" w:line="240" w:lineRule="auto"/>
              <w:ind w:right="-1039"/>
              <w:jc w:val="both"/>
              <w:rPr>
                <w:rFonts w:ascii="Times New Roman" w:hAnsi="Times New Roman" w:cs="Times New Roman"/>
                <w:color w:val="000000"/>
                <w:sz w:val="20"/>
                <w:szCs w:val="20"/>
              </w:rPr>
            </w:pPr>
            <w:r w:rsidRPr="00BC7BB5">
              <w:rPr>
                <w:rFonts w:ascii="Times New Roman" w:hAnsi="Times New Roman" w:cs="Times New Roman"/>
                <w:color w:val="000000"/>
                <w:sz w:val="20"/>
                <w:szCs w:val="20"/>
              </w:rPr>
              <w:t>Agro-industry, marketing</w:t>
            </w:r>
            <w:r w:rsidR="00441007" w:rsidRPr="00BC7BB5">
              <w:rPr>
                <w:rFonts w:ascii="Times New Roman" w:hAnsi="Times New Roman" w:cs="Times New Roman"/>
                <w:color w:val="000000"/>
                <w:sz w:val="20"/>
                <w:szCs w:val="20"/>
              </w:rPr>
              <w:t xml:space="preserve"> </w:t>
            </w:r>
            <w:r w:rsidRPr="00BC7BB5">
              <w:rPr>
                <w:rFonts w:ascii="Times New Roman" w:hAnsi="Times New Roman" w:cs="Times New Roman"/>
                <w:color w:val="000000"/>
                <w:sz w:val="20"/>
                <w:szCs w:val="20"/>
              </w:rPr>
              <w:t>and trade (35%),</w:t>
            </w:r>
          </w:p>
          <w:p w14:paraId="291D1183" w14:textId="77777777" w:rsidR="00441007" w:rsidRPr="00BC7BB5" w:rsidRDefault="00517CA3" w:rsidP="008450B0">
            <w:pPr>
              <w:tabs>
                <w:tab w:val="left" w:pos="1296"/>
              </w:tabs>
              <w:spacing w:after="0" w:line="240" w:lineRule="auto"/>
              <w:ind w:right="-1039"/>
              <w:jc w:val="both"/>
              <w:rPr>
                <w:rFonts w:ascii="Times New Roman" w:hAnsi="Times New Roman" w:cs="Times New Roman"/>
                <w:color w:val="000000"/>
                <w:sz w:val="20"/>
                <w:szCs w:val="20"/>
              </w:rPr>
            </w:pPr>
            <w:r w:rsidRPr="00BC7BB5">
              <w:rPr>
                <w:rFonts w:ascii="Times New Roman" w:hAnsi="Times New Roman" w:cs="Times New Roman"/>
                <w:color w:val="000000"/>
                <w:sz w:val="20"/>
                <w:szCs w:val="20"/>
              </w:rPr>
              <w:t xml:space="preserve"> Climate Change Adaptation/Mitigation (20%)</w:t>
            </w:r>
          </w:p>
          <w:p w14:paraId="1777A840" w14:textId="322143BE" w:rsidR="00517CA3" w:rsidRPr="00BC7BB5" w:rsidRDefault="00517CA3" w:rsidP="008450B0">
            <w:pPr>
              <w:tabs>
                <w:tab w:val="left" w:pos="1296"/>
              </w:tabs>
              <w:spacing w:after="0" w:line="240" w:lineRule="auto"/>
              <w:ind w:right="-1039"/>
              <w:jc w:val="both"/>
              <w:rPr>
                <w:rFonts w:ascii="Times New Roman" w:hAnsi="Times New Roman" w:cs="Times New Roman"/>
                <w:color w:val="000000"/>
                <w:sz w:val="20"/>
                <w:szCs w:val="20"/>
              </w:rPr>
            </w:pPr>
            <w:r w:rsidRPr="00BC7BB5">
              <w:rPr>
                <w:rFonts w:ascii="Times New Roman" w:hAnsi="Times New Roman" w:cs="Times New Roman"/>
                <w:color w:val="000000"/>
                <w:sz w:val="20"/>
                <w:szCs w:val="20"/>
              </w:rPr>
              <w:t xml:space="preserve">and, General water, sanitation </w:t>
            </w:r>
          </w:p>
          <w:p w14:paraId="53B2A089" w14:textId="647E52A6" w:rsidR="00517CA3" w:rsidRPr="00BC7BB5" w:rsidRDefault="00517CA3" w:rsidP="008450B0">
            <w:pPr>
              <w:spacing w:after="0" w:line="240" w:lineRule="auto"/>
              <w:ind w:right="-1039"/>
              <w:rPr>
                <w:rFonts w:ascii="Times New Roman" w:eastAsiaTheme="minorEastAsia" w:hAnsi="Times New Roman" w:cs="Times New Roman"/>
                <w:sz w:val="20"/>
                <w:szCs w:val="20"/>
              </w:rPr>
            </w:pPr>
            <w:r w:rsidRPr="00BC7BB5">
              <w:rPr>
                <w:rFonts w:ascii="Times New Roman" w:hAnsi="Times New Roman" w:cs="Times New Roman"/>
                <w:color w:val="000000"/>
                <w:sz w:val="20"/>
                <w:szCs w:val="20"/>
              </w:rPr>
              <w:t xml:space="preserve">and flood protection (10%) </w:t>
            </w:r>
          </w:p>
        </w:tc>
      </w:tr>
      <w:tr w:rsidR="008450B0" w:rsidRPr="00BC7BB5" w14:paraId="53B2A08F" w14:textId="77777777" w:rsidTr="00FA3400">
        <w:trPr>
          <w:trHeight w:val="248"/>
        </w:trPr>
        <w:tc>
          <w:tcPr>
            <w:tcW w:w="1817" w:type="dxa"/>
            <w:gridSpan w:val="7"/>
            <w:tcBorders>
              <w:top w:val="nil"/>
              <w:left w:val="nil"/>
              <w:bottom w:val="nil"/>
              <w:right w:val="nil"/>
            </w:tcBorders>
            <w:shd w:val="clear" w:color="auto" w:fill="FFFFFF"/>
            <w:tcMar>
              <w:top w:w="50" w:type="dxa"/>
              <w:left w:w="50" w:type="dxa"/>
              <w:bottom w:w="50" w:type="dxa"/>
              <w:right w:w="50" w:type="dxa"/>
            </w:tcMar>
          </w:tcPr>
          <w:p w14:paraId="53B2A08B" w14:textId="779F1B7D" w:rsidR="008450B0" w:rsidRPr="00BC7BB5" w:rsidRDefault="008450B0" w:rsidP="008450B0">
            <w:pPr>
              <w:spacing w:after="0" w:line="240" w:lineRule="auto"/>
              <w:rPr>
                <w:rFonts w:ascii="Times New Roman" w:eastAsiaTheme="minorEastAsia" w:hAnsi="Times New Roman" w:cs="Times New Roman"/>
                <w:sz w:val="20"/>
                <w:szCs w:val="20"/>
              </w:rPr>
            </w:pPr>
            <w:r w:rsidRPr="00BC7BB5">
              <w:rPr>
                <w:rFonts w:ascii="Times New Roman" w:eastAsiaTheme="minorEastAsia" w:hAnsi="Times New Roman" w:cs="Times New Roman"/>
                <w:sz w:val="20"/>
                <w:szCs w:val="20"/>
              </w:rPr>
              <w:t xml:space="preserve">Country Director: </w:t>
            </w:r>
          </w:p>
        </w:tc>
        <w:tc>
          <w:tcPr>
            <w:tcW w:w="2512" w:type="dxa"/>
            <w:gridSpan w:val="12"/>
            <w:tcBorders>
              <w:top w:val="nil"/>
              <w:left w:val="nil"/>
              <w:bottom w:val="nil"/>
              <w:right w:val="single" w:sz="4" w:space="0" w:color="000000"/>
            </w:tcBorders>
            <w:shd w:val="clear" w:color="auto" w:fill="FFFFFF"/>
            <w:tcMar>
              <w:top w:w="50" w:type="dxa"/>
              <w:left w:w="50" w:type="dxa"/>
              <w:bottom w:w="50" w:type="dxa"/>
              <w:right w:w="50" w:type="dxa"/>
            </w:tcMar>
          </w:tcPr>
          <w:p w14:paraId="53B2A08C" w14:textId="6152B4DE" w:rsidR="008450B0" w:rsidRPr="00BC7BB5" w:rsidRDefault="008450B0" w:rsidP="008450B0">
            <w:pPr>
              <w:spacing w:after="0" w:line="240" w:lineRule="auto"/>
              <w:rPr>
                <w:rFonts w:ascii="Times New Roman" w:eastAsiaTheme="minorEastAsia" w:hAnsi="Times New Roman" w:cs="Times New Roman"/>
                <w:sz w:val="20"/>
                <w:szCs w:val="20"/>
              </w:rPr>
            </w:pPr>
            <w:r w:rsidRPr="00BC7BB5">
              <w:rPr>
                <w:rFonts w:ascii="Times New Roman" w:eastAsia="SimSun" w:hAnsi="Times New Roman" w:cs="Times New Roman"/>
                <w:sz w:val="20"/>
                <w:szCs w:val="20"/>
              </w:rPr>
              <w:t>Marie-Francoise Marie-Nelly</w:t>
            </w:r>
          </w:p>
        </w:tc>
        <w:tc>
          <w:tcPr>
            <w:tcW w:w="1019" w:type="dxa"/>
            <w:gridSpan w:val="5"/>
            <w:tcBorders>
              <w:top w:val="nil"/>
              <w:left w:val="single" w:sz="4" w:space="0" w:color="000000"/>
              <w:bottom w:val="nil"/>
              <w:right w:val="nil"/>
            </w:tcBorders>
            <w:shd w:val="clear" w:color="auto" w:fill="FFFFFF"/>
            <w:tcMar>
              <w:top w:w="50" w:type="dxa"/>
              <w:left w:w="50" w:type="dxa"/>
              <w:bottom w:w="50" w:type="dxa"/>
              <w:right w:w="50" w:type="dxa"/>
            </w:tcMar>
          </w:tcPr>
          <w:p w14:paraId="53B2A08D" w14:textId="77777777" w:rsidR="008450B0" w:rsidRPr="00BC7BB5" w:rsidRDefault="008450B0" w:rsidP="008450B0">
            <w:pPr>
              <w:spacing w:after="0" w:line="240" w:lineRule="auto"/>
              <w:ind w:right="-1039"/>
              <w:rPr>
                <w:rFonts w:ascii="Times New Roman" w:eastAsiaTheme="minorEastAsia" w:hAnsi="Times New Roman" w:cs="Times New Roman"/>
                <w:sz w:val="20"/>
                <w:szCs w:val="20"/>
              </w:rPr>
            </w:pPr>
            <w:r w:rsidRPr="00BC7BB5">
              <w:rPr>
                <w:rFonts w:ascii="Times New Roman" w:eastAsiaTheme="minorEastAsia" w:hAnsi="Times New Roman" w:cs="Times New Roman"/>
                <w:sz w:val="20"/>
                <w:szCs w:val="20"/>
              </w:rPr>
              <w:t>Themes:</w:t>
            </w:r>
          </w:p>
        </w:tc>
        <w:tc>
          <w:tcPr>
            <w:tcW w:w="4147" w:type="dxa"/>
            <w:gridSpan w:val="13"/>
            <w:tcBorders>
              <w:top w:val="nil"/>
              <w:left w:val="nil"/>
              <w:bottom w:val="nil"/>
              <w:right w:val="nil"/>
            </w:tcBorders>
            <w:shd w:val="clear" w:color="auto" w:fill="FFFFFF"/>
            <w:tcMar>
              <w:top w:w="50" w:type="dxa"/>
              <w:left w:w="50" w:type="dxa"/>
              <w:bottom w:w="50" w:type="dxa"/>
              <w:right w:w="50" w:type="dxa"/>
            </w:tcMar>
          </w:tcPr>
          <w:p w14:paraId="33B045FF" w14:textId="77777777" w:rsidR="008450B0" w:rsidRPr="00BC7BB5" w:rsidRDefault="008450B0" w:rsidP="008450B0">
            <w:pPr>
              <w:spacing w:after="0" w:line="240" w:lineRule="auto"/>
              <w:ind w:right="-1039"/>
              <w:rPr>
                <w:rFonts w:ascii="Times New Roman" w:eastAsia="SimSun" w:hAnsi="Times New Roman" w:cs="Times New Roman"/>
                <w:sz w:val="20"/>
                <w:szCs w:val="20"/>
              </w:rPr>
            </w:pPr>
            <w:r w:rsidRPr="00BC7BB5">
              <w:rPr>
                <w:rFonts w:ascii="Times New Roman" w:eastAsia="SimSun" w:hAnsi="Times New Roman" w:cs="Times New Roman"/>
                <w:sz w:val="20"/>
                <w:szCs w:val="20"/>
              </w:rPr>
              <w:t xml:space="preserve">Micro and SMEs Support  (20%), Rural services </w:t>
            </w:r>
          </w:p>
          <w:p w14:paraId="0C7A12CB" w14:textId="77777777" w:rsidR="008450B0" w:rsidRPr="00BC7BB5" w:rsidRDefault="008450B0" w:rsidP="008450B0">
            <w:pPr>
              <w:spacing w:after="0" w:line="240" w:lineRule="auto"/>
              <w:ind w:right="-1039"/>
              <w:jc w:val="both"/>
              <w:rPr>
                <w:rFonts w:ascii="Times New Roman" w:eastAsia="SimSun" w:hAnsi="Times New Roman" w:cs="Times New Roman"/>
                <w:sz w:val="20"/>
                <w:szCs w:val="20"/>
              </w:rPr>
            </w:pPr>
            <w:r w:rsidRPr="00BC7BB5">
              <w:rPr>
                <w:rFonts w:ascii="Times New Roman" w:eastAsia="SimSun" w:hAnsi="Times New Roman" w:cs="Times New Roman"/>
                <w:sz w:val="20"/>
                <w:szCs w:val="20"/>
              </w:rPr>
              <w:t>and  Infrastructure (40%),  Export  Development</w:t>
            </w:r>
          </w:p>
          <w:p w14:paraId="422FB057" w14:textId="77777777" w:rsidR="008450B0" w:rsidRPr="00BC7BB5" w:rsidRDefault="008450B0" w:rsidP="008450B0">
            <w:pPr>
              <w:spacing w:after="0" w:line="240" w:lineRule="auto"/>
              <w:ind w:right="-1039"/>
              <w:rPr>
                <w:rFonts w:ascii="Times New Roman" w:eastAsia="SimSun" w:hAnsi="Times New Roman" w:cs="Times New Roman"/>
                <w:sz w:val="20"/>
                <w:szCs w:val="20"/>
              </w:rPr>
            </w:pPr>
            <w:r w:rsidRPr="00BC7BB5">
              <w:rPr>
                <w:rFonts w:ascii="Times New Roman" w:eastAsia="SimSun" w:hAnsi="Times New Roman" w:cs="Times New Roman"/>
                <w:sz w:val="20"/>
                <w:szCs w:val="20"/>
              </w:rPr>
              <w:t xml:space="preserve"> and  competitiveness (30%) and Other social </w:t>
            </w:r>
          </w:p>
          <w:p w14:paraId="53B2A08E" w14:textId="0BD4A3DD" w:rsidR="008450B0" w:rsidRPr="00BC7BB5" w:rsidRDefault="008450B0" w:rsidP="008450B0">
            <w:pPr>
              <w:spacing w:after="0" w:line="240" w:lineRule="auto"/>
              <w:ind w:right="-1039"/>
              <w:rPr>
                <w:rFonts w:ascii="Times New Roman" w:eastAsiaTheme="minorEastAsia" w:hAnsi="Times New Roman" w:cs="Times New Roman"/>
                <w:sz w:val="20"/>
                <w:szCs w:val="20"/>
              </w:rPr>
            </w:pPr>
            <w:r w:rsidRPr="00BC7BB5">
              <w:rPr>
                <w:rFonts w:ascii="Times New Roman" w:eastAsia="SimSun" w:hAnsi="Times New Roman" w:cs="Times New Roman"/>
                <w:sz w:val="20"/>
                <w:szCs w:val="20"/>
              </w:rPr>
              <w:t xml:space="preserve">Development (10%). </w:t>
            </w:r>
          </w:p>
        </w:tc>
      </w:tr>
      <w:tr w:rsidR="008450B0" w:rsidRPr="00BC7BB5" w14:paraId="53B2A094" w14:textId="77777777" w:rsidTr="00FA3400">
        <w:trPr>
          <w:trHeight w:val="145"/>
        </w:trPr>
        <w:tc>
          <w:tcPr>
            <w:tcW w:w="1817" w:type="dxa"/>
            <w:gridSpan w:val="7"/>
            <w:tcBorders>
              <w:top w:val="nil"/>
              <w:left w:val="nil"/>
              <w:bottom w:val="nil"/>
              <w:right w:val="nil"/>
            </w:tcBorders>
            <w:shd w:val="clear" w:color="auto" w:fill="FFFFFF"/>
            <w:tcMar>
              <w:top w:w="50" w:type="dxa"/>
              <w:left w:w="50" w:type="dxa"/>
              <w:bottom w:w="50" w:type="dxa"/>
              <w:right w:w="50" w:type="dxa"/>
            </w:tcMar>
          </w:tcPr>
          <w:p w14:paraId="1E8BDBBB" w14:textId="65D086EA" w:rsidR="008450B0" w:rsidRPr="00BC7BB5" w:rsidRDefault="008450B0" w:rsidP="008450B0">
            <w:pPr>
              <w:spacing w:after="0" w:line="240" w:lineRule="auto"/>
              <w:rPr>
                <w:rFonts w:ascii="Times New Roman" w:hAnsi="Times New Roman" w:cs="Times New Roman"/>
                <w:color w:val="000000"/>
                <w:sz w:val="20"/>
                <w:szCs w:val="20"/>
              </w:rPr>
            </w:pPr>
            <w:r w:rsidRPr="00BC7BB5">
              <w:rPr>
                <w:rFonts w:ascii="Times New Roman" w:eastAsiaTheme="minorEastAsia" w:hAnsi="Times New Roman" w:cs="Times New Roman"/>
                <w:sz w:val="20"/>
                <w:szCs w:val="20"/>
              </w:rPr>
              <w:t>Practice Managers/</w:t>
            </w:r>
            <w:r w:rsidRPr="00BC7BB5">
              <w:rPr>
                <w:rFonts w:ascii="Times New Roman" w:hAnsi="Times New Roman" w:cs="Times New Roman"/>
                <w:color w:val="000000"/>
                <w:sz w:val="20"/>
                <w:szCs w:val="20"/>
              </w:rPr>
              <w:t>Global Practices</w:t>
            </w:r>
          </w:p>
          <w:p w14:paraId="38429B88" w14:textId="1F807817" w:rsidR="008450B0" w:rsidRPr="00BC7BB5" w:rsidRDefault="008450B0" w:rsidP="008450B0">
            <w:pPr>
              <w:spacing w:after="0" w:line="240" w:lineRule="auto"/>
              <w:rPr>
                <w:rFonts w:ascii="Times New Roman" w:eastAsiaTheme="minorEastAsia" w:hAnsi="Times New Roman" w:cs="Times New Roman"/>
                <w:sz w:val="20"/>
                <w:szCs w:val="20"/>
              </w:rPr>
            </w:pPr>
            <w:r w:rsidRPr="00BC7BB5">
              <w:rPr>
                <w:rFonts w:ascii="Times New Roman" w:hAnsi="Times New Roman" w:cs="Times New Roman"/>
                <w:color w:val="000000"/>
                <w:sz w:val="20"/>
                <w:szCs w:val="20"/>
              </w:rPr>
              <w:t xml:space="preserve"> </w:t>
            </w:r>
          </w:p>
          <w:p w14:paraId="53B2A090" w14:textId="0032CF2D" w:rsidR="008450B0" w:rsidRPr="00BC7BB5" w:rsidRDefault="008450B0" w:rsidP="008450B0">
            <w:pPr>
              <w:spacing w:after="0" w:line="240" w:lineRule="auto"/>
              <w:rPr>
                <w:rFonts w:ascii="Times New Roman" w:hAnsi="Times New Roman" w:cs="Times New Roman"/>
                <w:color w:val="000000"/>
                <w:sz w:val="20"/>
                <w:szCs w:val="20"/>
              </w:rPr>
            </w:pPr>
            <w:r w:rsidRPr="00BC7BB5">
              <w:rPr>
                <w:rFonts w:ascii="Times New Roman" w:hAnsi="Times New Roman" w:cs="Times New Roman"/>
                <w:color w:val="000000"/>
                <w:sz w:val="20"/>
                <w:szCs w:val="20"/>
              </w:rPr>
              <w:t>Vice President</w:t>
            </w:r>
            <w:r w:rsidRPr="00BC7BB5">
              <w:rPr>
                <w:rFonts w:ascii="Times New Roman" w:eastAsiaTheme="minorEastAsia" w:hAnsi="Times New Roman" w:cs="Times New Roman"/>
                <w:sz w:val="20"/>
                <w:szCs w:val="20"/>
              </w:rPr>
              <w:t>:</w:t>
            </w:r>
          </w:p>
        </w:tc>
        <w:tc>
          <w:tcPr>
            <w:tcW w:w="2512" w:type="dxa"/>
            <w:gridSpan w:val="12"/>
            <w:tcBorders>
              <w:top w:val="nil"/>
              <w:left w:val="nil"/>
              <w:bottom w:val="nil"/>
              <w:right w:val="single" w:sz="4" w:space="0" w:color="000000"/>
            </w:tcBorders>
            <w:shd w:val="clear" w:color="auto" w:fill="FFFFFF"/>
            <w:tcMar>
              <w:top w:w="50" w:type="dxa"/>
              <w:left w:w="50" w:type="dxa"/>
              <w:bottom w:w="50" w:type="dxa"/>
              <w:right w:w="50" w:type="dxa"/>
            </w:tcMar>
          </w:tcPr>
          <w:p w14:paraId="248516FF" w14:textId="73CCDC9E" w:rsidR="008450B0" w:rsidRPr="00BC7BB5" w:rsidRDefault="008450B0" w:rsidP="008450B0">
            <w:pPr>
              <w:spacing w:after="0" w:line="240" w:lineRule="auto"/>
              <w:rPr>
                <w:rFonts w:ascii="Times New Roman" w:eastAsiaTheme="minorEastAsia" w:hAnsi="Times New Roman" w:cs="Times New Roman"/>
                <w:sz w:val="20"/>
                <w:szCs w:val="20"/>
              </w:rPr>
            </w:pPr>
            <w:r w:rsidRPr="00BC7BB5">
              <w:rPr>
                <w:rFonts w:ascii="Times New Roman" w:eastAsiaTheme="minorEastAsia" w:hAnsi="Times New Roman" w:cs="Times New Roman"/>
                <w:sz w:val="20"/>
                <w:szCs w:val="20"/>
              </w:rPr>
              <w:t>Julian Lampietti/ Agriculture</w:t>
            </w:r>
          </w:p>
          <w:p w14:paraId="482CF6A1" w14:textId="524060DF" w:rsidR="008450B0" w:rsidRPr="00BC7BB5" w:rsidRDefault="004F339B" w:rsidP="008450B0">
            <w:pPr>
              <w:spacing w:after="0" w:line="240" w:lineRule="auto"/>
              <w:rPr>
                <w:rFonts w:ascii="Times New Roman" w:eastAsiaTheme="minorEastAsia" w:hAnsi="Times New Roman" w:cs="Times New Roman"/>
                <w:sz w:val="20"/>
                <w:szCs w:val="20"/>
              </w:rPr>
            </w:pPr>
            <w:r w:rsidRPr="00BC7BB5">
              <w:rPr>
                <w:rFonts w:ascii="Times New Roman" w:eastAsiaTheme="minorEastAsia" w:hAnsi="Times New Roman" w:cs="Times New Roman"/>
                <w:sz w:val="20"/>
                <w:szCs w:val="20"/>
              </w:rPr>
              <w:t>Nabila Assaf</w:t>
            </w:r>
            <w:r w:rsidR="008450B0" w:rsidRPr="00BC7BB5">
              <w:rPr>
                <w:rFonts w:ascii="Times New Roman" w:eastAsiaTheme="minorEastAsia" w:hAnsi="Times New Roman" w:cs="Times New Roman"/>
                <w:sz w:val="20"/>
                <w:szCs w:val="20"/>
              </w:rPr>
              <w:t>/Trade and Competitiveness</w:t>
            </w:r>
          </w:p>
          <w:p w14:paraId="2D65A906" w14:textId="77777777" w:rsidR="008450B0" w:rsidRPr="00BC7BB5" w:rsidRDefault="008450B0" w:rsidP="008450B0">
            <w:pPr>
              <w:spacing w:after="0" w:line="240" w:lineRule="auto"/>
              <w:rPr>
                <w:rFonts w:ascii="Times New Roman" w:eastAsiaTheme="minorEastAsia" w:hAnsi="Times New Roman" w:cs="Times New Roman"/>
                <w:sz w:val="20"/>
                <w:szCs w:val="20"/>
              </w:rPr>
            </w:pPr>
          </w:p>
          <w:p w14:paraId="53B2A091" w14:textId="1087DB89" w:rsidR="008450B0" w:rsidRPr="00BC7BB5" w:rsidRDefault="008450B0" w:rsidP="008450B0">
            <w:pPr>
              <w:spacing w:after="0" w:line="240" w:lineRule="auto"/>
              <w:rPr>
                <w:rFonts w:ascii="Times New Roman" w:eastAsiaTheme="minorEastAsia" w:hAnsi="Times New Roman" w:cs="Times New Roman"/>
                <w:sz w:val="20"/>
                <w:szCs w:val="20"/>
              </w:rPr>
            </w:pPr>
            <w:r w:rsidRPr="00BC7BB5">
              <w:rPr>
                <w:rFonts w:ascii="Times New Roman" w:eastAsiaTheme="minorEastAsia" w:hAnsi="Times New Roman" w:cs="Times New Roman"/>
                <w:sz w:val="20"/>
                <w:szCs w:val="20"/>
              </w:rPr>
              <w:t>Hafez Ghanem</w:t>
            </w:r>
          </w:p>
        </w:tc>
        <w:tc>
          <w:tcPr>
            <w:tcW w:w="1019" w:type="dxa"/>
            <w:gridSpan w:val="5"/>
            <w:tcBorders>
              <w:top w:val="nil"/>
              <w:left w:val="single" w:sz="4" w:space="0" w:color="000000"/>
              <w:bottom w:val="nil"/>
              <w:right w:val="nil"/>
            </w:tcBorders>
            <w:shd w:val="clear" w:color="auto" w:fill="FFFFFF"/>
            <w:tcMar>
              <w:top w:w="50" w:type="dxa"/>
              <w:left w:w="50" w:type="dxa"/>
              <w:bottom w:w="50" w:type="dxa"/>
              <w:right w:w="50" w:type="dxa"/>
            </w:tcMar>
          </w:tcPr>
          <w:p w14:paraId="53B2A092" w14:textId="77777777" w:rsidR="008450B0" w:rsidRPr="00BC7BB5" w:rsidRDefault="008450B0" w:rsidP="008450B0">
            <w:pPr>
              <w:spacing w:after="0" w:line="240" w:lineRule="auto"/>
              <w:ind w:right="-1039"/>
              <w:rPr>
                <w:rFonts w:ascii="Times New Roman" w:eastAsiaTheme="minorEastAsia" w:hAnsi="Times New Roman" w:cs="Times New Roman"/>
                <w:sz w:val="20"/>
                <w:szCs w:val="20"/>
              </w:rPr>
            </w:pPr>
          </w:p>
        </w:tc>
        <w:tc>
          <w:tcPr>
            <w:tcW w:w="4147" w:type="dxa"/>
            <w:gridSpan w:val="13"/>
            <w:tcBorders>
              <w:top w:val="nil"/>
              <w:left w:val="nil"/>
              <w:bottom w:val="nil"/>
              <w:right w:val="nil"/>
            </w:tcBorders>
            <w:shd w:val="clear" w:color="auto" w:fill="FFFFFF"/>
            <w:tcMar>
              <w:top w:w="50" w:type="dxa"/>
              <w:left w:w="50" w:type="dxa"/>
              <w:bottom w:w="50" w:type="dxa"/>
              <w:right w:w="50" w:type="dxa"/>
            </w:tcMar>
          </w:tcPr>
          <w:p w14:paraId="53B2A093" w14:textId="6A51F929" w:rsidR="008450B0" w:rsidRPr="00BC7BB5" w:rsidRDefault="008450B0" w:rsidP="008450B0">
            <w:pPr>
              <w:spacing w:after="0" w:line="240" w:lineRule="auto"/>
              <w:ind w:right="-1039"/>
              <w:rPr>
                <w:rFonts w:ascii="Times New Roman" w:eastAsiaTheme="minorEastAsia" w:hAnsi="Times New Roman" w:cs="Times New Roman"/>
                <w:sz w:val="20"/>
                <w:szCs w:val="20"/>
              </w:rPr>
            </w:pPr>
          </w:p>
        </w:tc>
      </w:tr>
      <w:tr w:rsidR="008450B0" w:rsidRPr="00BC7BB5" w14:paraId="53B2A09A" w14:textId="77777777" w:rsidTr="00FA3400">
        <w:trPr>
          <w:trHeight w:val="145"/>
        </w:trPr>
        <w:tc>
          <w:tcPr>
            <w:tcW w:w="1817" w:type="dxa"/>
            <w:gridSpan w:val="7"/>
            <w:tcBorders>
              <w:top w:val="nil"/>
              <w:left w:val="nil"/>
              <w:bottom w:val="nil"/>
              <w:right w:val="nil"/>
            </w:tcBorders>
            <w:shd w:val="clear" w:color="auto" w:fill="FFFFFF"/>
            <w:tcMar>
              <w:top w:w="50" w:type="dxa"/>
              <w:left w:w="50" w:type="dxa"/>
              <w:bottom w:w="50" w:type="dxa"/>
              <w:right w:w="50" w:type="dxa"/>
            </w:tcMar>
          </w:tcPr>
          <w:p w14:paraId="53B2A095" w14:textId="490F4835" w:rsidR="008450B0" w:rsidRPr="00BC7BB5" w:rsidRDefault="008450B0" w:rsidP="008450B0">
            <w:pPr>
              <w:spacing w:after="0" w:line="240" w:lineRule="auto"/>
              <w:rPr>
                <w:rFonts w:ascii="Times New Roman" w:eastAsiaTheme="minorEastAsia" w:hAnsi="Times New Roman" w:cs="Times New Roman"/>
                <w:sz w:val="20"/>
                <w:szCs w:val="20"/>
              </w:rPr>
            </w:pPr>
            <w:r w:rsidRPr="00BC7BB5">
              <w:rPr>
                <w:rFonts w:ascii="Times New Roman" w:eastAsiaTheme="minorEastAsia" w:hAnsi="Times New Roman" w:cs="Times New Roman"/>
                <w:sz w:val="20"/>
                <w:szCs w:val="20"/>
              </w:rPr>
              <w:t>Program ID:</w:t>
            </w:r>
          </w:p>
          <w:p w14:paraId="53B2A096" w14:textId="77777777" w:rsidR="008450B0" w:rsidRPr="00BC7BB5" w:rsidRDefault="008450B0" w:rsidP="008450B0">
            <w:pPr>
              <w:spacing w:after="0" w:line="240" w:lineRule="auto"/>
              <w:rPr>
                <w:rFonts w:ascii="Times New Roman" w:eastAsiaTheme="minorEastAsia" w:hAnsi="Times New Roman" w:cs="Times New Roman"/>
                <w:sz w:val="20"/>
                <w:szCs w:val="20"/>
              </w:rPr>
            </w:pPr>
          </w:p>
        </w:tc>
        <w:tc>
          <w:tcPr>
            <w:tcW w:w="2512" w:type="dxa"/>
            <w:gridSpan w:val="12"/>
            <w:tcBorders>
              <w:top w:val="nil"/>
              <w:left w:val="nil"/>
              <w:bottom w:val="nil"/>
              <w:right w:val="single" w:sz="4" w:space="0" w:color="000000"/>
            </w:tcBorders>
            <w:shd w:val="clear" w:color="auto" w:fill="FFFFFF"/>
            <w:tcMar>
              <w:top w:w="50" w:type="dxa"/>
              <w:left w:w="50" w:type="dxa"/>
              <w:bottom w:w="50" w:type="dxa"/>
              <w:right w:w="50" w:type="dxa"/>
            </w:tcMar>
          </w:tcPr>
          <w:p w14:paraId="53B2A097" w14:textId="0AD75FB1" w:rsidR="008450B0" w:rsidRPr="00BC7BB5" w:rsidRDefault="008450B0" w:rsidP="008450B0">
            <w:pPr>
              <w:spacing w:after="0" w:line="240" w:lineRule="auto"/>
              <w:rPr>
                <w:rFonts w:ascii="Times New Roman" w:eastAsiaTheme="minorEastAsia" w:hAnsi="Times New Roman" w:cs="Times New Roman"/>
                <w:sz w:val="20"/>
                <w:szCs w:val="20"/>
              </w:rPr>
            </w:pPr>
            <w:r w:rsidRPr="00BC7BB5">
              <w:rPr>
                <w:rFonts w:ascii="Times New Roman" w:eastAsiaTheme="minorEastAsia" w:hAnsi="Times New Roman" w:cs="Times New Roman"/>
                <w:sz w:val="20"/>
                <w:szCs w:val="20"/>
              </w:rPr>
              <w:t>P158346</w:t>
            </w:r>
          </w:p>
        </w:tc>
        <w:tc>
          <w:tcPr>
            <w:tcW w:w="1019" w:type="dxa"/>
            <w:gridSpan w:val="5"/>
            <w:tcBorders>
              <w:top w:val="nil"/>
              <w:left w:val="single" w:sz="4" w:space="0" w:color="000000"/>
              <w:bottom w:val="nil"/>
              <w:right w:val="nil"/>
            </w:tcBorders>
            <w:shd w:val="clear" w:color="auto" w:fill="FFFFFF"/>
            <w:tcMar>
              <w:top w:w="50" w:type="dxa"/>
              <w:left w:w="50" w:type="dxa"/>
              <w:bottom w:w="50" w:type="dxa"/>
              <w:right w:w="50" w:type="dxa"/>
            </w:tcMar>
          </w:tcPr>
          <w:p w14:paraId="53B2A098" w14:textId="77777777" w:rsidR="008450B0" w:rsidRPr="00BC7BB5" w:rsidRDefault="008450B0" w:rsidP="008450B0">
            <w:pPr>
              <w:spacing w:after="0" w:line="240" w:lineRule="auto"/>
              <w:rPr>
                <w:rFonts w:ascii="Times New Roman" w:eastAsiaTheme="minorEastAsia" w:hAnsi="Times New Roman" w:cs="Times New Roman"/>
                <w:sz w:val="20"/>
                <w:szCs w:val="20"/>
              </w:rPr>
            </w:pPr>
          </w:p>
        </w:tc>
        <w:tc>
          <w:tcPr>
            <w:tcW w:w="4147" w:type="dxa"/>
            <w:gridSpan w:val="13"/>
            <w:tcBorders>
              <w:top w:val="nil"/>
              <w:left w:val="nil"/>
              <w:bottom w:val="nil"/>
              <w:right w:val="nil"/>
            </w:tcBorders>
            <w:shd w:val="clear" w:color="auto" w:fill="FFFFFF"/>
            <w:tcMar>
              <w:top w:w="50" w:type="dxa"/>
              <w:left w:w="50" w:type="dxa"/>
              <w:bottom w:w="50" w:type="dxa"/>
              <w:right w:w="50" w:type="dxa"/>
            </w:tcMar>
          </w:tcPr>
          <w:p w14:paraId="53B2A099" w14:textId="35599754" w:rsidR="008450B0" w:rsidRPr="00BC7BB5" w:rsidRDefault="008450B0" w:rsidP="008450B0">
            <w:pPr>
              <w:spacing w:after="0" w:line="240" w:lineRule="auto"/>
              <w:rPr>
                <w:rFonts w:ascii="Times New Roman" w:eastAsiaTheme="minorEastAsia" w:hAnsi="Times New Roman" w:cs="Times New Roman"/>
                <w:sz w:val="20"/>
                <w:szCs w:val="20"/>
              </w:rPr>
            </w:pPr>
          </w:p>
        </w:tc>
      </w:tr>
      <w:tr w:rsidR="008450B0" w:rsidRPr="00BC7BB5" w14:paraId="53B2A09F" w14:textId="77777777" w:rsidTr="00FA3400">
        <w:trPr>
          <w:trHeight w:val="213"/>
        </w:trPr>
        <w:tc>
          <w:tcPr>
            <w:tcW w:w="1817" w:type="dxa"/>
            <w:gridSpan w:val="7"/>
            <w:tcBorders>
              <w:top w:val="nil"/>
              <w:left w:val="nil"/>
              <w:right w:val="nil"/>
            </w:tcBorders>
            <w:shd w:val="clear" w:color="auto" w:fill="FFFFFF"/>
            <w:tcMar>
              <w:top w:w="50" w:type="dxa"/>
              <w:left w:w="50" w:type="dxa"/>
              <w:bottom w:w="50" w:type="dxa"/>
              <w:right w:w="50" w:type="dxa"/>
            </w:tcMar>
          </w:tcPr>
          <w:p w14:paraId="53B2A09B" w14:textId="30DD502D" w:rsidR="008450B0" w:rsidRPr="00BC7BB5" w:rsidRDefault="008450B0" w:rsidP="008450B0">
            <w:pPr>
              <w:spacing w:after="0" w:line="240" w:lineRule="auto"/>
              <w:rPr>
                <w:rFonts w:ascii="Times New Roman" w:eastAsiaTheme="minorEastAsia" w:hAnsi="Times New Roman" w:cs="Times New Roman"/>
                <w:sz w:val="20"/>
                <w:szCs w:val="20"/>
              </w:rPr>
            </w:pPr>
            <w:r w:rsidRPr="00BC7BB5">
              <w:rPr>
                <w:rFonts w:ascii="Times New Roman" w:eastAsiaTheme="minorEastAsia" w:hAnsi="Times New Roman" w:cs="Times New Roman"/>
                <w:sz w:val="20"/>
                <w:szCs w:val="20"/>
              </w:rPr>
              <w:t>Team Leaders:</w:t>
            </w:r>
          </w:p>
        </w:tc>
        <w:tc>
          <w:tcPr>
            <w:tcW w:w="2512" w:type="dxa"/>
            <w:gridSpan w:val="12"/>
            <w:tcBorders>
              <w:top w:val="nil"/>
              <w:left w:val="nil"/>
              <w:right w:val="single" w:sz="4" w:space="0" w:color="000000"/>
            </w:tcBorders>
            <w:shd w:val="clear" w:color="auto" w:fill="FFFFFF"/>
            <w:tcMar>
              <w:top w:w="50" w:type="dxa"/>
              <w:left w:w="50" w:type="dxa"/>
              <w:bottom w:w="50" w:type="dxa"/>
              <w:right w:w="50" w:type="dxa"/>
            </w:tcMar>
          </w:tcPr>
          <w:p w14:paraId="5305EF40" w14:textId="77777777" w:rsidR="008450B0" w:rsidRPr="00BC7BB5" w:rsidRDefault="008450B0" w:rsidP="008450B0">
            <w:pPr>
              <w:spacing w:after="0" w:line="240" w:lineRule="auto"/>
              <w:rPr>
                <w:rFonts w:ascii="Times New Roman" w:eastAsiaTheme="minorEastAsia" w:hAnsi="Times New Roman" w:cs="Times New Roman"/>
                <w:sz w:val="20"/>
                <w:szCs w:val="20"/>
              </w:rPr>
            </w:pPr>
            <w:r w:rsidRPr="00BC7BB5">
              <w:rPr>
                <w:rFonts w:ascii="Times New Roman" w:eastAsiaTheme="minorEastAsia" w:hAnsi="Times New Roman" w:cs="Times New Roman"/>
                <w:sz w:val="20"/>
                <w:szCs w:val="20"/>
              </w:rPr>
              <w:t>Marianne Grosclaude/</w:t>
            </w:r>
          </w:p>
          <w:p w14:paraId="53B2A09C" w14:textId="35B099B8" w:rsidR="008450B0" w:rsidRPr="00BC7BB5" w:rsidRDefault="008450B0" w:rsidP="008450B0">
            <w:pPr>
              <w:spacing w:after="0" w:line="240" w:lineRule="auto"/>
              <w:rPr>
                <w:rFonts w:ascii="Times New Roman" w:eastAsiaTheme="minorEastAsia" w:hAnsi="Times New Roman" w:cs="Times New Roman"/>
                <w:sz w:val="20"/>
                <w:szCs w:val="20"/>
              </w:rPr>
            </w:pPr>
            <w:r w:rsidRPr="00BC7BB5">
              <w:rPr>
                <w:rFonts w:ascii="Times New Roman" w:eastAsiaTheme="minorEastAsia" w:hAnsi="Times New Roman" w:cs="Times New Roman"/>
                <w:sz w:val="20"/>
                <w:szCs w:val="20"/>
              </w:rPr>
              <w:t>Hind Kadiri</w:t>
            </w:r>
          </w:p>
        </w:tc>
        <w:tc>
          <w:tcPr>
            <w:tcW w:w="1019" w:type="dxa"/>
            <w:gridSpan w:val="5"/>
            <w:tcBorders>
              <w:top w:val="nil"/>
              <w:left w:val="single" w:sz="4" w:space="0" w:color="000000"/>
              <w:bottom w:val="single" w:sz="4" w:space="0" w:color="000000"/>
              <w:right w:val="nil"/>
            </w:tcBorders>
            <w:shd w:val="clear" w:color="auto" w:fill="FFFFFF"/>
            <w:tcMar>
              <w:top w:w="50" w:type="dxa"/>
              <w:left w:w="50" w:type="dxa"/>
              <w:bottom w:w="50" w:type="dxa"/>
              <w:right w:w="50" w:type="dxa"/>
            </w:tcMar>
          </w:tcPr>
          <w:p w14:paraId="53B2A09D" w14:textId="77777777" w:rsidR="008450B0" w:rsidRPr="00BC7BB5" w:rsidRDefault="008450B0" w:rsidP="008450B0">
            <w:pPr>
              <w:spacing w:after="0" w:line="240" w:lineRule="auto"/>
              <w:rPr>
                <w:rFonts w:ascii="Times New Roman" w:eastAsiaTheme="minorEastAsia" w:hAnsi="Times New Roman" w:cs="Times New Roman"/>
                <w:sz w:val="20"/>
                <w:szCs w:val="20"/>
              </w:rPr>
            </w:pPr>
          </w:p>
        </w:tc>
        <w:tc>
          <w:tcPr>
            <w:tcW w:w="4147" w:type="dxa"/>
            <w:gridSpan w:val="13"/>
            <w:tcBorders>
              <w:top w:val="nil"/>
              <w:left w:val="nil"/>
              <w:bottom w:val="single" w:sz="4" w:space="0" w:color="000000"/>
              <w:right w:val="nil"/>
            </w:tcBorders>
            <w:shd w:val="clear" w:color="auto" w:fill="FFFFFF"/>
          </w:tcPr>
          <w:p w14:paraId="53B2A09E" w14:textId="4B3E5204" w:rsidR="008450B0" w:rsidRPr="00BC7BB5" w:rsidRDefault="008450B0" w:rsidP="008450B0">
            <w:pPr>
              <w:spacing w:after="0" w:line="240" w:lineRule="auto"/>
              <w:rPr>
                <w:rFonts w:ascii="Times New Roman" w:eastAsiaTheme="minorEastAsia" w:hAnsi="Times New Roman" w:cs="Times New Roman"/>
                <w:sz w:val="20"/>
                <w:szCs w:val="20"/>
              </w:rPr>
            </w:pPr>
          </w:p>
        </w:tc>
      </w:tr>
      <w:tr w:rsidR="008450B0" w:rsidRPr="00BC7BB5" w14:paraId="53B2A0A7" w14:textId="77777777" w:rsidTr="00FA3400">
        <w:trPr>
          <w:trHeight w:val="145"/>
        </w:trPr>
        <w:tc>
          <w:tcPr>
            <w:tcW w:w="3407" w:type="dxa"/>
            <w:gridSpan w:val="14"/>
            <w:tcBorders>
              <w:top w:val="single" w:sz="4" w:space="0" w:color="000000"/>
              <w:left w:val="nil"/>
              <w:bottom w:val="nil"/>
              <w:right w:val="nil"/>
            </w:tcBorders>
            <w:shd w:val="clear" w:color="auto" w:fill="FFFFFF"/>
            <w:tcMar>
              <w:top w:w="50" w:type="dxa"/>
              <w:left w:w="50" w:type="dxa"/>
              <w:bottom w:w="50" w:type="dxa"/>
              <w:right w:w="50" w:type="dxa"/>
            </w:tcMar>
          </w:tcPr>
          <w:p w14:paraId="53B2A0A0" w14:textId="6910CC85" w:rsidR="008450B0" w:rsidRPr="00BC7BB5" w:rsidRDefault="008450B0" w:rsidP="008450B0">
            <w:pPr>
              <w:spacing w:after="0" w:line="240" w:lineRule="auto"/>
              <w:rPr>
                <w:rFonts w:ascii="Times New Roman" w:eastAsiaTheme="minorEastAsia" w:hAnsi="Times New Roman" w:cs="Times New Roman"/>
                <w:sz w:val="20"/>
                <w:szCs w:val="20"/>
              </w:rPr>
            </w:pPr>
            <w:r w:rsidRPr="00BC7BB5">
              <w:rPr>
                <w:rFonts w:ascii="Times New Roman" w:eastAsiaTheme="minorEastAsia" w:hAnsi="Times New Roman" w:cs="Times New Roman"/>
                <w:sz w:val="20"/>
                <w:szCs w:val="20"/>
              </w:rPr>
              <w:t>Program Implementation</w:t>
            </w:r>
            <w:r w:rsidR="008E1818">
              <w:rPr>
                <w:rFonts w:ascii="Times New Roman" w:eastAsiaTheme="minorEastAsia" w:hAnsi="Times New Roman" w:cs="Times New Roman"/>
                <w:sz w:val="20"/>
                <w:szCs w:val="20"/>
              </w:rPr>
              <w:t xml:space="preserve"> </w:t>
            </w:r>
            <w:r w:rsidRPr="00BC7BB5">
              <w:rPr>
                <w:rFonts w:ascii="Times New Roman" w:eastAsiaTheme="minorEastAsia" w:hAnsi="Times New Roman" w:cs="Times New Roman"/>
                <w:sz w:val="20"/>
                <w:szCs w:val="20"/>
              </w:rPr>
              <w:t>Period:</w:t>
            </w:r>
          </w:p>
          <w:p w14:paraId="3312BAD1" w14:textId="3CF14FD7" w:rsidR="008450B0" w:rsidRPr="00BC7BB5" w:rsidRDefault="008450B0" w:rsidP="008450B0">
            <w:pPr>
              <w:spacing w:after="0" w:line="240" w:lineRule="auto"/>
              <w:rPr>
                <w:rFonts w:ascii="Times New Roman" w:eastAsiaTheme="minorEastAsia" w:hAnsi="Times New Roman" w:cs="Times New Roman"/>
                <w:sz w:val="20"/>
                <w:szCs w:val="20"/>
                <w:highlight w:val="yellow"/>
              </w:rPr>
            </w:pPr>
            <w:r w:rsidRPr="00BC7BB5">
              <w:rPr>
                <w:rFonts w:ascii="Times New Roman" w:eastAsiaTheme="minorEastAsia" w:hAnsi="Times New Roman" w:cs="Times New Roman"/>
                <w:sz w:val="20"/>
                <w:szCs w:val="20"/>
              </w:rPr>
              <w:t>Expected Financing Effectiveness Date:</w:t>
            </w:r>
          </w:p>
          <w:p w14:paraId="5E075593" w14:textId="7DC30F5F" w:rsidR="008450B0" w:rsidRDefault="008450B0" w:rsidP="008450B0">
            <w:pPr>
              <w:spacing w:after="0" w:line="240" w:lineRule="auto"/>
              <w:rPr>
                <w:rFonts w:ascii="Times New Roman" w:eastAsiaTheme="minorEastAsia" w:hAnsi="Times New Roman" w:cs="Times New Roman"/>
                <w:sz w:val="20"/>
                <w:szCs w:val="20"/>
              </w:rPr>
            </w:pPr>
            <w:r w:rsidRPr="00BC7BB5">
              <w:rPr>
                <w:rFonts w:ascii="Times New Roman" w:eastAsiaTheme="minorEastAsia" w:hAnsi="Times New Roman" w:cs="Times New Roman"/>
                <w:sz w:val="20"/>
                <w:szCs w:val="20"/>
              </w:rPr>
              <w:t xml:space="preserve">Expected Financing </w:t>
            </w:r>
            <w:r w:rsidR="00987096">
              <w:rPr>
                <w:rFonts w:ascii="Times New Roman" w:eastAsiaTheme="minorEastAsia" w:hAnsi="Times New Roman" w:cs="Times New Roman"/>
                <w:sz w:val="20"/>
                <w:szCs w:val="20"/>
              </w:rPr>
              <w:t>Closing Date:</w:t>
            </w:r>
          </w:p>
          <w:p w14:paraId="53B2A0A2" w14:textId="64C7F573" w:rsidR="008450B0" w:rsidRPr="00BC7BB5" w:rsidRDefault="008450B0" w:rsidP="008450B0">
            <w:pPr>
              <w:spacing w:after="0" w:line="240" w:lineRule="auto"/>
              <w:rPr>
                <w:rFonts w:ascii="Times New Roman" w:eastAsiaTheme="minorEastAsia" w:hAnsi="Times New Roman" w:cs="Times New Roman"/>
                <w:sz w:val="20"/>
                <w:szCs w:val="20"/>
              </w:rPr>
            </w:pPr>
          </w:p>
        </w:tc>
        <w:tc>
          <w:tcPr>
            <w:tcW w:w="540" w:type="dxa"/>
            <w:gridSpan w:val="3"/>
            <w:tcBorders>
              <w:top w:val="single" w:sz="4" w:space="0" w:color="000000"/>
              <w:left w:val="nil"/>
              <w:bottom w:val="nil"/>
              <w:right w:val="nil"/>
            </w:tcBorders>
            <w:shd w:val="clear" w:color="auto" w:fill="FFFFFF"/>
            <w:tcMar>
              <w:top w:w="50" w:type="dxa"/>
              <w:left w:w="50" w:type="dxa"/>
              <w:bottom w:w="50" w:type="dxa"/>
              <w:right w:w="50" w:type="dxa"/>
            </w:tcMar>
          </w:tcPr>
          <w:p w14:paraId="53B2A0A3" w14:textId="537BAD34" w:rsidR="008450B0" w:rsidRPr="00BC7BB5" w:rsidRDefault="008E1818" w:rsidP="008E1818">
            <w:pPr>
              <w:spacing w:after="0" w:line="240" w:lineRule="auto"/>
              <w:rPr>
                <w:rFonts w:ascii="Times New Roman" w:eastAsiaTheme="minorEastAsia" w:hAnsi="Times New Roman" w:cs="Times New Roman"/>
                <w:sz w:val="20"/>
                <w:szCs w:val="20"/>
              </w:rPr>
            </w:pPr>
            <w:r>
              <w:rPr>
                <w:rFonts w:ascii="Times New Roman" w:eastAsiaTheme="minorEastAsia" w:hAnsi="Times New Roman" w:cs="Times New Roman"/>
                <w:sz w:val="20"/>
                <w:szCs w:val="20"/>
              </w:rPr>
              <w:t xml:space="preserve">Start </w:t>
            </w:r>
          </w:p>
        </w:tc>
        <w:tc>
          <w:tcPr>
            <w:tcW w:w="1020" w:type="dxa"/>
            <w:gridSpan w:val="5"/>
            <w:tcBorders>
              <w:top w:val="single" w:sz="4" w:space="0" w:color="000000"/>
              <w:left w:val="nil"/>
              <w:bottom w:val="nil"/>
              <w:right w:val="nil"/>
            </w:tcBorders>
            <w:shd w:val="clear" w:color="auto" w:fill="FFFFFF"/>
            <w:tcMar>
              <w:top w:w="50" w:type="dxa"/>
              <w:left w:w="50" w:type="dxa"/>
              <w:bottom w:w="50" w:type="dxa"/>
              <w:right w:w="50" w:type="dxa"/>
            </w:tcMar>
          </w:tcPr>
          <w:p w14:paraId="523E82B3" w14:textId="19A60639" w:rsidR="008450B0" w:rsidRDefault="00F20464" w:rsidP="008450B0">
            <w:pPr>
              <w:spacing w:after="0" w:line="240" w:lineRule="auto"/>
              <w:rPr>
                <w:rFonts w:ascii="Times New Roman" w:eastAsiaTheme="minorEastAsia" w:hAnsi="Times New Roman" w:cs="Times New Roman"/>
                <w:sz w:val="20"/>
                <w:szCs w:val="20"/>
              </w:rPr>
            </w:pPr>
            <w:r>
              <w:rPr>
                <w:rFonts w:ascii="Times New Roman" w:eastAsiaTheme="minorEastAsia" w:hAnsi="Times New Roman" w:cs="Times New Roman"/>
                <w:sz w:val="20"/>
                <w:szCs w:val="20"/>
              </w:rPr>
              <w:t>12</w:t>
            </w:r>
            <w:r w:rsidR="00FE17CB" w:rsidRPr="00BC7BB5">
              <w:rPr>
                <w:rFonts w:ascii="Times New Roman" w:eastAsiaTheme="minorEastAsia" w:hAnsi="Times New Roman" w:cs="Times New Roman"/>
                <w:sz w:val="20"/>
                <w:szCs w:val="20"/>
              </w:rPr>
              <w:t>/</w:t>
            </w:r>
            <w:r w:rsidR="00202C37">
              <w:rPr>
                <w:rFonts w:ascii="Times New Roman" w:eastAsiaTheme="minorEastAsia" w:hAnsi="Times New Roman" w:cs="Times New Roman"/>
                <w:sz w:val="20"/>
                <w:szCs w:val="20"/>
              </w:rPr>
              <w:t>20</w:t>
            </w:r>
            <w:r w:rsidR="00FE17CB" w:rsidRPr="00BC7BB5">
              <w:rPr>
                <w:rFonts w:ascii="Times New Roman" w:eastAsiaTheme="minorEastAsia" w:hAnsi="Times New Roman" w:cs="Times New Roman"/>
                <w:sz w:val="20"/>
                <w:szCs w:val="20"/>
              </w:rPr>
              <w:t>/</w:t>
            </w:r>
            <w:r w:rsidR="008E1818">
              <w:rPr>
                <w:rFonts w:ascii="Times New Roman" w:eastAsiaTheme="minorEastAsia" w:hAnsi="Times New Roman" w:cs="Times New Roman"/>
                <w:sz w:val="20"/>
                <w:szCs w:val="20"/>
              </w:rPr>
              <w:t>20</w:t>
            </w:r>
            <w:r w:rsidR="006A516B" w:rsidRPr="00BC7BB5">
              <w:rPr>
                <w:rFonts w:ascii="Times New Roman" w:eastAsiaTheme="minorEastAsia" w:hAnsi="Times New Roman" w:cs="Times New Roman"/>
                <w:sz w:val="20"/>
                <w:szCs w:val="20"/>
              </w:rPr>
              <w:t>1</w:t>
            </w:r>
            <w:r>
              <w:rPr>
                <w:rFonts w:ascii="Times New Roman" w:eastAsiaTheme="minorEastAsia" w:hAnsi="Times New Roman" w:cs="Times New Roman"/>
                <w:sz w:val="20"/>
                <w:szCs w:val="20"/>
              </w:rPr>
              <w:t>7</w:t>
            </w:r>
          </w:p>
          <w:p w14:paraId="55CF0CF2" w14:textId="77777777" w:rsidR="008E1818" w:rsidRDefault="008E1818" w:rsidP="008450B0">
            <w:pPr>
              <w:spacing w:after="0" w:line="240" w:lineRule="auto"/>
              <w:rPr>
                <w:rFonts w:ascii="Times New Roman" w:eastAsiaTheme="minorEastAsia" w:hAnsi="Times New Roman" w:cs="Times New Roman"/>
                <w:sz w:val="20"/>
                <w:szCs w:val="20"/>
              </w:rPr>
            </w:pPr>
            <w:r>
              <w:rPr>
                <w:rFonts w:ascii="Times New Roman" w:eastAsiaTheme="minorEastAsia" w:hAnsi="Times New Roman" w:cs="Times New Roman"/>
                <w:sz w:val="20"/>
                <w:szCs w:val="20"/>
              </w:rPr>
              <w:t>02/01/2018</w:t>
            </w:r>
          </w:p>
          <w:p w14:paraId="53B2A0A4" w14:textId="74A3E7C7" w:rsidR="00987096" w:rsidRPr="00BC7BB5" w:rsidRDefault="00987096" w:rsidP="008450B0">
            <w:pPr>
              <w:spacing w:after="0" w:line="240" w:lineRule="auto"/>
              <w:rPr>
                <w:rFonts w:ascii="Times New Roman" w:eastAsiaTheme="minorEastAsia" w:hAnsi="Times New Roman" w:cs="Times New Roman"/>
                <w:sz w:val="20"/>
                <w:szCs w:val="20"/>
              </w:rPr>
            </w:pPr>
            <w:r>
              <w:rPr>
                <w:rFonts w:ascii="Times New Roman" w:eastAsiaTheme="minorEastAsia" w:hAnsi="Times New Roman" w:cs="Times New Roman"/>
                <w:sz w:val="20"/>
                <w:szCs w:val="20"/>
              </w:rPr>
              <w:t>09/30/2023</w:t>
            </w:r>
          </w:p>
        </w:tc>
        <w:tc>
          <w:tcPr>
            <w:tcW w:w="1172" w:type="dxa"/>
            <w:gridSpan w:val="6"/>
            <w:tcBorders>
              <w:top w:val="single" w:sz="4" w:space="0" w:color="000000"/>
              <w:left w:val="nil"/>
              <w:bottom w:val="nil"/>
              <w:right w:val="nil"/>
            </w:tcBorders>
            <w:shd w:val="clear" w:color="auto" w:fill="FFFFFF"/>
            <w:tcMar>
              <w:top w:w="50" w:type="dxa"/>
              <w:left w:w="50" w:type="dxa"/>
              <w:bottom w:w="50" w:type="dxa"/>
              <w:right w:w="50" w:type="dxa"/>
            </w:tcMar>
          </w:tcPr>
          <w:p w14:paraId="53B2A0A5" w14:textId="3A8E8E89" w:rsidR="008450B0" w:rsidRPr="00BC7BB5" w:rsidRDefault="0073531D" w:rsidP="0073531D">
            <w:pPr>
              <w:spacing w:after="0" w:line="240" w:lineRule="auto"/>
              <w:rPr>
                <w:rFonts w:ascii="Times New Roman" w:eastAsiaTheme="minorEastAsia" w:hAnsi="Times New Roman" w:cs="Times New Roman"/>
                <w:sz w:val="20"/>
                <w:szCs w:val="20"/>
              </w:rPr>
            </w:pPr>
            <w:r w:rsidRPr="00BC7BB5">
              <w:rPr>
                <w:rFonts w:ascii="Times New Roman" w:eastAsiaTheme="minorEastAsia" w:hAnsi="Times New Roman" w:cs="Times New Roman"/>
                <w:sz w:val="20"/>
                <w:szCs w:val="20"/>
              </w:rPr>
              <w:t xml:space="preserve">End </w:t>
            </w:r>
            <w:r w:rsidR="008450B0" w:rsidRPr="00BC7BB5">
              <w:rPr>
                <w:rFonts w:ascii="Times New Roman" w:eastAsiaTheme="minorEastAsia" w:hAnsi="Times New Roman" w:cs="Times New Roman"/>
                <w:sz w:val="20"/>
                <w:szCs w:val="20"/>
              </w:rPr>
              <w:t>Date:</w:t>
            </w:r>
          </w:p>
        </w:tc>
        <w:tc>
          <w:tcPr>
            <w:tcW w:w="3356" w:type="dxa"/>
            <w:gridSpan w:val="9"/>
            <w:tcBorders>
              <w:top w:val="single" w:sz="4" w:space="0" w:color="000000"/>
              <w:left w:val="nil"/>
              <w:bottom w:val="nil"/>
              <w:right w:val="nil"/>
            </w:tcBorders>
            <w:shd w:val="clear" w:color="auto" w:fill="FFFFFF"/>
            <w:tcMar>
              <w:top w:w="50" w:type="dxa"/>
              <w:left w:w="50" w:type="dxa"/>
              <w:bottom w:w="50" w:type="dxa"/>
              <w:right w:w="50" w:type="dxa"/>
            </w:tcMar>
          </w:tcPr>
          <w:p w14:paraId="53B2A0A6" w14:textId="25E301C9" w:rsidR="008450B0" w:rsidRPr="00BC7BB5" w:rsidRDefault="0073531D" w:rsidP="008450B0">
            <w:pPr>
              <w:spacing w:after="0" w:line="240" w:lineRule="auto"/>
              <w:rPr>
                <w:rFonts w:ascii="Times New Roman" w:eastAsiaTheme="minorEastAsia" w:hAnsi="Times New Roman" w:cs="Times New Roman"/>
                <w:sz w:val="20"/>
                <w:szCs w:val="20"/>
              </w:rPr>
            </w:pPr>
            <w:r w:rsidRPr="00BC7BB5">
              <w:rPr>
                <w:rFonts w:ascii="Times New Roman" w:eastAsiaTheme="minorEastAsia" w:hAnsi="Times New Roman" w:cs="Times New Roman"/>
                <w:sz w:val="20"/>
                <w:szCs w:val="20"/>
              </w:rPr>
              <w:t xml:space="preserve">  </w:t>
            </w:r>
            <w:r w:rsidR="006A516B" w:rsidRPr="00BC7BB5">
              <w:rPr>
                <w:rFonts w:ascii="Times New Roman" w:eastAsiaTheme="minorEastAsia" w:hAnsi="Times New Roman" w:cs="Times New Roman"/>
                <w:sz w:val="20"/>
                <w:szCs w:val="20"/>
              </w:rPr>
              <w:t>12</w:t>
            </w:r>
            <w:r w:rsidR="00646FB8" w:rsidRPr="00BC7BB5">
              <w:rPr>
                <w:rFonts w:ascii="Times New Roman" w:eastAsiaTheme="minorEastAsia" w:hAnsi="Times New Roman" w:cs="Times New Roman"/>
                <w:sz w:val="20"/>
                <w:szCs w:val="20"/>
              </w:rPr>
              <w:t>/3</w:t>
            </w:r>
            <w:r w:rsidR="006A516B" w:rsidRPr="00BC7BB5">
              <w:rPr>
                <w:rFonts w:ascii="Times New Roman" w:eastAsiaTheme="minorEastAsia" w:hAnsi="Times New Roman" w:cs="Times New Roman"/>
                <w:sz w:val="20"/>
                <w:szCs w:val="20"/>
              </w:rPr>
              <w:t>1</w:t>
            </w:r>
            <w:r w:rsidR="00646FB8" w:rsidRPr="00BC7BB5">
              <w:rPr>
                <w:rFonts w:ascii="Times New Roman" w:eastAsiaTheme="minorEastAsia" w:hAnsi="Times New Roman" w:cs="Times New Roman"/>
                <w:sz w:val="20"/>
                <w:szCs w:val="20"/>
              </w:rPr>
              <w:t>/</w:t>
            </w:r>
            <w:r w:rsidR="008E1818">
              <w:rPr>
                <w:rFonts w:ascii="Times New Roman" w:eastAsiaTheme="minorEastAsia" w:hAnsi="Times New Roman" w:cs="Times New Roman"/>
                <w:sz w:val="20"/>
                <w:szCs w:val="20"/>
              </w:rPr>
              <w:t>20</w:t>
            </w:r>
            <w:r w:rsidR="00646FB8" w:rsidRPr="00BC7BB5">
              <w:rPr>
                <w:rFonts w:ascii="Times New Roman" w:eastAsiaTheme="minorEastAsia" w:hAnsi="Times New Roman" w:cs="Times New Roman"/>
                <w:sz w:val="20"/>
                <w:szCs w:val="20"/>
              </w:rPr>
              <w:t>2</w:t>
            </w:r>
            <w:r w:rsidR="006A516B" w:rsidRPr="00BC7BB5">
              <w:rPr>
                <w:rFonts w:ascii="Times New Roman" w:eastAsiaTheme="minorEastAsia" w:hAnsi="Times New Roman" w:cs="Times New Roman"/>
                <w:sz w:val="20"/>
                <w:szCs w:val="20"/>
              </w:rPr>
              <w:t>2</w:t>
            </w:r>
          </w:p>
        </w:tc>
      </w:tr>
      <w:tr w:rsidR="008450B0" w:rsidRPr="00BC7BB5" w14:paraId="53B2A0A9" w14:textId="77777777" w:rsidTr="00FA3400">
        <w:trPr>
          <w:trHeight w:val="145"/>
        </w:trPr>
        <w:tc>
          <w:tcPr>
            <w:tcW w:w="9495" w:type="dxa"/>
            <w:gridSpan w:val="37"/>
            <w:tcBorders>
              <w:top w:val="single" w:sz="4" w:space="0" w:color="000000"/>
              <w:left w:val="nil"/>
              <w:bottom w:val="single" w:sz="4" w:space="0" w:color="000000"/>
              <w:right w:val="nil"/>
            </w:tcBorders>
            <w:shd w:val="clear" w:color="auto" w:fill="000000"/>
            <w:tcMar>
              <w:top w:w="50" w:type="dxa"/>
              <w:left w:w="50" w:type="dxa"/>
              <w:bottom w:w="50" w:type="dxa"/>
              <w:right w:w="50" w:type="dxa"/>
            </w:tcMar>
            <w:vAlign w:val="center"/>
          </w:tcPr>
          <w:p w14:paraId="53B2A0A8" w14:textId="6AE0AF12" w:rsidR="008450B0" w:rsidRPr="00BC7BB5" w:rsidRDefault="008450B0" w:rsidP="008450B0">
            <w:pPr>
              <w:rPr>
                <w:rFonts w:ascii="Times New Roman" w:eastAsiaTheme="minorEastAsia" w:hAnsi="Times New Roman" w:cs="Times New Roman"/>
                <w:sz w:val="2"/>
                <w:szCs w:val="2"/>
              </w:rPr>
            </w:pPr>
            <w:r w:rsidRPr="00BC7BB5">
              <w:rPr>
                <w:rFonts w:ascii="Times New Roman" w:eastAsiaTheme="minorEastAsia" w:hAnsi="Times New Roman" w:cs="Times New Roman"/>
                <w:sz w:val="2"/>
                <w:szCs w:val="2"/>
              </w:rPr>
              <w:t>.</w:t>
            </w:r>
          </w:p>
        </w:tc>
      </w:tr>
      <w:tr w:rsidR="008450B0" w:rsidRPr="00BC7BB5" w14:paraId="53B2A0AB" w14:textId="77777777" w:rsidTr="00FA3400">
        <w:trPr>
          <w:trHeight w:val="145"/>
        </w:trPr>
        <w:tc>
          <w:tcPr>
            <w:tcW w:w="9495" w:type="dxa"/>
            <w:gridSpan w:val="37"/>
            <w:tcBorders>
              <w:top w:val="single" w:sz="4" w:space="0" w:color="000000"/>
              <w:left w:val="nil"/>
              <w:bottom w:val="single" w:sz="4" w:space="0" w:color="000000"/>
              <w:right w:val="nil"/>
            </w:tcBorders>
            <w:shd w:val="clear" w:color="auto" w:fill="DCDCDC"/>
            <w:tcMar>
              <w:top w:w="50" w:type="dxa"/>
              <w:left w:w="50" w:type="dxa"/>
              <w:bottom w:w="50" w:type="dxa"/>
              <w:right w:w="50" w:type="dxa"/>
            </w:tcMar>
          </w:tcPr>
          <w:p w14:paraId="53B2A0AA" w14:textId="10D44E14" w:rsidR="008450B0" w:rsidRPr="00BC7BB5" w:rsidRDefault="008450B0" w:rsidP="008450B0">
            <w:pPr>
              <w:jc w:val="center"/>
              <w:rPr>
                <w:rFonts w:ascii="Times New Roman" w:eastAsiaTheme="minorEastAsia" w:hAnsi="Times New Roman" w:cs="Times New Roman"/>
              </w:rPr>
            </w:pPr>
            <w:r w:rsidRPr="00BC7BB5">
              <w:rPr>
                <w:rFonts w:ascii="Times New Roman" w:eastAsiaTheme="minorEastAsia" w:hAnsi="Times New Roman" w:cs="Times New Roman"/>
                <w:b/>
                <w:bCs/>
              </w:rPr>
              <w:t>Program Financing Data</w:t>
            </w:r>
          </w:p>
        </w:tc>
      </w:tr>
      <w:tr w:rsidR="008450B0" w:rsidRPr="00BC7BB5" w14:paraId="53B2A0B2" w14:textId="77777777" w:rsidTr="00FA3400">
        <w:trPr>
          <w:trHeight w:val="145"/>
        </w:trPr>
        <w:tc>
          <w:tcPr>
            <w:tcW w:w="589" w:type="dxa"/>
            <w:gridSpan w:val="2"/>
            <w:tcBorders>
              <w:top w:val="single" w:sz="4" w:space="0" w:color="000000"/>
              <w:left w:val="nil"/>
              <w:bottom w:val="nil"/>
              <w:right w:val="nil"/>
            </w:tcBorders>
            <w:shd w:val="clear" w:color="auto" w:fill="FFFFFF"/>
            <w:tcMar>
              <w:top w:w="50" w:type="dxa"/>
              <w:left w:w="50" w:type="dxa"/>
              <w:bottom w:w="50" w:type="dxa"/>
              <w:right w:w="50" w:type="dxa"/>
            </w:tcMar>
          </w:tcPr>
          <w:p w14:paraId="53B2A0AC" w14:textId="5C5574A0" w:rsidR="008450B0" w:rsidRPr="00BC7BB5" w:rsidRDefault="008450B0" w:rsidP="008450B0">
            <w:pPr>
              <w:rPr>
                <w:rFonts w:ascii="Times New Roman" w:eastAsiaTheme="minorEastAsia" w:hAnsi="Times New Roman" w:cs="Times New Roman"/>
                <w:sz w:val="20"/>
                <w:szCs w:val="20"/>
              </w:rPr>
            </w:pPr>
            <w:r w:rsidRPr="00BC7BB5">
              <w:rPr>
                <w:rFonts w:ascii="Times New Roman" w:eastAsiaTheme="minorEastAsia" w:hAnsi="Times New Roman" w:cs="Times New Roman"/>
                <w:sz w:val="20"/>
                <w:szCs w:val="20"/>
              </w:rPr>
              <w:t>[ X ]</w:t>
            </w:r>
          </w:p>
        </w:tc>
        <w:tc>
          <w:tcPr>
            <w:tcW w:w="797" w:type="dxa"/>
            <w:gridSpan w:val="2"/>
            <w:tcBorders>
              <w:top w:val="single" w:sz="4" w:space="0" w:color="000000"/>
              <w:left w:val="nil"/>
              <w:bottom w:val="nil"/>
              <w:right w:val="single" w:sz="4" w:space="0" w:color="000000"/>
            </w:tcBorders>
            <w:shd w:val="clear" w:color="auto" w:fill="FFFFFF"/>
            <w:tcMar>
              <w:top w:w="50" w:type="dxa"/>
              <w:left w:w="50" w:type="dxa"/>
              <w:bottom w:w="50" w:type="dxa"/>
              <w:right w:w="50" w:type="dxa"/>
            </w:tcMar>
          </w:tcPr>
          <w:p w14:paraId="53B2A0AD" w14:textId="77777777" w:rsidR="008450B0" w:rsidRPr="00BC7BB5" w:rsidRDefault="008450B0" w:rsidP="008450B0">
            <w:pPr>
              <w:rPr>
                <w:rFonts w:ascii="Times New Roman" w:eastAsiaTheme="minorEastAsia" w:hAnsi="Times New Roman" w:cs="Times New Roman"/>
                <w:sz w:val="20"/>
                <w:szCs w:val="20"/>
              </w:rPr>
            </w:pPr>
            <w:r w:rsidRPr="00BC7BB5">
              <w:rPr>
                <w:rFonts w:ascii="Times New Roman" w:eastAsiaTheme="minorEastAsia" w:hAnsi="Times New Roman" w:cs="Times New Roman"/>
                <w:sz w:val="20"/>
                <w:szCs w:val="20"/>
              </w:rPr>
              <w:t>Loan</w:t>
            </w:r>
          </w:p>
        </w:tc>
        <w:tc>
          <w:tcPr>
            <w:tcW w:w="406" w:type="dxa"/>
            <w:gridSpan w:val="2"/>
            <w:tcBorders>
              <w:top w:val="single" w:sz="4" w:space="0" w:color="000000"/>
              <w:left w:val="single" w:sz="4" w:space="0" w:color="000000"/>
              <w:bottom w:val="nil"/>
              <w:right w:val="nil"/>
            </w:tcBorders>
            <w:shd w:val="clear" w:color="auto" w:fill="FFFFFF"/>
            <w:tcMar>
              <w:top w:w="50" w:type="dxa"/>
              <w:left w:w="50" w:type="dxa"/>
              <w:bottom w:w="50" w:type="dxa"/>
              <w:right w:w="50" w:type="dxa"/>
            </w:tcMar>
          </w:tcPr>
          <w:p w14:paraId="53B2A0AE" w14:textId="77777777" w:rsidR="008450B0" w:rsidRPr="00BC7BB5" w:rsidRDefault="008450B0" w:rsidP="008450B0">
            <w:pPr>
              <w:rPr>
                <w:rFonts w:ascii="Times New Roman" w:eastAsiaTheme="minorEastAsia" w:hAnsi="Times New Roman" w:cs="Times New Roman"/>
                <w:sz w:val="20"/>
                <w:szCs w:val="20"/>
              </w:rPr>
            </w:pPr>
            <w:r w:rsidRPr="00BC7BB5">
              <w:rPr>
                <w:rFonts w:ascii="Times New Roman" w:eastAsiaTheme="minorEastAsia" w:hAnsi="Times New Roman" w:cs="Times New Roman"/>
                <w:sz w:val="20"/>
                <w:szCs w:val="20"/>
              </w:rPr>
              <w:t>[   ]</w:t>
            </w:r>
          </w:p>
        </w:tc>
        <w:tc>
          <w:tcPr>
            <w:tcW w:w="1350" w:type="dxa"/>
            <w:gridSpan w:val="7"/>
            <w:tcBorders>
              <w:top w:val="single" w:sz="4" w:space="0" w:color="000000"/>
              <w:left w:val="nil"/>
              <w:bottom w:val="nil"/>
              <w:right w:val="single" w:sz="4" w:space="0" w:color="000000"/>
            </w:tcBorders>
            <w:shd w:val="clear" w:color="auto" w:fill="FFFFFF"/>
            <w:tcMar>
              <w:top w:w="50" w:type="dxa"/>
              <w:left w:w="50" w:type="dxa"/>
              <w:bottom w:w="50" w:type="dxa"/>
              <w:right w:w="50" w:type="dxa"/>
            </w:tcMar>
          </w:tcPr>
          <w:p w14:paraId="53B2A0AF" w14:textId="77777777" w:rsidR="008450B0" w:rsidRPr="00BC7BB5" w:rsidRDefault="008450B0" w:rsidP="008450B0">
            <w:pPr>
              <w:rPr>
                <w:rFonts w:ascii="Times New Roman" w:eastAsiaTheme="minorEastAsia" w:hAnsi="Times New Roman" w:cs="Times New Roman"/>
                <w:sz w:val="20"/>
                <w:szCs w:val="20"/>
              </w:rPr>
            </w:pPr>
            <w:r w:rsidRPr="00BC7BB5">
              <w:rPr>
                <w:rFonts w:ascii="Times New Roman" w:eastAsiaTheme="minorEastAsia" w:hAnsi="Times New Roman" w:cs="Times New Roman"/>
                <w:sz w:val="20"/>
                <w:szCs w:val="20"/>
              </w:rPr>
              <w:t>Grant</w:t>
            </w:r>
          </w:p>
        </w:tc>
        <w:tc>
          <w:tcPr>
            <w:tcW w:w="872" w:type="dxa"/>
            <w:gridSpan w:val="5"/>
            <w:vMerge w:val="restart"/>
            <w:tcBorders>
              <w:top w:val="single" w:sz="4" w:space="0" w:color="000000"/>
              <w:left w:val="nil"/>
              <w:bottom w:val="single" w:sz="4" w:space="0" w:color="000000"/>
              <w:right w:val="nil"/>
            </w:tcBorders>
            <w:shd w:val="clear" w:color="auto" w:fill="FFFFFF"/>
            <w:tcMar>
              <w:top w:w="50" w:type="dxa"/>
              <w:left w:w="50" w:type="dxa"/>
              <w:bottom w:w="50" w:type="dxa"/>
              <w:right w:w="50" w:type="dxa"/>
            </w:tcMar>
          </w:tcPr>
          <w:p w14:paraId="53B2A0B0" w14:textId="028BD527" w:rsidR="008450B0" w:rsidRPr="00BC7BB5" w:rsidRDefault="008450B0" w:rsidP="008450B0">
            <w:pPr>
              <w:rPr>
                <w:rFonts w:ascii="Times New Roman" w:eastAsiaTheme="minorEastAsia" w:hAnsi="Times New Roman" w:cs="Times New Roman"/>
                <w:sz w:val="20"/>
                <w:szCs w:val="20"/>
              </w:rPr>
            </w:pPr>
            <w:r w:rsidRPr="00BC7BB5">
              <w:rPr>
                <w:rFonts w:ascii="Times New Roman" w:eastAsiaTheme="minorEastAsia" w:hAnsi="Times New Roman" w:cs="Times New Roman"/>
                <w:sz w:val="20"/>
                <w:szCs w:val="20"/>
              </w:rPr>
              <w:t xml:space="preserve">[   </w:t>
            </w:r>
          </w:p>
        </w:tc>
        <w:tc>
          <w:tcPr>
            <w:tcW w:w="5481" w:type="dxa"/>
            <w:gridSpan w:val="19"/>
            <w:vMerge w:val="restart"/>
            <w:tcBorders>
              <w:top w:val="single" w:sz="4" w:space="0" w:color="000000"/>
              <w:left w:val="nil"/>
              <w:bottom w:val="single" w:sz="4" w:space="0" w:color="000000"/>
              <w:right w:val="nil"/>
            </w:tcBorders>
            <w:shd w:val="clear" w:color="auto" w:fill="FFFFFF"/>
            <w:tcMar>
              <w:top w:w="50" w:type="dxa"/>
              <w:left w:w="50" w:type="dxa"/>
              <w:bottom w:w="50" w:type="dxa"/>
              <w:right w:w="50" w:type="dxa"/>
            </w:tcMar>
          </w:tcPr>
          <w:p w14:paraId="53B2A0B1" w14:textId="06E06213" w:rsidR="008450B0" w:rsidRPr="00BC7BB5" w:rsidRDefault="00987096" w:rsidP="008450B0">
            <w:pPr>
              <w:rPr>
                <w:rFonts w:ascii="Times New Roman" w:eastAsiaTheme="minorEastAsia" w:hAnsi="Times New Roman" w:cs="Times New Roman"/>
                <w:sz w:val="20"/>
                <w:szCs w:val="20"/>
              </w:rPr>
            </w:pPr>
            <w:r>
              <w:rPr>
                <w:rFonts w:ascii="Times New Roman" w:eastAsiaTheme="minorEastAsia" w:hAnsi="Times New Roman" w:cs="Times New Roman"/>
                <w:sz w:val="20"/>
                <w:szCs w:val="20"/>
              </w:rPr>
              <w:t xml:space="preserve">  ] </w:t>
            </w:r>
            <w:r w:rsidR="008450B0" w:rsidRPr="00BC7BB5">
              <w:rPr>
                <w:rFonts w:ascii="Times New Roman" w:eastAsiaTheme="minorEastAsia" w:hAnsi="Times New Roman" w:cs="Times New Roman"/>
                <w:sz w:val="20"/>
                <w:szCs w:val="20"/>
              </w:rPr>
              <w:t>Other</w:t>
            </w:r>
          </w:p>
        </w:tc>
      </w:tr>
      <w:tr w:rsidR="008450B0" w:rsidRPr="00BC7BB5" w14:paraId="53B2A0B9" w14:textId="77777777" w:rsidTr="00FA3400">
        <w:trPr>
          <w:trHeight w:val="145"/>
        </w:trPr>
        <w:tc>
          <w:tcPr>
            <w:tcW w:w="589" w:type="dxa"/>
            <w:gridSpan w:val="2"/>
            <w:tcBorders>
              <w:top w:val="nil"/>
              <w:left w:val="nil"/>
              <w:bottom w:val="single" w:sz="4" w:space="0" w:color="000000"/>
              <w:right w:val="nil"/>
            </w:tcBorders>
            <w:shd w:val="clear" w:color="auto" w:fill="FFFFFF"/>
            <w:tcMar>
              <w:top w:w="50" w:type="dxa"/>
              <w:left w:w="50" w:type="dxa"/>
              <w:bottom w:w="50" w:type="dxa"/>
              <w:right w:w="50" w:type="dxa"/>
            </w:tcMar>
          </w:tcPr>
          <w:p w14:paraId="53B2A0B3" w14:textId="2D5922A7" w:rsidR="008450B0" w:rsidRPr="00BC7BB5" w:rsidRDefault="008450B0" w:rsidP="008450B0">
            <w:pPr>
              <w:rPr>
                <w:rFonts w:ascii="Times New Roman" w:eastAsiaTheme="minorEastAsia" w:hAnsi="Times New Roman" w:cs="Times New Roman"/>
                <w:sz w:val="20"/>
                <w:szCs w:val="20"/>
              </w:rPr>
            </w:pPr>
            <w:r w:rsidRPr="00BC7BB5">
              <w:rPr>
                <w:rFonts w:ascii="Times New Roman" w:eastAsiaTheme="minorEastAsia" w:hAnsi="Times New Roman" w:cs="Times New Roman"/>
                <w:sz w:val="20"/>
                <w:szCs w:val="20"/>
              </w:rPr>
              <w:t>[  ]</w:t>
            </w:r>
          </w:p>
        </w:tc>
        <w:tc>
          <w:tcPr>
            <w:tcW w:w="797" w:type="dxa"/>
            <w:gridSpan w:val="2"/>
            <w:tcBorders>
              <w:top w:val="nil"/>
              <w:left w:val="nil"/>
              <w:bottom w:val="single" w:sz="4" w:space="0" w:color="000000"/>
              <w:right w:val="single" w:sz="4" w:space="0" w:color="000000"/>
            </w:tcBorders>
            <w:shd w:val="clear" w:color="auto" w:fill="FFFFFF"/>
            <w:tcMar>
              <w:top w:w="50" w:type="dxa"/>
              <w:left w:w="50" w:type="dxa"/>
              <w:bottom w:w="50" w:type="dxa"/>
              <w:right w:w="50" w:type="dxa"/>
            </w:tcMar>
          </w:tcPr>
          <w:p w14:paraId="53B2A0B4" w14:textId="77777777" w:rsidR="008450B0" w:rsidRPr="00BC7BB5" w:rsidRDefault="008450B0" w:rsidP="008450B0">
            <w:pPr>
              <w:rPr>
                <w:rFonts w:ascii="Times New Roman" w:eastAsiaTheme="minorEastAsia" w:hAnsi="Times New Roman" w:cs="Times New Roman"/>
                <w:sz w:val="20"/>
                <w:szCs w:val="20"/>
              </w:rPr>
            </w:pPr>
            <w:r w:rsidRPr="00BC7BB5">
              <w:rPr>
                <w:rFonts w:ascii="Times New Roman" w:eastAsiaTheme="minorEastAsia" w:hAnsi="Times New Roman" w:cs="Times New Roman"/>
                <w:sz w:val="20"/>
                <w:szCs w:val="20"/>
              </w:rPr>
              <w:t>Credit</w:t>
            </w:r>
          </w:p>
        </w:tc>
        <w:tc>
          <w:tcPr>
            <w:tcW w:w="406" w:type="dxa"/>
            <w:gridSpan w:val="2"/>
            <w:tcBorders>
              <w:top w:val="nil"/>
              <w:left w:val="single" w:sz="4" w:space="0" w:color="000000"/>
              <w:bottom w:val="single" w:sz="4" w:space="0" w:color="000000"/>
              <w:right w:val="nil"/>
            </w:tcBorders>
            <w:shd w:val="clear" w:color="auto" w:fill="FFFFFF"/>
            <w:tcMar>
              <w:top w:w="50" w:type="dxa"/>
              <w:left w:w="50" w:type="dxa"/>
              <w:bottom w:w="50" w:type="dxa"/>
              <w:right w:w="50" w:type="dxa"/>
            </w:tcMar>
          </w:tcPr>
          <w:p w14:paraId="53B2A0B5" w14:textId="77777777" w:rsidR="008450B0" w:rsidRPr="00BC7BB5" w:rsidRDefault="008450B0" w:rsidP="008450B0">
            <w:pPr>
              <w:rPr>
                <w:rFonts w:ascii="Times New Roman" w:eastAsiaTheme="minorEastAsia" w:hAnsi="Times New Roman" w:cs="Times New Roman"/>
                <w:sz w:val="20"/>
                <w:szCs w:val="20"/>
              </w:rPr>
            </w:pPr>
          </w:p>
        </w:tc>
        <w:tc>
          <w:tcPr>
            <w:tcW w:w="1350" w:type="dxa"/>
            <w:gridSpan w:val="7"/>
            <w:tcBorders>
              <w:top w:val="nil"/>
              <w:left w:val="nil"/>
              <w:bottom w:val="single" w:sz="4" w:space="0" w:color="000000"/>
              <w:right w:val="single" w:sz="4" w:space="0" w:color="000000"/>
            </w:tcBorders>
            <w:shd w:val="clear" w:color="auto" w:fill="FFFFFF"/>
            <w:tcMar>
              <w:top w:w="50" w:type="dxa"/>
              <w:left w:w="50" w:type="dxa"/>
              <w:bottom w:w="50" w:type="dxa"/>
              <w:right w:w="50" w:type="dxa"/>
            </w:tcMar>
          </w:tcPr>
          <w:p w14:paraId="53B2A0B6" w14:textId="6BAED61E" w:rsidR="008450B0" w:rsidRPr="00BC7BB5" w:rsidRDefault="008450B0" w:rsidP="008450B0">
            <w:pPr>
              <w:rPr>
                <w:rFonts w:ascii="Times New Roman" w:eastAsiaTheme="minorEastAsia" w:hAnsi="Times New Roman" w:cs="Times New Roman"/>
                <w:sz w:val="20"/>
                <w:szCs w:val="20"/>
              </w:rPr>
            </w:pPr>
          </w:p>
        </w:tc>
        <w:tc>
          <w:tcPr>
            <w:tcW w:w="872" w:type="dxa"/>
            <w:gridSpan w:val="5"/>
            <w:vMerge/>
            <w:tcBorders>
              <w:top w:val="single" w:sz="4" w:space="0" w:color="000000"/>
              <w:left w:val="nil"/>
              <w:bottom w:val="single" w:sz="4" w:space="0" w:color="000000"/>
              <w:right w:val="nil"/>
            </w:tcBorders>
            <w:shd w:val="clear" w:color="auto" w:fill="FFFFFF"/>
            <w:tcMar>
              <w:top w:w="50" w:type="dxa"/>
              <w:left w:w="50" w:type="dxa"/>
              <w:bottom w:w="50" w:type="dxa"/>
              <w:right w:w="50" w:type="dxa"/>
            </w:tcMar>
          </w:tcPr>
          <w:p w14:paraId="53B2A0B7" w14:textId="77777777" w:rsidR="008450B0" w:rsidRPr="00BC7BB5" w:rsidRDefault="008450B0" w:rsidP="008450B0">
            <w:pPr>
              <w:rPr>
                <w:rFonts w:ascii="Times New Roman" w:eastAsiaTheme="minorEastAsia" w:hAnsi="Times New Roman" w:cs="Times New Roman"/>
                <w:sz w:val="20"/>
                <w:szCs w:val="20"/>
              </w:rPr>
            </w:pPr>
          </w:p>
        </w:tc>
        <w:tc>
          <w:tcPr>
            <w:tcW w:w="5481" w:type="dxa"/>
            <w:gridSpan w:val="19"/>
            <w:vMerge/>
            <w:tcBorders>
              <w:top w:val="single" w:sz="4" w:space="0" w:color="000000"/>
              <w:left w:val="nil"/>
              <w:bottom w:val="single" w:sz="4" w:space="0" w:color="000000"/>
              <w:right w:val="nil"/>
            </w:tcBorders>
            <w:shd w:val="clear" w:color="auto" w:fill="FFFFFF"/>
            <w:tcMar>
              <w:top w:w="50" w:type="dxa"/>
              <w:left w:w="50" w:type="dxa"/>
              <w:bottom w:w="50" w:type="dxa"/>
              <w:right w:w="50" w:type="dxa"/>
            </w:tcMar>
          </w:tcPr>
          <w:p w14:paraId="53B2A0B8" w14:textId="77777777" w:rsidR="008450B0" w:rsidRPr="00BC7BB5" w:rsidRDefault="008450B0" w:rsidP="008450B0">
            <w:pPr>
              <w:rPr>
                <w:rFonts w:ascii="Times New Roman" w:eastAsiaTheme="minorEastAsia" w:hAnsi="Times New Roman" w:cs="Times New Roman"/>
                <w:sz w:val="20"/>
                <w:szCs w:val="20"/>
              </w:rPr>
            </w:pPr>
          </w:p>
        </w:tc>
      </w:tr>
      <w:tr w:rsidR="008450B0" w:rsidRPr="00BC7BB5" w14:paraId="53B2A0BB" w14:textId="77777777" w:rsidTr="00FA3400">
        <w:trPr>
          <w:trHeight w:val="145"/>
        </w:trPr>
        <w:tc>
          <w:tcPr>
            <w:tcW w:w="9495" w:type="dxa"/>
            <w:gridSpan w:val="37"/>
            <w:tcBorders>
              <w:top w:val="nil"/>
              <w:left w:val="nil"/>
              <w:bottom w:val="nil"/>
              <w:right w:val="nil"/>
            </w:tcBorders>
            <w:shd w:val="clear" w:color="auto" w:fill="FFFFFF"/>
            <w:tcMar>
              <w:top w:w="50" w:type="dxa"/>
              <w:left w:w="50" w:type="dxa"/>
              <w:bottom w:w="50" w:type="dxa"/>
              <w:right w:w="50" w:type="dxa"/>
            </w:tcMar>
          </w:tcPr>
          <w:p w14:paraId="53B2A0BA" w14:textId="111EF522" w:rsidR="008450B0" w:rsidRPr="00BC7BB5" w:rsidRDefault="008450B0" w:rsidP="008450B0">
            <w:pPr>
              <w:rPr>
                <w:rFonts w:ascii="Times New Roman" w:eastAsiaTheme="minorEastAsia" w:hAnsi="Times New Roman" w:cs="Times New Roman"/>
                <w:sz w:val="20"/>
                <w:szCs w:val="20"/>
              </w:rPr>
            </w:pPr>
            <w:r w:rsidRPr="00BC7BB5">
              <w:rPr>
                <w:rFonts w:ascii="Times New Roman" w:eastAsiaTheme="minorEastAsia" w:hAnsi="Times New Roman" w:cs="Times New Roman"/>
                <w:b/>
                <w:bCs/>
                <w:sz w:val="20"/>
                <w:szCs w:val="20"/>
              </w:rPr>
              <w:lastRenderedPageBreak/>
              <w:t>For Loans/Credits/Others (US$M):</w:t>
            </w:r>
          </w:p>
        </w:tc>
      </w:tr>
      <w:tr w:rsidR="008450B0" w:rsidRPr="00BC7BB5" w14:paraId="53B2A0C2" w14:textId="77777777" w:rsidTr="00FA3400">
        <w:trPr>
          <w:trHeight w:val="562"/>
        </w:trPr>
        <w:tc>
          <w:tcPr>
            <w:tcW w:w="2147" w:type="dxa"/>
            <w:gridSpan w:val="9"/>
            <w:tcBorders>
              <w:top w:val="nil"/>
              <w:left w:val="nil"/>
              <w:bottom w:val="nil"/>
              <w:right w:val="nil"/>
            </w:tcBorders>
            <w:shd w:val="clear" w:color="auto" w:fill="FFFFFF"/>
            <w:tcMar>
              <w:top w:w="50" w:type="dxa"/>
              <w:left w:w="50" w:type="dxa"/>
              <w:bottom w:w="50" w:type="dxa"/>
              <w:right w:w="50" w:type="dxa"/>
            </w:tcMar>
          </w:tcPr>
          <w:p w14:paraId="53B2A0BC" w14:textId="0DF71F42" w:rsidR="008450B0" w:rsidRPr="00BC7BB5" w:rsidRDefault="003A6D5E" w:rsidP="008450B0">
            <w:pPr>
              <w:rPr>
                <w:rFonts w:ascii="Times New Roman" w:eastAsiaTheme="minorEastAsia" w:hAnsi="Times New Roman" w:cs="Times New Roman"/>
                <w:sz w:val="20"/>
                <w:szCs w:val="20"/>
                <w:highlight w:val="yellow"/>
              </w:rPr>
            </w:pPr>
            <w:r>
              <w:rPr>
                <w:rFonts w:ascii="Times New Roman" w:eastAsiaTheme="minorEastAsia" w:hAnsi="Times New Roman" w:cs="Times New Roman"/>
                <w:sz w:val="20"/>
                <w:szCs w:val="20"/>
              </w:rPr>
              <w:t>Total Program Cost</w:t>
            </w:r>
            <w:r w:rsidR="008450B0" w:rsidRPr="00BC7BB5">
              <w:rPr>
                <w:rFonts w:ascii="Times New Roman" w:eastAsiaTheme="minorEastAsia" w:hAnsi="Times New Roman" w:cs="Times New Roman"/>
                <w:sz w:val="20"/>
                <w:szCs w:val="20"/>
              </w:rPr>
              <w:t>:</w:t>
            </w:r>
            <w:r w:rsidR="002850CA" w:rsidRPr="00BC7BB5">
              <w:rPr>
                <w:rFonts w:ascii="Times New Roman" w:eastAsiaTheme="minorEastAsia" w:hAnsi="Times New Roman" w:cs="Times New Roman"/>
                <w:sz w:val="20"/>
                <w:szCs w:val="20"/>
              </w:rPr>
              <w:t xml:space="preserve"> </w:t>
            </w:r>
          </w:p>
        </w:tc>
        <w:tc>
          <w:tcPr>
            <w:tcW w:w="1530" w:type="dxa"/>
            <w:gridSpan w:val="7"/>
            <w:tcBorders>
              <w:top w:val="nil"/>
              <w:left w:val="nil"/>
              <w:bottom w:val="nil"/>
              <w:right w:val="nil"/>
            </w:tcBorders>
            <w:shd w:val="clear" w:color="auto" w:fill="FFFFFF"/>
            <w:tcMar>
              <w:top w:w="50" w:type="dxa"/>
              <w:left w:w="50" w:type="dxa"/>
              <w:bottom w:w="50" w:type="dxa"/>
              <w:right w:w="50" w:type="dxa"/>
            </w:tcMar>
          </w:tcPr>
          <w:p w14:paraId="53B2A0BD" w14:textId="512B0F9F" w:rsidR="008450B0" w:rsidRPr="00BC7BB5" w:rsidRDefault="004D5C0B" w:rsidP="008450B0">
            <w:pPr>
              <w:jc w:val="right"/>
              <w:rPr>
                <w:rFonts w:ascii="Times New Roman" w:eastAsiaTheme="minorEastAsia" w:hAnsi="Times New Roman" w:cs="Times New Roman"/>
                <w:sz w:val="20"/>
                <w:szCs w:val="20"/>
              </w:rPr>
            </w:pPr>
            <w:r>
              <w:rPr>
                <w:rFonts w:ascii="Times New Roman" w:eastAsiaTheme="minorEastAsia" w:hAnsi="Times New Roman" w:cs="Times New Roman"/>
                <w:sz w:val="20"/>
                <w:szCs w:val="20"/>
              </w:rPr>
              <w:t>US$</w:t>
            </w:r>
            <w:r w:rsidRPr="001555C1">
              <w:rPr>
                <w:rFonts w:ascii="Times New Roman" w:eastAsiaTheme="minorEastAsia" w:hAnsi="Times New Roman" w:cs="Times New Roman"/>
                <w:sz w:val="20"/>
                <w:szCs w:val="20"/>
              </w:rPr>
              <w:t>45</w:t>
            </w:r>
            <w:r w:rsidR="00987096">
              <w:rPr>
                <w:rFonts w:ascii="Times New Roman" w:eastAsiaTheme="minorEastAsia" w:hAnsi="Times New Roman" w:cs="Times New Roman"/>
                <w:sz w:val="20"/>
                <w:szCs w:val="20"/>
              </w:rPr>
              <w:t>0</w:t>
            </w:r>
            <w:r w:rsidR="004F339B" w:rsidRPr="00BC7BB5">
              <w:rPr>
                <w:rFonts w:ascii="Times New Roman" w:eastAsiaTheme="minorEastAsia" w:hAnsi="Times New Roman" w:cs="Times New Roman"/>
                <w:sz w:val="20"/>
                <w:szCs w:val="20"/>
              </w:rPr>
              <w:t xml:space="preserve"> </w:t>
            </w:r>
            <w:r w:rsidR="008C1FE3">
              <w:rPr>
                <w:rFonts w:ascii="Times New Roman" w:eastAsiaTheme="minorEastAsia" w:hAnsi="Times New Roman" w:cs="Times New Roman"/>
                <w:sz w:val="20"/>
                <w:szCs w:val="20"/>
              </w:rPr>
              <w:t>m</w:t>
            </w:r>
            <w:r w:rsidR="00770F27" w:rsidRPr="00BC7BB5">
              <w:rPr>
                <w:rFonts w:ascii="Times New Roman" w:eastAsiaTheme="minorEastAsia" w:hAnsi="Times New Roman" w:cs="Times New Roman"/>
                <w:sz w:val="20"/>
                <w:szCs w:val="20"/>
              </w:rPr>
              <w:t>illion</w:t>
            </w:r>
          </w:p>
        </w:tc>
        <w:tc>
          <w:tcPr>
            <w:tcW w:w="860" w:type="dxa"/>
            <w:gridSpan w:val="4"/>
            <w:tcBorders>
              <w:top w:val="nil"/>
              <w:left w:val="nil"/>
              <w:bottom w:val="nil"/>
              <w:right w:val="nil"/>
            </w:tcBorders>
            <w:shd w:val="clear" w:color="auto" w:fill="FFFFFF"/>
            <w:tcMar>
              <w:top w:w="50" w:type="dxa"/>
              <w:left w:w="50" w:type="dxa"/>
              <w:bottom w:w="50" w:type="dxa"/>
              <w:right w:w="50" w:type="dxa"/>
            </w:tcMar>
            <w:vAlign w:val="center"/>
          </w:tcPr>
          <w:p w14:paraId="53B2A0BE" w14:textId="77777777" w:rsidR="008450B0" w:rsidRPr="00BC7BB5" w:rsidRDefault="008450B0" w:rsidP="008450B0">
            <w:pPr>
              <w:rPr>
                <w:rFonts w:ascii="Times New Roman" w:eastAsiaTheme="minorEastAsia" w:hAnsi="Times New Roman" w:cs="Times New Roman"/>
                <w:sz w:val="20"/>
                <w:szCs w:val="20"/>
              </w:rPr>
            </w:pPr>
          </w:p>
        </w:tc>
        <w:tc>
          <w:tcPr>
            <w:tcW w:w="2205" w:type="dxa"/>
            <w:gridSpan w:val="10"/>
            <w:tcBorders>
              <w:top w:val="nil"/>
              <w:left w:val="nil"/>
              <w:bottom w:val="nil"/>
              <w:right w:val="nil"/>
            </w:tcBorders>
            <w:shd w:val="clear" w:color="auto" w:fill="FFFFFF"/>
            <w:tcMar>
              <w:top w:w="50" w:type="dxa"/>
              <w:left w:w="50" w:type="dxa"/>
              <w:bottom w:w="50" w:type="dxa"/>
              <w:right w:w="50" w:type="dxa"/>
            </w:tcMar>
          </w:tcPr>
          <w:p w14:paraId="53B2A0BF" w14:textId="40551569" w:rsidR="008450B0" w:rsidRPr="00BC7BB5" w:rsidRDefault="008450B0" w:rsidP="008450B0">
            <w:pPr>
              <w:rPr>
                <w:rFonts w:ascii="Times New Roman" w:eastAsiaTheme="minorEastAsia" w:hAnsi="Times New Roman" w:cs="Times New Roman"/>
                <w:sz w:val="20"/>
                <w:szCs w:val="20"/>
              </w:rPr>
            </w:pPr>
            <w:r w:rsidRPr="00BC7BB5">
              <w:rPr>
                <w:rFonts w:ascii="Times New Roman" w:eastAsiaTheme="minorEastAsia" w:hAnsi="Times New Roman" w:cs="Times New Roman"/>
                <w:sz w:val="20"/>
                <w:szCs w:val="20"/>
              </w:rPr>
              <w:t xml:space="preserve">Total Bank </w:t>
            </w:r>
            <w:r w:rsidR="00987096">
              <w:rPr>
                <w:rFonts w:ascii="Times New Roman" w:eastAsiaTheme="minorEastAsia" w:hAnsi="Times New Roman" w:cs="Times New Roman"/>
                <w:sz w:val="20"/>
                <w:szCs w:val="20"/>
              </w:rPr>
              <w:t>Fi</w:t>
            </w:r>
            <w:r w:rsidRPr="00BC7BB5">
              <w:rPr>
                <w:rFonts w:ascii="Times New Roman" w:eastAsiaTheme="minorEastAsia" w:hAnsi="Times New Roman" w:cs="Times New Roman"/>
                <w:sz w:val="20"/>
                <w:szCs w:val="20"/>
              </w:rPr>
              <w:t>nancing:</w:t>
            </w:r>
            <w:r w:rsidR="003A6D5E">
              <w:rPr>
                <w:rFonts w:ascii="Times New Roman" w:eastAsiaTheme="minorEastAsia" w:hAnsi="Times New Roman" w:cs="Times New Roman"/>
                <w:sz w:val="20"/>
                <w:szCs w:val="20"/>
              </w:rPr>
              <w:t xml:space="preserve"> </w:t>
            </w:r>
          </w:p>
        </w:tc>
        <w:tc>
          <w:tcPr>
            <w:tcW w:w="1566" w:type="dxa"/>
            <w:gridSpan w:val="3"/>
            <w:tcBorders>
              <w:top w:val="nil"/>
              <w:left w:val="nil"/>
              <w:bottom w:val="nil"/>
              <w:right w:val="nil"/>
            </w:tcBorders>
            <w:shd w:val="clear" w:color="auto" w:fill="FFFFFF"/>
            <w:tcMar>
              <w:top w:w="50" w:type="dxa"/>
              <w:left w:w="50" w:type="dxa"/>
              <w:bottom w:w="50" w:type="dxa"/>
              <w:right w:w="50" w:type="dxa"/>
            </w:tcMar>
          </w:tcPr>
          <w:p w14:paraId="31117FBE" w14:textId="7C0321DF" w:rsidR="008450B0" w:rsidRPr="00BC7BB5" w:rsidRDefault="005D7957" w:rsidP="004F339B">
            <w:pPr>
              <w:rPr>
                <w:rFonts w:ascii="Times New Roman" w:eastAsiaTheme="minorEastAsia" w:hAnsi="Times New Roman" w:cs="Times New Roman"/>
                <w:sz w:val="20"/>
                <w:szCs w:val="20"/>
              </w:rPr>
            </w:pPr>
            <w:r w:rsidRPr="00BC7BB5">
              <w:rPr>
                <w:rFonts w:ascii="Times New Roman" w:eastAsiaTheme="minorEastAsia" w:hAnsi="Times New Roman" w:cs="Times New Roman"/>
                <w:sz w:val="20"/>
                <w:szCs w:val="20"/>
              </w:rPr>
              <w:t>US$200</w:t>
            </w:r>
            <w:r w:rsidR="008450B0" w:rsidRPr="00BC7BB5">
              <w:rPr>
                <w:rFonts w:ascii="Times New Roman" w:eastAsiaTheme="minorEastAsia" w:hAnsi="Times New Roman" w:cs="Times New Roman"/>
                <w:sz w:val="20"/>
                <w:szCs w:val="20"/>
              </w:rPr>
              <w:t xml:space="preserve"> </w:t>
            </w:r>
            <w:r w:rsidR="008C1FE3">
              <w:rPr>
                <w:rFonts w:ascii="Times New Roman" w:eastAsiaTheme="minorEastAsia" w:hAnsi="Times New Roman" w:cs="Times New Roman"/>
                <w:sz w:val="20"/>
                <w:szCs w:val="20"/>
              </w:rPr>
              <w:t>m</w:t>
            </w:r>
            <w:r w:rsidR="008450B0" w:rsidRPr="00BC7BB5">
              <w:rPr>
                <w:rFonts w:ascii="Times New Roman" w:eastAsiaTheme="minorEastAsia" w:hAnsi="Times New Roman" w:cs="Times New Roman"/>
                <w:sz w:val="20"/>
                <w:szCs w:val="20"/>
              </w:rPr>
              <w:t>illion</w:t>
            </w:r>
          </w:p>
          <w:p w14:paraId="53B2A0C0" w14:textId="10DD7469" w:rsidR="004F339B" w:rsidRPr="00BC7BB5" w:rsidRDefault="00987096" w:rsidP="00987096">
            <w:pPr>
              <w:tabs>
                <w:tab w:val="left" w:pos="1440"/>
              </w:tabs>
              <w:rPr>
                <w:rFonts w:ascii="Times New Roman" w:eastAsiaTheme="minorEastAsia" w:hAnsi="Times New Roman" w:cs="Times New Roman"/>
                <w:sz w:val="20"/>
                <w:szCs w:val="20"/>
              </w:rPr>
            </w:pPr>
            <w:r>
              <w:rPr>
                <w:rFonts w:ascii="Times New Roman" w:eastAsiaTheme="minorEastAsia" w:hAnsi="Times New Roman" w:cs="Times New Roman"/>
                <w:sz w:val="20"/>
                <w:szCs w:val="20"/>
              </w:rPr>
              <w:tab/>
            </w:r>
          </w:p>
        </w:tc>
        <w:tc>
          <w:tcPr>
            <w:tcW w:w="1187" w:type="dxa"/>
            <w:gridSpan w:val="4"/>
            <w:tcBorders>
              <w:top w:val="nil"/>
              <w:left w:val="nil"/>
              <w:bottom w:val="nil"/>
              <w:right w:val="nil"/>
            </w:tcBorders>
            <w:shd w:val="clear" w:color="auto" w:fill="FFFFFF"/>
            <w:tcMar>
              <w:top w:w="50" w:type="dxa"/>
              <w:left w:w="50" w:type="dxa"/>
              <w:bottom w:w="50" w:type="dxa"/>
              <w:right w:w="50" w:type="dxa"/>
            </w:tcMar>
            <w:vAlign w:val="center"/>
          </w:tcPr>
          <w:p w14:paraId="53B2A0C1" w14:textId="5F1C0107" w:rsidR="008450B0" w:rsidRPr="00BC7BB5" w:rsidRDefault="008450B0" w:rsidP="008450B0">
            <w:pPr>
              <w:rPr>
                <w:rFonts w:ascii="Times New Roman" w:eastAsiaTheme="minorEastAsia" w:hAnsi="Times New Roman" w:cs="Times New Roman"/>
                <w:sz w:val="20"/>
                <w:szCs w:val="20"/>
              </w:rPr>
            </w:pPr>
          </w:p>
        </w:tc>
      </w:tr>
      <w:tr w:rsidR="008450B0" w:rsidRPr="00BC7BB5" w14:paraId="53B2A0C9" w14:textId="77777777" w:rsidTr="00FA3400">
        <w:trPr>
          <w:trHeight w:val="157"/>
        </w:trPr>
        <w:tc>
          <w:tcPr>
            <w:tcW w:w="1792" w:type="dxa"/>
            <w:gridSpan w:val="6"/>
            <w:tcBorders>
              <w:top w:val="single" w:sz="4" w:space="0" w:color="000000"/>
              <w:left w:val="nil"/>
              <w:bottom w:val="nil"/>
              <w:right w:val="nil"/>
            </w:tcBorders>
            <w:shd w:val="clear" w:color="auto" w:fill="FFFFFF"/>
            <w:tcMar>
              <w:top w:w="50" w:type="dxa"/>
              <w:left w:w="50" w:type="dxa"/>
              <w:bottom w:w="50" w:type="dxa"/>
              <w:right w:w="50" w:type="dxa"/>
            </w:tcMar>
          </w:tcPr>
          <w:p w14:paraId="53B2A0C3" w14:textId="5E34F4CE" w:rsidR="008450B0" w:rsidRPr="00BC7BB5" w:rsidRDefault="00F20464" w:rsidP="008450B0">
            <w:pPr>
              <w:rPr>
                <w:rFonts w:ascii="Times New Roman" w:eastAsiaTheme="minorEastAsia" w:hAnsi="Times New Roman" w:cs="Times New Roman"/>
                <w:sz w:val="20"/>
                <w:szCs w:val="20"/>
              </w:rPr>
            </w:pPr>
            <w:r>
              <w:rPr>
                <w:rFonts w:ascii="Times New Roman" w:eastAsiaTheme="minorEastAsia" w:hAnsi="Times New Roman" w:cs="Times New Roman"/>
                <w:sz w:val="20"/>
                <w:szCs w:val="20"/>
              </w:rPr>
              <w:t>O</w:t>
            </w:r>
            <w:r w:rsidR="008C1FE3">
              <w:rPr>
                <w:rFonts w:ascii="Times New Roman" w:eastAsiaTheme="minorEastAsia" w:hAnsi="Times New Roman" w:cs="Times New Roman"/>
                <w:sz w:val="20"/>
                <w:szCs w:val="20"/>
              </w:rPr>
              <w:t>ther F</w:t>
            </w:r>
            <w:r w:rsidR="008C1FE3" w:rsidRPr="00BC7BB5">
              <w:rPr>
                <w:rFonts w:ascii="Times New Roman" w:eastAsiaTheme="minorEastAsia" w:hAnsi="Times New Roman" w:cs="Times New Roman"/>
                <w:sz w:val="20"/>
                <w:szCs w:val="20"/>
              </w:rPr>
              <w:t>inancing</w:t>
            </w:r>
            <w:r w:rsidR="008450B0" w:rsidRPr="00BC7BB5">
              <w:rPr>
                <w:rFonts w:ascii="Times New Roman" w:eastAsiaTheme="minorEastAsia" w:hAnsi="Times New Roman" w:cs="Times New Roman"/>
                <w:sz w:val="20"/>
                <w:szCs w:val="20"/>
              </w:rPr>
              <w:t>:</w:t>
            </w:r>
          </w:p>
        </w:tc>
        <w:tc>
          <w:tcPr>
            <w:tcW w:w="483" w:type="dxa"/>
            <w:gridSpan w:val="4"/>
            <w:tcBorders>
              <w:top w:val="single" w:sz="4" w:space="0" w:color="000000"/>
              <w:left w:val="nil"/>
              <w:bottom w:val="nil"/>
              <w:right w:val="nil"/>
            </w:tcBorders>
            <w:shd w:val="clear" w:color="auto" w:fill="FFFFFF"/>
            <w:tcMar>
              <w:top w:w="50" w:type="dxa"/>
              <w:left w:w="50" w:type="dxa"/>
              <w:bottom w:w="50" w:type="dxa"/>
              <w:right w:w="50" w:type="dxa"/>
            </w:tcMar>
          </w:tcPr>
          <w:p w14:paraId="53B2A0C4" w14:textId="77777777" w:rsidR="008450B0" w:rsidRPr="00BC7BB5" w:rsidRDefault="008450B0" w:rsidP="008450B0">
            <w:pPr>
              <w:jc w:val="right"/>
              <w:rPr>
                <w:rFonts w:ascii="Times New Roman" w:eastAsiaTheme="minorEastAsia" w:hAnsi="Times New Roman" w:cs="Times New Roman"/>
                <w:sz w:val="20"/>
                <w:szCs w:val="20"/>
              </w:rPr>
            </w:pPr>
          </w:p>
        </w:tc>
        <w:tc>
          <w:tcPr>
            <w:tcW w:w="2262" w:type="dxa"/>
            <w:gridSpan w:val="10"/>
            <w:tcBorders>
              <w:top w:val="single" w:sz="4" w:space="0" w:color="000000"/>
              <w:left w:val="nil"/>
              <w:bottom w:val="nil"/>
              <w:right w:val="nil"/>
            </w:tcBorders>
            <w:shd w:val="clear" w:color="auto" w:fill="FFFFFF"/>
            <w:tcMar>
              <w:top w:w="50" w:type="dxa"/>
              <w:left w:w="50" w:type="dxa"/>
              <w:bottom w:w="50" w:type="dxa"/>
              <w:right w:w="50" w:type="dxa"/>
            </w:tcMar>
            <w:vAlign w:val="center"/>
          </w:tcPr>
          <w:p w14:paraId="53B2A0C5" w14:textId="02B761EE" w:rsidR="008450B0" w:rsidRPr="00BC7BB5" w:rsidRDefault="008C1FE3" w:rsidP="008450B0">
            <w:pPr>
              <w:rPr>
                <w:rFonts w:ascii="Times New Roman" w:eastAsiaTheme="minorEastAsia" w:hAnsi="Times New Roman" w:cs="Times New Roman"/>
                <w:sz w:val="20"/>
                <w:szCs w:val="20"/>
              </w:rPr>
            </w:pPr>
            <w:r>
              <w:rPr>
                <w:rFonts w:ascii="Times New Roman" w:eastAsiaTheme="minorEastAsia" w:hAnsi="Times New Roman" w:cs="Times New Roman"/>
                <w:sz w:val="20"/>
                <w:szCs w:val="20"/>
              </w:rPr>
              <w:t>US$250 million</w:t>
            </w:r>
          </w:p>
        </w:tc>
        <w:tc>
          <w:tcPr>
            <w:tcW w:w="1631" w:type="dxa"/>
            <w:gridSpan w:val="9"/>
            <w:tcBorders>
              <w:top w:val="single" w:sz="4" w:space="0" w:color="000000"/>
              <w:left w:val="nil"/>
              <w:bottom w:val="nil"/>
              <w:right w:val="nil"/>
            </w:tcBorders>
            <w:shd w:val="clear" w:color="auto" w:fill="FFFFFF"/>
            <w:tcMar>
              <w:top w:w="50" w:type="dxa"/>
              <w:left w:w="50" w:type="dxa"/>
              <w:bottom w:w="50" w:type="dxa"/>
              <w:right w:w="50" w:type="dxa"/>
            </w:tcMar>
          </w:tcPr>
          <w:p w14:paraId="53B2A0C6" w14:textId="2E6A834D" w:rsidR="008450B0" w:rsidRPr="00BC7BB5" w:rsidRDefault="008450B0" w:rsidP="008450B0">
            <w:pPr>
              <w:rPr>
                <w:rFonts w:ascii="Times New Roman" w:eastAsiaTheme="minorEastAsia" w:hAnsi="Times New Roman" w:cs="Times New Roman"/>
                <w:sz w:val="20"/>
                <w:szCs w:val="20"/>
              </w:rPr>
            </w:pPr>
            <w:r w:rsidRPr="00BC7BB5">
              <w:rPr>
                <w:rFonts w:ascii="Times New Roman" w:eastAsiaTheme="minorEastAsia" w:hAnsi="Times New Roman" w:cs="Times New Roman"/>
                <w:sz w:val="20"/>
                <w:szCs w:val="20"/>
              </w:rPr>
              <w:t>Financing Gap:</w:t>
            </w:r>
          </w:p>
        </w:tc>
        <w:tc>
          <w:tcPr>
            <w:tcW w:w="2464" w:type="dxa"/>
            <w:gridSpan w:val="6"/>
            <w:tcBorders>
              <w:top w:val="single" w:sz="4" w:space="0" w:color="000000"/>
              <w:left w:val="nil"/>
              <w:bottom w:val="nil"/>
              <w:right w:val="nil"/>
            </w:tcBorders>
            <w:shd w:val="clear" w:color="auto" w:fill="FFFFFF"/>
            <w:tcMar>
              <w:top w:w="50" w:type="dxa"/>
              <w:left w:w="50" w:type="dxa"/>
              <w:bottom w:w="50" w:type="dxa"/>
              <w:right w:w="50" w:type="dxa"/>
            </w:tcMar>
          </w:tcPr>
          <w:p w14:paraId="53B2A0C7" w14:textId="50349996" w:rsidR="008450B0" w:rsidRPr="00BC7BB5" w:rsidRDefault="00987096" w:rsidP="00987096">
            <w:pPr>
              <w:jc w:val="center"/>
              <w:rPr>
                <w:rFonts w:ascii="Times New Roman" w:eastAsiaTheme="minorEastAsia" w:hAnsi="Times New Roman" w:cs="Times New Roman"/>
                <w:sz w:val="20"/>
                <w:szCs w:val="20"/>
              </w:rPr>
            </w:pPr>
            <w:r>
              <w:rPr>
                <w:rFonts w:ascii="Times New Roman" w:eastAsiaTheme="minorEastAsia" w:hAnsi="Times New Roman" w:cs="Times New Roman"/>
                <w:sz w:val="20"/>
                <w:szCs w:val="20"/>
              </w:rPr>
              <w:t xml:space="preserve">US$ </w:t>
            </w:r>
            <w:r w:rsidR="0003750D" w:rsidRPr="00BC7BB5">
              <w:rPr>
                <w:rFonts w:ascii="Times New Roman" w:eastAsiaTheme="minorEastAsia" w:hAnsi="Times New Roman" w:cs="Times New Roman"/>
                <w:sz w:val="20"/>
                <w:szCs w:val="20"/>
              </w:rPr>
              <w:t>0</w:t>
            </w:r>
            <w:r>
              <w:rPr>
                <w:rFonts w:ascii="Times New Roman" w:eastAsiaTheme="minorEastAsia" w:hAnsi="Times New Roman" w:cs="Times New Roman"/>
                <w:sz w:val="20"/>
                <w:szCs w:val="20"/>
              </w:rPr>
              <w:t xml:space="preserve"> </w:t>
            </w:r>
            <w:r w:rsidR="008C1FE3">
              <w:rPr>
                <w:rFonts w:ascii="Times New Roman" w:eastAsiaTheme="minorEastAsia" w:hAnsi="Times New Roman" w:cs="Times New Roman"/>
                <w:sz w:val="20"/>
                <w:szCs w:val="20"/>
              </w:rPr>
              <w:t>m</w:t>
            </w:r>
            <w:r>
              <w:rPr>
                <w:rFonts w:ascii="Times New Roman" w:eastAsiaTheme="minorEastAsia" w:hAnsi="Times New Roman" w:cs="Times New Roman"/>
                <w:sz w:val="20"/>
                <w:szCs w:val="20"/>
              </w:rPr>
              <w:t>illion</w:t>
            </w:r>
          </w:p>
        </w:tc>
        <w:tc>
          <w:tcPr>
            <w:tcW w:w="863" w:type="dxa"/>
            <w:gridSpan w:val="2"/>
            <w:tcBorders>
              <w:top w:val="single" w:sz="4" w:space="0" w:color="000000"/>
              <w:left w:val="nil"/>
              <w:bottom w:val="nil"/>
              <w:right w:val="nil"/>
            </w:tcBorders>
            <w:shd w:val="clear" w:color="auto" w:fill="FFFFFF"/>
            <w:tcMar>
              <w:top w:w="50" w:type="dxa"/>
              <w:left w:w="50" w:type="dxa"/>
              <w:bottom w:w="50" w:type="dxa"/>
              <w:right w:w="50" w:type="dxa"/>
            </w:tcMar>
            <w:vAlign w:val="center"/>
          </w:tcPr>
          <w:p w14:paraId="53B2A0C8" w14:textId="384017AD" w:rsidR="008450B0" w:rsidRPr="00BC7BB5" w:rsidRDefault="008450B0" w:rsidP="008450B0">
            <w:pPr>
              <w:rPr>
                <w:rFonts w:ascii="Times New Roman" w:eastAsiaTheme="minorEastAsia" w:hAnsi="Times New Roman" w:cs="Times New Roman"/>
                <w:sz w:val="20"/>
                <w:szCs w:val="20"/>
              </w:rPr>
            </w:pPr>
          </w:p>
        </w:tc>
      </w:tr>
      <w:tr w:rsidR="008450B0" w:rsidRPr="00BC7BB5" w14:paraId="53B2A0CB" w14:textId="77777777" w:rsidTr="00FA3400">
        <w:trPr>
          <w:trHeight w:val="145"/>
        </w:trPr>
        <w:tc>
          <w:tcPr>
            <w:tcW w:w="9495" w:type="dxa"/>
            <w:gridSpan w:val="37"/>
            <w:tcBorders>
              <w:top w:val="single" w:sz="4" w:space="0" w:color="000000"/>
              <w:left w:val="nil"/>
              <w:bottom w:val="single" w:sz="4" w:space="0" w:color="000000"/>
              <w:right w:val="nil"/>
            </w:tcBorders>
            <w:shd w:val="clear" w:color="auto" w:fill="000000"/>
            <w:tcMar>
              <w:top w:w="50" w:type="dxa"/>
              <w:left w:w="50" w:type="dxa"/>
              <w:bottom w:w="50" w:type="dxa"/>
              <w:right w:w="50" w:type="dxa"/>
            </w:tcMar>
            <w:vAlign w:val="center"/>
          </w:tcPr>
          <w:p w14:paraId="53B2A0CA" w14:textId="4E915393" w:rsidR="008450B0" w:rsidRPr="00BC7BB5" w:rsidRDefault="008450B0" w:rsidP="008450B0">
            <w:pPr>
              <w:rPr>
                <w:rFonts w:ascii="Times New Roman" w:eastAsiaTheme="minorEastAsia" w:hAnsi="Times New Roman" w:cs="Times New Roman"/>
                <w:sz w:val="2"/>
                <w:szCs w:val="2"/>
              </w:rPr>
            </w:pPr>
            <w:r w:rsidRPr="00BC7BB5">
              <w:rPr>
                <w:rFonts w:ascii="Times New Roman" w:eastAsiaTheme="minorEastAsia" w:hAnsi="Times New Roman" w:cs="Times New Roman"/>
                <w:sz w:val="2"/>
                <w:szCs w:val="2"/>
              </w:rPr>
              <w:t>.</w:t>
            </w:r>
          </w:p>
        </w:tc>
      </w:tr>
      <w:tr w:rsidR="008450B0" w:rsidRPr="00BC7BB5" w14:paraId="53B2A0CF" w14:textId="77777777" w:rsidTr="00FA3400">
        <w:trPr>
          <w:trHeight w:val="145"/>
        </w:trPr>
        <w:tc>
          <w:tcPr>
            <w:tcW w:w="4537" w:type="dxa"/>
            <w:gridSpan w:val="20"/>
            <w:tcBorders>
              <w:top w:val="single" w:sz="4" w:space="0" w:color="000000"/>
              <w:left w:val="nil"/>
              <w:bottom w:val="single" w:sz="4" w:space="0" w:color="000000"/>
              <w:right w:val="single" w:sz="4" w:space="0" w:color="000000"/>
            </w:tcBorders>
            <w:shd w:val="clear" w:color="auto" w:fill="FFFFFF"/>
            <w:tcMar>
              <w:top w:w="50" w:type="dxa"/>
              <w:left w:w="50" w:type="dxa"/>
              <w:bottom w:w="50" w:type="dxa"/>
              <w:right w:w="50" w:type="dxa"/>
            </w:tcMar>
          </w:tcPr>
          <w:p w14:paraId="53B2A0CC" w14:textId="4FF76A56" w:rsidR="008450B0" w:rsidRPr="00BC7BB5" w:rsidRDefault="008450B0" w:rsidP="008450B0">
            <w:pPr>
              <w:rPr>
                <w:rFonts w:ascii="Times New Roman" w:eastAsiaTheme="minorEastAsia" w:hAnsi="Times New Roman" w:cs="Times New Roman"/>
                <w:sz w:val="20"/>
                <w:szCs w:val="20"/>
              </w:rPr>
            </w:pPr>
            <w:r w:rsidRPr="00BC7BB5">
              <w:rPr>
                <w:rFonts w:ascii="Times New Roman" w:eastAsiaTheme="minorEastAsia" w:hAnsi="Times New Roman" w:cs="Times New Roman"/>
                <w:b/>
                <w:bCs/>
                <w:sz w:val="20"/>
                <w:szCs w:val="20"/>
              </w:rPr>
              <w:t>Financing Source</w:t>
            </w:r>
          </w:p>
        </w:tc>
        <w:tc>
          <w:tcPr>
            <w:tcW w:w="3771" w:type="dxa"/>
            <w:gridSpan w:val="13"/>
            <w:tcBorders>
              <w:top w:val="single" w:sz="4" w:space="0" w:color="000000"/>
              <w:left w:val="nil"/>
              <w:bottom w:val="single" w:sz="4" w:space="0" w:color="000000"/>
              <w:right w:val="nil"/>
            </w:tcBorders>
            <w:shd w:val="clear" w:color="auto" w:fill="FFFFFF"/>
            <w:tcMar>
              <w:top w:w="50" w:type="dxa"/>
              <w:left w:w="50" w:type="dxa"/>
              <w:bottom w:w="50" w:type="dxa"/>
              <w:right w:w="50" w:type="dxa"/>
            </w:tcMar>
          </w:tcPr>
          <w:p w14:paraId="53B2A0CD" w14:textId="77777777" w:rsidR="008450B0" w:rsidRPr="00BC7BB5" w:rsidRDefault="008450B0" w:rsidP="00A16400">
            <w:pPr>
              <w:rPr>
                <w:rFonts w:ascii="Times New Roman" w:eastAsiaTheme="minorEastAsia" w:hAnsi="Times New Roman" w:cs="Times New Roman"/>
                <w:sz w:val="20"/>
                <w:szCs w:val="20"/>
              </w:rPr>
            </w:pPr>
            <w:r w:rsidRPr="00BC7BB5">
              <w:rPr>
                <w:rFonts w:ascii="Times New Roman" w:eastAsiaTheme="minorEastAsia" w:hAnsi="Times New Roman" w:cs="Times New Roman"/>
                <w:b/>
                <w:bCs/>
                <w:sz w:val="20"/>
                <w:szCs w:val="20"/>
              </w:rPr>
              <w:t>Amount</w:t>
            </w:r>
          </w:p>
        </w:tc>
        <w:tc>
          <w:tcPr>
            <w:tcW w:w="1187" w:type="dxa"/>
            <w:gridSpan w:val="4"/>
            <w:tcBorders>
              <w:top w:val="single" w:sz="4" w:space="0" w:color="000000"/>
              <w:left w:val="nil"/>
              <w:bottom w:val="single" w:sz="4" w:space="0" w:color="000000"/>
              <w:right w:val="nil"/>
            </w:tcBorders>
            <w:shd w:val="clear" w:color="auto" w:fill="FFFFFF"/>
            <w:tcMar>
              <w:top w:w="50" w:type="dxa"/>
              <w:left w:w="50" w:type="dxa"/>
              <w:bottom w:w="50" w:type="dxa"/>
              <w:right w:w="50" w:type="dxa"/>
            </w:tcMar>
            <w:vAlign w:val="center"/>
          </w:tcPr>
          <w:p w14:paraId="53B2A0CE" w14:textId="6D3972D6" w:rsidR="008450B0" w:rsidRPr="00BC7BB5" w:rsidRDefault="008450B0" w:rsidP="008450B0">
            <w:pPr>
              <w:rPr>
                <w:rFonts w:ascii="Times New Roman" w:eastAsiaTheme="minorEastAsia" w:hAnsi="Times New Roman" w:cs="Times New Roman"/>
              </w:rPr>
            </w:pPr>
          </w:p>
        </w:tc>
      </w:tr>
      <w:tr w:rsidR="008450B0" w:rsidRPr="00BC7BB5" w14:paraId="53B2A0D2" w14:textId="77777777" w:rsidTr="00FA3400">
        <w:trPr>
          <w:trHeight w:val="145"/>
        </w:trPr>
        <w:tc>
          <w:tcPr>
            <w:tcW w:w="4537" w:type="dxa"/>
            <w:gridSpan w:val="20"/>
            <w:tcBorders>
              <w:top w:val="nil"/>
              <w:left w:val="nil"/>
              <w:bottom w:val="nil"/>
              <w:right w:val="single" w:sz="4" w:space="0" w:color="000000"/>
            </w:tcBorders>
            <w:shd w:val="clear" w:color="auto" w:fill="FFFFFF"/>
            <w:tcMar>
              <w:top w:w="50" w:type="dxa"/>
              <w:left w:w="50" w:type="dxa"/>
              <w:bottom w:w="50" w:type="dxa"/>
              <w:right w:w="50" w:type="dxa"/>
            </w:tcMar>
          </w:tcPr>
          <w:p w14:paraId="53B2A0D0" w14:textId="2D4AFF96" w:rsidR="008450B0" w:rsidRPr="00BC7BB5" w:rsidRDefault="00987096" w:rsidP="00770F27">
            <w:pPr>
              <w:spacing w:after="0" w:line="240" w:lineRule="auto"/>
              <w:rPr>
                <w:rFonts w:ascii="Times New Roman" w:eastAsiaTheme="minorEastAsia" w:hAnsi="Times New Roman" w:cs="Times New Roman"/>
                <w:sz w:val="20"/>
                <w:szCs w:val="20"/>
              </w:rPr>
            </w:pPr>
            <w:r>
              <w:rPr>
                <w:rFonts w:ascii="Times New Roman" w:eastAsiaTheme="minorEastAsia" w:hAnsi="Times New Roman" w:cs="Times New Roman"/>
                <w:sz w:val="20"/>
                <w:szCs w:val="20"/>
              </w:rPr>
              <w:t>BORROWER</w:t>
            </w:r>
          </w:p>
        </w:tc>
        <w:tc>
          <w:tcPr>
            <w:tcW w:w="4958" w:type="dxa"/>
            <w:gridSpan w:val="17"/>
            <w:tcBorders>
              <w:top w:val="nil"/>
              <w:left w:val="single" w:sz="4" w:space="0" w:color="000000"/>
              <w:bottom w:val="nil"/>
              <w:right w:val="nil"/>
            </w:tcBorders>
            <w:shd w:val="clear" w:color="auto" w:fill="FFFFFF"/>
            <w:tcMar>
              <w:top w:w="50" w:type="dxa"/>
              <w:left w:w="50" w:type="dxa"/>
              <w:bottom w:w="50" w:type="dxa"/>
              <w:right w:w="50" w:type="dxa"/>
            </w:tcMar>
          </w:tcPr>
          <w:p w14:paraId="53B2A0D1" w14:textId="3201F4F5" w:rsidR="008450B0" w:rsidRPr="00BC7BB5" w:rsidRDefault="00987096" w:rsidP="00770F27">
            <w:pPr>
              <w:spacing w:after="0" w:line="240" w:lineRule="auto"/>
              <w:rPr>
                <w:rFonts w:ascii="Times New Roman" w:eastAsiaTheme="minorEastAsia" w:hAnsi="Times New Roman" w:cs="Times New Roman"/>
                <w:sz w:val="20"/>
                <w:szCs w:val="20"/>
              </w:rPr>
            </w:pPr>
            <w:r>
              <w:rPr>
                <w:rFonts w:ascii="Times New Roman" w:eastAsiaTheme="minorEastAsia" w:hAnsi="Times New Roman" w:cs="Times New Roman"/>
                <w:sz w:val="20"/>
                <w:szCs w:val="20"/>
              </w:rPr>
              <w:t xml:space="preserve">US$250 </w:t>
            </w:r>
            <w:r w:rsidR="008C1FE3">
              <w:rPr>
                <w:rFonts w:ascii="Times New Roman" w:eastAsiaTheme="minorEastAsia" w:hAnsi="Times New Roman" w:cs="Times New Roman"/>
                <w:sz w:val="20"/>
                <w:szCs w:val="20"/>
              </w:rPr>
              <w:t>m</w:t>
            </w:r>
            <w:r>
              <w:rPr>
                <w:rFonts w:ascii="Times New Roman" w:eastAsiaTheme="minorEastAsia" w:hAnsi="Times New Roman" w:cs="Times New Roman"/>
                <w:sz w:val="20"/>
                <w:szCs w:val="20"/>
              </w:rPr>
              <w:t>illion</w:t>
            </w:r>
          </w:p>
        </w:tc>
      </w:tr>
      <w:tr w:rsidR="008450B0" w:rsidRPr="00BC7BB5" w14:paraId="53B2A0D6" w14:textId="77777777" w:rsidTr="00FA3400">
        <w:trPr>
          <w:trHeight w:val="221"/>
        </w:trPr>
        <w:tc>
          <w:tcPr>
            <w:tcW w:w="4537" w:type="dxa"/>
            <w:gridSpan w:val="20"/>
            <w:tcBorders>
              <w:top w:val="nil"/>
              <w:left w:val="nil"/>
              <w:bottom w:val="nil"/>
              <w:right w:val="single" w:sz="4" w:space="0" w:color="000000"/>
            </w:tcBorders>
            <w:shd w:val="clear" w:color="auto" w:fill="FFFFFF"/>
            <w:tcMar>
              <w:top w:w="50" w:type="dxa"/>
              <w:left w:w="50" w:type="dxa"/>
              <w:bottom w:w="50" w:type="dxa"/>
              <w:right w:w="50" w:type="dxa"/>
            </w:tcMar>
          </w:tcPr>
          <w:p w14:paraId="53B2A0D3" w14:textId="6BF014CD" w:rsidR="008450B0" w:rsidRPr="00BC7BB5" w:rsidRDefault="008450B0" w:rsidP="00770F27">
            <w:pPr>
              <w:spacing w:after="0" w:line="240" w:lineRule="auto"/>
              <w:rPr>
                <w:rFonts w:ascii="Times New Roman" w:eastAsiaTheme="minorEastAsia" w:hAnsi="Times New Roman" w:cs="Times New Roman"/>
                <w:sz w:val="20"/>
                <w:szCs w:val="20"/>
                <w:highlight w:val="yellow"/>
              </w:rPr>
            </w:pPr>
            <w:r w:rsidRPr="00BC7BB5">
              <w:rPr>
                <w:rFonts w:ascii="Times New Roman" w:eastAsiaTheme="minorEastAsia" w:hAnsi="Times New Roman" w:cs="Times New Roman"/>
                <w:sz w:val="20"/>
                <w:szCs w:val="20"/>
              </w:rPr>
              <w:t>IBRD</w:t>
            </w:r>
            <w:r w:rsidR="00770F27" w:rsidRPr="00BC7BB5">
              <w:rPr>
                <w:rFonts w:ascii="Times New Roman" w:eastAsiaTheme="minorEastAsia" w:hAnsi="Times New Roman" w:cs="Times New Roman"/>
                <w:sz w:val="20"/>
                <w:szCs w:val="20"/>
              </w:rPr>
              <w:t>:</w:t>
            </w:r>
          </w:p>
        </w:tc>
        <w:tc>
          <w:tcPr>
            <w:tcW w:w="3771" w:type="dxa"/>
            <w:gridSpan w:val="13"/>
            <w:tcBorders>
              <w:top w:val="nil"/>
              <w:left w:val="single" w:sz="4" w:space="0" w:color="000000"/>
              <w:bottom w:val="nil"/>
              <w:right w:val="nil"/>
            </w:tcBorders>
            <w:shd w:val="clear" w:color="auto" w:fill="FFFFFF"/>
            <w:tcMar>
              <w:top w:w="50" w:type="dxa"/>
              <w:left w:w="50" w:type="dxa"/>
              <w:bottom w:w="50" w:type="dxa"/>
              <w:right w:w="50" w:type="dxa"/>
            </w:tcMar>
          </w:tcPr>
          <w:p w14:paraId="53B2A0D4" w14:textId="101F2230" w:rsidR="008450B0" w:rsidRPr="00BC7BB5" w:rsidRDefault="005D7957" w:rsidP="00770F27">
            <w:pPr>
              <w:spacing w:after="0" w:line="240" w:lineRule="auto"/>
              <w:rPr>
                <w:rFonts w:ascii="Times New Roman" w:eastAsiaTheme="minorEastAsia" w:hAnsi="Times New Roman" w:cs="Times New Roman"/>
                <w:sz w:val="20"/>
                <w:szCs w:val="20"/>
                <w:highlight w:val="yellow"/>
              </w:rPr>
            </w:pPr>
            <w:r w:rsidRPr="00BC7BB5">
              <w:rPr>
                <w:rFonts w:ascii="Times New Roman" w:eastAsiaTheme="minorEastAsia" w:hAnsi="Times New Roman" w:cs="Times New Roman"/>
                <w:sz w:val="20"/>
                <w:szCs w:val="20"/>
              </w:rPr>
              <w:t>US$200</w:t>
            </w:r>
            <w:r w:rsidR="00770F27" w:rsidRPr="00BC7BB5">
              <w:rPr>
                <w:rFonts w:ascii="Times New Roman" w:eastAsiaTheme="minorEastAsia" w:hAnsi="Times New Roman" w:cs="Times New Roman"/>
                <w:sz w:val="20"/>
                <w:szCs w:val="20"/>
              </w:rPr>
              <w:t xml:space="preserve"> </w:t>
            </w:r>
            <w:r w:rsidR="008C1FE3">
              <w:rPr>
                <w:rFonts w:ascii="Times New Roman" w:eastAsiaTheme="minorEastAsia" w:hAnsi="Times New Roman" w:cs="Times New Roman"/>
                <w:sz w:val="20"/>
                <w:szCs w:val="20"/>
              </w:rPr>
              <w:t>m</w:t>
            </w:r>
            <w:r w:rsidR="00770F27" w:rsidRPr="00BC7BB5">
              <w:rPr>
                <w:rFonts w:ascii="Times New Roman" w:eastAsiaTheme="minorEastAsia" w:hAnsi="Times New Roman" w:cs="Times New Roman"/>
                <w:sz w:val="20"/>
                <w:szCs w:val="20"/>
              </w:rPr>
              <w:t>illion</w:t>
            </w:r>
          </w:p>
        </w:tc>
        <w:tc>
          <w:tcPr>
            <w:tcW w:w="1187" w:type="dxa"/>
            <w:gridSpan w:val="4"/>
            <w:tcBorders>
              <w:top w:val="nil"/>
              <w:left w:val="nil"/>
              <w:bottom w:val="nil"/>
              <w:right w:val="nil"/>
            </w:tcBorders>
            <w:shd w:val="clear" w:color="auto" w:fill="FFFFFF"/>
            <w:tcMar>
              <w:top w:w="50" w:type="dxa"/>
              <w:left w:w="50" w:type="dxa"/>
              <w:bottom w:w="50" w:type="dxa"/>
              <w:right w:w="50" w:type="dxa"/>
            </w:tcMar>
            <w:vAlign w:val="center"/>
          </w:tcPr>
          <w:p w14:paraId="53B2A0D5" w14:textId="179DFBF7" w:rsidR="008450B0" w:rsidRPr="00BC7BB5" w:rsidRDefault="008450B0" w:rsidP="00770F27">
            <w:pPr>
              <w:spacing w:after="0" w:line="240" w:lineRule="auto"/>
              <w:rPr>
                <w:rFonts w:ascii="Times New Roman" w:eastAsiaTheme="minorEastAsia" w:hAnsi="Times New Roman" w:cs="Times New Roman"/>
                <w:sz w:val="20"/>
                <w:szCs w:val="20"/>
              </w:rPr>
            </w:pPr>
          </w:p>
        </w:tc>
      </w:tr>
      <w:tr w:rsidR="008450B0" w:rsidRPr="00BC7BB5" w14:paraId="53B2A0E6" w14:textId="77777777" w:rsidTr="00FA3400">
        <w:trPr>
          <w:trHeight w:val="145"/>
        </w:trPr>
        <w:tc>
          <w:tcPr>
            <w:tcW w:w="4537" w:type="dxa"/>
            <w:gridSpan w:val="20"/>
            <w:tcBorders>
              <w:top w:val="nil"/>
              <w:left w:val="nil"/>
              <w:bottom w:val="nil"/>
              <w:right w:val="single" w:sz="4" w:space="0" w:color="000000"/>
            </w:tcBorders>
            <w:shd w:val="clear" w:color="auto" w:fill="FFFFFF"/>
            <w:tcMar>
              <w:top w:w="50" w:type="dxa"/>
              <w:left w:w="50" w:type="dxa"/>
              <w:bottom w:w="50" w:type="dxa"/>
              <w:right w:w="50" w:type="dxa"/>
            </w:tcMar>
          </w:tcPr>
          <w:p w14:paraId="53B2A0E4" w14:textId="4587316C" w:rsidR="008450B0" w:rsidRPr="00BC7BB5" w:rsidRDefault="008450B0" w:rsidP="00770F27">
            <w:pPr>
              <w:spacing w:after="0" w:line="240" w:lineRule="auto"/>
              <w:rPr>
                <w:rFonts w:ascii="Times New Roman" w:eastAsiaTheme="minorEastAsia" w:hAnsi="Times New Roman" w:cs="Times New Roman"/>
                <w:sz w:val="20"/>
                <w:szCs w:val="20"/>
              </w:rPr>
            </w:pPr>
            <w:r w:rsidRPr="00BC7BB5">
              <w:rPr>
                <w:rFonts w:ascii="Times New Roman" w:eastAsiaTheme="minorEastAsia" w:hAnsi="Times New Roman" w:cs="Times New Roman"/>
                <w:sz w:val="20"/>
                <w:szCs w:val="20"/>
              </w:rPr>
              <w:t>Total</w:t>
            </w:r>
          </w:p>
        </w:tc>
        <w:tc>
          <w:tcPr>
            <w:tcW w:w="4958" w:type="dxa"/>
            <w:gridSpan w:val="17"/>
            <w:tcBorders>
              <w:top w:val="nil"/>
              <w:left w:val="single" w:sz="4" w:space="0" w:color="000000"/>
              <w:bottom w:val="nil"/>
              <w:right w:val="nil"/>
            </w:tcBorders>
            <w:shd w:val="clear" w:color="auto" w:fill="FFFFFF"/>
            <w:tcMar>
              <w:top w:w="50" w:type="dxa"/>
              <w:left w:w="50" w:type="dxa"/>
              <w:bottom w:w="50" w:type="dxa"/>
              <w:right w:w="50" w:type="dxa"/>
            </w:tcMar>
          </w:tcPr>
          <w:p w14:paraId="53B2A0E5" w14:textId="71EAC287" w:rsidR="008450B0" w:rsidRPr="00BC7BB5" w:rsidRDefault="0003750D" w:rsidP="00770F27">
            <w:pPr>
              <w:spacing w:after="0" w:line="240" w:lineRule="auto"/>
              <w:rPr>
                <w:rFonts w:ascii="Times New Roman" w:eastAsiaTheme="minorEastAsia" w:hAnsi="Times New Roman" w:cs="Times New Roman"/>
                <w:sz w:val="20"/>
                <w:szCs w:val="20"/>
              </w:rPr>
            </w:pPr>
            <w:r w:rsidRPr="00BC7BB5">
              <w:rPr>
                <w:rFonts w:ascii="Times New Roman" w:eastAsiaTheme="minorEastAsia" w:hAnsi="Times New Roman" w:cs="Times New Roman"/>
                <w:sz w:val="20"/>
                <w:szCs w:val="20"/>
              </w:rPr>
              <w:t>U</w:t>
            </w:r>
            <w:r w:rsidRPr="001555C1">
              <w:rPr>
                <w:rFonts w:ascii="Times New Roman" w:eastAsiaTheme="minorEastAsia" w:hAnsi="Times New Roman" w:cs="Times New Roman"/>
                <w:sz w:val="20"/>
                <w:szCs w:val="20"/>
              </w:rPr>
              <w:t>S$</w:t>
            </w:r>
            <w:r w:rsidR="002C67F4" w:rsidRPr="001555C1">
              <w:rPr>
                <w:rFonts w:ascii="Times New Roman" w:eastAsiaTheme="minorEastAsia" w:hAnsi="Times New Roman" w:cs="Times New Roman"/>
                <w:sz w:val="20"/>
                <w:szCs w:val="20"/>
              </w:rPr>
              <w:t>4</w:t>
            </w:r>
            <w:r w:rsidR="004D5C0B" w:rsidRPr="001555C1">
              <w:rPr>
                <w:rFonts w:ascii="Times New Roman" w:eastAsiaTheme="minorEastAsia" w:hAnsi="Times New Roman" w:cs="Times New Roman"/>
                <w:sz w:val="20"/>
                <w:szCs w:val="20"/>
              </w:rPr>
              <w:t>50</w:t>
            </w:r>
            <w:r w:rsidR="00FA1667" w:rsidRPr="00BC7BB5">
              <w:rPr>
                <w:rFonts w:ascii="Times New Roman" w:eastAsiaTheme="minorEastAsia" w:hAnsi="Times New Roman" w:cs="Times New Roman"/>
                <w:sz w:val="20"/>
                <w:szCs w:val="20"/>
              </w:rPr>
              <w:t xml:space="preserve"> </w:t>
            </w:r>
            <w:r w:rsidRPr="00BC7BB5">
              <w:rPr>
                <w:rFonts w:ascii="Times New Roman" w:eastAsiaTheme="minorEastAsia" w:hAnsi="Times New Roman" w:cs="Times New Roman"/>
                <w:sz w:val="20"/>
                <w:szCs w:val="20"/>
              </w:rPr>
              <w:t>million</w:t>
            </w:r>
          </w:p>
        </w:tc>
      </w:tr>
      <w:tr w:rsidR="008450B0" w:rsidRPr="00BC7BB5" w14:paraId="53B2A0E8" w14:textId="77777777" w:rsidTr="00FA3400">
        <w:trPr>
          <w:trHeight w:val="145"/>
        </w:trPr>
        <w:tc>
          <w:tcPr>
            <w:tcW w:w="9495" w:type="dxa"/>
            <w:gridSpan w:val="37"/>
            <w:tcBorders>
              <w:top w:val="single" w:sz="4" w:space="0" w:color="000000"/>
              <w:left w:val="nil"/>
              <w:bottom w:val="single" w:sz="4" w:space="0" w:color="000000"/>
              <w:right w:val="nil"/>
            </w:tcBorders>
            <w:shd w:val="clear" w:color="auto" w:fill="000000"/>
            <w:tcMar>
              <w:top w:w="50" w:type="dxa"/>
              <w:left w:w="50" w:type="dxa"/>
              <w:bottom w:w="50" w:type="dxa"/>
              <w:right w:w="50" w:type="dxa"/>
            </w:tcMar>
            <w:vAlign w:val="center"/>
          </w:tcPr>
          <w:p w14:paraId="53B2A0E7" w14:textId="4B1EED0D" w:rsidR="008450B0" w:rsidRPr="00BC7BB5" w:rsidRDefault="008450B0" w:rsidP="00770F27">
            <w:pPr>
              <w:spacing w:after="0" w:line="240" w:lineRule="auto"/>
              <w:rPr>
                <w:rFonts w:ascii="Times New Roman" w:eastAsiaTheme="minorEastAsia" w:hAnsi="Times New Roman" w:cs="Times New Roman"/>
                <w:sz w:val="2"/>
                <w:szCs w:val="2"/>
              </w:rPr>
            </w:pPr>
            <w:r w:rsidRPr="00BC7BB5">
              <w:rPr>
                <w:rFonts w:ascii="Times New Roman" w:eastAsiaTheme="minorEastAsia" w:hAnsi="Times New Roman" w:cs="Times New Roman"/>
                <w:sz w:val="2"/>
                <w:szCs w:val="2"/>
              </w:rPr>
              <w:t>.</w:t>
            </w:r>
          </w:p>
        </w:tc>
      </w:tr>
      <w:tr w:rsidR="008450B0" w:rsidRPr="00BC7BB5" w14:paraId="53B2A0EA" w14:textId="77777777" w:rsidTr="00FA3400">
        <w:trPr>
          <w:trHeight w:val="145"/>
        </w:trPr>
        <w:tc>
          <w:tcPr>
            <w:tcW w:w="9495" w:type="dxa"/>
            <w:gridSpan w:val="37"/>
            <w:tcBorders>
              <w:top w:val="single" w:sz="4" w:space="0" w:color="000000"/>
              <w:left w:val="nil"/>
              <w:bottom w:val="nil"/>
              <w:right w:val="nil"/>
            </w:tcBorders>
            <w:shd w:val="clear" w:color="auto" w:fill="FFFFFF"/>
            <w:tcMar>
              <w:top w:w="50" w:type="dxa"/>
              <w:left w:w="50" w:type="dxa"/>
              <w:bottom w:w="50" w:type="dxa"/>
              <w:right w:w="50" w:type="dxa"/>
            </w:tcMar>
            <w:vAlign w:val="center"/>
          </w:tcPr>
          <w:p w14:paraId="53B2A0E9" w14:textId="2F080680" w:rsidR="008450B0" w:rsidRPr="00BC7BB5" w:rsidRDefault="008450B0" w:rsidP="008450B0">
            <w:pPr>
              <w:rPr>
                <w:rFonts w:ascii="Times New Roman" w:eastAsiaTheme="minorEastAsia" w:hAnsi="Times New Roman" w:cs="Times New Roman"/>
                <w:sz w:val="20"/>
                <w:szCs w:val="20"/>
              </w:rPr>
            </w:pPr>
            <w:r w:rsidRPr="00BC7BB5">
              <w:rPr>
                <w:rFonts w:ascii="Times New Roman" w:eastAsiaTheme="minorEastAsia" w:hAnsi="Times New Roman" w:cs="Times New Roman"/>
                <w:sz w:val="20"/>
                <w:szCs w:val="20"/>
              </w:rPr>
              <w:t xml:space="preserve">Borrower: </w:t>
            </w:r>
            <w:r w:rsidR="007616C2" w:rsidRPr="00BC7BB5">
              <w:rPr>
                <w:rFonts w:ascii="Times New Roman" w:eastAsiaTheme="minorEastAsia" w:hAnsi="Times New Roman" w:cs="Times New Roman"/>
                <w:sz w:val="20"/>
                <w:szCs w:val="20"/>
              </w:rPr>
              <w:t>The Kingdom of Morocco</w:t>
            </w:r>
          </w:p>
        </w:tc>
      </w:tr>
      <w:tr w:rsidR="008450B0" w:rsidRPr="00BC7BB5" w14:paraId="53B2A0EC" w14:textId="77777777" w:rsidTr="00F27A12">
        <w:trPr>
          <w:trHeight w:val="145"/>
        </w:trPr>
        <w:tc>
          <w:tcPr>
            <w:tcW w:w="9495" w:type="dxa"/>
            <w:gridSpan w:val="37"/>
            <w:tcBorders>
              <w:top w:val="single" w:sz="4" w:space="0" w:color="000000"/>
              <w:left w:val="nil"/>
              <w:bottom w:val="single" w:sz="4" w:space="0" w:color="000000"/>
              <w:right w:val="nil"/>
            </w:tcBorders>
            <w:shd w:val="clear" w:color="auto" w:fill="FFFFFF"/>
            <w:tcMar>
              <w:top w:w="50" w:type="dxa"/>
              <w:left w:w="50" w:type="dxa"/>
              <w:bottom w:w="50" w:type="dxa"/>
              <w:right w:w="50" w:type="dxa"/>
            </w:tcMar>
            <w:vAlign w:val="center"/>
          </w:tcPr>
          <w:p w14:paraId="53B2A0EB" w14:textId="2F42F2E8" w:rsidR="008450B0" w:rsidRPr="00BC7BB5" w:rsidRDefault="008450B0" w:rsidP="008450B0">
            <w:pPr>
              <w:rPr>
                <w:rFonts w:ascii="Times New Roman" w:eastAsiaTheme="minorEastAsia" w:hAnsi="Times New Roman" w:cs="Times New Roman"/>
                <w:sz w:val="20"/>
                <w:szCs w:val="20"/>
              </w:rPr>
            </w:pPr>
            <w:r w:rsidRPr="00BC7BB5">
              <w:rPr>
                <w:rFonts w:ascii="Times New Roman" w:eastAsiaTheme="minorEastAsia" w:hAnsi="Times New Roman" w:cs="Times New Roman"/>
                <w:sz w:val="20"/>
                <w:szCs w:val="20"/>
              </w:rPr>
              <w:t>Responsible Agency:</w:t>
            </w:r>
            <w:r w:rsidR="00AE69BE" w:rsidRPr="00BC7BB5">
              <w:rPr>
                <w:rFonts w:ascii="Times New Roman" w:eastAsiaTheme="minorEastAsia" w:hAnsi="Times New Roman" w:cs="Times New Roman"/>
                <w:sz w:val="20"/>
                <w:szCs w:val="20"/>
              </w:rPr>
              <w:t xml:space="preserve"> The Ministry of Agriculture</w:t>
            </w:r>
            <w:r w:rsidR="004F339B" w:rsidRPr="00BC7BB5">
              <w:rPr>
                <w:rFonts w:ascii="Times New Roman" w:eastAsiaTheme="minorEastAsia" w:hAnsi="Times New Roman" w:cs="Times New Roman"/>
                <w:sz w:val="20"/>
                <w:szCs w:val="20"/>
              </w:rPr>
              <w:t>,</w:t>
            </w:r>
            <w:r w:rsidR="00AE69BE" w:rsidRPr="00BC7BB5">
              <w:rPr>
                <w:rFonts w:ascii="Times New Roman" w:eastAsiaTheme="minorEastAsia" w:hAnsi="Times New Roman" w:cs="Times New Roman"/>
                <w:sz w:val="20"/>
                <w:szCs w:val="20"/>
              </w:rPr>
              <w:t xml:space="preserve"> </w:t>
            </w:r>
            <w:r w:rsidR="00A91157" w:rsidRPr="00BC7BB5">
              <w:rPr>
                <w:rFonts w:ascii="Times New Roman" w:eastAsiaTheme="minorEastAsia" w:hAnsi="Times New Roman" w:cs="Times New Roman"/>
                <w:sz w:val="20"/>
                <w:szCs w:val="20"/>
              </w:rPr>
              <w:t xml:space="preserve">Maritime </w:t>
            </w:r>
            <w:r w:rsidR="00AE69BE" w:rsidRPr="00BC7BB5">
              <w:rPr>
                <w:rFonts w:ascii="Times New Roman" w:eastAsiaTheme="minorEastAsia" w:hAnsi="Times New Roman" w:cs="Times New Roman"/>
                <w:sz w:val="20"/>
                <w:szCs w:val="20"/>
              </w:rPr>
              <w:t>Fisheries</w:t>
            </w:r>
            <w:r w:rsidR="004F339B" w:rsidRPr="00BC7BB5">
              <w:rPr>
                <w:rFonts w:ascii="Times New Roman" w:eastAsiaTheme="minorEastAsia" w:hAnsi="Times New Roman" w:cs="Times New Roman"/>
                <w:sz w:val="20"/>
                <w:szCs w:val="20"/>
              </w:rPr>
              <w:t>, Rural Development, Water and Forests</w:t>
            </w:r>
            <w:r w:rsidR="00AE69BE" w:rsidRPr="00BC7BB5">
              <w:rPr>
                <w:rFonts w:ascii="Times New Roman" w:eastAsiaTheme="minorEastAsia" w:hAnsi="Times New Roman" w:cs="Times New Roman"/>
                <w:sz w:val="20"/>
                <w:szCs w:val="20"/>
              </w:rPr>
              <w:t xml:space="preserve"> (MAPM</w:t>
            </w:r>
            <w:r w:rsidR="004F339B" w:rsidRPr="00BC7BB5">
              <w:rPr>
                <w:rFonts w:ascii="Times New Roman" w:eastAsiaTheme="minorEastAsia" w:hAnsi="Times New Roman" w:cs="Times New Roman"/>
                <w:sz w:val="20"/>
                <w:szCs w:val="20"/>
              </w:rPr>
              <w:t>DREF</w:t>
            </w:r>
            <w:r w:rsidR="00AE69BE" w:rsidRPr="00BC7BB5">
              <w:rPr>
                <w:rFonts w:ascii="Times New Roman" w:eastAsiaTheme="minorEastAsia" w:hAnsi="Times New Roman" w:cs="Times New Roman"/>
                <w:sz w:val="20"/>
                <w:szCs w:val="20"/>
              </w:rPr>
              <w:t>)</w:t>
            </w:r>
            <w:r w:rsidRPr="00BC7BB5">
              <w:rPr>
                <w:rFonts w:ascii="Times New Roman" w:eastAsiaTheme="minorEastAsia" w:hAnsi="Times New Roman" w:cs="Times New Roman"/>
                <w:sz w:val="20"/>
                <w:szCs w:val="20"/>
              </w:rPr>
              <w:t xml:space="preserve"> </w:t>
            </w:r>
          </w:p>
        </w:tc>
      </w:tr>
      <w:tr w:rsidR="008450B0" w:rsidRPr="00BC7BB5" w14:paraId="53B2A0F1" w14:textId="77777777" w:rsidTr="00F27A12">
        <w:trPr>
          <w:trHeight w:val="145"/>
        </w:trPr>
        <w:tc>
          <w:tcPr>
            <w:tcW w:w="1486" w:type="dxa"/>
            <w:gridSpan w:val="5"/>
            <w:tcBorders>
              <w:top w:val="single" w:sz="4" w:space="0" w:color="000000"/>
              <w:left w:val="nil"/>
              <w:bottom w:val="nil"/>
              <w:right w:val="nil"/>
            </w:tcBorders>
            <w:shd w:val="clear" w:color="auto" w:fill="FFFFFF"/>
            <w:tcMar>
              <w:top w:w="50" w:type="dxa"/>
              <w:left w:w="50" w:type="dxa"/>
              <w:bottom w:w="50" w:type="dxa"/>
              <w:right w:w="50" w:type="dxa"/>
            </w:tcMar>
          </w:tcPr>
          <w:p w14:paraId="53B2A0ED" w14:textId="220F4C0E" w:rsidR="008450B0" w:rsidRPr="00BC7BB5" w:rsidRDefault="008450B0" w:rsidP="00AE69BE">
            <w:pPr>
              <w:spacing w:after="0" w:line="240" w:lineRule="auto"/>
              <w:rPr>
                <w:rFonts w:ascii="Times New Roman" w:eastAsiaTheme="minorEastAsia" w:hAnsi="Times New Roman" w:cs="Times New Roman"/>
                <w:sz w:val="20"/>
                <w:szCs w:val="20"/>
              </w:rPr>
            </w:pPr>
            <w:r w:rsidRPr="00BC7BB5">
              <w:rPr>
                <w:rFonts w:ascii="Times New Roman" w:eastAsiaTheme="minorEastAsia" w:hAnsi="Times New Roman" w:cs="Times New Roman"/>
                <w:sz w:val="20"/>
                <w:szCs w:val="20"/>
              </w:rPr>
              <w:t xml:space="preserve">   Contact:</w:t>
            </w:r>
          </w:p>
        </w:tc>
        <w:tc>
          <w:tcPr>
            <w:tcW w:w="3556" w:type="dxa"/>
            <w:gridSpan w:val="18"/>
            <w:tcBorders>
              <w:top w:val="single" w:sz="4" w:space="0" w:color="000000"/>
              <w:left w:val="nil"/>
              <w:bottom w:val="nil"/>
              <w:right w:val="nil"/>
            </w:tcBorders>
            <w:shd w:val="clear" w:color="auto" w:fill="FFFFFF"/>
            <w:tcMar>
              <w:top w:w="50" w:type="dxa"/>
              <w:left w:w="50" w:type="dxa"/>
              <w:bottom w:w="50" w:type="dxa"/>
              <w:right w:w="50" w:type="dxa"/>
            </w:tcMar>
          </w:tcPr>
          <w:p w14:paraId="53B2A0EE" w14:textId="62D96F6D" w:rsidR="008450B0" w:rsidRPr="00BC7BB5" w:rsidRDefault="00AE69BE" w:rsidP="00AE69BE">
            <w:pPr>
              <w:spacing w:after="0" w:line="240" w:lineRule="auto"/>
              <w:rPr>
                <w:rFonts w:ascii="Times New Roman" w:eastAsiaTheme="minorEastAsia" w:hAnsi="Times New Roman" w:cs="Times New Roman"/>
                <w:sz w:val="20"/>
                <w:szCs w:val="20"/>
              </w:rPr>
            </w:pPr>
            <w:r w:rsidRPr="00BC7BB5">
              <w:rPr>
                <w:rFonts w:ascii="Times New Roman" w:eastAsiaTheme="minorEastAsia" w:hAnsi="Times New Roman" w:cs="Times New Roman"/>
                <w:sz w:val="20"/>
                <w:szCs w:val="20"/>
              </w:rPr>
              <w:t xml:space="preserve">Mr. </w:t>
            </w:r>
            <w:r w:rsidR="004D5C0B">
              <w:rPr>
                <w:rFonts w:ascii="Times New Roman" w:eastAsiaTheme="minorEastAsia" w:hAnsi="Times New Roman" w:cs="Times New Roman"/>
                <w:sz w:val="20"/>
                <w:szCs w:val="20"/>
              </w:rPr>
              <w:t>Nabil</w:t>
            </w:r>
            <w:r w:rsidRPr="00BC7BB5">
              <w:rPr>
                <w:rFonts w:ascii="Times New Roman" w:eastAsiaTheme="minorEastAsia" w:hAnsi="Times New Roman" w:cs="Times New Roman"/>
                <w:sz w:val="20"/>
                <w:szCs w:val="20"/>
              </w:rPr>
              <w:t xml:space="preserve"> </w:t>
            </w:r>
            <w:r w:rsidR="004D5C0B">
              <w:rPr>
                <w:rFonts w:ascii="Times New Roman" w:eastAsiaTheme="minorEastAsia" w:hAnsi="Times New Roman" w:cs="Times New Roman"/>
                <w:sz w:val="20"/>
                <w:szCs w:val="20"/>
              </w:rPr>
              <w:t>Chaouki</w:t>
            </w:r>
          </w:p>
        </w:tc>
        <w:tc>
          <w:tcPr>
            <w:tcW w:w="645" w:type="dxa"/>
            <w:gridSpan w:val="3"/>
            <w:tcBorders>
              <w:top w:val="single" w:sz="4" w:space="0" w:color="000000"/>
              <w:left w:val="nil"/>
              <w:bottom w:val="nil"/>
              <w:right w:val="nil"/>
            </w:tcBorders>
            <w:shd w:val="clear" w:color="auto" w:fill="FFFFFF"/>
            <w:tcMar>
              <w:top w:w="50" w:type="dxa"/>
              <w:left w:w="50" w:type="dxa"/>
              <w:bottom w:w="50" w:type="dxa"/>
              <w:right w:w="50" w:type="dxa"/>
            </w:tcMar>
          </w:tcPr>
          <w:p w14:paraId="53B2A0EF" w14:textId="627BC307" w:rsidR="008450B0" w:rsidRPr="00BC7BB5" w:rsidRDefault="00AE69BE" w:rsidP="00AE69BE">
            <w:pPr>
              <w:spacing w:after="0" w:line="240" w:lineRule="auto"/>
              <w:rPr>
                <w:rFonts w:ascii="Times New Roman" w:eastAsiaTheme="minorEastAsia" w:hAnsi="Times New Roman" w:cs="Times New Roman"/>
                <w:sz w:val="20"/>
                <w:szCs w:val="20"/>
              </w:rPr>
            </w:pPr>
            <w:r w:rsidRPr="00BC7BB5">
              <w:rPr>
                <w:rFonts w:ascii="Times New Roman" w:eastAsiaTheme="minorEastAsia" w:hAnsi="Times New Roman" w:cs="Times New Roman"/>
                <w:sz w:val="20"/>
                <w:szCs w:val="20"/>
              </w:rPr>
              <w:t>T</w:t>
            </w:r>
            <w:r w:rsidR="008450B0" w:rsidRPr="00BC7BB5">
              <w:rPr>
                <w:rFonts w:ascii="Times New Roman" w:eastAsiaTheme="minorEastAsia" w:hAnsi="Times New Roman" w:cs="Times New Roman"/>
                <w:sz w:val="20"/>
                <w:szCs w:val="20"/>
              </w:rPr>
              <w:t>itle:</w:t>
            </w:r>
            <w:r w:rsidRPr="00BC7BB5">
              <w:rPr>
                <w:rFonts w:ascii="Times New Roman" w:eastAsiaTheme="minorEastAsia" w:hAnsi="Times New Roman" w:cs="Times New Roman"/>
                <w:sz w:val="20"/>
                <w:szCs w:val="20"/>
              </w:rPr>
              <w:t xml:space="preserve"> </w:t>
            </w:r>
          </w:p>
        </w:tc>
        <w:tc>
          <w:tcPr>
            <w:tcW w:w="3808" w:type="dxa"/>
            <w:gridSpan w:val="11"/>
            <w:tcBorders>
              <w:top w:val="single" w:sz="4" w:space="0" w:color="000000"/>
              <w:left w:val="nil"/>
              <w:bottom w:val="nil"/>
              <w:right w:val="nil"/>
            </w:tcBorders>
            <w:shd w:val="clear" w:color="auto" w:fill="FFFFFF"/>
            <w:tcMar>
              <w:top w:w="50" w:type="dxa"/>
              <w:left w:w="50" w:type="dxa"/>
              <w:bottom w:w="50" w:type="dxa"/>
              <w:right w:w="50" w:type="dxa"/>
            </w:tcMar>
          </w:tcPr>
          <w:p w14:paraId="53B2A0F0" w14:textId="4E24F9EC" w:rsidR="008450B0" w:rsidRPr="00BC7BB5" w:rsidRDefault="00AE69BE" w:rsidP="00AE69BE">
            <w:pPr>
              <w:spacing w:after="0" w:line="240" w:lineRule="auto"/>
              <w:rPr>
                <w:rFonts w:ascii="Times New Roman" w:eastAsiaTheme="minorEastAsia" w:hAnsi="Times New Roman" w:cs="Times New Roman"/>
                <w:sz w:val="20"/>
                <w:szCs w:val="20"/>
              </w:rPr>
            </w:pPr>
            <w:r w:rsidRPr="00BC7BB5">
              <w:rPr>
                <w:rFonts w:ascii="Times New Roman" w:eastAsiaTheme="minorEastAsia" w:hAnsi="Times New Roman" w:cs="Times New Roman"/>
                <w:sz w:val="20"/>
                <w:szCs w:val="20"/>
              </w:rPr>
              <w:t>Director</w:t>
            </w:r>
            <w:r w:rsidR="004D5C0B">
              <w:rPr>
                <w:rFonts w:ascii="Times New Roman" w:eastAsiaTheme="minorEastAsia" w:hAnsi="Times New Roman" w:cs="Times New Roman"/>
                <w:sz w:val="20"/>
                <w:szCs w:val="20"/>
              </w:rPr>
              <w:t>, DDFP</w:t>
            </w:r>
          </w:p>
        </w:tc>
      </w:tr>
      <w:tr w:rsidR="008450B0" w:rsidRPr="00BC7BB5" w14:paraId="53B2A0F6" w14:textId="77777777" w:rsidTr="00F27A12">
        <w:trPr>
          <w:gridBefore w:val="1"/>
          <w:wBefore w:w="38" w:type="dxa"/>
          <w:trHeight w:val="145"/>
        </w:trPr>
        <w:tc>
          <w:tcPr>
            <w:tcW w:w="1448" w:type="dxa"/>
            <w:gridSpan w:val="4"/>
            <w:tcBorders>
              <w:top w:val="nil"/>
              <w:left w:val="nil"/>
              <w:bottom w:val="single" w:sz="4" w:space="0" w:color="000000"/>
              <w:right w:val="nil"/>
            </w:tcBorders>
            <w:shd w:val="clear" w:color="auto" w:fill="FFFFFF"/>
            <w:tcMar>
              <w:top w:w="50" w:type="dxa"/>
              <w:left w:w="50" w:type="dxa"/>
              <w:bottom w:w="50" w:type="dxa"/>
              <w:right w:w="50" w:type="dxa"/>
            </w:tcMar>
          </w:tcPr>
          <w:p w14:paraId="53B2A0F2" w14:textId="4C845A6F" w:rsidR="008450B0" w:rsidRPr="00BC7BB5" w:rsidRDefault="008450B0" w:rsidP="00987096">
            <w:pPr>
              <w:spacing w:after="240" w:line="240" w:lineRule="auto"/>
              <w:rPr>
                <w:rFonts w:ascii="Times New Roman" w:eastAsiaTheme="minorEastAsia" w:hAnsi="Times New Roman" w:cs="Times New Roman"/>
                <w:sz w:val="20"/>
                <w:szCs w:val="20"/>
              </w:rPr>
            </w:pPr>
            <w:r w:rsidRPr="00BC7BB5">
              <w:rPr>
                <w:rFonts w:ascii="Times New Roman" w:eastAsiaTheme="minorEastAsia" w:hAnsi="Times New Roman" w:cs="Times New Roman"/>
                <w:sz w:val="20"/>
                <w:szCs w:val="20"/>
              </w:rPr>
              <w:t xml:space="preserve">  Telephone No.:</w:t>
            </w:r>
          </w:p>
        </w:tc>
        <w:tc>
          <w:tcPr>
            <w:tcW w:w="3481" w:type="dxa"/>
            <w:gridSpan w:val="17"/>
            <w:tcBorders>
              <w:top w:val="nil"/>
              <w:left w:val="nil"/>
              <w:bottom w:val="single" w:sz="4" w:space="0" w:color="000000"/>
              <w:right w:val="nil"/>
            </w:tcBorders>
            <w:shd w:val="clear" w:color="auto" w:fill="FFFFFF"/>
            <w:tcMar>
              <w:top w:w="50" w:type="dxa"/>
              <w:left w:w="50" w:type="dxa"/>
              <w:bottom w:w="50" w:type="dxa"/>
              <w:right w:w="50" w:type="dxa"/>
            </w:tcMar>
          </w:tcPr>
          <w:p w14:paraId="53B2A0F3" w14:textId="5DEFC60D" w:rsidR="008450B0" w:rsidRPr="00BC7BB5" w:rsidRDefault="00AE69BE" w:rsidP="00987096">
            <w:pPr>
              <w:spacing w:after="240" w:line="240" w:lineRule="auto"/>
              <w:rPr>
                <w:rFonts w:ascii="Times New Roman" w:eastAsiaTheme="minorEastAsia" w:hAnsi="Times New Roman" w:cs="Times New Roman"/>
                <w:sz w:val="20"/>
                <w:szCs w:val="20"/>
              </w:rPr>
            </w:pPr>
            <w:r w:rsidRPr="00BC7BB5">
              <w:rPr>
                <w:rFonts w:ascii="Times New Roman" w:eastAsiaTheme="minorEastAsia" w:hAnsi="Times New Roman" w:cs="Times New Roman"/>
                <w:sz w:val="20"/>
                <w:szCs w:val="20"/>
              </w:rPr>
              <w:t xml:space="preserve">+212 </w:t>
            </w:r>
            <w:r w:rsidR="004D5C0B" w:rsidRPr="008E00AD">
              <w:rPr>
                <w:rFonts w:ascii="Times New Roman" w:hAnsi="Times New Roman"/>
                <w:color w:val="000000" w:themeColor="text1"/>
                <w:sz w:val="20"/>
              </w:rPr>
              <w:t xml:space="preserve">537 10 31 </w:t>
            </w:r>
            <w:r w:rsidR="004D5C0B" w:rsidRPr="00F45017">
              <w:rPr>
                <w:rFonts w:ascii="Times New Roman" w:hAnsi="Times New Roman"/>
                <w:color w:val="000000" w:themeColor="text1"/>
                <w:sz w:val="20"/>
              </w:rPr>
              <w:t>76</w:t>
            </w:r>
          </w:p>
        </w:tc>
        <w:tc>
          <w:tcPr>
            <w:tcW w:w="720" w:type="dxa"/>
            <w:gridSpan w:val="4"/>
            <w:tcBorders>
              <w:top w:val="nil"/>
              <w:left w:val="nil"/>
              <w:bottom w:val="single" w:sz="4" w:space="0" w:color="000000"/>
              <w:right w:val="nil"/>
            </w:tcBorders>
            <w:shd w:val="clear" w:color="auto" w:fill="FFFFFF"/>
            <w:tcMar>
              <w:top w:w="50" w:type="dxa"/>
              <w:left w:w="50" w:type="dxa"/>
              <w:bottom w:w="50" w:type="dxa"/>
              <w:right w:w="50" w:type="dxa"/>
            </w:tcMar>
          </w:tcPr>
          <w:p w14:paraId="53B2A0F4" w14:textId="21EB7905" w:rsidR="008450B0" w:rsidRPr="00BC7BB5" w:rsidRDefault="00A16400" w:rsidP="00987096">
            <w:pPr>
              <w:spacing w:after="240" w:line="240" w:lineRule="auto"/>
              <w:rPr>
                <w:rFonts w:ascii="Times New Roman" w:eastAsiaTheme="minorEastAsia" w:hAnsi="Times New Roman" w:cs="Times New Roman"/>
                <w:sz w:val="20"/>
                <w:szCs w:val="20"/>
              </w:rPr>
            </w:pPr>
            <w:r w:rsidRPr="00BC7BB5">
              <w:rPr>
                <w:rFonts w:ascii="Times New Roman" w:eastAsiaTheme="minorEastAsia" w:hAnsi="Times New Roman" w:cs="Times New Roman"/>
                <w:sz w:val="20"/>
                <w:szCs w:val="20"/>
              </w:rPr>
              <w:t xml:space="preserve"> Email:</w:t>
            </w:r>
          </w:p>
        </w:tc>
        <w:tc>
          <w:tcPr>
            <w:tcW w:w="3808" w:type="dxa"/>
            <w:gridSpan w:val="11"/>
            <w:tcBorders>
              <w:top w:val="nil"/>
              <w:left w:val="nil"/>
              <w:bottom w:val="single" w:sz="4" w:space="0" w:color="000000"/>
              <w:right w:val="nil"/>
            </w:tcBorders>
            <w:shd w:val="clear" w:color="auto" w:fill="FFFFFF"/>
            <w:tcMar>
              <w:top w:w="50" w:type="dxa"/>
              <w:left w:w="50" w:type="dxa"/>
              <w:bottom w:w="50" w:type="dxa"/>
              <w:right w:w="50" w:type="dxa"/>
            </w:tcMar>
          </w:tcPr>
          <w:p w14:paraId="53B2A0F5" w14:textId="35562C22" w:rsidR="008450B0" w:rsidRPr="00BC7BB5" w:rsidRDefault="004D5C0B" w:rsidP="00987096">
            <w:pPr>
              <w:spacing w:after="240" w:line="240" w:lineRule="auto"/>
              <w:rPr>
                <w:rFonts w:ascii="Times New Roman" w:eastAsiaTheme="minorEastAsia" w:hAnsi="Times New Roman" w:cs="Times New Roman"/>
                <w:sz w:val="20"/>
                <w:szCs w:val="20"/>
              </w:rPr>
            </w:pPr>
            <w:r>
              <w:rPr>
                <w:rFonts w:ascii="Times New Roman" w:eastAsiaTheme="minorEastAsia" w:hAnsi="Times New Roman" w:cs="Times New Roman"/>
                <w:sz w:val="20"/>
                <w:szCs w:val="20"/>
              </w:rPr>
              <w:t>n.chaouki</w:t>
            </w:r>
            <w:r w:rsidR="00AE69BE" w:rsidRPr="00BC7BB5">
              <w:rPr>
                <w:rFonts w:ascii="Times New Roman" w:eastAsiaTheme="minorEastAsia" w:hAnsi="Times New Roman" w:cs="Times New Roman"/>
                <w:sz w:val="20"/>
                <w:szCs w:val="20"/>
              </w:rPr>
              <w:t>@agriculture.gov.ma</w:t>
            </w:r>
          </w:p>
        </w:tc>
      </w:tr>
      <w:tr w:rsidR="008450B0" w:rsidRPr="00BC7BB5" w14:paraId="53B2A102" w14:textId="77777777" w:rsidTr="00A72915">
        <w:trPr>
          <w:trHeight w:val="145"/>
        </w:trPr>
        <w:tc>
          <w:tcPr>
            <w:tcW w:w="9495" w:type="dxa"/>
            <w:gridSpan w:val="37"/>
            <w:tcBorders>
              <w:top w:val="single" w:sz="4" w:space="0" w:color="000000"/>
              <w:left w:val="nil"/>
              <w:bottom w:val="single" w:sz="4" w:space="0" w:color="000000"/>
              <w:right w:val="nil"/>
            </w:tcBorders>
            <w:shd w:val="clear" w:color="auto" w:fill="000000"/>
            <w:tcMar>
              <w:top w:w="50" w:type="dxa"/>
              <w:left w:w="50" w:type="dxa"/>
              <w:bottom w:w="50" w:type="dxa"/>
              <w:right w:w="50" w:type="dxa"/>
            </w:tcMar>
            <w:vAlign w:val="center"/>
          </w:tcPr>
          <w:p w14:paraId="53B2A101" w14:textId="1828C131" w:rsidR="008450B0" w:rsidRPr="00BC7BB5" w:rsidRDefault="008450B0" w:rsidP="008450B0">
            <w:pPr>
              <w:rPr>
                <w:rFonts w:ascii="Times New Roman" w:eastAsiaTheme="minorEastAsia" w:hAnsi="Times New Roman" w:cs="Times New Roman"/>
                <w:sz w:val="2"/>
                <w:szCs w:val="2"/>
              </w:rPr>
            </w:pPr>
            <w:r w:rsidRPr="00BC7BB5">
              <w:rPr>
                <w:rFonts w:ascii="Times New Roman" w:eastAsiaTheme="minorEastAsia" w:hAnsi="Times New Roman" w:cs="Times New Roman"/>
                <w:sz w:val="2"/>
                <w:szCs w:val="2"/>
              </w:rPr>
              <w:t>.</w:t>
            </w:r>
          </w:p>
        </w:tc>
      </w:tr>
      <w:tr w:rsidR="008450B0" w:rsidRPr="00BC7BB5" w14:paraId="53B2A104" w14:textId="77777777" w:rsidTr="00A72915">
        <w:tblPrEx>
          <w:jc w:val="center"/>
        </w:tblPrEx>
        <w:trPr>
          <w:trHeight w:val="145"/>
          <w:jc w:val="center"/>
        </w:trPr>
        <w:tc>
          <w:tcPr>
            <w:tcW w:w="9495" w:type="dxa"/>
            <w:gridSpan w:val="37"/>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53B2A103" w14:textId="05691F66" w:rsidR="008450B0" w:rsidRPr="00BC7BB5" w:rsidRDefault="008450B0" w:rsidP="008450B0">
            <w:pPr>
              <w:rPr>
                <w:rFonts w:ascii="Times New Roman" w:hAnsi="Times New Roman" w:cs="Times New Roman"/>
                <w:sz w:val="20"/>
                <w:szCs w:val="20"/>
              </w:rPr>
            </w:pPr>
            <w:r w:rsidRPr="00BC7BB5">
              <w:rPr>
                <w:rFonts w:ascii="Times New Roman" w:hAnsi="Times New Roman" w:cs="Times New Roman"/>
                <w:b/>
                <w:bCs/>
                <w:sz w:val="20"/>
                <w:szCs w:val="20"/>
              </w:rPr>
              <w:t>Expected Disbursements (in USD Million)</w:t>
            </w:r>
          </w:p>
        </w:tc>
      </w:tr>
      <w:tr w:rsidR="008F0B41" w:rsidRPr="00BC7BB5" w14:paraId="53B2A10F" w14:textId="77777777" w:rsidTr="00F27A12">
        <w:tblPrEx>
          <w:jc w:val="center"/>
        </w:tblPrEx>
        <w:trPr>
          <w:trHeight w:val="145"/>
          <w:jc w:val="center"/>
        </w:trPr>
        <w:tc>
          <w:tcPr>
            <w:tcW w:w="1182" w:type="dxa"/>
            <w:gridSpan w:val="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53B2A105" w14:textId="7FEB49F7" w:rsidR="00F20464" w:rsidRPr="00BC7BB5" w:rsidRDefault="00F20464" w:rsidP="008450B0">
            <w:pPr>
              <w:rPr>
                <w:rFonts w:ascii="Times New Roman" w:hAnsi="Times New Roman" w:cs="Times New Roman"/>
                <w:sz w:val="16"/>
                <w:szCs w:val="16"/>
              </w:rPr>
            </w:pPr>
            <w:r w:rsidRPr="00BC7BB5">
              <w:rPr>
                <w:rFonts w:ascii="Times New Roman" w:hAnsi="Times New Roman" w:cs="Times New Roman"/>
                <w:sz w:val="16"/>
                <w:szCs w:val="16"/>
              </w:rPr>
              <w:t>Fiscal Year</w:t>
            </w:r>
          </w:p>
        </w:tc>
        <w:tc>
          <w:tcPr>
            <w:tcW w:w="1187" w:type="dxa"/>
            <w:gridSpan w:val="8"/>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3E6D12D3" w14:textId="77777777" w:rsidR="00F20464" w:rsidRPr="00BC7BB5" w:rsidRDefault="00F20464" w:rsidP="008450B0">
            <w:pPr>
              <w:rPr>
                <w:rFonts w:ascii="Times New Roman" w:hAnsi="Times New Roman" w:cs="Times New Roman"/>
                <w:sz w:val="16"/>
                <w:szCs w:val="16"/>
              </w:rPr>
            </w:pPr>
            <w:r w:rsidRPr="00BC7BB5">
              <w:rPr>
                <w:rFonts w:ascii="Times New Roman" w:hAnsi="Times New Roman" w:cs="Times New Roman"/>
                <w:sz w:val="16"/>
                <w:szCs w:val="16"/>
              </w:rPr>
              <w:t>2018</w:t>
            </w:r>
          </w:p>
        </w:tc>
        <w:tc>
          <w:tcPr>
            <w:tcW w:w="1187" w:type="dxa"/>
            <w:gridSpan w:val="4"/>
            <w:tcBorders>
              <w:top w:val="single" w:sz="4" w:space="0" w:color="000000"/>
              <w:left w:val="single" w:sz="4" w:space="0" w:color="000000"/>
              <w:bottom w:val="single" w:sz="4" w:space="0" w:color="000000"/>
              <w:right w:val="single" w:sz="4" w:space="0" w:color="000000"/>
            </w:tcBorders>
            <w:shd w:val="clear" w:color="auto" w:fill="FFFFFF"/>
          </w:tcPr>
          <w:p w14:paraId="18880822" w14:textId="35ACBA1F" w:rsidR="00F20464" w:rsidRPr="00BC7BB5" w:rsidRDefault="00F20464" w:rsidP="008450B0">
            <w:pPr>
              <w:rPr>
                <w:rFonts w:ascii="Times New Roman" w:hAnsi="Times New Roman" w:cs="Times New Roman"/>
                <w:sz w:val="16"/>
                <w:szCs w:val="16"/>
              </w:rPr>
            </w:pPr>
            <w:r w:rsidRPr="00BC7BB5">
              <w:rPr>
                <w:rFonts w:ascii="Times New Roman" w:hAnsi="Times New Roman" w:cs="Times New Roman"/>
                <w:sz w:val="16"/>
                <w:szCs w:val="16"/>
              </w:rPr>
              <w:t>2019</w:t>
            </w:r>
          </w:p>
        </w:tc>
        <w:tc>
          <w:tcPr>
            <w:tcW w:w="1187" w:type="dxa"/>
            <w:gridSpan w:val="6"/>
            <w:tcBorders>
              <w:top w:val="single" w:sz="4" w:space="0" w:color="000000"/>
              <w:left w:val="single" w:sz="4" w:space="0" w:color="000000"/>
              <w:bottom w:val="single" w:sz="4" w:space="0" w:color="000000"/>
              <w:right w:val="single" w:sz="4" w:space="0" w:color="000000"/>
            </w:tcBorders>
            <w:shd w:val="clear" w:color="auto" w:fill="FFFFFF"/>
          </w:tcPr>
          <w:p w14:paraId="349CB1A5" w14:textId="7A57E20D" w:rsidR="00F20464" w:rsidRPr="00BC7BB5" w:rsidRDefault="00F20464" w:rsidP="008450B0">
            <w:pPr>
              <w:rPr>
                <w:rFonts w:ascii="Times New Roman" w:hAnsi="Times New Roman" w:cs="Times New Roman"/>
                <w:sz w:val="16"/>
                <w:szCs w:val="16"/>
              </w:rPr>
            </w:pPr>
            <w:r w:rsidRPr="00BC7BB5">
              <w:rPr>
                <w:rFonts w:ascii="Times New Roman" w:hAnsi="Times New Roman" w:cs="Times New Roman"/>
                <w:sz w:val="16"/>
                <w:szCs w:val="16"/>
              </w:rPr>
              <w:t>2020</w:t>
            </w:r>
          </w:p>
        </w:tc>
        <w:tc>
          <w:tcPr>
            <w:tcW w:w="1187" w:type="dxa"/>
            <w:gridSpan w:val="6"/>
            <w:tcBorders>
              <w:top w:val="single" w:sz="4" w:space="0" w:color="000000"/>
              <w:left w:val="single" w:sz="4" w:space="0" w:color="000000"/>
              <w:bottom w:val="single" w:sz="4" w:space="0" w:color="000000"/>
              <w:right w:val="single" w:sz="4" w:space="0" w:color="000000"/>
            </w:tcBorders>
            <w:shd w:val="clear" w:color="auto" w:fill="FFFFFF"/>
          </w:tcPr>
          <w:p w14:paraId="6D3A179E" w14:textId="68A8F3C5" w:rsidR="00F20464" w:rsidRPr="00BC7BB5" w:rsidRDefault="00F20464" w:rsidP="008450B0">
            <w:pPr>
              <w:rPr>
                <w:rFonts w:ascii="Times New Roman" w:hAnsi="Times New Roman" w:cs="Times New Roman"/>
                <w:sz w:val="16"/>
                <w:szCs w:val="16"/>
              </w:rPr>
            </w:pPr>
            <w:r w:rsidRPr="00BC7BB5">
              <w:rPr>
                <w:rFonts w:ascii="Times New Roman" w:hAnsi="Times New Roman" w:cs="Times New Roman"/>
                <w:sz w:val="16"/>
                <w:szCs w:val="16"/>
              </w:rPr>
              <w:t>2021</w:t>
            </w:r>
          </w:p>
        </w:tc>
        <w:tc>
          <w:tcPr>
            <w:tcW w:w="1187" w:type="dxa"/>
            <w:gridSpan w:val="4"/>
            <w:tcBorders>
              <w:top w:val="single" w:sz="4" w:space="0" w:color="000000"/>
              <w:left w:val="single" w:sz="4" w:space="0" w:color="000000"/>
              <w:bottom w:val="single" w:sz="4" w:space="0" w:color="000000"/>
              <w:right w:val="single" w:sz="4" w:space="0" w:color="000000"/>
            </w:tcBorders>
            <w:shd w:val="clear" w:color="auto" w:fill="FFFFFF"/>
          </w:tcPr>
          <w:p w14:paraId="0377B079" w14:textId="21B9BAA5" w:rsidR="00F20464" w:rsidRPr="00BC7BB5" w:rsidRDefault="00F20464" w:rsidP="008450B0">
            <w:pPr>
              <w:rPr>
                <w:rFonts w:ascii="Times New Roman" w:hAnsi="Times New Roman" w:cs="Times New Roman"/>
                <w:sz w:val="16"/>
                <w:szCs w:val="16"/>
              </w:rPr>
            </w:pPr>
            <w:r w:rsidRPr="00BC7BB5">
              <w:rPr>
                <w:rFonts w:ascii="Times New Roman" w:hAnsi="Times New Roman" w:cs="Times New Roman"/>
                <w:sz w:val="16"/>
                <w:szCs w:val="16"/>
              </w:rPr>
              <w:t>2022</w:t>
            </w:r>
          </w:p>
        </w:tc>
        <w:tc>
          <w:tcPr>
            <w:tcW w:w="1191" w:type="dxa"/>
            <w:gridSpan w:val="2"/>
            <w:tcBorders>
              <w:top w:val="single" w:sz="4" w:space="0" w:color="000000"/>
              <w:left w:val="single" w:sz="4" w:space="0" w:color="000000"/>
              <w:bottom w:val="single" w:sz="4" w:space="0" w:color="000000"/>
              <w:right w:val="single" w:sz="4" w:space="0" w:color="000000"/>
            </w:tcBorders>
            <w:shd w:val="clear" w:color="auto" w:fill="FFFFFF"/>
          </w:tcPr>
          <w:p w14:paraId="5477EFEB" w14:textId="77777777" w:rsidR="00F20464" w:rsidRPr="00BC7BB5" w:rsidRDefault="00F20464" w:rsidP="008450B0">
            <w:pPr>
              <w:rPr>
                <w:rFonts w:ascii="Times New Roman" w:hAnsi="Times New Roman" w:cs="Times New Roman"/>
                <w:sz w:val="16"/>
                <w:szCs w:val="16"/>
              </w:rPr>
            </w:pPr>
            <w:r w:rsidRPr="00BC7BB5">
              <w:rPr>
                <w:rFonts w:ascii="Times New Roman" w:hAnsi="Times New Roman" w:cs="Times New Roman"/>
                <w:sz w:val="16"/>
                <w:szCs w:val="16"/>
              </w:rPr>
              <w:t>2023</w:t>
            </w:r>
          </w:p>
        </w:tc>
        <w:tc>
          <w:tcPr>
            <w:tcW w:w="1187" w:type="dxa"/>
            <w:gridSpan w:val="4"/>
            <w:tcBorders>
              <w:top w:val="single" w:sz="4" w:space="0" w:color="000000"/>
              <w:left w:val="single" w:sz="4" w:space="0" w:color="000000"/>
              <w:bottom w:val="single" w:sz="4" w:space="0" w:color="000000"/>
              <w:right w:val="single" w:sz="4" w:space="0" w:color="000000"/>
            </w:tcBorders>
            <w:shd w:val="clear" w:color="auto" w:fill="FFFFFF"/>
          </w:tcPr>
          <w:p w14:paraId="53B2A10E" w14:textId="738F69EC" w:rsidR="00F20464" w:rsidRPr="00BC7BB5" w:rsidRDefault="00F20464" w:rsidP="008450B0">
            <w:pPr>
              <w:rPr>
                <w:rFonts w:ascii="Times New Roman" w:hAnsi="Times New Roman" w:cs="Times New Roman"/>
                <w:sz w:val="16"/>
                <w:szCs w:val="16"/>
              </w:rPr>
            </w:pPr>
            <w:r>
              <w:rPr>
                <w:rFonts w:ascii="Times New Roman" w:hAnsi="Times New Roman" w:cs="Times New Roman"/>
                <w:sz w:val="16"/>
                <w:szCs w:val="16"/>
              </w:rPr>
              <w:t>2024</w:t>
            </w:r>
          </w:p>
        </w:tc>
      </w:tr>
      <w:tr w:rsidR="008F0B41" w:rsidRPr="00BC7BB5" w14:paraId="53B2A11A" w14:textId="77777777" w:rsidTr="00F27A12">
        <w:tblPrEx>
          <w:jc w:val="center"/>
        </w:tblPrEx>
        <w:trPr>
          <w:trHeight w:val="145"/>
          <w:jc w:val="center"/>
        </w:trPr>
        <w:tc>
          <w:tcPr>
            <w:tcW w:w="1182" w:type="dxa"/>
            <w:gridSpan w:val="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53B2A110" w14:textId="459D3A1D" w:rsidR="00F20464" w:rsidRPr="00BC7BB5" w:rsidRDefault="00F20464" w:rsidP="008450B0">
            <w:pPr>
              <w:rPr>
                <w:rFonts w:ascii="Times New Roman" w:hAnsi="Times New Roman" w:cs="Times New Roman"/>
                <w:sz w:val="16"/>
                <w:szCs w:val="16"/>
              </w:rPr>
            </w:pPr>
            <w:r w:rsidRPr="00BC7BB5">
              <w:rPr>
                <w:rFonts w:ascii="Times New Roman" w:hAnsi="Times New Roman" w:cs="Times New Roman"/>
                <w:sz w:val="16"/>
                <w:szCs w:val="16"/>
              </w:rPr>
              <w:t>Annual</w:t>
            </w:r>
          </w:p>
        </w:tc>
        <w:tc>
          <w:tcPr>
            <w:tcW w:w="1187" w:type="dxa"/>
            <w:gridSpan w:val="8"/>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7393FC07" w14:textId="40FE75F5" w:rsidR="00F20464" w:rsidRPr="00280609" w:rsidRDefault="00A72915" w:rsidP="008450B0">
            <w:pPr>
              <w:rPr>
                <w:rFonts w:ascii="Times New Roman" w:hAnsi="Times New Roman" w:cs="Times New Roman"/>
                <w:sz w:val="16"/>
                <w:szCs w:val="16"/>
              </w:rPr>
            </w:pPr>
            <w:r>
              <w:rPr>
                <w:rFonts w:ascii="Times New Roman" w:hAnsi="Times New Roman" w:cs="Times New Roman"/>
                <w:sz w:val="16"/>
                <w:szCs w:val="16"/>
              </w:rPr>
              <w:t>65</w:t>
            </w:r>
            <w:r w:rsidR="00F20464" w:rsidRPr="00280609">
              <w:rPr>
                <w:rFonts w:ascii="Times New Roman" w:hAnsi="Times New Roman" w:cs="Times New Roman"/>
                <w:sz w:val="16"/>
                <w:szCs w:val="16"/>
              </w:rPr>
              <w:t>.0</w:t>
            </w:r>
          </w:p>
        </w:tc>
        <w:tc>
          <w:tcPr>
            <w:tcW w:w="1187" w:type="dxa"/>
            <w:gridSpan w:val="4"/>
            <w:tcBorders>
              <w:top w:val="single" w:sz="4" w:space="0" w:color="000000"/>
              <w:left w:val="single" w:sz="4" w:space="0" w:color="000000"/>
              <w:bottom w:val="single" w:sz="4" w:space="0" w:color="000000"/>
              <w:right w:val="single" w:sz="4" w:space="0" w:color="000000"/>
            </w:tcBorders>
            <w:shd w:val="clear" w:color="auto" w:fill="FFFFFF"/>
          </w:tcPr>
          <w:p w14:paraId="0F388E42" w14:textId="1A306D06" w:rsidR="00F20464" w:rsidRPr="00280609" w:rsidRDefault="00A72915" w:rsidP="008450B0">
            <w:pPr>
              <w:rPr>
                <w:rFonts w:ascii="Times New Roman" w:hAnsi="Times New Roman" w:cs="Times New Roman"/>
                <w:sz w:val="16"/>
                <w:szCs w:val="16"/>
              </w:rPr>
            </w:pPr>
            <w:r>
              <w:rPr>
                <w:rFonts w:ascii="Times New Roman" w:hAnsi="Times New Roman" w:cs="Times New Roman"/>
                <w:sz w:val="16"/>
                <w:szCs w:val="16"/>
              </w:rPr>
              <w:t>14</w:t>
            </w:r>
            <w:r w:rsidR="00F20464" w:rsidRPr="00280609">
              <w:rPr>
                <w:rFonts w:ascii="Times New Roman" w:hAnsi="Times New Roman" w:cs="Times New Roman"/>
                <w:sz w:val="16"/>
                <w:szCs w:val="16"/>
              </w:rPr>
              <w:t>.0</w:t>
            </w:r>
          </w:p>
        </w:tc>
        <w:tc>
          <w:tcPr>
            <w:tcW w:w="1187" w:type="dxa"/>
            <w:gridSpan w:val="6"/>
            <w:tcBorders>
              <w:top w:val="single" w:sz="4" w:space="0" w:color="000000"/>
              <w:left w:val="single" w:sz="4" w:space="0" w:color="000000"/>
              <w:bottom w:val="single" w:sz="4" w:space="0" w:color="000000"/>
              <w:right w:val="single" w:sz="4" w:space="0" w:color="000000"/>
            </w:tcBorders>
            <w:shd w:val="clear" w:color="auto" w:fill="FFFFFF"/>
          </w:tcPr>
          <w:p w14:paraId="07B63B3E" w14:textId="759098EA" w:rsidR="00F20464" w:rsidRPr="00280609" w:rsidRDefault="00A72915" w:rsidP="008450B0">
            <w:pPr>
              <w:rPr>
                <w:rFonts w:ascii="Times New Roman" w:hAnsi="Times New Roman" w:cs="Times New Roman"/>
                <w:sz w:val="16"/>
                <w:szCs w:val="16"/>
              </w:rPr>
            </w:pPr>
            <w:r>
              <w:rPr>
                <w:rFonts w:ascii="Times New Roman" w:hAnsi="Times New Roman" w:cs="Times New Roman"/>
                <w:sz w:val="16"/>
                <w:szCs w:val="16"/>
              </w:rPr>
              <w:t>3</w:t>
            </w:r>
            <w:r w:rsidR="00F20464" w:rsidRPr="00280609">
              <w:rPr>
                <w:rFonts w:ascii="Times New Roman" w:hAnsi="Times New Roman" w:cs="Times New Roman"/>
                <w:sz w:val="16"/>
                <w:szCs w:val="16"/>
              </w:rPr>
              <w:t>5</w:t>
            </w:r>
            <w:r>
              <w:rPr>
                <w:rFonts w:ascii="Times New Roman" w:hAnsi="Times New Roman" w:cs="Times New Roman"/>
                <w:sz w:val="16"/>
                <w:szCs w:val="16"/>
              </w:rPr>
              <w:t>.0</w:t>
            </w:r>
          </w:p>
        </w:tc>
        <w:tc>
          <w:tcPr>
            <w:tcW w:w="1187" w:type="dxa"/>
            <w:gridSpan w:val="6"/>
            <w:tcBorders>
              <w:top w:val="single" w:sz="4" w:space="0" w:color="000000"/>
              <w:left w:val="single" w:sz="4" w:space="0" w:color="000000"/>
              <w:bottom w:val="single" w:sz="4" w:space="0" w:color="000000"/>
              <w:right w:val="single" w:sz="4" w:space="0" w:color="000000"/>
            </w:tcBorders>
            <w:shd w:val="clear" w:color="auto" w:fill="FFFFFF"/>
          </w:tcPr>
          <w:p w14:paraId="750B7503" w14:textId="76C29412" w:rsidR="00F20464" w:rsidRPr="00280609" w:rsidRDefault="00A72915" w:rsidP="008450B0">
            <w:pPr>
              <w:rPr>
                <w:rFonts w:ascii="Times New Roman" w:hAnsi="Times New Roman" w:cs="Times New Roman"/>
                <w:sz w:val="16"/>
                <w:szCs w:val="16"/>
              </w:rPr>
            </w:pPr>
            <w:r>
              <w:rPr>
                <w:rFonts w:ascii="Times New Roman" w:hAnsi="Times New Roman" w:cs="Times New Roman"/>
                <w:sz w:val="16"/>
                <w:szCs w:val="16"/>
              </w:rPr>
              <w:t>33.0</w:t>
            </w:r>
          </w:p>
        </w:tc>
        <w:tc>
          <w:tcPr>
            <w:tcW w:w="1187" w:type="dxa"/>
            <w:gridSpan w:val="4"/>
            <w:tcBorders>
              <w:top w:val="single" w:sz="4" w:space="0" w:color="000000"/>
              <w:left w:val="single" w:sz="4" w:space="0" w:color="000000"/>
              <w:bottom w:val="single" w:sz="4" w:space="0" w:color="000000"/>
              <w:right w:val="single" w:sz="4" w:space="0" w:color="000000"/>
            </w:tcBorders>
            <w:shd w:val="clear" w:color="auto" w:fill="FFFFFF"/>
          </w:tcPr>
          <w:p w14:paraId="5394FCD5" w14:textId="0AD4DFC0" w:rsidR="00F20464" w:rsidRPr="00BC7BB5" w:rsidRDefault="00A72915" w:rsidP="008450B0">
            <w:pPr>
              <w:rPr>
                <w:rFonts w:ascii="Times New Roman" w:hAnsi="Times New Roman" w:cs="Times New Roman"/>
                <w:sz w:val="16"/>
                <w:szCs w:val="16"/>
              </w:rPr>
            </w:pPr>
            <w:r>
              <w:rPr>
                <w:rFonts w:ascii="Times New Roman" w:hAnsi="Times New Roman" w:cs="Times New Roman"/>
                <w:sz w:val="16"/>
                <w:szCs w:val="16"/>
              </w:rPr>
              <w:t>2</w:t>
            </w:r>
            <w:r w:rsidR="008F0B41">
              <w:rPr>
                <w:rFonts w:ascii="Times New Roman" w:hAnsi="Times New Roman" w:cs="Times New Roman"/>
                <w:sz w:val="16"/>
                <w:szCs w:val="16"/>
              </w:rPr>
              <w:t>7</w:t>
            </w:r>
            <w:r w:rsidR="00F20464" w:rsidRPr="00BC7BB5">
              <w:rPr>
                <w:rFonts w:ascii="Times New Roman" w:hAnsi="Times New Roman" w:cs="Times New Roman"/>
                <w:sz w:val="16"/>
                <w:szCs w:val="16"/>
              </w:rPr>
              <w:t>.0</w:t>
            </w:r>
          </w:p>
        </w:tc>
        <w:tc>
          <w:tcPr>
            <w:tcW w:w="1191" w:type="dxa"/>
            <w:gridSpan w:val="2"/>
            <w:tcBorders>
              <w:top w:val="single" w:sz="4" w:space="0" w:color="000000"/>
              <w:left w:val="single" w:sz="4" w:space="0" w:color="000000"/>
              <w:bottom w:val="single" w:sz="4" w:space="0" w:color="000000"/>
              <w:right w:val="single" w:sz="4" w:space="0" w:color="000000"/>
            </w:tcBorders>
            <w:shd w:val="clear" w:color="auto" w:fill="FFFFFF"/>
          </w:tcPr>
          <w:p w14:paraId="24BC8D2B" w14:textId="69D56FEF" w:rsidR="00F20464" w:rsidRPr="00BC7BB5" w:rsidRDefault="008F0B41" w:rsidP="008450B0">
            <w:pPr>
              <w:rPr>
                <w:rFonts w:ascii="Times New Roman" w:hAnsi="Times New Roman" w:cs="Times New Roman"/>
                <w:sz w:val="16"/>
                <w:szCs w:val="16"/>
              </w:rPr>
            </w:pPr>
            <w:r>
              <w:rPr>
                <w:rFonts w:ascii="Times New Roman" w:hAnsi="Times New Roman" w:cs="Times New Roman"/>
                <w:sz w:val="16"/>
                <w:szCs w:val="16"/>
              </w:rPr>
              <w:t>2</w:t>
            </w:r>
            <w:r w:rsidR="00A72915">
              <w:rPr>
                <w:rFonts w:ascii="Times New Roman" w:hAnsi="Times New Roman" w:cs="Times New Roman"/>
                <w:sz w:val="16"/>
                <w:szCs w:val="16"/>
              </w:rPr>
              <w:t>6</w:t>
            </w:r>
            <w:r w:rsidR="00F20464" w:rsidRPr="00BC7BB5">
              <w:rPr>
                <w:rFonts w:ascii="Times New Roman" w:hAnsi="Times New Roman" w:cs="Times New Roman"/>
                <w:sz w:val="16"/>
                <w:szCs w:val="16"/>
              </w:rPr>
              <w:t>.0</w:t>
            </w:r>
          </w:p>
        </w:tc>
        <w:tc>
          <w:tcPr>
            <w:tcW w:w="1187" w:type="dxa"/>
            <w:gridSpan w:val="4"/>
            <w:tcBorders>
              <w:top w:val="single" w:sz="4" w:space="0" w:color="000000"/>
              <w:left w:val="single" w:sz="4" w:space="0" w:color="000000"/>
              <w:bottom w:val="single" w:sz="4" w:space="0" w:color="000000"/>
              <w:right w:val="single" w:sz="4" w:space="0" w:color="000000"/>
            </w:tcBorders>
            <w:shd w:val="clear" w:color="auto" w:fill="FFFFFF"/>
          </w:tcPr>
          <w:p w14:paraId="53B2A119" w14:textId="63C47A21" w:rsidR="00F20464" w:rsidRPr="00BC7BB5" w:rsidRDefault="00F20464" w:rsidP="008450B0">
            <w:pPr>
              <w:rPr>
                <w:rFonts w:ascii="Times New Roman" w:hAnsi="Times New Roman" w:cs="Times New Roman"/>
                <w:sz w:val="16"/>
                <w:szCs w:val="16"/>
              </w:rPr>
            </w:pPr>
            <w:r>
              <w:rPr>
                <w:rFonts w:ascii="Times New Roman" w:hAnsi="Times New Roman" w:cs="Times New Roman"/>
                <w:sz w:val="16"/>
                <w:szCs w:val="16"/>
              </w:rPr>
              <w:t>0.0</w:t>
            </w:r>
          </w:p>
        </w:tc>
      </w:tr>
      <w:tr w:rsidR="008F0B41" w:rsidRPr="00BC7BB5" w14:paraId="53B2A125" w14:textId="77777777" w:rsidTr="008F0B41">
        <w:tblPrEx>
          <w:jc w:val="center"/>
        </w:tblPrEx>
        <w:trPr>
          <w:trHeight w:val="145"/>
          <w:jc w:val="center"/>
        </w:trPr>
        <w:tc>
          <w:tcPr>
            <w:tcW w:w="1186" w:type="dxa"/>
            <w:gridSpan w:val="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53B2A11B" w14:textId="10BFB058" w:rsidR="00F20464" w:rsidRPr="00BC7BB5" w:rsidRDefault="00F20464" w:rsidP="008450B0">
            <w:pPr>
              <w:rPr>
                <w:rFonts w:ascii="Times New Roman" w:hAnsi="Times New Roman" w:cs="Times New Roman"/>
                <w:sz w:val="16"/>
                <w:szCs w:val="16"/>
              </w:rPr>
            </w:pPr>
            <w:r w:rsidRPr="00BC7BB5">
              <w:rPr>
                <w:rFonts w:ascii="Times New Roman" w:hAnsi="Times New Roman" w:cs="Times New Roman"/>
                <w:sz w:val="16"/>
                <w:szCs w:val="16"/>
              </w:rPr>
              <w:t>Cumulative</w:t>
            </w:r>
          </w:p>
        </w:tc>
        <w:tc>
          <w:tcPr>
            <w:tcW w:w="1187" w:type="dxa"/>
            <w:gridSpan w:val="8"/>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45ABA69A" w14:textId="01247870" w:rsidR="00F20464" w:rsidRPr="00280609" w:rsidRDefault="00F20464" w:rsidP="008450B0">
            <w:pPr>
              <w:rPr>
                <w:rFonts w:ascii="Times New Roman" w:hAnsi="Times New Roman" w:cs="Times New Roman"/>
                <w:sz w:val="16"/>
                <w:szCs w:val="16"/>
              </w:rPr>
            </w:pPr>
            <w:r>
              <w:rPr>
                <w:rFonts w:ascii="Times New Roman" w:hAnsi="Times New Roman" w:cs="Times New Roman"/>
                <w:sz w:val="16"/>
                <w:szCs w:val="16"/>
              </w:rPr>
              <w:t>65</w:t>
            </w:r>
            <w:r w:rsidRPr="00280609">
              <w:rPr>
                <w:rFonts w:ascii="Times New Roman" w:hAnsi="Times New Roman" w:cs="Times New Roman"/>
                <w:sz w:val="16"/>
                <w:szCs w:val="16"/>
              </w:rPr>
              <w:t>.0</w:t>
            </w:r>
          </w:p>
        </w:tc>
        <w:tc>
          <w:tcPr>
            <w:tcW w:w="1187" w:type="dxa"/>
            <w:gridSpan w:val="4"/>
            <w:tcBorders>
              <w:top w:val="single" w:sz="4" w:space="0" w:color="000000"/>
              <w:left w:val="single" w:sz="4" w:space="0" w:color="000000"/>
              <w:bottom w:val="single" w:sz="4" w:space="0" w:color="000000"/>
              <w:right w:val="single" w:sz="4" w:space="0" w:color="000000"/>
            </w:tcBorders>
            <w:shd w:val="clear" w:color="auto" w:fill="FFFFFF"/>
          </w:tcPr>
          <w:p w14:paraId="65233CAE" w14:textId="5B47DD83" w:rsidR="00F20464" w:rsidRPr="00280609" w:rsidRDefault="00F20464" w:rsidP="008450B0">
            <w:pPr>
              <w:rPr>
                <w:rFonts w:ascii="Times New Roman" w:hAnsi="Times New Roman" w:cs="Times New Roman"/>
                <w:sz w:val="16"/>
                <w:szCs w:val="16"/>
              </w:rPr>
            </w:pPr>
            <w:r w:rsidRPr="00280609">
              <w:rPr>
                <w:rFonts w:ascii="Times New Roman" w:hAnsi="Times New Roman" w:cs="Times New Roman"/>
                <w:sz w:val="16"/>
                <w:szCs w:val="16"/>
              </w:rPr>
              <w:t>79.0</w:t>
            </w:r>
          </w:p>
        </w:tc>
        <w:tc>
          <w:tcPr>
            <w:tcW w:w="1187" w:type="dxa"/>
            <w:gridSpan w:val="6"/>
            <w:tcBorders>
              <w:top w:val="single" w:sz="4" w:space="0" w:color="000000"/>
              <w:left w:val="single" w:sz="4" w:space="0" w:color="000000"/>
              <w:bottom w:val="single" w:sz="4" w:space="0" w:color="000000"/>
              <w:right w:val="single" w:sz="4" w:space="0" w:color="000000"/>
            </w:tcBorders>
            <w:shd w:val="clear" w:color="auto" w:fill="FFFFFF"/>
          </w:tcPr>
          <w:p w14:paraId="13DBDE24" w14:textId="5D2F710C" w:rsidR="00F20464" w:rsidRPr="00280609" w:rsidRDefault="00F20464" w:rsidP="008450B0">
            <w:pPr>
              <w:rPr>
                <w:rFonts w:ascii="Times New Roman" w:hAnsi="Times New Roman" w:cs="Times New Roman"/>
                <w:sz w:val="16"/>
                <w:szCs w:val="16"/>
              </w:rPr>
            </w:pPr>
            <w:r w:rsidRPr="00280609">
              <w:rPr>
                <w:rFonts w:ascii="Times New Roman" w:hAnsi="Times New Roman" w:cs="Times New Roman"/>
                <w:sz w:val="16"/>
                <w:szCs w:val="16"/>
              </w:rPr>
              <w:t>1</w:t>
            </w:r>
            <w:r w:rsidR="00A72915">
              <w:rPr>
                <w:rFonts w:ascii="Times New Roman" w:hAnsi="Times New Roman" w:cs="Times New Roman"/>
                <w:sz w:val="16"/>
                <w:szCs w:val="16"/>
              </w:rPr>
              <w:t>1</w:t>
            </w:r>
            <w:r w:rsidRPr="00280609">
              <w:rPr>
                <w:rFonts w:ascii="Times New Roman" w:hAnsi="Times New Roman" w:cs="Times New Roman"/>
                <w:sz w:val="16"/>
                <w:szCs w:val="16"/>
              </w:rPr>
              <w:t>4</w:t>
            </w:r>
            <w:r w:rsidR="00A72915">
              <w:rPr>
                <w:rFonts w:ascii="Times New Roman" w:hAnsi="Times New Roman" w:cs="Times New Roman"/>
                <w:sz w:val="16"/>
                <w:szCs w:val="16"/>
              </w:rPr>
              <w:t>.0</w:t>
            </w:r>
          </w:p>
        </w:tc>
        <w:tc>
          <w:tcPr>
            <w:tcW w:w="1187" w:type="dxa"/>
            <w:gridSpan w:val="6"/>
            <w:tcBorders>
              <w:top w:val="single" w:sz="4" w:space="0" w:color="000000"/>
              <w:left w:val="single" w:sz="4" w:space="0" w:color="000000"/>
              <w:bottom w:val="single" w:sz="4" w:space="0" w:color="000000"/>
              <w:right w:val="single" w:sz="4" w:space="0" w:color="000000"/>
            </w:tcBorders>
            <w:shd w:val="clear" w:color="auto" w:fill="FFFFFF"/>
          </w:tcPr>
          <w:p w14:paraId="74E5D960" w14:textId="7F68F1F2" w:rsidR="00F20464" w:rsidRPr="00280609" w:rsidRDefault="00A72915" w:rsidP="008450B0">
            <w:pPr>
              <w:rPr>
                <w:rFonts w:ascii="Times New Roman" w:hAnsi="Times New Roman" w:cs="Times New Roman"/>
                <w:sz w:val="16"/>
                <w:szCs w:val="16"/>
              </w:rPr>
            </w:pPr>
            <w:r>
              <w:rPr>
                <w:rFonts w:ascii="Times New Roman" w:hAnsi="Times New Roman" w:cs="Times New Roman"/>
                <w:sz w:val="16"/>
                <w:szCs w:val="16"/>
              </w:rPr>
              <w:t>147</w:t>
            </w:r>
            <w:r w:rsidR="00F20464" w:rsidRPr="00280609">
              <w:rPr>
                <w:rFonts w:ascii="Times New Roman" w:hAnsi="Times New Roman" w:cs="Times New Roman"/>
                <w:sz w:val="16"/>
                <w:szCs w:val="16"/>
              </w:rPr>
              <w:t>.0</w:t>
            </w:r>
          </w:p>
        </w:tc>
        <w:tc>
          <w:tcPr>
            <w:tcW w:w="1187" w:type="dxa"/>
            <w:gridSpan w:val="4"/>
            <w:tcBorders>
              <w:top w:val="single" w:sz="4" w:space="0" w:color="000000"/>
              <w:left w:val="single" w:sz="4" w:space="0" w:color="000000"/>
              <w:bottom w:val="single" w:sz="4" w:space="0" w:color="000000"/>
              <w:right w:val="single" w:sz="4" w:space="0" w:color="000000"/>
            </w:tcBorders>
            <w:shd w:val="clear" w:color="auto" w:fill="FFFFFF"/>
          </w:tcPr>
          <w:p w14:paraId="30D130F6" w14:textId="42089AEF" w:rsidR="00F20464" w:rsidRPr="00BC7BB5" w:rsidRDefault="00A72915" w:rsidP="008450B0">
            <w:pPr>
              <w:rPr>
                <w:rFonts w:ascii="Times New Roman" w:hAnsi="Times New Roman" w:cs="Times New Roman"/>
                <w:sz w:val="16"/>
                <w:szCs w:val="16"/>
              </w:rPr>
            </w:pPr>
            <w:r>
              <w:rPr>
                <w:rFonts w:ascii="Times New Roman" w:hAnsi="Times New Roman" w:cs="Times New Roman"/>
                <w:sz w:val="16"/>
                <w:szCs w:val="16"/>
              </w:rPr>
              <w:t>17</w:t>
            </w:r>
            <w:r w:rsidR="008F0B41">
              <w:rPr>
                <w:rFonts w:ascii="Times New Roman" w:hAnsi="Times New Roman" w:cs="Times New Roman"/>
                <w:sz w:val="16"/>
                <w:szCs w:val="16"/>
              </w:rPr>
              <w:t>4</w:t>
            </w:r>
            <w:r w:rsidR="00F20464" w:rsidRPr="00BC7BB5">
              <w:rPr>
                <w:rFonts w:ascii="Times New Roman" w:hAnsi="Times New Roman" w:cs="Times New Roman"/>
                <w:sz w:val="16"/>
                <w:szCs w:val="16"/>
              </w:rPr>
              <w:t>.0</w:t>
            </w:r>
          </w:p>
        </w:tc>
        <w:tc>
          <w:tcPr>
            <w:tcW w:w="1187" w:type="dxa"/>
            <w:gridSpan w:val="2"/>
            <w:tcBorders>
              <w:top w:val="single" w:sz="4" w:space="0" w:color="000000"/>
              <w:left w:val="single" w:sz="4" w:space="0" w:color="000000"/>
              <w:bottom w:val="single" w:sz="4" w:space="0" w:color="000000"/>
              <w:right w:val="single" w:sz="4" w:space="0" w:color="000000"/>
            </w:tcBorders>
            <w:shd w:val="clear" w:color="auto" w:fill="FFFFFF"/>
          </w:tcPr>
          <w:p w14:paraId="26807D69" w14:textId="59EC49BA" w:rsidR="00F20464" w:rsidRPr="00BC7BB5" w:rsidRDefault="008F0B41" w:rsidP="008450B0">
            <w:pPr>
              <w:rPr>
                <w:rFonts w:ascii="Times New Roman" w:hAnsi="Times New Roman" w:cs="Times New Roman"/>
                <w:sz w:val="16"/>
                <w:szCs w:val="16"/>
              </w:rPr>
            </w:pPr>
            <w:r>
              <w:rPr>
                <w:rFonts w:ascii="Times New Roman" w:hAnsi="Times New Roman" w:cs="Times New Roman"/>
                <w:sz w:val="16"/>
                <w:szCs w:val="16"/>
              </w:rPr>
              <w:t>200.0</w:t>
            </w:r>
          </w:p>
        </w:tc>
        <w:tc>
          <w:tcPr>
            <w:tcW w:w="1187" w:type="dxa"/>
            <w:gridSpan w:val="4"/>
            <w:tcBorders>
              <w:top w:val="single" w:sz="4" w:space="0" w:color="000000"/>
              <w:left w:val="single" w:sz="4" w:space="0" w:color="000000"/>
              <w:bottom w:val="single" w:sz="4" w:space="0" w:color="000000"/>
              <w:right w:val="single" w:sz="4" w:space="0" w:color="000000"/>
            </w:tcBorders>
            <w:shd w:val="clear" w:color="auto" w:fill="FFFFFF"/>
          </w:tcPr>
          <w:p w14:paraId="53B2A124" w14:textId="2AD532E7" w:rsidR="00F20464" w:rsidRPr="00BC7BB5" w:rsidRDefault="00F20464" w:rsidP="008450B0">
            <w:pPr>
              <w:rPr>
                <w:rFonts w:ascii="Times New Roman" w:hAnsi="Times New Roman" w:cs="Times New Roman"/>
                <w:sz w:val="16"/>
                <w:szCs w:val="16"/>
              </w:rPr>
            </w:pPr>
            <w:r>
              <w:rPr>
                <w:rFonts w:ascii="Times New Roman" w:hAnsi="Times New Roman" w:cs="Times New Roman"/>
                <w:sz w:val="16"/>
                <w:szCs w:val="16"/>
              </w:rPr>
              <w:t>200.0</w:t>
            </w:r>
          </w:p>
        </w:tc>
      </w:tr>
      <w:tr w:rsidR="008450B0" w:rsidRPr="00BC7BB5" w14:paraId="53B2A127" w14:textId="77777777" w:rsidTr="00A72915">
        <w:tblPrEx>
          <w:jc w:val="center"/>
        </w:tblPrEx>
        <w:trPr>
          <w:trHeight w:val="145"/>
          <w:jc w:val="center"/>
        </w:trPr>
        <w:tc>
          <w:tcPr>
            <w:tcW w:w="9495" w:type="dxa"/>
            <w:gridSpan w:val="37"/>
            <w:tcBorders>
              <w:top w:val="single" w:sz="4" w:space="0" w:color="000000"/>
              <w:left w:val="single" w:sz="4" w:space="0" w:color="000000"/>
              <w:bottom w:val="single" w:sz="4" w:space="0" w:color="000000"/>
              <w:right w:val="single" w:sz="4" w:space="0" w:color="000000"/>
            </w:tcBorders>
            <w:shd w:val="clear" w:color="auto" w:fill="000000"/>
            <w:tcMar>
              <w:top w:w="50" w:type="dxa"/>
              <w:left w:w="50" w:type="dxa"/>
              <w:bottom w:w="50" w:type="dxa"/>
              <w:right w:w="50" w:type="dxa"/>
            </w:tcMar>
            <w:vAlign w:val="center"/>
          </w:tcPr>
          <w:p w14:paraId="53B2A126" w14:textId="7DDDC8F2" w:rsidR="008450B0" w:rsidRPr="00BC7BB5" w:rsidRDefault="008450B0" w:rsidP="008450B0">
            <w:pPr>
              <w:rPr>
                <w:rFonts w:ascii="Times New Roman" w:hAnsi="Times New Roman" w:cs="Times New Roman"/>
                <w:sz w:val="2"/>
                <w:szCs w:val="2"/>
              </w:rPr>
            </w:pPr>
            <w:r w:rsidRPr="00BC7BB5">
              <w:rPr>
                <w:rFonts w:ascii="Times New Roman" w:hAnsi="Times New Roman" w:cs="Times New Roman"/>
                <w:sz w:val="2"/>
                <w:szCs w:val="2"/>
              </w:rPr>
              <w:t>.</w:t>
            </w:r>
          </w:p>
        </w:tc>
      </w:tr>
      <w:tr w:rsidR="008450B0" w:rsidRPr="00BC7BB5" w14:paraId="53B2A129" w14:textId="77777777" w:rsidTr="00A72915">
        <w:tblPrEx>
          <w:jc w:val="center"/>
        </w:tblPrEx>
        <w:trPr>
          <w:trHeight w:val="145"/>
          <w:jc w:val="center"/>
        </w:trPr>
        <w:tc>
          <w:tcPr>
            <w:tcW w:w="9495" w:type="dxa"/>
            <w:gridSpan w:val="37"/>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53B2A128" w14:textId="16D7F12C" w:rsidR="008450B0" w:rsidRPr="00BC7BB5" w:rsidRDefault="008450B0" w:rsidP="008450B0">
            <w:pPr>
              <w:rPr>
                <w:rFonts w:ascii="Times New Roman" w:hAnsi="Times New Roman" w:cs="Times New Roman"/>
                <w:sz w:val="20"/>
                <w:szCs w:val="20"/>
              </w:rPr>
            </w:pPr>
            <w:r w:rsidRPr="00BC7BB5">
              <w:rPr>
                <w:rFonts w:ascii="Times New Roman" w:hAnsi="Times New Roman" w:cs="Times New Roman"/>
                <w:b/>
                <w:bCs/>
                <w:sz w:val="20"/>
                <w:szCs w:val="20"/>
              </w:rPr>
              <w:t>Program Development Objective(s)</w:t>
            </w:r>
          </w:p>
        </w:tc>
      </w:tr>
      <w:tr w:rsidR="008450B0" w:rsidRPr="00BC7BB5" w14:paraId="53B2A12B" w14:textId="77777777" w:rsidTr="00A72915">
        <w:tblPrEx>
          <w:jc w:val="center"/>
        </w:tblPrEx>
        <w:trPr>
          <w:trHeight w:val="714"/>
          <w:jc w:val="center"/>
        </w:trPr>
        <w:tc>
          <w:tcPr>
            <w:tcW w:w="9495" w:type="dxa"/>
            <w:gridSpan w:val="37"/>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53B2A12A" w14:textId="57758E7D" w:rsidR="008450B0" w:rsidRPr="00BC7BB5" w:rsidRDefault="00AF094F" w:rsidP="00AF094F">
            <w:pPr>
              <w:jc w:val="both"/>
              <w:rPr>
                <w:rFonts w:ascii="Times New Roman" w:hAnsi="Times New Roman" w:cs="Times New Roman"/>
                <w:sz w:val="20"/>
                <w:szCs w:val="20"/>
              </w:rPr>
            </w:pPr>
            <w:r w:rsidRPr="00BC7BB5">
              <w:rPr>
                <w:rFonts w:ascii="Times New Roman" w:hAnsi="Times New Roman" w:cs="Times New Roman"/>
                <w:color w:val="000000" w:themeColor="text1"/>
                <w:sz w:val="20"/>
                <w:szCs w:val="20"/>
              </w:rPr>
              <w:t xml:space="preserve">The </w:t>
            </w:r>
            <w:r w:rsidR="00987096">
              <w:rPr>
                <w:rFonts w:ascii="Times New Roman" w:hAnsi="Times New Roman" w:cs="Times New Roman"/>
                <w:color w:val="000000" w:themeColor="text1"/>
                <w:sz w:val="20"/>
                <w:szCs w:val="20"/>
              </w:rPr>
              <w:t>Program Development O</w:t>
            </w:r>
            <w:r w:rsidRPr="00BC7BB5">
              <w:rPr>
                <w:rFonts w:ascii="Times New Roman" w:hAnsi="Times New Roman" w:cs="Times New Roman"/>
                <w:color w:val="000000" w:themeColor="text1"/>
                <w:sz w:val="20"/>
                <w:szCs w:val="20"/>
              </w:rPr>
              <w:t>bjective is</w:t>
            </w:r>
            <w:r w:rsidRPr="00BC7BB5">
              <w:rPr>
                <w:rFonts w:ascii="Times New Roman" w:hAnsi="Times New Roman" w:cs="Times New Roman"/>
                <w:b/>
                <w:color w:val="000000" w:themeColor="text1"/>
                <w:sz w:val="20"/>
                <w:szCs w:val="20"/>
              </w:rPr>
              <w:t xml:space="preserve"> </w:t>
            </w:r>
            <w:r w:rsidRPr="00BC7BB5">
              <w:rPr>
                <w:rFonts w:ascii="Times New Roman" w:hAnsi="Times New Roman" w:cs="Times New Roman"/>
                <w:color w:val="000000" w:themeColor="text1"/>
                <w:sz w:val="20"/>
                <w:szCs w:val="20"/>
              </w:rPr>
              <w:t xml:space="preserve">to </w:t>
            </w:r>
            <w:r w:rsidR="00FA1667" w:rsidRPr="00BC7BB5">
              <w:rPr>
                <w:rFonts w:ascii="Times New Roman" w:hAnsi="Times New Roman" w:cs="Times New Roman"/>
                <w:color w:val="000000" w:themeColor="text1"/>
                <w:sz w:val="20"/>
                <w:szCs w:val="20"/>
              </w:rPr>
              <w:t xml:space="preserve">increase </w:t>
            </w:r>
            <w:r w:rsidR="00A16400" w:rsidRPr="00BC7BB5">
              <w:rPr>
                <w:rFonts w:ascii="Times New Roman" w:hAnsi="Times New Roman" w:cs="Times New Roman"/>
                <w:color w:val="000000" w:themeColor="text1"/>
                <w:sz w:val="20"/>
                <w:szCs w:val="20"/>
              </w:rPr>
              <w:t>the volume of added-</w:t>
            </w:r>
            <w:r w:rsidR="00B567FC" w:rsidRPr="00BC7BB5">
              <w:rPr>
                <w:rFonts w:ascii="Times New Roman" w:hAnsi="Times New Roman" w:cs="Times New Roman"/>
                <w:color w:val="000000" w:themeColor="text1"/>
                <w:sz w:val="20"/>
                <w:szCs w:val="20"/>
              </w:rPr>
              <w:t>value products commerciali</w:t>
            </w:r>
            <w:r w:rsidR="00A16400" w:rsidRPr="00BC7BB5">
              <w:rPr>
                <w:rFonts w:ascii="Times New Roman" w:hAnsi="Times New Roman" w:cs="Times New Roman"/>
                <w:color w:val="000000" w:themeColor="text1"/>
                <w:sz w:val="20"/>
                <w:szCs w:val="20"/>
              </w:rPr>
              <w:t xml:space="preserve">zed in selected agri-food value </w:t>
            </w:r>
            <w:r w:rsidR="00B567FC" w:rsidRPr="00BC7BB5">
              <w:rPr>
                <w:rFonts w:ascii="Times New Roman" w:hAnsi="Times New Roman" w:cs="Times New Roman"/>
                <w:color w:val="000000" w:themeColor="text1"/>
                <w:sz w:val="20"/>
                <w:szCs w:val="20"/>
              </w:rPr>
              <w:t>chains</w:t>
            </w:r>
            <w:r w:rsidR="00A16400" w:rsidRPr="00BC7BB5">
              <w:rPr>
                <w:rFonts w:ascii="Times New Roman" w:hAnsi="Times New Roman" w:cs="Times New Roman"/>
                <w:color w:val="000000" w:themeColor="text1"/>
                <w:sz w:val="20"/>
                <w:szCs w:val="20"/>
              </w:rPr>
              <w:t xml:space="preserve"> in the Program area</w:t>
            </w:r>
            <w:r w:rsidR="00FA1667" w:rsidRPr="00BC7BB5">
              <w:rPr>
                <w:rFonts w:ascii="Times New Roman" w:hAnsi="Times New Roman" w:cs="Times New Roman"/>
                <w:color w:val="000000" w:themeColor="text1"/>
                <w:sz w:val="20"/>
                <w:szCs w:val="20"/>
              </w:rPr>
              <w:t>.</w:t>
            </w:r>
          </w:p>
        </w:tc>
      </w:tr>
      <w:tr w:rsidR="008450B0" w:rsidRPr="00BC7BB5" w14:paraId="0CF45A72" w14:textId="77777777" w:rsidTr="00F27A12">
        <w:trPr>
          <w:trHeight w:val="57"/>
        </w:trPr>
        <w:tc>
          <w:tcPr>
            <w:tcW w:w="9495" w:type="dxa"/>
            <w:gridSpan w:val="37"/>
            <w:tcBorders>
              <w:top w:val="single" w:sz="4" w:space="0" w:color="000000"/>
              <w:left w:val="single" w:sz="4" w:space="0" w:color="000000"/>
              <w:bottom w:val="single" w:sz="4" w:space="0" w:color="000000"/>
              <w:right w:val="single" w:sz="4" w:space="0" w:color="000000"/>
            </w:tcBorders>
            <w:shd w:val="clear" w:color="auto" w:fill="000000"/>
            <w:tcMar>
              <w:top w:w="50" w:type="dxa"/>
              <w:left w:w="50" w:type="dxa"/>
              <w:bottom w:w="50" w:type="dxa"/>
              <w:right w:w="50" w:type="dxa"/>
            </w:tcMar>
            <w:vAlign w:val="center"/>
          </w:tcPr>
          <w:p w14:paraId="2AC970AD" w14:textId="107C94A8" w:rsidR="008450B0" w:rsidRPr="00BC7BB5" w:rsidRDefault="008450B0" w:rsidP="008450B0">
            <w:pPr>
              <w:rPr>
                <w:rFonts w:ascii="Times New Roman" w:hAnsi="Times New Roman" w:cs="Times New Roman"/>
                <w:sz w:val="2"/>
                <w:szCs w:val="2"/>
              </w:rPr>
            </w:pPr>
            <w:r w:rsidRPr="00BC7BB5">
              <w:rPr>
                <w:rFonts w:ascii="Times New Roman" w:hAnsi="Times New Roman" w:cs="Times New Roman"/>
                <w:sz w:val="2"/>
                <w:szCs w:val="2"/>
              </w:rPr>
              <w:t>.</w:t>
            </w:r>
          </w:p>
        </w:tc>
      </w:tr>
      <w:tr w:rsidR="008450B0" w:rsidRPr="00BC7BB5" w14:paraId="53B2A12D" w14:textId="77777777" w:rsidTr="00F27A12">
        <w:tblPrEx>
          <w:jc w:val="center"/>
        </w:tblPrEx>
        <w:trPr>
          <w:trHeight w:val="145"/>
          <w:jc w:val="center"/>
        </w:trPr>
        <w:tc>
          <w:tcPr>
            <w:tcW w:w="9495" w:type="dxa"/>
            <w:gridSpan w:val="37"/>
            <w:tcBorders>
              <w:top w:val="single" w:sz="4" w:space="0" w:color="000000"/>
              <w:left w:val="single" w:sz="4" w:space="0" w:color="000000"/>
              <w:bottom w:val="single" w:sz="4" w:space="0" w:color="000000"/>
              <w:right w:val="single" w:sz="4" w:space="0" w:color="000000"/>
            </w:tcBorders>
            <w:shd w:val="clear" w:color="auto" w:fill="DCDCDC"/>
            <w:tcMar>
              <w:top w:w="50" w:type="dxa"/>
              <w:left w:w="50" w:type="dxa"/>
              <w:bottom w:w="50" w:type="dxa"/>
              <w:right w:w="50" w:type="dxa"/>
            </w:tcMar>
          </w:tcPr>
          <w:p w14:paraId="53B2A12C" w14:textId="434C087C" w:rsidR="008450B0" w:rsidRPr="00BC7BB5" w:rsidRDefault="008450B0" w:rsidP="008450B0">
            <w:pPr>
              <w:jc w:val="center"/>
              <w:rPr>
                <w:rFonts w:ascii="Times New Roman" w:hAnsi="Times New Roman" w:cs="Times New Roman"/>
              </w:rPr>
            </w:pPr>
            <w:r w:rsidRPr="00BC7BB5">
              <w:rPr>
                <w:rFonts w:ascii="Times New Roman" w:hAnsi="Times New Roman" w:cs="Times New Roman"/>
                <w:b/>
                <w:bCs/>
              </w:rPr>
              <w:t xml:space="preserve">Compliance </w:t>
            </w:r>
          </w:p>
        </w:tc>
      </w:tr>
      <w:tr w:rsidR="008450B0" w:rsidRPr="00BC7BB5" w14:paraId="53B2A12F" w14:textId="77777777" w:rsidTr="00F27A12">
        <w:tblPrEx>
          <w:jc w:val="center"/>
        </w:tblPrEx>
        <w:trPr>
          <w:trHeight w:val="145"/>
          <w:jc w:val="center"/>
        </w:trPr>
        <w:tc>
          <w:tcPr>
            <w:tcW w:w="9495" w:type="dxa"/>
            <w:gridSpan w:val="37"/>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53B2A12E" w14:textId="17FDAD7A" w:rsidR="008450B0" w:rsidRPr="00BC7BB5" w:rsidRDefault="008450B0" w:rsidP="008450B0">
            <w:pPr>
              <w:rPr>
                <w:rFonts w:ascii="Times New Roman" w:hAnsi="Times New Roman" w:cs="Times New Roman"/>
                <w:sz w:val="20"/>
                <w:szCs w:val="20"/>
              </w:rPr>
            </w:pPr>
            <w:r w:rsidRPr="00BC7BB5">
              <w:rPr>
                <w:rFonts w:ascii="Times New Roman" w:hAnsi="Times New Roman" w:cs="Times New Roman"/>
                <w:b/>
                <w:bCs/>
                <w:sz w:val="20"/>
                <w:szCs w:val="20"/>
              </w:rPr>
              <w:t>Policy</w:t>
            </w:r>
          </w:p>
        </w:tc>
      </w:tr>
      <w:tr w:rsidR="008450B0" w:rsidRPr="00BC7BB5" w14:paraId="53B2A135" w14:textId="77777777" w:rsidTr="00F27A12">
        <w:tblPrEx>
          <w:jc w:val="center"/>
        </w:tblPrEx>
        <w:trPr>
          <w:trHeight w:val="145"/>
          <w:jc w:val="center"/>
        </w:trPr>
        <w:tc>
          <w:tcPr>
            <w:tcW w:w="5509" w:type="dxa"/>
            <w:gridSpan w:val="25"/>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53B2A130" w14:textId="4069D4AD" w:rsidR="008450B0" w:rsidRPr="00BC7BB5" w:rsidRDefault="008450B0" w:rsidP="008450B0">
            <w:pPr>
              <w:rPr>
                <w:rFonts w:ascii="Times New Roman" w:hAnsi="Times New Roman" w:cs="Times New Roman"/>
                <w:sz w:val="20"/>
                <w:szCs w:val="20"/>
              </w:rPr>
            </w:pPr>
            <w:r w:rsidRPr="00BC7BB5">
              <w:rPr>
                <w:rFonts w:ascii="Times New Roman" w:hAnsi="Times New Roman" w:cs="Times New Roman"/>
                <w:sz w:val="20"/>
                <w:szCs w:val="20"/>
              </w:rPr>
              <w:lastRenderedPageBreak/>
              <w:t>Does the program depart from the CAS in content or in other significant respects?</w:t>
            </w:r>
          </w:p>
        </w:tc>
        <w:tc>
          <w:tcPr>
            <w:tcW w:w="2279" w:type="dxa"/>
            <w:gridSpan w:val="7"/>
            <w:tcBorders>
              <w:top w:val="single" w:sz="4" w:space="0" w:color="000000"/>
              <w:left w:val="nil"/>
              <w:bottom w:val="single" w:sz="4" w:space="0" w:color="000000"/>
              <w:right w:val="nil"/>
            </w:tcBorders>
            <w:shd w:val="clear" w:color="auto" w:fill="FFFFFF"/>
            <w:tcMar>
              <w:top w:w="50" w:type="dxa"/>
              <w:left w:w="50" w:type="dxa"/>
              <w:bottom w:w="50" w:type="dxa"/>
              <w:right w:w="50" w:type="dxa"/>
            </w:tcMar>
          </w:tcPr>
          <w:p w14:paraId="53B2A131" w14:textId="77777777" w:rsidR="008450B0" w:rsidRPr="00BC7BB5" w:rsidRDefault="008450B0" w:rsidP="008450B0">
            <w:pPr>
              <w:jc w:val="right"/>
              <w:rPr>
                <w:rFonts w:ascii="Times New Roman" w:hAnsi="Times New Roman" w:cs="Times New Roman"/>
                <w:sz w:val="20"/>
                <w:szCs w:val="20"/>
              </w:rPr>
            </w:pPr>
            <w:r w:rsidRPr="00BC7BB5">
              <w:rPr>
                <w:rFonts w:ascii="Times New Roman" w:hAnsi="Times New Roman" w:cs="Times New Roman"/>
                <w:sz w:val="20"/>
                <w:szCs w:val="20"/>
              </w:rPr>
              <w:t>Yes</w:t>
            </w:r>
          </w:p>
        </w:tc>
        <w:tc>
          <w:tcPr>
            <w:tcW w:w="567" w:type="dxa"/>
            <w:gridSpan w:val="2"/>
            <w:tcBorders>
              <w:top w:val="single" w:sz="4" w:space="0" w:color="000000"/>
              <w:left w:val="nil"/>
              <w:bottom w:val="single" w:sz="4" w:space="0" w:color="000000"/>
              <w:right w:val="nil"/>
            </w:tcBorders>
            <w:shd w:val="clear" w:color="auto" w:fill="FFFFFF"/>
            <w:tcMar>
              <w:top w:w="50" w:type="dxa"/>
              <w:left w:w="50" w:type="dxa"/>
              <w:bottom w:w="50" w:type="dxa"/>
              <w:right w:w="50" w:type="dxa"/>
            </w:tcMar>
          </w:tcPr>
          <w:p w14:paraId="53B2A132" w14:textId="77777777" w:rsidR="008450B0" w:rsidRPr="00BC7BB5" w:rsidRDefault="008450B0" w:rsidP="008450B0">
            <w:pPr>
              <w:rPr>
                <w:rFonts w:ascii="Times New Roman" w:hAnsi="Times New Roman" w:cs="Times New Roman"/>
                <w:sz w:val="20"/>
                <w:szCs w:val="20"/>
              </w:rPr>
            </w:pPr>
            <w:r w:rsidRPr="00BC7BB5">
              <w:rPr>
                <w:rFonts w:ascii="Times New Roman" w:hAnsi="Times New Roman" w:cs="Times New Roman"/>
                <w:sz w:val="20"/>
                <w:szCs w:val="20"/>
              </w:rPr>
              <w:t>[   ]</w:t>
            </w:r>
          </w:p>
        </w:tc>
        <w:tc>
          <w:tcPr>
            <w:tcW w:w="568" w:type="dxa"/>
            <w:gridSpan w:val="2"/>
            <w:tcBorders>
              <w:top w:val="single" w:sz="4" w:space="0" w:color="000000"/>
              <w:left w:val="nil"/>
              <w:bottom w:val="single" w:sz="4" w:space="0" w:color="000000"/>
              <w:right w:val="nil"/>
            </w:tcBorders>
            <w:shd w:val="clear" w:color="auto" w:fill="FFFFFF"/>
            <w:tcMar>
              <w:top w:w="50" w:type="dxa"/>
              <w:left w:w="50" w:type="dxa"/>
              <w:bottom w:w="50" w:type="dxa"/>
              <w:right w:w="50" w:type="dxa"/>
            </w:tcMar>
          </w:tcPr>
          <w:p w14:paraId="53B2A133" w14:textId="77777777" w:rsidR="008450B0" w:rsidRPr="00BC7BB5" w:rsidRDefault="008450B0" w:rsidP="008450B0">
            <w:pPr>
              <w:jc w:val="right"/>
              <w:rPr>
                <w:rFonts w:ascii="Times New Roman" w:hAnsi="Times New Roman" w:cs="Times New Roman"/>
                <w:sz w:val="20"/>
                <w:szCs w:val="20"/>
              </w:rPr>
            </w:pPr>
            <w:r w:rsidRPr="00BC7BB5">
              <w:rPr>
                <w:rFonts w:ascii="Times New Roman" w:hAnsi="Times New Roman" w:cs="Times New Roman"/>
                <w:sz w:val="20"/>
                <w:szCs w:val="20"/>
              </w:rPr>
              <w:t>No</w:t>
            </w:r>
          </w:p>
        </w:tc>
        <w:tc>
          <w:tcPr>
            <w:tcW w:w="572" w:type="dxa"/>
            <w:tcBorders>
              <w:top w:val="single" w:sz="4" w:space="0" w:color="000000"/>
              <w:left w:val="nil"/>
              <w:bottom w:val="single" w:sz="4" w:space="0" w:color="000000"/>
              <w:right w:val="single" w:sz="4" w:space="0" w:color="000000"/>
            </w:tcBorders>
            <w:shd w:val="clear" w:color="auto" w:fill="FFFFFF"/>
            <w:tcMar>
              <w:top w:w="50" w:type="dxa"/>
              <w:left w:w="50" w:type="dxa"/>
              <w:bottom w:w="50" w:type="dxa"/>
              <w:right w:w="50" w:type="dxa"/>
            </w:tcMar>
          </w:tcPr>
          <w:p w14:paraId="53B2A134" w14:textId="58684489" w:rsidR="008450B0" w:rsidRPr="00BC7BB5" w:rsidRDefault="00A406A6" w:rsidP="008450B0">
            <w:pPr>
              <w:rPr>
                <w:rFonts w:ascii="Times New Roman" w:hAnsi="Times New Roman" w:cs="Times New Roman"/>
                <w:sz w:val="20"/>
                <w:szCs w:val="20"/>
              </w:rPr>
            </w:pPr>
            <w:r w:rsidRPr="00BC7BB5">
              <w:rPr>
                <w:rFonts w:ascii="Times New Roman" w:hAnsi="Times New Roman" w:cs="Times New Roman"/>
                <w:sz w:val="20"/>
                <w:szCs w:val="20"/>
              </w:rPr>
              <w:t>[</w:t>
            </w:r>
            <w:r w:rsidR="004C6943" w:rsidRPr="00BC7BB5">
              <w:rPr>
                <w:rFonts w:ascii="Times New Roman" w:hAnsi="Times New Roman" w:cs="Times New Roman"/>
                <w:sz w:val="20"/>
                <w:szCs w:val="20"/>
              </w:rPr>
              <w:t>X</w:t>
            </w:r>
            <w:r w:rsidR="008450B0" w:rsidRPr="00BC7BB5">
              <w:rPr>
                <w:rFonts w:ascii="Times New Roman" w:hAnsi="Times New Roman" w:cs="Times New Roman"/>
                <w:sz w:val="20"/>
                <w:szCs w:val="20"/>
              </w:rPr>
              <w:t>]</w:t>
            </w:r>
          </w:p>
        </w:tc>
      </w:tr>
      <w:tr w:rsidR="008450B0" w:rsidRPr="00BC7BB5" w14:paraId="53B2A137" w14:textId="77777777" w:rsidTr="00F27A12">
        <w:tblPrEx>
          <w:jc w:val="center"/>
        </w:tblPrEx>
        <w:trPr>
          <w:trHeight w:val="145"/>
          <w:jc w:val="center"/>
        </w:trPr>
        <w:tc>
          <w:tcPr>
            <w:tcW w:w="9495" w:type="dxa"/>
            <w:gridSpan w:val="37"/>
            <w:tcBorders>
              <w:top w:val="single" w:sz="4" w:space="0" w:color="000000"/>
              <w:left w:val="single" w:sz="4" w:space="0" w:color="000000"/>
              <w:bottom w:val="single" w:sz="4" w:space="0" w:color="000000"/>
              <w:right w:val="single" w:sz="4" w:space="0" w:color="000000"/>
            </w:tcBorders>
            <w:shd w:val="clear" w:color="auto" w:fill="000000"/>
            <w:tcMar>
              <w:top w:w="50" w:type="dxa"/>
              <w:left w:w="50" w:type="dxa"/>
              <w:bottom w:w="50" w:type="dxa"/>
              <w:right w:w="50" w:type="dxa"/>
            </w:tcMar>
            <w:vAlign w:val="center"/>
          </w:tcPr>
          <w:p w14:paraId="53B2A136" w14:textId="5B120E1C" w:rsidR="008450B0" w:rsidRPr="00BC7BB5" w:rsidRDefault="008450B0" w:rsidP="008450B0">
            <w:pPr>
              <w:rPr>
                <w:rFonts w:ascii="Times New Roman" w:hAnsi="Times New Roman" w:cs="Times New Roman"/>
                <w:sz w:val="2"/>
                <w:szCs w:val="2"/>
              </w:rPr>
            </w:pPr>
            <w:r w:rsidRPr="00BC7BB5">
              <w:rPr>
                <w:rFonts w:ascii="Times New Roman" w:hAnsi="Times New Roman" w:cs="Times New Roman"/>
                <w:sz w:val="2"/>
                <w:szCs w:val="2"/>
              </w:rPr>
              <w:t>.</w:t>
            </w:r>
          </w:p>
        </w:tc>
      </w:tr>
      <w:tr w:rsidR="008450B0" w:rsidRPr="00BC7BB5" w14:paraId="53B2A13D" w14:textId="77777777" w:rsidTr="00F27A12">
        <w:tblPrEx>
          <w:jc w:val="center"/>
        </w:tblPrEx>
        <w:trPr>
          <w:trHeight w:val="145"/>
          <w:jc w:val="center"/>
        </w:trPr>
        <w:tc>
          <w:tcPr>
            <w:tcW w:w="5509" w:type="dxa"/>
            <w:gridSpan w:val="25"/>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53B2A138" w14:textId="23E925F9" w:rsidR="008450B0" w:rsidRPr="00BC7BB5" w:rsidRDefault="008450B0" w:rsidP="008450B0">
            <w:pPr>
              <w:rPr>
                <w:rFonts w:ascii="Times New Roman" w:hAnsi="Times New Roman" w:cs="Times New Roman"/>
                <w:sz w:val="20"/>
                <w:szCs w:val="20"/>
              </w:rPr>
            </w:pPr>
            <w:r w:rsidRPr="00BC7BB5">
              <w:rPr>
                <w:rFonts w:ascii="Times New Roman" w:hAnsi="Times New Roman" w:cs="Times New Roman"/>
                <w:sz w:val="20"/>
                <w:szCs w:val="20"/>
              </w:rPr>
              <w:t>Does the program require any waivers of Bank policies applicable to Program-for-Results operations?</w:t>
            </w:r>
          </w:p>
        </w:tc>
        <w:tc>
          <w:tcPr>
            <w:tcW w:w="2279" w:type="dxa"/>
            <w:gridSpan w:val="7"/>
            <w:tcBorders>
              <w:top w:val="single" w:sz="4" w:space="0" w:color="000000"/>
              <w:left w:val="nil"/>
              <w:bottom w:val="single" w:sz="4" w:space="0" w:color="000000"/>
              <w:right w:val="nil"/>
            </w:tcBorders>
            <w:shd w:val="clear" w:color="auto" w:fill="FFFFFF"/>
            <w:tcMar>
              <w:top w:w="50" w:type="dxa"/>
              <w:left w:w="50" w:type="dxa"/>
              <w:bottom w:w="50" w:type="dxa"/>
              <w:right w:w="50" w:type="dxa"/>
            </w:tcMar>
          </w:tcPr>
          <w:p w14:paraId="53B2A139" w14:textId="77777777" w:rsidR="008450B0" w:rsidRPr="00BC7BB5" w:rsidRDefault="008450B0" w:rsidP="008450B0">
            <w:pPr>
              <w:jc w:val="right"/>
              <w:rPr>
                <w:rFonts w:ascii="Times New Roman" w:hAnsi="Times New Roman" w:cs="Times New Roman"/>
                <w:sz w:val="20"/>
                <w:szCs w:val="20"/>
              </w:rPr>
            </w:pPr>
            <w:r w:rsidRPr="00BC7BB5">
              <w:rPr>
                <w:rFonts w:ascii="Times New Roman" w:hAnsi="Times New Roman" w:cs="Times New Roman"/>
                <w:sz w:val="20"/>
                <w:szCs w:val="20"/>
              </w:rPr>
              <w:t>Yes</w:t>
            </w:r>
          </w:p>
        </w:tc>
        <w:tc>
          <w:tcPr>
            <w:tcW w:w="567" w:type="dxa"/>
            <w:gridSpan w:val="2"/>
            <w:tcBorders>
              <w:top w:val="single" w:sz="4" w:space="0" w:color="000000"/>
              <w:left w:val="nil"/>
              <w:bottom w:val="single" w:sz="4" w:space="0" w:color="000000"/>
              <w:right w:val="nil"/>
            </w:tcBorders>
            <w:shd w:val="clear" w:color="auto" w:fill="FFFFFF"/>
            <w:tcMar>
              <w:top w:w="50" w:type="dxa"/>
              <w:left w:w="50" w:type="dxa"/>
              <w:bottom w:w="50" w:type="dxa"/>
              <w:right w:w="50" w:type="dxa"/>
            </w:tcMar>
          </w:tcPr>
          <w:p w14:paraId="53B2A13A" w14:textId="77777777" w:rsidR="008450B0" w:rsidRPr="00BC7BB5" w:rsidRDefault="008450B0" w:rsidP="008450B0">
            <w:pPr>
              <w:rPr>
                <w:rFonts w:ascii="Times New Roman" w:hAnsi="Times New Roman" w:cs="Times New Roman"/>
                <w:sz w:val="20"/>
                <w:szCs w:val="20"/>
              </w:rPr>
            </w:pPr>
            <w:r w:rsidRPr="00BC7BB5">
              <w:rPr>
                <w:rFonts w:ascii="Times New Roman" w:hAnsi="Times New Roman" w:cs="Times New Roman"/>
                <w:sz w:val="20"/>
                <w:szCs w:val="20"/>
              </w:rPr>
              <w:t>[   ]</w:t>
            </w:r>
          </w:p>
        </w:tc>
        <w:tc>
          <w:tcPr>
            <w:tcW w:w="568" w:type="dxa"/>
            <w:gridSpan w:val="2"/>
            <w:tcBorders>
              <w:top w:val="single" w:sz="4" w:space="0" w:color="000000"/>
              <w:left w:val="nil"/>
              <w:bottom w:val="single" w:sz="4" w:space="0" w:color="000000"/>
              <w:right w:val="nil"/>
            </w:tcBorders>
            <w:shd w:val="clear" w:color="auto" w:fill="FFFFFF"/>
            <w:tcMar>
              <w:top w:w="50" w:type="dxa"/>
              <w:left w:w="50" w:type="dxa"/>
              <w:bottom w:w="50" w:type="dxa"/>
              <w:right w:w="50" w:type="dxa"/>
            </w:tcMar>
          </w:tcPr>
          <w:p w14:paraId="53B2A13B" w14:textId="77777777" w:rsidR="008450B0" w:rsidRPr="00BC7BB5" w:rsidRDefault="008450B0" w:rsidP="008450B0">
            <w:pPr>
              <w:jc w:val="right"/>
              <w:rPr>
                <w:rFonts w:ascii="Times New Roman" w:hAnsi="Times New Roman" w:cs="Times New Roman"/>
                <w:sz w:val="20"/>
                <w:szCs w:val="20"/>
              </w:rPr>
            </w:pPr>
            <w:r w:rsidRPr="00BC7BB5">
              <w:rPr>
                <w:rFonts w:ascii="Times New Roman" w:hAnsi="Times New Roman" w:cs="Times New Roman"/>
                <w:sz w:val="20"/>
                <w:szCs w:val="20"/>
              </w:rPr>
              <w:t>No</w:t>
            </w:r>
          </w:p>
        </w:tc>
        <w:tc>
          <w:tcPr>
            <w:tcW w:w="572" w:type="dxa"/>
            <w:tcBorders>
              <w:top w:val="single" w:sz="4" w:space="0" w:color="000000"/>
              <w:left w:val="nil"/>
              <w:bottom w:val="single" w:sz="4" w:space="0" w:color="000000"/>
              <w:right w:val="single" w:sz="4" w:space="0" w:color="000000"/>
            </w:tcBorders>
            <w:shd w:val="clear" w:color="auto" w:fill="FFFFFF"/>
            <w:tcMar>
              <w:top w:w="50" w:type="dxa"/>
              <w:left w:w="50" w:type="dxa"/>
              <w:bottom w:w="50" w:type="dxa"/>
              <w:right w:w="50" w:type="dxa"/>
            </w:tcMar>
          </w:tcPr>
          <w:p w14:paraId="53B2A13C" w14:textId="403E4DA7" w:rsidR="008450B0" w:rsidRPr="00BC7BB5" w:rsidRDefault="00A406A6" w:rsidP="008450B0">
            <w:pPr>
              <w:rPr>
                <w:rFonts w:ascii="Times New Roman" w:hAnsi="Times New Roman" w:cs="Times New Roman"/>
                <w:sz w:val="20"/>
                <w:szCs w:val="20"/>
                <w:highlight w:val="yellow"/>
              </w:rPr>
            </w:pPr>
            <w:r w:rsidRPr="00BC7BB5">
              <w:rPr>
                <w:rFonts w:ascii="Times New Roman" w:hAnsi="Times New Roman" w:cs="Times New Roman"/>
                <w:sz w:val="20"/>
                <w:szCs w:val="20"/>
              </w:rPr>
              <w:t>[</w:t>
            </w:r>
            <w:r w:rsidR="008715B2" w:rsidRPr="00BC7BB5">
              <w:rPr>
                <w:rFonts w:ascii="Times New Roman" w:hAnsi="Times New Roman" w:cs="Times New Roman"/>
                <w:sz w:val="20"/>
                <w:szCs w:val="20"/>
              </w:rPr>
              <w:t>X</w:t>
            </w:r>
            <w:r w:rsidR="008450B0" w:rsidRPr="00BC7BB5">
              <w:rPr>
                <w:rFonts w:ascii="Times New Roman" w:hAnsi="Times New Roman" w:cs="Times New Roman"/>
                <w:sz w:val="20"/>
                <w:szCs w:val="20"/>
              </w:rPr>
              <w:t>]</w:t>
            </w:r>
          </w:p>
        </w:tc>
      </w:tr>
      <w:tr w:rsidR="008450B0" w:rsidRPr="00BC7BB5" w14:paraId="53B2A143" w14:textId="77777777" w:rsidTr="00F27A12">
        <w:tblPrEx>
          <w:jc w:val="center"/>
        </w:tblPrEx>
        <w:trPr>
          <w:trHeight w:val="145"/>
          <w:jc w:val="center"/>
        </w:trPr>
        <w:tc>
          <w:tcPr>
            <w:tcW w:w="5509" w:type="dxa"/>
            <w:gridSpan w:val="25"/>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53B2A13E" w14:textId="4EBE82D7" w:rsidR="008450B0" w:rsidRPr="00BC7BB5" w:rsidRDefault="008450B0" w:rsidP="008450B0">
            <w:pPr>
              <w:rPr>
                <w:rFonts w:ascii="Times New Roman" w:hAnsi="Times New Roman" w:cs="Times New Roman"/>
                <w:sz w:val="20"/>
                <w:szCs w:val="20"/>
              </w:rPr>
            </w:pPr>
            <w:r w:rsidRPr="00BC7BB5">
              <w:rPr>
                <w:rFonts w:ascii="Times New Roman" w:hAnsi="Times New Roman" w:cs="Times New Roman"/>
                <w:sz w:val="20"/>
                <w:szCs w:val="20"/>
              </w:rPr>
              <w:t>Have these been approved by Bank management?</w:t>
            </w:r>
          </w:p>
        </w:tc>
        <w:tc>
          <w:tcPr>
            <w:tcW w:w="2279" w:type="dxa"/>
            <w:gridSpan w:val="7"/>
            <w:tcBorders>
              <w:top w:val="single" w:sz="4" w:space="0" w:color="000000"/>
              <w:left w:val="nil"/>
              <w:bottom w:val="single" w:sz="4" w:space="0" w:color="000000"/>
              <w:right w:val="nil"/>
            </w:tcBorders>
            <w:shd w:val="clear" w:color="auto" w:fill="FFFFFF"/>
            <w:tcMar>
              <w:top w:w="50" w:type="dxa"/>
              <w:left w:w="50" w:type="dxa"/>
              <w:bottom w:w="50" w:type="dxa"/>
              <w:right w:w="50" w:type="dxa"/>
            </w:tcMar>
          </w:tcPr>
          <w:p w14:paraId="53B2A13F" w14:textId="77777777" w:rsidR="008450B0" w:rsidRPr="00BC7BB5" w:rsidRDefault="008450B0" w:rsidP="008450B0">
            <w:pPr>
              <w:jc w:val="right"/>
              <w:rPr>
                <w:rFonts w:ascii="Times New Roman" w:hAnsi="Times New Roman" w:cs="Times New Roman"/>
                <w:sz w:val="20"/>
                <w:szCs w:val="20"/>
              </w:rPr>
            </w:pPr>
            <w:r w:rsidRPr="00BC7BB5">
              <w:rPr>
                <w:rFonts w:ascii="Times New Roman" w:hAnsi="Times New Roman" w:cs="Times New Roman"/>
                <w:sz w:val="20"/>
                <w:szCs w:val="20"/>
              </w:rPr>
              <w:t>Yes</w:t>
            </w:r>
          </w:p>
        </w:tc>
        <w:tc>
          <w:tcPr>
            <w:tcW w:w="567" w:type="dxa"/>
            <w:gridSpan w:val="2"/>
            <w:tcBorders>
              <w:top w:val="single" w:sz="4" w:space="0" w:color="000000"/>
              <w:left w:val="nil"/>
              <w:bottom w:val="single" w:sz="4" w:space="0" w:color="000000"/>
              <w:right w:val="nil"/>
            </w:tcBorders>
            <w:shd w:val="clear" w:color="auto" w:fill="FFFFFF"/>
            <w:tcMar>
              <w:top w:w="50" w:type="dxa"/>
              <w:left w:w="50" w:type="dxa"/>
              <w:bottom w:w="50" w:type="dxa"/>
              <w:right w:w="50" w:type="dxa"/>
            </w:tcMar>
          </w:tcPr>
          <w:p w14:paraId="53B2A140" w14:textId="77777777" w:rsidR="008450B0" w:rsidRPr="00BC7BB5" w:rsidRDefault="008450B0" w:rsidP="008450B0">
            <w:pPr>
              <w:rPr>
                <w:rFonts w:ascii="Times New Roman" w:hAnsi="Times New Roman" w:cs="Times New Roman"/>
                <w:sz w:val="20"/>
                <w:szCs w:val="20"/>
              </w:rPr>
            </w:pPr>
            <w:r w:rsidRPr="00BC7BB5">
              <w:rPr>
                <w:rFonts w:ascii="Times New Roman" w:hAnsi="Times New Roman" w:cs="Times New Roman"/>
                <w:sz w:val="20"/>
                <w:szCs w:val="20"/>
              </w:rPr>
              <w:t>[   ]</w:t>
            </w:r>
          </w:p>
        </w:tc>
        <w:tc>
          <w:tcPr>
            <w:tcW w:w="568" w:type="dxa"/>
            <w:gridSpan w:val="2"/>
            <w:tcBorders>
              <w:top w:val="single" w:sz="4" w:space="0" w:color="000000"/>
              <w:left w:val="nil"/>
              <w:bottom w:val="single" w:sz="4" w:space="0" w:color="000000"/>
              <w:right w:val="nil"/>
            </w:tcBorders>
            <w:shd w:val="clear" w:color="auto" w:fill="FFFFFF"/>
            <w:tcMar>
              <w:top w:w="50" w:type="dxa"/>
              <w:left w:w="50" w:type="dxa"/>
              <w:bottom w:w="50" w:type="dxa"/>
              <w:right w:w="50" w:type="dxa"/>
            </w:tcMar>
          </w:tcPr>
          <w:p w14:paraId="53B2A141" w14:textId="77777777" w:rsidR="008450B0" w:rsidRPr="00BC7BB5" w:rsidRDefault="008450B0" w:rsidP="008450B0">
            <w:pPr>
              <w:jc w:val="right"/>
              <w:rPr>
                <w:rFonts w:ascii="Times New Roman" w:hAnsi="Times New Roman" w:cs="Times New Roman"/>
                <w:sz w:val="20"/>
                <w:szCs w:val="20"/>
              </w:rPr>
            </w:pPr>
            <w:r w:rsidRPr="00BC7BB5">
              <w:rPr>
                <w:rFonts w:ascii="Times New Roman" w:hAnsi="Times New Roman" w:cs="Times New Roman"/>
                <w:sz w:val="20"/>
                <w:szCs w:val="20"/>
              </w:rPr>
              <w:t>No</w:t>
            </w:r>
          </w:p>
        </w:tc>
        <w:tc>
          <w:tcPr>
            <w:tcW w:w="572" w:type="dxa"/>
            <w:tcBorders>
              <w:top w:val="single" w:sz="4" w:space="0" w:color="000000"/>
              <w:left w:val="nil"/>
              <w:bottom w:val="single" w:sz="4" w:space="0" w:color="000000"/>
              <w:right w:val="single" w:sz="4" w:space="0" w:color="000000"/>
            </w:tcBorders>
            <w:shd w:val="clear" w:color="auto" w:fill="FFFFFF"/>
            <w:tcMar>
              <w:top w:w="50" w:type="dxa"/>
              <w:left w:w="50" w:type="dxa"/>
              <w:bottom w:w="50" w:type="dxa"/>
              <w:right w:w="50" w:type="dxa"/>
            </w:tcMar>
          </w:tcPr>
          <w:p w14:paraId="53B2A142" w14:textId="47640973" w:rsidR="008450B0" w:rsidRPr="00BC7BB5" w:rsidRDefault="008715B2" w:rsidP="008450B0">
            <w:pPr>
              <w:rPr>
                <w:rFonts w:ascii="Times New Roman" w:hAnsi="Times New Roman" w:cs="Times New Roman"/>
                <w:sz w:val="20"/>
                <w:szCs w:val="20"/>
              </w:rPr>
            </w:pPr>
            <w:r w:rsidRPr="00BC7BB5">
              <w:rPr>
                <w:rFonts w:ascii="Times New Roman" w:hAnsi="Times New Roman" w:cs="Times New Roman"/>
                <w:sz w:val="20"/>
                <w:szCs w:val="20"/>
              </w:rPr>
              <w:t xml:space="preserve">[ </w:t>
            </w:r>
            <w:r w:rsidR="00A406A6" w:rsidRPr="00BC7BB5">
              <w:rPr>
                <w:rFonts w:ascii="Times New Roman" w:hAnsi="Times New Roman" w:cs="Times New Roman"/>
                <w:sz w:val="20"/>
                <w:szCs w:val="20"/>
              </w:rPr>
              <w:t xml:space="preserve"> </w:t>
            </w:r>
            <w:r w:rsidR="008450B0" w:rsidRPr="00BC7BB5">
              <w:rPr>
                <w:rFonts w:ascii="Times New Roman" w:hAnsi="Times New Roman" w:cs="Times New Roman"/>
                <w:sz w:val="20"/>
                <w:szCs w:val="20"/>
              </w:rPr>
              <w:t xml:space="preserve"> ]</w:t>
            </w:r>
          </w:p>
        </w:tc>
      </w:tr>
      <w:tr w:rsidR="008450B0" w:rsidRPr="00BC7BB5" w14:paraId="53B2A149" w14:textId="77777777" w:rsidTr="00F27A12">
        <w:tblPrEx>
          <w:jc w:val="center"/>
        </w:tblPrEx>
        <w:trPr>
          <w:trHeight w:val="145"/>
          <w:jc w:val="center"/>
        </w:trPr>
        <w:tc>
          <w:tcPr>
            <w:tcW w:w="5509" w:type="dxa"/>
            <w:gridSpan w:val="25"/>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53B2A144" w14:textId="59A30D86" w:rsidR="008450B0" w:rsidRPr="00BC7BB5" w:rsidRDefault="008450B0" w:rsidP="008450B0">
            <w:pPr>
              <w:rPr>
                <w:rFonts w:ascii="Times New Roman" w:hAnsi="Times New Roman" w:cs="Times New Roman"/>
                <w:sz w:val="20"/>
                <w:szCs w:val="20"/>
              </w:rPr>
            </w:pPr>
            <w:r w:rsidRPr="00BC7BB5">
              <w:rPr>
                <w:rFonts w:ascii="Times New Roman" w:hAnsi="Times New Roman" w:cs="Times New Roman"/>
                <w:sz w:val="20"/>
                <w:szCs w:val="20"/>
              </w:rPr>
              <w:t>Is approval for any policy waiver sought from the Board?</w:t>
            </w:r>
          </w:p>
        </w:tc>
        <w:tc>
          <w:tcPr>
            <w:tcW w:w="2279" w:type="dxa"/>
            <w:gridSpan w:val="7"/>
            <w:tcBorders>
              <w:top w:val="single" w:sz="4" w:space="0" w:color="000000"/>
              <w:left w:val="nil"/>
              <w:bottom w:val="single" w:sz="4" w:space="0" w:color="000000"/>
              <w:right w:val="nil"/>
            </w:tcBorders>
            <w:shd w:val="clear" w:color="auto" w:fill="FFFFFF"/>
            <w:tcMar>
              <w:top w:w="50" w:type="dxa"/>
              <w:left w:w="50" w:type="dxa"/>
              <w:bottom w:w="50" w:type="dxa"/>
              <w:right w:w="50" w:type="dxa"/>
            </w:tcMar>
          </w:tcPr>
          <w:p w14:paraId="53B2A145" w14:textId="77777777" w:rsidR="008450B0" w:rsidRPr="00BC7BB5" w:rsidRDefault="008450B0" w:rsidP="008450B0">
            <w:pPr>
              <w:jc w:val="right"/>
              <w:rPr>
                <w:rFonts w:ascii="Times New Roman" w:hAnsi="Times New Roman" w:cs="Times New Roman"/>
                <w:sz w:val="20"/>
                <w:szCs w:val="20"/>
              </w:rPr>
            </w:pPr>
            <w:r w:rsidRPr="00BC7BB5">
              <w:rPr>
                <w:rFonts w:ascii="Times New Roman" w:hAnsi="Times New Roman" w:cs="Times New Roman"/>
                <w:sz w:val="20"/>
                <w:szCs w:val="20"/>
              </w:rPr>
              <w:t>Yes</w:t>
            </w:r>
          </w:p>
        </w:tc>
        <w:tc>
          <w:tcPr>
            <w:tcW w:w="567" w:type="dxa"/>
            <w:gridSpan w:val="2"/>
            <w:tcBorders>
              <w:top w:val="single" w:sz="4" w:space="0" w:color="000000"/>
              <w:left w:val="nil"/>
              <w:bottom w:val="single" w:sz="4" w:space="0" w:color="000000"/>
              <w:right w:val="nil"/>
            </w:tcBorders>
            <w:shd w:val="clear" w:color="auto" w:fill="FFFFFF"/>
            <w:tcMar>
              <w:top w:w="50" w:type="dxa"/>
              <w:left w:w="50" w:type="dxa"/>
              <w:bottom w:w="50" w:type="dxa"/>
              <w:right w:w="50" w:type="dxa"/>
            </w:tcMar>
          </w:tcPr>
          <w:p w14:paraId="53B2A146" w14:textId="77777777" w:rsidR="008450B0" w:rsidRPr="00BC7BB5" w:rsidRDefault="008450B0" w:rsidP="008450B0">
            <w:pPr>
              <w:rPr>
                <w:rFonts w:ascii="Times New Roman" w:hAnsi="Times New Roman" w:cs="Times New Roman"/>
                <w:sz w:val="20"/>
                <w:szCs w:val="20"/>
              </w:rPr>
            </w:pPr>
            <w:r w:rsidRPr="00BC7BB5">
              <w:rPr>
                <w:rFonts w:ascii="Times New Roman" w:hAnsi="Times New Roman" w:cs="Times New Roman"/>
                <w:sz w:val="20"/>
                <w:szCs w:val="20"/>
              </w:rPr>
              <w:t>[   ]</w:t>
            </w:r>
          </w:p>
        </w:tc>
        <w:tc>
          <w:tcPr>
            <w:tcW w:w="568" w:type="dxa"/>
            <w:gridSpan w:val="2"/>
            <w:tcBorders>
              <w:top w:val="single" w:sz="4" w:space="0" w:color="000000"/>
              <w:left w:val="nil"/>
              <w:bottom w:val="single" w:sz="4" w:space="0" w:color="000000"/>
              <w:right w:val="nil"/>
            </w:tcBorders>
            <w:shd w:val="clear" w:color="auto" w:fill="FFFFFF"/>
            <w:tcMar>
              <w:top w:w="50" w:type="dxa"/>
              <w:left w:w="50" w:type="dxa"/>
              <w:bottom w:w="50" w:type="dxa"/>
              <w:right w:w="50" w:type="dxa"/>
            </w:tcMar>
          </w:tcPr>
          <w:p w14:paraId="53B2A147" w14:textId="77777777" w:rsidR="008450B0" w:rsidRPr="00BC7BB5" w:rsidRDefault="008450B0" w:rsidP="008450B0">
            <w:pPr>
              <w:jc w:val="right"/>
              <w:rPr>
                <w:rFonts w:ascii="Times New Roman" w:hAnsi="Times New Roman" w:cs="Times New Roman"/>
                <w:sz w:val="20"/>
                <w:szCs w:val="20"/>
              </w:rPr>
            </w:pPr>
            <w:r w:rsidRPr="00BC7BB5">
              <w:rPr>
                <w:rFonts w:ascii="Times New Roman" w:hAnsi="Times New Roman" w:cs="Times New Roman"/>
                <w:sz w:val="20"/>
                <w:szCs w:val="20"/>
              </w:rPr>
              <w:t>No</w:t>
            </w:r>
          </w:p>
        </w:tc>
        <w:tc>
          <w:tcPr>
            <w:tcW w:w="572" w:type="dxa"/>
            <w:tcBorders>
              <w:top w:val="single" w:sz="4" w:space="0" w:color="000000"/>
              <w:left w:val="nil"/>
              <w:bottom w:val="single" w:sz="4" w:space="0" w:color="000000"/>
              <w:right w:val="single" w:sz="4" w:space="0" w:color="000000"/>
            </w:tcBorders>
            <w:shd w:val="clear" w:color="auto" w:fill="FFFFFF"/>
            <w:tcMar>
              <w:top w:w="50" w:type="dxa"/>
              <w:left w:w="50" w:type="dxa"/>
              <w:bottom w:w="50" w:type="dxa"/>
              <w:right w:w="50" w:type="dxa"/>
            </w:tcMar>
          </w:tcPr>
          <w:p w14:paraId="53B2A148" w14:textId="760E6FBB" w:rsidR="008450B0" w:rsidRPr="00BC7BB5" w:rsidRDefault="00A406A6" w:rsidP="008450B0">
            <w:pPr>
              <w:rPr>
                <w:rFonts w:ascii="Times New Roman" w:hAnsi="Times New Roman" w:cs="Times New Roman"/>
                <w:sz w:val="20"/>
                <w:szCs w:val="20"/>
              </w:rPr>
            </w:pPr>
            <w:r w:rsidRPr="00BC7BB5">
              <w:rPr>
                <w:rFonts w:ascii="Times New Roman" w:hAnsi="Times New Roman" w:cs="Times New Roman"/>
                <w:sz w:val="20"/>
                <w:szCs w:val="20"/>
              </w:rPr>
              <w:t>[</w:t>
            </w:r>
            <w:r w:rsidR="008715B2" w:rsidRPr="00BC7BB5">
              <w:rPr>
                <w:rFonts w:ascii="Times New Roman" w:hAnsi="Times New Roman" w:cs="Times New Roman"/>
                <w:sz w:val="20"/>
                <w:szCs w:val="20"/>
              </w:rPr>
              <w:t>X</w:t>
            </w:r>
            <w:r w:rsidR="008450B0" w:rsidRPr="00BC7BB5">
              <w:rPr>
                <w:rFonts w:ascii="Times New Roman" w:hAnsi="Times New Roman" w:cs="Times New Roman"/>
                <w:sz w:val="20"/>
                <w:szCs w:val="20"/>
              </w:rPr>
              <w:t>]</w:t>
            </w:r>
          </w:p>
        </w:tc>
      </w:tr>
      <w:tr w:rsidR="008450B0" w:rsidRPr="00BC7BB5" w14:paraId="53B2A151" w14:textId="77777777" w:rsidTr="00F27A12">
        <w:tblPrEx>
          <w:jc w:val="center"/>
        </w:tblPrEx>
        <w:trPr>
          <w:trHeight w:val="145"/>
          <w:jc w:val="center"/>
        </w:trPr>
        <w:tc>
          <w:tcPr>
            <w:tcW w:w="9495" w:type="dxa"/>
            <w:gridSpan w:val="37"/>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53B2A150" w14:textId="5A29D06C" w:rsidR="008450B0" w:rsidRPr="00BC7BB5" w:rsidRDefault="008450B0" w:rsidP="008450B0">
            <w:pPr>
              <w:rPr>
                <w:rFonts w:ascii="Times New Roman" w:hAnsi="Times New Roman" w:cs="Times New Roman"/>
                <w:b/>
                <w:bCs/>
                <w:sz w:val="20"/>
                <w:szCs w:val="20"/>
              </w:rPr>
            </w:pPr>
            <w:r w:rsidRPr="00BC7BB5">
              <w:rPr>
                <w:rFonts w:ascii="Times New Roman" w:hAnsi="Times New Roman" w:cs="Times New Roman"/>
                <w:b/>
                <w:bCs/>
                <w:sz w:val="20"/>
                <w:szCs w:val="20"/>
              </w:rPr>
              <w:t xml:space="preserve"> Overall Risk Rating:</w:t>
            </w:r>
            <w:r w:rsidR="0034520F" w:rsidRPr="00BC7BB5">
              <w:rPr>
                <w:rFonts w:ascii="Times New Roman" w:hAnsi="Times New Roman" w:cs="Times New Roman"/>
                <w:b/>
                <w:bCs/>
                <w:sz w:val="20"/>
                <w:szCs w:val="20"/>
              </w:rPr>
              <w:t xml:space="preserve"> </w:t>
            </w:r>
            <w:r w:rsidR="009444CD" w:rsidRPr="00BC7BB5">
              <w:rPr>
                <w:rFonts w:ascii="Times New Roman" w:hAnsi="Times New Roman" w:cs="Times New Roman"/>
                <w:b/>
                <w:bCs/>
                <w:sz w:val="20"/>
                <w:szCs w:val="20"/>
              </w:rPr>
              <w:t>Substantial</w:t>
            </w:r>
          </w:p>
        </w:tc>
      </w:tr>
      <w:tr w:rsidR="008450B0" w:rsidRPr="00BC7BB5" w14:paraId="53B2A153" w14:textId="77777777" w:rsidTr="00F27A12">
        <w:tblPrEx>
          <w:jc w:val="center"/>
        </w:tblPrEx>
        <w:trPr>
          <w:trHeight w:val="145"/>
          <w:jc w:val="center"/>
        </w:trPr>
        <w:tc>
          <w:tcPr>
            <w:tcW w:w="9495" w:type="dxa"/>
            <w:gridSpan w:val="37"/>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53B2A152" w14:textId="6B3FF3C7" w:rsidR="008450B0" w:rsidRPr="00BC7BB5" w:rsidRDefault="008450B0" w:rsidP="008450B0">
            <w:pPr>
              <w:rPr>
                <w:rFonts w:ascii="Times New Roman" w:hAnsi="Times New Roman" w:cs="Times New Roman"/>
                <w:sz w:val="20"/>
                <w:szCs w:val="20"/>
              </w:rPr>
            </w:pPr>
            <w:r w:rsidRPr="00BC7BB5">
              <w:rPr>
                <w:rFonts w:ascii="Times New Roman" w:hAnsi="Times New Roman" w:cs="Times New Roman"/>
                <w:b/>
                <w:bCs/>
                <w:sz w:val="20"/>
                <w:szCs w:val="20"/>
              </w:rPr>
              <w:t>Legal Covenants</w:t>
            </w:r>
          </w:p>
        </w:tc>
      </w:tr>
      <w:tr w:rsidR="008450B0" w:rsidRPr="00BC7BB5" w14:paraId="53B2A158" w14:textId="77777777" w:rsidTr="00F27A12">
        <w:tblPrEx>
          <w:jc w:val="center"/>
        </w:tblPrEx>
        <w:trPr>
          <w:trHeight w:val="145"/>
          <w:jc w:val="center"/>
        </w:trPr>
        <w:tc>
          <w:tcPr>
            <w:tcW w:w="2627" w:type="dxa"/>
            <w:gridSpan w:val="1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53B2A154" w14:textId="6778DC2B" w:rsidR="008450B0" w:rsidRPr="00417067" w:rsidRDefault="008450B0" w:rsidP="008450B0">
            <w:pPr>
              <w:rPr>
                <w:rFonts w:ascii="Times New Roman" w:hAnsi="Times New Roman" w:cs="Times New Roman"/>
                <w:sz w:val="20"/>
                <w:szCs w:val="20"/>
              </w:rPr>
            </w:pPr>
            <w:r w:rsidRPr="00417067">
              <w:rPr>
                <w:rFonts w:ascii="Times New Roman" w:hAnsi="Times New Roman" w:cs="Times New Roman"/>
                <w:b/>
                <w:bCs/>
                <w:sz w:val="20"/>
                <w:szCs w:val="20"/>
              </w:rPr>
              <w:t>Name</w:t>
            </w:r>
          </w:p>
        </w:tc>
        <w:tc>
          <w:tcPr>
            <w:tcW w:w="2882" w:type="dxa"/>
            <w:gridSpan w:val="1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53B2A155" w14:textId="77777777" w:rsidR="008450B0" w:rsidRPr="00417067" w:rsidRDefault="008450B0" w:rsidP="008450B0">
            <w:pPr>
              <w:rPr>
                <w:rFonts w:ascii="Times New Roman" w:hAnsi="Times New Roman" w:cs="Times New Roman"/>
                <w:sz w:val="20"/>
                <w:szCs w:val="20"/>
              </w:rPr>
            </w:pPr>
            <w:r w:rsidRPr="00417067">
              <w:rPr>
                <w:rFonts w:ascii="Times New Roman" w:hAnsi="Times New Roman" w:cs="Times New Roman"/>
                <w:b/>
                <w:bCs/>
                <w:sz w:val="20"/>
                <w:szCs w:val="20"/>
              </w:rPr>
              <w:t>Recurrent</w:t>
            </w:r>
          </w:p>
        </w:tc>
        <w:tc>
          <w:tcPr>
            <w:tcW w:w="2799" w:type="dxa"/>
            <w:gridSpan w:val="8"/>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53B2A156" w14:textId="77777777" w:rsidR="008450B0" w:rsidRPr="00417067" w:rsidRDefault="008450B0" w:rsidP="008450B0">
            <w:pPr>
              <w:rPr>
                <w:rFonts w:ascii="Times New Roman" w:hAnsi="Times New Roman" w:cs="Times New Roman"/>
                <w:sz w:val="20"/>
                <w:szCs w:val="20"/>
              </w:rPr>
            </w:pPr>
            <w:r w:rsidRPr="00417067">
              <w:rPr>
                <w:rFonts w:ascii="Times New Roman" w:hAnsi="Times New Roman" w:cs="Times New Roman"/>
                <w:b/>
                <w:bCs/>
                <w:sz w:val="20"/>
                <w:szCs w:val="20"/>
              </w:rPr>
              <w:t>Due Date</w:t>
            </w:r>
          </w:p>
        </w:tc>
        <w:tc>
          <w:tcPr>
            <w:tcW w:w="1187" w:type="dxa"/>
            <w:gridSpan w:val="4"/>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53B2A157" w14:textId="5FE4CC27" w:rsidR="008450B0" w:rsidRPr="00417067" w:rsidRDefault="008450B0" w:rsidP="008450B0">
            <w:pPr>
              <w:rPr>
                <w:rFonts w:ascii="Times New Roman" w:hAnsi="Times New Roman" w:cs="Times New Roman"/>
                <w:sz w:val="20"/>
                <w:szCs w:val="20"/>
              </w:rPr>
            </w:pPr>
            <w:r w:rsidRPr="00417067">
              <w:rPr>
                <w:rFonts w:ascii="Times New Roman" w:hAnsi="Times New Roman" w:cs="Times New Roman"/>
                <w:b/>
                <w:bCs/>
                <w:sz w:val="20"/>
                <w:szCs w:val="20"/>
              </w:rPr>
              <w:t>Frequency</w:t>
            </w:r>
          </w:p>
        </w:tc>
      </w:tr>
      <w:tr w:rsidR="008450B0" w:rsidRPr="00BC7BB5" w14:paraId="53B2A15D" w14:textId="77777777" w:rsidTr="00F27A12">
        <w:tblPrEx>
          <w:jc w:val="center"/>
        </w:tblPrEx>
        <w:trPr>
          <w:trHeight w:val="145"/>
          <w:jc w:val="center"/>
        </w:trPr>
        <w:tc>
          <w:tcPr>
            <w:tcW w:w="2627" w:type="dxa"/>
            <w:gridSpan w:val="1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7757D297" w14:textId="77777777" w:rsidR="008450B0" w:rsidRDefault="00417067" w:rsidP="008450B0">
            <w:pPr>
              <w:rPr>
                <w:rFonts w:ascii="Times New Roman" w:hAnsi="Times New Roman" w:cs="Times New Roman"/>
                <w:sz w:val="20"/>
                <w:szCs w:val="20"/>
              </w:rPr>
            </w:pPr>
            <w:r w:rsidRPr="00417067">
              <w:rPr>
                <w:rFonts w:ascii="Times New Roman" w:hAnsi="Times New Roman" w:cs="Times New Roman"/>
                <w:sz w:val="20"/>
                <w:szCs w:val="20"/>
              </w:rPr>
              <w:t>Program Operational Manual</w:t>
            </w:r>
          </w:p>
          <w:p w14:paraId="53B2A159" w14:textId="5DB70A17" w:rsidR="00F2085A" w:rsidRPr="00417067" w:rsidRDefault="00F2085A" w:rsidP="008450B0">
            <w:pPr>
              <w:rPr>
                <w:rFonts w:ascii="Times New Roman" w:hAnsi="Times New Roman" w:cs="Times New Roman"/>
                <w:sz w:val="20"/>
                <w:szCs w:val="20"/>
              </w:rPr>
            </w:pPr>
            <w:r>
              <w:rPr>
                <w:rFonts w:ascii="Times New Roman" w:hAnsi="Times New Roman" w:cs="Times New Roman"/>
                <w:sz w:val="20"/>
                <w:szCs w:val="20"/>
              </w:rPr>
              <w:t>Loan Agreement Section I. B.4 of Schedule 2</w:t>
            </w:r>
          </w:p>
        </w:tc>
        <w:tc>
          <w:tcPr>
            <w:tcW w:w="2882" w:type="dxa"/>
            <w:gridSpan w:val="1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53B2A15A" w14:textId="553460D5" w:rsidR="008450B0" w:rsidRPr="00417067" w:rsidRDefault="00BF4D5A" w:rsidP="00417067">
            <w:pPr>
              <w:rPr>
                <w:rFonts w:ascii="Times New Roman" w:hAnsi="Times New Roman" w:cs="Times New Roman"/>
                <w:sz w:val="20"/>
                <w:szCs w:val="20"/>
              </w:rPr>
            </w:pPr>
            <w:r>
              <w:rPr>
                <w:rFonts w:ascii="Times New Roman" w:hAnsi="Times New Roman" w:cs="Times New Roman"/>
                <w:sz w:val="20"/>
                <w:szCs w:val="20"/>
              </w:rPr>
              <w:t>Yes</w:t>
            </w:r>
          </w:p>
        </w:tc>
        <w:tc>
          <w:tcPr>
            <w:tcW w:w="2799" w:type="dxa"/>
            <w:gridSpan w:val="8"/>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53B2A15B" w14:textId="6A218B95" w:rsidR="008450B0" w:rsidRPr="00417067" w:rsidRDefault="008450B0" w:rsidP="008450B0">
            <w:pPr>
              <w:rPr>
                <w:rFonts w:ascii="Times New Roman" w:hAnsi="Times New Roman" w:cs="Times New Roman"/>
                <w:sz w:val="20"/>
                <w:szCs w:val="20"/>
              </w:rPr>
            </w:pPr>
          </w:p>
        </w:tc>
        <w:tc>
          <w:tcPr>
            <w:tcW w:w="1187" w:type="dxa"/>
            <w:gridSpan w:val="4"/>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53B2A15C" w14:textId="3EAEFDA5" w:rsidR="008450B0" w:rsidRPr="00417067" w:rsidRDefault="002A4111" w:rsidP="008450B0">
            <w:pPr>
              <w:rPr>
                <w:rFonts w:ascii="Times New Roman" w:hAnsi="Times New Roman" w:cs="Times New Roman"/>
                <w:sz w:val="20"/>
                <w:szCs w:val="20"/>
              </w:rPr>
            </w:pPr>
            <w:r>
              <w:rPr>
                <w:rFonts w:ascii="Times New Roman" w:hAnsi="Times New Roman" w:cs="Times New Roman"/>
                <w:sz w:val="20"/>
                <w:szCs w:val="20"/>
              </w:rPr>
              <w:t>Continuous</w:t>
            </w:r>
          </w:p>
        </w:tc>
      </w:tr>
      <w:tr w:rsidR="008450B0" w:rsidRPr="00BC7BB5" w14:paraId="53B2A15F" w14:textId="77777777" w:rsidTr="00F27A12">
        <w:tblPrEx>
          <w:jc w:val="center"/>
        </w:tblPrEx>
        <w:trPr>
          <w:trHeight w:val="145"/>
          <w:jc w:val="center"/>
        </w:trPr>
        <w:tc>
          <w:tcPr>
            <w:tcW w:w="9495" w:type="dxa"/>
            <w:gridSpan w:val="37"/>
            <w:tcBorders>
              <w:top w:val="nil"/>
              <w:left w:val="single" w:sz="4" w:space="0" w:color="000000"/>
              <w:bottom w:val="nil"/>
              <w:right w:val="single" w:sz="4" w:space="0" w:color="000000"/>
            </w:tcBorders>
            <w:shd w:val="clear" w:color="auto" w:fill="FFFFFF"/>
            <w:tcMar>
              <w:top w:w="50" w:type="dxa"/>
              <w:left w:w="50" w:type="dxa"/>
              <w:bottom w:w="50" w:type="dxa"/>
              <w:right w:w="50" w:type="dxa"/>
            </w:tcMar>
            <w:vAlign w:val="center"/>
          </w:tcPr>
          <w:p w14:paraId="4039407B" w14:textId="77777777" w:rsidR="008450B0" w:rsidRPr="00417067" w:rsidRDefault="008450B0" w:rsidP="00417067">
            <w:pPr>
              <w:spacing w:after="0"/>
              <w:rPr>
                <w:rFonts w:ascii="Times New Roman" w:hAnsi="Times New Roman" w:cs="Times New Roman"/>
                <w:b/>
                <w:bCs/>
                <w:sz w:val="20"/>
                <w:szCs w:val="20"/>
              </w:rPr>
            </w:pPr>
            <w:r w:rsidRPr="00417067">
              <w:rPr>
                <w:rFonts w:ascii="Times New Roman" w:hAnsi="Times New Roman" w:cs="Times New Roman"/>
                <w:b/>
                <w:bCs/>
                <w:sz w:val="20"/>
                <w:szCs w:val="20"/>
              </w:rPr>
              <w:t>Description of Covenant</w:t>
            </w:r>
          </w:p>
          <w:p w14:paraId="53B2A15E" w14:textId="5762D35B" w:rsidR="00417067" w:rsidRPr="00417067" w:rsidRDefault="00417067" w:rsidP="00417067">
            <w:pPr>
              <w:spacing w:after="0"/>
              <w:jc w:val="both"/>
              <w:rPr>
                <w:rFonts w:ascii="Times New Roman" w:hAnsi="Times New Roman" w:cs="Times New Roman"/>
                <w:sz w:val="20"/>
                <w:szCs w:val="20"/>
              </w:rPr>
            </w:pPr>
            <w:r w:rsidRPr="00417067">
              <w:rPr>
                <w:rFonts w:ascii="Times New Roman" w:hAnsi="Times New Roman" w:cs="Times New Roman"/>
                <w:sz w:val="20"/>
                <w:szCs w:val="20"/>
              </w:rPr>
              <w:t xml:space="preserve">The </w:t>
            </w:r>
            <w:r w:rsidR="00BF4D5A">
              <w:rPr>
                <w:rFonts w:ascii="Times New Roman" w:hAnsi="Times New Roman" w:cs="Times New Roman"/>
                <w:sz w:val="20"/>
                <w:szCs w:val="20"/>
              </w:rPr>
              <w:t xml:space="preserve">Borrower shall carry out the Program in accordance with the </w:t>
            </w:r>
            <w:r w:rsidRPr="00417067">
              <w:rPr>
                <w:rFonts w:ascii="Times New Roman" w:hAnsi="Times New Roman" w:cs="Times New Roman"/>
                <w:sz w:val="20"/>
                <w:szCs w:val="20"/>
              </w:rPr>
              <w:t>Program Operational Manual</w:t>
            </w:r>
            <w:r w:rsidR="00BF4D5A">
              <w:rPr>
                <w:rFonts w:ascii="Times New Roman" w:hAnsi="Times New Roman" w:cs="Times New Roman"/>
                <w:sz w:val="20"/>
                <w:szCs w:val="20"/>
              </w:rPr>
              <w:t xml:space="preserve"> (POM). Except as the Bank shall otherwise agree, the Borrower shall not amend or waive any provision of the POM.</w:t>
            </w:r>
          </w:p>
        </w:tc>
      </w:tr>
      <w:tr w:rsidR="009A7E65" w:rsidRPr="00BC7BB5" w14:paraId="67715575" w14:textId="77777777" w:rsidTr="00F27A12">
        <w:tblPrEx>
          <w:jc w:val="center"/>
        </w:tblPrEx>
        <w:trPr>
          <w:trHeight w:val="145"/>
          <w:jc w:val="center"/>
        </w:trPr>
        <w:tc>
          <w:tcPr>
            <w:tcW w:w="2627" w:type="dxa"/>
            <w:gridSpan w:val="1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70F8C5EA" w14:textId="77777777" w:rsidR="009A7E65" w:rsidRDefault="009A7E65" w:rsidP="00B738F0">
            <w:pPr>
              <w:rPr>
                <w:rFonts w:ascii="Times New Roman" w:hAnsi="Times New Roman" w:cs="Times New Roman"/>
                <w:sz w:val="20"/>
                <w:szCs w:val="20"/>
              </w:rPr>
            </w:pPr>
            <w:r>
              <w:rPr>
                <w:rFonts w:ascii="Times New Roman" w:hAnsi="Times New Roman" w:cs="Times New Roman"/>
                <w:sz w:val="20"/>
                <w:szCs w:val="20"/>
              </w:rPr>
              <w:t xml:space="preserve">Steering Committee </w:t>
            </w:r>
          </w:p>
          <w:p w14:paraId="33A025B2" w14:textId="3C9A2087" w:rsidR="00C37EAB" w:rsidRPr="00417067" w:rsidRDefault="00987096" w:rsidP="00B738F0">
            <w:pPr>
              <w:rPr>
                <w:rFonts w:ascii="Times New Roman" w:hAnsi="Times New Roman" w:cs="Times New Roman"/>
                <w:sz w:val="20"/>
                <w:szCs w:val="20"/>
              </w:rPr>
            </w:pPr>
            <w:r>
              <w:rPr>
                <w:rFonts w:ascii="Times New Roman" w:hAnsi="Times New Roman" w:cs="Times New Roman"/>
                <w:sz w:val="20"/>
                <w:szCs w:val="20"/>
              </w:rPr>
              <w:t>Loan</w:t>
            </w:r>
            <w:r w:rsidR="00C37EAB">
              <w:rPr>
                <w:rFonts w:ascii="Times New Roman" w:hAnsi="Times New Roman" w:cs="Times New Roman"/>
                <w:sz w:val="20"/>
                <w:szCs w:val="20"/>
              </w:rPr>
              <w:t xml:space="preserve"> Agreement </w:t>
            </w:r>
            <w:r w:rsidR="00F2085A">
              <w:rPr>
                <w:rFonts w:ascii="Times New Roman" w:hAnsi="Times New Roman" w:cs="Times New Roman"/>
                <w:sz w:val="20"/>
                <w:szCs w:val="20"/>
              </w:rPr>
              <w:t>Section 1.</w:t>
            </w:r>
            <w:r w:rsidR="00C37EAB">
              <w:rPr>
                <w:rFonts w:ascii="Times New Roman" w:hAnsi="Times New Roman" w:cs="Times New Roman"/>
                <w:sz w:val="20"/>
                <w:szCs w:val="20"/>
              </w:rPr>
              <w:t>A</w:t>
            </w:r>
            <w:r w:rsidR="00F2085A">
              <w:rPr>
                <w:rFonts w:ascii="Times New Roman" w:hAnsi="Times New Roman" w:cs="Times New Roman"/>
                <w:sz w:val="20"/>
                <w:szCs w:val="20"/>
              </w:rPr>
              <w:t xml:space="preserve">.1 </w:t>
            </w:r>
            <w:r w:rsidR="00C37EAB">
              <w:rPr>
                <w:rFonts w:ascii="Times New Roman" w:hAnsi="Times New Roman" w:cs="Times New Roman"/>
                <w:sz w:val="20"/>
                <w:szCs w:val="20"/>
              </w:rPr>
              <w:t>(a)</w:t>
            </w:r>
            <w:r w:rsidR="00F2085A">
              <w:rPr>
                <w:rFonts w:ascii="Times New Roman" w:hAnsi="Times New Roman" w:cs="Times New Roman"/>
                <w:sz w:val="20"/>
                <w:szCs w:val="20"/>
              </w:rPr>
              <w:t xml:space="preserve"> of Schedule 2</w:t>
            </w:r>
          </w:p>
        </w:tc>
        <w:tc>
          <w:tcPr>
            <w:tcW w:w="2882" w:type="dxa"/>
            <w:gridSpan w:val="1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21D2FF09" w14:textId="5B2E6913" w:rsidR="009A7E65" w:rsidRPr="00417067" w:rsidRDefault="00BF4D5A" w:rsidP="00B738F0">
            <w:pPr>
              <w:rPr>
                <w:rFonts w:ascii="Times New Roman" w:hAnsi="Times New Roman" w:cs="Times New Roman"/>
                <w:sz w:val="20"/>
                <w:szCs w:val="20"/>
              </w:rPr>
            </w:pPr>
            <w:r>
              <w:rPr>
                <w:rFonts w:ascii="Times New Roman" w:hAnsi="Times New Roman" w:cs="Times New Roman"/>
                <w:sz w:val="20"/>
                <w:szCs w:val="20"/>
              </w:rPr>
              <w:t>Yes</w:t>
            </w:r>
          </w:p>
        </w:tc>
        <w:tc>
          <w:tcPr>
            <w:tcW w:w="2799" w:type="dxa"/>
            <w:gridSpan w:val="8"/>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368EC48A" w14:textId="4AA9A902" w:rsidR="009A7E65" w:rsidRPr="00417067" w:rsidRDefault="009A7E65" w:rsidP="00B738F0">
            <w:pPr>
              <w:rPr>
                <w:rFonts w:ascii="Times New Roman" w:hAnsi="Times New Roman" w:cs="Times New Roman"/>
                <w:sz w:val="20"/>
                <w:szCs w:val="20"/>
              </w:rPr>
            </w:pPr>
          </w:p>
        </w:tc>
        <w:tc>
          <w:tcPr>
            <w:tcW w:w="1187" w:type="dxa"/>
            <w:gridSpan w:val="4"/>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1E16B02C" w14:textId="7A472F69" w:rsidR="009A7E65" w:rsidRPr="00417067" w:rsidRDefault="002A4111" w:rsidP="00B738F0">
            <w:pPr>
              <w:rPr>
                <w:rFonts w:ascii="Times New Roman" w:hAnsi="Times New Roman" w:cs="Times New Roman"/>
                <w:sz w:val="20"/>
                <w:szCs w:val="20"/>
              </w:rPr>
            </w:pPr>
            <w:r>
              <w:rPr>
                <w:rFonts w:ascii="Times New Roman" w:hAnsi="Times New Roman" w:cs="Times New Roman"/>
                <w:sz w:val="20"/>
                <w:szCs w:val="20"/>
              </w:rPr>
              <w:t>Continuous</w:t>
            </w:r>
          </w:p>
        </w:tc>
      </w:tr>
      <w:tr w:rsidR="009A7E65" w:rsidRPr="00BC7BB5" w14:paraId="548A4B44" w14:textId="77777777" w:rsidTr="00F27A12">
        <w:tblPrEx>
          <w:jc w:val="center"/>
        </w:tblPrEx>
        <w:trPr>
          <w:trHeight w:val="145"/>
          <w:jc w:val="center"/>
        </w:trPr>
        <w:tc>
          <w:tcPr>
            <w:tcW w:w="9495" w:type="dxa"/>
            <w:gridSpan w:val="37"/>
            <w:tcBorders>
              <w:top w:val="nil"/>
              <w:left w:val="single" w:sz="4" w:space="0" w:color="000000"/>
              <w:bottom w:val="nil"/>
              <w:right w:val="single" w:sz="4" w:space="0" w:color="000000"/>
            </w:tcBorders>
            <w:shd w:val="clear" w:color="auto" w:fill="FFFFFF"/>
            <w:tcMar>
              <w:top w:w="50" w:type="dxa"/>
              <w:left w:w="50" w:type="dxa"/>
              <w:bottom w:w="50" w:type="dxa"/>
              <w:right w:w="50" w:type="dxa"/>
            </w:tcMar>
            <w:vAlign w:val="center"/>
          </w:tcPr>
          <w:p w14:paraId="01E862AB" w14:textId="77777777" w:rsidR="009A7E65" w:rsidRPr="00417067" w:rsidRDefault="009A7E65" w:rsidP="00B738F0">
            <w:pPr>
              <w:spacing w:after="0"/>
              <w:rPr>
                <w:rFonts w:ascii="Times New Roman" w:hAnsi="Times New Roman" w:cs="Times New Roman"/>
                <w:b/>
                <w:bCs/>
                <w:sz w:val="20"/>
                <w:szCs w:val="20"/>
              </w:rPr>
            </w:pPr>
            <w:r w:rsidRPr="00417067">
              <w:rPr>
                <w:rFonts w:ascii="Times New Roman" w:hAnsi="Times New Roman" w:cs="Times New Roman"/>
                <w:b/>
                <w:bCs/>
                <w:sz w:val="20"/>
                <w:szCs w:val="20"/>
              </w:rPr>
              <w:t>Description of Covenant</w:t>
            </w:r>
          </w:p>
          <w:p w14:paraId="4B1DE295" w14:textId="662535F9" w:rsidR="009A7E65" w:rsidRPr="009A7E65" w:rsidRDefault="004D5C0B" w:rsidP="009A7E65">
            <w:pPr>
              <w:spacing w:after="0"/>
              <w:jc w:val="both"/>
              <w:rPr>
                <w:rFonts w:ascii="Times New Roman" w:hAnsi="Times New Roman" w:cs="Times New Roman"/>
                <w:sz w:val="20"/>
                <w:szCs w:val="20"/>
              </w:rPr>
            </w:pPr>
            <w:r>
              <w:rPr>
                <w:rFonts w:ascii="Times New Roman" w:hAnsi="Times New Roman" w:cs="Times New Roman"/>
                <w:sz w:val="20"/>
                <w:szCs w:val="20"/>
              </w:rPr>
              <w:t>M</w:t>
            </w:r>
            <w:r w:rsidR="009A7E65" w:rsidRPr="009A7E65">
              <w:rPr>
                <w:rFonts w:ascii="Times New Roman" w:hAnsi="Times New Roman" w:cs="Times New Roman"/>
                <w:sz w:val="20"/>
                <w:szCs w:val="20"/>
              </w:rPr>
              <w:t xml:space="preserve">aintain, throughout Program’s implementation, a Steering Committee, </w:t>
            </w:r>
            <w:r w:rsidR="002A4111">
              <w:rPr>
                <w:rFonts w:ascii="Times New Roman" w:hAnsi="Times New Roman" w:cs="Times New Roman"/>
                <w:sz w:val="20"/>
                <w:szCs w:val="20"/>
              </w:rPr>
              <w:t>composed of</w:t>
            </w:r>
            <w:r w:rsidR="009A7E65" w:rsidRPr="009A7E65">
              <w:rPr>
                <w:rFonts w:ascii="Times New Roman" w:hAnsi="Times New Roman" w:cs="Times New Roman"/>
                <w:sz w:val="20"/>
                <w:szCs w:val="20"/>
              </w:rPr>
              <w:t xml:space="preserve"> representatives of entities and institutions participating in the implementation, monitoring and evaluation of the Program, responsible </w:t>
            </w:r>
            <w:r w:rsidR="002A4111">
              <w:rPr>
                <w:rFonts w:ascii="Times New Roman" w:hAnsi="Times New Roman" w:cs="Times New Roman"/>
                <w:sz w:val="20"/>
                <w:szCs w:val="20"/>
              </w:rPr>
              <w:t>for</w:t>
            </w:r>
            <w:r w:rsidR="002A4111" w:rsidRPr="009A7E65">
              <w:rPr>
                <w:rFonts w:ascii="Times New Roman" w:hAnsi="Times New Roman" w:cs="Times New Roman"/>
                <w:sz w:val="20"/>
                <w:szCs w:val="20"/>
              </w:rPr>
              <w:t xml:space="preserve"> </w:t>
            </w:r>
            <w:r w:rsidR="009A7E65" w:rsidRPr="009A7E65">
              <w:rPr>
                <w:rFonts w:ascii="Times New Roman" w:hAnsi="Times New Roman" w:cs="Times New Roman"/>
                <w:sz w:val="20"/>
                <w:szCs w:val="20"/>
              </w:rPr>
              <w:t>strategic oversight and guidance under the Program, all under terms and conditions acceptable to the Bank and described in the POM.</w:t>
            </w:r>
          </w:p>
        </w:tc>
      </w:tr>
      <w:tr w:rsidR="00C37EAB" w:rsidRPr="00BC7BB5" w14:paraId="37AD9586" w14:textId="77777777" w:rsidTr="00F27A12">
        <w:tblPrEx>
          <w:jc w:val="center"/>
        </w:tblPrEx>
        <w:trPr>
          <w:trHeight w:val="145"/>
          <w:jc w:val="center"/>
        </w:trPr>
        <w:tc>
          <w:tcPr>
            <w:tcW w:w="2627" w:type="dxa"/>
            <w:gridSpan w:val="1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63DDACAC" w14:textId="77777777" w:rsidR="00C37EAB" w:rsidRDefault="00C37EAB" w:rsidP="00B738F0">
            <w:pPr>
              <w:rPr>
                <w:rFonts w:ascii="Times New Roman" w:hAnsi="Times New Roman" w:cs="Times New Roman"/>
                <w:sz w:val="20"/>
                <w:szCs w:val="20"/>
              </w:rPr>
            </w:pPr>
            <w:r>
              <w:rPr>
                <w:rFonts w:ascii="Times New Roman" w:hAnsi="Times New Roman" w:cs="Times New Roman"/>
                <w:sz w:val="20"/>
                <w:szCs w:val="20"/>
              </w:rPr>
              <w:t>Program Management Unit</w:t>
            </w:r>
          </w:p>
          <w:p w14:paraId="07288791" w14:textId="461FF1C7" w:rsidR="00D1434B" w:rsidRPr="00417067" w:rsidRDefault="00D1434B" w:rsidP="00B738F0">
            <w:pPr>
              <w:rPr>
                <w:rFonts w:ascii="Times New Roman" w:hAnsi="Times New Roman" w:cs="Times New Roman"/>
                <w:sz w:val="20"/>
                <w:szCs w:val="20"/>
              </w:rPr>
            </w:pPr>
            <w:r>
              <w:rPr>
                <w:rFonts w:ascii="Times New Roman" w:hAnsi="Times New Roman" w:cs="Times New Roman"/>
                <w:sz w:val="20"/>
                <w:szCs w:val="20"/>
              </w:rPr>
              <w:t>L</w:t>
            </w:r>
            <w:r w:rsidR="00987096">
              <w:rPr>
                <w:rFonts w:ascii="Times New Roman" w:hAnsi="Times New Roman" w:cs="Times New Roman"/>
                <w:sz w:val="20"/>
                <w:szCs w:val="20"/>
              </w:rPr>
              <w:t>oan</w:t>
            </w:r>
            <w:r>
              <w:rPr>
                <w:rFonts w:ascii="Times New Roman" w:hAnsi="Times New Roman" w:cs="Times New Roman"/>
                <w:sz w:val="20"/>
                <w:szCs w:val="20"/>
              </w:rPr>
              <w:t xml:space="preserve"> Agreement </w:t>
            </w:r>
            <w:r w:rsidR="00F2085A">
              <w:rPr>
                <w:rFonts w:ascii="Times New Roman" w:hAnsi="Times New Roman" w:cs="Times New Roman"/>
                <w:sz w:val="20"/>
                <w:szCs w:val="20"/>
              </w:rPr>
              <w:t>Section I.A.</w:t>
            </w:r>
            <w:r>
              <w:rPr>
                <w:rFonts w:ascii="Times New Roman" w:hAnsi="Times New Roman" w:cs="Times New Roman"/>
                <w:sz w:val="20"/>
                <w:szCs w:val="20"/>
              </w:rPr>
              <w:t>1 (b)</w:t>
            </w:r>
            <w:r w:rsidR="00F2085A">
              <w:rPr>
                <w:rFonts w:ascii="Times New Roman" w:hAnsi="Times New Roman" w:cs="Times New Roman"/>
                <w:sz w:val="20"/>
                <w:szCs w:val="20"/>
              </w:rPr>
              <w:t xml:space="preserve"> of Schedule 2</w:t>
            </w:r>
          </w:p>
        </w:tc>
        <w:tc>
          <w:tcPr>
            <w:tcW w:w="2882" w:type="dxa"/>
            <w:gridSpan w:val="1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38E57CFA" w14:textId="0C7D57A0" w:rsidR="00C37EAB" w:rsidRPr="00417067" w:rsidRDefault="00BF4D5A" w:rsidP="00B738F0">
            <w:pPr>
              <w:rPr>
                <w:rFonts w:ascii="Times New Roman" w:hAnsi="Times New Roman" w:cs="Times New Roman"/>
                <w:sz w:val="20"/>
                <w:szCs w:val="20"/>
              </w:rPr>
            </w:pPr>
            <w:r>
              <w:rPr>
                <w:rFonts w:ascii="Times New Roman" w:hAnsi="Times New Roman" w:cs="Times New Roman"/>
                <w:sz w:val="20"/>
                <w:szCs w:val="20"/>
              </w:rPr>
              <w:t>Yes</w:t>
            </w:r>
          </w:p>
        </w:tc>
        <w:tc>
          <w:tcPr>
            <w:tcW w:w="2799" w:type="dxa"/>
            <w:gridSpan w:val="8"/>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56F8469F" w14:textId="1D632975" w:rsidR="00C37EAB" w:rsidRPr="00417067" w:rsidRDefault="00C37EAB" w:rsidP="00B738F0">
            <w:pPr>
              <w:rPr>
                <w:rFonts w:ascii="Times New Roman" w:hAnsi="Times New Roman" w:cs="Times New Roman"/>
                <w:sz w:val="20"/>
                <w:szCs w:val="20"/>
              </w:rPr>
            </w:pPr>
          </w:p>
        </w:tc>
        <w:tc>
          <w:tcPr>
            <w:tcW w:w="1187" w:type="dxa"/>
            <w:gridSpan w:val="4"/>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0DBA1B14" w14:textId="7136ABB2" w:rsidR="00C37EAB" w:rsidRPr="00417067" w:rsidRDefault="002A4111" w:rsidP="00B738F0">
            <w:pPr>
              <w:rPr>
                <w:rFonts w:ascii="Times New Roman" w:hAnsi="Times New Roman" w:cs="Times New Roman"/>
                <w:sz w:val="20"/>
                <w:szCs w:val="20"/>
              </w:rPr>
            </w:pPr>
            <w:r>
              <w:rPr>
                <w:rFonts w:ascii="Times New Roman" w:hAnsi="Times New Roman" w:cs="Times New Roman"/>
                <w:sz w:val="20"/>
                <w:szCs w:val="20"/>
              </w:rPr>
              <w:t>Continuous</w:t>
            </w:r>
          </w:p>
        </w:tc>
      </w:tr>
      <w:tr w:rsidR="00C37EAB" w:rsidRPr="00BC7BB5" w14:paraId="3839E9D8" w14:textId="77777777" w:rsidTr="00F27A12">
        <w:tblPrEx>
          <w:jc w:val="center"/>
        </w:tblPrEx>
        <w:trPr>
          <w:trHeight w:val="145"/>
          <w:jc w:val="center"/>
        </w:trPr>
        <w:tc>
          <w:tcPr>
            <w:tcW w:w="9495" w:type="dxa"/>
            <w:gridSpan w:val="37"/>
            <w:tcBorders>
              <w:top w:val="nil"/>
              <w:left w:val="single" w:sz="4" w:space="0" w:color="000000"/>
              <w:bottom w:val="nil"/>
              <w:right w:val="single" w:sz="4" w:space="0" w:color="000000"/>
            </w:tcBorders>
            <w:shd w:val="clear" w:color="auto" w:fill="FFFFFF"/>
            <w:tcMar>
              <w:top w:w="50" w:type="dxa"/>
              <w:left w:w="50" w:type="dxa"/>
              <w:bottom w:w="50" w:type="dxa"/>
              <w:right w:w="50" w:type="dxa"/>
            </w:tcMar>
            <w:vAlign w:val="center"/>
          </w:tcPr>
          <w:p w14:paraId="194E058E" w14:textId="77777777" w:rsidR="00C37EAB" w:rsidRPr="00417067" w:rsidRDefault="00C37EAB" w:rsidP="00B738F0">
            <w:pPr>
              <w:spacing w:after="0"/>
              <w:rPr>
                <w:rFonts w:ascii="Times New Roman" w:hAnsi="Times New Roman" w:cs="Times New Roman"/>
                <w:b/>
                <w:bCs/>
                <w:sz w:val="20"/>
                <w:szCs w:val="20"/>
              </w:rPr>
            </w:pPr>
            <w:r w:rsidRPr="00417067">
              <w:rPr>
                <w:rFonts w:ascii="Times New Roman" w:hAnsi="Times New Roman" w:cs="Times New Roman"/>
                <w:b/>
                <w:bCs/>
                <w:sz w:val="20"/>
                <w:szCs w:val="20"/>
              </w:rPr>
              <w:t>Description of Covenant</w:t>
            </w:r>
          </w:p>
          <w:p w14:paraId="6137E430" w14:textId="32945BCA" w:rsidR="00C37EAB" w:rsidRPr="00C37EAB" w:rsidRDefault="004D5C0B" w:rsidP="00B738F0">
            <w:pPr>
              <w:spacing w:after="0"/>
              <w:jc w:val="both"/>
              <w:rPr>
                <w:rFonts w:ascii="Times New Roman" w:hAnsi="Times New Roman" w:cs="Times New Roman"/>
                <w:sz w:val="20"/>
                <w:szCs w:val="20"/>
              </w:rPr>
            </w:pPr>
            <w:r>
              <w:rPr>
                <w:rFonts w:ascii="Times New Roman" w:hAnsi="Times New Roman" w:cs="Times New Roman"/>
                <w:sz w:val="20"/>
                <w:szCs w:val="20"/>
              </w:rPr>
              <w:t>M</w:t>
            </w:r>
            <w:r w:rsidR="00C37EAB" w:rsidRPr="00C37EAB">
              <w:rPr>
                <w:rFonts w:ascii="Times New Roman" w:hAnsi="Times New Roman" w:cs="Times New Roman"/>
                <w:sz w:val="20"/>
                <w:szCs w:val="20"/>
              </w:rPr>
              <w:t>aintain, through Program implementation, a Program Management Unit (PMU), responsible for the monitoring of day-to-day implementation of the Program, including the preparation of the Program’s annual progress reports, preparation of pertinent financial statements, and staffed with adequate professional, fiduciary, administrative and technical personnel (including a</w:t>
            </w:r>
            <w:r w:rsidR="002A4111">
              <w:rPr>
                <w:rFonts w:ascii="Times New Roman" w:hAnsi="Times New Roman" w:cs="Times New Roman"/>
                <w:sz w:val="20"/>
                <w:szCs w:val="20"/>
              </w:rPr>
              <w:t>`</w:t>
            </w:r>
            <w:r w:rsidR="00C37EAB" w:rsidRPr="00C37EAB">
              <w:rPr>
                <w:rFonts w:ascii="Times New Roman" w:hAnsi="Times New Roman" w:cs="Times New Roman"/>
                <w:sz w:val="20"/>
                <w:szCs w:val="20"/>
              </w:rPr>
              <w:t xml:space="preserve"> social and environmental specialist</w:t>
            </w:r>
            <w:r w:rsidR="002A4111">
              <w:rPr>
                <w:rFonts w:ascii="Times New Roman" w:hAnsi="Times New Roman" w:cs="Times New Roman"/>
                <w:sz w:val="20"/>
                <w:szCs w:val="20"/>
              </w:rPr>
              <w:t>)</w:t>
            </w:r>
            <w:r w:rsidR="00C37EAB" w:rsidRPr="00C37EAB">
              <w:rPr>
                <w:rFonts w:ascii="Times New Roman" w:hAnsi="Times New Roman" w:cs="Times New Roman"/>
                <w:sz w:val="20"/>
                <w:szCs w:val="20"/>
              </w:rPr>
              <w:t>, with qualifications, experience and terms of employ</w:t>
            </w:r>
            <w:r w:rsidR="003A6D5E">
              <w:rPr>
                <w:rFonts w:ascii="Times New Roman" w:hAnsi="Times New Roman" w:cs="Times New Roman"/>
                <w:sz w:val="20"/>
                <w:szCs w:val="20"/>
              </w:rPr>
              <w:t>ment acceptable to the Bank, al</w:t>
            </w:r>
            <w:r w:rsidR="00C37EAB" w:rsidRPr="00C37EAB">
              <w:rPr>
                <w:rFonts w:ascii="Times New Roman" w:hAnsi="Times New Roman" w:cs="Times New Roman"/>
                <w:sz w:val="20"/>
                <w:szCs w:val="20"/>
              </w:rPr>
              <w:t>l as described in the POM.</w:t>
            </w:r>
          </w:p>
        </w:tc>
      </w:tr>
      <w:tr w:rsidR="00065DD8" w:rsidRPr="00BC7BB5" w14:paraId="7AE36AF1" w14:textId="77777777" w:rsidTr="00FA3400">
        <w:tblPrEx>
          <w:jc w:val="center"/>
        </w:tblPrEx>
        <w:trPr>
          <w:trHeight w:val="145"/>
          <w:jc w:val="center"/>
        </w:trPr>
        <w:tc>
          <w:tcPr>
            <w:tcW w:w="2627" w:type="dxa"/>
            <w:gridSpan w:val="1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240179ED" w14:textId="77777777" w:rsidR="00624F33" w:rsidRPr="00417067" w:rsidRDefault="00624F33" w:rsidP="00624F33">
            <w:pPr>
              <w:rPr>
                <w:rFonts w:ascii="Times New Roman" w:hAnsi="Times New Roman" w:cs="Times New Roman"/>
                <w:sz w:val="20"/>
                <w:szCs w:val="20"/>
              </w:rPr>
            </w:pPr>
            <w:r w:rsidRPr="00417067">
              <w:rPr>
                <w:rFonts w:ascii="Times New Roman" w:hAnsi="Times New Roman" w:cs="Times New Roman"/>
                <w:sz w:val="20"/>
                <w:szCs w:val="20"/>
              </w:rPr>
              <w:lastRenderedPageBreak/>
              <w:t>Verification Protocol</w:t>
            </w:r>
          </w:p>
          <w:p w14:paraId="17A8EC0A" w14:textId="77D04E6A" w:rsidR="00065DD8" w:rsidRPr="00417067" w:rsidRDefault="00624F33" w:rsidP="00624F33">
            <w:pPr>
              <w:rPr>
                <w:rFonts w:ascii="Times New Roman" w:hAnsi="Times New Roman" w:cs="Times New Roman"/>
                <w:sz w:val="20"/>
                <w:szCs w:val="20"/>
              </w:rPr>
            </w:pPr>
            <w:r w:rsidRPr="00417067">
              <w:rPr>
                <w:rFonts w:ascii="Times New Roman" w:hAnsi="Times New Roman" w:cs="Times New Roman"/>
                <w:sz w:val="20"/>
                <w:szCs w:val="20"/>
              </w:rPr>
              <w:t>L</w:t>
            </w:r>
            <w:r w:rsidR="00987096">
              <w:rPr>
                <w:rFonts w:ascii="Times New Roman" w:hAnsi="Times New Roman" w:cs="Times New Roman"/>
                <w:sz w:val="20"/>
                <w:szCs w:val="20"/>
              </w:rPr>
              <w:t>oan</w:t>
            </w:r>
            <w:r w:rsidRPr="00417067">
              <w:rPr>
                <w:rFonts w:ascii="Times New Roman" w:hAnsi="Times New Roman" w:cs="Times New Roman"/>
                <w:sz w:val="20"/>
                <w:szCs w:val="20"/>
              </w:rPr>
              <w:t xml:space="preserve"> Agreement Section III.</w:t>
            </w:r>
            <w:r w:rsidR="00F2085A">
              <w:rPr>
                <w:rFonts w:ascii="Times New Roman" w:hAnsi="Times New Roman" w:cs="Times New Roman"/>
                <w:sz w:val="20"/>
                <w:szCs w:val="20"/>
              </w:rPr>
              <w:t>2</w:t>
            </w:r>
            <w:r w:rsidRPr="00417067">
              <w:rPr>
                <w:rFonts w:ascii="Times New Roman" w:hAnsi="Times New Roman" w:cs="Times New Roman"/>
                <w:sz w:val="20"/>
                <w:szCs w:val="20"/>
              </w:rPr>
              <w:t xml:space="preserve"> of Schedule 2</w:t>
            </w:r>
          </w:p>
        </w:tc>
        <w:tc>
          <w:tcPr>
            <w:tcW w:w="2882" w:type="dxa"/>
            <w:gridSpan w:val="1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46740822" w14:textId="066B99A7" w:rsidR="00065DD8" w:rsidRPr="00417067" w:rsidRDefault="00624F33" w:rsidP="00624F33">
            <w:pPr>
              <w:rPr>
                <w:rFonts w:ascii="Times New Roman" w:hAnsi="Times New Roman" w:cs="Times New Roman"/>
                <w:sz w:val="20"/>
                <w:szCs w:val="20"/>
              </w:rPr>
            </w:pPr>
            <w:r w:rsidRPr="00417067">
              <w:rPr>
                <w:rFonts w:ascii="Times New Roman" w:hAnsi="Times New Roman" w:cs="Times New Roman"/>
                <w:sz w:val="20"/>
                <w:szCs w:val="20"/>
              </w:rPr>
              <w:t>Yes</w:t>
            </w:r>
          </w:p>
        </w:tc>
        <w:tc>
          <w:tcPr>
            <w:tcW w:w="2799" w:type="dxa"/>
            <w:gridSpan w:val="8"/>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6C68EBA6" w14:textId="5A6CE21F" w:rsidR="00065DD8" w:rsidRPr="00417067" w:rsidRDefault="00065DD8" w:rsidP="00624F33">
            <w:pPr>
              <w:rPr>
                <w:rFonts w:ascii="Times New Roman" w:hAnsi="Times New Roman" w:cs="Times New Roman"/>
                <w:sz w:val="20"/>
                <w:szCs w:val="20"/>
              </w:rPr>
            </w:pPr>
          </w:p>
        </w:tc>
        <w:tc>
          <w:tcPr>
            <w:tcW w:w="1187" w:type="dxa"/>
            <w:gridSpan w:val="4"/>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10251D58" w14:textId="3ECB7133" w:rsidR="00065DD8" w:rsidRPr="00417067" w:rsidRDefault="00624F33" w:rsidP="00624F33">
            <w:pPr>
              <w:rPr>
                <w:rFonts w:ascii="Times New Roman" w:hAnsi="Times New Roman" w:cs="Times New Roman"/>
                <w:sz w:val="20"/>
                <w:szCs w:val="20"/>
              </w:rPr>
            </w:pPr>
            <w:r w:rsidRPr="00417067">
              <w:rPr>
                <w:rFonts w:ascii="Times New Roman" w:hAnsi="Times New Roman" w:cs="Times New Roman"/>
                <w:sz w:val="20"/>
                <w:szCs w:val="20"/>
              </w:rPr>
              <w:t>At least annual</w:t>
            </w:r>
          </w:p>
        </w:tc>
      </w:tr>
      <w:tr w:rsidR="00065DD8" w:rsidRPr="00BC7BB5" w14:paraId="443E3322" w14:textId="77777777" w:rsidTr="00F27A12">
        <w:tblPrEx>
          <w:jc w:val="center"/>
        </w:tblPrEx>
        <w:trPr>
          <w:trHeight w:val="145"/>
          <w:jc w:val="center"/>
        </w:trPr>
        <w:tc>
          <w:tcPr>
            <w:tcW w:w="9495" w:type="dxa"/>
            <w:gridSpan w:val="37"/>
            <w:tcBorders>
              <w:top w:val="nil"/>
              <w:left w:val="single" w:sz="4" w:space="0" w:color="000000"/>
              <w:bottom w:val="nil"/>
              <w:right w:val="single" w:sz="4" w:space="0" w:color="000000"/>
            </w:tcBorders>
            <w:shd w:val="clear" w:color="auto" w:fill="FFFFFF"/>
            <w:tcMar>
              <w:top w:w="50" w:type="dxa"/>
              <w:left w:w="50" w:type="dxa"/>
              <w:bottom w:w="50" w:type="dxa"/>
              <w:right w:w="50" w:type="dxa"/>
            </w:tcMar>
            <w:vAlign w:val="center"/>
          </w:tcPr>
          <w:p w14:paraId="424359E3" w14:textId="77777777" w:rsidR="00F2085A" w:rsidRDefault="00065DD8" w:rsidP="00F2085A">
            <w:pPr>
              <w:spacing w:after="0"/>
              <w:rPr>
                <w:rFonts w:ascii="Times New Roman" w:hAnsi="Times New Roman" w:cs="Times New Roman"/>
                <w:b/>
                <w:bCs/>
                <w:sz w:val="20"/>
                <w:szCs w:val="20"/>
              </w:rPr>
            </w:pPr>
            <w:r w:rsidRPr="00417067">
              <w:rPr>
                <w:rFonts w:ascii="Times New Roman" w:hAnsi="Times New Roman" w:cs="Times New Roman"/>
                <w:b/>
                <w:bCs/>
                <w:sz w:val="20"/>
                <w:szCs w:val="20"/>
              </w:rPr>
              <w:t>Description of Covenant</w:t>
            </w:r>
          </w:p>
          <w:p w14:paraId="7B17344C" w14:textId="4CF684E0" w:rsidR="00417067" w:rsidRPr="00417067" w:rsidRDefault="00417067" w:rsidP="00F2085A">
            <w:pPr>
              <w:spacing w:after="0"/>
              <w:jc w:val="both"/>
              <w:rPr>
                <w:rFonts w:ascii="Times New Roman" w:hAnsi="Times New Roman" w:cs="Times New Roman"/>
                <w:sz w:val="20"/>
                <w:szCs w:val="20"/>
              </w:rPr>
            </w:pPr>
            <w:r w:rsidRPr="00417067">
              <w:rPr>
                <w:rFonts w:ascii="Times New Roman" w:hAnsi="Times New Roman" w:cs="Times New Roman"/>
                <w:sz w:val="20"/>
                <w:szCs w:val="20"/>
              </w:rPr>
              <w:t xml:space="preserve">The Borrower shall carry out verification missions at least annually, in accordance with terms of reference </w:t>
            </w:r>
            <w:r w:rsidR="004D5C0B">
              <w:rPr>
                <w:rFonts w:ascii="Times New Roman" w:hAnsi="Times New Roman" w:cs="Times New Roman"/>
                <w:sz w:val="20"/>
                <w:szCs w:val="20"/>
              </w:rPr>
              <w:t>set forth in the POM</w:t>
            </w:r>
            <w:r w:rsidRPr="00417067">
              <w:rPr>
                <w:rFonts w:ascii="Times New Roman" w:hAnsi="Times New Roman" w:cs="Times New Roman"/>
                <w:sz w:val="20"/>
                <w:szCs w:val="20"/>
              </w:rPr>
              <w:t xml:space="preserve">, through the IGA for the verification of achievement of DLR#1 through DLR#8 which are set forth in the table in Section IV.A.2 of </w:t>
            </w:r>
            <w:r w:rsidR="002A4111">
              <w:rPr>
                <w:rFonts w:ascii="Times New Roman" w:hAnsi="Times New Roman" w:cs="Times New Roman"/>
                <w:sz w:val="20"/>
                <w:szCs w:val="20"/>
              </w:rPr>
              <w:t xml:space="preserve">Schedule 2 of </w:t>
            </w:r>
            <w:r w:rsidRPr="00417067">
              <w:rPr>
                <w:rFonts w:ascii="Times New Roman" w:hAnsi="Times New Roman" w:cs="Times New Roman"/>
                <w:sz w:val="20"/>
                <w:szCs w:val="20"/>
              </w:rPr>
              <w:t>the Loan Agreement, and furnish to the Bank not later than sixty (60) calendar days after the verification of compliance of said DLRs, a report on the results of said verification of compliance process of such scope and in such detail as the Bank shall reasonably request.</w:t>
            </w:r>
          </w:p>
        </w:tc>
      </w:tr>
      <w:tr w:rsidR="00417067" w:rsidRPr="00BC7BB5" w14:paraId="72C0E99C" w14:textId="77777777" w:rsidTr="00FA3400">
        <w:tblPrEx>
          <w:jc w:val="center"/>
        </w:tblPrEx>
        <w:trPr>
          <w:trHeight w:val="145"/>
          <w:jc w:val="center"/>
        </w:trPr>
        <w:tc>
          <w:tcPr>
            <w:tcW w:w="2627" w:type="dxa"/>
            <w:gridSpan w:val="1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6D9C5E59" w14:textId="77777777" w:rsidR="00417067" w:rsidRPr="00417067" w:rsidRDefault="00417067" w:rsidP="00417067">
            <w:pPr>
              <w:rPr>
                <w:rFonts w:ascii="Times New Roman" w:hAnsi="Times New Roman" w:cs="Times New Roman"/>
                <w:sz w:val="20"/>
                <w:szCs w:val="20"/>
              </w:rPr>
            </w:pPr>
            <w:r w:rsidRPr="00417067">
              <w:rPr>
                <w:rFonts w:ascii="Times New Roman" w:hAnsi="Times New Roman" w:cs="Times New Roman"/>
                <w:sz w:val="20"/>
                <w:szCs w:val="20"/>
              </w:rPr>
              <w:t>Program Action Plan</w:t>
            </w:r>
          </w:p>
          <w:p w14:paraId="006219C6" w14:textId="461F5739" w:rsidR="00417067" w:rsidRPr="00417067" w:rsidRDefault="00987096" w:rsidP="00417067">
            <w:pPr>
              <w:rPr>
                <w:rFonts w:ascii="Times New Roman" w:hAnsi="Times New Roman" w:cs="Times New Roman"/>
                <w:sz w:val="20"/>
                <w:szCs w:val="20"/>
              </w:rPr>
            </w:pPr>
            <w:r>
              <w:rPr>
                <w:rFonts w:ascii="Times New Roman" w:hAnsi="Times New Roman" w:cs="Times New Roman"/>
                <w:sz w:val="20"/>
                <w:szCs w:val="20"/>
              </w:rPr>
              <w:t>Loan</w:t>
            </w:r>
            <w:r w:rsidR="00417067" w:rsidRPr="00417067">
              <w:rPr>
                <w:rFonts w:ascii="Times New Roman" w:hAnsi="Times New Roman" w:cs="Times New Roman"/>
                <w:sz w:val="20"/>
                <w:szCs w:val="20"/>
              </w:rPr>
              <w:t xml:space="preserve"> Agreement Section I.B.3 of Schedule 2</w:t>
            </w:r>
          </w:p>
        </w:tc>
        <w:tc>
          <w:tcPr>
            <w:tcW w:w="2882" w:type="dxa"/>
            <w:gridSpan w:val="1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4E8374B4" w14:textId="77777777" w:rsidR="00417067" w:rsidRPr="00417067" w:rsidRDefault="00417067" w:rsidP="00B738F0">
            <w:pPr>
              <w:rPr>
                <w:rFonts w:ascii="Times New Roman" w:hAnsi="Times New Roman" w:cs="Times New Roman"/>
                <w:sz w:val="20"/>
                <w:szCs w:val="20"/>
              </w:rPr>
            </w:pPr>
            <w:r w:rsidRPr="00417067">
              <w:rPr>
                <w:rFonts w:ascii="Times New Roman" w:hAnsi="Times New Roman" w:cs="Times New Roman"/>
                <w:sz w:val="20"/>
                <w:szCs w:val="20"/>
              </w:rPr>
              <w:t>Yes</w:t>
            </w:r>
          </w:p>
        </w:tc>
        <w:tc>
          <w:tcPr>
            <w:tcW w:w="2799" w:type="dxa"/>
            <w:gridSpan w:val="8"/>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24210AF0" w14:textId="00922981" w:rsidR="00417067" w:rsidRPr="00417067" w:rsidRDefault="00417067" w:rsidP="00B738F0">
            <w:pPr>
              <w:rPr>
                <w:rFonts w:ascii="Times New Roman" w:hAnsi="Times New Roman" w:cs="Times New Roman"/>
                <w:sz w:val="20"/>
                <w:szCs w:val="20"/>
              </w:rPr>
            </w:pPr>
          </w:p>
        </w:tc>
        <w:tc>
          <w:tcPr>
            <w:tcW w:w="1187" w:type="dxa"/>
            <w:gridSpan w:val="4"/>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22AD707B" w14:textId="35A86925" w:rsidR="00417067" w:rsidRPr="00417067" w:rsidRDefault="00417067" w:rsidP="00B738F0">
            <w:pPr>
              <w:rPr>
                <w:rFonts w:ascii="Times New Roman" w:hAnsi="Times New Roman" w:cs="Times New Roman"/>
                <w:sz w:val="20"/>
                <w:szCs w:val="20"/>
              </w:rPr>
            </w:pPr>
            <w:r w:rsidRPr="00417067">
              <w:rPr>
                <w:rFonts w:ascii="Times New Roman" w:hAnsi="Times New Roman" w:cs="Times New Roman"/>
                <w:sz w:val="20"/>
                <w:szCs w:val="20"/>
              </w:rPr>
              <w:t>Continuous</w:t>
            </w:r>
          </w:p>
        </w:tc>
      </w:tr>
      <w:tr w:rsidR="006F6205" w:rsidRPr="00BC7BB5" w14:paraId="1C73EE05" w14:textId="77777777" w:rsidTr="00FA3400">
        <w:tblPrEx>
          <w:jc w:val="center"/>
        </w:tblPrEx>
        <w:trPr>
          <w:trHeight w:val="145"/>
          <w:jc w:val="center"/>
        </w:trPr>
        <w:tc>
          <w:tcPr>
            <w:tcW w:w="9495" w:type="dxa"/>
            <w:gridSpan w:val="37"/>
            <w:tcBorders>
              <w:top w:val="nil"/>
              <w:left w:val="single" w:sz="4" w:space="0" w:color="000000"/>
              <w:bottom w:val="nil"/>
              <w:right w:val="single" w:sz="4" w:space="0" w:color="000000"/>
            </w:tcBorders>
            <w:shd w:val="clear" w:color="auto" w:fill="FFFFFF"/>
            <w:tcMar>
              <w:top w:w="50" w:type="dxa"/>
              <w:left w:w="50" w:type="dxa"/>
              <w:bottom w:w="50" w:type="dxa"/>
              <w:right w:w="50" w:type="dxa"/>
            </w:tcMar>
            <w:vAlign w:val="center"/>
          </w:tcPr>
          <w:p w14:paraId="2AA0B4D9" w14:textId="77777777" w:rsidR="006F6205" w:rsidRPr="00417067" w:rsidRDefault="006F6205" w:rsidP="008E1818">
            <w:pPr>
              <w:spacing w:after="0"/>
              <w:rPr>
                <w:rFonts w:ascii="Times New Roman" w:hAnsi="Times New Roman" w:cs="Times New Roman"/>
                <w:b/>
                <w:bCs/>
                <w:sz w:val="20"/>
                <w:szCs w:val="20"/>
              </w:rPr>
            </w:pPr>
            <w:r w:rsidRPr="00417067">
              <w:rPr>
                <w:rFonts w:ascii="Times New Roman" w:hAnsi="Times New Roman" w:cs="Times New Roman"/>
                <w:b/>
                <w:bCs/>
                <w:sz w:val="20"/>
                <w:szCs w:val="20"/>
              </w:rPr>
              <w:t>Description of Covenant</w:t>
            </w:r>
          </w:p>
          <w:p w14:paraId="7246AD51" w14:textId="77777777" w:rsidR="006F6205" w:rsidRPr="00417067" w:rsidRDefault="006F6205" w:rsidP="008E1818">
            <w:pPr>
              <w:pStyle w:val="FootnoteText"/>
              <w:spacing w:line="276" w:lineRule="auto"/>
              <w:jc w:val="both"/>
              <w:rPr>
                <w:rFonts w:cs="Times New Roman"/>
              </w:rPr>
            </w:pPr>
            <w:r w:rsidRPr="00417067">
              <w:t xml:space="preserve">The Borrower shall carry </w:t>
            </w:r>
            <w:r>
              <w:t xml:space="preserve">out the </w:t>
            </w:r>
            <w:r w:rsidRPr="00417067">
              <w:t>Program Action Plan, or cause the Program Action Plan to be carried out, in accordance with the schedule set out in said Program Action Plan and in a manner acceptable to the Bank.</w:t>
            </w:r>
          </w:p>
        </w:tc>
      </w:tr>
      <w:tr w:rsidR="006F6205" w:rsidRPr="00BC7BB5" w14:paraId="6A452DCF" w14:textId="77777777" w:rsidTr="00F27A12">
        <w:tblPrEx>
          <w:jc w:val="center"/>
        </w:tblPrEx>
        <w:trPr>
          <w:trHeight w:val="145"/>
          <w:jc w:val="center"/>
        </w:trPr>
        <w:tc>
          <w:tcPr>
            <w:tcW w:w="2627" w:type="dxa"/>
            <w:gridSpan w:val="1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267EF761" w14:textId="77777777" w:rsidR="006F6205" w:rsidRPr="00753CAC" w:rsidRDefault="006F6205" w:rsidP="008E1818">
            <w:pPr>
              <w:rPr>
                <w:rFonts w:ascii="Times New Roman" w:hAnsi="Times New Roman" w:cs="Times New Roman"/>
                <w:i/>
                <w:sz w:val="20"/>
                <w:szCs w:val="20"/>
              </w:rPr>
            </w:pPr>
            <w:r w:rsidRPr="00753CAC">
              <w:rPr>
                <w:rFonts w:ascii="Times New Roman" w:hAnsi="Times New Roman" w:cs="Times New Roman"/>
                <w:i/>
                <w:sz w:val="20"/>
                <w:szCs w:val="20"/>
              </w:rPr>
              <w:t>Convention de Partenariat</w:t>
            </w:r>
          </w:p>
          <w:p w14:paraId="4360DB35" w14:textId="603086F4" w:rsidR="006F6205" w:rsidRPr="00417067" w:rsidRDefault="00987096" w:rsidP="00F2085A">
            <w:pPr>
              <w:spacing w:after="0"/>
              <w:rPr>
                <w:rFonts w:ascii="Times New Roman" w:hAnsi="Times New Roman" w:cs="Times New Roman"/>
                <w:sz w:val="20"/>
                <w:szCs w:val="20"/>
              </w:rPr>
            </w:pPr>
            <w:r>
              <w:rPr>
                <w:rFonts w:ascii="Times New Roman" w:hAnsi="Times New Roman" w:cs="Times New Roman"/>
                <w:sz w:val="20"/>
                <w:szCs w:val="20"/>
              </w:rPr>
              <w:t>Loan</w:t>
            </w:r>
            <w:r w:rsidR="006F6205">
              <w:rPr>
                <w:rFonts w:ascii="Times New Roman" w:hAnsi="Times New Roman" w:cs="Times New Roman"/>
                <w:sz w:val="20"/>
                <w:szCs w:val="20"/>
              </w:rPr>
              <w:t xml:space="preserve"> Agreement </w:t>
            </w:r>
            <w:r w:rsidR="00F2085A">
              <w:rPr>
                <w:rFonts w:ascii="Times New Roman" w:hAnsi="Times New Roman" w:cs="Times New Roman"/>
                <w:sz w:val="20"/>
                <w:szCs w:val="20"/>
              </w:rPr>
              <w:t>Section I. B.</w:t>
            </w:r>
            <w:r w:rsidR="006F6205">
              <w:rPr>
                <w:rFonts w:ascii="Times New Roman" w:hAnsi="Times New Roman" w:cs="Times New Roman"/>
                <w:sz w:val="20"/>
                <w:szCs w:val="20"/>
              </w:rPr>
              <w:t>1 of Schedule 2</w:t>
            </w:r>
          </w:p>
        </w:tc>
        <w:tc>
          <w:tcPr>
            <w:tcW w:w="2882" w:type="dxa"/>
            <w:gridSpan w:val="1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75C64842" w14:textId="77777777" w:rsidR="006F6205" w:rsidRPr="00417067" w:rsidRDefault="006F6205" w:rsidP="008E1818">
            <w:pPr>
              <w:rPr>
                <w:rFonts w:ascii="Times New Roman" w:hAnsi="Times New Roman" w:cs="Times New Roman"/>
                <w:sz w:val="20"/>
                <w:szCs w:val="20"/>
              </w:rPr>
            </w:pPr>
            <w:r>
              <w:rPr>
                <w:rFonts w:ascii="Times New Roman" w:hAnsi="Times New Roman" w:cs="Times New Roman"/>
                <w:sz w:val="20"/>
                <w:szCs w:val="20"/>
              </w:rPr>
              <w:t>No</w:t>
            </w:r>
          </w:p>
        </w:tc>
        <w:tc>
          <w:tcPr>
            <w:tcW w:w="2799" w:type="dxa"/>
            <w:gridSpan w:val="8"/>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52CEFB2B" w14:textId="3B79ABAC" w:rsidR="006F6205" w:rsidRPr="00753CAC" w:rsidRDefault="006F6205" w:rsidP="008E1818">
            <w:pPr>
              <w:rPr>
                <w:rFonts w:ascii="Times New Roman" w:hAnsi="Times New Roman" w:cs="Times New Roman"/>
                <w:sz w:val="20"/>
                <w:szCs w:val="20"/>
              </w:rPr>
            </w:pPr>
            <w:r w:rsidRPr="00753CAC">
              <w:rPr>
                <w:rFonts w:ascii="Times New Roman" w:hAnsi="Times New Roman" w:cs="Times New Roman"/>
                <w:sz w:val="20"/>
                <w:szCs w:val="20"/>
              </w:rPr>
              <w:t xml:space="preserve">Prior to carrying out of any activity under </w:t>
            </w:r>
            <w:r w:rsidR="002A4111">
              <w:rPr>
                <w:rFonts w:ascii="Times New Roman" w:hAnsi="Times New Roman" w:cs="Times New Roman"/>
                <w:sz w:val="20"/>
                <w:szCs w:val="20"/>
              </w:rPr>
              <w:t>Result area 1</w:t>
            </w:r>
            <w:r w:rsidRPr="00753CAC">
              <w:rPr>
                <w:rFonts w:ascii="Times New Roman" w:hAnsi="Times New Roman" w:cs="Times New Roman"/>
                <w:sz w:val="20"/>
                <w:szCs w:val="20"/>
              </w:rPr>
              <w:t xml:space="preserve"> (c)</w:t>
            </w:r>
          </w:p>
        </w:tc>
        <w:tc>
          <w:tcPr>
            <w:tcW w:w="1187" w:type="dxa"/>
            <w:gridSpan w:val="4"/>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69868FBD" w14:textId="77777777" w:rsidR="006F6205" w:rsidRPr="00417067" w:rsidRDefault="006F6205" w:rsidP="008E1818">
            <w:pPr>
              <w:rPr>
                <w:rFonts w:ascii="Times New Roman" w:hAnsi="Times New Roman" w:cs="Times New Roman"/>
                <w:sz w:val="20"/>
                <w:szCs w:val="20"/>
              </w:rPr>
            </w:pPr>
          </w:p>
        </w:tc>
      </w:tr>
      <w:tr w:rsidR="006F6205" w:rsidRPr="00BC7BB5" w14:paraId="5692AFD4" w14:textId="77777777" w:rsidTr="00F27A12">
        <w:tblPrEx>
          <w:jc w:val="center"/>
        </w:tblPrEx>
        <w:trPr>
          <w:trHeight w:val="145"/>
          <w:jc w:val="center"/>
        </w:trPr>
        <w:tc>
          <w:tcPr>
            <w:tcW w:w="9495" w:type="dxa"/>
            <w:gridSpan w:val="37"/>
            <w:tcBorders>
              <w:top w:val="nil"/>
              <w:left w:val="single" w:sz="4" w:space="0" w:color="000000"/>
              <w:bottom w:val="nil"/>
              <w:right w:val="single" w:sz="4" w:space="0" w:color="000000"/>
            </w:tcBorders>
            <w:shd w:val="clear" w:color="auto" w:fill="FFFFFF"/>
            <w:tcMar>
              <w:top w:w="50" w:type="dxa"/>
              <w:left w:w="50" w:type="dxa"/>
              <w:bottom w:w="50" w:type="dxa"/>
              <w:right w:w="50" w:type="dxa"/>
            </w:tcMar>
            <w:vAlign w:val="center"/>
          </w:tcPr>
          <w:p w14:paraId="7AFB4A78" w14:textId="77777777" w:rsidR="006F6205" w:rsidRPr="00417067" w:rsidRDefault="006F6205" w:rsidP="008E1818">
            <w:pPr>
              <w:spacing w:after="0"/>
              <w:rPr>
                <w:rFonts w:ascii="Times New Roman" w:hAnsi="Times New Roman" w:cs="Times New Roman"/>
                <w:b/>
                <w:bCs/>
                <w:sz w:val="20"/>
                <w:szCs w:val="20"/>
              </w:rPr>
            </w:pPr>
            <w:r w:rsidRPr="00417067">
              <w:rPr>
                <w:rFonts w:ascii="Times New Roman" w:hAnsi="Times New Roman" w:cs="Times New Roman"/>
                <w:b/>
                <w:bCs/>
                <w:sz w:val="20"/>
                <w:szCs w:val="20"/>
              </w:rPr>
              <w:t>Description of Covenant</w:t>
            </w:r>
          </w:p>
          <w:p w14:paraId="1564C97E" w14:textId="578A8920" w:rsidR="006F6205" w:rsidRPr="00753CAC" w:rsidRDefault="006F6205" w:rsidP="00F2085A">
            <w:pPr>
              <w:pStyle w:val="FootnoteText"/>
              <w:spacing w:line="276" w:lineRule="auto"/>
              <w:jc w:val="both"/>
              <w:rPr>
                <w:rFonts w:cs="Times New Roman"/>
              </w:rPr>
            </w:pPr>
            <w:r w:rsidRPr="00753CAC">
              <w:t xml:space="preserve">Prior to the carrying out of any activity under </w:t>
            </w:r>
            <w:r w:rsidR="002A4111">
              <w:t>Result area</w:t>
            </w:r>
            <w:r w:rsidR="002A4111" w:rsidRPr="00753CAC">
              <w:t xml:space="preserve"> </w:t>
            </w:r>
            <w:r w:rsidRPr="00753CAC">
              <w:t>1 (c) of the P</w:t>
            </w:r>
            <w:r>
              <w:t xml:space="preserve">rogram (including any related DLRs), the Borrower shall, </w:t>
            </w:r>
            <w:r w:rsidRPr="00753CAC">
              <w:t>together with the relevant Borrower’s national and subnational authorities</w:t>
            </w:r>
            <w:r>
              <w:t>, including Rabat Région Aménagement, enter into a</w:t>
            </w:r>
            <w:r w:rsidRPr="00753CAC">
              <w:t xml:space="preserve"> </w:t>
            </w:r>
            <w:r w:rsidRPr="00753CAC">
              <w:rPr>
                <w:i/>
              </w:rPr>
              <w:t>Convention de Partenariat</w:t>
            </w:r>
            <w:r w:rsidRPr="00753CAC">
              <w:t xml:space="preserve"> under terms and conditions set forth in the POM</w:t>
            </w:r>
            <w:r>
              <w:t>, including the Borrower’s obligation to ensu</w:t>
            </w:r>
            <w:r w:rsidR="001A5175">
              <w:t>r</w:t>
            </w:r>
            <w:r>
              <w:t xml:space="preserve">e that </w:t>
            </w:r>
            <w:r w:rsidRPr="00514C42">
              <w:rPr>
                <w:i/>
              </w:rPr>
              <w:t>Rabat Région Aménagement</w:t>
            </w:r>
            <w:r w:rsidRPr="00514C42">
              <w:t>: (i) assist the Borrower in t</w:t>
            </w:r>
            <w:r>
              <w:t>he implementation of the</w:t>
            </w:r>
            <w:r w:rsidRPr="00514C42">
              <w:t xml:space="preserve"> activities </w:t>
            </w:r>
            <w:r>
              <w:t xml:space="preserve">under </w:t>
            </w:r>
            <w:r w:rsidR="002A4111">
              <w:t xml:space="preserve">Result area </w:t>
            </w:r>
            <w:r>
              <w:t xml:space="preserve">1(c) of the Program </w:t>
            </w:r>
            <w:r w:rsidRPr="00514C42">
              <w:t xml:space="preserve">which fall within its administrative jurisdiction, including the </w:t>
            </w:r>
            <w:r>
              <w:t xml:space="preserve">construction works and </w:t>
            </w:r>
            <w:r w:rsidRPr="00514C42">
              <w:t>oversight of the who</w:t>
            </w:r>
            <w:r>
              <w:t>lesale market</w:t>
            </w:r>
            <w:r w:rsidRPr="00514C42">
              <w:t>; and (ii) comply with the pertinent provisions of the POM (including the pertinent actions under the Program Action Plan and the Anti-corruption Guidelines).</w:t>
            </w:r>
          </w:p>
        </w:tc>
      </w:tr>
      <w:tr w:rsidR="00C44DFE" w:rsidRPr="00BC7BB5" w14:paraId="2C749526" w14:textId="77777777" w:rsidTr="001D1FDF">
        <w:tblPrEx>
          <w:jc w:val="center"/>
        </w:tblPrEx>
        <w:trPr>
          <w:trHeight w:val="145"/>
          <w:jc w:val="center"/>
        </w:trPr>
        <w:tc>
          <w:tcPr>
            <w:tcW w:w="2627" w:type="dxa"/>
            <w:gridSpan w:val="1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408E2CA6" w14:textId="0EE93D67" w:rsidR="00C44DFE" w:rsidRPr="006F6205" w:rsidRDefault="006F6205" w:rsidP="000239A1">
            <w:pPr>
              <w:rPr>
                <w:rFonts w:ascii="Times New Roman" w:hAnsi="Times New Roman" w:cs="Times New Roman"/>
                <w:sz w:val="20"/>
                <w:szCs w:val="20"/>
              </w:rPr>
            </w:pPr>
            <w:r w:rsidRPr="006F6205">
              <w:rPr>
                <w:rFonts w:ascii="Times New Roman" w:hAnsi="Times New Roman" w:cs="Times New Roman"/>
                <w:sz w:val="20"/>
                <w:szCs w:val="20"/>
              </w:rPr>
              <w:t>Disbursement condition</w:t>
            </w:r>
          </w:p>
          <w:p w14:paraId="5C26F8F8" w14:textId="043F2D84" w:rsidR="00753CAC" w:rsidRPr="006F6205" w:rsidRDefault="00987096" w:rsidP="00F2085A">
            <w:pPr>
              <w:spacing w:after="0"/>
              <w:rPr>
                <w:rFonts w:ascii="Times New Roman" w:hAnsi="Times New Roman" w:cs="Times New Roman"/>
                <w:sz w:val="20"/>
                <w:szCs w:val="20"/>
              </w:rPr>
            </w:pPr>
            <w:r>
              <w:rPr>
                <w:rFonts w:ascii="Times New Roman" w:hAnsi="Times New Roman" w:cs="Times New Roman"/>
                <w:sz w:val="20"/>
                <w:szCs w:val="20"/>
              </w:rPr>
              <w:t>Loan</w:t>
            </w:r>
            <w:r w:rsidR="00753CAC">
              <w:rPr>
                <w:rFonts w:ascii="Times New Roman" w:hAnsi="Times New Roman" w:cs="Times New Roman"/>
                <w:sz w:val="20"/>
                <w:szCs w:val="20"/>
              </w:rPr>
              <w:t xml:space="preserve"> Agreement </w:t>
            </w:r>
            <w:r w:rsidR="006F6205" w:rsidRPr="006F6205">
              <w:rPr>
                <w:rFonts w:ascii="Times New Roman" w:hAnsi="Times New Roman" w:cs="Times New Roman"/>
                <w:sz w:val="20"/>
                <w:szCs w:val="20"/>
              </w:rPr>
              <w:t>Section IV.B.1 (c)</w:t>
            </w:r>
            <w:r w:rsidR="006F6205">
              <w:rPr>
                <w:rFonts w:ascii="Times New Roman" w:hAnsi="Times New Roman" w:cs="Times New Roman"/>
                <w:sz w:val="20"/>
                <w:szCs w:val="20"/>
              </w:rPr>
              <w:t xml:space="preserve"> of Schedule 2</w:t>
            </w:r>
          </w:p>
        </w:tc>
        <w:tc>
          <w:tcPr>
            <w:tcW w:w="2882" w:type="dxa"/>
            <w:gridSpan w:val="1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5E2A1E1B" w14:textId="22D61C50" w:rsidR="00C44DFE" w:rsidRPr="00417067" w:rsidRDefault="00753CAC" w:rsidP="000239A1">
            <w:pPr>
              <w:rPr>
                <w:rFonts w:ascii="Times New Roman" w:hAnsi="Times New Roman" w:cs="Times New Roman"/>
                <w:sz w:val="20"/>
                <w:szCs w:val="20"/>
              </w:rPr>
            </w:pPr>
            <w:r>
              <w:rPr>
                <w:rFonts w:ascii="Times New Roman" w:hAnsi="Times New Roman" w:cs="Times New Roman"/>
                <w:sz w:val="20"/>
                <w:szCs w:val="20"/>
              </w:rPr>
              <w:t>No</w:t>
            </w:r>
          </w:p>
        </w:tc>
        <w:tc>
          <w:tcPr>
            <w:tcW w:w="2799" w:type="dxa"/>
            <w:gridSpan w:val="8"/>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10D1CDC0" w14:textId="1876F16E" w:rsidR="00C44DFE" w:rsidRPr="00753CAC" w:rsidRDefault="002A4111" w:rsidP="000239A1">
            <w:pPr>
              <w:rPr>
                <w:rFonts w:ascii="Times New Roman" w:hAnsi="Times New Roman" w:cs="Times New Roman"/>
                <w:sz w:val="20"/>
                <w:szCs w:val="20"/>
              </w:rPr>
            </w:pPr>
            <w:r>
              <w:rPr>
                <w:rFonts w:ascii="Times New Roman" w:hAnsi="Times New Roman" w:cs="Times New Roman"/>
                <w:sz w:val="20"/>
                <w:szCs w:val="20"/>
              </w:rPr>
              <w:t>Prior to disbursement for any DLR under Category (4)</w:t>
            </w:r>
          </w:p>
        </w:tc>
        <w:tc>
          <w:tcPr>
            <w:tcW w:w="1187" w:type="dxa"/>
            <w:gridSpan w:val="4"/>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5BCEED5B" w14:textId="22A2B6D5" w:rsidR="00C44DFE" w:rsidRPr="00417067" w:rsidRDefault="00C44DFE" w:rsidP="000239A1">
            <w:pPr>
              <w:rPr>
                <w:rFonts w:ascii="Times New Roman" w:hAnsi="Times New Roman" w:cs="Times New Roman"/>
                <w:sz w:val="20"/>
                <w:szCs w:val="20"/>
              </w:rPr>
            </w:pPr>
          </w:p>
        </w:tc>
      </w:tr>
      <w:tr w:rsidR="00C44DFE" w:rsidRPr="00BC7BB5" w14:paraId="7D26B710" w14:textId="77777777" w:rsidTr="00F27A12">
        <w:tblPrEx>
          <w:jc w:val="center"/>
        </w:tblPrEx>
        <w:trPr>
          <w:trHeight w:val="145"/>
          <w:jc w:val="center"/>
        </w:trPr>
        <w:tc>
          <w:tcPr>
            <w:tcW w:w="9495" w:type="dxa"/>
            <w:gridSpan w:val="37"/>
            <w:tcBorders>
              <w:top w:val="nil"/>
              <w:left w:val="single" w:sz="4" w:space="0" w:color="000000"/>
              <w:bottom w:val="nil"/>
              <w:right w:val="single" w:sz="4" w:space="0" w:color="000000"/>
            </w:tcBorders>
            <w:shd w:val="clear" w:color="auto" w:fill="FFFFFF"/>
            <w:tcMar>
              <w:top w:w="50" w:type="dxa"/>
              <w:left w:w="50" w:type="dxa"/>
              <w:bottom w:w="50" w:type="dxa"/>
              <w:right w:w="50" w:type="dxa"/>
            </w:tcMar>
            <w:vAlign w:val="center"/>
          </w:tcPr>
          <w:p w14:paraId="0F8AAB86" w14:textId="77777777" w:rsidR="00C44DFE" w:rsidRPr="006F6205" w:rsidRDefault="00C44DFE" w:rsidP="00F2085A">
            <w:pPr>
              <w:spacing w:after="0"/>
              <w:jc w:val="both"/>
              <w:rPr>
                <w:rFonts w:ascii="Times New Roman" w:hAnsi="Times New Roman" w:cs="Times New Roman"/>
                <w:b/>
                <w:bCs/>
                <w:sz w:val="20"/>
                <w:szCs w:val="20"/>
              </w:rPr>
            </w:pPr>
            <w:r w:rsidRPr="006F6205">
              <w:rPr>
                <w:rFonts w:ascii="Times New Roman" w:hAnsi="Times New Roman" w:cs="Times New Roman"/>
                <w:b/>
                <w:bCs/>
                <w:sz w:val="20"/>
                <w:szCs w:val="20"/>
              </w:rPr>
              <w:t>Description of Covenant</w:t>
            </w:r>
          </w:p>
          <w:p w14:paraId="55E2E98D" w14:textId="61F2FECB" w:rsidR="00C44DFE" w:rsidRPr="006F6205" w:rsidRDefault="002A4111" w:rsidP="00F2085A">
            <w:pPr>
              <w:pStyle w:val="BodyText"/>
              <w:spacing w:line="276" w:lineRule="auto"/>
              <w:rPr>
                <w:rFonts w:ascii="Times New Roman" w:hAnsi="Times New Roman" w:cs="Times New Roman"/>
                <w:sz w:val="20"/>
                <w:szCs w:val="20"/>
              </w:rPr>
            </w:pPr>
            <w:r>
              <w:rPr>
                <w:rFonts w:ascii="Times New Roman" w:hAnsi="Times New Roman" w:cs="Times New Roman"/>
                <w:sz w:val="20"/>
                <w:szCs w:val="20"/>
              </w:rPr>
              <w:t>N</w:t>
            </w:r>
            <w:r w:rsidR="006F6205" w:rsidRPr="006F6205">
              <w:rPr>
                <w:rFonts w:ascii="Times New Roman" w:hAnsi="Times New Roman" w:cs="Times New Roman"/>
                <w:sz w:val="20"/>
                <w:szCs w:val="20"/>
              </w:rPr>
              <w:t xml:space="preserve">o withdrawal shall be made for any DLR under Category (4), until and unless: (i) the Borrower has furnished evidence satisfactory to the Bank that said DLR has been achieved; and (ii) the </w:t>
            </w:r>
            <w:r w:rsidR="006F6205" w:rsidRPr="006F6205">
              <w:rPr>
                <w:rFonts w:ascii="Times New Roman" w:hAnsi="Times New Roman" w:cs="Times New Roman"/>
                <w:i/>
                <w:iCs/>
                <w:sz w:val="20"/>
                <w:szCs w:val="20"/>
              </w:rPr>
              <w:t>Convention de Partenariat</w:t>
            </w:r>
            <w:r w:rsidR="006F6205" w:rsidRPr="006F6205">
              <w:rPr>
                <w:rFonts w:ascii="Times New Roman" w:hAnsi="Times New Roman" w:cs="Times New Roman"/>
                <w:sz w:val="20"/>
                <w:szCs w:val="20"/>
              </w:rPr>
              <w:t xml:space="preserve"> has been duly signed by all parties under terms and conditions described in the POM.</w:t>
            </w:r>
          </w:p>
        </w:tc>
      </w:tr>
      <w:tr w:rsidR="008450B0" w:rsidRPr="00BC7BB5" w14:paraId="53B2A163" w14:textId="77777777" w:rsidTr="00FA3400">
        <w:tblPrEx>
          <w:jc w:val="center"/>
        </w:tblPrEx>
        <w:trPr>
          <w:trHeight w:val="145"/>
          <w:jc w:val="center"/>
        </w:trPr>
        <w:tc>
          <w:tcPr>
            <w:tcW w:w="9495" w:type="dxa"/>
            <w:gridSpan w:val="37"/>
            <w:tcBorders>
              <w:top w:val="single" w:sz="4" w:space="0" w:color="000000"/>
              <w:left w:val="single" w:sz="4" w:space="0" w:color="000000"/>
              <w:bottom w:val="single" w:sz="4" w:space="0" w:color="000000"/>
              <w:right w:val="single" w:sz="4" w:space="0" w:color="000000"/>
            </w:tcBorders>
            <w:shd w:val="clear" w:color="auto" w:fill="000000"/>
            <w:tcMar>
              <w:top w:w="50" w:type="dxa"/>
              <w:left w:w="50" w:type="dxa"/>
              <w:bottom w:w="50" w:type="dxa"/>
              <w:right w:w="50" w:type="dxa"/>
            </w:tcMar>
            <w:vAlign w:val="center"/>
          </w:tcPr>
          <w:p w14:paraId="53B2A162" w14:textId="5F94A1B4" w:rsidR="008450B0" w:rsidRPr="00BC7BB5" w:rsidRDefault="008450B0" w:rsidP="008450B0">
            <w:pPr>
              <w:rPr>
                <w:rFonts w:ascii="Times New Roman" w:hAnsi="Times New Roman" w:cs="Times New Roman"/>
                <w:sz w:val="2"/>
                <w:szCs w:val="2"/>
              </w:rPr>
            </w:pPr>
            <w:r w:rsidRPr="00BC7BB5">
              <w:rPr>
                <w:rFonts w:ascii="Times New Roman" w:hAnsi="Times New Roman" w:cs="Times New Roman"/>
                <w:sz w:val="2"/>
                <w:szCs w:val="2"/>
              </w:rPr>
              <w:t>.</w:t>
            </w:r>
          </w:p>
        </w:tc>
      </w:tr>
      <w:tr w:rsidR="008450B0" w:rsidRPr="00BC7BB5" w14:paraId="53B2A165" w14:textId="77777777" w:rsidTr="00FA3400">
        <w:tblPrEx>
          <w:jc w:val="center"/>
        </w:tblPrEx>
        <w:trPr>
          <w:trHeight w:val="145"/>
          <w:jc w:val="center"/>
        </w:trPr>
        <w:tc>
          <w:tcPr>
            <w:tcW w:w="9495" w:type="dxa"/>
            <w:gridSpan w:val="37"/>
            <w:tcBorders>
              <w:top w:val="single" w:sz="4" w:space="0" w:color="000000"/>
              <w:left w:val="single" w:sz="4" w:space="0" w:color="000000"/>
              <w:bottom w:val="single" w:sz="4" w:space="0" w:color="000000"/>
              <w:right w:val="single" w:sz="4" w:space="0" w:color="000000"/>
            </w:tcBorders>
            <w:shd w:val="clear" w:color="auto" w:fill="DCDCDC"/>
            <w:tcMar>
              <w:top w:w="50" w:type="dxa"/>
              <w:left w:w="50" w:type="dxa"/>
              <w:bottom w:w="50" w:type="dxa"/>
              <w:right w:w="50" w:type="dxa"/>
            </w:tcMar>
          </w:tcPr>
          <w:p w14:paraId="53B2A164" w14:textId="38214D40" w:rsidR="008450B0" w:rsidRPr="00BC7BB5" w:rsidRDefault="008450B0" w:rsidP="008450B0">
            <w:pPr>
              <w:jc w:val="center"/>
              <w:rPr>
                <w:rFonts w:ascii="Times New Roman" w:hAnsi="Times New Roman" w:cs="Times New Roman"/>
                <w:sz w:val="20"/>
                <w:szCs w:val="20"/>
              </w:rPr>
            </w:pPr>
            <w:r w:rsidRPr="00BC7BB5">
              <w:rPr>
                <w:rFonts w:ascii="Times New Roman" w:hAnsi="Times New Roman" w:cs="Times New Roman"/>
                <w:b/>
                <w:bCs/>
                <w:sz w:val="20"/>
                <w:szCs w:val="20"/>
              </w:rPr>
              <w:t>Team Composition</w:t>
            </w:r>
          </w:p>
        </w:tc>
      </w:tr>
      <w:tr w:rsidR="008450B0" w:rsidRPr="00BC7BB5" w14:paraId="53B2A167" w14:textId="77777777" w:rsidTr="00FA3400">
        <w:tblPrEx>
          <w:jc w:val="center"/>
        </w:tblPrEx>
        <w:trPr>
          <w:trHeight w:val="145"/>
          <w:jc w:val="center"/>
        </w:trPr>
        <w:tc>
          <w:tcPr>
            <w:tcW w:w="9495" w:type="dxa"/>
            <w:gridSpan w:val="37"/>
            <w:tcBorders>
              <w:top w:val="single" w:sz="4" w:space="0" w:color="000000"/>
              <w:left w:val="single" w:sz="4" w:space="0" w:color="000000"/>
              <w:bottom w:val="single" w:sz="4" w:space="0" w:color="000000"/>
              <w:right w:val="single" w:sz="4" w:space="0" w:color="000000"/>
            </w:tcBorders>
            <w:shd w:val="clear" w:color="auto" w:fill="DCDCDC"/>
            <w:tcMar>
              <w:top w:w="50" w:type="dxa"/>
              <w:left w:w="50" w:type="dxa"/>
              <w:bottom w:w="50" w:type="dxa"/>
              <w:right w:w="50" w:type="dxa"/>
            </w:tcMar>
          </w:tcPr>
          <w:p w14:paraId="53B2A166" w14:textId="426DD320" w:rsidR="008450B0" w:rsidRPr="00BC7BB5" w:rsidRDefault="008450B0" w:rsidP="008450B0">
            <w:pPr>
              <w:jc w:val="center"/>
              <w:rPr>
                <w:rFonts w:ascii="Times New Roman" w:hAnsi="Times New Roman" w:cs="Times New Roman"/>
                <w:b/>
                <w:bCs/>
                <w:sz w:val="20"/>
                <w:szCs w:val="20"/>
              </w:rPr>
            </w:pPr>
            <w:r w:rsidRPr="00BC7BB5">
              <w:rPr>
                <w:rFonts w:ascii="Times New Roman" w:hAnsi="Times New Roman" w:cs="Times New Roman"/>
                <w:b/>
                <w:bCs/>
                <w:sz w:val="20"/>
                <w:szCs w:val="20"/>
              </w:rPr>
              <w:t>Bank Staff</w:t>
            </w:r>
          </w:p>
        </w:tc>
      </w:tr>
      <w:tr w:rsidR="008450B0" w:rsidRPr="00BC7BB5" w14:paraId="53B2A16D" w14:textId="77777777" w:rsidTr="00FA3400">
        <w:tblPrEx>
          <w:jc w:val="center"/>
        </w:tblPrEx>
        <w:trPr>
          <w:trHeight w:val="145"/>
          <w:jc w:val="center"/>
        </w:trPr>
        <w:tc>
          <w:tcPr>
            <w:tcW w:w="2627" w:type="dxa"/>
            <w:gridSpan w:val="1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53B2A168" w14:textId="28DFA5E4" w:rsidR="008450B0" w:rsidRPr="00BC7BB5" w:rsidRDefault="008450B0" w:rsidP="00E075D6">
            <w:pPr>
              <w:spacing w:after="0"/>
              <w:rPr>
                <w:rFonts w:ascii="Times New Roman" w:hAnsi="Times New Roman" w:cs="Times New Roman"/>
                <w:sz w:val="20"/>
                <w:szCs w:val="20"/>
              </w:rPr>
            </w:pPr>
            <w:r w:rsidRPr="00BC7BB5">
              <w:rPr>
                <w:rFonts w:ascii="Times New Roman" w:hAnsi="Times New Roman" w:cs="Times New Roman"/>
                <w:b/>
                <w:bCs/>
                <w:sz w:val="20"/>
                <w:szCs w:val="20"/>
              </w:rPr>
              <w:t>Name</w:t>
            </w:r>
          </w:p>
        </w:tc>
        <w:tc>
          <w:tcPr>
            <w:tcW w:w="2882" w:type="dxa"/>
            <w:gridSpan w:val="1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53B2A169" w14:textId="77777777" w:rsidR="008450B0" w:rsidRPr="00BC7BB5" w:rsidRDefault="008450B0" w:rsidP="00E075D6">
            <w:pPr>
              <w:spacing w:after="0"/>
              <w:rPr>
                <w:rFonts w:ascii="Times New Roman" w:hAnsi="Times New Roman" w:cs="Times New Roman"/>
                <w:sz w:val="20"/>
                <w:szCs w:val="20"/>
              </w:rPr>
            </w:pPr>
            <w:r w:rsidRPr="00BC7BB5">
              <w:rPr>
                <w:rFonts w:ascii="Times New Roman" w:hAnsi="Times New Roman" w:cs="Times New Roman"/>
                <w:b/>
                <w:bCs/>
                <w:sz w:val="20"/>
                <w:szCs w:val="20"/>
              </w:rPr>
              <w:t>Title</w:t>
            </w:r>
          </w:p>
        </w:tc>
        <w:tc>
          <w:tcPr>
            <w:tcW w:w="2799" w:type="dxa"/>
            <w:gridSpan w:val="8"/>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53B2A16A" w14:textId="77777777" w:rsidR="008450B0" w:rsidRPr="00BC7BB5" w:rsidRDefault="008450B0" w:rsidP="00E075D6">
            <w:pPr>
              <w:spacing w:after="0"/>
              <w:rPr>
                <w:rFonts w:ascii="Times New Roman" w:hAnsi="Times New Roman" w:cs="Times New Roman"/>
                <w:sz w:val="20"/>
                <w:szCs w:val="20"/>
              </w:rPr>
            </w:pPr>
            <w:r w:rsidRPr="00BC7BB5">
              <w:rPr>
                <w:rFonts w:ascii="Times New Roman" w:hAnsi="Times New Roman" w:cs="Times New Roman"/>
                <w:b/>
                <w:bCs/>
                <w:sz w:val="20"/>
                <w:szCs w:val="20"/>
              </w:rPr>
              <w:t>Specialization</w:t>
            </w:r>
          </w:p>
        </w:tc>
        <w:tc>
          <w:tcPr>
            <w:tcW w:w="1187" w:type="dxa"/>
            <w:gridSpan w:val="4"/>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53B2A16C" w14:textId="6537CDD1" w:rsidR="008450B0" w:rsidRPr="00BC7BB5" w:rsidRDefault="008450B0" w:rsidP="00E075D6">
            <w:pPr>
              <w:spacing w:after="0"/>
              <w:rPr>
                <w:rFonts w:ascii="Times New Roman" w:hAnsi="Times New Roman" w:cs="Times New Roman"/>
                <w:sz w:val="20"/>
                <w:szCs w:val="20"/>
              </w:rPr>
            </w:pPr>
            <w:r w:rsidRPr="00BC7BB5">
              <w:rPr>
                <w:rFonts w:ascii="Times New Roman" w:hAnsi="Times New Roman" w:cs="Times New Roman"/>
                <w:b/>
                <w:bCs/>
                <w:sz w:val="20"/>
                <w:szCs w:val="20"/>
              </w:rPr>
              <w:t>Unit</w:t>
            </w:r>
          </w:p>
        </w:tc>
      </w:tr>
      <w:tr w:rsidR="006A7513" w:rsidRPr="00BC7BB5" w14:paraId="11618ED1" w14:textId="77777777" w:rsidTr="00FA3400">
        <w:tblPrEx>
          <w:jc w:val="center"/>
        </w:tblPrEx>
        <w:trPr>
          <w:trHeight w:val="145"/>
          <w:jc w:val="center"/>
        </w:trPr>
        <w:tc>
          <w:tcPr>
            <w:tcW w:w="2627" w:type="dxa"/>
            <w:gridSpan w:val="1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549CECB4" w14:textId="77777777" w:rsidR="006A7513" w:rsidRPr="00BC7BB5" w:rsidRDefault="006A7513" w:rsidP="006A7513">
            <w:pPr>
              <w:spacing w:after="0"/>
              <w:rPr>
                <w:rFonts w:ascii="Times New Roman" w:hAnsi="Times New Roman" w:cs="Times New Roman"/>
                <w:bCs/>
                <w:sz w:val="20"/>
                <w:szCs w:val="20"/>
              </w:rPr>
            </w:pPr>
            <w:r w:rsidRPr="00BC7BB5">
              <w:rPr>
                <w:rFonts w:ascii="Times New Roman" w:hAnsi="Times New Roman" w:cs="Times New Roman"/>
                <w:bCs/>
                <w:sz w:val="20"/>
                <w:szCs w:val="20"/>
              </w:rPr>
              <w:lastRenderedPageBreak/>
              <w:t>Marianne Grosclaude</w:t>
            </w:r>
          </w:p>
        </w:tc>
        <w:tc>
          <w:tcPr>
            <w:tcW w:w="2882" w:type="dxa"/>
            <w:gridSpan w:val="1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2331A689" w14:textId="77777777" w:rsidR="006A7513" w:rsidRPr="00BC7BB5" w:rsidRDefault="006A7513" w:rsidP="006A7513">
            <w:pPr>
              <w:spacing w:after="0"/>
              <w:rPr>
                <w:rFonts w:ascii="Times New Roman" w:hAnsi="Times New Roman" w:cs="Times New Roman"/>
                <w:bCs/>
                <w:sz w:val="20"/>
                <w:szCs w:val="20"/>
              </w:rPr>
            </w:pPr>
            <w:r w:rsidRPr="00BC7BB5">
              <w:rPr>
                <w:rFonts w:ascii="Times New Roman" w:hAnsi="Times New Roman" w:cs="Times New Roman"/>
                <w:bCs/>
                <w:sz w:val="20"/>
                <w:szCs w:val="20"/>
              </w:rPr>
              <w:t>Lead Agriculture Economist</w:t>
            </w:r>
          </w:p>
        </w:tc>
        <w:tc>
          <w:tcPr>
            <w:tcW w:w="2799" w:type="dxa"/>
            <w:gridSpan w:val="8"/>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42CE93E3" w14:textId="77777777" w:rsidR="006A7513" w:rsidRPr="00BC7BB5" w:rsidRDefault="006A7513" w:rsidP="006A7513">
            <w:pPr>
              <w:spacing w:after="0"/>
              <w:rPr>
                <w:rFonts w:ascii="Times New Roman" w:hAnsi="Times New Roman" w:cs="Times New Roman"/>
                <w:bCs/>
                <w:sz w:val="20"/>
                <w:szCs w:val="20"/>
              </w:rPr>
            </w:pPr>
            <w:r w:rsidRPr="00BC7BB5">
              <w:rPr>
                <w:rFonts w:ascii="Times New Roman" w:hAnsi="Times New Roman" w:cs="Times New Roman"/>
                <w:bCs/>
                <w:sz w:val="20"/>
                <w:szCs w:val="20"/>
              </w:rPr>
              <w:t>TTL</w:t>
            </w:r>
          </w:p>
        </w:tc>
        <w:tc>
          <w:tcPr>
            <w:tcW w:w="1187" w:type="dxa"/>
            <w:gridSpan w:val="4"/>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0A0C3533" w14:textId="77777777" w:rsidR="006A7513" w:rsidRPr="00BC7BB5" w:rsidRDefault="006A7513" w:rsidP="006A7513">
            <w:pPr>
              <w:spacing w:after="0"/>
              <w:rPr>
                <w:rFonts w:ascii="Times New Roman" w:hAnsi="Times New Roman" w:cs="Times New Roman"/>
                <w:bCs/>
                <w:sz w:val="20"/>
                <w:szCs w:val="20"/>
              </w:rPr>
            </w:pPr>
            <w:r w:rsidRPr="00BC7BB5">
              <w:rPr>
                <w:rFonts w:ascii="Times New Roman" w:hAnsi="Times New Roman" w:cs="Times New Roman"/>
                <w:bCs/>
                <w:sz w:val="20"/>
                <w:szCs w:val="20"/>
              </w:rPr>
              <w:t>GFA03</w:t>
            </w:r>
          </w:p>
        </w:tc>
      </w:tr>
      <w:tr w:rsidR="006A7513" w:rsidRPr="00BC7BB5" w14:paraId="6A6DCBA7" w14:textId="77777777" w:rsidTr="00FA3400">
        <w:tblPrEx>
          <w:jc w:val="center"/>
        </w:tblPrEx>
        <w:trPr>
          <w:trHeight w:val="145"/>
          <w:jc w:val="center"/>
        </w:trPr>
        <w:tc>
          <w:tcPr>
            <w:tcW w:w="2627" w:type="dxa"/>
            <w:gridSpan w:val="1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66B09E9F" w14:textId="77777777" w:rsidR="006A7513" w:rsidRPr="00BC7BB5" w:rsidRDefault="006A7513" w:rsidP="006A7513">
            <w:pPr>
              <w:spacing w:after="0"/>
              <w:rPr>
                <w:rFonts w:ascii="Times New Roman" w:hAnsi="Times New Roman" w:cs="Times New Roman"/>
                <w:bCs/>
                <w:sz w:val="20"/>
                <w:szCs w:val="20"/>
              </w:rPr>
            </w:pPr>
            <w:r w:rsidRPr="00BC7BB5">
              <w:rPr>
                <w:rFonts w:ascii="Times New Roman" w:hAnsi="Times New Roman" w:cs="Times New Roman"/>
                <w:bCs/>
                <w:sz w:val="20"/>
                <w:szCs w:val="20"/>
              </w:rPr>
              <w:t>Hind Kadiri</w:t>
            </w:r>
          </w:p>
        </w:tc>
        <w:tc>
          <w:tcPr>
            <w:tcW w:w="2882" w:type="dxa"/>
            <w:gridSpan w:val="1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20C22A88" w14:textId="77777777" w:rsidR="006A7513" w:rsidRPr="00BC7BB5" w:rsidRDefault="006A7513" w:rsidP="006A7513">
            <w:pPr>
              <w:spacing w:after="0"/>
              <w:rPr>
                <w:rFonts w:ascii="Times New Roman" w:hAnsi="Times New Roman" w:cs="Times New Roman"/>
                <w:bCs/>
                <w:sz w:val="20"/>
                <w:szCs w:val="20"/>
              </w:rPr>
            </w:pPr>
            <w:r w:rsidRPr="00BC7BB5">
              <w:rPr>
                <w:rFonts w:ascii="Times New Roman" w:hAnsi="Times New Roman" w:cs="Times New Roman"/>
                <w:bCs/>
                <w:sz w:val="20"/>
                <w:szCs w:val="20"/>
              </w:rPr>
              <w:t>Sr Private Sector Development Specialist</w:t>
            </w:r>
          </w:p>
        </w:tc>
        <w:tc>
          <w:tcPr>
            <w:tcW w:w="2799" w:type="dxa"/>
            <w:gridSpan w:val="8"/>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53E6650B" w14:textId="77777777" w:rsidR="006A7513" w:rsidRPr="00BC7BB5" w:rsidRDefault="006A7513" w:rsidP="006A7513">
            <w:pPr>
              <w:spacing w:after="0"/>
              <w:rPr>
                <w:rFonts w:ascii="Times New Roman" w:hAnsi="Times New Roman" w:cs="Times New Roman"/>
                <w:bCs/>
                <w:sz w:val="20"/>
                <w:szCs w:val="20"/>
              </w:rPr>
            </w:pPr>
            <w:r w:rsidRPr="00BC7BB5">
              <w:rPr>
                <w:rFonts w:ascii="Times New Roman" w:hAnsi="Times New Roman" w:cs="Times New Roman"/>
                <w:bCs/>
                <w:sz w:val="20"/>
                <w:szCs w:val="20"/>
              </w:rPr>
              <w:t>Co-TTL</w:t>
            </w:r>
          </w:p>
        </w:tc>
        <w:tc>
          <w:tcPr>
            <w:tcW w:w="1187" w:type="dxa"/>
            <w:gridSpan w:val="4"/>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48BF3555" w14:textId="77777777" w:rsidR="006A7513" w:rsidRPr="00BC7BB5" w:rsidRDefault="006A7513" w:rsidP="006A7513">
            <w:pPr>
              <w:spacing w:after="0"/>
              <w:rPr>
                <w:rFonts w:ascii="Times New Roman" w:hAnsi="Times New Roman" w:cs="Times New Roman"/>
                <w:bCs/>
                <w:sz w:val="20"/>
                <w:szCs w:val="20"/>
              </w:rPr>
            </w:pPr>
            <w:r w:rsidRPr="00BC7BB5">
              <w:rPr>
                <w:rFonts w:ascii="Times New Roman" w:hAnsi="Times New Roman" w:cs="Times New Roman"/>
                <w:bCs/>
                <w:sz w:val="20"/>
                <w:szCs w:val="20"/>
              </w:rPr>
              <w:t>GTC05</w:t>
            </w:r>
          </w:p>
        </w:tc>
      </w:tr>
      <w:tr w:rsidR="006A7513" w:rsidRPr="00BC7BB5" w14:paraId="5E37B669" w14:textId="77777777" w:rsidTr="00FA3400">
        <w:tblPrEx>
          <w:jc w:val="center"/>
        </w:tblPrEx>
        <w:trPr>
          <w:trHeight w:val="145"/>
          <w:jc w:val="center"/>
        </w:trPr>
        <w:tc>
          <w:tcPr>
            <w:tcW w:w="2627" w:type="dxa"/>
            <w:gridSpan w:val="1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112AB457" w14:textId="77777777" w:rsidR="006A7513" w:rsidRPr="00BC7BB5" w:rsidRDefault="006A7513" w:rsidP="006A7513">
            <w:pPr>
              <w:spacing w:after="0"/>
              <w:rPr>
                <w:rFonts w:ascii="Times New Roman" w:hAnsi="Times New Roman" w:cs="Times New Roman"/>
                <w:bCs/>
                <w:sz w:val="20"/>
                <w:szCs w:val="20"/>
              </w:rPr>
            </w:pPr>
            <w:r w:rsidRPr="00BC7BB5">
              <w:rPr>
                <w:rFonts w:ascii="Times New Roman" w:hAnsi="Times New Roman" w:cs="Times New Roman"/>
                <w:bCs/>
                <w:sz w:val="20"/>
                <w:szCs w:val="20"/>
              </w:rPr>
              <w:t>Parmesh Shah</w:t>
            </w:r>
          </w:p>
        </w:tc>
        <w:tc>
          <w:tcPr>
            <w:tcW w:w="2882" w:type="dxa"/>
            <w:gridSpan w:val="1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2E552BF2" w14:textId="77777777" w:rsidR="006A7513" w:rsidRPr="00BC7BB5" w:rsidRDefault="006A7513" w:rsidP="006A7513">
            <w:pPr>
              <w:spacing w:after="0"/>
              <w:rPr>
                <w:rFonts w:ascii="Times New Roman" w:hAnsi="Times New Roman" w:cs="Times New Roman"/>
                <w:bCs/>
                <w:sz w:val="20"/>
                <w:szCs w:val="20"/>
              </w:rPr>
            </w:pPr>
            <w:r w:rsidRPr="00BC7BB5">
              <w:rPr>
                <w:rFonts w:ascii="Times New Roman" w:hAnsi="Times New Roman" w:cs="Times New Roman"/>
                <w:bCs/>
                <w:sz w:val="20"/>
                <w:szCs w:val="20"/>
              </w:rPr>
              <w:t>Lead Rural Development Specialist</w:t>
            </w:r>
          </w:p>
        </w:tc>
        <w:tc>
          <w:tcPr>
            <w:tcW w:w="2799" w:type="dxa"/>
            <w:gridSpan w:val="8"/>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1483C18D" w14:textId="77777777" w:rsidR="006A7513" w:rsidRPr="00BC7BB5" w:rsidRDefault="006A7513" w:rsidP="006A7513">
            <w:pPr>
              <w:spacing w:after="0"/>
              <w:rPr>
                <w:rFonts w:ascii="Times New Roman" w:hAnsi="Times New Roman" w:cs="Times New Roman"/>
                <w:bCs/>
                <w:sz w:val="20"/>
                <w:szCs w:val="20"/>
              </w:rPr>
            </w:pPr>
            <w:r w:rsidRPr="00BC7BB5">
              <w:rPr>
                <w:rFonts w:ascii="Times New Roman" w:hAnsi="Times New Roman" w:cs="Times New Roman"/>
                <w:bCs/>
                <w:sz w:val="20"/>
                <w:szCs w:val="20"/>
              </w:rPr>
              <w:t>Rural Development</w:t>
            </w:r>
          </w:p>
        </w:tc>
        <w:tc>
          <w:tcPr>
            <w:tcW w:w="1187" w:type="dxa"/>
            <w:gridSpan w:val="4"/>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1DA50183" w14:textId="77777777" w:rsidR="006A7513" w:rsidRPr="00BC7BB5" w:rsidRDefault="006A7513" w:rsidP="006A7513">
            <w:pPr>
              <w:spacing w:after="0"/>
              <w:rPr>
                <w:rFonts w:ascii="Times New Roman" w:hAnsi="Times New Roman" w:cs="Times New Roman"/>
                <w:bCs/>
                <w:sz w:val="20"/>
                <w:szCs w:val="20"/>
              </w:rPr>
            </w:pPr>
            <w:r w:rsidRPr="00BC7BB5">
              <w:rPr>
                <w:rFonts w:ascii="Times New Roman" w:hAnsi="Times New Roman" w:cs="Times New Roman"/>
                <w:bCs/>
                <w:sz w:val="20"/>
                <w:szCs w:val="20"/>
              </w:rPr>
              <w:t>GFA06</w:t>
            </w:r>
          </w:p>
        </w:tc>
      </w:tr>
      <w:tr w:rsidR="006A7513" w:rsidRPr="00BC7BB5" w14:paraId="3D697364" w14:textId="77777777" w:rsidTr="00FA3400">
        <w:tblPrEx>
          <w:jc w:val="center"/>
        </w:tblPrEx>
        <w:trPr>
          <w:trHeight w:val="145"/>
          <w:jc w:val="center"/>
        </w:trPr>
        <w:tc>
          <w:tcPr>
            <w:tcW w:w="2627" w:type="dxa"/>
            <w:gridSpan w:val="1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1A5DC059" w14:textId="77777777" w:rsidR="006A7513" w:rsidRPr="00BC7BB5" w:rsidRDefault="006A7513" w:rsidP="006A7513">
            <w:pPr>
              <w:spacing w:after="0"/>
              <w:rPr>
                <w:rFonts w:ascii="Times New Roman" w:hAnsi="Times New Roman" w:cs="Times New Roman"/>
                <w:bCs/>
                <w:sz w:val="20"/>
                <w:szCs w:val="20"/>
              </w:rPr>
            </w:pPr>
            <w:r w:rsidRPr="00BC7BB5">
              <w:rPr>
                <w:rFonts w:ascii="Times New Roman" w:hAnsi="Times New Roman" w:cs="Times New Roman"/>
                <w:bCs/>
                <w:sz w:val="20"/>
                <w:szCs w:val="20"/>
              </w:rPr>
              <w:t>Mohamed Medouar</w:t>
            </w:r>
          </w:p>
        </w:tc>
        <w:tc>
          <w:tcPr>
            <w:tcW w:w="2882" w:type="dxa"/>
            <w:gridSpan w:val="1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19A8E6E2" w14:textId="77777777" w:rsidR="006A7513" w:rsidRPr="00BC7BB5" w:rsidRDefault="006A7513" w:rsidP="006A7513">
            <w:pPr>
              <w:spacing w:after="0"/>
              <w:rPr>
                <w:rFonts w:ascii="Times New Roman" w:hAnsi="Times New Roman" w:cs="Times New Roman"/>
                <w:bCs/>
                <w:sz w:val="20"/>
                <w:szCs w:val="20"/>
              </w:rPr>
            </w:pPr>
            <w:r w:rsidRPr="00BC7BB5">
              <w:rPr>
                <w:rFonts w:ascii="Times New Roman" w:hAnsi="Times New Roman" w:cs="Times New Roman"/>
                <w:bCs/>
                <w:sz w:val="20"/>
                <w:szCs w:val="20"/>
              </w:rPr>
              <w:t>Sr. Agriculture Specialist</w:t>
            </w:r>
          </w:p>
        </w:tc>
        <w:tc>
          <w:tcPr>
            <w:tcW w:w="2799" w:type="dxa"/>
            <w:gridSpan w:val="8"/>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7FAE29B0" w14:textId="77777777" w:rsidR="006A7513" w:rsidRPr="00BC7BB5" w:rsidRDefault="006A7513" w:rsidP="006A7513">
            <w:pPr>
              <w:spacing w:after="0"/>
              <w:rPr>
                <w:rFonts w:ascii="Times New Roman" w:hAnsi="Times New Roman" w:cs="Times New Roman"/>
                <w:bCs/>
                <w:sz w:val="20"/>
                <w:szCs w:val="20"/>
              </w:rPr>
            </w:pPr>
            <w:r w:rsidRPr="00BC7BB5">
              <w:rPr>
                <w:rFonts w:ascii="Times New Roman" w:hAnsi="Times New Roman" w:cs="Times New Roman"/>
                <w:bCs/>
                <w:sz w:val="20"/>
                <w:szCs w:val="20"/>
              </w:rPr>
              <w:t>Rural Development</w:t>
            </w:r>
          </w:p>
        </w:tc>
        <w:tc>
          <w:tcPr>
            <w:tcW w:w="1187" w:type="dxa"/>
            <w:gridSpan w:val="4"/>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578250FA" w14:textId="77777777" w:rsidR="006A7513" w:rsidRPr="00BC7BB5" w:rsidRDefault="006A7513" w:rsidP="006A7513">
            <w:pPr>
              <w:spacing w:after="0"/>
              <w:rPr>
                <w:rFonts w:ascii="Times New Roman" w:hAnsi="Times New Roman" w:cs="Times New Roman"/>
                <w:bCs/>
                <w:sz w:val="20"/>
                <w:szCs w:val="20"/>
              </w:rPr>
            </w:pPr>
            <w:r w:rsidRPr="00BC7BB5">
              <w:rPr>
                <w:rFonts w:ascii="Times New Roman" w:hAnsi="Times New Roman" w:cs="Times New Roman"/>
                <w:bCs/>
                <w:sz w:val="20"/>
                <w:szCs w:val="20"/>
              </w:rPr>
              <w:t>GFA05</w:t>
            </w:r>
          </w:p>
        </w:tc>
      </w:tr>
      <w:tr w:rsidR="006A7513" w:rsidRPr="00BC7BB5" w14:paraId="6AA7A3D0" w14:textId="77777777" w:rsidTr="00FA3400">
        <w:tblPrEx>
          <w:jc w:val="center"/>
        </w:tblPrEx>
        <w:trPr>
          <w:trHeight w:val="145"/>
          <w:jc w:val="center"/>
        </w:trPr>
        <w:tc>
          <w:tcPr>
            <w:tcW w:w="2627" w:type="dxa"/>
            <w:gridSpan w:val="1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117CA4BD" w14:textId="77777777" w:rsidR="006A7513" w:rsidRPr="00BC7BB5" w:rsidRDefault="006A7513" w:rsidP="006A7513">
            <w:pPr>
              <w:spacing w:after="0"/>
              <w:rPr>
                <w:rFonts w:ascii="Times New Roman" w:hAnsi="Times New Roman" w:cs="Times New Roman"/>
                <w:bCs/>
                <w:sz w:val="20"/>
                <w:szCs w:val="20"/>
              </w:rPr>
            </w:pPr>
            <w:r w:rsidRPr="00BC7BB5">
              <w:rPr>
                <w:rFonts w:ascii="Times New Roman" w:hAnsi="Times New Roman" w:cs="Times New Roman"/>
                <w:bCs/>
                <w:sz w:val="20"/>
                <w:szCs w:val="20"/>
              </w:rPr>
              <w:t>Nawal Filali</w:t>
            </w:r>
          </w:p>
        </w:tc>
        <w:tc>
          <w:tcPr>
            <w:tcW w:w="2882" w:type="dxa"/>
            <w:gridSpan w:val="1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75C89F3A" w14:textId="77777777" w:rsidR="006A7513" w:rsidRPr="00BC7BB5" w:rsidRDefault="006A7513" w:rsidP="006A7513">
            <w:pPr>
              <w:spacing w:after="0"/>
              <w:rPr>
                <w:rFonts w:ascii="Times New Roman" w:hAnsi="Times New Roman" w:cs="Times New Roman"/>
                <w:bCs/>
                <w:sz w:val="20"/>
                <w:szCs w:val="20"/>
              </w:rPr>
            </w:pPr>
            <w:r w:rsidRPr="00BC7BB5">
              <w:rPr>
                <w:rFonts w:ascii="Times New Roman" w:hAnsi="Times New Roman" w:cs="Times New Roman"/>
                <w:bCs/>
                <w:sz w:val="20"/>
                <w:szCs w:val="20"/>
              </w:rPr>
              <w:t>Private Sector Specialist</w:t>
            </w:r>
          </w:p>
        </w:tc>
        <w:tc>
          <w:tcPr>
            <w:tcW w:w="2799" w:type="dxa"/>
            <w:gridSpan w:val="8"/>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2C917998" w14:textId="77777777" w:rsidR="006A7513" w:rsidRPr="00BC7BB5" w:rsidRDefault="006A7513" w:rsidP="006A7513">
            <w:pPr>
              <w:spacing w:after="0"/>
              <w:rPr>
                <w:rFonts w:ascii="Times New Roman" w:hAnsi="Times New Roman" w:cs="Times New Roman"/>
                <w:bCs/>
                <w:sz w:val="20"/>
                <w:szCs w:val="20"/>
              </w:rPr>
            </w:pPr>
            <w:r w:rsidRPr="00BC7BB5">
              <w:rPr>
                <w:rFonts w:ascii="Times New Roman" w:hAnsi="Times New Roman" w:cs="Times New Roman"/>
                <w:bCs/>
                <w:sz w:val="20"/>
                <w:szCs w:val="20"/>
              </w:rPr>
              <w:t>Private Sector Development</w:t>
            </w:r>
          </w:p>
        </w:tc>
        <w:tc>
          <w:tcPr>
            <w:tcW w:w="1187" w:type="dxa"/>
            <w:gridSpan w:val="4"/>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63F28A11" w14:textId="77777777" w:rsidR="006A7513" w:rsidRPr="00BC7BB5" w:rsidRDefault="006A7513" w:rsidP="006A7513">
            <w:pPr>
              <w:spacing w:after="0"/>
              <w:rPr>
                <w:rFonts w:ascii="Times New Roman" w:hAnsi="Times New Roman" w:cs="Times New Roman"/>
                <w:bCs/>
                <w:sz w:val="20"/>
                <w:szCs w:val="20"/>
              </w:rPr>
            </w:pPr>
            <w:r w:rsidRPr="00BC7BB5">
              <w:rPr>
                <w:rFonts w:ascii="Times New Roman" w:hAnsi="Times New Roman" w:cs="Times New Roman"/>
                <w:bCs/>
                <w:sz w:val="20"/>
                <w:szCs w:val="20"/>
              </w:rPr>
              <w:t>GTCME</w:t>
            </w:r>
          </w:p>
        </w:tc>
      </w:tr>
      <w:tr w:rsidR="006A7513" w:rsidRPr="00BC7BB5" w14:paraId="0542C700" w14:textId="77777777" w:rsidTr="00FA3400">
        <w:tblPrEx>
          <w:jc w:val="center"/>
        </w:tblPrEx>
        <w:trPr>
          <w:trHeight w:val="145"/>
          <w:jc w:val="center"/>
        </w:trPr>
        <w:tc>
          <w:tcPr>
            <w:tcW w:w="2627" w:type="dxa"/>
            <w:gridSpan w:val="1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3C444325" w14:textId="77777777" w:rsidR="006A7513" w:rsidRPr="00BC7BB5" w:rsidRDefault="006A7513" w:rsidP="006A7513">
            <w:pPr>
              <w:spacing w:after="0"/>
              <w:rPr>
                <w:rFonts w:ascii="Times New Roman" w:hAnsi="Times New Roman" w:cs="Times New Roman"/>
                <w:bCs/>
                <w:sz w:val="20"/>
                <w:szCs w:val="20"/>
              </w:rPr>
            </w:pPr>
            <w:r w:rsidRPr="00BC7BB5">
              <w:rPr>
                <w:rFonts w:ascii="Times New Roman" w:hAnsi="Times New Roman" w:cs="Times New Roman"/>
                <w:bCs/>
                <w:sz w:val="20"/>
                <w:szCs w:val="20"/>
              </w:rPr>
              <w:t>David Olivier Treguer</w:t>
            </w:r>
          </w:p>
        </w:tc>
        <w:tc>
          <w:tcPr>
            <w:tcW w:w="2882" w:type="dxa"/>
            <w:gridSpan w:val="1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21D0C174" w14:textId="77777777" w:rsidR="006A7513" w:rsidRPr="00BC7BB5" w:rsidRDefault="006A7513" w:rsidP="006A7513">
            <w:pPr>
              <w:spacing w:after="0"/>
              <w:rPr>
                <w:rFonts w:ascii="Times New Roman" w:hAnsi="Times New Roman" w:cs="Times New Roman"/>
                <w:bCs/>
                <w:sz w:val="20"/>
                <w:szCs w:val="20"/>
              </w:rPr>
            </w:pPr>
            <w:r w:rsidRPr="00BC7BB5">
              <w:rPr>
                <w:rFonts w:ascii="Times New Roman" w:hAnsi="Times New Roman" w:cs="Times New Roman"/>
                <w:bCs/>
                <w:sz w:val="20"/>
                <w:szCs w:val="20"/>
              </w:rPr>
              <w:t>Agriculture Economist</w:t>
            </w:r>
          </w:p>
        </w:tc>
        <w:tc>
          <w:tcPr>
            <w:tcW w:w="2799" w:type="dxa"/>
            <w:gridSpan w:val="8"/>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609A3EE7" w14:textId="77777777" w:rsidR="006A7513" w:rsidRPr="00BC7BB5" w:rsidRDefault="006A7513" w:rsidP="006A7513">
            <w:pPr>
              <w:spacing w:after="0"/>
              <w:rPr>
                <w:rFonts w:ascii="Times New Roman" w:hAnsi="Times New Roman" w:cs="Times New Roman"/>
                <w:bCs/>
                <w:sz w:val="20"/>
                <w:szCs w:val="20"/>
              </w:rPr>
            </w:pPr>
            <w:r w:rsidRPr="00BC7BB5">
              <w:rPr>
                <w:rFonts w:ascii="Times New Roman" w:hAnsi="Times New Roman" w:cs="Times New Roman"/>
                <w:bCs/>
                <w:sz w:val="20"/>
                <w:szCs w:val="20"/>
              </w:rPr>
              <w:t>Agricultural Economics</w:t>
            </w:r>
          </w:p>
        </w:tc>
        <w:tc>
          <w:tcPr>
            <w:tcW w:w="1187" w:type="dxa"/>
            <w:gridSpan w:val="4"/>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186C13DD" w14:textId="77777777" w:rsidR="006A7513" w:rsidRPr="00BC7BB5" w:rsidRDefault="006A7513" w:rsidP="006A7513">
            <w:pPr>
              <w:spacing w:after="0"/>
              <w:rPr>
                <w:rFonts w:ascii="Times New Roman" w:hAnsi="Times New Roman" w:cs="Times New Roman"/>
                <w:bCs/>
                <w:sz w:val="20"/>
                <w:szCs w:val="20"/>
              </w:rPr>
            </w:pPr>
            <w:r w:rsidRPr="00BC7BB5">
              <w:rPr>
                <w:rFonts w:ascii="Times New Roman" w:hAnsi="Times New Roman" w:cs="Times New Roman"/>
                <w:bCs/>
                <w:sz w:val="20"/>
                <w:szCs w:val="20"/>
              </w:rPr>
              <w:t>GFA05</w:t>
            </w:r>
          </w:p>
        </w:tc>
      </w:tr>
      <w:tr w:rsidR="006A7513" w:rsidRPr="00BC7BB5" w14:paraId="7D8647CB" w14:textId="77777777" w:rsidTr="00FA3400">
        <w:tblPrEx>
          <w:jc w:val="center"/>
        </w:tblPrEx>
        <w:trPr>
          <w:trHeight w:val="145"/>
          <w:jc w:val="center"/>
        </w:trPr>
        <w:tc>
          <w:tcPr>
            <w:tcW w:w="2627" w:type="dxa"/>
            <w:gridSpan w:val="1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6DD909F0" w14:textId="77777777" w:rsidR="006A7513" w:rsidRPr="00BC7BB5" w:rsidRDefault="006A7513" w:rsidP="006A7513">
            <w:pPr>
              <w:spacing w:after="0"/>
              <w:rPr>
                <w:rFonts w:ascii="Times New Roman" w:hAnsi="Times New Roman" w:cs="Times New Roman"/>
                <w:bCs/>
                <w:sz w:val="20"/>
                <w:szCs w:val="20"/>
              </w:rPr>
            </w:pPr>
            <w:r w:rsidRPr="00BC7BB5">
              <w:rPr>
                <w:rFonts w:ascii="Times New Roman" w:hAnsi="Times New Roman" w:cs="Times New Roman"/>
                <w:bCs/>
                <w:sz w:val="20"/>
                <w:szCs w:val="20"/>
              </w:rPr>
              <w:t>Serhiy Osavolyuk</w:t>
            </w:r>
          </w:p>
        </w:tc>
        <w:tc>
          <w:tcPr>
            <w:tcW w:w="2882" w:type="dxa"/>
            <w:gridSpan w:val="1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3A5F2C35" w14:textId="77777777" w:rsidR="006A7513" w:rsidRPr="00BC7BB5" w:rsidRDefault="006A7513" w:rsidP="006A7513">
            <w:pPr>
              <w:spacing w:after="0"/>
              <w:rPr>
                <w:rFonts w:ascii="Times New Roman" w:hAnsi="Times New Roman" w:cs="Times New Roman"/>
                <w:bCs/>
                <w:sz w:val="20"/>
                <w:szCs w:val="20"/>
              </w:rPr>
            </w:pPr>
            <w:r w:rsidRPr="00BC7BB5">
              <w:rPr>
                <w:rFonts w:ascii="Times New Roman" w:hAnsi="Times New Roman" w:cs="Times New Roman"/>
                <w:bCs/>
                <w:sz w:val="20"/>
                <w:szCs w:val="20"/>
              </w:rPr>
              <w:t>Sr. Private Sector Specialist</w:t>
            </w:r>
          </w:p>
        </w:tc>
        <w:tc>
          <w:tcPr>
            <w:tcW w:w="2799" w:type="dxa"/>
            <w:gridSpan w:val="8"/>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702FB602" w14:textId="77777777" w:rsidR="006A7513" w:rsidRPr="00BC7BB5" w:rsidRDefault="006A7513" w:rsidP="006A7513">
            <w:pPr>
              <w:spacing w:after="0"/>
              <w:rPr>
                <w:rFonts w:ascii="Times New Roman" w:hAnsi="Times New Roman" w:cs="Times New Roman"/>
                <w:bCs/>
                <w:sz w:val="20"/>
                <w:szCs w:val="20"/>
              </w:rPr>
            </w:pPr>
            <w:r w:rsidRPr="00BC7BB5">
              <w:rPr>
                <w:rFonts w:ascii="Times New Roman" w:hAnsi="Times New Roman" w:cs="Times New Roman"/>
                <w:bCs/>
                <w:sz w:val="20"/>
                <w:szCs w:val="20"/>
              </w:rPr>
              <w:t>Private Sector Development</w:t>
            </w:r>
          </w:p>
        </w:tc>
        <w:tc>
          <w:tcPr>
            <w:tcW w:w="1187" w:type="dxa"/>
            <w:gridSpan w:val="4"/>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716652E0" w14:textId="77777777" w:rsidR="006A7513" w:rsidRPr="00BC7BB5" w:rsidRDefault="006A7513" w:rsidP="006A7513">
            <w:pPr>
              <w:spacing w:after="0"/>
              <w:rPr>
                <w:rFonts w:ascii="Times New Roman" w:hAnsi="Times New Roman" w:cs="Times New Roman"/>
                <w:bCs/>
                <w:sz w:val="20"/>
                <w:szCs w:val="20"/>
              </w:rPr>
            </w:pPr>
            <w:r w:rsidRPr="00BC7BB5">
              <w:rPr>
                <w:rFonts w:ascii="Times New Roman" w:hAnsi="Times New Roman" w:cs="Times New Roman"/>
                <w:bCs/>
                <w:sz w:val="20"/>
                <w:szCs w:val="20"/>
              </w:rPr>
              <w:t>GTCME</w:t>
            </w:r>
          </w:p>
        </w:tc>
      </w:tr>
      <w:tr w:rsidR="006A7513" w:rsidRPr="00BC7BB5" w14:paraId="710F954A" w14:textId="77777777" w:rsidTr="00FA3400">
        <w:tblPrEx>
          <w:jc w:val="center"/>
        </w:tblPrEx>
        <w:trPr>
          <w:trHeight w:val="145"/>
          <w:jc w:val="center"/>
        </w:trPr>
        <w:tc>
          <w:tcPr>
            <w:tcW w:w="2627" w:type="dxa"/>
            <w:gridSpan w:val="1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237D30A8" w14:textId="77777777" w:rsidR="006A7513" w:rsidRPr="00BC7BB5" w:rsidRDefault="006A7513" w:rsidP="006A7513">
            <w:pPr>
              <w:spacing w:after="0"/>
              <w:rPr>
                <w:rFonts w:ascii="Times New Roman" w:hAnsi="Times New Roman" w:cs="Times New Roman"/>
                <w:bCs/>
                <w:sz w:val="20"/>
                <w:szCs w:val="20"/>
              </w:rPr>
            </w:pPr>
            <w:r w:rsidRPr="00BC7BB5">
              <w:rPr>
                <w:rFonts w:ascii="Times New Roman" w:hAnsi="Times New Roman" w:cs="Times New Roman"/>
                <w:bCs/>
                <w:sz w:val="20"/>
                <w:szCs w:val="20"/>
              </w:rPr>
              <w:t>Francisco Obreque</w:t>
            </w:r>
          </w:p>
        </w:tc>
        <w:tc>
          <w:tcPr>
            <w:tcW w:w="2882" w:type="dxa"/>
            <w:gridSpan w:val="1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14C064E4" w14:textId="77777777" w:rsidR="006A7513" w:rsidRPr="00BC7BB5" w:rsidRDefault="006A7513" w:rsidP="006A7513">
            <w:pPr>
              <w:spacing w:after="0"/>
              <w:rPr>
                <w:rFonts w:ascii="Times New Roman" w:hAnsi="Times New Roman" w:cs="Times New Roman"/>
                <w:bCs/>
                <w:sz w:val="20"/>
                <w:szCs w:val="20"/>
              </w:rPr>
            </w:pPr>
            <w:r w:rsidRPr="00BC7BB5">
              <w:rPr>
                <w:rFonts w:ascii="Times New Roman" w:hAnsi="Times New Roman" w:cs="Times New Roman"/>
                <w:bCs/>
                <w:sz w:val="20"/>
                <w:szCs w:val="20"/>
              </w:rPr>
              <w:t>Agricultural Specialist</w:t>
            </w:r>
          </w:p>
        </w:tc>
        <w:tc>
          <w:tcPr>
            <w:tcW w:w="2799" w:type="dxa"/>
            <w:gridSpan w:val="8"/>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33EB39B9" w14:textId="77777777" w:rsidR="006A7513" w:rsidRPr="00BC7BB5" w:rsidRDefault="006A7513" w:rsidP="006A7513">
            <w:pPr>
              <w:spacing w:after="0"/>
              <w:rPr>
                <w:rFonts w:ascii="Times New Roman" w:hAnsi="Times New Roman" w:cs="Times New Roman"/>
                <w:bCs/>
                <w:sz w:val="20"/>
                <w:szCs w:val="20"/>
              </w:rPr>
            </w:pPr>
            <w:r w:rsidRPr="00BC7BB5">
              <w:rPr>
                <w:rFonts w:ascii="Times New Roman" w:hAnsi="Times New Roman" w:cs="Times New Roman"/>
                <w:bCs/>
                <w:sz w:val="20"/>
                <w:szCs w:val="20"/>
              </w:rPr>
              <w:t>Agricultural Policies</w:t>
            </w:r>
          </w:p>
        </w:tc>
        <w:tc>
          <w:tcPr>
            <w:tcW w:w="1187" w:type="dxa"/>
            <w:gridSpan w:val="4"/>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62123F34" w14:textId="77777777" w:rsidR="006A7513" w:rsidRPr="00BC7BB5" w:rsidRDefault="006A7513" w:rsidP="006A7513">
            <w:pPr>
              <w:spacing w:after="0"/>
              <w:rPr>
                <w:rFonts w:ascii="Times New Roman" w:hAnsi="Times New Roman" w:cs="Times New Roman"/>
                <w:bCs/>
                <w:sz w:val="20"/>
                <w:szCs w:val="20"/>
              </w:rPr>
            </w:pPr>
            <w:r w:rsidRPr="00BC7BB5">
              <w:rPr>
                <w:rFonts w:ascii="Times New Roman" w:hAnsi="Times New Roman" w:cs="Times New Roman"/>
                <w:bCs/>
                <w:sz w:val="20"/>
                <w:szCs w:val="20"/>
              </w:rPr>
              <w:t>GFA04</w:t>
            </w:r>
          </w:p>
        </w:tc>
      </w:tr>
      <w:tr w:rsidR="006A7513" w:rsidRPr="00BC7BB5" w14:paraId="4E66D928" w14:textId="77777777" w:rsidTr="00FA3400">
        <w:tblPrEx>
          <w:jc w:val="center"/>
        </w:tblPrEx>
        <w:trPr>
          <w:trHeight w:val="145"/>
          <w:jc w:val="center"/>
        </w:trPr>
        <w:tc>
          <w:tcPr>
            <w:tcW w:w="2627" w:type="dxa"/>
            <w:gridSpan w:val="1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7DDF2B32" w14:textId="77777777" w:rsidR="006A7513" w:rsidRPr="00BC7BB5" w:rsidRDefault="006A7513" w:rsidP="006A7513">
            <w:pPr>
              <w:spacing w:after="0"/>
              <w:rPr>
                <w:rFonts w:ascii="Times New Roman" w:hAnsi="Times New Roman" w:cs="Times New Roman"/>
                <w:bCs/>
                <w:sz w:val="20"/>
                <w:szCs w:val="20"/>
              </w:rPr>
            </w:pPr>
            <w:r w:rsidRPr="00BC7BB5">
              <w:rPr>
                <w:rFonts w:ascii="Times New Roman" w:hAnsi="Times New Roman" w:cs="Times New Roman"/>
                <w:bCs/>
                <w:sz w:val="20"/>
                <w:szCs w:val="20"/>
              </w:rPr>
              <w:t>Laila Moudden</w:t>
            </w:r>
          </w:p>
        </w:tc>
        <w:tc>
          <w:tcPr>
            <w:tcW w:w="2882" w:type="dxa"/>
            <w:gridSpan w:val="1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75890BFB" w14:textId="77777777" w:rsidR="006A7513" w:rsidRPr="00BC7BB5" w:rsidRDefault="006A7513" w:rsidP="006A7513">
            <w:pPr>
              <w:spacing w:after="0"/>
              <w:rPr>
                <w:rFonts w:ascii="Times New Roman" w:hAnsi="Times New Roman" w:cs="Times New Roman"/>
                <w:bCs/>
                <w:sz w:val="20"/>
                <w:szCs w:val="20"/>
              </w:rPr>
            </w:pPr>
            <w:r w:rsidRPr="00BC7BB5">
              <w:rPr>
                <w:rFonts w:ascii="Times New Roman" w:hAnsi="Times New Roman" w:cs="Times New Roman"/>
                <w:bCs/>
                <w:sz w:val="20"/>
                <w:szCs w:val="20"/>
              </w:rPr>
              <w:t>Financial Management Analyst</w:t>
            </w:r>
          </w:p>
        </w:tc>
        <w:tc>
          <w:tcPr>
            <w:tcW w:w="2799" w:type="dxa"/>
            <w:gridSpan w:val="8"/>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259D8EE7" w14:textId="77777777" w:rsidR="006A7513" w:rsidRPr="00BC7BB5" w:rsidRDefault="006A7513" w:rsidP="006A7513">
            <w:pPr>
              <w:spacing w:after="0"/>
              <w:rPr>
                <w:rFonts w:ascii="Times New Roman" w:hAnsi="Times New Roman" w:cs="Times New Roman"/>
                <w:bCs/>
                <w:sz w:val="20"/>
                <w:szCs w:val="20"/>
              </w:rPr>
            </w:pPr>
            <w:r w:rsidRPr="00BC7BB5">
              <w:rPr>
                <w:rFonts w:ascii="Times New Roman" w:hAnsi="Times New Roman" w:cs="Times New Roman"/>
                <w:bCs/>
                <w:sz w:val="20"/>
                <w:szCs w:val="20"/>
              </w:rPr>
              <w:t>Financial Management</w:t>
            </w:r>
          </w:p>
        </w:tc>
        <w:tc>
          <w:tcPr>
            <w:tcW w:w="1187" w:type="dxa"/>
            <w:gridSpan w:val="4"/>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287FEAFE" w14:textId="77777777" w:rsidR="006A7513" w:rsidRPr="00BC7BB5" w:rsidRDefault="006A7513" w:rsidP="006A7513">
            <w:pPr>
              <w:spacing w:after="0"/>
              <w:rPr>
                <w:rFonts w:ascii="Times New Roman" w:hAnsi="Times New Roman" w:cs="Times New Roman"/>
                <w:bCs/>
                <w:sz w:val="20"/>
                <w:szCs w:val="20"/>
              </w:rPr>
            </w:pPr>
            <w:r w:rsidRPr="00BC7BB5">
              <w:rPr>
                <w:rFonts w:ascii="Times New Roman" w:hAnsi="Times New Roman" w:cs="Times New Roman"/>
                <w:bCs/>
                <w:sz w:val="20"/>
                <w:szCs w:val="20"/>
              </w:rPr>
              <w:t>GGO23</w:t>
            </w:r>
          </w:p>
        </w:tc>
      </w:tr>
      <w:tr w:rsidR="006A7513" w:rsidRPr="00BC7BB5" w14:paraId="53AFB8AC" w14:textId="77777777" w:rsidTr="00FA3400">
        <w:tblPrEx>
          <w:jc w:val="center"/>
        </w:tblPrEx>
        <w:trPr>
          <w:trHeight w:val="145"/>
          <w:jc w:val="center"/>
        </w:trPr>
        <w:tc>
          <w:tcPr>
            <w:tcW w:w="2627" w:type="dxa"/>
            <w:gridSpan w:val="1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5AA5A6ED" w14:textId="77777777" w:rsidR="006A7513" w:rsidRPr="00BC7BB5" w:rsidRDefault="006A7513" w:rsidP="006A7513">
            <w:pPr>
              <w:spacing w:after="0"/>
              <w:rPr>
                <w:rFonts w:ascii="Times New Roman" w:hAnsi="Times New Roman" w:cs="Times New Roman"/>
                <w:bCs/>
                <w:sz w:val="20"/>
                <w:szCs w:val="20"/>
              </w:rPr>
            </w:pPr>
            <w:r w:rsidRPr="00BC7BB5">
              <w:rPr>
                <w:rFonts w:ascii="Times New Roman" w:hAnsi="Times New Roman" w:cs="Times New Roman"/>
                <w:bCs/>
                <w:sz w:val="20"/>
                <w:szCs w:val="20"/>
              </w:rPr>
              <w:t>Loraine Ronchi</w:t>
            </w:r>
          </w:p>
        </w:tc>
        <w:tc>
          <w:tcPr>
            <w:tcW w:w="2882" w:type="dxa"/>
            <w:gridSpan w:val="1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2001B24F" w14:textId="77777777" w:rsidR="006A7513" w:rsidRPr="00BC7BB5" w:rsidRDefault="006A7513" w:rsidP="006A7513">
            <w:pPr>
              <w:spacing w:after="0"/>
              <w:rPr>
                <w:rFonts w:ascii="Times New Roman" w:hAnsi="Times New Roman" w:cs="Times New Roman"/>
                <w:bCs/>
                <w:sz w:val="20"/>
                <w:szCs w:val="20"/>
              </w:rPr>
            </w:pPr>
            <w:r w:rsidRPr="00BC7BB5">
              <w:rPr>
                <w:rFonts w:ascii="Times New Roman" w:hAnsi="Times New Roman" w:cs="Times New Roman"/>
                <w:bCs/>
                <w:sz w:val="20"/>
                <w:szCs w:val="20"/>
              </w:rPr>
              <w:t>Lead Economist</w:t>
            </w:r>
          </w:p>
        </w:tc>
        <w:tc>
          <w:tcPr>
            <w:tcW w:w="2799" w:type="dxa"/>
            <w:gridSpan w:val="8"/>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7C223CDD" w14:textId="77777777" w:rsidR="006A7513" w:rsidRPr="00BC7BB5" w:rsidRDefault="006A7513" w:rsidP="006A7513">
            <w:pPr>
              <w:spacing w:after="0"/>
              <w:rPr>
                <w:rFonts w:ascii="Times New Roman" w:hAnsi="Times New Roman" w:cs="Times New Roman"/>
                <w:bCs/>
                <w:sz w:val="20"/>
                <w:szCs w:val="20"/>
              </w:rPr>
            </w:pPr>
            <w:r w:rsidRPr="00BC7BB5">
              <w:rPr>
                <w:rFonts w:ascii="Times New Roman" w:hAnsi="Times New Roman" w:cs="Times New Roman"/>
                <w:bCs/>
                <w:sz w:val="20"/>
                <w:szCs w:val="20"/>
              </w:rPr>
              <w:t>Agribusiness</w:t>
            </w:r>
          </w:p>
        </w:tc>
        <w:tc>
          <w:tcPr>
            <w:tcW w:w="1187" w:type="dxa"/>
            <w:gridSpan w:val="4"/>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4885E504" w14:textId="77777777" w:rsidR="006A7513" w:rsidRPr="00BC7BB5" w:rsidRDefault="006A7513" w:rsidP="006A7513">
            <w:pPr>
              <w:spacing w:after="0"/>
              <w:rPr>
                <w:rFonts w:ascii="Times New Roman" w:hAnsi="Times New Roman" w:cs="Times New Roman"/>
                <w:bCs/>
                <w:sz w:val="20"/>
                <w:szCs w:val="20"/>
              </w:rPr>
            </w:pPr>
            <w:r w:rsidRPr="00BC7BB5">
              <w:rPr>
                <w:rFonts w:ascii="Times New Roman" w:hAnsi="Times New Roman" w:cs="Times New Roman"/>
                <w:bCs/>
                <w:sz w:val="20"/>
                <w:szCs w:val="20"/>
              </w:rPr>
              <w:t>GTCCS</w:t>
            </w:r>
          </w:p>
        </w:tc>
      </w:tr>
      <w:tr w:rsidR="006A7513" w:rsidRPr="00BC7BB5" w14:paraId="763F38FD" w14:textId="77777777" w:rsidTr="00FA3400">
        <w:tblPrEx>
          <w:jc w:val="center"/>
        </w:tblPrEx>
        <w:trPr>
          <w:trHeight w:val="145"/>
          <w:jc w:val="center"/>
        </w:trPr>
        <w:tc>
          <w:tcPr>
            <w:tcW w:w="2627" w:type="dxa"/>
            <w:gridSpan w:val="1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174C7FBE" w14:textId="77777777" w:rsidR="006A7513" w:rsidRPr="00BC7BB5" w:rsidRDefault="006A7513" w:rsidP="006A7513">
            <w:pPr>
              <w:spacing w:after="0"/>
              <w:rPr>
                <w:rFonts w:ascii="Times New Roman" w:hAnsi="Times New Roman" w:cs="Times New Roman"/>
                <w:bCs/>
                <w:sz w:val="20"/>
                <w:szCs w:val="20"/>
              </w:rPr>
            </w:pPr>
            <w:r w:rsidRPr="00BC7BB5">
              <w:rPr>
                <w:rFonts w:ascii="Times New Roman" w:hAnsi="Times New Roman" w:cs="Times New Roman"/>
                <w:bCs/>
                <w:sz w:val="20"/>
                <w:szCs w:val="20"/>
              </w:rPr>
              <w:t>Jean Saint- Geours</w:t>
            </w:r>
          </w:p>
        </w:tc>
        <w:tc>
          <w:tcPr>
            <w:tcW w:w="2882" w:type="dxa"/>
            <w:gridSpan w:val="1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6CCD6D05" w14:textId="77777777" w:rsidR="006A7513" w:rsidRPr="00BC7BB5" w:rsidRDefault="006A7513" w:rsidP="006A7513">
            <w:pPr>
              <w:spacing w:after="0"/>
              <w:rPr>
                <w:rFonts w:ascii="Times New Roman" w:hAnsi="Times New Roman" w:cs="Times New Roman"/>
                <w:bCs/>
                <w:sz w:val="20"/>
                <w:szCs w:val="20"/>
              </w:rPr>
            </w:pPr>
            <w:r w:rsidRPr="00BC7BB5">
              <w:rPr>
                <w:rFonts w:ascii="Times New Roman" w:hAnsi="Times New Roman" w:cs="Times New Roman"/>
                <w:bCs/>
                <w:sz w:val="20"/>
                <w:szCs w:val="20"/>
              </w:rPr>
              <w:t>Economist</w:t>
            </w:r>
          </w:p>
        </w:tc>
        <w:tc>
          <w:tcPr>
            <w:tcW w:w="2799" w:type="dxa"/>
            <w:gridSpan w:val="8"/>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1FDC4038" w14:textId="77777777" w:rsidR="006A7513" w:rsidRPr="00BC7BB5" w:rsidRDefault="006A7513" w:rsidP="006A7513">
            <w:pPr>
              <w:spacing w:after="0"/>
              <w:rPr>
                <w:rFonts w:ascii="Times New Roman" w:hAnsi="Times New Roman" w:cs="Times New Roman"/>
                <w:bCs/>
                <w:sz w:val="20"/>
                <w:szCs w:val="20"/>
              </w:rPr>
            </w:pPr>
            <w:r w:rsidRPr="00BC7BB5">
              <w:rPr>
                <w:rFonts w:ascii="Times New Roman" w:hAnsi="Times New Roman" w:cs="Times New Roman"/>
                <w:bCs/>
                <w:sz w:val="20"/>
                <w:szCs w:val="20"/>
              </w:rPr>
              <w:t>Agribusiness Investment Climate</w:t>
            </w:r>
          </w:p>
        </w:tc>
        <w:tc>
          <w:tcPr>
            <w:tcW w:w="1187" w:type="dxa"/>
            <w:gridSpan w:val="4"/>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5F98714B" w14:textId="77777777" w:rsidR="006A7513" w:rsidRPr="00BC7BB5" w:rsidRDefault="006A7513" w:rsidP="006A7513">
            <w:pPr>
              <w:spacing w:after="0"/>
              <w:rPr>
                <w:rFonts w:ascii="Times New Roman" w:hAnsi="Times New Roman" w:cs="Times New Roman"/>
                <w:bCs/>
                <w:sz w:val="20"/>
                <w:szCs w:val="20"/>
              </w:rPr>
            </w:pPr>
            <w:r w:rsidRPr="00BC7BB5">
              <w:rPr>
                <w:rFonts w:ascii="Times New Roman" w:hAnsi="Times New Roman" w:cs="Times New Roman"/>
                <w:bCs/>
                <w:sz w:val="20"/>
                <w:szCs w:val="20"/>
              </w:rPr>
              <w:t>GTCCS</w:t>
            </w:r>
          </w:p>
        </w:tc>
      </w:tr>
      <w:tr w:rsidR="006A7513" w:rsidRPr="00BC7BB5" w14:paraId="2A4A2A5D" w14:textId="77777777" w:rsidTr="00FA3400">
        <w:tblPrEx>
          <w:jc w:val="center"/>
        </w:tblPrEx>
        <w:trPr>
          <w:trHeight w:val="145"/>
          <w:jc w:val="center"/>
        </w:trPr>
        <w:tc>
          <w:tcPr>
            <w:tcW w:w="2627" w:type="dxa"/>
            <w:gridSpan w:val="1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727A2D94" w14:textId="77777777" w:rsidR="006A7513" w:rsidRPr="00BC7BB5" w:rsidRDefault="006A7513" w:rsidP="006A7513">
            <w:pPr>
              <w:spacing w:after="0"/>
              <w:rPr>
                <w:rFonts w:ascii="Times New Roman" w:hAnsi="Times New Roman" w:cs="Times New Roman"/>
                <w:bCs/>
                <w:sz w:val="20"/>
                <w:szCs w:val="20"/>
              </w:rPr>
            </w:pPr>
            <w:r w:rsidRPr="00BC7BB5">
              <w:rPr>
                <w:rFonts w:ascii="Times New Roman" w:hAnsi="Times New Roman" w:cs="Times New Roman"/>
                <w:bCs/>
                <w:sz w:val="20"/>
                <w:szCs w:val="20"/>
              </w:rPr>
              <w:t>Ousmane Kolie</w:t>
            </w:r>
          </w:p>
        </w:tc>
        <w:tc>
          <w:tcPr>
            <w:tcW w:w="2882" w:type="dxa"/>
            <w:gridSpan w:val="1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543387B7" w14:textId="77777777" w:rsidR="006A7513" w:rsidRPr="00BC7BB5" w:rsidRDefault="006A7513" w:rsidP="006A7513">
            <w:pPr>
              <w:spacing w:after="0"/>
              <w:rPr>
                <w:rFonts w:ascii="Times New Roman" w:hAnsi="Times New Roman" w:cs="Times New Roman"/>
                <w:bCs/>
                <w:sz w:val="20"/>
                <w:szCs w:val="20"/>
              </w:rPr>
            </w:pPr>
            <w:r w:rsidRPr="00BC7BB5">
              <w:rPr>
                <w:rFonts w:ascii="Times New Roman" w:hAnsi="Times New Roman" w:cs="Times New Roman"/>
                <w:bCs/>
                <w:sz w:val="20"/>
                <w:szCs w:val="20"/>
              </w:rPr>
              <w:t xml:space="preserve">Sr Financial Management Specialist   </w:t>
            </w:r>
          </w:p>
        </w:tc>
        <w:tc>
          <w:tcPr>
            <w:tcW w:w="2799" w:type="dxa"/>
            <w:gridSpan w:val="8"/>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57EA688C" w14:textId="77777777" w:rsidR="006A7513" w:rsidRPr="00BC7BB5" w:rsidRDefault="006A7513" w:rsidP="006A7513">
            <w:pPr>
              <w:spacing w:after="0"/>
              <w:rPr>
                <w:rFonts w:ascii="Times New Roman" w:hAnsi="Times New Roman" w:cs="Times New Roman"/>
                <w:bCs/>
                <w:sz w:val="20"/>
                <w:szCs w:val="20"/>
              </w:rPr>
            </w:pPr>
            <w:r w:rsidRPr="00BC7BB5">
              <w:rPr>
                <w:rFonts w:ascii="Times New Roman" w:hAnsi="Times New Roman" w:cs="Times New Roman"/>
                <w:bCs/>
                <w:sz w:val="20"/>
                <w:szCs w:val="20"/>
              </w:rPr>
              <w:t>Financial Management</w:t>
            </w:r>
          </w:p>
        </w:tc>
        <w:tc>
          <w:tcPr>
            <w:tcW w:w="1187" w:type="dxa"/>
            <w:gridSpan w:val="4"/>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56B9A05E" w14:textId="77777777" w:rsidR="006A7513" w:rsidRPr="00BC7BB5" w:rsidRDefault="006A7513" w:rsidP="006A7513">
            <w:pPr>
              <w:spacing w:after="0"/>
              <w:rPr>
                <w:rFonts w:ascii="Times New Roman" w:hAnsi="Times New Roman" w:cs="Times New Roman"/>
                <w:bCs/>
                <w:sz w:val="20"/>
                <w:szCs w:val="20"/>
              </w:rPr>
            </w:pPr>
            <w:r w:rsidRPr="00BC7BB5">
              <w:rPr>
                <w:rFonts w:ascii="Times New Roman" w:hAnsi="Times New Roman" w:cs="Times New Roman"/>
                <w:bCs/>
                <w:sz w:val="20"/>
                <w:szCs w:val="20"/>
              </w:rPr>
              <w:t>GGO23</w:t>
            </w:r>
          </w:p>
        </w:tc>
      </w:tr>
      <w:tr w:rsidR="006A7513" w:rsidRPr="00BC7BB5" w14:paraId="7D82F72F" w14:textId="77777777" w:rsidTr="00FA3400">
        <w:tblPrEx>
          <w:jc w:val="center"/>
        </w:tblPrEx>
        <w:trPr>
          <w:trHeight w:val="145"/>
          <w:jc w:val="center"/>
        </w:trPr>
        <w:tc>
          <w:tcPr>
            <w:tcW w:w="2627" w:type="dxa"/>
            <w:gridSpan w:val="1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7A48010E" w14:textId="77777777" w:rsidR="006A7513" w:rsidRPr="00BC7BB5" w:rsidRDefault="006A7513" w:rsidP="006A7513">
            <w:pPr>
              <w:spacing w:after="0"/>
              <w:rPr>
                <w:rFonts w:ascii="Times New Roman" w:hAnsi="Times New Roman" w:cs="Times New Roman"/>
                <w:bCs/>
                <w:sz w:val="20"/>
                <w:szCs w:val="20"/>
              </w:rPr>
            </w:pPr>
            <w:r w:rsidRPr="00BC7BB5">
              <w:rPr>
                <w:rFonts w:ascii="Times New Roman" w:hAnsi="Times New Roman" w:cs="Times New Roman"/>
                <w:bCs/>
                <w:sz w:val="20"/>
                <w:szCs w:val="20"/>
              </w:rPr>
              <w:t>Abdoulaye Keita</w:t>
            </w:r>
          </w:p>
        </w:tc>
        <w:tc>
          <w:tcPr>
            <w:tcW w:w="2882" w:type="dxa"/>
            <w:gridSpan w:val="1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375D7D08" w14:textId="77777777" w:rsidR="006A7513" w:rsidRPr="00BC7BB5" w:rsidRDefault="006A7513" w:rsidP="006A7513">
            <w:pPr>
              <w:spacing w:after="0"/>
              <w:rPr>
                <w:rFonts w:ascii="Times New Roman" w:hAnsi="Times New Roman" w:cs="Times New Roman"/>
                <w:bCs/>
                <w:sz w:val="20"/>
                <w:szCs w:val="20"/>
              </w:rPr>
            </w:pPr>
            <w:r w:rsidRPr="00BC7BB5">
              <w:rPr>
                <w:rFonts w:ascii="Times New Roman" w:hAnsi="Times New Roman" w:cs="Times New Roman"/>
                <w:bCs/>
                <w:sz w:val="20"/>
                <w:szCs w:val="20"/>
              </w:rPr>
              <w:t>Sr. Procurement Specialist</w:t>
            </w:r>
          </w:p>
        </w:tc>
        <w:tc>
          <w:tcPr>
            <w:tcW w:w="2799" w:type="dxa"/>
            <w:gridSpan w:val="8"/>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18927AFE" w14:textId="77777777" w:rsidR="006A7513" w:rsidRPr="00BC7BB5" w:rsidRDefault="006A7513" w:rsidP="006A7513">
            <w:pPr>
              <w:spacing w:after="0"/>
              <w:rPr>
                <w:rFonts w:ascii="Times New Roman" w:hAnsi="Times New Roman" w:cs="Times New Roman"/>
                <w:bCs/>
                <w:sz w:val="20"/>
                <w:szCs w:val="20"/>
              </w:rPr>
            </w:pPr>
            <w:r w:rsidRPr="00BC7BB5">
              <w:rPr>
                <w:rFonts w:ascii="Times New Roman" w:hAnsi="Times New Roman" w:cs="Times New Roman"/>
                <w:bCs/>
                <w:sz w:val="20"/>
                <w:szCs w:val="20"/>
              </w:rPr>
              <w:t>Government Procurement</w:t>
            </w:r>
          </w:p>
        </w:tc>
        <w:tc>
          <w:tcPr>
            <w:tcW w:w="1187" w:type="dxa"/>
            <w:gridSpan w:val="4"/>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46852901" w14:textId="77777777" w:rsidR="006A7513" w:rsidRPr="00BC7BB5" w:rsidRDefault="006A7513" w:rsidP="006A7513">
            <w:pPr>
              <w:spacing w:after="0"/>
              <w:rPr>
                <w:rFonts w:ascii="Times New Roman" w:hAnsi="Times New Roman" w:cs="Times New Roman"/>
                <w:bCs/>
                <w:sz w:val="20"/>
                <w:szCs w:val="20"/>
              </w:rPr>
            </w:pPr>
            <w:r w:rsidRPr="00BC7BB5">
              <w:rPr>
                <w:rFonts w:ascii="Times New Roman" w:hAnsi="Times New Roman" w:cs="Times New Roman"/>
                <w:bCs/>
                <w:sz w:val="20"/>
                <w:szCs w:val="20"/>
              </w:rPr>
              <w:t>GGO05</w:t>
            </w:r>
          </w:p>
        </w:tc>
      </w:tr>
      <w:tr w:rsidR="006A7513" w:rsidRPr="00BC7BB5" w14:paraId="13B16FEA" w14:textId="77777777" w:rsidTr="00F27A12">
        <w:tblPrEx>
          <w:jc w:val="center"/>
        </w:tblPrEx>
        <w:trPr>
          <w:trHeight w:val="145"/>
          <w:jc w:val="center"/>
        </w:trPr>
        <w:tc>
          <w:tcPr>
            <w:tcW w:w="2627" w:type="dxa"/>
            <w:gridSpan w:val="1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2451AE87" w14:textId="77777777" w:rsidR="006A7513" w:rsidRPr="00BC7BB5" w:rsidRDefault="006A7513" w:rsidP="006A7513">
            <w:pPr>
              <w:spacing w:after="0"/>
              <w:rPr>
                <w:rFonts w:ascii="Times New Roman" w:hAnsi="Times New Roman" w:cs="Times New Roman"/>
                <w:bCs/>
                <w:sz w:val="20"/>
                <w:szCs w:val="20"/>
              </w:rPr>
            </w:pPr>
            <w:r w:rsidRPr="00BC7BB5">
              <w:rPr>
                <w:rFonts w:ascii="Times New Roman" w:hAnsi="Times New Roman" w:cs="Times New Roman"/>
                <w:bCs/>
                <w:sz w:val="20"/>
                <w:szCs w:val="20"/>
              </w:rPr>
              <w:t>Markus Friedrich Vorpahl</w:t>
            </w:r>
          </w:p>
        </w:tc>
        <w:tc>
          <w:tcPr>
            <w:tcW w:w="2882" w:type="dxa"/>
            <w:gridSpan w:val="1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6CA12C9C" w14:textId="77777777" w:rsidR="006A7513" w:rsidRPr="00BC7BB5" w:rsidRDefault="006A7513" w:rsidP="006A7513">
            <w:pPr>
              <w:spacing w:after="0"/>
              <w:rPr>
                <w:rFonts w:ascii="Times New Roman" w:hAnsi="Times New Roman" w:cs="Times New Roman"/>
                <w:bCs/>
                <w:sz w:val="20"/>
                <w:szCs w:val="20"/>
              </w:rPr>
            </w:pPr>
            <w:r w:rsidRPr="00BC7BB5">
              <w:rPr>
                <w:rFonts w:ascii="Times New Roman" w:hAnsi="Times New Roman" w:cs="Times New Roman"/>
                <w:bCs/>
                <w:sz w:val="20"/>
                <w:szCs w:val="20"/>
              </w:rPr>
              <w:t>Sr. Social Development Specialist</w:t>
            </w:r>
          </w:p>
        </w:tc>
        <w:tc>
          <w:tcPr>
            <w:tcW w:w="2799" w:type="dxa"/>
            <w:gridSpan w:val="8"/>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7E394605" w14:textId="4ADE3575" w:rsidR="006A7513" w:rsidRPr="00BC7BB5" w:rsidRDefault="006A7513" w:rsidP="006A7513">
            <w:pPr>
              <w:spacing w:after="0"/>
              <w:rPr>
                <w:rFonts w:ascii="Times New Roman" w:hAnsi="Times New Roman" w:cs="Times New Roman"/>
                <w:bCs/>
                <w:sz w:val="20"/>
                <w:szCs w:val="20"/>
              </w:rPr>
            </w:pPr>
            <w:r w:rsidRPr="00BC7BB5">
              <w:rPr>
                <w:rFonts w:ascii="Times New Roman" w:hAnsi="Times New Roman" w:cs="Times New Roman"/>
                <w:bCs/>
                <w:sz w:val="20"/>
                <w:szCs w:val="20"/>
              </w:rPr>
              <w:t xml:space="preserve">Social </w:t>
            </w:r>
            <w:r w:rsidR="00F33B66">
              <w:rPr>
                <w:rFonts w:ascii="Times New Roman" w:hAnsi="Times New Roman" w:cs="Times New Roman"/>
                <w:bCs/>
                <w:sz w:val="20"/>
                <w:szCs w:val="20"/>
              </w:rPr>
              <w:t>Aspects</w:t>
            </w:r>
          </w:p>
        </w:tc>
        <w:tc>
          <w:tcPr>
            <w:tcW w:w="1187" w:type="dxa"/>
            <w:gridSpan w:val="4"/>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764016A3" w14:textId="77777777" w:rsidR="006A7513" w:rsidRPr="00BC7BB5" w:rsidRDefault="006A7513" w:rsidP="006A7513">
            <w:pPr>
              <w:spacing w:after="0"/>
              <w:rPr>
                <w:rFonts w:ascii="Times New Roman" w:hAnsi="Times New Roman" w:cs="Times New Roman"/>
                <w:bCs/>
                <w:sz w:val="20"/>
                <w:szCs w:val="20"/>
              </w:rPr>
            </w:pPr>
            <w:r w:rsidRPr="00BC7BB5">
              <w:rPr>
                <w:rFonts w:ascii="Times New Roman" w:hAnsi="Times New Roman" w:cs="Times New Roman"/>
                <w:bCs/>
                <w:sz w:val="20"/>
                <w:szCs w:val="20"/>
              </w:rPr>
              <w:t>GSU05</w:t>
            </w:r>
          </w:p>
        </w:tc>
      </w:tr>
      <w:tr w:rsidR="00613D8F" w:rsidRPr="00BC7BB5" w14:paraId="22E4DB9F" w14:textId="77777777" w:rsidTr="00F27A12">
        <w:tblPrEx>
          <w:jc w:val="center"/>
        </w:tblPrEx>
        <w:trPr>
          <w:trHeight w:val="145"/>
          <w:jc w:val="center"/>
        </w:trPr>
        <w:tc>
          <w:tcPr>
            <w:tcW w:w="2627" w:type="dxa"/>
            <w:gridSpan w:val="1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665883E6" w14:textId="513BD16A" w:rsidR="00613D8F" w:rsidRPr="00BC7BB5" w:rsidRDefault="00613D8F" w:rsidP="006A7513">
            <w:pPr>
              <w:spacing w:after="0"/>
              <w:rPr>
                <w:rFonts w:ascii="Times New Roman" w:hAnsi="Times New Roman" w:cs="Times New Roman"/>
                <w:bCs/>
                <w:sz w:val="20"/>
                <w:szCs w:val="20"/>
              </w:rPr>
            </w:pPr>
            <w:r w:rsidRPr="00BC7BB5">
              <w:rPr>
                <w:rFonts w:ascii="Times New Roman" w:hAnsi="Times New Roman" w:cs="Times New Roman"/>
                <w:bCs/>
                <w:sz w:val="20"/>
                <w:szCs w:val="20"/>
              </w:rPr>
              <w:t>Taoufiq Bennouna</w:t>
            </w:r>
          </w:p>
        </w:tc>
        <w:tc>
          <w:tcPr>
            <w:tcW w:w="2882" w:type="dxa"/>
            <w:gridSpan w:val="1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6CC8F97A" w14:textId="0D70AAC6" w:rsidR="00613D8F" w:rsidRPr="004D563E" w:rsidRDefault="00613D8F" w:rsidP="006A7513">
            <w:pPr>
              <w:spacing w:after="0"/>
              <w:rPr>
                <w:rFonts w:ascii="Times New Roman" w:hAnsi="Times New Roman" w:cs="Times New Roman"/>
                <w:bCs/>
                <w:sz w:val="20"/>
                <w:szCs w:val="20"/>
                <w:lang w:val="fr-FR"/>
              </w:rPr>
            </w:pPr>
            <w:r w:rsidRPr="004D563E">
              <w:rPr>
                <w:rFonts w:ascii="Times New Roman" w:hAnsi="Times New Roman" w:cs="Times New Roman"/>
                <w:bCs/>
                <w:sz w:val="20"/>
                <w:szCs w:val="20"/>
                <w:lang w:val="fr-FR"/>
              </w:rPr>
              <w:t>Sr. Natural Resources Mngt. Spec.</w:t>
            </w:r>
          </w:p>
        </w:tc>
        <w:tc>
          <w:tcPr>
            <w:tcW w:w="2799" w:type="dxa"/>
            <w:gridSpan w:val="8"/>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75179EE0" w14:textId="261AE3F5" w:rsidR="00613D8F" w:rsidRPr="00BC7BB5" w:rsidRDefault="00613D8F" w:rsidP="006A7513">
            <w:pPr>
              <w:spacing w:after="0"/>
              <w:rPr>
                <w:rFonts w:ascii="Times New Roman" w:hAnsi="Times New Roman" w:cs="Times New Roman"/>
                <w:bCs/>
                <w:sz w:val="20"/>
                <w:szCs w:val="20"/>
              </w:rPr>
            </w:pPr>
            <w:r w:rsidRPr="00BC7BB5">
              <w:rPr>
                <w:rFonts w:ascii="Times New Roman" w:hAnsi="Times New Roman" w:cs="Times New Roman"/>
                <w:bCs/>
                <w:sz w:val="20"/>
                <w:szCs w:val="20"/>
              </w:rPr>
              <w:t>Environment</w:t>
            </w:r>
            <w:r w:rsidR="00F27A12">
              <w:rPr>
                <w:rFonts w:ascii="Times New Roman" w:hAnsi="Times New Roman" w:cs="Times New Roman"/>
                <w:bCs/>
                <w:sz w:val="20"/>
                <w:szCs w:val="20"/>
              </w:rPr>
              <w:t>al</w:t>
            </w:r>
            <w:r w:rsidRPr="00BC7BB5">
              <w:rPr>
                <w:rFonts w:ascii="Times New Roman" w:hAnsi="Times New Roman" w:cs="Times New Roman"/>
                <w:bCs/>
                <w:sz w:val="20"/>
                <w:szCs w:val="20"/>
              </w:rPr>
              <w:t xml:space="preserve"> </w:t>
            </w:r>
            <w:r w:rsidR="00F33B66">
              <w:rPr>
                <w:rFonts w:ascii="Times New Roman" w:hAnsi="Times New Roman" w:cs="Times New Roman"/>
                <w:bCs/>
                <w:sz w:val="20"/>
                <w:szCs w:val="20"/>
              </w:rPr>
              <w:t>Aspects</w:t>
            </w:r>
          </w:p>
        </w:tc>
        <w:tc>
          <w:tcPr>
            <w:tcW w:w="1187" w:type="dxa"/>
            <w:gridSpan w:val="4"/>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2636E466" w14:textId="56FC7AE4" w:rsidR="00613D8F" w:rsidRPr="00BC7BB5" w:rsidRDefault="00613D8F" w:rsidP="006A7513">
            <w:pPr>
              <w:spacing w:after="0"/>
              <w:rPr>
                <w:rFonts w:ascii="Times New Roman" w:hAnsi="Times New Roman" w:cs="Times New Roman"/>
                <w:bCs/>
                <w:sz w:val="20"/>
                <w:szCs w:val="20"/>
              </w:rPr>
            </w:pPr>
            <w:r w:rsidRPr="00BC7BB5">
              <w:rPr>
                <w:rFonts w:ascii="Times New Roman" w:hAnsi="Times New Roman" w:cs="Times New Roman"/>
                <w:bCs/>
                <w:sz w:val="20"/>
                <w:szCs w:val="20"/>
              </w:rPr>
              <w:t>GEN05</w:t>
            </w:r>
          </w:p>
        </w:tc>
      </w:tr>
      <w:tr w:rsidR="006A7513" w:rsidRPr="00BC7BB5" w14:paraId="0FD180D2" w14:textId="77777777" w:rsidTr="00FA3400">
        <w:tblPrEx>
          <w:jc w:val="center"/>
        </w:tblPrEx>
        <w:trPr>
          <w:trHeight w:val="145"/>
          <w:jc w:val="center"/>
        </w:trPr>
        <w:tc>
          <w:tcPr>
            <w:tcW w:w="2627" w:type="dxa"/>
            <w:gridSpan w:val="1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191F31DC" w14:textId="77777777" w:rsidR="006A7513" w:rsidRPr="00BC7BB5" w:rsidRDefault="006A7513" w:rsidP="006A7513">
            <w:pPr>
              <w:spacing w:after="0"/>
              <w:rPr>
                <w:rFonts w:ascii="Times New Roman" w:hAnsi="Times New Roman" w:cs="Times New Roman"/>
                <w:bCs/>
                <w:sz w:val="20"/>
                <w:szCs w:val="20"/>
              </w:rPr>
            </w:pPr>
            <w:r w:rsidRPr="00BC7BB5">
              <w:rPr>
                <w:rFonts w:ascii="Times New Roman" w:hAnsi="Times New Roman" w:cs="Times New Roman"/>
                <w:bCs/>
                <w:sz w:val="20"/>
                <w:szCs w:val="20"/>
              </w:rPr>
              <w:t>Asma Ben Abdallah</w:t>
            </w:r>
          </w:p>
        </w:tc>
        <w:tc>
          <w:tcPr>
            <w:tcW w:w="2882" w:type="dxa"/>
            <w:gridSpan w:val="1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5CC89432" w14:textId="77777777" w:rsidR="006A7513" w:rsidRPr="00BC7BB5" w:rsidRDefault="006A7513" w:rsidP="006A7513">
            <w:pPr>
              <w:spacing w:after="0"/>
              <w:rPr>
                <w:rFonts w:ascii="Times New Roman" w:hAnsi="Times New Roman" w:cs="Times New Roman"/>
                <w:bCs/>
                <w:sz w:val="20"/>
                <w:szCs w:val="20"/>
              </w:rPr>
            </w:pPr>
            <w:r w:rsidRPr="00BC7BB5">
              <w:rPr>
                <w:rFonts w:ascii="Times New Roman" w:hAnsi="Times New Roman" w:cs="Times New Roman"/>
                <w:bCs/>
                <w:sz w:val="20"/>
                <w:szCs w:val="20"/>
              </w:rPr>
              <w:t>Program Assistant</w:t>
            </w:r>
          </w:p>
        </w:tc>
        <w:tc>
          <w:tcPr>
            <w:tcW w:w="2799" w:type="dxa"/>
            <w:gridSpan w:val="8"/>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15EA22C0" w14:textId="5C35877B" w:rsidR="006A7513" w:rsidRPr="00BC7BB5" w:rsidRDefault="006A7513" w:rsidP="006A7513">
            <w:pPr>
              <w:spacing w:after="0"/>
              <w:rPr>
                <w:rFonts w:ascii="Times New Roman" w:hAnsi="Times New Roman" w:cs="Times New Roman"/>
                <w:bCs/>
                <w:sz w:val="20"/>
                <w:szCs w:val="20"/>
              </w:rPr>
            </w:pPr>
          </w:p>
        </w:tc>
        <w:tc>
          <w:tcPr>
            <w:tcW w:w="1187" w:type="dxa"/>
            <w:gridSpan w:val="4"/>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5243D865" w14:textId="77777777" w:rsidR="006A7513" w:rsidRPr="00BC7BB5" w:rsidRDefault="006A7513" w:rsidP="006A7513">
            <w:pPr>
              <w:spacing w:after="0"/>
              <w:rPr>
                <w:rFonts w:ascii="Times New Roman" w:hAnsi="Times New Roman" w:cs="Times New Roman"/>
                <w:bCs/>
                <w:sz w:val="20"/>
                <w:szCs w:val="20"/>
              </w:rPr>
            </w:pPr>
            <w:r w:rsidRPr="00BC7BB5">
              <w:rPr>
                <w:rFonts w:ascii="Times New Roman" w:hAnsi="Times New Roman" w:cs="Times New Roman"/>
                <w:bCs/>
                <w:sz w:val="20"/>
                <w:szCs w:val="20"/>
              </w:rPr>
              <w:t>MNC01</w:t>
            </w:r>
          </w:p>
        </w:tc>
      </w:tr>
      <w:tr w:rsidR="006A7513" w:rsidRPr="00BC7BB5" w14:paraId="6011FD75" w14:textId="77777777" w:rsidTr="00FA3400">
        <w:tblPrEx>
          <w:jc w:val="center"/>
        </w:tblPrEx>
        <w:trPr>
          <w:trHeight w:val="145"/>
          <w:jc w:val="center"/>
        </w:trPr>
        <w:tc>
          <w:tcPr>
            <w:tcW w:w="2627" w:type="dxa"/>
            <w:gridSpan w:val="1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7347C1DE" w14:textId="77777777" w:rsidR="006A7513" w:rsidRPr="00BC7BB5" w:rsidRDefault="006A7513" w:rsidP="00807B78">
            <w:pPr>
              <w:spacing w:after="0"/>
              <w:rPr>
                <w:rFonts w:ascii="Times New Roman" w:hAnsi="Times New Roman" w:cs="Times New Roman"/>
                <w:bCs/>
                <w:sz w:val="20"/>
                <w:szCs w:val="20"/>
              </w:rPr>
            </w:pPr>
            <w:r w:rsidRPr="00BC7BB5">
              <w:rPr>
                <w:rFonts w:ascii="Times New Roman" w:hAnsi="Times New Roman" w:cs="Times New Roman"/>
                <w:bCs/>
                <w:sz w:val="20"/>
                <w:szCs w:val="20"/>
              </w:rPr>
              <w:t>Funda Canli</w:t>
            </w:r>
          </w:p>
        </w:tc>
        <w:tc>
          <w:tcPr>
            <w:tcW w:w="2882" w:type="dxa"/>
            <w:gridSpan w:val="1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22E549BA" w14:textId="77777777" w:rsidR="006A7513" w:rsidRPr="00BC7BB5" w:rsidRDefault="006A7513" w:rsidP="00807B78">
            <w:pPr>
              <w:spacing w:after="0"/>
              <w:rPr>
                <w:rFonts w:ascii="Times New Roman" w:hAnsi="Times New Roman" w:cs="Times New Roman"/>
                <w:bCs/>
                <w:sz w:val="20"/>
                <w:szCs w:val="20"/>
              </w:rPr>
            </w:pPr>
            <w:r w:rsidRPr="00BC7BB5">
              <w:rPr>
                <w:rFonts w:ascii="Times New Roman" w:hAnsi="Times New Roman" w:cs="Times New Roman"/>
                <w:bCs/>
                <w:sz w:val="20"/>
                <w:szCs w:val="20"/>
              </w:rPr>
              <w:t>Sr. Program Assistant</w:t>
            </w:r>
          </w:p>
        </w:tc>
        <w:tc>
          <w:tcPr>
            <w:tcW w:w="2799" w:type="dxa"/>
            <w:gridSpan w:val="8"/>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514A2396" w14:textId="77777777" w:rsidR="006A7513" w:rsidRPr="00BC7BB5" w:rsidRDefault="006A7513" w:rsidP="00807B78">
            <w:pPr>
              <w:spacing w:after="0"/>
              <w:rPr>
                <w:rFonts w:ascii="Times New Roman" w:hAnsi="Times New Roman" w:cs="Times New Roman"/>
                <w:bCs/>
                <w:sz w:val="20"/>
                <w:szCs w:val="20"/>
              </w:rPr>
            </w:pPr>
          </w:p>
        </w:tc>
        <w:tc>
          <w:tcPr>
            <w:tcW w:w="1187" w:type="dxa"/>
            <w:gridSpan w:val="4"/>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2444021E" w14:textId="77777777" w:rsidR="006A7513" w:rsidRPr="00BC7BB5" w:rsidRDefault="006A7513" w:rsidP="00807B78">
            <w:pPr>
              <w:spacing w:after="0"/>
              <w:rPr>
                <w:rFonts w:ascii="Times New Roman" w:hAnsi="Times New Roman" w:cs="Times New Roman"/>
                <w:bCs/>
                <w:sz w:val="20"/>
                <w:szCs w:val="20"/>
              </w:rPr>
            </w:pPr>
            <w:r w:rsidRPr="00BC7BB5">
              <w:rPr>
                <w:rFonts w:ascii="Times New Roman" w:hAnsi="Times New Roman" w:cs="Times New Roman"/>
                <w:bCs/>
                <w:sz w:val="20"/>
                <w:szCs w:val="20"/>
              </w:rPr>
              <w:t>GFA03</w:t>
            </w:r>
          </w:p>
        </w:tc>
      </w:tr>
      <w:tr w:rsidR="006A7513" w:rsidRPr="00BC7BB5" w14:paraId="7BDDE09F" w14:textId="77777777" w:rsidTr="00FA3400">
        <w:tblPrEx>
          <w:jc w:val="center"/>
        </w:tblPrEx>
        <w:trPr>
          <w:trHeight w:val="145"/>
          <w:jc w:val="center"/>
        </w:trPr>
        <w:tc>
          <w:tcPr>
            <w:tcW w:w="2627" w:type="dxa"/>
            <w:gridSpan w:val="1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2D355310" w14:textId="47BCAF3A" w:rsidR="006A7513" w:rsidRPr="00BC7BB5" w:rsidRDefault="00613D8F" w:rsidP="00807B78">
            <w:pPr>
              <w:spacing w:after="0"/>
              <w:rPr>
                <w:rFonts w:ascii="Times New Roman" w:hAnsi="Times New Roman" w:cs="Times New Roman"/>
                <w:bCs/>
                <w:sz w:val="20"/>
                <w:szCs w:val="20"/>
              </w:rPr>
            </w:pPr>
            <w:r w:rsidRPr="00BC7BB5">
              <w:rPr>
                <w:rFonts w:ascii="Times New Roman" w:hAnsi="Times New Roman" w:cs="Times New Roman"/>
                <w:bCs/>
                <w:sz w:val="20"/>
                <w:szCs w:val="20"/>
              </w:rPr>
              <w:t>Elena Segura</w:t>
            </w:r>
          </w:p>
        </w:tc>
        <w:tc>
          <w:tcPr>
            <w:tcW w:w="2882" w:type="dxa"/>
            <w:gridSpan w:val="1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71C05351" w14:textId="77777777" w:rsidR="006A7513" w:rsidRPr="00BC7BB5" w:rsidRDefault="006A7513" w:rsidP="00807B78">
            <w:pPr>
              <w:spacing w:after="0"/>
              <w:rPr>
                <w:rFonts w:ascii="Times New Roman" w:hAnsi="Times New Roman" w:cs="Times New Roman"/>
                <w:bCs/>
                <w:sz w:val="20"/>
                <w:szCs w:val="20"/>
              </w:rPr>
            </w:pPr>
            <w:r w:rsidRPr="00BC7BB5">
              <w:rPr>
                <w:rFonts w:ascii="Times New Roman" w:hAnsi="Times New Roman" w:cs="Times New Roman"/>
                <w:bCs/>
                <w:sz w:val="20"/>
                <w:szCs w:val="20"/>
              </w:rPr>
              <w:t>Sr. Counsel</w:t>
            </w:r>
          </w:p>
        </w:tc>
        <w:tc>
          <w:tcPr>
            <w:tcW w:w="2799" w:type="dxa"/>
            <w:gridSpan w:val="8"/>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7A4947B4" w14:textId="77777777" w:rsidR="006A7513" w:rsidRPr="00BC7BB5" w:rsidRDefault="006A7513" w:rsidP="00807B78">
            <w:pPr>
              <w:spacing w:after="0"/>
              <w:rPr>
                <w:rFonts w:ascii="Times New Roman" w:hAnsi="Times New Roman" w:cs="Times New Roman"/>
                <w:bCs/>
                <w:sz w:val="20"/>
                <w:szCs w:val="20"/>
              </w:rPr>
            </w:pPr>
            <w:r w:rsidRPr="00BC7BB5">
              <w:rPr>
                <w:rFonts w:ascii="Times New Roman" w:hAnsi="Times New Roman" w:cs="Times New Roman"/>
                <w:bCs/>
                <w:sz w:val="20"/>
                <w:szCs w:val="20"/>
              </w:rPr>
              <w:t>Legal</w:t>
            </w:r>
          </w:p>
        </w:tc>
        <w:tc>
          <w:tcPr>
            <w:tcW w:w="1187" w:type="dxa"/>
            <w:gridSpan w:val="4"/>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6850B934" w14:textId="0335817C" w:rsidR="006A7513" w:rsidRPr="00BC7BB5" w:rsidRDefault="00613D8F" w:rsidP="00807B78">
            <w:pPr>
              <w:spacing w:after="0"/>
              <w:rPr>
                <w:rFonts w:ascii="Times New Roman" w:hAnsi="Times New Roman" w:cs="Times New Roman"/>
                <w:bCs/>
                <w:sz w:val="20"/>
                <w:szCs w:val="20"/>
              </w:rPr>
            </w:pPr>
            <w:r w:rsidRPr="00BC7BB5">
              <w:rPr>
                <w:rFonts w:ascii="Times New Roman" w:hAnsi="Times New Roman" w:cs="Times New Roman"/>
                <w:bCs/>
                <w:sz w:val="20"/>
                <w:szCs w:val="20"/>
              </w:rPr>
              <w:t>LEGLE</w:t>
            </w:r>
          </w:p>
        </w:tc>
      </w:tr>
      <w:tr w:rsidR="006A7513" w:rsidRPr="00BC7BB5" w14:paraId="1B969DCB" w14:textId="77777777" w:rsidTr="00FA3400">
        <w:tblPrEx>
          <w:jc w:val="center"/>
        </w:tblPrEx>
        <w:trPr>
          <w:trHeight w:val="145"/>
          <w:jc w:val="center"/>
        </w:trPr>
        <w:tc>
          <w:tcPr>
            <w:tcW w:w="9495" w:type="dxa"/>
            <w:gridSpan w:val="37"/>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50" w:type="dxa"/>
              <w:left w:w="50" w:type="dxa"/>
              <w:bottom w:w="50" w:type="dxa"/>
              <w:right w:w="50" w:type="dxa"/>
            </w:tcMar>
          </w:tcPr>
          <w:p w14:paraId="09FF20B6" w14:textId="77777777" w:rsidR="006A7513" w:rsidRPr="00BC7BB5" w:rsidRDefault="006A7513" w:rsidP="00D03C18">
            <w:pPr>
              <w:jc w:val="center"/>
              <w:rPr>
                <w:rFonts w:ascii="Times New Roman" w:hAnsi="Times New Roman" w:cs="Times New Roman"/>
                <w:b/>
                <w:bCs/>
                <w:sz w:val="20"/>
                <w:szCs w:val="20"/>
              </w:rPr>
            </w:pPr>
            <w:r w:rsidRPr="00BC7BB5">
              <w:rPr>
                <w:rFonts w:ascii="Times New Roman" w:hAnsi="Times New Roman" w:cs="Times New Roman"/>
                <w:b/>
                <w:bCs/>
                <w:sz w:val="20"/>
                <w:szCs w:val="20"/>
              </w:rPr>
              <w:t>Non Bank Staff</w:t>
            </w:r>
          </w:p>
        </w:tc>
      </w:tr>
      <w:tr w:rsidR="00E075D6" w:rsidRPr="00BC7BB5" w14:paraId="04161A65" w14:textId="77777777" w:rsidTr="00FA3400">
        <w:tblPrEx>
          <w:jc w:val="center"/>
        </w:tblPrEx>
        <w:trPr>
          <w:trHeight w:val="145"/>
          <w:jc w:val="center"/>
        </w:trPr>
        <w:tc>
          <w:tcPr>
            <w:tcW w:w="2627" w:type="dxa"/>
            <w:gridSpan w:val="1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753AB431" w14:textId="77777777" w:rsidR="00E075D6" w:rsidRPr="00BC7BB5" w:rsidRDefault="00E075D6" w:rsidP="00317E73">
            <w:pPr>
              <w:spacing w:after="0"/>
              <w:rPr>
                <w:rFonts w:ascii="Times New Roman" w:hAnsi="Times New Roman" w:cs="Times New Roman"/>
                <w:sz w:val="20"/>
                <w:szCs w:val="20"/>
              </w:rPr>
            </w:pPr>
            <w:r w:rsidRPr="00BC7BB5">
              <w:rPr>
                <w:rFonts w:ascii="Times New Roman" w:hAnsi="Times New Roman" w:cs="Times New Roman"/>
                <w:b/>
                <w:bCs/>
                <w:sz w:val="20"/>
                <w:szCs w:val="20"/>
              </w:rPr>
              <w:t>Name</w:t>
            </w:r>
          </w:p>
        </w:tc>
        <w:tc>
          <w:tcPr>
            <w:tcW w:w="2882" w:type="dxa"/>
            <w:gridSpan w:val="1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681FA36D" w14:textId="77777777" w:rsidR="00E075D6" w:rsidRPr="00BC7BB5" w:rsidRDefault="00E075D6" w:rsidP="00317E73">
            <w:pPr>
              <w:spacing w:after="0"/>
              <w:rPr>
                <w:rFonts w:ascii="Times New Roman" w:hAnsi="Times New Roman" w:cs="Times New Roman"/>
                <w:sz w:val="20"/>
                <w:szCs w:val="20"/>
              </w:rPr>
            </w:pPr>
            <w:r w:rsidRPr="00BC7BB5">
              <w:rPr>
                <w:rFonts w:ascii="Times New Roman" w:hAnsi="Times New Roman" w:cs="Times New Roman"/>
                <w:b/>
                <w:bCs/>
                <w:sz w:val="20"/>
                <w:szCs w:val="20"/>
              </w:rPr>
              <w:t>Title</w:t>
            </w:r>
          </w:p>
        </w:tc>
        <w:tc>
          <w:tcPr>
            <w:tcW w:w="3986" w:type="dxa"/>
            <w:gridSpan w:val="1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20CD6E88" w14:textId="77777777" w:rsidR="00E075D6" w:rsidRPr="00BC7BB5" w:rsidRDefault="00E075D6" w:rsidP="00317E73">
            <w:pPr>
              <w:spacing w:after="0"/>
              <w:rPr>
                <w:rFonts w:ascii="Times New Roman" w:hAnsi="Times New Roman" w:cs="Times New Roman"/>
                <w:sz w:val="20"/>
                <w:szCs w:val="20"/>
              </w:rPr>
            </w:pPr>
            <w:r w:rsidRPr="00BC7BB5">
              <w:rPr>
                <w:rFonts w:ascii="Times New Roman" w:hAnsi="Times New Roman" w:cs="Times New Roman"/>
                <w:b/>
                <w:bCs/>
                <w:sz w:val="20"/>
                <w:szCs w:val="20"/>
              </w:rPr>
              <w:t>Location</w:t>
            </w:r>
          </w:p>
        </w:tc>
      </w:tr>
      <w:tr w:rsidR="00E075D6" w:rsidRPr="00BC7BB5" w14:paraId="38D4730E" w14:textId="77777777" w:rsidTr="00FA3400">
        <w:tblPrEx>
          <w:jc w:val="center"/>
        </w:tblPrEx>
        <w:trPr>
          <w:trHeight w:val="145"/>
          <w:jc w:val="center"/>
        </w:trPr>
        <w:tc>
          <w:tcPr>
            <w:tcW w:w="2627" w:type="dxa"/>
            <w:gridSpan w:val="1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6F1B031E" w14:textId="526364A3" w:rsidR="00E075D6" w:rsidRPr="00BC7BB5" w:rsidRDefault="00E075D6" w:rsidP="00E075D6">
            <w:pPr>
              <w:spacing w:after="0"/>
              <w:rPr>
                <w:rFonts w:ascii="Times New Roman" w:hAnsi="Times New Roman" w:cs="Times New Roman"/>
                <w:bCs/>
                <w:sz w:val="20"/>
                <w:szCs w:val="20"/>
              </w:rPr>
            </w:pPr>
            <w:r w:rsidRPr="00BC7BB5">
              <w:rPr>
                <w:rFonts w:ascii="Times New Roman" w:hAnsi="Times New Roman" w:cs="Times New Roman"/>
                <w:bCs/>
                <w:sz w:val="20"/>
                <w:szCs w:val="20"/>
              </w:rPr>
              <w:t>Patrick Labaste</w:t>
            </w:r>
          </w:p>
        </w:tc>
        <w:tc>
          <w:tcPr>
            <w:tcW w:w="2882" w:type="dxa"/>
            <w:gridSpan w:val="1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7A537AE6" w14:textId="4A18974F" w:rsidR="00E075D6" w:rsidRPr="00BC7BB5" w:rsidRDefault="00E075D6" w:rsidP="00E075D6">
            <w:pPr>
              <w:spacing w:after="0"/>
              <w:rPr>
                <w:rFonts w:ascii="Times New Roman" w:hAnsi="Times New Roman" w:cs="Times New Roman"/>
                <w:bCs/>
                <w:sz w:val="20"/>
                <w:szCs w:val="20"/>
              </w:rPr>
            </w:pPr>
            <w:r w:rsidRPr="00BC7BB5">
              <w:rPr>
                <w:rFonts w:ascii="Times New Roman" w:hAnsi="Times New Roman" w:cs="Times New Roman"/>
                <w:bCs/>
                <w:sz w:val="20"/>
                <w:szCs w:val="20"/>
              </w:rPr>
              <w:t>Agribusiness Specialist</w:t>
            </w:r>
          </w:p>
        </w:tc>
        <w:tc>
          <w:tcPr>
            <w:tcW w:w="3986" w:type="dxa"/>
            <w:gridSpan w:val="1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6F9EC40F" w14:textId="2C71803A" w:rsidR="00E075D6" w:rsidRPr="00BC7BB5" w:rsidRDefault="00E075D6" w:rsidP="00E075D6">
            <w:pPr>
              <w:spacing w:after="0"/>
              <w:rPr>
                <w:rFonts w:ascii="Times New Roman" w:hAnsi="Times New Roman" w:cs="Times New Roman"/>
                <w:bCs/>
                <w:sz w:val="20"/>
                <w:szCs w:val="20"/>
              </w:rPr>
            </w:pPr>
            <w:r w:rsidRPr="00BC7BB5">
              <w:rPr>
                <w:rFonts w:ascii="Times New Roman" w:hAnsi="Times New Roman" w:cs="Times New Roman"/>
                <w:bCs/>
                <w:sz w:val="20"/>
                <w:szCs w:val="20"/>
              </w:rPr>
              <w:t>Washington, DC</w:t>
            </w:r>
          </w:p>
        </w:tc>
      </w:tr>
      <w:tr w:rsidR="00E075D6" w:rsidRPr="00BC7BB5" w14:paraId="7D9828DF" w14:textId="77777777" w:rsidTr="00FA3400">
        <w:tblPrEx>
          <w:jc w:val="center"/>
        </w:tblPrEx>
        <w:trPr>
          <w:trHeight w:val="145"/>
          <w:jc w:val="center"/>
        </w:trPr>
        <w:tc>
          <w:tcPr>
            <w:tcW w:w="2627" w:type="dxa"/>
            <w:gridSpan w:val="1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44D4A94C" w14:textId="1950F256" w:rsidR="00E075D6" w:rsidRPr="00BC7BB5" w:rsidRDefault="00E075D6" w:rsidP="00E075D6">
            <w:pPr>
              <w:spacing w:after="0"/>
              <w:rPr>
                <w:rFonts w:ascii="Times New Roman" w:hAnsi="Times New Roman" w:cs="Times New Roman"/>
                <w:bCs/>
                <w:sz w:val="20"/>
                <w:szCs w:val="20"/>
              </w:rPr>
            </w:pPr>
            <w:r w:rsidRPr="00BC7BB5">
              <w:rPr>
                <w:rFonts w:ascii="Times New Roman" w:hAnsi="Times New Roman" w:cs="Times New Roman"/>
                <w:bCs/>
                <w:sz w:val="20"/>
                <w:szCs w:val="20"/>
              </w:rPr>
              <w:t>Gilbert Houins</w:t>
            </w:r>
          </w:p>
        </w:tc>
        <w:tc>
          <w:tcPr>
            <w:tcW w:w="2882" w:type="dxa"/>
            <w:gridSpan w:val="1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2D6FA8D2" w14:textId="516D88BC" w:rsidR="00E075D6" w:rsidRPr="00BC7BB5" w:rsidRDefault="00E075D6" w:rsidP="00E075D6">
            <w:pPr>
              <w:spacing w:after="0"/>
              <w:rPr>
                <w:rFonts w:ascii="Times New Roman" w:hAnsi="Times New Roman" w:cs="Times New Roman"/>
                <w:bCs/>
                <w:sz w:val="20"/>
                <w:szCs w:val="20"/>
              </w:rPr>
            </w:pPr>
            <w:r w:rsidRPr="00BC7BB5">
              <w:rPr>
                <w:rFonts w:ascii="Times New Roman" w:hAnsi="Times New Roman" w:cs="Times New Roman"/>
                <w:bCs/>
                <w:sz w:val="20"/>
                <w:szCs w:val="20"/>
              </w:rPr>
              <w:t>Food Safety Specialist</w:t>
            </w:r>
          </w:p>
        </w:tc>
        <w:tc>
          <w:tcPr>
            <w:tcW w:w="3986" w:type="dxa"/>
            <w:gridSpan w:val="1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2FAC3C75" w14:textId="722376AD" w:rsidR="00E075D6" w:rsidRPr="00BC7BB5" w:rsidRDefault="00E075D6" w:rsidP="00E075D6">
            <w:pPr>
              <w:spacing w:after="0"/>
              <w:rPr>
                <w:rFonts w:ascii="Times New Roman" w:hAnsi="Times New Roman" w:cs="Times New Roman"/>
                <w:bCs/>
                <w:sz w:val="20"/>
                <w:szCs w:val="20"/>
              </w:rPr>
            </w:pPr>
            <w:r w:rsidRPr="00BC7BB5">
              <w:rPr>
                <w:rFonts w:ascii="Times New Roman" w:hAnsi="Times New Roman" w:cs="Times New Roman"/>
                <w:bCs/>
                <w:sz w:val="20"/>
                <w:szCs w:val="20"/>
              </w:rPr>
              <w:t>Brussels</w:t>
            </w:r>
          </w:p>
        </w:tc>
      </w:tr>
      <w:tr w:rsidR="00E075D6" w:rsidRPr="00BC7BB5" w14:paraId="23724D6A" w14:textId="77777777" w:rsidTr="00FA3400">
        <w:tblPrEx>
          <w:jc w:val="center"/>
        </w:tblPrEx>
        <w:trPr>
          <w:trHeight w:val="145"/>
          <w:jc w:val="center"/>
        </w:trPr>
        <w:tc>
          <w:tcPr>
            <w:tcW w:w="2627" w:type="dxa"/>
            <w:gridSpan w:val="1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1EDB2301" w14:textId="558CB7A4" w:rsidR="00E075D6" w:rsidRPr="00BC7BB5" w:rsidRDefault="00E075D6" w:rsidP="00E075D6">
            <w:pPr>
              <w:spacing w:after="0"/>
              <w:rPr>
                <w:rFonts w:ascii="Times New Roman" w:hAnsi="Times New Roman" w:cs="Times New Roman"/>
                <w:bCs/>
                <w:sz w:val="20"/>
                <w:szCs w:val="20"/>
              </w:rPr>
            </w:pPr>
            <w:r w:rsidRPr="00BC7BB5">
              <w:rPr>
                <w:rFonts w:ascii="Times New Roman" w:hAnsi="Times New Roman" w:cs="Times New Roman"/>
                <w:bCs/>
                <w:sz w:val="20"/>
                <w:szCs w:val="20"/>
              </w:rPr>
              <w:t>Philip Van der Celen</w:t>
            </w:r>
          </w:p>
        </w:tc>
        <w:tc>
          <w:tcPr>
            <w:tcW w:w="2882" w:type="dxa"/>
            <w:gridSpan w:val="1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57DAA644" w14:textId="126E04E5" w:rsidR="00E075D6" w:rsidRPr="00BC7BB5" w:rsidRDefault="00E075D6" w:rsidP="00E075D6">
            <w:pPr>
              <w:spacing w:after="0"/>
              <w:rPr>
                <w:rFonts w:ascii="Times New Roman" w:hAnsi="Times New Roman" w:cs="Times New Roman"/>
                <w:bCs/>
                <w:sz w:val="20"/>
                <w:szCs w:val="20"/>
              </w:rPr>
            </w:pPr>
            <w:r w:rsidRPr="00BC7BB5">
              <w:rPr>
                <w:rFonts w:ascii="Times New Roman" w:hAnsi="Times New Roman" w:cs="Times New Roman"/>
                <w:bCs/>
                <w:sz w:val="20"/>
                <w:szCs w:val="20"/>
              </w:rPr>
              <w:t>Sustainability Consultant</w:t>
            </w:r>
          </w:p>
        </w:tc>
        <w:tc>
          <w:tcPr>
            <w:tcW w:w="3986" w:type="dxa"/>
            <w:gridSpan w:val="1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7A2974C9" w14:textId="21BE7167" w:rsidR="00E075D6" w:rsidRPr="00BC7BB5" w:rsidRDefault="00E075D6" w:rsidP="00E075D6">
            <w:pPr>
              <w:spacing w:after="0"/>
              <w:rPr>
                <w:rFonts w:ascii="Times New Roman" w:hAnsi="Times New Roman" w:cs="Times New Roman"/>
                <w:bCs/>
                <w:sz w:val="20"/>
                <w:szCs w:val="20"/>
              </w:rPr>
            </w:pPr>
            <w:r w:rsidRPr="00BC7BB5">
              <w:rPr>
                <w:rFonts w:ascii="Times New Roman" w:hAnsi="Times New Roman" w:cs="Times New Roman"/>
                <w:bCs/>
                <w:sz w:val="20"/>
                <w:szCs w:val="20"/>
              </w:rPr>
              <w:t>New York City</w:t>
            </w:r>
          </w:p>
        </w:tc>
      </w:tr>
      <w:tr w:rsidR="00E075D6" w:rsidRPr="00BC7BB5" w14:paraId="3B53B254" w14:textId="77777777" w:rsidTr="00FA3400">
        <w:tblPrEx>
          <w:jc w:val="center"/>
        </w:tblPrEx>
        <w:trPr>
          <w:trHeight w:val="145"/>
          <w:jc w:val="center"/>
        </w:trPr>
        <w:tc>
          <w:tcPr>
            <w:tcW w:w="2627" w:type="dxa"/>
            <w:gridSpan w:val="1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2419F61C" w14:textId="22113657" w:rsidR="00E075D6" w:rsidRPr="00BC7BB5" w:rsidRDefault="00E075D6" w:rsidP="00E075D6">
            <w:pPr>
              <w:spacing w:after="0"/>
              <w:rPr>
                <w:rFonts w:ascii="Times New Roman" w:hAnsi="Times New Roman" w:cs="Times New Roman"/>
                <w:bCs/>
                <w:sz w:val="20"/>
                <w:szCs w:val="20"/>
              </w:rPr>
            </w:pPr>
            <w:r w:rsidRPr="00BC7BB5">
              <w:rPr>
                <w:rFonts w:ascii="Times New Roman" w:hAnsi="Times New Roman" w:cs="Times New Roman"/>
                <w:bCs/>
                <w:sz w:val="20"/>
                <w:szCs w:val="20"/>
              </w:rPr>
              <w:t>Khalid Anouar</w:t>
            </w:r>
          </w:p>
        </w:tc>
        <w:tc>
          <w:tcPr>
            <w:tcW w:w="2882" w:type="dxa"/>
            <w:gridSpan w:val="1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130356C2" w14:textId="095E6ABF" w:rsidR="00E075D6" w:rsidRPr="00BC7BB5" w:rsidRDefault="00E075D6" w:rsidP="00E075D6">
            <w:pPr>
              <w:spacing w:after="0"/>
              <w:rPr>
                <w:rFonts w:ascii="Times New Roman" w:hAnsi="Times New Roman" w:cs="Times New Roman"/>
                <w:bCs/>
                <w:sz w:val="20"/>
                <w:szCs w:val="20"/>
              </w:rPr>
            </w:pPr>
            <w:r w:rsidRPr="00BC7BB5">
              <w:rPr>
                <w:rFonts w:ascii="Times New Roman" w:hAnsi="Times New Roman" w:cs="Times New Roman"/>
                <w:bCs/>
                <w:sz w:val="20"/>
                <w:szCs w:val="20"/>
              </w:rPr>
              <w:t>Environmental Safeguards Specialist</w:t>
            </w:r>
          </w:p>
        </w:tc>
        <w:tc>
          <w:tcPr>
            <w:tcW w:w="3986" w:type="dxa"/>
            <w:gridSpan w:val="1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02240801" w14:textId="0631CB47" w:rsidR="00E075D6" w:rsidRPr="00BC7BB5" w:rsidRDefault="00E075D6" w:rsidP="00E075D6">
            <w:pPr>
              <w:spacing w:after="0"/>
              <w:rPr>
                <w:rFonts w:ascii="Times New Roman" w:hAnsi="Times New Roman" w:cs="Times New Roman"/>
                <w:bCs/>
                <w:sz w:val="20"/>
                <w:szCs w:val="20"/>
              </w:rPr>
            </w:pPr>
            <w:r w:rsidRPr="00BC7BB5">
              <w:rPr>
                <w:rFonts w:ascii="Times New Roman" w:hAnsi="Times New Roman" w:cs="Times New Roman"/>
                <w:bCs/>
                <w:sz w:val="20"/>
                <w:szCs w:val="20"/>
              </w:rPr>
              <w:t>Rabat</w:t>
            </w:r>
          </w:p>
        </w:tc>
      </w:tr>
      <w:tr w:rsidR="00E075D6" w:rsidRPr="00BC7BB5" w14:paraId="0C5F9507" w14:textId="77777777" w:rsidTr="00FA3400">
        <w:tblPrEx>
          <w:jc w:val="center"/>
        </w:tblPrEx>
        <w:trPr>
          <w:trHeight w:val="145"/>
          <w:jc w:val="center"/>
        </w:trPr>
        <w:tc>
          <w:tcPr>
            <w:tcW w:w="2627" w:type="dxa"/>
            <w:gridSpan w:val="1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76696ED9" w14:textId="3F500483" w:rsidR="00E075D6" w:rsidRPr="00BC7BB5" w:rsidRDefault="00E075D6" w:rsidP="00E075D6">
            <w:pPr>
              <w:spacing w:after="0"/>
              <w:rPr>
                <w:rFonts w:ascii="Times New Roman" w:hAnsi="Times New Roman" w:cs="Times New Roman"/>
                <w:bCs/>
                <w:sz w:val="20"/>
                <w:szCs w:val="20"/>
              </w:rPr>
            </w:pPr>
            <w:r w:rsidRPr="00BC7BB5">
              <w:rPr>
                <w:rFonts w:ascii="Times New Roman" w:hAnsi="Times New Roman" w:cs="Times New Roman"/>
                <w:bCs/>
                <w:sz w:val="20"/>
                <w:szCs w:val="20"/>
              </w:rPr>
              <w:t>Barbara Coello</w:t>
            </w:r>
          </w:p>
        </w:tc>
        <w:tc>
          <w:tcPr>
            <w:tcW w:w="2882" w:type="dxa"/>
            <w:gridSpan w:val="1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45CE6E13" w14:textId="7BC9E563" w:rsidR="00E075D6" w:rsidRPr="00BC7BB5" w:rsidRDefault="00E075D6" w:rsidP="00E075D6">
            <w:pPr>
              <w:spacing w:after="0"/>
              <w:rPr>
                <w:rFonts w:ascii="Times New Roman" w:hAnsi="Times New Roman" w:cs="Times New Roman"/>
                <w:bCs/>
                <w:sz w:val="20"/>
                <w:szCs w:val="20"/>
              </w:rPr>
            </w:pPr>
            <w:r w:rsidRPr="00BC7BB5">
              <w:rPr>
                <w:rFonts w:ascii="Times New Roman" w:hAnsi="Times New Roman" w:cs="Times New Roman"/>
                <w:bCs/>
                <w:sz w:val="20"/>
                <w:szCs w:val="20"/>
              </w:rPr>
              <w:t>Gender Specialist</w:t>
            </w:r>
          </w:p>
        </w:tc>
        <w:tc>
          <w:tcPr>
            <w:tcW w:w="3986" w:type="dxa"/>
            <w:gridSpan w:val="1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1B61A765" w14:textId="0B71F1F7" w:rsidR="00E075D6" w:rsidRPr="00BC7BB5" w:rsidRDefault="00E075D6" w:rsidP="00E075D6">
            <w:pPr>
              <w:spacing w:after="0"/>
              <w:rPr>
                <w:rFonts w:ascii="Times New Roman" w:hAnsi="Times New Roman" w:cs="Times New Roman"/>
                <w:bCs/>
                <w:sz w:val="20"/>
                <w:szCs w:val="20"/>
              </w:rPr>
            </w:pPr>
            <w:r w:rsidRPr="00BC7BB5">
              <w:rPr>
                <w:rFonts w:ascii="Times New Roman" w:hAnsi="Times New Roman" w:cs="Times New Roman"/>
                <w:bCs/>
                <w:sz w:val="20"/>
                <w:szCs w:val="20"/>
              </w:rPr>
              <w:t>Washington, DC</w:t>
            </w:r>
          </w:p>
        </w:tc>
      </w:tr>
      <w:tr w:rsidR="00E075D6" w:rsidRPr="00BC7BB5" w14:paraId="2EE13477" w14:textId="77777777" w:rsidTr="00FA3400">
        <w:tblPrEx>
          <w:jc w:val="center"/>
        </w:tblPrEx>
        <w:trPr>
          <w:trHeight w:val="145"/>
          <w:jc w:val="center"/>
        </w:trPr>
        <w:tc>
          <w:tcPr>
            <w:tcW w:w="2627" w:type="dxa"/>
            <w:gridSpan w:val="1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3E815EFA" w14:textId="2D5C52E5" w:rsidR="00E075D6" w:rsidRPr="00BC7BB5" w:rsidRDefault="00E075D6" w:rsidP="00E075D6">
            <w:pPr>
              <w:spacing w:after="0"/>
              <w:rPr>
                <w:rFonts w:ascii="Times New Roman" w:hAnsi="Times New Roman" w:cs="Times New Roman"/>
                <w:bCs/>
                <w:sz w:val="20"/>
                <w:szCs w:val="20"/>
              </w:rPr>
            </w:pPr>
            <w:r w:rsidRPr="00BC7BB5">
              <w:rPr>
                <w:rFonts w:ascii="Times New Roman" w:hAnsi="Times New Roman" w:cs="Times New Roman"/>
                <w:bCs/>
                <w:sz w:val="20"/>
                <w:szCs w:val="20"/>
              </w:rPr>
              <w:t>Stephanie Kuttner</w:t>
            </w:r>
          </w:p>
        </w:tc>
        <w:tc>
          <w:tcPr>
            <w:tcW w:w="2882" w:type="dxa"/>
            <w:gridSpan w:val="1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04256907" w14:textId="49E4DD94" w:rsidR="00E075D6" w:rsidRPr="00BC7BB5" w:rsidRDefault="00E075D6" w:rsidP="00E075D6">
            <w:pPr>
              <w:spacing w:after="0"/>
              <w:rPr>
                <w:rFonts w:ascii="Times New Roman" w:hAnsi="Times New Roman" w:cs="Times New Roman"/>
                <w:bCs/>
                <w:sz w:val="20"/>
                <w:szCs w:val="20"/>
              </w:rPr>
            </w:pPr>
            <w:r w:rsidRPr="00BC7BB5">
              <w:rPr>
                <w:rFonts w:ascii="Times New Roman" w:hAnsi="Times New Roman" w:cs="Times New Roman"/>
                <w:bCs/>
                <w:sz w:val="20"/>
                <w:szCs w:val="20"/>
              </w:rPr>
              <w:t>Social Development Specialist</w:t>
            </w:r>
          </w:p>
        </w:tc>
        <w:tc>
          <w:tcPr>
            <w:tcW w:w="3986" w:type="dxa"/>
            <w:gridSpan w:val="1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2A3ADA9B" w14:textId="6C154E0E" w:rsidR="00E075D6" w:rsidRPr="00BC7BB5" w:rsidRDefault="00E075D6" w:rsidP="00E075D6">
            <w:pPr>
              <w:spacing w:after="0"/>
              <w:rPr>
                <w:rFonts w:ascii="Times New Roman" w:hAnsi="Times New Roman" w:cs="Times New Roman"/>
                <w:bCs/>
                <w:sz w:val="20"/>
                <w:szCs w:val="20"/>
              </w:rPr>
            </w:pPr>
            <w:r w:rsidRPr="00BC7BB5">
              <w:rPr>
                <w:rFonts w:ascii="Times New Roman" w:hAnsi="Times New Roman" w:cs="Times New Roman"/>
                <w:bCs/>
                <w:sz w:val="20"/>
                <w:szCs w:val="20"/>
              </w:rPr>
              <w:t>Washington, DC</w:t>
            </w:r>
          </w:p>
        </w:tc>
      </w:tr>
      <w:tr w:rsidR="00E075D6" w:rsidRPr="00BC7BB5" w14:paraId="21CD1714" w14:textId="77777777" w:rsidTr="00FA3400">
        <w:tblPrEx>
          <w:jc w:val="center"/>
        </w:tblPrEx>
        <w:trPr>
          <w:trHeight w:val="145"/>
          <w:jc w:val="center"/>
        </w:trPr>
        <w:tc>
          <w:tcPr>
            <w:tcW w:w="2627" w:type="dxa"/>
            <w:gridSpan w:val="1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483E27E6" w14:textId="08606062" w:rsidR="00E075D6" w:rsidRPr="00BC7BB5" w:rsidRDefault="00E075D6" w:rsidP="00E075D6">
            <w:pPr>
              <w:spacing w:after="0"/>
              <w:rPr>
                <w:rFonts w:ascii="Times New Roman" w:hAnsi="Times New Roman" w:cs="Times New Roman"/>
                <w:bCs/>
                <w:sz w:val="20"/>
                <w:szCs w:val="20"/>
              </w:rPr>
            </w:pPr>
            <w:r w:rsidRPr="00BC7BB5">
              <w:rPr>
                <w:rFonts w:ascii="Times New Roman" w:hAnsi="Times New Roman" w:cs="Times New Roman"/>
                <w:bCs/>
                <w:sz w:val="20"/>
                <w:szCs w:val="20"/>
              </w:rPr>
              <w:t>Marie-Helene Collion</w:t>
            </w:r>
          </w:p>
        </w:tc>
        <w:tc>
          <w:tcPr>
            <w:tcW w:w="2882" w:type="dxa"/>
            <w:gridSpan w:val="1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138D8FA7" w14:textId="745E354A" w:rsidR="00E075D6" w:rsidRPr="00BC7BB5" w:rsidRDefault="00E075D6" w:rsidP="00E075D6">
            <w:pPr>
              <w:spacing w:after="0"/>
              <w:rPr>
                <w:rFonts w:ascii="Times New Roman" w:hAnsi="Times New Roman" w:cs="Times New Roman"/>
                <w:bCs/>
                <w:sz w:val="20"/>
                <w:szCs w:val="20"/>
              </w:rPr>
            </w:pPr>
            <w:r w:rsidRPr="00BC7BB5">
              <w:rPr>
                <w:rFonts w:ascii="Times New Roman" w:hAnsi="Times New Roman" w:cs="Times New Roman"/>
                <w:bCs/>
                <w:sz w:val="20"/>
                <w:szCs w:val="20"/>
              </w:rPr>
              <w:t>Producers’ Organization and Productive Alliances Specialist</w:t>
            </w:r>
          </w:p>
        </w:tc>
        <w:tc>
          <w:tcPr>
            <w:tcW w:w="3986" w:type="dxa"/>
            <w:gridSpan w:val="1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38CCBF21" w14:textId="5D2F3FBB" w:rsidR="00E075D6" w:rsidRPr="00BC7BB5" w:rsidRDefault="00E075D6" w:rsidP="00E075D6">
            <w:pPr>
              <w:spacing w:after="0"/>
              <w:rPr>
                <w:rFonts w:ascii="Times New Roman" w:hAnsi="Times New Roman" w:cs="Times New Roman"/>
                <w:bCs/>
                <w:sz w:val="20"/>
                <w:szCs w:val="20"/>
              </w:rPr>
            </w:pPr>
            <w:r w:rsidRPr="00BC7BB5">
              <w:rPr>
                <w:rFonts w:ascii="Times New Roman" w:hAnsi="Times New Roman" w:cs="Times New Roman"/>
                <w:bCs/>
                <w:sz w:val="20"/>
                <w:szCs w:val="20"/>
              </w:rPr>
              <w:t>Marseilles</w:t>
            </w:r>
          </w:p>
        </w:tc>
      </w:tr>
      <w:tr w:rsidR="00E075D6" w:rsidRPr="00BC7BB5" w14:paraId="59E27113" w14:textId="77777777" w:rsidTr="00FA3400">
        <w:tblPrEx>
          <w:jc w:val="center"/>
        </w:tblPrEx>
        <w:trPr>
          <w:trHeight w:val="145"/>
          <w:jc w:val="center"/>
        </w:trPr>
        <w:tc>
          <w:tcPr>
            <w:tcW w:w="2627" w:type="dxa"/>
            <w:gridSpan w:val="1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6C86B65C" w14:textId="78ACDFD7" w:rsidR="00E075D6" w:rsidRPr="00BC7BB5" w:rsidRDefault="00E075D6" w:rsidP="00E075D6">
            <w:pPr>
              <w:spacing w:after="0"/>
              <w:rPr>
                <w:rFonts w:ascii="Times New Roman" w:hAnsi="Times New Roman" w:cs="Times New Roman"/>
                <w:bCs/>
                <w:sz w:val="20"/>
                <w:szCs w:val="20"/>
              </w:rPr>
            </w:pPr>
            <w:r w:rsidRPr="00BC7BB5">
              <w:rPr>
                <w:rFonts w:ascii="Times New Roman" w:hAnsi="Times New Roman" w:cs="Times New Roman"/>
                <w:bCs/>
                <w:sz w:val="20"/>
                <w:szCs w:val="20"/>
              </w:rPr>
              <w:t>Carlos Puig</w:t>
            </w:r>
          </w:p>
        </w:tc>
        <w:tc>
          <w:tcPr>
            <w:tcW w:w="2882" w:type="dxa"/>
            <w:gridSpan w:val="1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070EE3CE" w14:textId="1B14456D" w:rsidR="00E075D6" w:rsidRPr="00BC7BB5" w:rsidRDefault="00E075D6" w:rsidP="00E075D6">
            <w:pPr>
              <w:spacing w:after="0"/>
              <w:rPr>
                <w:rFonts w:ascii="Times New Roman" w:hAnsi="Times New Roman" w:cs="Times New Roman"/>
                <w:bCs/>
                <w:sz w:val="20"/>
                <w:szCs w:val="20"/>
              </w:rPr>
            </w:pPr>
            <w:r w:rsidRPr="00BC7BB5">
              <w:rPr>
                <w:rFonts w:ascii="Times New Roman" w:hAnsi="Times New Roman" w:cs="Times New Roman"/>
                <w:bCs/>
                <w:sz w:val="20"/>
                <w:szCs w:val="20"/>
              </w:rPr>
              <w:t>Value-Chains Development Specialist</w:t>
            </w:r>
          </w:p>
        </w:tc>
        <w:tc>
          <w:tcPr>
            <w:tcW w:w="3986" w:type="dxa"/>
            <w:gridSpan w:val="1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61461D64" w14:textId="73B8260F" w:rsidR="00E075D6" w:rsidRPr="00BC7BB5" w:rsidRDefault="00E075D6" w:rsidP="00E075D6">
            <w:pPr>
              <w:spacing w:after="0"/>
              <w:rPr>
                <w:rFonts w:ascii="Times New Roman" w:hAnsi="Times New Roman" w:cs="Times New Roman"/>
                <w:bCs/>
                <w:sz w:val="20"/>
                <w:szCs w:val="20"/>
              </w:rPr>
            </w:pPr>
            <w:r w:rsidRPr="00BC7BB5">
              <w:rPr>
                <w:rFonts w:ascii="Times New Roman" w:hAnsi="Times New Roman" w:cs="Times New Roman"/>
                <w:bCs/>
                <w:sz w:val="20"/>
                <w:szCs w:val="20"/>
              </w:rPr>
              <w:t xml:space="preserve">Quebec </w:t>
            </w:r>
          </w:p>
        </w:tc>
      </w:tr>
      <w:tr w:rsidR="00E075D6" w:rsidRPr="00BC7BB5" w14:paraId="10CD5061" w14:textId="77777777" w:rsidTr="00FA3400">
        <w:tblPrEx>
          <w:jc w:val="center"/>
        </w:tblPrEx>
        <w:trPr>
          <w:trHeight w:val="145"/>
          <w:jc w:val="center"/>
        </w:trPr>
        <w:tc>
          <w:tcPr>
            <w:tcW w:w="2627" w:type="dxa"/>
            <w:gridSpan w:val="1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1238BE98" w14:textId="7A9907E1" w:rsidR="00E075D6" w:rsidRPr="00BC7BB5" w:rsidRDefault="00E075D6" w:rsidP="00E075D6">
            <w:pPr>
              <w:spacing w:after="0"/>
              <w:rPr>
                <w:rFonts w:ascii="Times New Roman" w:hAnsi="Times New Roman" w:cs="Times New Roman"/>
                <w:bCs/>
                <w:sz w:val="20"/>
                <w:szCs w:val="20"/>
              </w:rPr>
            </w:pPr>
            <w:r w:rsidRPr="00BC7BB5">
              <w:rPr>
                <w:rFonts w:ascii="Times New Roman" w:hAnsi="Times New Roman" w:cs="Times New Roman"/>
                <w:bCs/>
                <w:sz w:val="20"/>
                <w:szCs w:val="20"/>
              </w:rPr>
              <w:t>Emmanuel Hidier</w:t>
            </w:r>
          </w:p>
        </w:tc>
        <w:tc>
          <w:tcPr>
            <w:tcW w:w="2882" w:type="dxa"/>
            <w:gridSpan w:val="1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25F4827F" w14:textId="5BD03B72" w:rsidR="00E075D6" w:rsidRPr="00BC7BB5" w:rsidRDefault="00E075D6" w:rsidP="00E075D6">
            <w:pPr>
              <w:spacing w:after="0"/>
              <w:rPr>
                <w:rFonts w:ascii="Times New Roman" w:hAnsi="Times New Roman" w:cs="Times New Roman"/>
                <w:bCs/>
                <w:sz w:val="20"/>
                <w:szCs w:val="20"/>
              </w:rPr>
            </w:pPr>
            <w:r w:rsidRPr="00BC7BB5">
              <w:rPr>
                <w:rFonts w:ascii="Times New Roman" w:hAnsi="Times New Roman" w:cs="Times New Roman"/>
                <w:bCs/>
                <w:sz w:val="20"/>
                <w:szCs w:val="20"/>
              </w:rPr>
              <w:t>Sr. Agricultural Economist</w:t>
            </w:r>
          </w:p>
        </w:tc>
        <w:tc>
          <w:tcPr>
            <w:tcW w:w="3986" w:type="dxa"/>
            <w:gridSpan w:val="1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7EAB684D" w14:textId="5E85763B" w:rsidR="00E075D6" w:rsidRPr="00BC7BB5" w:rsidRDefault="00E075D6" w:rsidP="00E075D6">
            <w:pPr>
              <w:spacing w:after="0"/>
              <w:rPr>
                <w:rFonts w:ascii="Times New Roman" w:hAnsi="Times New Roman" w:cs="Times New Roman"/>
                <w:bCs/>
                <w:sz w:val="20"/>
                <w:szCs w:val="20"/>
              </w:rPr>
            </w:pPr>
            <w:r w:rsidRPr="00BC7BB5">
              <w:rPr>
                <w:rFonts w:ascii="Times New Roman" w:hAnsi="Times New Roman" w:cs="Times New Roman"/>
                <w:bCs/>
                <w:sz w:val="20"/>
                <w:szCs w:val="20"/>
              </w:rPr>
              <w:t>Rome</w:t>
            </w:r>
          </w:p>
        </w:tc>
      </w:tr>
      <w:tr w:rsidR="00E075D6" w:rsidRPr="00BC7BB5" w14:paraId="3A145193" w14:textId="77777777" w:rsidTr="00FA3400">
        <w:tblPrEx>
          <w:jc w:val="center"/>
        </w:tblPrEx>
        <w:trPr>
          <w:trHeight w:val="145"/>
          <w:jc w:val="center"/>
        </w:trPr>
        <w:tc>
          <w:tcPr>
            <w:tcW w:w="2627" w:type="dxa"/>
            <w:gridSpan w:val="1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64AF7847" w14:textId="41158BE7" w:rsidR="00E075D6" w:rsidRPr="00BC7BB5" w:rsidRDefault="00E075D6" w:rsidP="00E075D6">
            <w:pPr>
              <w:spacing w:after="0"/>
              <w:rPr>
                <w:rFonts w:ascii="Times New Roman" w:hAnsi="Times New Roman" w:cs="Times New Roman"/>
                <w:bCs/>
                <w:sz w:val="20"/>
                <w:szCs w:val="20"/>
              </w:rPr>
            </w:pPr>
            <w:r w:rsidRPr="00BC7BB5">
              <w:rPr>
                <w:rFonts w:ascii="Times New Roman" w:hAnsi="Times New Roman" w:cs="Times New Roman"/>
                <w:bCs/>
                <w:sz w:val="20"/>
                <w:szCs w:val="20"/>
              </w:rPr>
              <w:lastRenderedPageBreak/>
              <w:t>Nuno Santos</w:t>
            </w:r>
          </w:p>
        </w:tc>
        <w:tc>
          <w:tcPr>
            <w:tcW w:w="2882" w:type="dxa"/>
            <w:gridSpan w:val="1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3AA6219F" w14:textId="72A4E7EB" w:rsidR="00E075D6" w:rsidRPr="00BC7BB5" w:rsidRDefault="00E075D6" w:rsidP="00E075D6">
            <w:pPr>
              <w:spacing w:after="0"/>
              <w:rPr>
                <w:rFonts w:ascii="Times New Roman" w:hAnsi="Times New Roman" w:cs="Times New Roman"/>
                <w:bCs/>
                <w:sz w:val="20"/>
                <w:szCs w:val="20"/>
              </w:rPr>
            </w:pPr>
            <w:r w:rsidRPr="00BC7BB5">
              <w:rPr>
                <w:rFonts w:ascii="Times New Roman" w:hAnsi="Times New Roman" w:cs="Times New Roman"/>
                <w:bCs/>
                <w:sz w:val="20"/>
                <w:szCs w:val="20"/>
              </w:rPr>
              <w:t>Sr. Agricultural Economist</w:t>
            </w:r>
          </w:p>
        </w:tc>
        <w:tc>
          <w:tcPr>
            <w:tcW w:w="3986" w:type="dxa"/>
            <w:gridSpan w:val="1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1264A4D6" w14:textId="3B621BC1" w:rsidR="00E075D6" w:rsidRPr="00BC7BB5" w:rsidRDefault="00E075D6" w:rsidP="00E075D6">
            <w:pPr>
              <w:spacing w:after="0"/>
              <w:rPr>
                <w:rFonts w:ascii="Times New Roman" w:hAnsi="Times New Roman" w:cs="Times New Roman"/>
                <w:bCs/>
                <w:sz w:val="20"/>
                <w:szCs w:val="20"/>
              </w:rPr>
            </w:pPr>
            <w:r w:rsidRPr="00BC7BB5">
              <w:rPr>
                <w:rFonts w:ascii="Times New Roman" w:hAnsi="Times New Roman" w:cs="Times New Roman"/>
                <w:bCs/>
                <w:sz w:val="20"/>
                <w:szCs w:val="20"/>
              </w:rPr>
              <w:t>Rome</w:t>
            </w:r>
          </w:p>
        </w:tc>
      </w:tr>
    </w:tbl>
    <w:p w14:paraId="46EACFFC" w14:textId="77777777" w:rsidR="00FE6D62" w:rsidRPr="00BC7BB5" w:rsidRDefault="00FE6D62" w:rsidP="00F97882">
      <w:pPr>
        <w:pStyle w:val="NoSpacing"/>
        <w:jc w:val="center"/>
        <w:rPr>
          <w:rFonts w:ascii="Times New Roman" w:hAnsi="Times New Roman" w:cs="Times New Roman"/>
          <w:b/>
        </w:rPr>
        <w:sectPr w:rsidR="00FE6D62" w:rsidRPr="00BC7BB5" w:rsidSect="00FE6D62">
          <w:footerReference w:type="default" r:id="rId14"/>
          <w:footerReference w:type="first" r:id="rId15"/>
          <w:pgSz w:w="12240" w:h="15840"/>
          <w:pgMar w:top="1440" w:right="1440" w:bottom="1440" w:left="1440" w:header="720" w:footer="720" w:gutter="0"/>
          <w:pgNumType w:fmt="lowerRoman" w:start="1" w:chapStyle="1"/>
          <w:cols w:space="720"/>
          <w:docGrid w:linePitch="360"/>
        </w:sectPr>
      </w:pPr>
    </w:p>
    <w:p w14:paraId="53B2A181" w14:textId="77777777" w:rsidR="004F1094" w:rsidRPr="00BC7BB5" w:rsidRDefault="004F1094" w:rsidP="004C7AEF">
      <w:pPr>
        <w:pStyle w:val="NoSpacing"/>
        <w:rPr>
          <w:rFonts w:ascii="Times New Roman" w:hAnsi="Times New Roman" w:cs="Times New Roman"/>
          <w:b/>
        </w:rPr>
      </w:pPr>
    </w:p>
    <w:p w14:paraId="53B2A183" w14:textId="525F9F4D" w:rsidR="004F1094" w:rsidRPr="00BC7BB5" w:rsidRDefault="001D2940" w:rsidP="00B35A06">
      <w:pPr>
        <w:pStyle w:val="ListParagraph"/>
        <w:numPr>
          <w:ilvl w:val="0"/>
          <w:numId w:val="3"/>
        </w:numPr>
        <w:ind w:left="0" w:firstLine="0"/>
        <w:outlineLvl w:val="0"/>
        <w:rPr>
          <w:rFonts w:ascii="Times New Roman" w:hAnsi="Times New Roman" w:cs="Times New Roman"/>
          <w:b/>
        </w:rPr>
      </w:pPr>
      <w:bookmarkStart w:id="1" w:name="_Toc499113390"/>
      <w:r w:rsidRPr="00BC7BB5">
        <w:rPr>
          <w:rFonts w:ascii="Times New Roman" w:hAnsi="Times New Roman" w:cs="Times New Roman"/>
          <w:b/>
        </w:rPr>
        <w:t>STRATEGIC CONTEXT</w:t>
      </w:r>
      <w:bookmarkEnd w:id="1"/>
      <w:r w:rsidRPr="00BC7BB5">
        <w:rPr>
          <w:rFonts w:ascii="Times New Roman" w:hAnsi="Times New Roman" w:cs="Times New Roman"/>
          <w:b/>
        </w:rPr>
        <w:t xml:space="preserve"> </w:t>
      </w:r>
    </w:p>
    <w:p w14:paraId="53B2A184" w14:textId="7988809D" w:rsidR="004C7AEF" w:rsidRPr="00BC7BB5" w:rsidRDefault="001D2940" w:rsidP="00B35A06">
      <w:pPr>
        <w:pStyle w:val="NoSpacing"/>
        <w:numPr>
          <w:ilvl w:val="0"/>
          <w:numId w:val="1"/>
        </w:numPr>
        <w:ind w:left="0" w:firstLine="0"/>
        <w:outlineLvl w:val="1"/>
        <w:rPr>
          <w:rFonts w:ascii="Times New Roman Bold" w:hAnsi="Times New Roman Bold" w:cs="Times New Roman"/>
          <w:b/>
          <w:smallCaps/>
        </w:rPr>
      </w:pPr>
      <w:bookmarkStart w:id="2" w:name="_Toc499113391"/>
      <w:r w:rsidRPr="00BC7BB5">
        <w:rPr>
          <w:rFonts w:ascii="Times New Roman Bold" w:hAnsi="Times New Roman Bold" w:cs="Times New Roman"/>
          <w:b/>
          <w:smallCaps/>
        </w:rPr>
        <w:t>Country Context</w:t>
      </w:r>
      <w:bookmarkEnd w:id="2"/>
      <w:r w:rsidRPr="00BC7BB5">
        <w:rPr>
          <w:rFonts w:ascii="Times New Roman Bold" w:hAnsi="Times New Roman Bold" w:cs="Times New Roman"/>
          <w:b/>
          <w:smallCaps/>
        </w:rPr>
        <w:t xml:space="preserve"> </w:t>
      </w:r>
    </w:p>
    <w:p w14:paraId="53B2A185" w14:textId="77777777" w:rsidR="004C7AEF" w:rsidRPr="00BC7BB5" w:rsidRDefault="004C7AEF" w:rsidP="004C7AEF">
      <w:pPr>
        <w:pStyle w:val="NoSpacing"/>
        <w:ind w:left="360"/>
        <w:rPr>
          <w:rFonts w:ascii="Times New Roman" w:hAnsi="Times New Roman" w:cs="Times New Roman"/>
          <w:b/>
        </w:rPr>
      </w:pPr>
    </w:p>
    <w:p w14:paraId="4F8E19E5" w14:textId="747DDCEF" w:rsidR="00A629EE" w:rsidRPr="00BC7BB5" w:rsidRDefault="00147331" w:rsidP="00B35A06">
      <w:pPr>
        <w:pStyle w:val="NoSpacing"/>
        <w:numPr>
          <w:ilvl w:val="0"/>
          <w:numId w:val="7"/>
        </w:numPr>
        <w:ind w:left="0" w:firstLine="0"/>
        <w:jc w:val="both"/>
        <w:rPr>
          <w:rFonts w:ascii="Times New Roman" w:hAnsi="Times New Roman" w:cs="Times New Roman"/>
        </w:rPr>
      </w:pPr>
      <w:r w:rsidRPr="00BC7BB5">
        <w:rPr>
          <w:rFonts w:ascii="Times New Roman" w:hAnsi="Times New Roman" w:cs="Times New Roman"/>
          <w:b/>
        </w:rPr>
        <w:t>Morocco is a lower middle-income country with a population of approximately 33.8 million which has carried out major political and institutional reforms over the past sixteen years</w:t>
      </w:r>
      <w:r w:rsidRPr="00BC7BB5">
        <w:rPr>
          <w:rFonts w:ascii="Times New Roman" w:hAnsi="Times New Roman" w:cs="Times New Roman"/>
        </w:rPr>
        <w:t>. During that period, a series of reforms and new laws to gradually liberalize the economy, privatize public enterprises, restructure the financ</w:t>
      </w:r>
      <w:r w:rsidR="00CF5A69" w:rsidRPr="00BC7BB5">
        <w:rPr>
          <w:rFonts w:ascii="Times New Roman" w:hAnsi="Times New Roman" w:cs="Times New Roman"/>
        </w:rPr>
        <w:t>ial system, strengthen the rule</w:t>
      </w:r>
      <w:r w:rsidRPr="00BC7BB5">
        <w:rPr>
          <w:rFonts w:ascii="Times New Roman" w:hAnsi="Times New Roman" w:cs="Times New Roman"/>
        </w:rPr>
        <w:t xml:space="preserve"> of law, and guarantee fundamental human rights have been </w:t>
      </w:r>
      <w:r w:rsidR="00A031B8">
        <w:rPr>
          <w:rFonts w:ascii="Times New Roman" w:hAnsi="Times New Roman" w:cs="Times New Roman"/>
        </w:rPr>
        <w:t>implemented</w:t>
      </w:r>
      <w:r w:rsidRPr="00BC7BB5">
        <w:rPr>
          <w:rFonts w:ascii="Times New Roman" w:hAnsi="Times New Roman" w:cs="Times New Roman"/>
        </w:rPr>
        <w:t>.</w:t>
      </w:r>
      <w:r w:rsidR="005E6A01">
        <w:rPr>
          <w:rFonts w:ascii="Times New Roman" w:hAnsi="Times New Roman" w:cs="Times New Roman"/>
        </w:rPr>
        <w:t xml:space="preserve"> W</w:t>
      </w:r>
      <w:r w:rsidR="005E6A01" w:rsidRPr="00BC7BB5">
        <w:rPr>
          <w:rFonts w:ascii="Times New Roman" w:hAnsi="Times New Roman" w:cs="Times New Roman"/>
        </w:rPr>
        <w:t>ith the adoption of a new Constitution in 2011</w:t>
      </w:r>
      <w:r w:rsidR="00D535C9" w:rsidRPr="00BC7BB5">
        <w:rPr>
          <w:rFonts w:ascii="Times New Roman" w:hAnsi="Times New Roman" w:cs="Times New Roman"/>
        </w:rPr>
        <w:t>, Moroc</w:t>
      </w:r>
      <w:r w:rsidR="00126BB3" w:rsidRPr="00BC7BB5">
        <w:rPr>
          <w:rFonts w:ascii="Times New Roman" w:hAnsi="Times New Roman" w:cs="Times New Roman"/>
        </w:rPr>
        <w:t xml:space="preserve">co </w:t>
      </w:r>
      <w:r w:rsidR="005E6A01">
        <w:rPr>
          <w:rFonts w:ascii="Times New Roman" w:hAnsi="Times New Roman" w:cs="Times New Roman"/>
        </w:rPr>
        <w:t xml:space="preserve">has </w:t>
      </w:r>
      <w:r w:rsidR="00126BB3" w:rsidRPr="00BC7BB5">
        <w:rPr>
          <w:rFonts w:ascii="Times New Roman" w:hAnsi="Times New Roman" w:cs="Times New Roman"/>
        </w:rPr>
        <w:t xml:space="preserve">engaged in a </w:t>
      </w:r>
      <w:r w:rsidR="00A031B8">
        <w:rPr>
          <w:rFonts w:ascii="Times New Roman" w:hAnsi="Times New Roman" w:cs="Times New Roman"/>
        </w:rPr>
        <w:t>series</w:t>
      </w:r>
      <w:r w:rsidR="00126BB3" w:rsidRPr="00BC7BB5">
        <w:rPr>
          <w:rFonts w:ascii="Times New Roman" w:hAnsi="Times New Roman" w:cs="Times New Roman"/>
        </w:rPr>
        <w:t xml:space="preserve"> of reforms, </w:t>
      </w:r>
      <w:r w:rsidR="00A031B8">
        <w:rPr>
          <w:rFonts w:ascii="Times New Roman" w:hAnsi="Times New Roman" w:cs="Times New Roman"/>
        </w:rPr>
        <w:t xml:space="preserve">aimed to </w:t>
      </w:r>
      <w:r w:rsidR="00126BB3" w:rsidRPr="00BC7BB5">
        <w:rPr>
          <w:rFonts w:ascii="Times New Roman" w:hAnsi="Times New Roman" w:cs="Times New Roman"/>
        </w:rPr>
        <w:t>set the basis for a more democratic society, greater separation of powers and increased decentralization.</w:t>
      </w:r>
    </w:p>
    <w:p w14:paraId="6EB9EECF" w14:textId="77777777" w:rsidR="00BE76F9" w:rsidRPr="00BC7BB5" w:rsidRDefault="00BE76F9" w:rsidP="00BE76F9">
      <w:pPr>
        <w:pStyle w:val="NoSpacing"/>
        <w:ind w:left="60"/>
        <w:jc w:val="both"/>
        <w:rPr>
          <w:rFonts w:ascii="Times New Roman" w:hAnsi="Times New Roman" w:cs="Times New Roman"/>
        </w:rPr>
      </w:pPr>
    </w:p>
    <w:p w14:paraId="4FAF4E9A" w14:textId="7ED5767C" w:rsidR="00AA109E" w:rsidRPr="00BC7BB5" w:rsidRDefault="00A629EE" w:rsidP="00B35A06">
      <w:pPr>
        <w:pStyle w:val="NoSpacing"/>
        <w:numPr>
          <w:ilvl w:val="0"/>
          <w:numId w:val="7"/>
        </w:numPr>
        <w:ind w:left="0" w:firstLine="0"/>
        <w:jc w:val="both"/>
        <w:rPr>
          <w:rFonts w:ascii="Times New Roman" w:hAnsi="Times New Roman" w:cs="Times New Roman"/>
        </w:rPr>
      </w:pPr>
      <w:r w:rsidRPr="00BC7BB5">
        <w:rPr>
          <w:rFonts w:ascii="Times New Roman" w:hAnsi="Times New Roman" w:cs="Times New Roman"/>
          <w:b/>
        </w:rPr>
        <w:t xml:space="preserve">These reforms have been accompanied by </w:t>
      </w:r>
      <w:r w:rsidR="000B1764" w:rsidRPr="00BC7BB5">
        <w:rPr>
          <w:rFonts w:ascii="Times New Roman" w:hAnsi="Times New Roman" w:cs="Times New Roman"/>
          <w:b/>
        </w:rPr>
        <w:t>a significant improvement in economic performance and poverty reduction</w:t>
      </w:r>
      <w:r w:rsidR="000B1764" w:rsidRPr="00BC7BB5">
        <w:rPr>
          <w:rFonts w:ascii="Times New Roman" w:hAnsi="Times New Roman" w:cs="Times New Roman"/>
        </w:rPr>
        <w:t xml:space="preserve">. </w:t>
      </w:r>
      <w:r w:rsidR="00126BB3" w:rsidRPr="00BC7BB5">
        <w:rPr>
          <w:rFonts w:ascii="Times New Roman" w:hAnsi="Times New Roman" w:cs="Times New Roman"/>
        </w:rPr>
        <w:t xml:space="preserve"> </w:t>
      </w:r>
      <w:r w:rsidR="008F3CD3" w:rsidRPr="00BC7BB5">
        <w:rPr>
          <w:rFonts w:ascii="Times New Roman" w:hAnsi="Times New Roman" w:cs="Times New Roman"/>
        </w:rPr>
        <w:t>The average rate of growth of per capita GDP</w:t>
      </w:r>
      <w:r w:rsidR="00730643" w:rsidRPr="00BC7BB5">
        <w:rPr>
          <w:rFonts w:ascii="Times New Roman" w:hAnsi="Times New Roman" w:cs="Times New Roman"/>
        </w:rPr>
        <w:fldChar w:fldCharType="begin"/>
      </w:r>
      <w:r w:rsidR="00730643" w:rsidRPr="00BC7BB5">
        <w:instrText xml:space="preserve"> XE "</w:instrText>
      </w:r>
      <w:r w:rsidR="00730643" w:rsidRPr="00BC7BB5">
        <w:rPr>
          <w:rFonts w:ascii="Times New Roman" w:hAnsi="Times New Roman" w:cs="Times New Roman"/>
        </w:rPr>
        <w:instrText>GDP:</w:instrText>
      </w:r>
      <w:r w:rsidR="00730643" w:rsidRPr="00BC7BB5">
        <w:instrText xml:space="preserve">Gross domestic product" </w:instrText>
      </w:r>
      <w:r w:rsidR="00730643" w:rsidRPr="00BC7BB5">
        <w:rPr>
          <w:rFonts w:ascii="Times New Roman" w:hAnsi="Times New Roman" w:cs="Times New Roman"/>
        </w:rPr>
        <w:fldChar w:fldCharType="end"/>
      </w:r>
      <w:r w:rsidR="008F3CD3" w:rsidRPr="00BC7BB5">
        <w:rPr>
          <w:rFonts w:ascii="Times New Roman" w:hAnsi="Times New Roman" w:cs="Times New Roman"/>
        </w:rPr>
        <w:t xml:space="preserve"> in the last 15 years has been 3.4 percent (doubling to </w:t>
      </w:r>
      <w:r w:rsidR="00A031B8" w:rsidRPr="00BC7BB5">
        <w:rPr>
          <w:rFonts w:ascii="Times New Roman" w:hAnsi="Times New Roman" w:cs="Times New Roman"/>
        </w:rPr>
        <w:t>US</w:t>
      </w:r>
      <w:r w:rsidR="00A031B8">
        <w:rPr>
          <w:rFonts w:ascii="Times New Roman" w:hAnsi="Times New Roman" w:cs="Times New Roman"/>
        </w:rPr>
        <w:t>$</w:t>
      </w:r>
      <w:r w:rsidR="00CB4A99">
        <w:rPr>
          <w:rFonts w:ascii="Times New Roman" w:hAnsi="Times New Roman" w:cs="Times New Roman"/>
        </w:rPr>
        <w:t xml:space="preserve">7,360 </w:t>
      </w:r>
      <w:r w:rsidR="00A031B8">
        <w:rPr>
          <w:rFonts w:ascii="Times New Roman" w:hAnsi="Times New Roman" w:cs="Times New Roman"/>
        </w:rPr>
        <w:t>p</w:t>
      </w:r>
      <w:r w:rsidR="00CB4A99">
        <w:rPr>
          <w:rFonts w:ascii="Times New Roman" w:hAnsi="Times New Roman" w:cs="Times New Roman"/>
        </w:rPr>
        <w:t xml:space="preserve">urchase </w:t>
      </w:r>
      <w:r w:rsidR="00A031B8">
        <w:rPr>
          <w:rFonts w:ascii="Times New Roman" w:hAnsi="Times New Roman" w:cs="Times New Roman"/>
        </w:rPr>
        <w:t>p</w:t>
      </w:r>
      <w:r w:rsidR="00CB4A99">
        <w:rPr>
          <w:rFonts w:ascii="Times New Roman" w:hAnsi="Times New Roman" w:cs="Times New Roman"/>
        </w:rPr>
        <w:t xml:space="preserve">ower </w:t>
      </w:r>
      <w:r w:rsidR="00A031B8">
        <w:rPr>
          <w:rFonts w:ascii="Times New Roman" w:hAnsi="Times New Roman" w:cs="Times New Roman"/>
        </w:rPr>
        <w:t>p</w:t>
      </w:r>
      <w:r w:rsidR="00CB4A99">
        <w:rPr>
          <w:rFonts w:ascii="Times New Roman" w:hAnsi="Times New Roman" w:cs="Times New Roman"/>
        </w:rPr>
        <w:t>arity</w:t>
      </w:r>
      <w:r w:rsidR="008F3CD3" w:rsidRPr="00BC7BB5">
        <w:rPr>
          <w:rFonts w:ascii="Times New Roman" w:hAnsi="Times New Roman" w:cs="Times New Roman"/>
        </w:rPr>
        <w:t xml:space="preserve"> 2015 – since 2000), extreme poverty has virtually been eradicated and the n</w:t>
      </w:r>
      <w:r w:rsidR="00EF1DEC" w:rsidRPr="00BC7BB5">
        <w:rPr>
          <w:rFonts w:ascii="Times New Roman" w:hAnsi="Times New Roman" w:cs="Times New Roman"/>
        </w:rPr>
        <w:t>ational poverty rate fell to 4.</w:t>
      </w:r>
      <w:r w:rsidR="008F3CD3" w:rsidRPr="00BC7BB5">
        <w:rPr>
          <w:rFonts w:ascii="Times New Roman" w:hAnsi="Times New Roman" w:cs="Times New Roman"/>
        </w:rPr>
        <w:t>8 percent in 2014.</w:t>
      </w:r>
      <w:r w:rsidR="00ED4D97" w:rsidRPr="00BC7BB5">
        <w:rPr>
          <w:rFonts w:ascii="Times New Roman" w:hAnsi="Times New Roman" w:cs="Times New Roman"/>
        </w:rPr>
        <w:t xml:space="preserve"> There have been improvements in several indicators of well-being, such as a steep decline of the fertility rate (2.2 in </w:t>
      </w:r>
      <w:r w:rsidR="00ED4D97" w:rsidRPr="001D1FDF">
        <w:rPr>
          <w:rFonts w:ascii="Times New Roman" w:hAnsi="Times New Roman" w:cs="Times New Roman"/>
        </w:rPr>
        <w:t>2015</w:t>
      </w:r>
      <w:r w:rsidR="00ED4D97" w:rsidRPr="00BC7BB5">
        <w:rPr>
          <w:rFonts w:ascii="Times New Roman" w:hAnsi="Times New Roman" w:cs="Times New Roman"/>
        </w:rPr>
        <w:t xml:space="preserve">), an increase in life expectancy, expansion of access to education, health and water supply and sanitation services. </w:t>
      </w:r>
    </w:p>
    <w:p w14:paraId="6E0B721C" w14:textId="77777777" w:rsidR="00BE76F9" w:rsidRPr="00BC7BB5" w:rsidRDefault="00BE76F9" w:rsidP="00BE76F9">
      <w:pPr>
        <w:pStyle w:val="NoSpacing"/>
        <w:jc w:val="both"/>
        <w:rPr>
          <w:rFonts w:ascii="Times New Roman" w:hAnsi="Times New Roman" w:cs="Times New Roman"/>
        </w:rPr>
      </w:pPr>
    </w:p>
    <w:p w14:paraId="135EB4D8" w14:textId="44EA9A14" w:rsidR="00534420" w:rsidRPr="00BC7BB5" w:rsidRDefault="00203192" w:rsidP="00B35A06">
      <w:pPr>
        <w:pStyle w:val="NoSpacing"/>
        <w:numPr>
          <w:ilvl w:val="0"/>
          <w:numId w:val="7"/>
        </w:numPr>
        <w:ind w:left="0" w:firstLine="0"/>
        <w:jc w:val="both"/>
        <w:rPr>
          <w:rFonts w:ascii="Times New Roman" w:hAnsi="Times New Roman" w:cs="Times New Roman"/>
        </w:rPr>
      </w:pPr>
      <w:r w:rsidRPr="00BC7BB5">
        <w:rPr>
          <w:rFonts w:ascii="Times New Roman" w:hAnsi="Times New Roman" w:cs="Times New Roman"/>
          <w:b/>
        </w:rPr>
        <w:t xml:space="preserve">However, </w:t>
      </w:r>
      <w:r w:rsidR="00534420" w:rsidRPr="00BC7BB5">
        <w:rPr>
          <w:rFonts w:ascii="Times New Roman" w:hAnsi="Times New Roman" w:cs="Times New Roman"/>
          <w:b/>
        </w:rPr>
        <w:t>major socio-economic challenges remain</w:t>
      </w:r>
      <w:r w:rsidR="000F2494" w:rsidRPr="00BC7BB5">
        <w:rPr>
          <w:rFonts w:ascii="Times New Roman" w:hAnsi="Times New Roman" w:cs="Times New Roman"/>
          <w:b/>
        </w:rPr>
        <w:t xml:space="preserve"> </w:t>
      </w:r>
      <w:r w:rsidRPr="00BC7BB5">
        <w:rPr>
          <w:rFonts w:ascii="Times New Roman" w:hAnsi="Times New Roman" w:cs="Times New Roman"/>
          <w:b/>
        </w:rPr>
        <w:t>with</w:t>
      </w:r>
      <w:r w:rsidR="00554A54" w:rsidRPr="00BC7BB5">
        <w:rPr>
          <w:rFonts w:ascii="Times New Roman" w:hAnsi="Times New Roman" w:cs="Times New Roman"/>
          <w:b/>
        </w:rPr>
        <w:t xml:space="preserve"> regards</w:t>
      </w:r>
      <w:r w:rsidR="000F2494" w:rsidRPr="00BC7BB5">
        <w:rPr>
          <w:rFonts w:ascii="Times New Roman" w:hAnsi="Times New Roman" w:cs="Times New Roman"/>
          <w:b/>
        </w:rPr>
        <w:t xml:space="preserve"> </w:t>
      </w:r>
      <w:r w:rsidRPr="00BC7BB5">
        <w:rPr>
          <w:rFonts w:ascii="Times New Roman" w:hAnsi="Times New Roman" w:cs="Times New Roman"/>
          <w:b/>
        </w:rPr>
        <w:t>to</w:t>
      </w:r>
      <w:r w:rsidR="00693969" w:rsidRPr="00BC7BB5">
        <w:rPr>
          <w:rFonts w:ascii="Times New Roman" w:hAnsi="Times New Roman" w:cs="Times New Roman"/>
          <w:b/>
        </w:rPr>
        <w:t xml:space="preserve"> the quality and sustainability of growth </w:t>
      </w:r>
      <w:r w:rsidR="00274CB1" w:rsidRPr="00BC7BB5">
        <w:rPr>
          <w:rFonts w:ascii="Times New Roman" w:hAnsi="Times New Roman" w:cs="Times New Roman"/>
          <w:b/>
        </w:rPr>
        <w:t>and</w:t>
      </w:r>
      <w:r w:rsidR="005B190F" w:rsidRPr="00BC7BB5">
        <w:rPr>
          <w:rFonts w:ascii="Times New Roman" w:hAnsi="Times New Roman" w:cs="Times New Roman"/>
          <w:b/>
        </w:rPr>
        <w:t>,</w:t>
      </w:r>
      <w:r w:rsidR="00274CB1" w:rsidRPr="00BC7BB5">
        <w:rPr>
          <w:rFonts w:ascii="Times New Roman" w:hAnsi="Times New Roman" w:cs="Times New Roman"/>
          <w:b/>
        </w:rPr>
        <w:t xml:space="preserve"> </w:t>
      </w:r>
      <w:r w:rsidR="00DD4A5F" w:rsidRPr="00BC7BB5">
        <w:rPr>
          <w:rFonts w:ascii="Times New Roman" w:hAnsi="Times New Roman" w:cs="Times New Roman"/>
          <w:b/>
        </w:rPr>
        <w:t>specifically</w:t>
      </w:r>
      <w:r w:rsidR="005B190F" w:rsidRPr="00BC7BB5">
        <w:rPr>
          <w:rFonts w:ascii="Times New Roman" w:hAnsi="Times New Roman" w:cs="Times New Roman"/>
          <w:b/>
        </w:rPr>
        <w:t>,</w:t>
      </w:r>
      <w:r w:rsidR="00274CB1" w:rsidRPr="00BC7BB5">
        <w:rPr>
          <w:rFonts w:ascii="Times New Roman" w:hAnsi="Times New Roman" w:cs="Times New Roman"/>
          <w:b/>
        </w:rPr>
        <w:t xml:space="preserve"> closing the urban-rural gap</w:t>
      </w:r>
      <w:r w:rsidR="00534420" w:rsidRPr="00BC7BB5">
        <w:rPr>
          <w:rFonts w:ascii="Times New Roman" w:hAnsi="Times New Roman" w:cs="Times New Roman"/>
        </w:rPr>
        <w:t>.</w:t>
      </w:r>
      <w:r w:rsidR="00E2194F" w:rsidRPr="00BC7BB5">
        <w:rPr>
          <w:rFonts w:ascii="Times New Roman" w:hAnsi="Times New Roman" w:cs="Times New Roman"/>
        </w:rPr>
        <w:t xml:space="preserve"> </w:t>
      </w:r>
      <w:r w:rsidR="00274CB1" w:rsidRPr="00BC7BB5">
        <w:rPr>
          <w:rFonts w:ascii="Times New Roman" w:hAnsi="Times New Roman" w:cs="Times New Roman"/>
        </w:rPr>
        <w:t>Private sector activity h</w:t>
      </w:r>
      <w:r w:rsidR="005B190F" w:rsidRPr="00BC7BB5">
        <w:rPr>
          <w:rFonts w:ascii="Times New Roman" w:hAnsi="Times New Roman" w:cs="Times New Roman"/>
        </w:rPr>
        <w:t>as slowed down in recent years</w:t>
      </w:r>
      <w:r w:rsidR="00274CB1" w:rsidRPr="00BC7BB5">
        <w:rPr>
          <w:rFonts w:ascii="Times New Roman" w:hAnsi="Times New Roman" w:cs="Times New Roman"/>
        </w:rPr>
        <w:t>. Ove</w:t>
      </w:r>
      <w:r w:rsidR="008C1EAD">
        <w:rPr>
          <w:rFonts w:ascii="Times New Roman" w:hAnsi="Times New Roman" w:cs="Times New Roman"/>
        </w:rPr>
        <w:t>r the period from 2010 to 2015</w:t>
      </w:r>
      <w:r w:rsidR="00274CB1" w:rsidRPr="00BC7BB5">
        <w:rPr>
          <w:rFonts w:ascii="Times New Roman" w:hAnsi="Times New Roman" w:cs="Times New Roman"/>
        </w:rPr>
        <w:t xml:space="preserve">, just 50,000 net new jobs have been created on average each year while the working age population showed an average net increase of 270,000 per year. The integration into the labor market of young people, who constitute 44 percent of the working age population, is </w:t>
      </w:r>
      <w:r w:rsidR="005B190F" w:rsidRPr="00BC7BB5">
        <w:rPr>
          <w:rFonts w:ascii="Times New Roman" w:hAnsi="Times New Roman" w:cs="Times New Roman"/>
        </w:rPr>
        <w:t>a</w:t>
      </w:r>
      <w:r w:rsidR="00274CB1" w:rsidRPr="00BC7BB5">
        <w:rPr>
          <w:rFonts w:ascii="Times New Roman" w:hAnsi="Times New Roman" w:cs="Times New Roman"/>
        </w:rPr>
        <w:t xml:space="preserve"> major challenge. While </w:t>
      </w:r>
      <w:r w:rsidR="001D1FDF">
        <w:rPr>
          <w:rFonts w:ascii="Times New Roman" w:hAnsi="Times New Roman" w:cs="Times New Roman"/>
        </w:rPr>
        <w:t xml:space="preserve">the </w:t>
      </w:r>
      <w:r w:rsidR="00274CB1" w:rsidRPr="00BC7BB5">
        <w:rPr>
          <w:rFonts w:ascii="Times New Roman" w:hAnsi="Times New Roman" w:cs="Times New Roman"/>
        </w:rPr>
        <w:t>unemployment</w:t>
      </w:r>
      <w:r w:rsidR="001D1FDF">
        <w:rPr>
          <w:rFonts w:ascii="Times New Roman" w:hAnsi="Times New Roman" w:cs="Times New Roman"/>
        </w:rPr>
        <w:t xml:space="preserve"> rate </w:t>
      </w:r>
      <w:r w:rsidR="00BA162B">
        <w:rPr>
          <w:rFonts w:ascii="Times New Roman" w:hAnsi="Times New Roman" w:cs="Times New Roman"/>
        </w:rPr>
        <w:t>was</w:t>
      </w:r>
      <w:r w:rsidR="00274CB1" w:rsidRPr="00BC7BB5">
        <w:rPr>
          <w:rFonts w:ascii="Times New Roman" w:hAnsi="Times New Roman" w:cs="Times New Roman"/>
        </w:rPr>
        <w:t xml:space="preserve"> </w:t>
      </w:r>
      <w:r w:rsidR="00BA162B">
        <w:rPr>
          <w:rFonts w:ascii="Times New Roman" w:hAnsi="Times New Roman" w:cs="Times New Roman"/>
        </w:rPr>
        <w:t>9.3</w:t>
      </w:r>
      <w:r w:rsidR="00274CB1" w:rsidRPr="00BC7BB5">
        <w:rPr>
          <w:rFonts w:ascii="Times New Roman" w:hAnsi="Times New Roman" w:cs="Times New Roman"/>
        </w:rPr>
        <w:t xml:space="preserve"> percent </w:t>
      </w:r>
      <w:r w:rsidR="00BA162B">
        <w:rPr>
          <w:rFonts w:ascii="Times New Roman" w:hAnsi="Times New Roman" w:cs="Times New Roman"/>
        </w:rPr>
        <w:t>in the second quarter of calendar year 2017</w:t>
      </w:r>
      <w:r w:rsidR="00274CB1" w:rsidRPr="00BC7BB5">
        <w:rPr>
          <w:rFonts w:ascii="Times New Roman" w:hAnsi="Times New Roman" w:cs="Times New Roman"/>
        </w:rPr>
        <w:t xml:space="preserve">, it reached </w:t>
      </w:r>
      <w:r w:rsidR="00BA162B">
        <w:rPr>
          <w:rFonts w:ascii="Times New Roman" w:hAnsi="Times New Roman" w:cs="Times New Roman"/>
          <w:shd w:val="clear" w:color="auto" w:fill="FFFFFF" w:themeFill="background1"/>
        </w:rPr>
        <w:t>23.5</w:t>
      </w:r>
      <w:r w:rsidR="00274CB1" w:rsidRPr="00BA162B">
        <w:rPr>
          <w:rFonts w:ascii="Times New Roman" w:hAnsi="Times New Roman" w:cs="Times New Roman"/>
          <w:shd w:val="clear" w:color="auto" w:fill="FFFFFF" w:themeFill="background1"/>
        </w:rPr>
        <w:t xml:space="preserve"> percent</w:t>
      </w:r>
      <w:r w:rsidR="00274CB1" w:rsidRPr="00BC7BB5">
        <w:rPr>
          <w:rFonts w:ascii="Times New Roman" w:hAnsi="Times New Roman" w:cs="Times New Roman"/>
        </w:rPr>
        <w:t xml:space="preserve"> among the youth. </w:t>
      </w:r>
      <w:r w:rsidR="00B77922" w:rsidRPr="00BC7BB5">
        <w:rPr>
          <w:rFonts w:ascii="Times New Roman" w:hAnsi="Times New Roman" w:cs="Times New Roman"/>
        </w:rPr>
        <w:t>Furthermore, Morocco has one of the lowest share</w:t>
      </w:r>
      <w:r w:rsidR="00645015" w:rsidRPr="00BC7BB5">
        <w:rPr>
          <w:rFonts w:ascii="Times New Roman" w:hAnsi="Times New Roman" w:cs="Times New Roman"/>
        </w:rPr>
        <w:t>s</w:t>
      </w:r>
      <w:r w:rsidR="00B77922" w:rsidRPr="00BC7BB5">
        <w:rPr>
          <w:rFonts w:ascii="Times New Roman" w:hAnsi="Times New Roman" w:cs="Times New Roman"/>
        </w:rPr>
        <w:t xml:space="preserve"> of female labor market participation globally, with less than one-quarter of working-age women active </w:t>
      </w:r>
      <w:r w:rsidR="00A031B8">
        <w:rPr>
          <w:rFonts w:ascii="Times New Roman" w:hAnsi="Times New Roman" w:cs="Times New Roman"/>
        </w:rPr>
        <w:t>i</w:t>
      </w:r>
      <w:r w:rsidR="00A031B8" w:rsidRPr="00BC7BB5">
        <w:rPr>
          <w:rFonts w:ascii="Times New Roman" w:hAnsi="Times New Roman" w:cs="Times New Roman"/>
        </w:rPr>
        <w:t xml:space="preserve">n </w:t>
      </w:r>
      <w:r w:rsidR="00B77922" w:rsidRPr="00BC7BB5">
        <w:rPr>
          <w:rFonts w:ascii="Times New Roman" w:hAnsi="Times New Roman" w:cs="Times New Roman"/>
        </w:rPr>
        <w:t xml:space="preserve">the labor market. </w:t>
      </w:r>
      <w:r w:rsidR="00484B02" w:rsidRPr="00BC7BB5">
        <w:rPr>
          <w:rFonts w:ascii="Times New Roman" w:hAnsi="Times New Roman" w:cs="Times New Roman"/>
        </w:rPr>
        <w:t>With regards to income levels, t</w:t>
      </w:r>
      <w:r w:rsidR="00AA109E" w:rsidRPr="00BC7BB5">
        <w:rPr>
          <w:rFonts w:ascii="Times New Roman" w:hAnsi="Times New Roman" w:cs="Times New Roman"/>
        </w:rPr>
        <w:t xml:space="preserve">he gap between urban and rural living standards is amongst the highest in </w:t>
      </w:r>
      <w:r w:rsidR="00735D36">
        <w:rPr>
          <w:rFonts w:ascii="Times New Roman" w:hAnsi="Times New Roman" w:cs="Times New Roman"/>
        </w:rPr>
        <w:t>Middle East and North Africa (</w:t>
      </w:r>
      <w:r w:rsidR="00AA109E" w:rsidRPr="00BC7BB5">
        <w:rPr>
          <w:rFonts w:ascii="Times New Roman" w:hAnsi="Times New Roman" w:cs="Times New Roman"/>
        </w:rPr>
        <w:t>MENA</w:t>
      </w:r>
      <w:r w:rsidR="00735D36">
        <w:rPr>
          <w:rFonts w:ascii="Times New Roman" w:hAnsi="Times New Roman" w:cs="Times New Roman"/>
        </w:rPr>
        <w:t>)</w:t>
      </w:r>
      <w:r w:rsidR="00730643" w:rsidRPr="00BC7BB5">
        <w:rPr>
          <w:rFonts w:ascii="Times New Roman" w:hAnsi="Times New Roman" w:cs="Times New Roman"/>
        </w:rPr>
        <w:fldChar w:fldCharType="begin"/>
      </w:r>
      <w:r w:rsidR="00730643" w:rsidRPr="00BC7BB5">
        <w:instrText xml:space="preserve"> XE "</w:instrText>
      </w:r>
      <w:r w:rsidR="00730643" w:rsidRPr="00BC7BB5">
        <w:rPr>
          <w:rFonts w:ascii="Times New Roman" w:hAnsi="Times New Roman" w:cs="Times New Roman"/>
        </w:rPr>
        <w:instrText>MENA:</w:instrText>
      </w:r>
      <w:r w:rsidR="00730643" w:rsidRPr="00BC7BB5">
        <w:instrText xml:space="preserve">Middle East and North Africa" </w:instrText>
      </w:r>
      <w:r w:rsidR="00730643" w:rsidRPr="00BC7BB5">
        <w:rPr>
          <w:rFonts w:ascii="Times New Roman" w:hAnsi="Times New Roman" w:cs="Times New Roman"/>
        </w:rPr>
        <w:fldChar w:fldCharType="end"/>
      </w:r>
      <w:r w:rsidR="00AA109E" w:rsidRPr="00BC7BB5">
        <w:rPr>
          <w:rFonts w:ascii="Times New Roman" w:hAnsi="Times New Roman" w:cs="Times New Roman"/>
        </w:rPr>
        <w:t xml:space="preserve">. </w:t>
      </w:r>
      <w:r w:rsidR="008577B3" w:rsidRPr="00BC7BB5">
        <w:rPr>
          <w:rFonts w:ascii="Times New Roman" w:hAnsi="Times New Roman" w:cs="Times New Roman"/>
        </w:rPr>
        <w:t>Although 40 percent of the population lives</w:t>
      </w:r>
      <w:r w:rsidR="00AA109E" w:rsidRPr="00BC7BB5">
        <w:rPr>
          <w:rFonts w:ascii="Times New Roman" w:hAnsi="Times New Roman" w:cs="Times New Roman"/>
        </w:rPr>
        <w:t xml:space="preserve"> in rural areas, </w:t>
      </w:r>
      <w:r w:rsidR="008577B3" w:rsidRPr="00BC7BB5">
        <w:rPr>
          <w:rFonts w:ascii="Times New Roman" w:hAnsi="Times New Roman" w:cs="Times New Roman"/>
        </w:rPr>
        <w:t>rural dwellers account for 79 percent</w:t>
      </w:r>
      <w:r w:rsidR="00AA109E" w:rsidRPr="00BC7BB5">
        <w:rPr>
          <w:rFonts w:ascii="Times New Roman" w:hAnsi="Times New Roman" w:cs="Times New Roman"/>
        </w:rPr>
        <w:t xml:space="preserve"> o</w:t>
      </w:r>
      <w:r w:rsidR="008577B3" w:rsidRPr="00BC7BB5">
        <w:rPr>
          <w:rFonts w:ascii="Times New Roman" w:hAnsi="Times New Roman" w:cs="Times New Roman"/>
        </w:rPr>
        <w:t>f the 1.6 million poor and 62 percent</w:t>
      </w:r>
      <w:r w:rsidR="00AA109E" w:rsidRPr="00BC7BB5">
        <w:rPr>
          <w:rFonts w:ascii="Times New Roman" w:hAnsi="Times New Roman" w:cs="Times New Roman"/>
        </w:rPr>
        <w:t xml:space="preserve"> of the 5.4 million vulnerable </w:t>
      </w:r>
      <w:r w:rsidR="008577B3" w:rsidRPr="00BC7BB5">
        <w:rPr>
          <w:rFonts w:ascii="Times New Roman" w:hAnsi="Times New Roman" w:cs="Times New Roman"/>
        </w:rPr>
        <w:t>(</w:t>
      </w:r>
      <w:r w:rsidR="004F339B" w:rsidRPr="00C37850">
        <w:rPr>
          <w:rFonts w:ascii="Times New Roman" w:hAnsi="Times New Roman" w:cs="Times New Roman"/>
          <w:i/>
        </w:rPr>
        <w:t>Haut Commissariat au Plan</w:t>
      </w:r>
      <w:r w:rsidR="00A031B8" w:rsidRPr="00C37850">
        <w:rPr>
          <w:rFonts w:ascii="Times New Roman" w:hAnsi="Times New Roman" w:cs="Times New Roman"/>
          <w:i/>
        </w:rPr>
        <w:t xml:space="preserve"> (HCP)</w:t>
      </w:r>
      <w:r w:rsidR="008577B3" w:rsidRPr="00BC7BB5">
        <w:rPr>
          <w:rFonts w:ascii="Times New Roman" w:hAnsi="Times New Roman" w:cs="Times New Roman"/>
        </w:rPr>
        <w:t xml:space="preserve">, </w:t>
      </w:r>
      <w:r w:rsidR="00AA109E" w:rsidRPr="00BC7BB5">
        <w:rPr>
          <w:rFonts w:ascii="Times New Roman" w:hAnsi="Times New Roman" w:cs="Times New Roman"/>
        </w:rPr>
        <w:t>2014</w:t>
      </w:r>
      <w:r w:rsidR="008577B3" w:rsidRPr="00BC7BB5">
        <w:rPr>
          <w:rFonts w:ascii="Times New Roman" w:hAnsi="Times New Roman" w:cs="Times New Roman"/>
        </w:rPr>
        <w:t>)</w:t>
      </w:r>
      <w:r w:rsidR="00AA109E" w:rsidRPr="00BC7BB5">
        <w:rPr>
          <w:rFonts w:ascii="Times New Roman" w:hAnsi="Times New Roman" w:cs="Times New Roman"/>
        </w:rPr>
        <w:t xml:space="preserve">. </w:t>
      </w:r>
    </w:p>
    <w:p w14:paraId="6CC4C169" w14:textId="77777777" w:rsidR="00A55C01" w:rsidRPr="00BC7BB5" w:rsidRDefault="00A55C01" w:rsidP="00BE76F9">
      <w:pPr>
        <w:pStyle w:val="NoSpacing"/>
        <w:ind w:left="60"/>
        <w:jc w:val="both"/>
        <w:rPr>
          <w:rFonts w:ascii="Times New Roman" w:hAnsi="Times New Roman" w:cs="Times New Roman"/>
        </w:rPr>
      </w:pPr>
    </w:p>
    <w:p w14:paraId="0652483D" w14:textId="78E5F14D" w:rsidR="00FA0BEB" w:rsidRPr="00BC7BB5" w:rsidRDefault="00FA0BEB" w:rsidP="004C7AEF">
      <w:pPr>
        <w:pStyle w:val="NoSpacing"/>
        <w:ind w:left="360"/>
        <w:rPr>
          <w:rFonts w:ascii="Times New Roman" w:hAnsi="Times New Roman" w:cs="Times New Roman"/>
        </w:rPr>
      </w:pPr>
    </w:p>
    <w:p w14:paraId="53B2A189" w14:textId="76BC9094" w:rsidR="004E4895" w:rsidRPr="00BC7BB5" w:rsidRDefault="001D2940" w:rsidP="00B35A06">
      <w:pPr>
        <w:pStyle w:val="NoSpacing"/>
        <w:numPr>
          <w:ilvl w:val="0"/>
          <w:numId w:val="1"/>
        </w:numPr>
        <w:ind w:left="0" w:firstLine="0"/>
        <w:outlineLvl w:val="1"/>
        <w:rPr>
          <w:rFonts w:ascii="Times New Roman Bold" w:hAnsi="Times New Roman Bold" w:cs="Times New Roman"/>
          <w:b/>
          <w:smallCaps/>
        </w:rPr>
      </w:pPr>
      <w:r w:rsidRPr="00BC7BB5">
        <w:rPr>
          <w:rFonts w:ascii="Times New Roman Bold" w:hAnsi="Times New Roman Bold" w:cs="Times New Roman"/>
          <w:b/>
          <w:smallCaps/>
        </w:rPr>
        <w:t xml:space="preserve"> </w:t>
      </w:r>
      <w:bookmarkStart w:id="3" w:name="_Toc499113392"/>
      <w:r w:rsidR="00AB39CC" w:rsidRPr="00BC7BB5">
        <w:rPr>
          <w:rFonts w:ascii="Times New Roman Bold" w:hAnsi="Times New Roman Bold" w:cs="Times New Roman"/>
          <w:b/>
          <w:smallCaps/>
        </w:rPr>
        <w:t>Sectoral</w:t>
      </w:r>
      <w:r w:rsidRPr="00BC7BB5">
        <w:rPr>
          <w:rFonts w:ascii="Times New Roman Bold" w:hAnsi="Times New Roman Bold" w:cs="Times New Roman"/>
          <w:b/>
          <w:smallCaps/>
        </w:rPr>
        <w:t xml:space="preserve"> and Institutional Context</w:t>
      </w:r>
      <w:bookmarkEnd w:id="3"/>
      <w:r w:rsidRPr="00BC7BB5">
        <w:rPr>
          <w:rFonts w:ascii="Times New Roman Bold" w:hAnsi="Times New Roman Bold" w:cs="Times New Roman"/>
          <w:b/>
          <w:smallCaps/>
        </w:rPr>
        <w:t xml:space="preserve"> </w:t>
      </w:r>
    </w:p>
    <w:p w14:paraId="7C26ACBD" w14:textId="77777777" w:rsidR="009B66BF" w:rsidRPr="00BC7BB5" w:rsidRDefault="009B66BF" w:rsidP="009B66BF">
      <w:pPr>
        <w:pStyle w:val="NoSpacing"/>
        <w:ind w:left="810"/>
        <w:rPr>
          <w:rFonts w:ascii="Times New Roman" w:hAnsi="Times New Roman" w:cs="Times New Roman"/>
        </w:rPr>
      </w:pPr>
    </w:p>
    <w:p w14:paraId="65F05AE8" w14:textId="41A17E46" w:rsidR="00A55C01" w:rsidRPr="00BC7BB5" w:rsidRDefault="00F80591" w:rsidP="003A67FC">
      <w:pPr>
        <w:pStyle w:val="NoSpacing"/>
        <w:jc w:val="both"/>
        <w:rPr>
          <w:rFonts w:ascii="Times New Roman" w:hAnsi="Times New Roman" w:cs="Times New Roman"/>
          <w:b/>
          <w:i/>
        </w:rPr>
      </w:pPr>
      <w:r w:rsidRPr="00BC7BB5">
        <w:rPr>
          <w:rFonts w:ascii="Times New Roman" w:hAnsi="Times New Roman" w:cs="Times New Roman"/>
          <w:b/>
          <w:i/>
        </w:rPr>
        <w:t>Contribution of the agri-food sector to inclusive growth</w:t>
      </w:r>
    </w:p>
    <w:p w14:paraId="6B762B0E" w14:textId="77777777" w:rsidR="00F80591" w:rsidRPr="00BC7BB5" w:rsidRDefault="00F80591" w:rsidP="0040416B">
      <w:pPr>
        <w:pStyle w:val="NoSpacing"/>
        <w:ind w:left="360"/>
        <w:jc w:val="both"/>
        <w:rPr>
          <w:rFonts w:ascii="Times New Roman" w:hAnsi="Times New Roman" w:cs="Times New Roman"/>
          <w:b/>
        </w:rPr>
      </w:pPr>
    </w:p>
    <w:p w14:paraId="2B49BC6C" w14:textId="726A1A57" w:rsidR="00A55C01" w:rsidRPr="00BC7BB5" w:rsidRDefault="001C6FE0" w:rsidP="00B35A06">
      <w:pPr>
        <w:pStyle w:val="NoSpacing"/>
        <w:numPr>
          <w:ilvl w:val="0"/>
          <w:numId w:val="7"/>
        </w:numPr>
        <w:ind w:left="0" w:firstLine="0"/>
        <w:jc w:val="both"/>
        <w:rPr>
          <w:rFonts w:ascii="Times New Roman" w:hAnsi="Times New Roman" w:cs="Times New Roman"/>
        </w:rPr>
      </w:pPr>
      <w:r w:rsidRPr="00BC7BB5">
        <w:rPr>
          <w:rFonts w:ascii="Times New Roman" w:hAnsi="Times New Roman" w:cs="Times New Roman"/>
          <w:b/>
        </w:rPr>
        <w:t>T</w:t>
      </w:r>
      <w:r w:rsidR="00A55C01" w:rsidRPr="00BC7BB5">
        <w:rPr>
          <w:rFonts w:ascii="Times New Roman" w:hAnsi="Times New Roman" w:cs="Times New Roman"/>
          <w:b/>
        </w:rPr>
        <w:t xml:space="preserve">he </w:t>
      </w:r>
      <w:r w:rsidRPr="00BC7BB5">
        <w:rPr>
          <w:rFonts w:ascii="Times New Roman" w:hAnsi="Times New Roman" w:cs="Times New Roman"/>
          <w:b/>
        </w:rPr>
        <w:t>agriculture</w:t>
      </w:r>
      <w:r w:rsidR="00A55C01" w:rsidRPr="00BC7BB5">
        <w:rPr>
          <w:rFonts w:ascii="Times New Roman" w:hAnsi="Times New Roman" w:cs="Times New Roman"/>
          <w:b/>
        </w:rPr>
        <w:t xml:space="preserve"> sector will play a fundamental role in ensuring sustainable and inclusive growth in the future.</w:t>
      </w:r>
      <w:r w:rsidR="00A55C01" w:rsidRPr="00BC7BB5">
        <w:rPr>
          <w:rFonts w:ascii="Times New Roman" w:hAnsi="Times New Roman" w:cs="Times New Roman"/>
        </w:rPr>
        <w:t xml:space="preserve"> </w:t>
      </w:r>
      <w:r w:rsidRPr="00BC7BB5">
        <w:rPr>
          <w:rFonts w:ascii="Times New Roman" w:hAnsi="Times New Roman" w:cs="Times New Roman"/>
        </w:rPr>
        <w:t xml:space="preserve">First, </w:t>
      </w:r>
      <w:r w:rsidR="00A55C01" w:rsidRPr="00BC7BB5">
        <w:rPr>
          <w:rFonts w:ascii="Times New Roman" w:hAnsi="Times New Roman" w:cs="Times New Roman"/>
        </w:rPr>
        <w:t xml:space="preserve">Morocco’s GDP growth is strongly correlated with that of agriculture GDP. Agriculture was the fastest growing economic sector from 2000 to </w:t>
      </w:r>
      <w:r w:rsidR="00A55C01" w:rsidRPr="001D1FDF">
        <w:rPr>
          <w:rFonts w:ascii="Times New Roman" w:hAnsi="Times New Roman" w:cs="Times New Roman"/>
        </w:rPr>
        <w:t>2015</w:t>
      </w:r>
      <w:r w:rsidR="00A55C01" w:rsidRPr="00BC7BB5">
        <w:rPr>
          <w:rFonts w:ascii="Times New Roman" w:hAnsi="Times New Roman" w:cs="Times New Roman"/>
        </w:rPr>
        <w:t xml:space="preserve">, and the share of agriculture in Morocco’s GDP has fallen very slowly </w:t>
      </w:r>
      <w:r w:rsidR="0033330F" w:rsidRPr="00BC7BB5">
        <w:rPr>
          <w:rFonts w:ascii="Times New Roman" w:hAnsi="Times New Roman" w:cs="Times New Roman"/>
        </w:rPr>
        <w:t xml:space="preserve">remaining at 15 percent in </w:t>
      </w:r>
      <w:r w:rsidR="0033330F" w:rsidRPr="001D1FDF">
        <w:rPr>
          <w:rFonts w:ascii="Times New Roman" w:hAnsi="Times New Roman" w:cs="Times New Roman"/>
        </w:rPr>
        <w:t>2015</w:t>
      </w:r>
      <w:r w:rsidR="00A55C01" w:rsidRPr="00BC7BB5">
        <w:rPr>
          <w:rFonts w:ascii="Times New Roman" w:hAnsi="Times New Roman" w:cs="Times New Roman"/>
        </w:rPr>
        <w:t xml:space="preserve">. </w:t>
      </w:r>
      <w:r w:rsidRPr="00BC7BB5">
        <w:rPr>
          <w:rFonts w:ascii="Times New Roman" w:hAnsi="Times New Roman" w:cs="Times New Roman"/>
        </w:rPr>
        <w:t>Second, agricultural exports</w:t>
      </w:r>
      <w:r w:rsidR="00A55C01" w:rsidRPr="00BC7BB5">
        <w:rPr>
          <w:rFonts w:ascii="Times New Roman" w:hAnsi="Times New Roman" w:cs="Times New Roman"/>
        </w:rPr>
        <w:t xml:space="preserve"> represented</w:t>
      </w:r>
      <w:r w:rsidR="00B61A44" w:rsidRPr="00BC7BB5">
        <w:rPr>
          <w:rFonts w:ascii="Times New Roman" w:hAnsi="Times New Roman" w:cs="Times New Roman"/>
        </w:rPr>
        <w:t xml:space="preserve"> 23 percent of total exports</w:t>
      </w:r>
      <w:r w:rsidRPr="00BC7BB5">
        <w:rPr>
          <w:rFonts w:ascii="Times New Roman" w:hAnsi="Times New Roman" w:cs="Times New Roman"/>
        </w:rPr>
        <w:t xml:space="preserve"> in </w:t>
      </w:r>
      <w:r w:rsidR="001D1FDF" w:rsidRPr="001D1FDF">
        <w:rPr>
          <w:rFonts w:ascii="Times New Roman" w:hAnsi="Times New Roman" w:cs="Times New Roman"/>
        </w:rPr>
        <w:t>2016</w:t>
      </w:r>
      <w:r w:rsidRPr="00BC7BB5">
        <w:rPr>
          <w:rFonts w:ascii="Times New Roman" w:hAnsi="Times New Roman" w:cs="Times New Roman"/>
        </w:rPr>
        <w:t xml:space="preserve">. Third, the agriculture sector is </w:t>
      </w:r>
      <w:r w:rsidR="004614C0" w:rsidRPr="00BC7BB5">
        <w:rPr>
          <w:rFonts w:ascii="Times New Roman" w:hAnsi="Times New Roman" w:cs="Times New Roman"/>
        </w:rPr>
        <w:t xml:space="preserve">the first employer </w:t>
      </w:r>
      <w:r w:rsidRPr="00BC7BB5">
        <w:rPr>
          <w:rFonts w:ascii="Times New Roman" w:hAnsi="Times New Roman" w:cs="Times New Roman"/>
        </w:rPr>
        <w:t xml:space="preserve">in Morocco, </w:t>
      </w:r>
      <w:r w:rsidR="004614C0" w:rsidRPr="00BC7BB5">
        <w:rPr>
          <w:rFonts w:ascii="Times New Roman" w:hAnsi="Times New Roman" w:cs="Times New Roman"/>
        </w:rPr>
        <w:t xml:space="preserve">representing </w:t>
      </w:r>
      <w:r w:rsidR="00D762A2" w:rsidRPr="00BC7BB5">
        <w:rPr>
          <w:rFonts w:ascii="Times New Roman" w:hAnsi="Times New Roman" w:cs="Times New Roman"/>
        </w:rPr>
        <w:t xml:space="preserve">41 percent of </w:t>
      </w:r>
      <w:r w:rsidR="008F788C" w:rsidRPr="00BC7BB5">
        <w:rPr>
          <w:rFonts w:ascii="Times New Roman" w:hAnsi="Times New Roman" w:cs="Times New Roman"/>
        </w:rPr>
        <w:t xml:space="preserve">total </w:t>
      </w:r>
      <w:r w:rsidR="00D762A2" w:rsidRPr="00BC7BB5">
        <w:rPr>
          <w:rFonts w:ascii="Times New Roman" w:hAnsi="Times New Roman" w:cs="Times New Roman"/>
        </w:rPr>
        <w:t>employment</w:t>
      </w:r>
      <w:r w:rsidR="004614C0" w:rsidRPr="00BC7BB5">
        <w:rPr>
          <w:rFonts w:ascii="Times New Roman" w:hAnsi="Times New Roman" w:cs="Times New Roman"/>
        </w:rPr>
        <w:t xml:space="preserve"> (an estimated 4 million people)</w:t>
      </w:r>
      <w:r w:rsidR="00D762A2" w:rsidRPr="00BC7BB5">
        <w:rPr>
          <w:rFonts w:ascii="Times New Roman" w:hAnsi="Times New Roman" w:cs="Times New Roman"/>
        </w:rPr>
        <w:t xml:space="preserve"> </w:t>
      </w:r>
      <w:r w:rsidR="00B61A44" w:rsidRPr="00BC7BB5">
        <w:rPr>
          <w:rFonts w:ascii="Times New Roman" w:hAnsi="Times New Roman" w:cs="Times New Roman"/>
        </w:rPr>
        <w:t xml:space="preserve">and </w:t>
      </w:r>
      <w:r w:rsidR="00A55C01" w:rsidRPr="00BC7BB5">
        <w:rPr>
          <w:rFonts w:ascii="Times New Roman" w:hAnsi="Times New Roman" w:cs="Times New Roman"/>
        </w:rPr>
        <w:t xml:space="preserve">85 percent </w:t>
      </w:r>
      <w:r w:rsidR="00B61A44" w:rsidRPr="00BC7BB5">
        <w:rPr>
          <w:rFonts w:ascii="Times New Roman" w:hAnsi="Times New Roman" w:cs="Times New Roman"/>
        </w:rPr>
        <w:t xml:space="preserve">of employment </w:t>
      </w:r>
      <w:r w:rsidR="00A55C01" w:rsidRPr="00BC7BB5">
        <w:rPr>
          <w:rFonts w:ascii="Times New Roman" w:hAnsi="Times New Roman" w:cs="Times New Roman"/>
        </w:rPr>
        <w:t xml:space="preserve">in rural areas. Women actively engage in agriculture, with 57 percent of the female population participating in agricultural work. The pace, quality and sustainability of transformation of the </w:t>
      </w:r>
      <w:r w:rsidRPr="00BC7BB5">
        <w:rPr>
          <w:rFonts w:ascii="Times New Roman" w:hAnsi="Times New Roman" w:cs="Times New Roman"/>
        </w:rPr>
        <w:t>agriculture</w:t>
      </w:r>
      <w:r w:rsidR="00A55C01" w:rsidRPr="00BC7BB5">
        <w:rPr>
          <w:rFonts w:ascii="Times New Roman" w:hAnsi="Times New Roman" w:cs="Times New Roman"/>
        </w:rPr>
        <w:t xml:space="preserve"> sector will therefore have a direct impact on the country’s key socio-economic development challenges.</w:t>
      </w:r>
    </w:p>
    <w:p w14:paraId="0A42339F" w14:textId="77777777" w:rsidR="00E26601" w:rsidRPr="00BC7BB5" w:rsidRDefault="00E26601" w:rsidP="00E26601">
      <w:pPr>
        <w:pStyle w:val="NoSpacing"/>
        <w:ind w:left="420"/>
        <w:jc w:val="both"/>
        <w:rPr>
          <w:rFonts w:ascii="Times New Roman" w:hAnsi="Times New Roman" w:cs="Times New Roman"/>
        </w:rPr>
      </w:pPr>
    </w:p>
    <w:p w14:paraId="124EBEE6" w14:textId="2D1C6037" w:rsidR="006B2EE4" w:rsidRPr="00BC7BB5" w:rsidRDefault="009C1A41" w:rsidP="00B35A06">
      <w:pPr>
        <w:pStyle w:val="NoSpacing"/>
        <w:numPr>
          <w:ilvl w:val="0"/>
          <w:numId w:val="7"/>
        </w:numPr>
        <w:ind w:left="0" w:firstLine="0"/>
        <w:jc w:val="both"/>
        <w:rPr>
          <w:rFonts w:ascii="Times New Roman" w:hAnsi="Times New Roman" w:cs="Times New Roman"/>
        </w:rPr>
      </w:pPr>
      <w:r w:rsidRPr="00BC7BB5">
        <w:rPr>
          <w:rFonts w:ascii="Times New Roman" w:hAnsi="Times New Roman" w:cs="Times New Roman"/>
          <w:b/>
        </w:rPr>
        <w:t xml:space="preserve">The </w:t>
      </w:r>
      <w:r w:rsidR="00D058EA" w:rsidRPr="00BC7BB5">
        <w:rPr>
          <w:rFonts w:ascii="Times New Roman" w:hAnsi="Times New Roman" w:cs="Times New Roman"/>
          <w:b/>
        </w:rPr>
        <w:t>growth</w:t>
      </w:r>
      <w:r w:rsidRPr="00BC7BB5">
        <w:rPr>
          <w:rFonts w:ascii="Times New Roman" w:hAnsi="Times New Roman" w:cs="Times New Roman"/>
          <w:b/>
        </w:rPr>
        <w:t xml:space="preserve"> of the agriculture sector has been strong</w:t>
      </w:r>
      <w:r w:rsidR="00E26601" w:rsidRPr="00BC7BB5">
        <w:rPr>
          <w:rFonts w:ascii="Times New Roman" w:hAnsi="Times New Roman" w:cs="Times New Roman"/>
          <w:b/>
        </w:rPr>
        <w:t xml:space="preserve"> overall</w:t>
      </w:r>
      <w:r w:rsidRPr="00BC7BB5">
        <w:rPr>
          <w:rFonts w:ascii="Times New Roman" w:hAnsi="Times New Roman" w:cs="Times New Roman"/>
        </w:rPr>
        <w:t xml:space="preserve">. </w:t>
      </w:r>
      <w:r w:rsidR="006B2EE4" w:rsidRPr="00BC7BB5">
        <w:rPr>
          <w:rFonts w:ascii="Times New Roman" w:hAnsi="Times New Roman" w:cs="Times New Roman"/>
        </w:rPr>
        <w:t xml:space="preserve">From 2008 to </w:t>
      </w:r>
      <w:r w:rsidR="006B2EE4" w:rsidRPr="001D1FDF">
        <w:rPr>
          <w:rFonts w:ascii="Times New Roman" w:hAnsi="Times New Roman" w:cs="Times New Roman"/>
        </w:rPr>
        <w:t>201</w:t>
      </w:r>
      <w:r w:rsidR="001D1FDF" w:rsidRPr="001D1FDF">
        <w:rPr>
          <w:rFonts w:ascii="Times New Roman" w:hAnsi="Times New Roman" w:cs="Times New Roman"/>
        </w:rPr>
        <w:t>5</w:t>
      </w:r>
      <w:r w:rsidR="006B2EE4" w:rsidRPr="00BC7BB5">
        <w:rPr>
          <w:rFonts w:ascii="Times New Roman" w:hAnsi="Times New Roman" w:cs="Times New Roman"/>
        </w:rPr>
        <w:t xml:space="preserve">, agricultural GDP has increased by </w:t>
      </w:r>
      <w:r w:rsidR="001D1FDF">
        <w:rPr>
          <w:rFonts w:ascii="Times New Roman" w:hAnsi="Times New Roman" w:cs="Times New Roman"/>
        </w:rPr>
        <w:t>5.6</w:t>
      </w:r>
      <w:r w:rsidR="006B2EE4" w:rsidRPr="00BC7BB5">
        <w:rPr>
          <w:rFonts w:ascii="Times New Roman" w:hAnsi="Times New Roman" w:cs="Times New Roman"/>
        </w:rPr>
        <w:t xml:space="preserve"> percent per year compared to 4.</w:t>
      </w:r>
      <w:r w:rsidR="001D1FDF">
        <w:rPr>
          <w:rFonts w:ascii="Times New Roman" w:hAnsi="Times New Roman" w:cs="Times New Roman"/>
        </w:rPr>
        <w:t>5</w:t>
      </w:r>
      <w:r w:rsidR="006B2EE4" w:rsidRPr="00BC7BB5">
        <w:rPr>
          <w:rFonts w:ascii="Times New Roman" w:hAnsi="Times New Roman" w:cs="Times New Roman"/>
        </w:rPr>
        <w:t xml:space="preserve"> percent for the rest of the economy, although </w:t>
      </w:r>
      <w:r w:rsidR="006B2EE4" w:rsidRPr="00BC7BB5">
        <w:rPr>
          <w:rFonts w:ascii="Times New Roman" w:hAnsi="Times New Roman" w:cs="Times New Roman"/>
        </w:rPr>
        <w:lastRenderedPageBreak/>
        <w:t xml:space="preserve">with strong annual variations due to the sector’s vulnerability to climate variability. High agricultural GDP growth has been driven by </w:t>
      </w:r>
      <w:r w:rsidR="001C6FE0" w:rsidRPr="00BC7BB5">
        <w:rPr>
          <w:rFonts w:ascii="Times New Roman" w:hAnsi="Times New Roman" w:cs="Times New Roman"/>
        </w:rPr>
        <w:t xml:space="preserve">a 70 percent </w:t>
      </w:r>
      <w:r w:rsidR="006B2EE4" w:rsidRPr="00BC7BB5">
        <w:rPr>
          <w:rFonts w:ascii="Times New Roman" w:hAnsi="Times New Roman" w:cs="Times New Roman"/>
        </w:rPr>
        <w:t>increase</w:t>
      </w:r>
      <w:r w:rsidR="001C6FE0" w:rsidRPr="00BC7BB5">
        <w:rPr>
          <w:rFonts w:ascii="Times New Roman" w:hAnsi="Times New Roman" w:cs="Times New Roman"/>
        </w:rPr>
        <w:t xml:space="preserve"> in</w:t>
      </w:r>
      <w:r w:rsidR="006B2EE4" w:rsidRPr="00BC7BB5">
        <w:rPr>
          <w:rFonts w:ascii="Times New Roman" w:hAnsi="Times New Roman" w:cs="Times New Roman"/>
        </w:rPr>
        <w:t xml:space="preserve"> agricultural investments </w:t>
      </w:r>
      <w:r w:rsidR="00655AE1" w:rsidRPr="00BC7BB5">
        <w:rPr>
          <w:rFonts w:ascii="Times New Roman" w:hAnsi="Times New Roman" w:cs="Times New Roman"/>
        </w:rPr>
        <w:t xml:space="preserve">while </w:t>
      </w:r>
      <w:r w:rsidR="006B2EE4" w:rsidRPr="00BC7BB5">
        <w:rPr>
          <w:rFonts w:ascii="Times New Roman" w:hAnsi="Times New Roman" w:cs="Times New Roman"/>
        </w:rPr>
        <w:t>agri</w:t>
      </w:r>
      <w:r w:rsidR="00655AE1" w:rsidRPr="00BC7BB5">
        <w:rPr>
          <w:rFonts w:ascii="Times New Roman" w:hAnsi="Times New Roman" w:cs="Times New Roman"/>
        </w:rPr>
        <w:t>cultural</w:t>
      </w:r>
      <w:r w:rsidR="006B2EE4" w:rsidRPr="00BC7BB5">
        <w:rPr>
          <w:rFonts w:ascii="Times New Roman" w:hAnsi="Times New Roman" w:cs="Times New Roman"/>
        </w:rPr>
        <w:t xml:space="preserve"> exports </w:t>
      </w:r>
      <w:r w:rsidR="00655AE1" w:rsidRPr="00BC7BB5">
        <w:rPr>
          <w:rFonts w:ascii="Times New Roman" w:hAnsi="Times New Roman" w:cs="Times New Roman"/>
        </w:rPr>
        <w:t>have</w:t>
      </w:r>
      <w:r w:rsidR="006B2EE4" w:rsidRPr="00BC7BB5">
        <w:rPr>
          <w:rFonts w:ascii="Times New Roman" w:hAnsi="Times New Roman" w:cs="Times New Roman"/>
        </w:rPr>
        <w:t xml:space="preserve"> </w:t>
      </w:r>
      <w:r w:rsidR="00655AE1" w:rsidRPr="00BC7BB5">
        <w:rPr>
          <w:rFonts w:ascii="Times New Roman" w:hAnsi="Times New Roman" w:cs="Times New Roman"/>
        </w:rPr>
        <w:t xml:space="preserve">also </w:t>
      </w:r>
      <w:r w:rsidR="006B2EE4" w:rsidRPr="00BC7BB5">
        <w:rPr>
          <w:rFonts w:ascii="Times New Roman" w:hAnsi="Times New Roman" w:cs="Times New Roman"/>
        </w:rPr>
        <w:t>increased by 40 percent in value</w:t>
      </w:r>
      <w:r w:rsidR="00655AE1" w:rsidRPr="00BC7BB5">
        <w:rPr>
          <w:rFonts w:ascii="Times New Roman" w:hAnsi="Times New Roman" w:cs="Times New Roman"/>
        </w:rPr>
        <w:t xml:space="preserve"> during that period</w:t>
      </w:r>
      <w:r w:rsidR="006B2EE4" w:rsidRPr="00BC7BB5">
        <w:rPr>
          <w:rFonts w:ascii="Times New Roman" w:hAnsi="Times New Roman" w:cs="Times New Roman"/>
        </w:rPr>
        <w:t>. Growth projections to 2020 indicate that the agriculture sector has the potential to continue to grow at high rates subject to the continuation of sound reforms and investments (I</w:t>
      </w:r>
      <w:r w:rsidR="00AB1FA5" w:rsidRPr="00BC7BB5">
        <w:rPr>
          <w:rFonts w:ascii="Times New Roman" w:hAnsi="Times New Roman" w:cs="Times New Roman"/>
        </w:rPr>
        <w:t xml:space="preserve">nternational </w:t>
      </w:r>
      <w:r w:rsidR="006B2EE4" w:rsidRPr="00BC7BB5">
        <w:rPr>
          <w:rFonts w:ascii="Times New Roman" w:hAnsi="Times New Roman" w:cs="Times New Roman"/>
        </w:rPr>
        <w:t>M</w:t>
      </w:r>
      <w:r w:rsidR="00AB1FA5" w:rsidRPr="00BC7BB5">
        <w:rPr>
          <w:rFonts w:ascii="Times New Roman" w:hAnsi="Times New Roman" w:cs="Times New Roman"/>
        </w:rPr>
        <w:t xml:space="preserve">onetary </w:t>
      </w:r>
      <w:r w:rsidR="006B2EE4" w:rsidRPr="00BC7BB5">
        <w:rPr>
          <w:rFonts w:ascii="Times New Roman" w:hAnsi="Times New Roman" w:cs="Times New Roman"/>
        </w:rPr>
        <w:t>F</w:t>
      </w:r>
      <w:r w:rsidR="00AB1FA5" w:rsidRPr="00BC7BB5">
        <w:rPr>
          <w:rFonts w:ascii="Times New Roman" w:hAnsi="Times New Roman" w:cs="Times New Roman"/>
        </w:rPr>
        <w:t>und</w:t>
      </w:r>
      <w:r w:rsidR="00730643" w:rsidRPr="00BC7BB5">
        <w:rPr>
          <w:rFonts w:ascii="Times New Roman" w:hAnsi="Times New Roman" w:cs="Times New Roman"/>
        </w:rPr>
        <w:fldChar w:fldCharType="begin"/>
      </w:r>
      <w:r w:rsidR="00730643" w:rsidRPr="00BC7BB5">
        <w:instrText xml:space="preserve"> XE "</w:instrText>
      </w:r>
      <w:r w:rsidR="00730643" w:rsidRPr="00BC7BB5">
        <w:rPr>
          <w:rFonts w:ascii="Times New Roman" w:hAnsi="Times New Roman" w:cs="Times New Roman"/>
        </w:rPr>
        <w:instrText>IMF</w:instrText>
      </w:r>
      <w:r w:rsidR="00730643" w:rsidRPr="00BC7BB5">
        <w:instrText xml:space="preserve">" </w:instrText>
      </w:r>
      <w:r w:rsidR="00730643" w:rsidRPr="00BC7BB5">
        <w:rPr>
          <w:rFonts w:ascii="Times New Roman" w:hAnsi="Times New Roman" w:cs="Times New Roman"/>
        </w:rPr>
        <w:fldChar w:fldCharType="end"/>
      </w:r>
      <w:r w:rsidR="006B2EE4" w:rsidRPr="00BC7BB5">
        <w:rPr>
          <w:rFonts w:ascii="Times New Roman" w:hAnsi="Times New Roman" w:cs="Times New Roman"/>
        </w:rPr>
        <w:t xml:space="preserve">, 2015). </w:t>
      </w:r>
      <w:r w:rsidR="000E1047" w:rsidRPr="00BC7BB5">
        <w:rPr>
          <w:rFonts w:ascii="Times New Roman" w:hAnsi="Times New Roman" w:cs="Times New Roman"/>
        </w:rPr>
        <w:t>T</w:t>
      </w:r>
      <w:r w:rsidR="006B2EE4" w:rsidRPr="00BC7BB5">
        <w:rPr>
          <w:rFonts w:ascii="Times New Roman" w:hAnsi="Times New Roman" w:cs="Times New Roman"/>
        </w:rPr>
        <w:t xml:space="preserve">he </w:t>
      </w:r>
      <w:r w:rsidR="000E1047" w:rsidRPr="00BC7BB5">
        <w:rPr>
          <w:rFonts w:ascii="Times New Roman" w:hAnsi="Times New Roman" w:cs="Times New Roman"/>
        </w:rPr>
        <w:t xml:space="preserve">agriculture </w:t>
      </w:r>
      <w:r w:rsidR="006B2EE4" w:rsidRPr="00BC7BB5">
        <w:rPr>
          <w:rFonts w:ascii="Times New Roman" w:hAnsi="Times New Roman" w:cs="Times New Roman"/>
        </w:rPr>
        <w:t xml:space="preserve">sector has been diversifying towards high-value products </w:t>
      </w:r>
      <w:r w:rsidR="00EB0211" w:rsidRPr="00BC7BB5">
        <w:rPr>
          <w:rFonts w:ascii="Times New Roman" w:hAnsi="Times New Roman" w:cs="Times New Roman"/>
        </w:rPr>
        <w:t>for which</w:t>
      </w:r>
      <w:r w:rsidR="006B2EE4" w:rsidRPr="00BC7BB5">
        <w:rPr>
          <w:rFonts w:ascii="Times New Roman" w:hAnsi="Times New Roman" w:cs="Times New Roman"/>
        </w:rPr>
        <w:t xml:space="preserve"> Morocco </w:t>
      </w:r>
      <w:r w:rsidR="00EB0211" w:rsidRPr="00BC7BB5">
        <w:rPr>
          <w:rFonts w:ascii="Times New Roman" w:hAnsi="Times New Roman" w:cs="Times New Roman"/>
        </w:rPr>
        <w:t>has</w:t>
      </w:r>
      <w:r w:rsidR="006B2EE4" w:rsidRPr="00BC7BB5">
        <w:rPr>
          <w:rFonts w:ascii="Times New Roman" w:hAnsi="Times New Roman" w:cs="Times New Roman"/>
        </w:rPr>
        <w:t xml:space="preserve"> a comparative advantage, </w:t>
      </w:r>
      <w:r w:rsidR="00DA220F" w:rsidRPr="00BC7BB5">
        <w:rPr>
          <w:rFonts w:ascii="Times New Roman" w:hAnsi="Times New Roman" w:cs="Times New Roman"/>
        </w:rPr>
        <w:t>such as</w:t>
      </w:r>
      <w:r w:rsidR="006B2EE4" w:rsidRPr="00BC7BB5">
        <w:rPr>
          <w:rFonts w:ascii="Times New Roman" w:hAnsi="Times New Roman" w:cs="Times New Roman"/>
        </w:rPr>
        <w:t xml:space="preserve"> </w:t>
      </w:r>
      <w:r w:rsidR="00655AE1" w:rsidRPr="00BC7BB5">
        <w:rPr>
          <w:rFonts w:ascii="Times New Roman" w:hAnsi="Times New Roman" w:cs="Times New Roman"/>
        </w:rPr>
        <w:t>horticulture and tree crops (e.g.</w:t>
      </w:r>
      <w:r w:rsidR="00A031B8">
        <w:rPr>
          <w:rFonts w:ascii="Times New Roman" w:hAnsi="Times New Roman" w:cs="Times New Roman"/>
        </w:rPr>
        <w:t>,</w:t>
      </w:r>
      <w:r w:rsidR="00655AE1" w:rsidRPr="00BC7BB5">
        <w:rPr>
          <w:rFonts w:ascii="Times New Roman" w:hAnsi="Times New Roman" w:cs="Times New Roman"/>
        </w:rPr>
        <w:t xml:space="preserve"> citrus)</w:t>
      </w:r>
      <w:r w:rsidR="006B2EE4" w:rsidRPr="00BC7BB5">
        <w:rPr>
          <w:rFonts w:ascii="Times New Roman" w:hAnsi="Times New Roman" w:cs="Times New Roman"/>
        </w:rPr>
        <w:t>, particularly f</w:t>
      </w:r>
      <w:r w:rsidR="00DA220F" w:rsidRPr="00BC7BB5">
        <w:rPr>
          <w:rFonts w:ascii="Times New Roman" w:hAnsi="Times New Roman" w:cs="Times New Roman"/>
        </w:rPr>
        <w:t xml:space="preserve">or </w:t>
      </w:r>
      <w:r w:rsidR="006B2EE4" w:rsidRPr="00BC7BB5">
        <w:rPr>
          <w:rFonts w:ascii="Times New Roman" w:hAnsi="Times New Roman" w:cs="Times New Roman"/>
        </w:rPr>
        <w:t>export</w:t>
      </w:r>
      <w:r w:rsidR="00DA220F" w:rsidRPr="00BC7BB5">
        <w:rPr>
          <w:rFonts w:ascii="Times New Roman" w:hAnsi="Times New Roman" w:cs="Times New Roman"/>
        </w:rPr>
        <w:t>s</w:t>
      </w:r>
      <w:r w:rsidR="006B2EE4" w:rsidRPr="00BC7BB5">
        <w:rPr>
          <w:rFonts w:ascii="Times New Roman" w:hAnsi="Times New Roman" w:cs="Times New Roman"/>
        </w:rPr>
        <w:t xml:space="preserve"> to European and African markets.</w:t>
      </w:r>
      <w:r w:rsidR="00FB4144" w:rsidRPr="00BC7BB5">
        <w:rPr>
          <w:rFonts w:ascii="Times New Roman" w:hAnsi="Times New Roman" w:cs="Times New Roman"/>
        </w:rPr>
        <w:t xml:space="preserve"> Changing consumer </w:t>
      </w:r>
      <w:r w:rsidR="009563F5" w:rsidRPr="00BC7BB5">
        <w:rPr>
          <w:rFonts w:ascii="Times New Roman" w:hAnsi="Times New Roman" w:cs="Times New Roman"/>
        </w:rPr>
        <w:t xml:space="preserve">demand </w:t>
      </w:r>
      <w:r w:rsidR="00FB4144" w:rsidRPr="00BC7BB5">
        <w:rPr>
          <w:rFonts w:ascii="Times New Roman" w:hAnsi="Times New Roman" w:cs="Times New Roman"/>
        </w:rPr>
        <w:t xml:space="preserve">on domestic markets – as </w:t>
      </w:r>
      <w:r w:rsidR="00FA1667" w:rsidRPr="00BC7BB5">
        <w:rPr>
          <w:rFonts w:ascii="Times New Roman" w:hAnsi="Times New Roman" w:cs="Times New Roman"/>
        </w:rPr>
        <w:t xml:space="preserve">urbanization accelerates and </w:t>
      </w:r>
      <w:r w:rsidR="00FB4144" w:rsidRPr="00BC7BB5">
        <w:rPr>
          <w:rFonts w:ascii="Times New Roman" w:hAnsi="Times New Roman" w:cs="Times New Roman"/>
        </w:rPr>
        <w:t xml:space="preserve">diets diversify towards higher-value food products </w:t>
      </w:r>
      <w:r w:rsidR="00655AE1" w:rsidRPr="00BC7BB5">
        <w:rPr>
          <w:rFonts w:ascii="Times New Roman" w:hAnsi="Times New Roman" w:cs="Times New Roman"/>
        </w:rPr>
        <w:t xml:space="preserve">such as fresh and prepared fruit and vegetables </w:t>
      </w:r>
      <w:r w:rsidR="00FB4144" w:rsidRPr="00BC7BB5">
        <w:rPr>
          <w:rFonts w:ascii="Times New Roman" w:hAnsi="Times New Roman" w:cs="Times New Roman"/>
        </w:rPr>
        <w:t xml:space="preserve">– also present opportunities for </w:t>
      </w:r>
      <w:r w:rsidR="0050520B" w:rsidRPr="00BC7BB5">
        <w:rPr>
          <w:rFonts w:ascii="Times New Roman" w:hAnsi="Times New Roman" w:cs="Times New Roman"/>
        </w:rPr>
        <w:t>Moroccan producers</w:t>
      </w:r>
      <w:r w:rsidR="00FB4144" w:rsidRPr="00BC7BB5">
        <w:rPr>
          <w:rFonts w:ascii="Times New Roman" w:hAnsi="Times New Roman" w:cs="Times New Roman"/>
        </w:rPr>
        <w:t>.</w:t>
      </w:r>
    </w:p>
    <w:p w14:paraId="0EA9CD79" w14:textId="77777777" w:rsidR="00FA1667" w:rsidRPr="00BC7BB5" w:rsidRDefault="00FA1667" w:rsidP="00FA1667">
      <w:pPr>
        <w:pStyle w:val="ListParagraph"/>
        <w:spacing w:after="0"/>
        <w:rPr>
          <w:rFonts w:ascii="Times New Roman" w:hAnsi="Times New Roman" w:cs="Times New Roman"/>
        </w:rPr>
      </w:pPr>
    </w:p>
    <w:p w14:paraId="222BAE0B" w14:textId="79BEC390" w:rsidR="00B77922" w:rsidRPr="00BC7BB5" w:rsidRDefault="00FA1667" w:rsidP="00B35A06">
      <w:pPr>
        <w:pStyle w:val="NoSpacing"/>
        <w:numPr>
          <w:ilvl w:val="0"/>
          <w:numId w:val="7"/>
        </w:numPr>
        <w:ind w:left="0" w:firstLine="0"/>
        <w:jc w:val="both"/>
        <w:rPr>
          <w:rFonts w:ascii="Times New Roman" w:hAnsi="Times New Roman" w:cs="Times New Roman"/>
        </w:rPr>
      </w:pPr>
      <w:r w:rsidRPr="00BC7BB5">
        <w:rPr>
          <w:rFonts w:ascii="Times New Roman" w:hAnsi="Times New Roman" w:cs="Times New Roman"/>
          <w:b/>
        </w:rPr>
        <w:t xml:space="preserve">High-value crops (such as </w:t>
      </w:r>
      <w:r w:rsidR="00036375" w:rsidRPr="00BC7BB5">
        <w:rPr>
          <w:rFonts w:ascii="Times New Roman" w:hAnsi="Times New Roman" w:cs="Times New Roman"/>
          <w:b/>
        </w:rPr>
        <w:t>tree crops</w:t>
      </w:r>
      <w:r w:rsidR="005977CE" w:rsidRPr="00BC7BB5">
        <w:rPr>
          <w:rFonts w:ascii="Times New Roman" w:hAnsi="Times New Roman" w:cs="Times New Roman"/>
          <w:b/>
        </w:rPr>
        <w:t xml:space="preserve"> and vegetables</w:t>
      </w:r>
      <w:r w:rsidRPr="00BC7BB5">
        <w:rPr>
          <w:rFonts w:ascii="Times New Roman" w:hAnsi="Times New Roman" w:cs="Times New Roman"/>
          <w:b/>
        </w:rPr>
        <w:t xml:space="preserve">) </w:t>
      </w:r>
      <w:r w:rsidR="00036375" w:rsidRPr="00BC7BB5">
        <w:rPr>
          <w:rFonts w:ascii="Times New Roman" w:hAnsi="Times New Roman" w:cs="Times New Roman"/>
          <w:b/>
        </w:rPr>
        <w:t>have been driving sector growth</w:t>
      </w:r>
      <w:r w:rsidRPr="00BC7BB5">
        <w:rPr>
          <w:rFonts w:ascii="Times New Roman" w:hAnsi="Times New Roman" w:cs="Times New Roman"/>
          <w:b/>
        </w:rPr>
        <w:t>.</w:t>
      </w:r>
      <w:r w:rsidRPr="00BC7BB5">
        <w:rPr>
          <w:rFonts w:ascii="Times New Roman" w:hAnsi="Times New Roman" w:cs="Times New Roman"/>
        </w:rPr>
        <w:t xml:space="preserve"> </w:t>
      </w:r>
      <w:r w:rsidR="00036375" w:rsidRPr="00BC7BB5">
        <w:rPr>
          <w:rFonts w:ascii="Times New Roman" w:hAnsi="Times New Roman" w:cs="Times New Roman"/>
        </w:rPr>
        <w:t xml:space="preserve">Approximately 64 percent of agricultural growth since 2008 was driven by high-value, export oriented sub-sectors, including horticulture, citrus and other tree crops (citrus experienced the highest growth rate at 12 percent per year on average). </w:t>
      </w:r>
      <w:r w:rsidR="00135ADD" w:rsidRPr="00BC7BB5">
        <w:rPr>
          <w:rFonts w:ascii="Times New Roman" w:hAnsi="Times New Roman" w:cs="Times New Roman"/>
        </w:rPr>
        <w:t>Th</w:t>
      </w:r>
      <w:r w:rsidR="00655AE1" w:rsidRPr="00BC7BB5">
        <w:rPr>
          <w:rFonts w:ascii="Times New Roman" w:hAnsi="Times New Roman" w:cs="Times New Roman"/>
        </w:rPr>
        <w:t xml:space="preserve">e Government’s agricultural sector strategy, the </w:t>
      </w:r>
      <w:r w:rsidR="00655AE1" w:rsidRPr="00BC7BB5">
        <w:rPr>
          <w:rFonts w:ascii="Times New Roman" w:hAnsi="Times New Roman" w:cs="Times New Roman"/>
          <w:i/>
        </w:rPr>
        <w:t xml:space="preserve">Plan Maroc </w:t>
      </w:r>
      <w:r w:rsidR="00BA1160" w:rsidRPr="00BC7BB5">
        <w:rPr>
          <w:rFonts w:ascii="Times New Roman" w:hAnsi="Times New Roman" w:cs="Times New Roman"/>
          <w:i/>
        </w:rPr>
        <w:t>V</w:t>
      </w:r>
      <w:r w:rsidR="00655AE1" w:rsidRPr="00BC7BB5">
        <w:rPr>
          <w:rFonts w:ascii="Times New Roman" w:hAnsi="Times New Roman" w:cs="Times New Roman"/>
          <w:i/>
        </w:rPr>
        <w:t>ert</w:t>
      </w:r>
      <w:r w:rsidR="00BA1160" w:rsidRPr="00BC7BB5">
        <w:rPr>
          <w:rFonts w:ascii="Times New Roman" w:hAnsi="Times New Roman" w:cs="Times New Roman"/>
          <w:i/>
        </w:rPr>
        <w:t xml:space="preserve"> </w:t>
      </w:r>
      <w:r w:rsidR="00BA1160" w:rsidRPr="00BC7BB5">
        <w:rPr>
          <w:rFonts w:ascii="Times New Roman" w:hAnsi="Times New Roman" w:cs="Times New Roman"/>
        </w:rPr>
        <w:t>(PMV</w:t>
      </w:r>
      <w:r w:rsidR="00A031B8">
        <w:rPr>
          <w:rFonts w:ascii="Times New Roman" w:hAnsi="Times New Roman" w:cs="Times New Roman"/>
        </w:rPr>
        <w:t>, Green Morocco Plan</w:t>
      </w:r>
      <w:r w:rsidR="00627E46">
        <w:rPr>
          <w:rFonts w:ascii="Times New Roman" w:hAnsi="Times New Roman" w:cs="Times New Roman"/>
        </w:rPr>
        <w:fldChar w:fldCharType="begin"/>
      </w:r>
      <w:r w:rsidR="00627E46">
        <w:instrText xml:space="preserve"> XE "</w:instrText>
      </w:r>
      <w:r w:rsidR="00627E46" w:rsidRPr="00C7657E">
        <w:rPr>
          <w:rFonts w:ascii="Times New Roman" w:hAnsi="Times New Roman" w:cs="Times New Roman"/>
        </w:rPr>
        <w:instrText>PMV:</w:instrText>
      </w:r>
      <w:r w:rsidR="00627E46" w:rsidRPr="00C7657E">
        <w:instrText>Plan Maroc Vert</w:instrText>
      </w:r>
      <w:r w:rsidR="00627E46">
        <w:instrText xml:space="preserve">" </w:instrText>
      </w:r>
      <w:r w:rsidR="00627E46">
        <w:rPr>
          <w:rFonts w:ascii="Times New Roman" w:hAnsi="Times New Roman" w:cs="Times New Roman"/>
        </w:rPr>
        <w:fldChar w:fldCharType="end"/>
      </w:r>
      <w:r w:rsidR="00BA1160" w:rsidRPr="00BC7BB5">
        <w:rPr>
          <w:rFonts w:ascii="Times New Roman" w:hAnsi="Times New Roman" w:cs="Times New Roman"/>
        </w:rPr>
        <w:t>)</w:t>
      </w:r>
      <w:r w:rsidR="00655AE1" w:rsidRPr="00BC7BB5">
        <w:rPr>
          <w:rFonts w:ascii="Times New Roman" w:hAnsi="Times New Roman" w:cs="Times New Roman"/>
        </w:rPr>
        <w:t xml:space="preserve">, contributed to this </w:t>
      </w:r>
      <w:r w:rsidR="00135ADD" w:rsidRPr="00BC7BB5">
        <w:rPr>
          <w:rFonts w:ascii="Times New Roman" w:hAnsi="Times New Roman" w:cs="Times New Roman"/>
        </w:rPr>
        <w:t xml:space="preserve">performance </w:t>
      </w:r>
      <w:r w:rsidR="00BA1160" w:rsidRPr="00BC7BB5">
        <w:rPr>
          <w:rFonts w:ascii="Times New Roman" w:hAnsi="Times New Roman" w:cs="Times New Roman"/>
        </w:rPr>
        <w:t>by supporting</w:t>
      </w:r>
      <w:r w:rsidR="00036375" w:rsidRPr="00BC7BB5">
        <w:rPr>
          <w:rFonts w:ascii="Times New Roman" w:hAnsi="Times New Roman" w:cs="Times New Roman"/>
        </w:rPr>
        <w:t xml:space="preserve"> the plantation of 400,000 hectares of high-value </w:t>
      </w:r>
      <w:r w:rsidR="00BA1160" w:rsidRPr="00BC7BB5">
        <w:rPr>
          <w:rFonts w:ascii="Times New Roman" w:hAnsi="Times New Roman" w:cs="Times New Roman"/>
        </w:rPr>
        <w:t xml:space="preserve">crops </w:t>
      </w:r>
      <w:r w:rsidR="00036375" w:rsidRPr="00BC7BB5">
        <w:rPr>
          <w:rFonts w:ascii="Times New Roman" w:hAnsi="Times New Roman" w:cs="Times New Roman"/>
        </w:rPr>
        <w:t>(olive</w:t>
      </w:r>
      <w:r w:rsidR="00135ADD" w:rsidRPr="00BC7BB5">
        <w:rPr>
          <w:rFonts w:ascii="Times New Roman" w:hAnsi="Times New Roman" w:cs="Times New Roman"/>
        </w:rPr>
        <w:t>, citrus and other fruit trees), improved water management (</w:t>
      </w:r>
      <w:r w:rsidR="00036375" w:rsidRPr="00BC7BB5">
        <w:rPr>
          <w:rFonts w:ascii="Times New Roman" w:hAnsi="Times New Roman" w:cs="Times New Roman"/>
        </w:rPr>
        <w:t>the conversion of 220,000 ha to drip irrigation</w:t>
      </w:r>
      <w:r w:rsidR="00135ADD" w:rsidRPr="00BC7BB5">
        <w:rPr>
          <w:rFonts w:ascii="Times New Roman" w:hAnsi="Times New Roman" w:cs="Times New Roman"/>
        </w:rPr>
        <w:t>)</w:t>
      </w:r>
      <w:r w:rsidR="00036375" w:rsidRPr="00BC7BB5">
        <w:rPr>
          <w:rFonts w:ascii="Times New Roman" w:hAnsi="Times New Roman" w:cs="Times New Roman"/>
        </w:rPr>
        <w:t xml:space="preserve"> and better access to improved agricultural inputs. As of </w:t>
      </w:r>
      <w:r w:rsidR="00036375" w:rsidRPr="001D1FDF">
        <w:rPr>
          <w:rFonts w:ascii="Times New Roman" w:hAnsi="Times New Roman" w:cs="Times New Roman"/>
        </w:rPr>
        <w:t>2013</w:t>
      </w:r>
      <w:r w:rsidR="00036375" w:rsidRPr="00BC7BB5">
        <w:rPr>
          <w:rFonts w:ascii="Times New Roman" w:hAnsi="Times New Roman" w:cs="Times New Roman"/>
        </w:rPr>
        <w:t xml:space="preserve">, high-value </w:t>
      </w:r>
      <w:r w:rsidR="00BA1160" w:rsidRPr="00BC7BB5">
        <w:rPr>
          <w:rFonts w:ascii="Times New Roman" w:hAnsi="Times New Roman" w:cs="Times New Roman"/>
        </w:rPr>
        <w:t>products</w:t>
      </w:r>
      <w:r w:rsidR="00036375" w:rsidRPr="00BC7BB5">
        <w:rPr>
          <w:rFonts w:ascii="Times New Roman" w:hAnsi="Times New Roman" w:cs="Times New Roman"/>
        </w:rPr>
        <w:t xml:space="preserve"> (defined under the PMV as horticulture, citrus, other fruit trees, olive and industrial crops) represented one third of the total value-added of the agricultural sector and </w:t>
      </w:r>
      <w:r w:rsidR="00655AE1" w:rsidRPr="00BC7BB5">
        <w:rPr>
          <w:rFonts w:ascii="Times New Roman" w:hAnsi="Times New Roman" w:cs="Times New Roman"/>
        </w:rPr>
        <w:t>up to three</w:t>
      </w:r>
      <w:r w:rsidR="00036375" w:rsidRPr="00BC7BB5">
        <w:rPr>
          <w:rFonts w:ascii="Times New Roman" w:hAnsi="Times New Roman" w:cs="Times New Roman"/>
        </w:rPr>
        <w:t xml:space="preserve"> million jobs. During the 2008-</w:t>
      </w:r>
      <w:r w:rsidR="00036375" w:rsidRPr="001D1FDF">
        <w:rPr>
          <w:rFonts w:ascii="Times New Roman" w:hAnsi="Times New Roman" w:cs="Times New Roman"/>
        </w:rPr>
        <w:t>2013</w:t>
      </w:r>
      <w:r w:rsidR="00036375" w:rsidRPr="00BC7BB5">
        <w:rPr>
          <w:rFonts w:ascii="Times New Roman" w:hAnsi="Times New Roman" w:cs="Times New Roman"/>
        </w:rPr>
        <w:t xml:space="preserve"> period, all those sub-sectors saw an increase in productivity (3 percent per year on average for horticulture, 4 percent for citrus, 7.2 percent for other fruit trees and 1.7 percent for olive) and in planted areas.</w:t>
      </w:r>
    </w:p>
    <w:p w14:paraId="712713DF" w14:textId="77777777" w:rsidR="00135ADD" w:rsidRPr="00BC7BB5" w:rsidRDefault="00135ADD" w:rsidP="00135ADD">
      <w:pPr>
        <w:pStyle w:val="NoSpacing"/>
        <w:jc w:val="both"/>
        <w:rPr>
          <w:rFonts w:ascii="Times New Roman" w:hAnsi="Times New Roman" w:cs="Times New Roman"/>
        </w:rPr>
      </w:pPr>
    </w:p>
    <w:p w14:paraId="588A2064" w14:textId="6E44C5FE" w:rsidR="00FA1667" w:rsidRPr="00BC7BB5" w:rsidRDefault="00FA1667" w:rsidP="00B35A06">
      <w:pPr>
        <w:pStyle w:val="NoSpacing"/>
        <w:numPr>
          <w:ilvl w:val="0"/>
          <w:numId w:val="7"/>
        </w:numPr>
        <w:ind w:left="0" w:firstLine="0"/>
        <w:jc w:val="both"/>
        <w:rPr>
          <w:rFonts w:ascii="Times New Roman" w:hAnsi="Times New Roman" w:cs="Times New Roman"/>
        </w:rPr>
      </w:pPr>
      <w:r w:rsidRPr="00BC7BB5">
        <w:rPr>
          <w:rFonts w:ascii="Times New Roman" w:hAnsi="Times New Roman" w:cs="Times New Roman"/>
          <w:b/>
        </w:rPr>
        <w:t>Morocco has a strong comparative advantage in citrus production.</w:t>
      </w:r>
      <w:r w:rsidRPr="00BC7BB5">
        <w:rPr>
          <w:rFonts w:ascii="Times New Roman" w:hAnsi="Times New Roman" w:cs="Times New Roman"/>
        </w:rPr>
        <w:t xml:space="preserve"> Citrus represents 31 percent of Morocco’s fresh agri-food exports and generates approximately US$350 million per year in foreign exchange revenues (Maroc Citrus, 2017). National on-farm employment from citrus production is estimated between 59,000 and 97,000 full time jobs. Including seasonal jobs, the citrus sub-sector generates 25 million </w:t>
      </w:r>
      <w:r w:rsidR="00234768">
        <w:rPr>
          <w:rFonts w:ascii="Times New Roman" w:hAnsi="Times New Roman" w:cs="Times New Roman"/>
        </w:rPr>
        <w:t>work-</w:t>
      </w:r>
      <w:r w:rsidRPr="00BC7BB5">
        <w:rPr>
          <w:rFonts w:ascii="Times New Roman" w:hAnsi="Times New Roman" w:cs="Times New Roman"/>
        </w:rPr>
        <w:t xml:space="preserve">days annually, including 18 million at production level and 7 million through storage, packaging and </w:t>
      </w:r>
      <w:r w:rsidR="00C37850">
        <w:rPr>
          <w:rFonts w:ascii="Times New Roman" w:hAnsi="Times New Roman" w:cs="Times New Roman"/>
        </w:rPr>
        <w:t>processing</w:t>
      </w:r>
      <w:r w:rsidRPr="00BC7BB5">
        <w:rPr>
          <w:rFonts w:ascii="Times New Roman" w:hAnsi="Times New Roman" w:cs="Times New Roman"/>
        </w:rPr>
        <w:t xml:space="preserve">. However, new markets </w:t>
      </w:r>
      <w:r w:rsidR="000E1047" w:rsidRPr="00BC7BB5">
        <w:rPr>
          <w:rFonts w:ascii="Times New Roman" w:hAnsi="Times New Roman" w:cs="Times New Roman"/>
        </w:rPr>
        <w:t xml:space="preserve">would </w:t>
      </w:r>
      <w:r w:rsidRPr="00BC7BB5">
        <w:rPr>
          <w:rFonts w:ascii="Times New Roman" w:hAnsi="Times New Roman" w:cs="Times New Roman"/>
        </w:rPr>
        <w:t xml:space="preserve">have to be found for the rapidly expanding citrus production. </w:t>
      </w:r>
      <w:r w:rsidR="000E1047" w:rsidRPr="00BC7BB5">
        <w:rPr>
          <w:rFonts w:ascii="Times New Roman" w:hAnsi="Times New Roman" w:cs="Times New Roman"/>
        </w:rPr>
        <w:t xml:space="preserve">Planted areas have increased substantially since 2008 and reached 123,000 hectares in 2016. </w:t>
      </w:r>
      <w:r w:rsidRPr="00BC7BB5">
        <w:rPr>
          <w:rFonts w:ascii="Times New Roman" w:hAnsi="Times New Roman" w:cs="Times New Roman"/>
        </w:rPr>
        <w:t>Based on recent plantings, projections indicate that production of citrus will increase by 50 percent between 2015 and 2020</w:t>
      </w:r>
      <w:r w:rsidR="000E1047" w:rsidRPr="00BC7BB5">
        <w:rPr>
          <w:rFonts w:ascii="Times New Roman" w:hAnsi="Times New Roman" w:cs="Times New Roman"/>
        </w:rPr>
        <w:t>,</w:t>
      </w:r>
      <w:r w:rsidRPr="00BC7BB5">
        <w:rPr>
          <w:rFonts w:ascii="Times New Roman" w:hAnsi="Times New Roman" w:cs="Times New Roman"/>
        </w:rPr>
        <w:t xml:space="preserve"> while exports have remained relatively constant at approximately 0.5 million </w:t>
      </w:r>
      <w:r w:rsidR="00234768">
        <w:rPr>
          <w:rFonts w:ascii="Times New Roman" w:hAnsi="Times New Roman" w:cs="Times New Roman"/>
        </w:rPr>
        <w:t>metric tons (</w:t>
      </w:r>
      <w:r w:rsidRPr="00BC7BB5">
        <w:rPr>
          <w:rFonts w:ascii="Times New Roman" w:hAnsi="Times New Roman" w:cs="Times New Roman"/>
        </w:rPr>
        <w:t>MT</w:t>
      </w:r>
      <w:r w:rsidR="00234768">
        <w:rPr>
          <w:rFonts w:ascii="Times New Roman" w:hAnsi="Times New Roman" w:cs="Times New Roman"/>
        </w:rPr>
        <w:t>)</w:t>
      </w:r>
      <w:r w:rsidRPr="00BC7BB5">
        <w:rPr>
          <w:rFonts w:ascii="Times New Roman" w:hAnsi="Times New Roman" w:cs="Times New Roman"/>
        </w:rPr>
        <w:fldChar w:fldCharType="begin"/>
      </w:r>
      <w:r w:rsidRPr="00BC7BB5">
        <w:instrText xml:space="preserve"> XE "</w:instrText>
      </w:r>
      <w:r w:rsidRPr="00BC7BB5">
        <w:rPr>
          <w:rFonts w:ascii="Times New Roman" w:hAnsi="Times New Roman" w:cs="Times New Roman"/>
        </w:rPr>
        <w:instrText>MT</w:instrText>
      </w:r>
      <w:r w:rsidRPr="00BC7BB5">
        <w:instrText xml:space="preserve">" </w:instrText>
      </w:r>
      <w:r w:rsidRPr="00BC7BB5">
        <w:rPr>
          <w:rFonts w:ascii="Times New Roman" w:hAnsi="Times New Roman" w:cs="Times New Roman"/>
        </w:rPr>
        <w:fldChar w:fldCharType="end"/>
      </w:r>
      <w:r w:rsidRPr="00BC7BB5">
        <w:rPr>
          <w:rFonts w:ascii="Times New Roman" w:hAnsi="Times New Roman" w:cs="Times New Roman"/>
        </w:rPr>
        <w:t xml:space="preserve"> per year. The rapid increase in citrus production will need to be accompanied by the development of exports and export market diversification, as well as that of domestic consumption and </w:t>
      </w:r>
      <w:r w:rsidR="00C37850">
        <w:rPr>
          <w:rFonts w:ascii="Times New Roman" w:hAnsi="Times New Roman" w:cs="Times New Roman"/>
        </w:rPr>
        <w:t>processing</w:t>
      </w:r>
      <w:r w:rsidRPr="00BC7BB5">
        <w:rPr>
          <w:rFonts w:ascii="Times New Roman" w:hAnsi="Times New Roman" w:cs="Times New Roman"/>
        </w:rPr>
        <w:t>.</w:t>
      </w:r>
    </w:p>
    <w:p w14:paraId="46098035" w14:textId="77777777" w:rsidR="00FA1667" w:rsidRPr="00BC7BB5" w:rsidRDefault="00FA1667" w:rsidP="00FA1667">
      <w:pPr>
        <w:pStyle w:val="NoSpacing"/>
        <w:ind w:left="420"/>
        <w:jc w:val="both"/>
        <w:rPr>
          <w:rFonts w:ascii="Times New Roman" w:hAnsi="Times New Roman" w:cs="Times New Roman"/>
        </w:rPr>
      </w:pPr>
    </w:p>
    <w:p w14:paraId="75884FF6" w14:textId="2EC4236D" w:rsidR="00FA1667" w:rsidRPr="00BC7BB5" w:rsidRDefault="00FA1667" w:rsidP="00B35A06">
      <w:pPr>
        <w:pStyle w:val="NoSpacing"/>
        <w:numPr>
          <w:ilvl w:val="0"/>
          <w:numId w:val="7"/>
        </w:numPr>
        <w:ind w:left="0" w:firstLine="0"/>
        <w:jc w:val="both"/>
        <w:rPr>
          <w:rFonts w:ascii="Times New Roman" w:hAnsi="Times New Roman" w:cs="Times New Roman"/>
        </w:rPr>
      </w:pPr>
      <w:r w:rsidRPr="00BC7BB5">
        <w:rPr>
          <w:rFonts w:ascii="Times New Roman" w:hAnsi="Times New Roman" w:cs="Times New Roman"/>
          <w:b/>
        </w:rPr>
        <w:t>The olive sub-sector could contribute more substantially to inclusive growth</w:t>
      </w:r>
      <w:r w:rsidR="00AA428E" w:rsidRPr="00BC7BB5">
        <w:rPr>
          <w:rFonts w:ascii="Times New Roman" w:hAnsi="Times New Roman" w:cs="Times New Roman"/>
          <w:b/>
        </w:rPr>
        <w:t xml:space="preserve"> including in </w:t>
      </w:r>
      <w:r w:rsidR="00234768">
        <w:rPr>
          <w:rFonts w:ascii="Times New Roman" w:hAnsi="Times New Roman" w:cs="Times New Roman"/>
          <w:b/>
        </w:rPr>
        <w:t xml:space="preserve">the </w:t>
      </w:r>
      <w:r w:rsidR="00AA428E" w:rsidRPr="00BC7BB5">
        <w:rPr>
          <w:rFonts w:ascii="Times New Roman" w:hAnsi="Times New Roman" w:cs="Times New Roman"/>
          <w:b/>
        </w:rPr>
        <w:t>lagging regions</w:t>
      </w:r>
      <w:r w:rsidRPr="00BC7BB5">
        <w:rPr>
          <w:rFonts w:ascii="Times New Roman" w:hAnsi="Times New Roman" w:cs="Times New Roman"/>
        </w:rPr>
        <w:t xml:space="preserve">. </w:t>
      </w:r>
      <w:r w:rsidR="0099479A" w:rsidRPr="00BC7BB5">
        <w:rPr>
          <w:rFonts w:ascii="Times New Roman" w:hAnsi="Times New Roman" w:cs="Times New Roman"/>
        </w:rPr>
        <w:t>Moroccan o</w:t>
      </w:r>
      <w:r w:rsidRPr="00BC7BB5">
        <w:rPr>
          <w:rFonts w:ascii="Times New Roman" w:hAnsi="Times New Roman" w:cs="Times New Roman"/>
        </w:rPr>
        <w:t>live production costs are competitive</w:t>
      </w:r>
      <w:r w:rsidR="00234768">
        <w:rPr>
          <w:rFonts w:ascii="Times New Roman" w:hAnsi="Times New Roman" w:cs="Times New Roman"/>
        </w:rPr>
        <w:t>,</w:t>
      </w:r>
      <w:r w:rsidR="005920AE" w:rsidRPr="00BC7BB5">
        <w:rPr>
          <w:rFonts w:ascii="Times New Roman" w:hAnsi="Times New Roman" w:cs="Times New Roman"/>
        </w:rPr>
        <w:t xml:space="preserve"> including in </w:t>
      </w:r>
      <w:r w:rsidR="00234768">
        <w:rPr>
          <w:rFonts w:ascii="Times New Roman" w:hAnsi="Times New Roman" w:cs="Times New Roman"/>
        </w:rPr>
        <w:t xml:space="preserve">the </w:t>
      </w:r>
      <w:r w:rsidR="005920AE" w:rsidRPr="00BC7BB5">
        <w:rPr>
          <w:rFonts w:ascii="Times New Roman" w:hAnsi="Times New Roman" w:cs="Times New Roman"/>
        </w:rPr>
        <w:t>less favored regions</w:t>
      </w:r>
      <w:r w:rsidRPr="00BC7BB5">
        <w:rPr>
          <w:rFonts w:ascii="Times New Roman" w:hAnsi="Times New Roman" w:cs="Times New Roman"/>
        </w:rPr>
        <w:t>. Approximately 400,000 Moroccan producers are involved in olive production. However, the low quality of Moroccan olive oil constrains the growth of exports</w:t>
      </w:r>
      <w:r w:rsidR="0016434E">
        <w:rPr>
          <w:rFonts w:ascii="Times New Roman" w:hAnsi="Times New Roman" w:cs="Times New Roman"/>
        </w:rPr>
        <w:t>. The</w:t>
      </w:r>
      <w:r w:rsidR="0016434E" w:rsidRPr="00BC7BB5">
        <w:rPr>
          <w:rFonts w:ascii="Times New Roman" w:hAnsi="Times New Roman" w:cs="Times New Roman"/>
        </w:rPr>
        <w:t xml:space="preserve"> preponderance of traditional oil mills in Morocco contributes to the low quality of the olive oil produced (60 percent </w:t>
      </w:r>
      <w:r w:rsidR="0016434E" w:rsidRPr="00BC7BB5">
        <w:rPr>
          <w:rFonts w:ascii="Times New Roman" w:hAnsi="Times New Roman" w:cs="Times New Roman"/>
          <w:i/>
        </w:rPr>
        <w:t>lampante</w:t>
      </w:r>
      <w:r w:rsidR="0016434E" w:rsidRPr="00BC7BB5">
        <w:rPr>
          <w:rFonts w:ascii="Times New Roman" w:hAnsi="Times New Roman" w:cs="Times New Roman"/>
        </w:rPr>
        <w:t>)</w:t>
      </w:r>
      <w:r w:rsidRPr="00BC7BB5">
        <w:rPr>
          <w:rFonts w:ascii="Times New Roman" w:hAnsi="Times New Roman" w:cs="Times New Roman"/>
        </w:rPr>
        <w:t xml:space="preserve">. As of 2010, extra virgin olive oil represented </w:t>
      </w:r>
      <w:r w:rsidR="00234768" w:rsidRPr="00BC7BB5">
        <w:rPr>
          <w:rFonts w:ascii="Times New Roman" w:hAnsi="Times New Roman" w:cs="Times New Roman"/>
        </w:rPr>
        <w:t xml:space="preserve">only </w:t>
      </w:r>
      <w:r w:rsidRPr="00BC7BB5">
        <w:rPr>
          <w:rFonts w:ascii="Times New Roman" w:hAnsi="Times New Roman" w:cs="Times New Roman"/>
        </w:rPr>
        <w:t xml:space="preserve">an estimated 5 percent of the olive </w:t>
      </w:r>
      <w:r w:rsidR="00234768" w:rsidRPr="00BC7BB5">
        <w:rPr>
          <w:rFonts w:ascii="Times New Roman" w:hAnsi="Times New Roman" w:cs="Times New Roman"/>
        </w:rPr>
        <w:t xml:space="preserve">oil </w:t>
      </w:r>
      <w:r w:rsidRPr="00BC7BB5">
        <w:rPr>
          <w:rFonts w:ascii="Times New Roman" w:hAnsi="Times New Roman" w:cs="Times New Roman"/>
        </w:rPr>
        <w:t>produced in Morocco</w:t>
      </w:r>
      <w:r w:rsidRPr="00BC7BB5">
        <w:rPr>
          <w:rStyle w:val="FootnoteReference"/>
        </w:rPr>
        <w:footnoteReference w:id="1"/>
      </w:r>
      <w:r w:rsidR="00A152B1" w:rsidRPr="00BC7BB5">
        <w:rPr>
          <w:rFonts w:ascii="Times New Roman" w:hAnsi="Times New Roman" w:cs="Times New Roman"/>
        </w:rPr>
        <w:t xml:space="preserve">, </w:t>
      </w:r>
      <w:r w:rsidRPr="00BC7BB5">
        <w:rPr>
          <w:rFonts w:ascii="Times New Roman" w:hAnsi="Times New Roman" w:cs="Times New Roman"/>
        </w:rPr>
        <w:t xml:space="preserve">and virgin and ordinary olive oil </w:t>
      </w:r>
      <w:r w:rsidR="00234768">
        <w:rPr>
          <w:rFonts w:ascii="Times New Roman" w:hAnsi="Times New Roman" w:cs="Times New Roman"/>
        </w:rPr>
        <w:t xml:space="preserve">accounted for </w:t>
      </w:r>
      <w:r w:rsidRPr="00BC7BB5">
        <w:rPr>
          <w:rFonts w:ascii="Times New Roman" w:hAnsi="Times New Roman" w:cs="Times New Roman"/>
        </w:rPr>
        <w:t xml:space="preserve">35 percent. While demand for olive </w:t>
      </w:r>
      <w:r w:rsidR="00234768">
        <w:rPr>
          <w:rFonts w:ascii="Times New Roman" w:hAnsi="Times New Roman" w:cs="Times New Roman"/>
        </w:rPr>
        <w:t xml:space="preserve">oil </w:t>
      </w:r>
      <w:r w:rsidRPr="00BC7BB5">
        <w:rPr>
          <w:rFonts w:ascii="Times New Roman" w:hAnsi="Times New Roman" w:cs="Times New Roman"/>
        </w:rPr>
        <w:t xml:space="preserve">has been growing </w:t>
      </w:r>
      <w:r w:rsidR="00234768">
        <w:rPr>
          <w:rFonts w:ascii="Times New Roman" w:hAnsi="Times New Roman" w:cs="Times New Roman"/>
        </w:rPr>
        <w:t>at</w:t>
      </w:r>
      <w:r w:rsidR="00234768" w:rsidRPr="00BC7BB5">
        <w:rPr>
          <w:rFonts w:ascii="Times New Roman" w:hAnsi="Times New Roman" w:cs="Times New Roman"/>
        </w:rPr>
        <w:t xml:space="preserve"> </w:t>
      </w:r>
      <w:r w:rsidR="00C37850">
        <w:rPr>
          <w:rFonts w:ascii="Times New Roman" w:hAnsi="Times New Roman" w:cs="Times New Roman"/>
        </w:rPr>
        <w:t>global level</w:t>
      </w:r>
      <w:r w:rsidRPr="00BC7BB5">
        <w:rPr>
          <w:rFonts w:ascii="Times New Roman" w:hAnsi="Times New Roman" w:cs="Times New Roman"/>
        </w:rPr>
        <w:t>, it is growing faster for virgin and extra</w:t>
      </w:r>
      <w:r w:rsidR="00234768">
        <w:rPr>
          <w:rFonts w:ascii="Times New Roman" w:hAnsi="Times New Roman" w:cs="Times New Roman"/>
        </w:rPr>
        <w:t xml:space="preserve"> </w:t>
      </w:r>
      <w:r w:rsidRPr="00BC7BB5">
        <w:rPr>
          <w:rFonts w:ascii="Times New Roman" w:hAnsi="Times New Roman" w:cs="Times New Roman"/>
        </w:rPr>
        <w:t>virgin olive oil, which also convey important price premiums (e.g.</w:t>
      </w:r>
      <w:r w:rsidR="00234768">
        <w:rPr>
          <w:rFonts w:ascii="Times New Roman" w:hAnsi="Times New Roman" w:cs="Times New Roman"/>
        </w:rPr>
        <w:t>,</w:t>
      </w:r>
      <w:r w:rsidRPr="00BC7BB5">
        <w:rPr>
          <w:rFonts w:ascii="Times New Roman" w:hAnsi="Times New Roman" w:cs="Times New Roman"/>
        </w:rPr>
        <w:t xml:space="preserve"> in 2013, importing countries paid on average 80 percent more for virgin olive oil than</w:t>
      </w:r>
      <w:r w:rsidR="00234768">
        <w:rPr>
          <w:rFonts w:ascii="Times New Roman" w:hAnsi="Times New Roman" w:cs="Times New Roman"/>
        </w:rPr>
        <w:t xml:space="preserve"> for</w:t>
      </w:r>
      <w:r w:rsidRPr="00BC7BB5">
        <w:rPr>
          <w:rFonts w:ascii="Times New Roman" w:hAnsi="Times New Roman" w:cs="Times New Roman"/>
        </w:rPr>
        <w:t xml:space="preserve"> </w:t>
      </w:r>
      <w:r w:rsidRPr="00BC7BB5">
        <w:rPr>
          <w:rFonts w:ascii="Times New Roman" w:hAnsi="Times New Roman" w:cs="Times New Roman"/>
          <w:i/>
        </w:rPr>
        <w:t>lampante</w:t>
      </w:r>
      <w:r w:rsidRPr="00BC7BB5">
        <w:rPr>
          <w:rFonts w:ascii="Times New Roman" w:hAnsi="Times New Roman" w:cs="Times New Roman"/>
        </w:rPr>
        <w:t xml:space="preserve"> oil</w:t>
      </w:r>
      <w:r w:rsidRPr="00BC7BB5">
        <w:rPr>
          <w:rStyle w:val="FootnoteReference"/>
          <w:rFonts w:ascii="Times New Roman" w:hAnsi="Times New Roman" w:cs="Times New Roman"/>
        </w:rPr>
        <w:footnoteReference w:id="2"/>
      </w:r>
      <w:r w:rsidRPr="00BC7BB5">
        <w:rPr>
          <w:rFonts w:ascii="Times New Roman" w:hAnsi="Times New Roman" w:cs="Times New Roman"/>
        </w:rPr>
        <w:t>).</w:t>
      </w:r>
    </w:p>
    <w:p w14:paraId="45F653D7" w14:textId="77777777" w:rsidR="00080FCC" w:rsidRPr="00BC7BB5" w:rsidRDefault="00080FCC" w:rsidP="00201545">
      <w:pPr>
        <w:pStyle w:val="ListParagraph"/>
        <w:spacing w:after="0"/>
        <w:rPr>
          <w:rFonts w:ascii="Times New Roman" w:hAnsi="Times New Roman" w:cs="Times New Roman"/>
        </w:rPr>
      </w:pPr>
    </w:p>
    <w:p w14:paraId="576D40AB" w14:textId="1927F8BC" w:rsidR="00D95B08" w:rsidRPr="00BC7BB5" w:rsidRDefault="00046652" w:rsidP="00B35A06">
      <w:pPr>
        <w:pStyle w:val="NoSpacing"/>
        <w:numPr>
          <w:ilvl w:val="0"/>
          <w:numId w:val="7"/>
        </w:numPr>
        <w:ind w:left="0" w:firstLine="0"/>
        <w:jc w:val="both"/>
        <w:rPr>
          <w:rFonts w:ascii="Times New Roman" w:hAnsi="Times New Roman" w:cs="Times New Roman"/>
        </w:rPr>
      </w:pPr>
      <w:r w:rsidRPr="00BC7BB5">
        <w:rPr>
          <w:rFonts w:ascii="Times New Roman" w:hAnsi="Times New Roman" w:cs="Times New Roman"/>
          <w:b/>
        </w:rPr>
        <w:t xml:space="preserve">The dualistic nature of the agriculture sector is affecting </w:t>
      </w:r>
      <w:r w:rsidR="00BA1160" w:rsidRPr="00BC7BB5">
        <w:rPr>
          <w:rFonts w:ascii="Times New Roman" w:hAnsi="Times New Roman" w:cs="Times New Roman"/>
          <w:b/>
        </w:rPr>
        <w:t>small producers’ ability to participate and benefit from strong sector growth</w:t>
      </w:r>
      <w:r w:rsidRPr="00BC7BB5">
        <w:rPr>
          <w:rFonts w:ascii="Times New Roman" w:hAnsi="Times New Roman" w:cs="Times New Roman"/>
          <w:b/>
        </w:rPr>
        <w:t>.</w:t>
      </w:r>
      <w:r w:rsidRPr="00BC7BB5">
        <w:rPr>
          <w:rFonts w:ascii="Times New Roman" w:hAnsi="Times New Roman" w:cs="Times New Roman"/>
        </w:rPr>
        <w:t xml:space="preserve"> </w:t>
      </w:r>
      <w:r w:rsidR="00C83DF9" w:rsidRPr="00BC7BB5">
        <w:rPr>
          <w:rFonts w:ascii="Times New Roman" w:hAnsi="Times New Roman" w:cs="Times New Roman"/>
        </w:rPr>
        <w:t xml:space="preserve"> </w:t>
      </w:r>
      <w:r w:rsidR="00D95B08" w:rsidRPr="00BC7BB5">
        <w:rPr>
          <w:rFonts w:ascii="Times New Roman" w:hAnsi="Times New Roman" w:cs="Times New Roman"/>
        </w:rPr>
        <w:t xml:space="preserve">The rural poor </w:t>
      </w:r>
      <w:r w:rsidR="00B30926" w:rsidRPr="00BC7BB5">
        <w:rPr>
          <w:rFonts w:ascii="Times New Roman" w:hAnsi="Times New Roman" w:cs="Times New Roman"/>
        </w:rPr>
        <w:t>remain</w:t>
      </w:r>
      <w:r w:rsidR="00D95B08" w:rsidRPr="00BC7BB5">
        <w:rPr>
          <w:rFonts w:ascii="Times New Roman" w:hAnsi="Times New Roman" w:cs="Times New Roman"/>
        </w:rPr>
        <w:t xml:space="preserve"> largely employed in agriculture and regions with large shares of agricultural GDP have poverty rates well above national </w:t>
      </w:r>
      <w:r w:rsidR="00D95B08" w:rsidRPr="00BC7BB5">
        <w:rPr>
          <w:rFonts w:ascii="Times New Roman" w:hAnsi="Times New Roman" w:cs="Times New Roman"/>
        </w:rPr>
        <w:lastRenderedPageBreak/>
        <w:t>averages (HCP</w:t>
      </w:r>
      <w:r w:rsidR="00730643" w:rsidRPr="00BC7BB5">
        <w:rPr>
          <w:rFonts w:ascii="Times New Roman" w:hAnsi="Times New Roman" w:cs="Times New Roman"/>
        </w:rPr>
        <w:fldChar w:fldCharType="begin"/>
      </w:r>
      <w:r w:rsidR="00730643" w:rsidRPr="00BC7BB5">
        <w:instrText xml:space="preserve"> XE "</w:instrText>
      </w:r>
      <w:r w:rsidR="00730643" w:rsidRPr="00BC7BB5">
        <w:rPr>
          <w:rFonts w:ascii="Times New Roman" w:hAnsi="Times New Roman" w:cs="Times New Roman"/>
        </w:rPr>
        <w:instrText>HCP</w:instrText>
      </w:r>
      <w:r w:rsidR="00730643" w:rsidRPr="00BC7BB5">
        <w:instrText xml:space="preserve">" </w:instrText>
      </w:r>
      <w:r w:rsidR="00730643" w:rsidRPr="00BC7BB5">
        <w:rPr>
          <w:rFonts w:ascii="Times New Roman" w:hAnsi="Times New Roman" w:cs="Times New Roman"/>
        </w:rPr>
        <w:fldChar w:fldCharType="end"/>
      </w:r>
      <w:r w:rsidR="00D95B08" w:rsidRPr="00BC7BB5">
        <w:rPr>
          <w:rFonts w:ascii="Times New Roman" w:hAnsi="Times New Roman" w:cs="Times New Roman"/>
        </w:rPr>
        <w:t xml:space="preserve">, 2015). </w:t>
      </w:r>
      <w:r w:rsidR="00410A02" w:rsidRPr="00BC7BB5">
        <w:rPr>
          <w:rFonts w:ascii="Times New Roman" w:hAnsi="Times New Roman" w:cs="Times New Roman"/>
        </w:rPr>
        <w:t>Less than one percent of farmers—representing 14 percent of cultivated land— have highly profitable, commercial, and export-oriented farms. Most small farms are operated by older household heads with low education levels—more than 45 percent of the heads of farming famil</w:t>
      </w:r>
      <w:r w:rsidR="00F71154">
        <w:rPr>
          <w:rFonts w:ascii="Times New Roman" w:hAnsi="Times New Roman" w:cs="Times New Roman"/>
        </w:rPr>
        <w:t>ies are over 55 years old and 75</w:t>
      </w:r>
      <w:r w:rsidR="00410A02" w:rsidRPr="00BC7BB5">
        <w:rPr>
          <w:rFonts w:ascii="Times New Roman" w:hAnsi="Times New Roman" w:cs="Times New Roman"/>
        </w:rPr>
        <w:t xml:space="preserve"> percent are illiterate. Th</w:t>
      </w:r>
      <w:r w:rsidR="00C37850">
        <w:rPr>
          <w:rFonts w:ascii="Times New Roman" w:hAnsi="Times New Roman" w:cs="Times New Roman"/>
        </w:rPr>
        <w:t>o</w:t>
      </w:r>
      <w:r w:rsidR="00410A02" w:rsidRPr="00BC7BB5">
        <w:rPr>
          <w:rFonts w:ascii="Times New Roman" w:hAnsi="Times New Roman" w:cs="Times New Roman"/>
        </w:rPr>
        <w:t>se heads</w:t>
      </w:r>
      <w:r w:rsidR="00234768">
        <w:rPr>
          <w:rFonts w:ascii="Times New Roman" w:hAnsi="Times New Roman" w:cs="Times New Roman"/>
        </w:rPr>
        <w:t xml:space="preserve"> </w:t>
      </w:r>
      <w:r w:rsidR="00410A02" w:rsidRPr="00BC7BB5">
        <w:rPr>
          <w:rFonts w:ascii="Times New Roman" w:hAnsi="Times New Roman" w:cs="Times New Roman"/>
        </w:rPr>
        <w:t>of</w:t>
      </w:r>
      <w:r w:rsidR="00234768">
        <w:rPr>
          <w:rFonts w:ascii="Times New Roman" w:hAnsi="Times New Roman" w:cs="Times New Roman"/>
        </w:rPr>
        <w:t xml:space="preserve"> </w:t>
      </w:r>
      <w:r w:rsidR="00410A02" w:rsidRPr="00BC7BB5">
        <w:rPr>
          <w:rFonts w:ascii="Times New Roman" w:hAnsi="Times New Roman" w:cs="Times New Roman"/>
        </w:rPr>
        <w:t xml:space="preserve">household lack technical know-how and rarely use modern technologies. </w:t>
      </w:r>
      <w:r w:rsidR="008B6084" w:rsidRPr="00BC7BB5">
        <w:rPr>
          <w:rFonts w:ascii="Times New Roman" w:hAnsi="Times New Roman" w:cs="Times New Roman"/>
        </w:rPr>
        <w:t>Notwithstanding those structural issues, the emergence of more commercially-oriented family farm</w:t>
      </w:r>
      <w:r w:rsidR="009563F5" w:rsidRPr="00BC7BB5">
        <w:rPr>
          <w:rFonts w:ascii="Times New Roman" w:hAnsi="Times New Roman" w:cs="Times New Roman"/>
        </w:rPr>
        <w:t>s</w:t>
      </w:r>
      <w:r w:rsidR="008B6084" w:rsidRPr="00BC7BB5">
        <w:rPr>
          <w:rFonts w:ascii="Times New Roman" w:hAnsi="Times New Roman" w:cs="Times New Roman"/>
        </w:rPr>
        <w:t xml:space="preserve"> and medium-size farms has been observed in the past decade</w:t>
      </w:r>
      <w:r w:rsidR="00102D04" w:rsidRPr="00BC7BB5">
        <w:rPr>
          <w:rFonts w:ascii="Times New Roman" w:hAnsi="Times New Roman" w:cs="Times New Roman"/>
        </w:rPr>
        <w:t xml:space="preserve">, </w:t>
      </w:r>
      <w:r w:rsidR="00192779" w:rsidRPr="00BC7BB5">
        <w:rPr>
          <w:rFonts w:ascii="Times New Roman" w:hAnsi="Times New Roman" w:cs="Times New Roman"/>
        </w:rPr>
        <w:t>particular</w:t>
      </w:r>
      <w:r w:rsidR="00102D04" w:rsidRPr="00BC7BB5">
        <w:rPr>
          <w:rFonts w:ascii="Times New Roman" w:hAnsi="Times New Roman" w:cs="Times New Roman"/>
        </w:rPr>
        <w:t>ly</w:t>
      </w:r>
      <w:r w:rsidR="00192779" w:rsidRPr="00BC7BB5">
        <w:rPr>
          <w:rFonts w:ascii="Times New Roman" w:hAnsi="Times New Roman" w:cs="Times New Roman"/>
        </w:rPr>
        <w:t xml:space="preserve"> in </w:t>
      </w:r>
      <w:r w:rsidR="00234768">
        <w:rPr>
          <w:rFonts w:ascii="Times New Roman" w:hAnsi="Times New Roman" w:cs="Times New Roman"/>
        </w:rPr>
        <w:t xml:space="preserve">the </w:t>
      </w:r>
      <w:r w:rsidR="00192779" w:rsidRPr="00BC7BB5">
        <w:rPr>
          <w:rFonts w:ascii="Times New Roman" w:hAnsi="Times New Roman" w:cs="Times New Roman"/>
        </w:rPr>
        <w:t>favorable agricultural areas</w:t>
      </w:r>
      <w:r w:rsidR="00592FFE" w:rsidRPr="00BC7BB5">
        <w:rPr>
          <w:rFonts w:ascii="Times New Roman" w:hAnsi="Times New Roman" w:cs="Times New Roman"/>
        </w:rPr>
        <w:t>.</w:t>
      </w:r>
      <w:r w:rsidR="00DD40E5" w:rsidRPr="00BC7BB5">
        <w:rPr>
          <w:rFonts w:ascii="Times New Roman" w:hAnsi="Times New Roman" w:cs="Times New Roman"/>
        </w:rPr>
        <w:t xml:space="preserve"> Increasing the productivity of small and medium</w:t>
      </w:r>
      <w:r w:rsidR="00234768">
        <w:rPr>
          <w:rFonts w:ascii="Times New Roman" w:hAnsi="Times New Roman" w:cs="Times New Roman"/>
        </w:rPr>
        <w:t>-size</w:t>
      </w:r>
      <w:r w:rsidR="00DD40E5" w:rsidRPr="00BC7BB5">
        <w:rPr>
          <w:rFonts w:ascii="Times New Roman" w:hAnsi="Times New Roman" w:cs="Times New Roman"/>
        </w:rPr>
        <w:t xml:space="preserve"> farms, improving producers’ integration with modern value-chains and diversifying employment opportunities beyond the farm gate will be critical for further progress on poverty reduction and inclusive growth in rural areas.</w:t>
      </w:r>
    </w:p>
    <w:p w14:paraId="226C22A5" w14:textId="305B23B9" w:rsidR="00D95B08" w:rsidRPr="00BC7BB5" w:rsidRDefault="00D95B08" w:rsidP="00D95B08">
      <w:pPr>
        <w:pStyle w:val="NoSpacing"/>
        <w:jc w:val="both"/>
        <w:rPr>
          <w:rFonts w:ascii="Times New Roman" w:hAnsi="Times New Roman" w:cs="Times New Roman"/>
        </w:rPr>
      </w:pPr>
    </w:p>
    <w:p w14:paraId="4A46C89E" w14:textId="5F1E6F00" w:rsidR="00C83DF9" w:rsidRPr="00BC7BB5" w:rsidRDefault="00A036F3" w:rsidP="00B35A06">
      <w:pPr>
        <w:pStyle w:val="NoSpacing"/>
        <w:numPr>
          <w:ilvl w:val="0"/>
          <w:numId w:val="7"/>
        </w:numPr>
        <w:ind w:left="0" w:firstLine="0"/>
        <w:jc w:val="both"/>
        <w:rPr>
          <w:rFonts w:ascii="Times New Roman" w:hAnsi="Times New Roman" w:cs="Times New Roman"/>
        </w:rPr>
      </w:pPr>
      <w:r w:rsidRPr="00BC7BB5">
        <w:rPr>
          <w:rFonts w:ascii="Times New Roman" w:hAnsi="Times New Roman" w:cs="Times New Roman"/>
          <w:b/>
        </w:rPr>
        <w:t>T</w:t>
      </w:r>
      <w:r w:rsidR="00D95B08" w:rsidRPr="00BC7BB5">
        <w:rPr>
          <w:rFonts w:ascii="Times New Roman" w:hAnsi="Times New Roman" w:cs="Times New Roman"/>
          <w:b/>
        </w:rPr>
        <w:t xml:space="preserve">here are concerns about the sustainability of the current agricultural growth pattern.  </w:t>
      </w:r>
      <w:r w:rsidR="00D95B08" w:rsidRPr="00BC7BB5">
        <w:rPr>
          <w:rFonts w:ascii="Times New Roman" w:hAnsi="Times New Roman" w:cs="Times New Roman"/>
        </w:rPr>
        <w:t xml:space="preserve">The agricultural growth path followed by Morocco since 2008 has been relatively extensive, and </w:t>
      </w:r>
      <w:r w:rsidR="009F4E17" w:rsidRPr="00BC7BB5">
        <w:rPr>
          <w:rFonts w:ascii="Times New Roman" w:hAnsi="Times New Roman" w:cs="Times New Roman"/>
        </w:rPr>
        <w:t xml:space="preserve">growth </w:t>
      </w:r>
      <w:r w:rsidR="00D95B08" w:rsidRPr="00BC7BB5">
        <w:rPr>
          <w:rFonts w:ascii="Times New Roman" w:hAnsi="Times New Roman" w:cs="Times New Roman"/>
        </w:rPr>
        <w:t xml:space="preserve">is now getting constrained by </w:t>
      </w:r>
      <w:r w:rsidR="009563F5" w:rsidRPr="00BC7BB5">
        <w:rPr>
          <w:rFonts w:ascii="Times New Roman" w:hAnsi="Times New Roman" w:cs="Times New Roman"/>
        </w:rPr>
        <w:t xml:space="preserve">the </w:t>
      </w:r>
      <w:r w:rsidR="00D95B08" w:rsidRPr="00BC7BB5">
        <w:rPr>
          <w:rFonts w:ascii="Times New Roman" w:hAnsi="Times New Roman" w:cs="Times New Roman"/>
        </w:rPr>
        <w:t>rarefaction of key resources (such as land and water). The agri-food sector is also highly vulnerable to climate variability resulting in the high volatility of agricultural GDP. Morocco is susceptible to chronic drought</w:t>
      </w:r>
      <w:r w:rsidR="00D95B08" w:rsidRPr="00BC7BB5">
        <w:rPr>
          <w:rStyle w:val="FootnoteReference"/>
        </w:rPr>
        <w:footnoteReference w:id="3"/>
      </w:r>
      <w:r w:rsidR="009B4733" w:rsidRPr="00BC7BB5">
        <w:rPr>
          <w:rFonts w:ascii="Times New Roman" w:hAnsi="Times New Roman" w:cs="Times New Roman"/>
        </w:rPr>
        <w:t xml:space="preserve">, </w:t>
      </w:r>
      <w:r w:rsidR="00D95B08" w:rsidRPr="00BC7BB5">
        <w:rPr>
          <w:rFonts w:ascii="Times New Roman" w:hAnsi="Times New Roman" w:cs="Times New Roman"/>
        </w:rPr>
        <w:t xml:space="preserve">and climate change is likely to exacerbate water scarcity, reduce yields, and increase </w:t>
      </w:r>
      <w:r w:rsidR="00D95B08" w:rsidRPr="00BC7BB5">
        <w:rPr>
          <w:rFonts w:ascii="Times New Roman" w:hAnsi="Times New Roman" w:cs="Times New Roman"/>
          <w:color w:val="000000"/>
        </w:rPr>
        <w:t xml:space="preserve">volatility of agricultural production, with </w:t>
      </w:r>
      <w:r w:rsidR="00D95B08" w:rsidRPr="00BC7BB5">
        <w:rPr>
          <w:rFonts w:ascii="Times New Roman" w:hAnsi="Times New Roman" w:cs="Times New Roman"/>
        </w:rPr>
        <w:t xml:space="preserve">substantial variation </w:t>
      </w:r>
      <w:r w:rsidR="00234768">
        <w:rPr>
          <w:rFonts w:ascii="Times New Roman" w:hAnsi="Times New Roman" w:cs="Times New Roman"/>
        </w:rPr>
        <w:t>among</w:t>
      </w:r>
      <w:r w:rsidR="00234768" w:rsidRPr="00BC7BB5">
        <w:rPr>
          <w:rFonts w:ascii="Times New Roman" w:hAnsi="Times New Roman" w:cs="Times New Roman"/>
        </w:rPr>
        <w:t xml:space="preserve"> </w:t>
      </w:r>
      <w:r w:rsidR="00D95B08" w:rsidRPr="00BC7BB5">
        <w:rPr>
          <w:rFonts w:ascii="Times New Roman" w:hAnsi="Times New Roman" w:cs="Times New Roman"/>
        </w:rPr>
        <w:t>regions</w:t>
      </w:r>
      <w:r w:rsidR="00D95B08" w:rsidRPr="00BC7BB5">
        <w:rPr>
          <w:rStyle w:val="FootnoteReference"/>
        </w:rPr>
        <w:footnoteReference w:id="4"/>
      </w:r>
      <w:r w:rsidR="00A152B1" w:rsidRPr="00BC7BB5">
        <w:rPr>
          <w:rFonts w:ascii="Times New Roman" w:hAnsi="Times New Roman" w:cs="Times New Roman"/>
          <w:color w:val="000000"/>
        </w:rPr>
        <w:t>.</w:t>
      </w:r>
      <w:r w:rsidR="00D95B08" w:rsidRPr="00BC7BB5">
        <w:rPr>
          <w:rFonts w:ascii="Times New Roman" w:hAnsi="Times New Roman" w:cs="Times New Roman"/>
          <w:color w:val="000000"/>
        </w:rPr>
        <w:t xml:space="preserve"> </w:t>
      </w:r>
      <w:r w:rsidR="00D95B08" w:rsidRPr="00BC7BB5">
        <w:rPr>
          <w:rFonts w:ascii="Times New Roman" w:hAnsi="Times New Roman" w:cs="Times New Roman"/>
        </w:rPr>
        <w:t>The 2010 World Development Report ranks Morocco amongst the countries for which climate change will have the greatest impact on agricultural yields.</w:t>
      </w:r>
      <w:r w:rsidR="00FC5165" w:rsidRPr="00BC7BB5">
        <w:rPr>
          <w:rFonts w:ascii="Times New Roman" w:hAnsi="Times New Roman" w:cs="Times New Roman"/>
        </w:rPr>
        <w:t xml:space="preserve"> </w:t>
      </w:r>
      <w:r w:rsidR="00FA7089" w:rsidRPr="00BC7BB5">
        <w:rPr>
          <w:rFonts w:ascii="Times New Roman" w:hAnsi="Times New Roman" w:cs="Times New Roman"/>
        </w:rPr>
        <w:t>Morocco has been addressing those risks by</w:t>
      </w:r>
      <w:r w:rsidR="00FC5165" w:rsidRPr="00BC7BB5">
        <w:rPr>
          <w:rFonts w:ascii="Times New Roman" w:hAnsi="Times New Roman" w:cs="Times New Roman"/>
        </w:rPr>
        <w:t xml:space="preserve"> promoting more efficient water management in agriculture</w:t>
      </w:r>
      <w:r w:rsidR="00B10D52" w:rsidRPr="00BC7BB5">
        <w:rPr>
          <w:rFonts w:ascii="Times New Roman" w:hAnsi="Times New Roman" w:cs="Times New Roman"/>
        </w:rPr>
        <w:t>, imp</w:t>
      </w:r>
      <w:r w:rsidR="00364C2C" w:rsidRPr="00BC7BB5">
        <w:rPr>
          <w:rFonts w:ascii="Times New Roman" w:hAnsi="Times New Roman" w:cs="Times New Roman"/>
        </w:rPr>
        <w:t>roved soil management practices</w:t>
      </w:r>
      <w:r w:rsidR="00FC5165" w:rsidRPr="00BC7BB5">
        <w:rPr>
          <w:rFonts w:ascii="Times New Roman" w:hAnsi="Times New Roman" w:cs="Times New Roman"/>
        </w:rPr>
        <w:t xml:space="preserve"> and </w:t>
      </w:r>
      <w:r w:rsidR="0063753A" w:rsidRPr="00BC7BB5">
        <w:rPr>
          <w:rFonts w:ascii="Times New Roman" w:hAnsi="Times New Roman" w:cs="Times New Roman"/>
        </w:rPr>
        <w:t>the</w:t>
      </w:r>
      <w:r w:rsidR="00FC5165" w:rsidRPr="00BC7BB5">
        <w:rPr>
          <w:rFonts w:ascii="Times New Roman" w:hAnsi="Times New Roman" w:cs="Times New Roman"/>
        </w:rPr>
        <w:t xml:space="preserve"> transition toward</w:t>
      </w:r>
      <w:r w:rsidR="0063753A" w:rsidRPr="00BC7BB5">
        <w:rPr>
          <w:rFonts w:ascii="Times New Roman" w:hAnsi="Times New Roman" w:cs="Times New Roman"/>
        </w:rPr>
        <w:t xml:space="preserve">s </w:t>
      </w:r>
      <w:r w:rsidR="007C454E" w:rsidRPr="00BC7BB5">
        <w:rPr>
          <w:rFonts w:ascii="Times New Roman" w:hAnsi="Times New Roman" w:cs="Times New Roman"/>
        </w:rPr>
        <w:t>crops that provide higher</w:t>
      </w:r>
      <w:r w:rsidR="00234768">
        <w:rPr>
          <w:rFonts w:ascii="Times New Roman" w:hAnsi="Times New Roman" w:cs="Times New Roman"/>
        </w:rPr>
        <w:t xml:space="preserve"> </w:t>
      </w:r>
      <w:r w:rsidR="007C454E" w:rsidRPr="00BC7BB5">
        <w:rPr>
          <w:rFonts w:ascii="Times New Roman" w:hAnsi="Times New Roman" w:cs="Times New Roman"/>
        </w:rPr>
        <w:t>val</w:t>
      </w:r>
      <w:r w:rsidR="0012345B" w:rsidRPr="00BC7BB5">
        <w:rPr>
          <w:rFonts w:ascii="Times New Roman" w:hAnsi="Times New Roman" w:cs="Times New Roman"/>
        </w:rPr>
        <w:t>ue</w:t>
      </w:r>
      <w:r w:rsidR="00C37850">
        <w:rPr>
          <w:rFonts w:ascii="Times New Roman" w:hAnsi="Times New Roman" w:cs="Times New Roman"/>
        </w:rPr>
        <w:t xml:space="preserve"> for the same amount of water used</w:t>
      </w:r>
      <w:r w:rsidR="007C454E" w:rsidRPr="00BC7BB5">
        <w:rPr>
          <w:rFonts w:ascii="Times New Roman" w:hAnsi="Times New Roman" w:cs="Times New Roman"/>
        </w:rPr>
        <w:t>.</w:t>
      </w:r>
    </w:p>
    <w:p w14:paraId="51746B06" w14:textId="77777777" w:rsidR="00CA2F57" w:rsidRPr="00BC7BB5" w:rsidRDefault="00CA2F57" w:rsidP="00CA2F57">
      <w:pPr>
        <w:pStyle w:val="ListParagraph"/>
        <w:spacing w:after="0" w:line="240" w:lineRule="auto"/>
        <w:rPr>
          <w:rFonts w:ascii="Times New Roman" w:hAnsi="Times New Roman" w:cs="Times New Roman"/>
        </w:rPr>
      </w:pPr>
    </w:p>
    <w:p w14:paraId="100745C0" w14:textId="521D74CA" w:rsidR="00080FCC" w:rsidRPr="00BC7BB5" w:rsidRDefault="00FA7089" w:rsidP="00B35A06">
      <w:pPr>
        <w:pStyle w:val="NoSpacing"/>
        <w:numPr>
          <w:ilvl w:val="0"/>
          <w:numId w:val="7"/>
        </w:numPr>
        <w:ind w:left="0" w:firstLine="0"/>
        <w:jc w:val="both"/>
        <w:rPr>
          <w:rFonts w:ascii="Times New Roman" w:hAnsi="Times New Roman" w:cs="Times New Roman"/>
        </w:rPr>
      </w:pPr>
      <w:r w:rsidRPr="00BC7BB5">
        <w:rPr>
          <w:rFonts w:ascii="Times New Roman" w:hAnsi="Times New Roman" w:cs="Times New Roman"/>
          <w:b/>
        </w:rPr>
        <w:t>The growth of a</w:t>
      </w:r>
      <w:r w:rsidR="009B4733" w:rsidRPr="00BC7BB5">
        <w:rPr>
          <w:rFonts w:ascii="Times New Roman" w:hAnsi="Times New Roman" w:cs="Times New Roman"/>
          <w:b/>
        </w:rPr>
        <w:t>gro</w:t>
      </w:r>
      <w:r w:rsidR="00F62133" w:rsidRPr="00BC7BB5">
        <w:rPr>
          <w:rFonts w:ascii="Times New Roman" w:hAnsi="Times New Roman" w:cs="Times New Roman"/>
          <w:b/>
        </w:rPr>
        <w:t xml:space="preserve">industry has not kept pace with </w:t>
      </w:r>
      <w:r w:rsidRPr="00BC7BB5">
        <w:rPr>
          <w:rFonts w:ascii="Times New Roman" w:hAnsi="Times New Roman" w:cs="Times New Roman"/>
          <w:b/>
        </w:rPr>
        <w:t xml:space="preserve">the </w:t>
      </w:r>
      <w:r w:rsidR="00F62133" w:rsidRPr="00BC7BB5">
        <w:rPr>
          <w:rFonts w:ascii="Times New Roman" w:hAnsi="Times New Roman" w:cs="Times New Roman"/>
          <w:b/>
        </w:rPr>
        <w:t>growth</w:t>
      </w:r>
      <w:r w:rsidRPr="00BC7BB5">
        <w:rPr>
          <w:rFonts w:ascii="Times New Roman" w:hAnsi="Times New Roman" w:cs="Times New Roman"/>
          <w:b/>
        </w:rPr>
        <w:t xml:space="preserve"> of the agriculture sector</w:t>
      </w:r>
      <w:r w:rsidR="00F62133" w:rsidRPr="00BC7BB5">
        <w:rPr>
          <w:rFonts w:ascii="Times New Roman" w:hAnsi="Times New Roman" w:cs="Times New Roman"/>
        </w:rPr>
        <w:t xml:space="preserve">. </w:t>
      </w:r>
      <w:r w:rsidR="009B4733" w:rsidRPr="00BC7BB5">
        <w:rPr>
          <w:rFonts w:ascii="Times New Roman" w:hAnsi="Times New Roman" w:cs="Times New Roman"/>
        </w:rPr>
        <w:t>Agro</w:t>
      </w:r>
      <w:r w:rsidRPr="00BC7BB5">
        <w:rPr>
          <w:rFonts w:ascii="Times New Roman" w:hAnsi="Times New Roman" w:cs="Times New Roman"/>
        </w:rPr>
        <w:t xml:space="preserve">industry is the second largest industrial sector </w:t>
      </w:r>
      <w:r w:rsidR="00F62133" w:rsidRPr="00BC7BB5">
        <w:rPr>
          <w:rFonts w:ascii="Times New Roman" w:hAnsi="Times New Roman" w:cs="Times New Roman"/>
        </w:rPr>
        <w:t>represent</w:t>
      </w:r>
      <w:r w:rsidRPr="00BC7BB5">
        <w:rPr>
          <w:rFonts w:ascii="Times New Roman" w:hAnsi="Times New Roman" w:cs="Times New Roman"/>
        </w:rPr>
        <w:t>ing</w:t>
      </w:r>
      <w:r w:rsidR="00F62133" w:rsidRPr="00BC7BB5">
        <w:rPr>
          <w:rFonts w:ascii="Times New Roman" w:hAnsi="Times New Roman" w:cs="Times New Roman"/>
        </w:rPr>
        <w:t xml:space="preserve"> 27 percent of industrial GDP and </w:t>
      </w:r>
      <w:r w:rsidR="00D21B84" w:rsidRPr="00BC7BB5">
        <w:rPr>
          <w:rFonts w:ascii="Times New Roman" w:hAnsi="Times New Roman" w:cs="Times New Roman"/>
        </w:rPr>
        <w:t xml:space="preserve">five </w:t>
      </w:r>
      <w:r w:rsidR="00F62133" w:rsidRPr="00BC7BB5">
        <w:rPr>
          <w:rFonts w:ascii="Times New Roman" w:hAnsi="Times New Roman" w:cs="Times New Roman"/>
        </w:rPr>
        <w:t>percent of total GDP. The sector’s value-added is around MAD</w:t>
      </w:r>
      <w:r w:rsidR="00730643" w:rsidRPr="00BC7BB5">
        <w:rPr>
          <w:rFonts w:ascii="Times New Roman" w:hAnsi="Times New Roman" w:cs="Times New Roman"/>
        </w:rPr>
        <w:fldChar w:fldCharType="begin"/>
      </w:r>
      <w:r w:rsidR="00730643" w:rsidRPr="00BC7BB5">
        <w:rPr>
          <w:rFonts w:ascii="Times New Roman" w:hAnsi="Times New Roman" w:cs="Times New Roman"/>
        </w:rPr>
        <w:instrText xml:space="preserve"> XE "MAD" </w:instrText>
      </w:r>
      <w:r w:rsidR="00730643" w:rsidRPr="00BC7BB5">
        <w:rPr>
          <w:rFonts w:ascii="Times New Roman" w:hAnsi="Times New Roman" w:cs="Times New Roman"/>
        </w:rPr>
        <w:fldChar w:fldCharType="end"/>
      </w:r>
      <w:r w:rsidR="00F62133" w:rsidRPr="00BC7BB5">
        <w:rPr>
          <w:rFonts w:ascii="Times New Roman" w:hAnsi="Times New Roman" w:cs="Times New Roman"/>
        </w:rPr>
        <w:t xml:space="preserve">30 billion (US$3 billion). </w:t>
      </w:r>
      <w:r w:rsidRPr="00BC7BB5">
        <w:rPr>
          <w:rFonts w:ascii="Times New Roman" w:hAnsi="Times New Roman" w:cs="Times New Roman"/>
        </w:rPr>
        <w:t xml:space="preserve">However, its </w:t>
      </w:r>
      <w:r w:rsidR="00F62133" w:rsidRPr="00BC7BB5">
        <w:rPr>
          <w:rFonts w:ascii="Times New Roman" w:hAnsi="Times New Roman" w:cs="Times New Roman"/>
        </w:rPr>
        <w:t>growth has been lower than that of the manufacturing sector and that of (primary) agriculture over the past years</w:t>
      </w:r>
      <w:r w:rsidRPr="00BC7BB5">
        <w:rPr>
          <w:rFonts w:ascii="Times New Roman" w:hAnsi="Times New Roman" w:cs="Times New Roman"/>
        </w:rPr>
        <w:t>.</w:t>
      </w:r>
      <w:r w:rsidR="009136B7" w:rsidRPr="00BC7BB5">
        <w:rPr>
          <w:rFonts w:ascii="Times New Roman" w:hAnsi="Times New Roman" w:cs="Times New Roman"/>
        </w:rPr>
        <w:t xml:space="preserve"> </w:t>
      </w:r>
      <w:r w:rsidRPr="00BC7BB5">
        <w:rPr>
          <w:rFonts w:ascii="Times New Roman" w:hAnsi="Times New Roman" w:cs="Times New Roman"/>
        </w:rPr>
        <w:t>W</w:t>
      </w:r>
      <w:r w:rsidR="009B4733" w:rsidRPr="00BC7BB5">
        <w:rPr>
          <w:rFonts w:ascii="Times New Roman" w:hAnsi="Times New Roman" w:cs="Times New Roman"/>
        </w:rPr>
        <w:t xml:space="preserve">hile </w:t>
      </w:r>
      <w:r w:rsidR="00F62133" w:rsidRPr="00BC7BB5">
        <w:rPr>
          <w:rFonts w:ascii="Times New Roman" w:hAnsi="Times New Roman" w:cs="Times New Roman"/>
        </w:rPr>
        <w:t xml:space="preserve">exports </w:t>
      </w:r>
      <w:r w:rsidR="009B4733" w:rsidRPr="00BC7BB5">
        <w:rPr>
          <w:rFonts w:ascii="Times New Roman" w:hAnsi="Times New Roman" w:cs="Times New Roman"/>
        </w:rPr>
        <w:t xml:space="preserve">from agroindustry </w:t>
      </w:r>
      <w:r w:rsidR="00F62133" w:rsidRPr="00BC7BB5">
        <w:rPr>
          <w:rFonts w:ascii="Times New Roman" w:hAnsi="Times New Roman" w:cs="Times New Roman"/>
        </w:rPr>
        <w:t>have increased in value, volumes have remained cons</w:t>
      </w:r>
      <w:r w:rsidR="009B4733" w:rsidRPr="00BC7BB5">
        <w:rPr>
          <w:rFonts w:ascii="Times New Roman" w:hAnsi="Times New Roman" w:cs="Times New Roman"/>
        </w:rPr>
        <w:t>tant over the past decade. Products from agroindustry</w:t>
      </w:r>
      <w:r w:rsidR="00F62133" w:rsidRPr="00BC7BB5">
        <w:rPr>
          <w:rFonts w:ascii="Times New Roman" w:hAnsi="Times New Roman" w:cs="Times New Roman"/>
        </w:rPr>
        <w:t xml:space="preserve"> are mostly destined for the domestic market, with exported goods accounting for only 12 percent of total industrial exports. It is estimated that close to 40 percent of the revenues generated by enterprises </w:t>
      </w:r>
      <w:r w:rsidR="00D15D57" w:rsidRPr="00BC7BB5">
        <w:rPr>
          <w:rFonts w:ascii="Times New Roman" w:hAnsi="Times New Roman" w:cs="Times New Roman"/>
        </w:rPr>
        <w:t>in agroindustry</w:t>
      </w:r>
      <w:r w:rsidR="00F62133" w:rsidRPr="00BC7BB5">
        <w:rPr>
          <w:rFonts w:ascii="Times New Roman" w:hAnsi="Times New Roman" w:cs="Times New Roman"/>
        </w:rPr>
        <w:t xml:space="preserve"> relate to the processing of imported products (milling, tobacco, sugar beverages, etc.) rather that adding value to domestic agricultural production</w:t>
      </w:r>
      <w:r w:rsidR="009136B7" w:rsidRPr="00BC7BB5">
        <w:rPr>
          <w:rFonts w:ascii="Times New Roman" w:hAnsi="Times New Roman" w:cs="Times New Roman"/>
        </w:rPr>
        <w:t>.</w:t>
      </w:r>
    </w:p>
    <w:p w14:paraId="15142544" w14:textId="77777777" w:rsidR="009136B7" w:rsidRPr="00BC7BB5" w:rsidRDefault="009136B7" w:rsidP="00413908">
      <w:pPr>
        <w:pStyle w:val="ListParagraph"/>
        <w:spacing w:after="0" w:line="240" w:lineRule="auto"/>
        <w:rPr>
          <w:rFonts w:ascii="Times New Roman" w:hAnsi="Times New Roman" w:cs="Times New Roman"/>
        </w:rPr>
      </w:pPr>
    </w:p>
    <w:p w14:paraId="4D7DB34F" w14:textId="41A69C94" w:rsidR="009136B7" w:rsidRPr="00BC7BB5" w:rsidRDefault="009136B7" w:rsidP="00B35A06">
      <w:pPr>
        <w:pStyle w:val="NoSpacing"/>
        <w:numPr>
          <w:ilvl w:val="0"/>
          <w:numId w:val="7"/>
        </w:numPr>
        <w:ind w:left="0" w:firstLine="0"/>
        <w:jc w:val="both"/>
        <w:rPr>
          <w:rFonts w:ascii="Times New Roman" w:hAnsi="Times New Roman" w:cs="Times New Roman"/>
        </w:rPr>
      </w:pPr>
      <w:r w:rsidRPr="00BC7BB5">
        <w:rPr>
          <w:rFonts w:ascii="Times New Roman" w:hAnsi="Times New Roman" w:cs="Times New Roman"/>
          <w:b/>
        </w:rPr>
        <w:t xml:space="preserve">The </w:t>
      </w:r>
      <w:r w:rsidR="00FA7089" w:rsidRPr="00BC7BB5">
        <w:rPr>
          <w:rFonts w:ascii="Times New Roman" w:hAnsi="Times New Roman" w:cs="Times New Roman"/>
          <w:b/>
        </w:rPr>
        <w:t xml:space="preserve">economic fabric of the </w:t>
      </w:r>
      <w:r w:rsidRPr="00BC7BB5">
        <w:rPr>
          <w:rFonts w:ascii="Times New Roman" w:hAnsi="Times New Roman" w:cs="Times New Roman"/>
          <w:b/>
        </w:rPr>
        <w:t>agri-food sector</w:t>
      </w:r>
      <w:r w:rsidR="00FA7089" w:rsidRPr="00BC7BB5">
        <w:rPr>
          <w:rFonts w:ascii="Times New Roman" w:hAnsi="Times New Roman" w:cs="Times New Roman"/>
          <w:b/>
        </w:rPr>
        <w:t xml:space="preserve"> (including </w:t>
      </w:r>
      <w:r w:rsidR="009A5814" w:rsidRPr="00BC7BB5">
        <w:rPr>
          <w:rFonts w:ascii="Times New Roman" w:hAnsi="Times New Roman" w:cs="Times New Roman"/>
          <w:b/>
        </w:rPr>
        <w:t>agriculture, agro</w:t>
      </w:r>
      <w:r w:rsidR="00FA7089" w:rsidRPr="00BC7BB5">
        <w:rPr>
          <w:rFonts w:ascii="Times New Roman" w:hAnsi="Times New Roman" w:cs="Times New Roman"/>
          <w:b/>
        </w:rPr>
        <w:t>industry and related services)</w:t>
      </w:r>
      <w:r w:rsidRPr="00BC7BB5">
        <w:rPr>
          <w:rFonts w:ascii="Times New Roman" w:hAnsi="Times New Roman" w:cs="Times New Roman"/>
          <w:b/>
        </w:rPr>
        <w:t xml:space="preserve"> is dominated by </w:t>
      </w:r>
      <w:r w:rsidR="00234768">
        <w:rPr>
          <w:rFonts w:ascii="Times New Roman" w:hAnsi="Times New Roman" w:cs="Times New Roman"/>
          <w:b/>
        </w:rPr>
        <w:t>small and medium enterprises</w:t>
      </w:r>
      <w:r w:rsidR="00234768" w:rsidRPr="00BC7BB5">
        <w:rPr>
          <w:rFonts w:ascii="Times New Roman" w:hAnsi="Times New Roman" w:cs="Times New Roman"/>
          <w:b/>
        </w:rPr>
        <w:t xml:space="preserve"> </w:t>
      </w:r>
      <w:r w:rsidRPr="00BC7BB5">
        <w:rPr>
          <w:rFonts w:ascii="Times New Roman" w:hAnsi="Times New Roman" w:cs="Times New Roman"/>
          <w:b/>
        </w:rPr>
        <w:t xml:space="preserve">and cooperatives. </w:t>
      </w:r>
      <w:r w:rsidRPr="00BC7BB5">
        <w:rPr>
          <w:rFonts w:ascii="Times New Roman" w:hAnsi="Times New Roman" w:cs="Times New Roman"/>
        </w:rPr>
        <w:t xml:space="preserve">The </w:t>
      </w:r>
      <w:r w:rsidR="00FA7089" w:rsidRPr="00BC7BB5">
        <w:rPr>
          <w:rFonts w:ascii="Times New Roman" w:hAnsi="Times New Roman" w:cs="Times New Roman"/>
        </w:rPr>
        <w:t xml:space="preserve">agri-food </w:t>
      </w:r>
      <w:r w:rsidRPr="00BC7BB5">
        <w:rPr>
          <w:rFonts w:ascii="Times New Roman" w:hAnsi="Times New Roman" w:cs="Times New Roman"/>
        </w:rPr>
        <w:t>sector comprises some 2,050</w:t>
      </w:r>
      <w:r w:rsidRPr="00BC7BB5">
        <w:rPr>
          <w:rStyle w:val="FootnoteReference"/>
        </w:rPr>
        <w:footnoteReference w:id="5"/>
      </w:r>
      <w:r w:rsidRPr="00BC7BB5">
        <w:rPr>
          <w:rFonts w:ascii="Times New Roman" w:hAnsi="Times New Roman" w:cs="Times New Roman"/>
        </w:rPr>
        <w:t xml:space="preserve"> industrial units, most of them </w:t>
      </w:r>
      <w:r w:rsidR="0077304D">
        <w:rPr>
          <w:rFonts w:ascii="Times New Roman" w:hAnsi="Times New Roman" w:cs="Times New Roman"/>
        </w:rPr>
        <w:t>small and medium enterprises (</w:t>
      </w:r>
      <w:r w:rsidRPr="00BC7BB5">
        <w:rPr>
          <w:rFonts w:ascii="Times New Roman" w:hAnsi="Times New Roman" w:cs="Times New Roman"/>
        </w:rPr>
        <w:t>SMEs</w:t>
      </w:r>
      <w:r w:rsidR="0077304D">
        <w:rPr>
          <w:rFonts w:ascii="Times New Roman" w:hAnsi="Times New Roman" w:cs="Times New Roman"/>
        </w:rPr>
        <w:t>)</w:t>
      </w:r>
      <w:r w:rsidRPr="00BC7BB5">
        <w:rPr>
          <w:rFonts w:ascii="Times New Roman" w:hAnsi="Times New Roman" w:cs="Times New Roman"/>
        </w:rPr>
        <w:t xml:space="preserve">, and employs up to 143,000 people. Most SMEs in the agri-food sector are active in simple value addition, and the dominant products include milled cereals, oil, canned fruits and vegetables, canned fish, and animal feed. Since the passing of </w:t>
      </w:r>
      <w:r w:rsidR="0077304D">
        <w:rPr>
          <w:rFonts w:ascii="Times New Roman" w:hAnsi="Times New Roman" w:cs="Times New Roman"/>
        </w:rPr>
        <w:t>the</w:t>
      </w:r>
      <w:r w:rsidRPr="00BC7BB5">
        <w:rPr>
          <w:rFonts w:ascii="Times New Roman" w:hAnsi="Times New Roman" w:cs="Times New Roman"/>
        </w:rPr>
        <w:t xml:space="preserve"> </w:t>
      </w:r>
      <w:r w:rsidR="000D51C8" w:rsidRPr="00BC7BB5">
        <w:rPr>
          <w:rFonts w:ascii="Times New Roman" w:hAnsi="Times New Roman" w:cs="Times New Roman"/>
        </w:rPr>
        <w:t>l</w:t>
      </w:r>
      <w:r w:rsidRPr="00BC7BB5">
        <w:rPr>
          <w:rFonts w:ascii="Times New Roman" w:hAnsi="Times New Roman" w:cs="Times New Roman"/>
        </w:rPr>
        <w:t>aw on cooperatives in 2012, there has been a sharp increase in the number of agriculture cooperatives, reaching 10,500</w:t>
      </w:r>
      <w:r w:rsidRPr="00BC7BB5">
        <w:rPr>
          <w:rStyle w:val="FootnoteReference"/>
        </w:rPr>
        <w:footnoteReference w:id="6"/>
      </w:r>
      <w:r w:rsidRPr="00BC7BB5">
        <w:rPr>
          <w:rFonts w:ascii="Times New Roman" w:hAnsi="Times New Roman" w:cs="Times New Roman"/>
        </w:rPr>
        <w:t xml:space="preserve"> cooperatives in </w:t>
      </w:r>
      <w:r w:rsidRPr="001D1FDF">
        <w:rPr>
          <w:rFonts w:ascii="Times New Roman" w:hAnsi="Times New Roman" w:cs="Times New Roman"/>
        </w:rPr>
        <w:t>2015</w:t>
      </w:r>
      <w:r w:rsidR="00BD7102" w:rsidRPr="00BC7BB5">
        <w:rPr>
          <w:rFonts w:ascii="Times New Roman" w:hAnsi="Times New Roman" w:cs="Times New Roman"/>
        </w:rPr>
        <w:t xml:space="preserve"> (of which 2,140 are women's cooperatives)</w:t>
      </w:r>
      <w:r w:rsidRPr="00BC7BB5">
        <w:rPr>
          <w:rFonts w:ascii="Times New Roman" w:hAnsi="Times New Roman" w:cs="Times New Roman"/>
        </w:rPr>
        <w:t>. An estimated 10 percent of them is also active in the processing and/or ma</w:t>
      </w:r>
      <w:r w:rsidR="00B36899" w:rsidRPr="00BC7BB5">
        <w:rPr>
          <w:rFonts w:ascii="Times New Roman" w:hAnsi="Times New Roman" w:cs="Times New Roman"/>
        </w:rPr>
        <w:t>rketing of their own production</w:t>
      </w:r>
      <w:r w:rsidRPr="00BC7BB5">
        <w:rPr>
          <w:rFonts w:ascii="Times New Roman" w:hAnsi="Times New Roman" w:cs="Times New Roman"/>
        </w:rPr>
        <w:t>.</w:t>
      </w:r>
    </w:p>
    <w:p w14:paraId="4C932A05" w14:textId="77777777" w:rsidR="00A16058" w:rsidRPr="00BC7BB5" w:rsidRDefault="00A16058" w:rsidP="00A16058">
      <w:pPr>
        <w:pStyle w:val="NoSpacing"/>
        <w:ind w:left="420"/>
        <w:jc w:val="both"/>
        <w:rPr>
          <w:rFonts w:ascii="Times New Roman" w:hAnsi="Times New Roman" w:cs="Times New Roman"/>
        </w:rPr>
      </w:pPr>
    </w:p>
    <w:p w14:paraId="4BA3372A" w14:textId="414A8903" w:rsidR="009136B7" w:rsidRPr="00BC7BB5" w:rsidRDefault="009136B7" w:rsidP="00B35A06">
      <w:pPr>
        <w:pStyle w:val="NoSpacing"/>
        <w:numPr>
          <w:ilvl w:val="0"/>
          <w:numId w:val="7"/>
        </w:numPr>
        <w:ind w:left="0" w:firstLine="0"/>
        <w:jc w:val="both"/>
        <w:rPr>
          <w:rFonts w:ascii="Times New Roman" w:hAnsi="Times New Roman" w:cs="Times New Roman"/>
        </w:rPr>
      </w:pPr>
      <w:r w:rsidRPr="00BC7BB5">
        <w:rPr>
          <w:rFonts w:ascii="Times New Roman" w:hAnsi="Times New Roman" w:cs="Times New Roman"/>
          <w:b/>
        </w:rPr>
        <w:t xml:space="preserve">Market conditions are favorable to a higher growth of the agri-food sector in Morocco. </w:t>
      </w:r>
      <w:r w:rsidRPr="00BC7BB5">
        <w:rPr>
          <w:rFonts w:ascii="Times New Roman" w:hAnsi="Times New Roman" w:cs="Times New Roman"/>
        </w:rPr>
        <w:t>Domestic demand for high-value and differentiated products is increasing with a growing population, growing urbanization and changes in consumption habits; export opportunities are substantial for products with growing demand worldwide such as olive oil and fruit and vegetables, which can be produced at competitive costs in Morocco</w:t>
      </w:r>
      <w:r w:rsidR="008F34DC" w:rsidRPr="00BC7BB5">
        <w:rPr>
          <w:rFonts w:ascii="Times New Roman" w:hAnsi="Times New Roman" w:cs="Times New Roman"/>
        </w:rPr>
        <w:t>; t</w:t>
      </w:r>
      <w:r w:rsidRPr="00BC7BB5">
        <w:rPr>
          <w:rFonts w:ascii="Times New Roman" w:hAnsi="Times New Roman" w:cs="Times New Roman"/>
        </w:rPr>
        <w:t xml:space="preserve">he Free Trade Agreement with the EU </w:t>
      </w:r>
      <w:r w:rsidR="00A16058" w:rsidRPr="00BC7BB5">
        <w:rPr>
          <w:rFonts w:ascii="Times New Roman" w:hAnsi="Times New Roman" w:cs="Times New Roman"/>
        </w:rPr>
        <w:t xml:space="preserve">offers increased export opportunities; and </w:t>
      </w:r>
      <w:r w:rsidRPr="00BC7BB5">
        <w:rPr>
          <w:rFonts w:ascii="Times New Roman" w:hAnsi="Times New Roman" w:cs="Times New Roman"/>
        </w:rPr>
        <w:t xml:space="preserve">the sector’s growth potential is also supported by the improvement of the enabling environment for </w:t>
      </w:r>
      <w:r w:rsidRPr="00BC7BB5">
        <w:rPr>
          <w:rFonts w:ascii="Times New Roman" w:hAnsi="Times New Roman" w:cs="Times New Roman"/>
        </w:rPr>
        <w:lastRenderedPageBreak/>
        <w:t>doing business in Morocco in general</w:t>
      </w:r>
      <w:r w:rsidR="00A16058" w:rsidRPr="00BC7BB5">
        <w:rPr>
          <w:rFonts w:ascii="Times New Roman" w:hAnsi="Times New Roman" w:cs="Times New Roman"/>
        </w:rPr>
        <w:t xml:space="preserve">. </w:t>
      </w:r>
      <w:r w:rsidRPr="00BC7BB5">
        <w:rPr>
          <w:rFonts w:ascii="Times New Roman" w:hAnsi="Times New Roman" w:cs="Times New Roman"/>
        </w:rPr>
        <w:t>Transport infrastructure has been significantly improved through the development of highways, the rural roads network and port infrastructure, reducing the time and the cost of transport</w:t>
      </w:r>
      <w:r w:rsidR="0077304D">
        <w:rPr>
          <w:rFonts w:ascii="Times New Roman" w:hAnsi="Times New Roman" w:cs="Times New Roman"/>
        </w:rPr>
        <w:t>ation</w:t>
      </w:r>
      <w:r w:rsidRPr="00BC7BB5">
        <w:rPr>
          <w:rFonts w:ascii="Times New Roman" w:hAnsi="Times New Roman" w:cs="Times New Roman"/>
        </w:rPr>
        <w:t xml:space="preserve"> of perishable products</w:t>
      </w:r>
      <w:r w:rsidR="00A16058" w:rsidRPr="00BC7BB5">
        <w:rPr>
          <w:rFonts w:ascii="Times New Roman" w:hAnsi="Times New Roman" w:cs="Times New Roman"/>
        </w:rPr>
        <w:t>.</w:t>
      </w:r>
    </w:p>
    <w:p w14:paraId="2685DF40" w14:textId="66F41FDC" w:rsidR="00CE3941" w:rsidRPr="00BC7BB5" w:rsidRDefault="00CE3941" w:rsidP="00080FCC">
      <w:pPr>
        <w:pStyle w:val="NoSpacing"/>
        <w:jc w:val="both"/>
        <w:rPr>
          <w:rFonts w:ascii="Times New Roman" w:hAnsi="Times New Roman" w:cs="Times New Roman"/>
        </w:rPr>
      </w:pPr>
      <w:r w:rsidRPr="00BC7BB5">
        <w:rPr>
          <w:rFonts w:ascii="Times New Roman" w:hAnsi="Times New Roman" w:cs="Times New Roman"/>
        </w:rPr>
        <w:t xml:space="preserve"> </w:t>
      </w:r>
    </w:p>
    <w:p w14:paraId="31EB6BC6" w14:textId="1B361723" w:rsidR="009136B7" w:rsidRPr="00BC7BB5" w:rsidRDefault="00FA5A9F" w:rsidP="00B35A06">
      <w:pPr>
        <w:pStyle w:val="NoSpacing"/>
        <w:numPr>
          <w:ilvl w:val="0"/>
          <w:numId w:val="7"/>
        </w:numPr>
        <w:ind w:left="0" w:firstLine="0"/>
        <w:jc w:val="both"/>
        <w:rPr>
          <w:rFonts w:ascii="Times New Roman" w:hAnsi="Times New Roman" w:cs="Times New Roman"/>
        </w:rPr>
      </w:pPr>
      <w:r w:rsidRPr="00BC7BB5">
        <w:rPr>
          <w:rFonts w:ascii="Times New Roman" w:hAnsi="Times New Roman" w:cs="Times New Roman"/>
          <w:b/>
        </w:rPr>
        <w:t>Tapping into that potential will require the development of a larger and stronger fabric of enterprises able to competitively add value to agriculture produc</w:t>
      </w:r>
      <w:r w:rsidR="00B01411" w:rsidRPr="00BC7BB5">
        <w:rPr>
          <w:rFonts w:ascii="Times New Roman" w:hAnsi="Times New Roman" w:cs="Times New Roman"/>
          <w:b/>
        </w:rPr>
        <w:t>ts</w:t>
      </w:r>
      <w:r w:rsidRPr="00BC7BB5">
        <w:rPr>
          <w:rFonts w:ascii="Times New Roman" w:hAnsi="Times New Roman" w:cs="Times New Roman"/>
          <w:b/>
        </w:rPr>
        <w:t xml:space="preserve"> and to meet the demand of domestic and export markets</w:t>
      </w:r>
      <w:r w:rsidRPr="00BC7BB5">
        <w:rPr>
          <w:rFonts w:ascii="Times New Roman" w:hAnsi="Times New Roman" w:cs="Times New Roman"/>
        </w:rPr>
        <w:t>.</w:t>
      </w:r>
      <w:r w:rsidRPr="00BC7BB5">
        <w:rPr>
          <w:rFonts w:ascii="Times New Roman" w:hAnsi="Times New Roman" w:cs="Times New Roman"/>
          <w:b/>
        </w:rPr>
        <w:t xml:space="preserve"> </w:t>
      </w:r>
      <w:r w:rsidR="002E0508" w:rsidRPr="00BC7BB5">
        <w:rPr>
          <w:rFonts w:ascii="Times New Roman" w:hAnsi="Times New Roman" w:cs="Times New Roman"/>
        </w:rPr>
        <w:t>Investments in the agri-food sector have been limited and concentrated with large players,</w:t>
      </w:r>
      <w:r w:rsidR="002E0508" w:rsidRPr="00BC7BB5">
        <w:rPr>
          <w:rFonts w:ascii="Times New Roman" w:hAnsi="Times New Roman" w:cs="Times New Roman"/>
          <w:b/>
        </w:rPr>
        <w:t xml:space="preserve"> </w:t>
      </w:r>
      <w:r w:rsidR="002E0508" w:rsidRPr="00BC7BB5">
        <w:rPr>
          <w:rFonts w:ascii="Times New Roman" w:hAnsi="Times New Roman" w:cs="Times New Roman"/>
        </w:rPr>
        <w:t>in part because public support and incentives to investments are not adapted to</w:t>
      </w:r>
      <w:r w:rsidR="00B01411" w:rsidRPr="00BC7BB5">
        <w:rPr>
          <w:rFonts w:ascii="Times New Roman" w:hAnsi="Times New Roman" w:cs="Times New Roman"/>
        </w:rPr>
        <w:t xml:space="preserve"> the needs of </w:t>
      </w:r>
      <w:r w:rsidR="002E0508" w:rsidRPr="00BC7BB5">
        <w:rPr>
          <w:rFonts w:ascii="Times New Roman" w:hAnsi="Times New Roman" w:cs="Times New Roman"/>
        </w:rPr>
        <w:t>SMEs</w:t>
      </w:r>
      <w:r w:rsidR="00A84B54">
        <w:rPr>
          <w:rFonts w:ascii="Times New Roman" w:hAnsi="Times New Roman" w:cs="Times New Roman"/>
        </w:rPr>
        <w:fldChar w:fldCharType="begin"/>
      </w:r>
      <w:r w:rsidR="00A84B54">
        <w:instrText xml:space="preserve"> XE "</w:instrText>
      </w:r>
      <w:r w:rsidR="00A84B54" w:rsidRPr="00F46028">
        <w:rPr>
          <w:rFonts w:ascii="Times New Roman" w:hAnsi="Times New Roman" w:cs="Times New Roman"/>
        </w:rPr>
        <w:instrText>SME:</w:instrText>
      </w:r>
      <w:r w:rsidR="00A84B54" w:rsidRPr="00F46028">
        <w:instrText>small and medium enterprise</w:instrText>
      </w:r>
      <w:r w:rsidR="00A84B54">
        <w:instrText xml:space="preserve">" </w:instrText>
      </w:r>
      <w:r w:rsidR="00A84B54">
        <w:rPr>
          <w:rFonts w:ascii="Times New Roman" w:hAnsi="Times New Roman" w:cs="Times New Roman"/>
        </w:rPr>
        <w:fldChar w:fldCharType="end"/>
      </w:r>
      <w:r w:rsidR="002E0508" w:rsidRPr="00BC7BB5">
        <w:rPr>
          <w:rFonts w:ascii="Times New Roman" w:hAnsi="Times New Roman" w:cs="Times New Roman"/>
        </w:rPr>
        <w:t xml:space="preserve">. </w:t>
      </w:r>
      <w:r w:rsidR="009136B7" w:rsidRPr="00BC7BB5">
        <w:rPr>
          <w:rFonts w:ascii="Times New Roman" w:hAnsi="Times New Roman" w:cs="Times New Roman"/>
        </w:rPr>
        <w:t>The diagnostic of the agri-food sector carried out by the Ministry of Agriculture</w:t>
      </w:r>
      <w:r w:rsidR="00B01411" w:rsidRPr="00BC7BB5">
        <w:rPr>
          <w:rFonts w:ascii="Times New Roman" w:hAnsi="Times New Roman" w:cs="Times New Roman"/>
        </w:rPr>
        <w:t>,</w:t>
      </w:r>
      <w:r w:rsidR="009136B7" w:rsidRPr="00BC7BB5">
        <w:rPr>
          <w:rFonts w:ascii="Times New Roman" w:hAnsi="Times New Roman" w:cs="Times New Roman"/>
        </w:rPr>
        <w:t xml:space="preserve"> Marine Fisheries</w:t>
      </w:r>
      <w:r w:rsidR="00B01411" w:rsidRPr="00BC7BB5">
        <w:rPr>
          <w:rFonts w:ascii="Times New Roman" w:hAnsi="Times New Roman" w:cs="Times New Roman"/>
        </w:rPr>
        <w:t>, Rural Development, Water and Forests</w:t>
      </w:r>
      <w:r w:rsidR="009136B7" w:rsidRPr="00BC7BB5">
        <w:rPr>
          <w:rFonts w:ascii="Times New Roman" w:hAnsi="Times New Roman" w:cs="Times New Roman"/>
        </w:rPr>
        <w:t xml:space="preserve"> (MAPM</w:t>
      </w:r>
      <w:r w:rsidR="000D51C8" w:rsidRPr="00BC7BB5">
        <w:rPr>
          <w:rFonts w:ascii="Times New Roman" w:hAnsi="Times New Roman" w:cs="Times New Roman"/>
        </w:rPr>
        <w:t>DREF</w:t>
      </w:r>
      <w:r w:rsidR="00730643" w:rsidRPr="00BC7BB5">
        <w:rPr>
          <w:rFonts w:ascii="Times New Roman" w:hAnsi="Times New Roman" w:cs="Times New Roman"/>
        </w:rPr>
        <w:fldChar w:fldCharType="begin"/>
      </w:r>
      <w:r w:rsidR="00730643" w:rsidRPr="00BC7BB5">
        <w:instrText xml:space="preserve"> XE "</w:instrText>
      </w:r>
      <w:r w:rsidR="00730643" w:rsidRPr="00BC7BB5">
        <w:rPr>
          <w:rFonts w:ascii="Times New Roman" w:hAnsi="Times New Roman" w:cs="Times New Roman"/>
        </w:rPr>
        <w:instrText>MAPM:</w:instrText>
      </w:r>
      <w:r w:rsidR="00730643" w:rsidRPr="00BC7BB5">
        <w:instrText xml:space="preserve">Ministry of Agriculture and Marine Fisheries" </w:instrText>
      </w:r>
      <w:r w:rsidR="00730643" w:rsidRPr="00BC7BB5">
        <w:rPr>
          <w:rFonts w:ascii="Times New Roman" w:hAnsi="Times New Roman" w:cs="Times New Roman"/>
        </w:rPr>
        <w:fldChar w:fldCharType="end"/>
      </w:r>
      <w:r w:rsidR="009136B7" w:rsidRPr="00BC7BB5">
        <w:rPr>
          <w:rFonts w:ascii="Times New Roman" w:hAnsi="Times New Roman" w:cs="Times New Roman"/>
        </w:rPr>
        <w:t>)</w:t>
      </w:r>
      <w:r w:rsidR="009136B7" w:rsidRPr="00BC7BB5">
        <w:rPr>
          <w:rStyle w:val="FootnoteReference"/>
        </w:rPr>
        <w:footnoteReference w:id="7"/>
      </w:r>
      <w:r w:rsidR="009136B7" w:rsidRPr="00BC7BB5">
        <w:rPr>
          <w:rFonts w:ascii="Times New Roman" w:hAnsi="Times New Roman" w:cs="Times New Roman"/>
        </w:rPr>
        <w:t xml:space="preserve"> in 2014 through interviews with </w:t>
      </w:r>
      <w:r w:rsidR="00B01411" w:rsidRPr="00BC7BB5">
        <w:rPr>
          <w:rFonts w:ascii="Times New Roman" w:hAnsi="Times New Roman" w:cs="Times New Roman"/>
        </w:rPr>
        <w:t xml:space="preserve">over </w:t>
      </w:r>
      <w:r w:rsidR="009A5814" w:rsidRPr="00BC7BB5">
        <w:rPr>
          <w:rFonts w:ascii="Times New Roman" w:hAnsi="Times New Roman" w:cs="Times New Roman"/>
        </w:rPr>
        <w:t>60 players across the agri-food sector</w:t>
      </w:r>
      <w:r w:rsidR="009136B7" w:rsidRPr="00BC7BB5">
        <w:rPr>
          <w:rFonts w:ascii="Times New Roman" w:hAnsi="Times New Roman" w:cs="Times New Roman"/>
        </w:rPr>
        <w:t xml:space="preserve"> indicates that sector performance is hindered by constraints at firm level, particularly SMEs</w:t>
      </w:r>
      <w:r w:rsidR="00B01411" w:rsidRPr="00BC7BB5">
        <w:rPr>
          <w:rFonts w:ascii="Times New Roman" w:hAnsi="Times New Roman" w:cs="Times New Roman"/>
        </w:rPr>
        <w:t>’ limited access to capital</w:t>
      </w:r>
      <w:r w:rsidR="009136B7" w:rsidRPr="00BC7BB5">
        <w:rPr>
          <w:rFonts w:ascii="Times New Roman" w:hAnsi="Times New Roman" w:cs="Times New Roman"/>
        </w:rPr>
        <w:t xml:space="preserve">, lack of capacity for product innovation, and difficulties accessing modern marketing networks. </w:t>
      </w:r>
      <w:r w:rsidR="009136B7" w:rsidRPr="00BC7BB5">
        <w:rPr>
          <w:rFonts w:ascii="Times New Roman" w:hAnsi="Times New Roman" w:cs="Times New Roman"/>
          <w:b/>
          <w:color w:val="222222"/>
        </w:rPr>
        <w:t xml:space="preserve"> </w:t>
      </w:r>
      <w:r w:rsidR="007B146C" w:rsidRPr="00BC7BB5">
        <w:rPr>
          <w:rFonts w:ascii="Times New Roman" w:hAnsi="Times New Roman" w:cs="Times New Roman"/>
        </w:rPr>
        <w:t>Finally, m</w:t>
      </w:r>
      <w:r w:rsidR="002E0508" w:rsidRPr="00BC7BB5">
        <w:rPr>
          <w:rFonts w:ascii="Times New Roman" w:hAnsi="Times New Roman" w:cs="Times New Roman"/>
        </w:rPr>
        <w:t>any small producers and SMEs still lack the capacity to comply with stringent (public and private) food safety, quality, traceability, labeling and environmental sustainability requirements imposed by high value export markets.</w:t>
      </w:r>
    </w:p>
    <w:p w14:paraId="4E00DA2E" w14:textId="77777777" w:rsidR="000D51C8" w:rsidRPr="00BC7BB5" w:rsidRDefault="000D51C8" w:rsidP="000D51C8">
      <w:pPr>
        <w:pStyle w:val="ListParagraph"/>
        <w:spacing w:after="0" w:line="240" w:lineRule="auto"/>
        <w:ind w:left="0"/>
        <w:rPr>
          <w:rFonts w:ascii="Times New Roman" w:hAnsi="Times New Roman" w:cs="Times New Roman"/>
          <w:b/>
          <w:i/>
        </w:rPr>
      </w:pPr>
    </w:p>
    <w:p w14:paraId="1D230142" w14:textId="3ACFB934" w:rsidR="00EB4BBE" w:rsidRPr="00BC7BB5" w:rsidRDefault="000D51C8" w:rsidP="000D51C8">
      <w:pPr>
        <w:pStyle w:val="ListParagraph"/>
        <w:spacing w:after="0" w:line="240" w:lineRule="auto"/>
        <w:ind w:left="0"/>
        <w:rPr>
          <w:rFonts w:ascii="Times New Roman" w:hAnsi="Times New Roman" w:cs="Times New Roman"/>
          <w:b/>
          <w:i/>
        </w:rPr>
      </w:pPr>
      <w:r w:rsidRPr="00BC7BB5">
        <w:rPr>
          <w:rFonts w:ascii="Times New Roman" w:hAnsi="Times New Roman" w:cs="Times New Roman"/>
          <w:b/>
          <w:i/>
        </w:rPr>
        <w:t>Institutional Context</w:t>
      </w:r>
    </w:p>
    <w:p w14:paraId="16355716" w14:textId="57C32A85" w:rsidR="007945B8" w:rsidRPr="00BC7BB5" w:rsidRDefault="007945B8" w:rsidP="0006325B">
      <w:pPr>
        <w:pStyle w:val="NoSpacing"/>
        <w:rPr>
          <w:rFonts w:ascii="Times New Roman Bold" w:hAnsi="Times New Roman Bold" w:cs="Times New Roman"/>
          <w:b/>
          <w:smallCaps/>
        </w:rPr>
      </w:pPr>
    </w:p>
    <w:p w14:paraId="1711AE02" w14:textId="7D60C4F6" w:rsidR="0026798E" w:rsidRPr="00BC7BB5" w:rsidRDefault="00EB2FE5" w:rsidP="00B35A06">
      <w:pPr>
        <w:pStyle w:val="NoSpacing"/>
        <w:numPr>
          <w:ilvl w:val="0"/>
          <w:numId w:val="7"/>
        </w:numPr>
        <w:ind w:left="0" w:firstLine="0"/>
        <w:jc w:val="both"/>
        <w:rPr>
          <w:rFonts w:ascii="Times New Roman" w:hAnsi="Times New Roman" w:cs="Times New Roman"/>
        </w:rPr>
      </w:pPr>
      <w:r w:rsidRPr="00BC7BB5">
        <w:rPr>
          <w:rFonts w:ascii="Times New Roman" w:hAnsi="Times New Roman" w:cs="Times New Roman"/>
          <w:b/>
        </w:rPr>
        <w:t xml:space="preserve">The </w:t>
      </w:r>
      <w:r w:rsidR="00ED3801" w:rsidRPr="00BC7BB5">
        <w:rPr>
          <w:rFonts w:ascii="Times New Roman" w:hAnsi="Times New Roman" w:cs="Times New Roman"/>
          <w:b/>
        </w:rPr>
        <w:t>M</w:t>
      </w:r>
      <w:r w:rsidRPr="00BC7BB5">
        <w:rPr>
          <w:rFonts w:ascii="Times New Roman" w:hAnsi="Times New Roman" w:cs="Times New Roman"/>
          <w:b/>
        </w:rPr>
        <w:t>inistry of</w:t>
      </w:r>
      <w:r w:rsidR="00ED46A8" w:rsidRPr="00BC7BB5">
        <w:rPr>
          <w:rFonts w:ascii="Times New Roman" w:hAnsi="Times New Roman" w:cs="Times New Roman"/>
          <w:b/>
        </w:rPr>
        <w:t xml:space="preserve"> Agriculture,</w:t>
      </w:r>
      <w:r w:rsidR="006C3221" w:rsidRPr="00BC7BB5">
        <w:rPr>
          <w:rFonts w:ascii="Times New Roman" w:hAnsi="Times New Roman" w:cs="Times New Roman"/>
          <w:b/>
        </w:rPr>
        <w:t xml:space="preserve"> Marine Fisheries</w:t>
      </w:r>
      <w:r w:rsidR="001707E0" w:rsidRPr="00BC7BB5">
        <w:rPr>
          <w:rFonts w:ascii="Times New Roman" w:hAnsi="Times New Roman" w:cs="Times New Roman"/>
          <w:b/>
        </w:rPr>
        <w:t xml:space="preserve">, </w:t>
      </w:r>
      <w:r w:rsidR="00ED46A8" w:rsidRPr="00BC7BB5">
        <w:rPr>
          <w:rFonts w:ascii="Times New Roman" w:hAnsi="Times New Roman" w:cs="Times New Roman"/>
          <w:b/>
        </w:rPr>
        <w:t>Rural Development, Water and Forests</w:t>
      </w:r>
      <w:r w:rsidRPr="00BC7BB5">
        <w:rPr>
          <w:rFonts w:ascii="Times New Roman" w:hAnsi="Times New Roman" w:cs="Times New Roman"/>
          <w:b/>
        </w:rPr>
        <w:t xml:space="preserve"> is </w:t>
      </w:r>
      <w:r w:rsidR="00ED3801" w:rsidRPr="00BC7BB5">
        <w:rPr>
          <w:rFonts w:ascii="Times New Roman" w:hAnsi="Times New Roman" w:cs="Times New Roman"/>
          <w:b/>
        </w:rPr>
        <w:t xml:space="preserve">responsible for elaborating and implementing the Government’s </w:t>
      </w:r>
      <w:r w:rsidR="00226E52" w:rsidRPr="00BC7BB5">
        <w:rPr>
          <w:rFonts w:ascii="Times New Roman" w:hAnsi="Times New Roman" w:cs="Times New Roman"/>
          <w:b/>
        </w:rPr>
        <w:t>agriculture and rural development policy</w:t>
      </w:r>
      <w:r w:rsidR="00ED3801" w:rsidRPr="00BC7BB5">
        <w:rPr>
          <w:rFonts w:ascii="Times New Roman" w:hAnsi="Times New Roman" w:cs="Times New Roman"/>
        </w:rPr>
        <w:t xml:space="preserve">. </w:t>
      </w:r>
      <w:r w:rsidR="001707E0" w:rsidRPr="00BC7BB5">
        <w:rPr>
          <w:rFonts w:ascii="Times New Roman" w:hAnsi="Times New Roman" w:cs="Times New Roman"/>
        </w:rPr>
        <w:t xml:space="preserve">The </w:t>
      </w:r>
      <w:r w:rsidR="00364C2C" w:rsidRPr="00BC7BB5">
        <w:rPr>
          <w:rFonts w:ascii="Times New Roman" w:hAnsi="Times New Roman" w:cs="Times New Roman"/>
        </w:rPr>
        <w:t>PMV</w:t>
      </w:r>
      <w:r w:rsidR="001707E0" w:rsidRPr="00BC7BB5">
        <w:rPr>
          <w:rFonts w:ascii="Times New Roman" w:hAnsi="Times New Roman" w:cs="Times New Roman"/>
        </w:rPr>
        <w:t xml:space="preserve"> launched in 2008 is the Government’ strategy for the development of the agriculture sector. </w:t>
      </w:r>
      <w:r w:rsidR="00226E52" w:rsidRPr="00BC7BB5">
        <w:rPr>
          <w:rFonts w:ascii="Times New Roman" w:hAnsi="Times New Roman" w:cs="Arial"/>
        </w:rPr>
        <w:t>The</w:t>
      </w:r>
      <w:r w:rsidR="00226E52" w:rsidRPr="00BC7BB5">
        <w:rPr>
          <w:rFonts w:ascii="Times New Roman" w:hAnsi="Times New Roman" w:cs="Arial"/>
          <w:b/>
        </w:rPr>
        <w:t xml:space="preserve"> </w:t>
      </w:r>
      <w:r w:rsidR="00226E52" w:rsidRPr="00BC7BB5">
        <w:rPr>
          <w:rFonts w:ascii="Times New Roman" w:hAnsi="Times New Roman" w:cs="Arial"/>
        </w:rPr>
        <w:t>PMV</w:t>
      </w:r>
      <w:r w:rsidR="00226E52" w:rsidRPr="00BC7BB5">
        <w:rPr>
          <w:rFonts w:ascii="Times New Roman" w:hAnsi="Times New Roman" w:cs="Arial"/>
          <w:b/>
        </w:rPr>
        <w:t xml:space="preserve"> </w:t>
      </w:r>
      <w:r w:rsidR="00226E52" w:rsidRPr="00BC7BB5">
        <w:rPr>
          <w:rFonts w:ascii="Times New Roman" w:hAnsi="Times New Roman" w:cs="Arial"/>
        </w:rPr>
        <w:t>aims to transform the sector into a stable source of growth, competitiveness and broad-based economic development in rural areas through a combination of investments and systemic public sector reforms. The PMV is facilitating a paradigm shift from a highly-protected agriculture sector to a more open sector which emphasizes value-addition among the various agri-food chains to create better opportunities for producers.</w:t>
      </w:r>
      <w:r w:rsidR="00B36046" w:rsidRPr="00BC7BB5">
        <w:rPr>
          <w:rFonts w:ascii="Times New Roman" w:hAnsi="Times New Roman" w:cs="Arial"/>
        </w:rPr>
        <w:t xml:space="preserve"> MAPMDREF</w:t>
      </w:r>
      <w:r w:rsidR="004643D0" w:rsidRPr="00BC7BB5">
        <w:rPr>
          <w:rFonts w:ascii="Times New Roman" w:hAnsi="Times New Roman" w:cs="Arial"/>
        </w:rPr>
        <w:t xml:space="preserve"> has refocused</w:t>
      </w:r>
      <w:r w:rsidR="00B36046" w:rsidRPr="00BC7BB5">
        <w:rPr>
          <w:rFonts w:ascii="Times New Roman" w:hAnsi="Times New Roman" w:cs="Arial"/>
        </w:rPr>
        <w:t xml:space="preserve"> on its core regulatory functions while service delivery and inves</w:t>
      </w:r>
      <w:r w:rsidR="004B706B" w:rsidRPr="00BC7BB5">
        <w:rPr>
          <w:rFonts w:ascii="Times New Roman" w:hAnsi="Times New Roman" w:cs="Arial"/>
        </w:rPr>
        <w:t>t</w:t>
      </w:r>
      <w:r w:rsidR="00B36046" w:rsidRPr="00BC7BB5">
        <w:rPr>
          <w:rFonts w:ascii="Times New Roman" w:hAnsi="Times New Roman" w:cs="Arial"/>
        </w:rPr>
        <w:t>ment support in agriculture have been delegated to the regional and local level</w:t>
      </w:r>
      <w:r w:rsidR="00B36046" w:rsidRPr="00BC7BB5">
        <w:rPr>
          <w:rStyle w:val="FootnoteReference"/>
          <w:rFonts w:ascii="Times New Roman" w:hAnsi="Times New Roman" w:cs="Times New Roman"/>
        </w:rPr>
        <w:footnoteReference w:id="8"/>
      </w:r>
      <w:r w:rsidR="00393931" w:rsidRPr="00BC7BB5">
        <w:rPr>
          <w:rFonts w:ascii="Times New Roman" w:hAnsi="Times New Roman" w:cs="Arial"/>
        </w:rPr>
        <w:t xml:space="preserve">, </w:t>
      </w:r>
      <w:r w:rsidR="003E1A69" w:rsidRPr="00BC7BB5">
        <w:rPr>
          <w:rFonts w:ascii="Times New Roman" w:hAnsi="Times New Roman" w:cs="Arial"/>
        </w:rPr>
        <w:t xml:space="preserve">to </w:t>
      </w:r>
      <w:r w:rsidR="00D148BE" w:rsidRPr="00BC7BB5">
        <w:rPr>
          <w:rFonts w:ascii="Times New Roman" w:hAnsi="Times New Roman" w:cs="Arial"/>
        </w:rPr>
        <w:t>autonomous agencies and</w:t>
      </w:r>
      <w:r w:rsidR="003E1A69" w:rsidRPr="00BC7BB5">
        <w:rPr>
          <w:rFonts w:ascii="Times New Roman" w:hAnsi="Times New Roman" w:cs="Arial"/>
        </w:rPr>
        <w:t xml:space="preserve"> to</w:t>
      </w:r>
      <w:r w:rsidR="00D148BE" w:rsidRPr="00BC7BB5">
        <w:rPr>
          <w:rFonts w:ascii="Times New Roman" w:hAnsi="Times New Roman" w:cs="Arial"/>
        </w:rPr>
        <w:t xml:space="preserve"> the private sector through public-private partnerships</w:t>
      </w:r>
      <w:r w:rsidR="0077304D">
        <w:rPr>
          <w:rFonts w:ascii="Times New Roman" w:hAnsi="Times New Roman" w:cs="Arial"/>
        </w:rPr>
        <w:t xml:space="preserve"> (PPP)</w:t>
      </w:r>
      <w:r w:rsidR="00D148BE" w:rsidRPr="00BC7BB5">
        <w:rPr>
          <w:rFonts w:ascii="Times New Roman" w:hAnsi="Times New Roman" w:cs="Arial"/>
        </w:rPr>
        <w:t xml:space="preserve">. </w:t>
      </w:r>
      <w:r w:rsidR="00406B5B" w:rsidRPr="00BC7BB5">
        <w:rPr>
          <w:rFonts w:ascii="Times New Roman" w:hAnsi="Times New Roman" w:cs="Arial"/>
        </w:rPr>
        <w:t>Finally, one of the core objectives of the PMV is to create an enabling environment to crowd</w:t>
      </w:r>
      <w:r w:rsidR="0077304D">
        <w:rPr>
          <w:rFonts w:ascii="Times New Roman" w:hAnsi="Times New Roman" w:cs="Arial"/>
        </w:rPr>
        <w:t xml:space="preserve"> </w:t>
      </w:r>
      <w:r w:rsidR="00406B5B" w:rsidRPr="00BC7BB5">
        <w:rPr>
          <w:rFonts w:ascii="Times New Roman" w:hAnsi="Times New Roman" w:cs="Arial"/>
        </w:rPr>
        <w:t>in additional investments from the private sector.</w:t>
      </w:r>
    </w:p>
    <w:p w14:paraId="0DD1C5C0" w14:textId="77777777" w:rsidR="00D148BE" w:rsidRPr="00BC7BB5" w:rsidRDefault="00D148BE" w:rsidP="00D148BE">
      <w:pPr>
        <w:pStyle w:val="NoSpacing"/>
        <w:ind w:left="420"/>
        <w:jc w:val="both"/>
        <w:rPr>
          <w:rFonts w:ascii="Times New Roman" w:hAnsi="Times New Roman" w:cs="Times New Roman"/>
        </w:rPr>
      </w:pPr>
    </w:p>
    <w:p w14:paraId="13F53FA7" w14:textId="2C4CD141" w:rsidR="004B706B" w:rsidRPr="00BC7BB5" w:rsidRDefault="001707E0" w:rsidP="00B35A06">
      <w:pPr>
        <w:pStyle w:val="NoSpacing"/>
        <w:numPr>
          <w:ilvl w:val="0"/>
          <w:numId w:val="7"/>
        </w:numPr>
        <w:ind w:left="0" w:firstLine="0"/>
        <w:jc w:val="both"/>
        <w:rPr>
          <w:rFonts w:ascii="Times New Roman" w:hAnsi="Times New Roman" w:cs="Times New Roman"/>
        </w:rPr>
      </w:pPr>
      <w:r w:rsidRPr="00BC7BB5">
        <w:rPr>
          <w:rFonts w:ascii="Times New Roman" w:hAnsi="Times New Roman" w:cs="Times New Roman"/>
          <w:b/>
        </w:rPr>
        <w:t xml:space="preserve">The </w:t>
      </w:r>
      <w:r w:rsidR="004643D0" w:rsidRPr="00BC7BB5">
        <w:rPr>
          <w:rFonts w:ascii="Times New Roman" w:hAnsi="Times New Roman" w:cs="Times New Roman"/>
          <w:b/>
        </w:rPr>
        <w:t xml:space="preserve">Ministry </w:t>
      </w:r>
      <w:r w:rsidR="00C37D25" w:rsidRPr="00BC7BB5">
        <w:rPr>
          <w:rFonts w:ascii="Times New Roman" w:hAnsi="Times New Roman" w:cs="Times New Roman"/>
          <w:b/>
        </w:rPr>
        <w:t>coordinate</w:t>
      </w:r>
      <w:r w:rsidR="004B706B" w:rsidRPr="00BC7BB5">
        <w:rPr>
          <w:rFonts w:ascii="Times New Roman" w:hAnsi="Times New Roman" w:cs="Times New Roman"/>
          <w:b/>
        </w:rPr>
        <w:t>s the implementation of the PMV</w:t>
      </w:r>
      <w:r w:rsidR="00C37D25" w:rsidRPr="00BC7BB5">
        <w:rPr>
          <w:rFonts w:ascii="Times New Roman" w:hAnsi="Times New Roman" w:cs="Times New Roman"/>
          <w:b/>
        </w:rPr>
        <w:t xml:space="preserve"> </w:t>
      </w:r>
      <w:r w:rsidR="00161CEA" w:rsidRPr="00BC7BB5">
        <w:rPr>
          <w:rFonts w:ascii="Times New Roman" w:hAnsi="Times New Roman" w:cs="Times New Roman"/>
          <w:b/>
        </w:rPr>
        <w:t xml:space="preserve">with </w:t>
      </w:r>
      <w:r w:rsidR="006F7F1E" w:rsidRPr="00BC7BB5">
        <w:rPr>
          <w:rFonts w:ascii="Times New Roman" w:hAnsi="Times New Roman" w:cs="Times New Roman"/>
          <w:b/>
        </w:rPr>
        <w:t>the support of</w:t>
      </w:r>
      <w:r w:rsidR="00161CEA" w:rsidRPr="00BC7BB5">
        <w:rPr>
          <w:rFonts w:ascii="Times New Roman" w:hAnsi="Times New Roman" w:cs="Times New Roman"/>
          <w:b/>
        </w:rPr>
        <w:t xml:space="preserve"> several </w:t>
      </w:r>
      <w:r w:rsidR="006F3FBA" w:rsidRPr="00BC7BB5">
        <w:rPr>
          <w:rFonts w:ascii="Times New Roman" w:hAnsi="Times New Roman" w:cs="Times New Roman"/>
          <w:b/>
        </w:rPr>
        <w:t xml:space="preserve">autonomous </w:t>
      </w:r>
      <w:r w:rsidR="00161CEA" w:rsidRPr="00BC7BB5">
        <w:rPr>
          <w:rFonts w:ascii="Times New Roman" w:hAnsi="Times New Roman" w:cs="Times New Roman"/>
          <w:b/>
        </w:rPr>
        <w:t xml:space="preserve">agencies that it </w:t>
      </w:r>
      <w:r w:rsidR="00782B3E" w:rsidRPr="00BC7BB5">
        <w:rPr>
          <w:rFonts w:ascii="Times New Roman" w:hAnsi="Times New Roman" w:cs="Times New Roman"/>
          <w:b/>
        </w:rPr>
        <w:t>oversees</w:t>
      </w:r>
      <w:r w:rsidR="006F3FBA" w:rsidRPr="00BC7BB5">
        <w:rPr>
          <w:rFonts w:ascii="Times New Roman" w:hAnsi="Times New Roman" w:cs="Times New Roman"/>
        </w:rPr>
        <w:t>. Those agencies</w:t>
      </w:r>
      <w:r w:rsidR="00250F4C" w:rsidRPr="00BC7BB5">
        <w:rPr>
          <w:rFonts w:ascii="Times New Roman" w:hAnsi="Times New Roman" w:cs="Times New Roman"/>
        </w:rPr>
        <w:t xml:space="preserve"> includ</w:t>
      </w:r>
      <w:r w:rsidR="006F3FBA" w:rsidRPr="00BC7BB5">
        <w:rPr>
          <w:rFonts w:ascii="Times New Roman" w:hAnsi="Times New Roman" w:cs="Times New Roman"/>
        </w:rPr>
        <w:t>e</w:t>
      </w:r>
      <w:r w:rsidR="00EB2FE5" w:rsidRPr="00BC7BB5">
        <w:rPr>
          <w:rFonts w:ascii="Times New Roman" w:hAnsi="Times New Roman" w:cs="Times New Roman"/>
        </w:rPr>
        <w:t>: (a)</w:t>
      </w:r>
      <w:r w:rsidR="00ED3801" w:rsidRPr="00BC7BB5">
        <w:rPr>
          <w:rFonts w:ascii="Times New Roman" w:hAnsi="Times New Roman" w:cs="Times New Roman"/>
        </w:rPr>
        <w:t xml:space="preserve"> </w:t>
      </w:r>
      <w:r w:rsidR="00F71154">
        <w:rPr>
          <w:rFonts w:ascii="Times New Roman" w:hAnsi="Times New Roman" w:cs="Times New Roman"/>
          <w:i/>
        </w:rPr>
        <w:t>Agence pour le</w:t>
      </w:r>
      <w:r w:rsidR="00ED3801" w:rsidRPr="00BC7BB5">
        <w:rPr>
          <w:rFonts w:ascii="Times New Roman" w:hAnsi="Times New Roman" w:cs="Times New Roman"/>
          <w:i/>
        </w:rPr>
        <w:t xml:space="preserve"> Développement Agricole</w:t>
      </w:r>
      <w:r w:rsidR="006F3FBA" w:rsidRPr="00BC7BB5">
        <w:rPr>
          <w:rFonts w:ascii="Times New Roman" w:hAnsi="Times New Roman" w:cs="Times New Roman"/>
        </w:rPr>
        <w:t xml:space="preserve"> (Agricultural Development Agency, ADA</w:t>
      </w:r>
      <w:r w:rsidR="00DE2EF7">
        <w:rPr>
          <w:rFonts w:ascii="Times New Roman" w:hAnsi="Times New Roman" w:cs="Times New Roman"/>
        </w:rPr>
        <w:fldChar w:fldCharType="begin"/>
      </w:r>
      <w:r w:rsidR="00DE2EF7">
        <w:instrText xml:space="preserve"> XE "</w:instrText>
      </w:r>
      <w:r w:rsidR="00DE2EF7" w:rsidRPr="0053271F">
        <w:rPr>
          <w:rFonts w:ascii="Times New Roman" w:hAnsi="Times New Roman" w:cs="Times New Roman"/>
        </w:rPr>
        <w:instrText>ADA:</w:instrText>
      </w:r>
      <w:r w:rsidR="00DE2EF7" w:rsidRPr="0053271F">
        <w:instrText>Agence de Développement Agricole (Agricultural Development Agency</w:instrText>
      </w:r>
      <w:r w:rsidR="00DE2EF7">
        <w:instrText xml:space="preserve">" </w:instrText>
      </w:r>
      <w:r w:rsidR="00DE2EF7">
        <w:rPr>
          <w:rFonts w:ascii="Times New Roman" w:hAnsi="Times New Roman" w:cs="Times New Roman"/>
        </w:rPr>
        <w:fldChar w:fldCharType="end"/>
      </w:r>
      <w:r w:rsidR="006F3FBA" w:rsidRPr="00BC7BB5">
        <w:rPr>
          <w:rFonts w:ascii="Times New Roman" w:hAnsi="Times New Roman" w:cs="Times New Roman"/>
        </w:rPr>
        <w:t xml:space="preserve">) </w:t>
      </w:r>
      <w:r w:rsidR="00EB2FE5" w:rsidRPr="00BC7BB5">
        <w:rPr>
          <w:rFonts w:ascii="Times New Roman" w:hAnsi="Times New Roman" w:cs="Times New Roman"/>
        </w:rPr>
        <w:t xml:space="preserve">which </w:t>
      </w:r>
      <w:r w:rsidR="00ED3801" w:rsidRPr="00BC7BB5">
        <w:rPr>
          <w:rFonts w:ascii="Times New Roman" w:hAnsi="Times New Roman" w:cs="Times New Roman"/>
        </w:rPr>
        <w:t xml:space="preserve">contributes to the implementation of the </w:t>
      </w:r>
      <w:r w:rsidR="003C421C" w:rsidRPr="00BC7BB5">
        <w:rPr>
          <w:rFonts w:ascii="Times New Roman" w:hAnsi="Times New Roman" w:cs="Times New Roman"/>
        </w:rPr>
        <w:t>PMV</w:t>
      </w:r>
      <w:r w:rsidR="00ED3801" w:rsidRPr="00BC7BB5">
        <w:rPr>
          <w:rFonts w:ascii="Times New Roman" w:hAnsi="Times New Roman" w:cs="Times New Roman"/>
        </w:rPr>
        <w:t xml:space="preserve"> </w:t>
      </w:r>
      <w:r w:rsidR="008A65EE" w:rsidRPr="00BC7BB5">
        <w:rPr>
          <w:rFonts w:ascii="Times New Roman" w:hAnsi="Times New Roman" w:cs="Times New Roman"/>
        </w:rPr>
        <w:t>by</w:t>
      </w:r>
      <w:r w:rsidR="001475C2" w:rsidRPr="00BC7BB5">
        <w:rPr>
          <w:rFonts w:ascii="Times New Roman" w:hAnsi="Times New Roman" w:cs="Times New Roman"/>
        </w:rPr>
        <w:t xml:space="preserve"> promoting private investment in both commercial and</w:t>
      </w:r>
      <w:r w:rsidR="00905CB4" w:rsidRPr="00BC7BB5">
        <w:rPr>
          <w:rFonts w:ascii="Times New Roman" w:hAnsi="Times New Roman" w:cs="Times New Roman"/>
        </w:rPr>
        <w:t xml:space="preserve"> smallholder agriculture projects</w:t>
      </w:r>
      <w:r w:rsidR="00EB2FE5" w:rsidRPr="00BC7BB5">
        <w:rPr>
          <w:rFonts w:ascii="Times New Roman" w:hAnsi="Times New Roman" w:cs="Times New Roman"/>
        </w:rPr>
        <w:t>, (b)</w:t>
      </w:r>
      <w:r w:rsidR="00ED3801" w:rsidRPr="00BC7BB5">
        <w:rPr>
          <w:rFonts w:ascii="Times New Roman" w:hAnsi="Times New Roman" w:cs="Times New Roman"/>
        </w:rPr>
        <w:t xml:space="preserve"> </w:t>
      </w:r>
      <w:r w:rsidR="00ED3801" w:rsidRPr="00BC7BB5">
        <w:rPr>
          <w:rFonts w:ascii="Times New Roman" w:hAnsi="Times New Roman" w:cs="Times New Roman"/>
          <w:i/>
        </w:rPr>
        <w:t>Office National de Sécurité Sanitaire des produits Alimentaires</w:t>
      </w:r>
      <w:r w:rsidR="006F3FBA" w:rsidRPr="00BC7BB5">
        <w:rPr>
          <w:rFonts w:ascii="Times New Roman" w:hAnsi="Times New Roman" w:cs="Times New Roman"/>
          <w:i/>
        </w:rPr>
        <w:t xml:space="preserve"> </w:t>
      </w:r>
      <w:r w:rsidR="006F3FBA" w:rsidRPr="00BC7BB5">
        <w:rPr>
          <w:rFonts w:ascii="Times New Roman" w:hAnsi="Times New Roman" w:cs="Times New Roman"/>
        </w:rPr>
        <w:t>(the national food safety agency, ONSSA</w:t>
      </w:r>
      <w:r w:rsidR="00DE2EF7">
        <w:rPr>
          <w:rFonts w:ascii="Times New Roman" w:hAnsi="Times New Roman" w:cs="Times New Roman"/>
        </w:rPr>
        <w:fldChar w:fldCharType="begin"/>
      </w:r>
      <w:r w:rsidR="00DE2EF7">
        <w:instrText xml:space="preserve"> XE "</w:instrText>
      </w:r>
      <w:r w:rsidR="00DE2EF7" w:rsidRPr="00C13324">
        <w:rPr>
          <w:rFonts w:ascii="Times New Roman" w:hAnsi="Times New Roman" w:cs="Times New Roman"/>
        </w:rPr>
        <w:instrText>ONSSA:</w:instrText>
      </w:r>
      <w:r w:rsidR="00DE2EF7" w:rsidRPr="00C13324">
        <w:instrText>Office National de Sécurité Sanitaire des produits Alimentaires</w:instrText>
      </w:r>
      <w:r w:rsidR="00DE2EF7">
        <w:instrText xml:space="preserve">" </w:instrText>
      </w:r>
      <w:r w:rsidR="00DE2EF7">
        <w:rPr>
          <w:rFonts w:ascii="Times New Roman" w:hAnsi="Times New Roman" w:cs="Times New Roman"/>
        </w:rPr>
        <w:fldChar w:fldCharType="end"/>
      </w:r>
      <w:r w:rsidR="00ED3801" w:rsidRPr="00BC7BB5">
        <w:rPr>
          <w:rFonts w:ascii="Times New Roman" w:hAnsi="Times New Roman" w:cs="Times New Roman"/>
        </w:rPr>
        <w:t xml:space="preserve">) </w:t>
      </w:r>
      <w:r w:rsidR="00EB2FE5" w:rsidRPr="00BC7BB5">
        <w:rPr>
          <w:rFonts w:ascii="Times New Roman" w:hAnsi="Times New Roman" w:cs="Times New Roman"/>
        </w:rPr>
        <w:t xml:space="preserve">which </w:t>
      </w:r>
      <w:r w:rsidR="000B39C2" w:rsidRPr="00BC7BB5">
        <w:rPr>
          <w:rFonts w:ascii="Times New Roman" w:hAnsi="Times New Roman" w:cs="Times New Roman"/>
        </w:rPr>
        <w:t>controls the application</w:t>
      </w:r>
      <w:r w:rsidR="00ED3801" w:rsidRPr="00BC7BB5">
        <w:rPr>
          <w:rFonts w:ascii="Times New Roman" w:hAnsi="Times New Roman" w:cs="Times New Roman"/>
        </w:rPr>
        <w:t xml:space="preserve"> of norms and regulations related to food safety and SPS</w:t>
      </w:r>
      <w:r w:rsidR="00BC5D74" w:rsidRPr="00BC7BB5">
        <w:rPr>
          <w:rFonts w:ascii="Times New Roman" w:hAnsi="Times New Roman" w:cs="Times New Roman"/>
        </w:rPr>
        <w:t xml:space="preserve"> </w:t>
      </w:r>
      <w:r w:rsidR="00E319AD" w:rsidRPr="00BC7BB5">
        <w:rPr>
          <w:rFonts w:ascii="Times New Roman" w:hAnsi="Times New Roman" w:cs="Times New Roman"/>
        </w:rPr>
        <w:t>(phytosanitary products, varieties, pests and diseases, traceability)</w:t>
      </w:r>
      <w:r w:rsidR="00EB2FE5" w:rsidRPr="00BC7BB5">
        <w:rPr>
          <w:rFonts w:ascii="Times New Roman" w:hAnsi="Times New Roman" w:cs="Times New Roman"/>
        </w:rPr>
        <w:t xml:space="preserve">, and (c) </w:t>
      </w:r>
      <w:r w:rsidR="008A65EE" w:rsidRPr="00BC7BB5">
        <w:rPr>
          <w:rFonts w:ascii="Times New Roman" w:hAnsi="Times New Roman" w:cs="Times New Roman"/>
          <w:i/>
        </w:rPr>
        <w:t>Office National du</w:t>
      </w:r>
      <w:r w:rsidR="00EB2FE5" w:rsidRPr="00BC7BB5">
        <w:rPr>
          <w:rFonts w:ascii="Times New Roman" w:hAnsi="Times New Roman" w:cs="Times New Roman"/>
          <w:i/>
        </w:rPr>
        <w:t xml:space="preserve"> Conseil</w:t>
      </w:r>
      <w:r w:rsidR="00EB2FE5" w:rsidRPr="00BC7BB5">
        <w:rPr>
          <w:rFonts w:ascii="Times New Roman" w:hAnsi="Times New Roman" w:cs="Times New Roman"/>
        </w:rPr>
        <w:t xml:space="preserve"> </w:t>
      </w:r>
      <w:r w:rsidR="00EB2FE5" w:rsidRPr="00BC7BB5">
        <w:rPr>
          <w:rFonts w:ascii="Times New Roman" w:hAnsi="Times New Roman" w:cs="Times New Roman"/>
          <w:i/>
        </w:rPr>
        <w:t>Agricole</w:t>
      </w:r>
      <w:r w:rsidR="006F3FBA" w:rsidRPr="00BC7BB5">
        <w:rPr>
          <w:rFonts w:ascii="Times New Roman" w:hAnsi="Times New Roman" w:cs="Times New Roman"/>
          <w:i/>
        </w:rPr>
        <w:t xml:space="preserve"> </w:t>
      </w:r>
      <w:r w:rsidR="006F3FBA" w:rsidRPr="00BC7BB5">
        <w:rPr>
          <w:rFonts w:ascii="Times New Roman" w:hAnsi="Times New Roman" w:cs="Times New Roman"/>
        </w:rPr>
        <w:fldChar w:fldCharType="begin"/>
      </w:r>
      <w:r w:rsidR="006F3FBA" w:rsidRPr="00BC7BB5">
        <w:instrText xml:space="preserve"> XE "</w:instrText>
      </w:r>
      <w:r w:rsidR="006F3FBA" w:rsidRPr="00BC7BB5">
        <w:rPr>
          <w:rFonts w:ascii="Times New Roman" w:hAnsi="Times New Roman" w:cs="Times New Roman"/>
        </w:rPr>
        <w:instrText>ONCA:</w:instrText>
      </w:r>
      <w:r w:rsidR="006F3FBA" w:rsidRPr="00BC7BB5">
        <w:instrText xml:space="preserve">Office National de Conseil Agricole" </w:instrText>
      </w:r>
      <w:r w:rsidR="006F3FBA" w:rsidRPr="00BC7BB5">
        <w:rPr>
          <w:rFonts w:ascii="Times New Roman" w:hAnsi="Times New Roman" w:cs="Times New Roman"/>
        </w:rPr>
        <w:fldChar w:fldCharType="end"/>
      </w:r>
      <w:r w:rsidR="006F3FBA" w:rsidRPr="00BC7BB5">
        <w:rPr>
          <w:rFonts w:ascii="Times New Roman" w:hAnsi="Times New Roman" w:cs="Times New Roman"/>
        </w:rPr>
        <w:t xml:space="preserve">(the national agricultural extension agency, ONCA), </w:t>
      </w:r>
      <w:r w:rsidR="00EB2FE5" w:rsidRPr="00BC7BB5">
        <w:rPr>
          <w:rFonts w:ascii="Times New Roman" w:hAnsi="Times New Roman" w:cs="Times New Roman"/>
        </w:rPr>
        <w:t>responsible for providing training and advisory services to producers and their organizations.</w:t>
      </w:r>
      <w:r w:rsidR="00ED3801" w:rsidRPr="00BC7BB5">
        <w:rPr>
          <w:rFonts w:ascii="Times New Roman" w:hAnsi="Times New Roman" w:cs="Times New Roman"/>
        </w:rPr>
        <w:t xml:space="preserve"> </w:t>
      </w:r>
    </w:p>
    <w:p w14:paraId="7A5BD4BC" w14:textId="77777777" w:rsidR="004B706B" w:rsidRPr="00BC7BB5" w:rsidRDefault="004B706B" w:rsidP="004B706B">
      <w:pPr>
        <w:pStyle w:val="ListParagraph"/>
        <w:spacing w:after="0" w:line="240" w:lineRule="auto"/>
        <w:rPr>
          <w:rFonts w:ascii="Times New Roman" w:hAnsi="Times New Roman" w:cs="Times New Roman"/>
        </w:rPr>
      </w:pPr>
    </w:p>
    <w:p w14:paraId="12A627C4" w14:textId="43B0EFF8" w:rsidR="00204BA0" w:rsidRPr="00BC7BB5" w:rsidRDefault="003D3512" w:rsidP="00B35A06">
      <w:pPr>
        <w:pStyle w:val="NoSpacing"/>
        <w:numPr>
          <w:ilvl w:val="0"/>
          <w:numId w:val="7"/>
        </w:numPr>
        <w:ind w:left="0" w:firstLine="0"/>
        <w:jc w:val="both"/>
        <w:rPr>
          <w:rFonts w:ascii="Times New Roman" w:hAnsi="Times New Roman" w:cs="Times New Roman"/>
        </w:rPr>
      </w:pPr>
      <w:r w:rsidRPr="00BC7BB5">
        <w:rPr>
          <w:rFonts w:ascii="Times New Roman" w:hAnsi="Times New Roman" w:cs="Times New Roman"/>
          <w:b/>
        </w:rPr>
        <w:t>The impleme</w:t>
      </w:r>
      <w:r w:rsidR="00B7420B" w:rsidRPr="00BC7BB5">
        <w:rPr>
          <w:rFonts w:ascii="Times New Roman" w:hAnsi="Times New Roman" w:cs="Times New Roman"/>
          <w:b/>
        </w:rPr>
        <w:t>ntation of the PMV also involves</w:t>
      </w:r>
      <w:r w:rsidRPr="00BC7BB5">
        <w:rPr>
          <w:rFonts w:ascii="Times New Roman" w:hAnsi="Times New Roman" w:cs="Times New Roman"/>
          <w:b/>
        </w:rPr>
        <w:t xml:space="preserve"> cl</w:t>
      </w:r>
      <w:r w:rsidR="008A65EE" w:rsidRPr="00BC7BB5">
        <w:rPr>
          <w:rFonts w:ascii="Times New Roman" w:hAnsi="Times New Roman" w:cs="Times New Roman"/>
          <w:b/>
        </w:rPr>
        <w:t>ose coordination with other g</w:t>
      </w:r>
      <w:r w:rsidRPr="00BC7BB5">
        <w:rPr>
          <w:rFonts w:ascii="Times New Roman" w:hAnsi="Times New Roman" w:cs="Times New Roman"/>
          <w:b/>
        </w:rPr>
        <w:t>overnment agencies</w:t>
      </w:r>
      <w:r w:rsidR="006F3FBA" w:rsidRPr="00BC7BB5">
        <w:rPr>
          <w:rFonts w:ascii="Times New Roman" w:hAnsi="Times New Roman" w:cs="Times New Roman"/>
        </w:rPr>
        <w:t xml:space="preserve">. Those include </w:t>
      </w:r>
      <w:r w:rsidRPr="00BC7BB5">
        <w:rPr>
          <w:rFonts w:ascii="Times New Roman" w:hAnsi="Times New Roman" w:cs="Times New Roman"/>
        </w:rPr>
        <w:t>the Ministry of Interior (MI</w:t>
      </w:r>
      <w:r w:rsidR="00730643" w:rsidRPr="00BC7BB5">
        <w:rPr>
          <w:rFonts w:ascii="Times New Roman" w:hAnsi="Times New Roman" w:cs="Times New Roman"/>
        </w:rPr>
        <w:fldChar w:fldCharType="begin"/>
      </w:r>
      <w:r w:rsidR="00730643" w:rsidRPr="00BC7BB5">
        <w:instrText xml:space="preserve"> XE "</w:instrText>
      </w:r>
      <w:r w:rsidR="00730643" w:rsidRPr="00BC7BB5">
        <w:rPr>
          <w:rFonts w:ascii="Times New Roman" w:hAnsi="Times New Roman" w:cs="Times New Roman"/>
        </w:rPr>
        <w:instrText>MI:</w:instrText>
      </w:r>
      <w:r w:rsidR="00730643" w:rsidRPr="00BC7BB5">
        <w:instrText xml:space="preserve">Ministry of Interior" </w:instrText>
      </w:r>
      <w:r w:rsidR="00730643" w:rsidRPr="00BC7BB5">
        <w:rPr>
          <w:rFonts w:ascii="Times New Roman" w:hAnsi="Times New Roman" w:cs="Times New Roman"/>
        </w:rPr>
        <w:fldChar w:fldCharType="end"/>
      </w:r>
      <w:r w:rsidRPr="00BC7BB5">
        <w:rPr>
          <w:rFonts w:ascii="Times New Roman" w:hAnsi="Times New Roman" w:cs="Times New Roman"/>
        </w:rPr>
        <w:t>)</w:t>
      </w:r>
      <w:r w:rsidR="008A65EE" w:rsidRPr="00BC7BB5">
        <w:rPr>
          <w:rFonts w:ascii="Times New Roman" w:hAnsi="Times New Roman" w:cs="Times New Roman"/>
        </w:rPr>
        <w:t>, Wilayas</w:t>
      </w:r>
      <w:r w:rsidRPr="00BC7BB5">
        <w:rPr>
          <w:rFonts w:ascii="Times New Roman" w:hAnsi="Times New Roman" w:cs="Times New Roman"/>
        </w:rPr>
        <w:t xml:space="preserve"> </w:t>
      </w:r>
      <w:r w:rsidR="0077304D">
        <w:rPr>
          <w:rFonts w:ascii="Times New Roman" w:hAnsi="Times New Roman" w:cs="Times New Roman"/>
        </w:rPr>
        <w:t xml:space="preserve">(regional governorates) </w:t>
      </w:r>
      <w:r w:rsidRPr="00BC7BB5">
        <w:rPr>
          <w:rFonts w:ascii="Times New Roman" w:hAnsi="Times New Roman" w:cs="Times New Roman"/>
        </w:rPr>
        <w:t xml:space="preserve">and municipalities for the management of market infrastructure, </w:t>
      </w:r>
      <w:r w:rsidR="001C78F4" w:rsidRPr="00BC7BB5">
        <w:rPr>
          <w:rFonts w:ascii="Times New Roman" w:hAnsi="Times New Roman" w:cs="Times New Roman"/>
        </w:rPr>
        <w:t xml:space="preserve">and </w:t>
      </w:r>
      <w:r w:rsidRPr="00BC7BB5">
        <w:rPr>
          <w:rFonts w:ascii="Times New Roman" w:hAnsi="Times New Roman" w:cs="Times New Roman"/>
        </w:rPr>
        <w:t xml:space="preserve">the Ministry of Industry, </w:t>
      </w:r>
      <w:r w:rsidR="001C78F4" w:rsidRPr="00BC7BB5">
        <w:rPr>
          <w:rFonts w:ascii="Times New Roman" w:hAnsi="Times New Roman" w:cs="Times New Roman"/>
        </w:rPr>
        <w:t xml:space="preserve">Investment, </w:t>
      </w:r>
      <w:r w:rsidRPr="00BC7BB5">
        <w:rPr>
          <w:rFonts w:ascii="Times New Roman" w:hAnsi="Times New Roman" w:cs="Times New Roman"/>
        </w:rPr>
        <w:t>Commerce</w:t>
      </w:r>
      <w:r w:rsidR="001C78F4" w:rsidRPr="00BC7BB5">
        <w:rPr>
          <w:rFonts w:ascii="Times New Roman" w:hAnsi="Times New Roman" w:cs="Times New Roman"/>
        </w:rPr>
        <w:t xml:space="preserve"> and </w:t>
      </w:r>
      <w:r w:rsidR="00512A79" w:rsidRPr="00BC7BB5">
        <w:rPr>
          <w:rFonts w:ascii="Times New Roman" w:hAnsi="Times New Roman" w:cs="Times New Roman"/>
        </w:rPr>
        <w:t>the Digital Economy</w:t>
      </w:r>
      <w:r w:rsidR="001C78F4" w:rsidRPr="00BC7BB5">
        <w:rPr>
          <w:rFonts w:ascii="Times New Roman" w:hAnsi="Times New Roman" w:cs="Times New Roman"/>
        </w:rPr>
        <w:t xml:space="preserve"> (MIICEN</w:t>
      </w:r>
      <w:r w:rsidR="00730643" w:rsidRPr="00BC7BB5">
        <w:rPr>
          <w:rFonts w:ascii="Times New Roman" w:hAnsi="Times New Roman" w:cs="Times New Roman"/>
        </w:rPr>
        <w:fldChar w:fldCharType="begin"/>
      </w:r>
      <w:r w:rsidR="00730643" w:rsidRPr="00BC7BB5">
        <w:instrText xml:space="preserve"> XE "</w:instrText>
      </w:r>
      <w:r w:rsidR="00730643" w:rsidRPr="00BC7BB5">
        <w:rPr>
          <w:rFonts w:ascii="Times New Roman" w:hAnsi="Times New Roman" w:cs="Times New Roman"/>
        </w:rPr>
        <w:instrText>MIICEN:</w:instrText>
      </w:r>
      <w:r w:rsidR="00730643" w:rsidRPr="00BC7BB5">
        <w:instrText xml:space="preserve">Ministry of Industry, Investment, Commerce and Information Technologies" </w:instrText>
      </w:r>
      <w:r w:rsidR="00730643" w:rsidRPr="00BC7BB5">
        <w:rPr>
          <w:rFonts w:ascii="Times New Roman" w:hAnsi="Times New Roman" w:cs="Times New Roman"/>
        </w:rPr>
        <w:fldChar w:fldCharType="end"/>
      </w:r>
      <w:r w:rsidR="001C78F4" w:rsidRPr="00BC7BB5">
        <w:rPr>
          <w:rFonts w:ascii="Times New Roman" w:hAnsi="Times New Roman" w:cs="Times New Roman"/>
        </w:rPr>
        <w:t xml:space="preserve">) for </w:t>
      </w:r>
      <w:r w:rsidR="00D9486B" w:rsidRPr="00BC7BB5">
        <w:rPr>
          <w:rFonts w:ascii="Times New Roman" w:hAnsi="Times New Roman" w:cs="Times New Roman"/>
        </w:rPr>
        <w:t>the</w:t>
      </w:r>
      <w:r w:rsidR="001C78F4" w:rsidRPr="00BC7BB5">
        <w:rPr>
          <w:rFonts w:ascii="Times New Roman" w:hAnsi="Times New Roman" w:cs="Times New Roman"/>
        </w:rPr>
        <w:t xml:space="preserve"> development</w:t>
      </w:r>
      <w:r w:rsidR="00D9486B" w:rsidRPr="00BC7BB5">
        <w:rPr>
          <w:rFonts w:ascii="Times New Roman" w:hAnsi="Times New Roman" w:cs="Times New Roman"/>
        </w:rPr>
        <w:t xml:space="preserve"> of agroindustry</w:t>
      </w:r>
      <w:r w:rsidR="001C78F4" w:rsidRPr="00BC7BB5">
        <w:rPr>
          <w:rFonts w:ascii="Times New Roman" w:hAnsi="Times New Roman" w:cs="Times New Roman"/>
        </w:rPr>
        <w:t>.</w:t>
      </w:r>
      <w:r w:rsidRPr="00BC7BB5">
        <w:rPr>
          <w:rFonts w:ascii="Times New Roman" w:hAnsi="Times New Roman" w:cs="Times New Roman"/>
        </w:rPr>
        <w:t xml:space="preserve"> </w:t>
      </w:r>
      <w:r w:rsidR="00ED3801" w:rsidRPr="00BC7BB5">
        <w:rPr>
          <w:rFonts w:ascii="Times New Roman" w:hAnsi="Times New Roman" w:cs="Times New Roman"/>
        </w:rPr>
        <w:t xml:space="preserve">The </w:t>
      </w:r>
      <w:r w:rsidR="00ED3801" w:rsidRPr="00BC7BB5">
        <w:rPr>
          <w:rFonts w:ascii="Times New Roman" w:hAnsi="Times New Roman" w:cs="Times New Roman"/>
          <w:i/>
        </w:rPr>
        <w:t>Crédit Agricole du Maroc</w:t>
      </w:r>
      <w:r w:rsidR="00ED3801" w:rsidRPr="00BC7BB5">
        <w:rPr>
          <w:rFonts w:ascii="Times New Roman" w:hAnsi="Times New Roman" w:cs="Times New Roman"/>
        </w:rPr>
        <w:t xml:space="preserve"> (CAM</w:t>
      </w:r>
      <w:r w:rsidR="00730643" w:rsidRPr="00BC7BB5">
        <w:rPr>
          <w:rFonts w:ascii="Times New Roman" w:hAnsi="Times New Roman" w:cs="Times New Roman"/>
        </w:rPr>
        <w:fldChar w:fldCharType="begin"/>
      </w:r>
      <w:r w:rsidR="00730643" w:rsidRPr="00BC7BB5">
        <w:instrText xml:space="preserve"> XE "</w:instrText>
      </w:r>
      <w:r w:rsidR="00730643" w:rsidRPr="00BC7BB5">
        <w:rPr>
          <w:rFonts w:ascii="Times New Roman" w:hAnsi="Times New Roman" w:cs="Times New Roman"/>
        </w:rPr>
        <w:instrText>CAM:</w:instrText>
      </w:r>
      <w:r w:rsidR="00730643" w:rsidRPr="00BC7BB5">
        <w:instrText xml:space="preserve">Crédit Agricole du Maroc" </w:instrText>
      </w:r>
      <w:r w:rsidR="00730643" w:rsidRPr="00BC7BB5">
        <w:rPr>
          <w:rFonts w:ascii="Times New Roman" w:hAnsi="Times New Roman" w:cs="Times New Roman"/>
        </w:rPr>
        <w:fldChar w:fldCharType="end"/>
      </w:r>
      <w:r w:rsidR="00ED3801" w:rsidRPr="00BC7BB5">
        <w:rPr>
          <w:rFonts w:ascii="Times New Roman" w:hAnsi="Times New Roman" w:cs="Times New Roman"/>
        </w:rPr>
        <w:t xml:space="preserve">) provides financial </w:t>
      </w:r>
      <w:r w:rsidR="008A65EE" w:rsidRPr="00BC7BB5">
        <w:rPr>
          <w:rFonts w:ascii="Times New Roman" w:hAnsi="Times New Roman" w:cs="Times New Roman"/>
        </w:rPr>
        <w:t>services to producers through a</w:t>
      </w:r>
      <w:r w:rsidR="00ED3801" w:rsidRPr="00BC7BB5">
        <w:rPr>
          <w:rFonts w:ascii="Times New Roman" w:hAnsi="Times New Roman" w:cs="Times New Roman"/>
        </w:rPr>
        <w:t xml:space="preserve"> range of financial products (commercial, intermediate </w:t>
      </w:r>
      <w:r w:rsidR="00ED3801" w:rsidRPr="00BC7BB5">
        <w:rPr>
          <w:rFonts w:ascii="Times New Roman" w:hAnsi="Times New Roman" w:cs="Times New Roman"/>
        </w:rPr>
        <w:lastRenderedPageBreak/>
        <w:t>and microfinance). The National Agriculture Research Institute (INRA</w:t>
      </w:r>
      <w:r w:rsidR="00730643" w:rsidRPr="00BC7BB5">
        <w:rPr>
          <w:rFonts w:ascii="Times New Roman" w:hAnsi="Times New Roman" w:cs="Times New Roman"/>
        </w:rPr>
        <w:fldChar w:fldCharType="begin"/>
      </w:r>
      <w:r w:rsidR="00730643" w:rsidRPr="00BC7BB5">
        <w:instrText xml:space="preserve"> XE "</w:instrText>
      </w:r>
      <w:r w:rsidR="00730643" w:rsidRPr="00BC7BB5">
        <w:rPr>
          <w:rFonts w:ascii="Times New Roman" w:hAnsi="Times New Roman" w:cs="Times New Roman"/>
        </w:rPr>
        <w:instrText>INRA:</w:instrText>
      </w:r>
      <w:r w:rsidR="00730643" w:rsidRPr="00BC7BB5">
        <w:instrText xml:space="preserve">National Agriculture Research Institute" </w:instrText>
      </w:r>
      <w:r w:rsidR="00730643" w:rsidRPr="00BC7BB5">
        <w:rPr>
          <w:rFonts w:ascii="Times New Roman" w:hAnsi="Times New Roman" w:cs="Times New Roman"/>
        </w:rPr>
        <w:fldChar w:fldCharType="end"/>
      </w:r>
      <w:r w:rsidR="00ED3801" w:rsidRPr="00BC7BB5">
        <w:rPr>
          <w:rFonts w:ascii="Times New Roman" w:hAnsi="Times New Roman" w:cs="Times New Roman"/>
        </w:rPr>
        <w:t xml:space="preserve">) undertakes agricultural research in various areas (adaptation to climate change, irrigation, productivity, soil conservation etc.) through 30 research centers. Other research institutions include the </w:t>
      </w:r>
      <w:r w:rsidR="00ED3801" w:rsidRPr="00BC7BB5">
        <w:rPr>
          <w:rFonts w:ascii="Times New Roman" w:hAnsi="Times New Roman" w:cs="Times New Roman"/>
          <w:i/>
        </w:rPr>
        <w:t>Institut Agronomique et Vétérinaire Hassan II</w:t>
      </w:r>
      <w:r w:rsidR="00ED3801" w:rsidRPr="00BC7BB5">
        <w:rPr>
          <w:rFonts w:ascii="Times New Roman" w:hAnsi="Times New Roman" w:cs="Times New Roman"/>
        </w:rPr>
        <w:t xml:space="preserve"> (IAV</w:t>
      </w:r>
      <w:r w:rsidR="00730643" w:rsidRPr="00BC7BB5">
        <w:rPr>
          <w:rFonts w:ascii="Times New Roman" w:hAnsi="Times New Roman" w:cs="Times New Roman"/>
        </w:rPr>
        <w:fldChar w:fldCharType="begin"/>
      </w:r>
      <w:r w:rsidR="00730643" w:rsidRPr="00BC7BB5">
        <w:instrText xml:space="preserve"> XE "</w:instrText>
      </w:r>
      <w:r w:rsidR="00730643" w:rsidRPr="00BC7BB5">
        <w:rPr>
          <w:rFonts w:ascii="Times New Roman" w:hAnsi="Times New Roman" w:cs="Times New Roman"/>
        </w:rPr>
        <w:instrText>IAV:</w:instrText>
      </w:r>
      <w:r w:rsidR="00730643" w:rsidRPr="00BC7BB5">
        <w:instrText xml:space="preserve">Institut Agronomique et Vétérinaire" </w:instrText>
      </w:r>
      <w:r w:rsidR="00730643" w:rsidRPr="00BC7BB5">
        <w:rPr>
          <w:rFonts w:ascii="Times New Roman" w:hAnsi="Times New Roman" w:cs="Times New Roman"/>
        </w:rPr>
        <w:fldChar w:fldCharType="end"/>
      </w:r>
      <w:r w:rsidR="00ED3801" w:rsidRPr="00BC7BB5">
        <w:rPr>
          <w:rFonts w:ascii="Times New Roman" w:hAnsi="Times New Roman" w:cs="Times New Roman"/>
        </w:rPr>
        <w:t xml:space="preserve">) and the </w:t>
      </w:r>
      <w:r w:rsidR="00ED3801" w:rsidRPr="00BC7BB5">
        <w:rPr>
          <w:rFonts w:ascii="Times New Roman" w:hAnsi="Times New Roman" w:cs="Times New Roman"/>
          <w:i/>
        </w:rPr>
        <w:t>Ecole Nationale d’Agriculture de Meknès</w:t>
      </w:r>
      <w:r w:rsidR="00ED3801" w:rsidRPr="00BC7BB5">
        <w:rPr>
          <w:rFonts w:ascii="Times New Roman" w:hAnsi="Times New Roman" w:cs="Times New Roman"/>
        </w:rPr>
        <w:t xml:space="preserve"> (ENA</w:t>
      </w:r>
      <w:r w:rsidR="00730643" w:rsidRPr="00BC7BB5">
        <w:rPr>
          <w:rFonts w:ascii="Times New Roman" w:hAnsi="Times New Roman" w:cs="Times New Roman"/>
        </w:rPr>
        <w:fldChar w:fldCharType="begin"/>
      </w:r>
      <w:r w:rsidR="00730643" w:rsidRPr="00BC7BB5">
        <w:instrText xml:space="preserve"> XE "</w:instrText>
      </w:r>
      <w:r w:rsidR="00730643" w:rsidRPr="00BC7BB5">
        <w:rPr>
          <w:rFonts w:ascii="Times New Roman" w:hAnsi="Times New Roman" w:cs="Times New Roman"/>
        </w:rPr>
        <w:instrText>ENA:</w:instrText>
      </w:r>
      <w:r w:rsidR="00730643" w:rsidRPr="00BC7BB5">
        <w:instrText xml:space="preserve">Ecole Nationale d’Agriculture de Meknès" </w:instrText>
      </w:r>
      <w:r w:rsidR="00730643" w:rsidRPr="00BC7BB5">
        <w:rPr>
          <w:rFonts w:ascii="Times New Roman" w:hAnsi="Times New Roman" w:cs="Times New Roman"/>
        </w:rPr>
        <w:fldChar w:fldCharType="end"/>
      </w:r>
      <w:r w:rsidR="00ED3801" w:rsidRPr="00BC7BB5">
        <w:rPr>
          <w:rFonts w:ascii="Times New Roman" w:hAnsi="Times New Roman" w:cs="Times New Roman"/>
        </w:rPr>
        <w:t xml:space="preserve">). </w:t>
      </w:r>
    </w:p>
    <w:p w14:paraId="172B7076" w14:textId="77777777" w:rsidR="00961E71" w:rsidRPr="00BC7BB5" w:rsidRDefault="00961E71" w:rsidP="00961E71">
      <w:pPr>
        <w:pStyle w:val="NoSpacing"/>
        <w:ind w:left="420"/>
        <w:jc w:val="both"/>
        <w:rPr>
          <w:rFonts w:ascii="Times New Roman" w:hAnsi="Times New Roman" w:cs="Times New Roman"/>
        </w:rPr>
      </w:pPr>
    </w:p>
    <w:p w14:paraId="767D41C9" w14:textId="36D9FD7C" w:rsidR="00ED3801" w:rsidRPr="00BC7BB5" w:rsidRDefault="00204BA0" w:rsidP="00B35A06">
      <w:pPr>
        <w:pStyle w:val="NoSpacing"/>
        <w:numPr>
          <w:ilvl w:val="0"/>
          <w:numId w:val="7"/>
        </w:numPr>
        <w:ind w:left="0" w:firstLine="0"/>
        <w:jc w:val="both"/>
        <w:rPr>
          <w:rFonts w:ascii="Times New Roman" w:hAnsi="Times New Roman" w:cs="Times New Roman"/>
        </w:rPr>
      </w:pPr>
      <w:r w:rsidRPr="00BC7BB5">
        <w:rPr>
          <w:rFonts w:ascii="Times New Roman" w:hAnsi="Times New Roman" w:cs="Times New Roman"/>
          <w:b/>
        </w:rPr>
        <w:t xml:space="preserve">To </w:t>
      </w:r>
      <w:r w:rsidR="003E1A69" w:rsidRPr="00BC7BB5">
        <w:rPr>
          <w:rFonts w:ascii="Times New Roman" w:hAnsi="Times New Roman" w:cs="Times New Roman"/>
          <w:b/>
        </w:rPr>
        <w:t>improve value-chain integration</w:t>
      </w:r>
      <w:r w:rsidR="00B7420B" w:rsidRPr="00BC7BB5">
        <w:rPr>
          <w:rFonts w:ascii="Times New Roman" w:hAnsi="Times New Roman" w:cs="Times New Roman"/>
          <w:b/>
        </w:rPr>
        <w:t xml:space="preserve"> and </w:t>
      </w:r>
      <w:r w:rsidRPr="00BC7BB5">
        <w:rPr>
          <w:rFonts w:ascii="Times New Roman" w:hAnsi="Times New Roman" w:cs="Times New Roman"/>
          <w:b/>
        </w:rPr>
        <w:t>publi</w:t>
      </w:r>
      <w:r w:rsidR="00B7420B" w:rsidRPr="00BC7BB5">
        <w:rPr>
          <w:rFonts w:ascii="Times New Roman" w:hAnsi="Times New Roman" w:cs="Times New Roman"/>
          <w:b/>
        </w:rPr>
        <w:t>c-private dialogue</w:t>
      </w:r>
      <w:r w:rsidRPr="00BC7BB5">
        <w:rPr>
          <w:rFonts w:ascii="Times New Roman" w:hAnsi="Times New Roman" w:cs="Times New Roman"/>
          <w:b/>
        </w:rPr>
        <w:t xml:space="preserve">, </w:t>
      </w:r>
      <w:r w:rsidR="00454A19" w:rsidRPr="00BC7BB5">
        <w:rPr>
          <w:rFonts w:ascii="Times New Roman" w:hAnsi="Times New Roman" w:cs="Times New Roman"/>
          <w:b/>
        </w:rPr>
        <w:t>i</w:t>
      </w:r>
      <w:r w:rsidR="00ED3801" w:rsidRPr="00BC7BB5">
        <w:rPr>
          <w:rFonts w:ascii="Times New Roman" w:hAnsi="Times New Roman" w:cs="Times New Roman"/>
          <w:b/>
        </w:rPr>
        <w:t>ntra-</w:t>
      </w:r>
      <w:r w:rsidR="00D86B80" w:rsidRPr="00BC7BB5">
        <w:rPr>
          <w:rFonts w:ascii="Times New Roman" w:hAnsi="Times New Roman" w:cs="Times New Roman"/>
          <w:b/>
        </w:rPr>
        <w:t>branch</w:t>
      </w:r>
      <w:r w:rsidR="00ED3801" w:rsidRPr="00BC7BB5">
        <w:rPr>
          <w:rFonts w:ascii="Times New Roman" w:hAnsi="Times New Roman" w:cs="Times New Roman"/>
          <w:b/>
        </w:rPr>
        <w:t xml:space="preserve"> professional associations</w:t>
      </w:r>
      <w:r w:rsidR="001475C2" w:rsidRPr="00BC7BB5">
        <w:rPr>
          <w:rFonts w:ascii="Times New Roman" w:hAnsi="Times New Roman" w:cs="Times New Roman"/>
          <w:b/>
        </w:rPr>
        <w:t xml:space="preserve"> (</w:t>
      </w:r>
      <w:r w:rsidR="00ED3801" w:rsidRPr="00BC7BB5">
        <w:rPr>
          <w:rFonts w:ascii="Times New Roman" w:hAnsi="Times New Roman" w:cs="Times New Roman"/>
          <w:b/>
          <w:i/>
        </w:rPr>
        <w:t>Interprofessions</w:t>
      </w:r>
      <w:r w:rsidR="001475C2" w:rsidRPr="00BC7BB5">
        <w:rPr>
          <w:rFonts w:ascii="Times New Roman" w:hAnsi="Times New Roman" w:cs="Times New Roman"/>
          <w:b/>
        </w:rPr>
        <w:t>) were</w:t>
      </w:r>
      <w:r w:rsidR="00ED3801" w:rsidRPr="00BC7BB5">
        <w:rPr>
          <w:rFonts w:ascii="Times New Roman" w:hAnsi="Times New Roman" w:cs="Times New Roman"/>
          <w:b/>
        </w:rPr>
        <w:t xml:space="preserve"> instit</w:t>
      </w:r>
      <w:r w:rsidR="001475C2" w:rsidRPr="00BC7BB5">
        <w:rPr>
          <w:rFonts w:ascii="Times New Roman" w:hAnsi="Times New Roman" w:cs="Times New Roman"/>
          <w:b/>
        </w:rPr>
        <w:t xml:space="preserve">utionalized </w:t>
      </w:r>
      <w:r w:rsidR="00961E71" w:rsidRPr="00BC7BB5">
        <w:rPr>
          <w:rFonts w:ascii="Times New Roman" w:hAnsi="Times New Roman" w:cs="Times New Roman"/>
          <w:b/>
        </w:rPr>
        <w:t>in 2012 (Law 03-12</w:t>
      </w:r>
      <w:r w:rsidR="001475C2" w:rsidRPr="00BC7BB5">
        <w:rPr>
          <w:rFonts w:ascii="Times New Roman" w:hAnsi="Times New Roman" w:cs="Times New Roman"/>
          <w:b/>
        </w:rPr>
        <w:t>)</w:t>
      </w:r>
      <w:r w:rsidR="001475C2" w:rsidRPr="00BC7BB5">
        <w:rPr>
          <w:rFonts w:ascii="Times New Roman" w:hAnsi="Times New Roman" w:cs="Times New Roman"/>
        </w:rPr>
        <w:t xml:space="preserve">. </w:t>
      </w:r>
      <w:r w:rsidR="00D1637E" w:rsidRPr="00BC7BB5">
        <w:rPr>
          <w:rFonts w:ascii="Times New Roman" w:hAnsi="Times New Roman" w:cs="Times New Roman"/>
        </w:rPr>
        <w:t xml:space="preserve">Under the </w:t>
      </w:r>
      <w:r w:rsidR="0077304D">
        <w:rPr>
          <w:rFonts w:ascii="Times New Roman" w:hAnsi="Times New Roman" w:cs="Times New Roman"/>
        </w:rPr>
        <w:t>l</w:t>
      </w:r>
      <w:r w:rsidR="00D1637E" w:rsidRPr="00BC7BB5">
        <w:rPr>
          <w:rFonts w:ascii="Times New Roman" w:hAnsi="Times New Roman" w:cs="Times New Roman"/>
        </w:rPr>
        <w:t>aw, t</w:t>
      </w:r>
      <w:r w:rsidR="001475C2" w:rsidRPr="00BC7BB5">
        <w:rPr>
          <w:rFonts w:ascii="Times New Roman" w:hAnsi="Times New Roman" w:cs="Times New Roman"/>
        </w:rPr>
        <w:t>he</w:t>
      </w:r>
      <w:r w:rsidR="009D103B" w:rsidRPr="00BC7BB5">
        <w:rPr>
          <w:rFonts w:ascii="Times New Roman" w:hAnsi="Times New Roman" w:cs="Times New Roman"/>
        </w:rPr>
        <w:t xml:space="preserve"> i</w:t>
      </w:r>
      <w:r w:rsidR="00735567" w:rsidRPr="00BC7BB5">
        <w:rPr>
          <w:rFonts w:ascii="Times New Roman" w:hAnsi="Times New Roman" w:cs="Times New Roman"/>
        </w:rPr>
        <w:t>nterprofessions</w:t>
      </w:r>
      <w:r w:rsidR="001475C2" w:rsidRPr="00BC7BB5">
        <w:rPr>
          <w:rFonts w:ascii="Times New Roman" w:hAnsi="Times New Roman" w:cs="Times New Roman"/>
        </w:rPr>
        <w:t xml:space="preserve"> </w:t>
      </w:r>
      <w:r w:rsidR="00ED3801" w:rsidRPr="00BC7BB5">
        <w:rPr>
          <w:rFonts w:ascii="Times New Roman" w:hAnsi="Times New Roman" w:cs="Times New Roman"/>
        </w:rPr>
        <w:t xml:space="preserve">are mandated to </w:t>
      </w:r>
      <w:r w:rsidR="004B706B" w:rsidRPr="00BC7BB5">
        <w:rPr>
          <w:rFonts w:ascii="Times New Roman" w:hAnsi="Times New Roman" w:cs="Times New Roman"/>
        </w:rPr>
        <w:t>organize private operators in the sub-sector that they represent (from produce</w:t>
      </w:r>
      <w:r w:rsidR="003E1A69" w:rsidRPr="00BC7BB5">
        <w:rPr>
          <w:rFonts w:ascii="Times New Roman" w:hAnsi="Times New Roman" w:cs="Times New Roman"/>
        </w:rPr>
        <w:t>rs to processors and exporters)</w:t>
      </w:r>
      <w:r w:rsidR="004B706B" w:rsidRPr="00BC7BB5">
        <w:rPr>
          <w:rFonts w:ascii="Times New Roman" w:hAnsi="Times New Roman" w:cs="Times New Roman"/>
        </w:rPr>
        <w:t xml:space="preserve"> and to </w:t>
      </w:r>
      <w:r w:rsidR="00ED3801" w:rsidRPr="00BC7BB5">
        <w:rPr>
          <w:rFonts w:ascii="Times New Roman" w:hAnsi="Times New Roman" w:cs="Times New Roman"/>
        </w:rPr>
        <w:t xml:space="preserve">implement a </w:t>
      </w:r>
      <w:r w:rsidR="003E1A69" w:rsidRPr="00BC7BB5">
        <w:rPr>
          <w:rFonts w:ascii="Times New Roman" w:hAnsi="Times New Roman" w:cs="Times New Roman"/>
        </w:rPr>
        <w:t>broad</w:t>
      </w:r>
      <w:r w:rsidR="00ED3801" w:rsidRPr="00BC7BB5">
        <w:rPr>
          <w:rFonts w:ascii="Times New Roman" w:hAnsi="Times New Roman" w:cs="Times New Roman"/>
        </w:rPr>
        <w:t xml:space="preserve"> set of actions</w:t>
      </w:r>
      <w:r w:rsidR="004B706B" w:rsidRPr="00BC7BB5">
        <w:rPr>
          <w:rFonts w:ascii="Times New Roman" w:hAnsi="Times New Roman" w:cs="Times New Roman"/>
        </w:rPr>
        <w:t xml:space="preserve"> (</w:t>
      </w:r>
      <w:r w:rsidR="00BC5114" w:rsidRPr="00BC7BB5">
        <w:rPr>
          <w:rFonts w:ascii="Times New Roman" w:hAnsi="Times New Roman" w:cs="Times New Roman"/>
        </w:rPr>
        <w:t>such as market</w:t>
      </w:r>
      <w:r w:rsidR="001475C2" w:rsidRPr="00BC7BB5">
        <w:rPr>
          <w:rFonts w:ascii="Times New Roman" w:hAnsi="Times New Roman" w:cs="Times New Roman"/>
        </w:rPr>
        <w:t xml:space="preserve"> </w:t>
      </w:r>
      <w:r w:rsidR="00451FFD" w:rsidRPr="00BC7BB5">
        <w:rPr>
          <w:rFonts w:ascii="Times New Roman" w:hAnsi="Times New Roman" w:cs="Times New Roman"/>
        </w:rPr>
        <w:t xml:space="preserve">research </w:t>
      </w:r>
      <w:r w:rsidR="00BC5114" w:rsidRPr="00BC7BB5">
        <w:rPr>
          <w:rFonts w:ascii="Times New Roman" w:hAnsi="Times New Roman" w:cs="Times New Roman"/>
        </w:rPr>
        <w:t>and development,</w:t>
      </w:r>
      <w:r w:rsidR="00ED3801" w:rsidRPr="00BC7BB5">
        <w:rPr>
          <w:rFonts w:ascii="Times New Roman" w:hAnsi="Times New Roman" w:cs="Times New Roman"/>
        </w:rPr>
        <w:t xml:space="preserve"> research </w:t>
      </w:r>
      <w:r w:rsidR="00BC5114" w:rsidRPr="00BC7BB5">
        <w:rPr>
          <w:rFonts w:ascii="Times New Roman" w:hAnsi="Times New Roman" w:cs="Times New Roman"/>
        </w:rPr>
        <w:t xml:space="preserve">and extension </w:t>
      </w:r>
      <w:r w:rsidR="00ED3801" w:rsidRPr="00BC7BB5">
        <w:rPr>
          <w:rFonts w:ascii="Times New Roman" w:hAnsi="Times New Roman" w:cs="Times New Roman"/>
        </w:rPr>
        <w:t>programs</w:t>
      </w:r>
      <w:r w:rsidR="00BC5114" w:rsidRPr="00BC7BB5">
        <w:rPr>
          <w:rFonts w:ascii="Times New Roman" w:hAnsi="Times New Roman" w:cs="Times New Roman"/>
        </w:rPr>
        <w:t xml:space="preserve">, </w:t>
      </w:r>
      <w:r w:rsidR="00ED3801" w:rsidRPr="00BC7BB5">
        <w:rPr>
          <w:rFonts w:ascii="Times New Roman" w:hAnsi="Times New Roman" w:cs="Times New Roman"/>
        </w:rPr>
        <w:t>d</w:t>
      </w:r>
      <w:r w:rsidR="001475C2" w:rsidRPr="00BC7BB5">
        <w:rPr>
          <w:rFonts w:ascii="Times New Roman" w:hAnsi="Times New Roman" w:cs="Times New Roman"/>
        </w:rPr>
        <w:t xml:space="preserve">issemination </w:t>
      </w:r>
      <w:r w:rsidR="000855CE" w:rsidRPr="00BC7BB5">
        <w:rPr>
          <w:rFonts w:ascii="Times New Roman" w:hAnsi="Times New Roman" w:cs="Times New Roman"/>
        </w:rPr>
        <w:t xml:space="preserve">of </w:t>
      </w:r>
      <w:r w:rsidR="001475C2" w:rsidRPr="00BC7BB5">
        <w:rPr>
          <w:rFonts w:ascii="Times New Roman" w:hAnsi="Times New Roman" w:cs="Times New Roman"/>
        </w:rPr>
        <w:t>norms</w:t>
      </w:r>
      <w:r w:rsidR="003E1A69" w:rsidRPr="00BC7BB5">
        <w:rPr>
          <w:rFonts w:ascii="Times New Roman" w:hAnsi="Times New Roman" w:cs="Times New Roman"/>
        </w:rPr>
        <w:t xml:space="preserve"> and standards</w:t>
      </w:r>
      <w:r w:rsidR="00E7172C" w:rsidRPr="00BC7BB5">
        <w:rPr>
          <w:rFonts w:ascii="Times New Roman" w:hAnsi="Times New Roman" w:cs="Times New Roman"/>
        </w:rPr>
        <w:t xml:space="preserve"> and the</w:t>
      </w:r>
      <w:r w:rsidR="00ED3801" w:rsidRPr="00BC7BB5">
        <w:rPr>
          <w:rFonts w:ascii="Times New Roman" w:hAnsi="Times New Roman" w:cs="Times New Roman"/>
        </w:rPr>
        <w:t xml:space="preserve"> promotion</w:t>
      </w:r>
      <w:r w:rsidR="00E7172C" w:rsidRPr="00BC7BB5">
        <w:rPr>
          <w:rFonts w:ascii="Times New Roman" w:hAnsi="Times New Roman" w:cs="Times New Roman"/>
        </w:rPr>
        <w:t xml:space="preserve"> of</w:t>
      </w:r>
      <w:r w:rsidR="00ED3801" w:rsidRPr="00BC7BB5">
        <w:rPr>
          <w:rFonts w:ascii="Times New Roman" w:hAnsi="Times New Roman" w:cs="Times New Roman"/>
        </w:rPr>
        <w:t xml:space="preserve"> labels of quality</w:t>
      </w:r>
      <w:r w:rsidR="00BC5114" w:rsidRPr="00BC7BB5">
        <w:rPr>
          <w:rFonts w:ascii="Times New Roman" w:hAnsi="Times New Roman" w:cs="Times New Roman"/>
        </w:rPr>
        <w:t>)</w:t>
      </w:r>
      <w:r w:rsidR="00ED3801" w:rsidRPr="00BC7BB5">
        <w:rPr>
          <w:rFonts w:ascii="Times New Roman" w:hAnsi="Times New Roman" w:cs="Times New Roman"/>
        </w:rPr>
        <w:t xml:space="preserve">. </w:t>
      </w:r>
      <w:r w:rsidR="001475C2" w:rsidRPr="00BC7BB5">
        <w:rPr>
          <w:rFonts w:ascii="Times New Roman" w:hAnsi="Times New Roman" w:cs="Times New Roman"/>
        </w:rPr>
        <w:t>T</w:t>
      </w:r>
      <w:r w:rsidR="00ED3801" w:rsidRPr="00BC7BB5">
        <w:rPr>
          <w:rFonts w:ascii="Times New Roman" w:hAnsi="Times New Roman" w:cs="Times New Roman"/>
        </w:rPr>
        <w:t xml:space="preserve">here are </w:t>
      </w:r>
      <w:r w:rsidR="007137DE" w:rsidRPr="00BC7BB5">
        <w:rPr>
          <w:rFonts w:ascii="Times New Roman" w:hAnsi="Times New Roman" w:cs="Times New Roman"/>
        </w:rPr>
        <w:t xml:space="preserve">also </w:t>
      </w:r>
      <w:r w:rsidR="00ED3801" w:rsidRPr="00BC7BB5">
        <w:rPr>
          <w:rFonts w:ascii="Times New Roman" w:hAnsi="Times New Roman" w:cs="Times New Roman"/>
        </w:rPr>
        <w:t>several categories of producer organizations, including Agriculture Chambers (</w:t>
      </w:r>
      <w:r w:rsidR="00ED3801" w:rsidRPr="00BC7BB5">
        <w:rPr>
          <w:rFonts w:ascii="Times New Roman" w:hAnsi="Times New Roman" w:cs="Times New Roman"/>
          <w:i/>
        </w:rPr>
        <w:t>Chambres d’Agriculture</w:t>
      </w:r>
      <w:r w:rsidR="00ED3801" w:rsidRPr="00BC7BB5">
        <w:rPr>
          <w:rFonts w:ascii="Times New Roman" w:hAnsi="Times New Roman" w:cs="Times New Roman"/>
        </w:rPr>
        <w:t xml:space="preserve">), </w:t>
      </w:r>
      <w:r w:rsidR="0077304D">
        <w:rPr>
          <w:rFonts w:ascii="Times New Roman" w:hAnsi="Times New Roman" w:cs="Times New Roman"/>
        </w:rPr>
        <w:t>f</w:t>
      </w:r>
      <w:r w:rsidR="00ED3801" w:rsidRPr="00BC7BB5">
        <w:rPr>
          <w:rFonts w:ascii="Times New Roman" w:hAnsi="Times New Roman" w:cs="Times New Roman"/>
        </w:rPr>
        <w:t xml:space="preserve">ederations, cooperatives </w:t>
      </w:r>
      <w:r w:rsidR="001475C2" w:rsidRPr="00BC7BB5">
        <w:rPr>
          <w:rFonts w:ascii="Times New Roman" w:hAnsi="Times New Roman" w:cs="Times New Roman"/>
        </w:rPr>
        <w:t>(</w:t>
      </w:r>
      <w:r w:rsidR="00ED3801" w:rsidRPr="00BC7BB5">
        <w:rPr>
          <w:rFonts w:ascii="Times New Roman" w:hAnsi="Times New Roman" w:cs="Times New Roman"/>
        </w:rPr>
        <w:t>and their union</w:t>
      </w:r>
      <w:r w:rsidR="001475C2" w:rsidRPr="00BC7BB5">
        <w:rPr>
          <w:rFonts w:ascii="Times New Roman" w:hAnsi="Times New Roman" w:cs="Times New Roman"/>
        </w:rPr>
        <w:t>)</w:t>
      </w:r>
      <w:r w:rsidR="00ED3801" w:rsidRPr="00BC7BB5">
        <w:rPr>
          <w:rFonts w:ascii="Times New Roman" w:hAnsi="Times New Roman" w:cs="Times New Roman"/>
        </w:rPr>
        <w:t>, associations, and Economic Interest Groups (</w:t>
      </w:r>
      <w:r w:rsidR="000855CE" w:rsidRPr="00BC7BB5">
        <w:rPr>
          <w:rFonts w:ascii="Times New Roman" w:hAnsi="Times New Roman" w:cs="Times New Roman"/>
          <w:i/>
        </w:rPr>
        <w:t>Groupements d’Intérê</w:t>
      </w:r>
      <w:r w:rsidR="00ED3801" w:rsidRPr="00BC7BB5">
        <w:rPr>
          <w:rFonts w:ascii="Times New Roman" w:hAnsi="Times New Roman" w:cs="Times New Roman"/>
          <w:i/>
        </w:rPr>
        <w:t>t Economique</w:t>
      </w:r>
      <w:r w:rsidR="00ED3801" w:rsidRPr="00BC7BB5">
        <w:rPr>
          <w:rFonts w:ascii="Times New Roman" w:hAnsi="Times New Roman" w:cs="Times New Roman"/>
        </w:rPr>
        <w:t>, GIE</w:t>
      </w:r>
      <w:r w:rsidR="00730643" w:rsidRPr="00BC7BB5">
        <w:rPr>
          <w:rFonts w:ascii="Times New Roman" w:hAnsi="Times New Roman" w:cs="Times New Roman"/>
        </w:rPr>
        <w:fldChar w:fldCharType="begin"/>
      </w:r>
      <w:r w:rsidR="00730643" w:rsidRPr="00BC7BB5">
        <w:instrText xml:space="preserve"> XE "</w:instrText>
      </w:r>
      <w:r w:rsidR="00730643" w:rsidRPr="00BC7BB5">
        <w:rPr>
          <w:rFonts w:ascii="Times New Roman" w:hAnsi="Times New Roman" w:cs="Times New Roman"/>
        </w:rPr>
        <w:instrText>GIE:</w:instrText>
      </w:r>
      <w:r w:rsidR="00730643" w:rsidRPr="00BC7BB5">
        <w:instrText xml:space="preserve">Groupements d’Interet Economique" </w:instrText>
      </w:r>
      <w:r w:rsidR="00730643" w:rsidRPr="00BC7BB5">
        <w:rPr>
          <w:rFonts w:ascii="Times New Roman" w:hAnsi="Times New Roman" w:cs="Times New Roman"/>
        </w:rPr>
        <w:fldChar w:fldCharType="end"/>
      </w:r>
      <w:r w:rsidR="00ED3801" w:rsidRPr="00BC7BB5">
        <w:rPr>
          <w:rFonts w:ascii="Times New Roman" w:hAnsi="Times New Roman" w:cs="Times New Roman"/>
        </w:rPr>
        <w:t xml:space="preserve">). </w:t>
      </w:r>
    </w:p>
    <w:p w14:paraId="53B2A18B" w14:textId="1CB7C4E4" w:rsidR="004E4895" w:rsidRPr="00BC7BB5" w:rsidRDefault="004E4895" w:rsidP="00E25001">
      <w:pPr>
        <w:pStyle w:val="NoSpacing"/>
        <w:rPr>
          <w:rFonts w:ascii="Times New Roman" w:hAnsi="Times New Roman" w:cs="Times New Roman"/>
        </w:rPr>
      </w:pPr>
    </w:p>
    <w:p w14:paraId="53B2A18C" w14:textId="706C7310" w:rsidR="004E4895" w:rsidRPr="00BC7BB5" w:rsidRDefault="001D2940" w:rsidP="00B35A06">
      <w:pPr>
        <w:pStyle w:val="NoSpacing"/>
        <w:numPr>
          <w:ilvl w:val="0"/>
          <w:numId w:val="1"/>
        </w:numPr>
        <w:ind w:left="0" w:firstLine="0"/>
        <w:outlineLvl w:val="1"/>
        <w:rPr>
          <w:rFonts w:ascii="Times New Roman Bold" w:hAnsi="Times New Roman Bold" w:cs="Times New Roman"/>
          <w:b/>
          <w:smallCaps/>
        </w:rPr>
      </w:pPr>
      <w:r w:rsidRPr="00BC7BB5">
        <w:rPr>
          <w:rFonts w:ascii="Times New Roman Bold" w:hAnsi="Times New Roman Bold" w:cs="Times New Roman"/>
          <w:b/>
          <w:smallCaps/>
        </w:rPr>
        <w:t xml:space="preserve"> </w:t>
      </w:r>
      <w:bookmarkStart w:id="4" w:name="_Toc499113393"/>
      <w:r w:rsidR="009B1189" w:rsidRPr="00BC7BB5">
        <w:rPr>
          <w:rFonts w:ascii="Times New Roman Bold" w:hAnsi="Times New Roman Bold" w:cs="Times New Roman"/>
          <w:b/>
          <w:smallCaps/>
        </w:rPr>
        <w:t xml:space="preserve">Relationship to the </w:t>
      </w:r>
      <w:r w:rsidR="0008505B" w:rsidRPr="00BC7BB5">
        <w:rPr>
          <w:rFonts w:ascii="Times New Roman Bold" w:hAnsi="Times New Roman Bold" w:cs="Times New Roman"/>
          <w:b/>
          <w:smallCaps/>
        </w:rPr>
        <w:t>CPS</w:t>
      </w:r>
      <w:bookmarkEnd w:id="4"/>
    </w:p>
    <w:p w14:paraId="53B2A18D" w14:textId="77777777" w:rsidR="004E4895" w:rsidRPr="00BC7BB5" w:rsidRDefault="004E4895" w:rsidP="004E4895">
      <w:pPr>
        <w:pStyle w:val="NoSpacing"/>
        <w:ind w:left="360"/>
        <w:rPr>
          <w:rFonts w:ascii="Times New Roman" w:hAnsi="Times New Roman" w:cs="Times New Roman"/>
        </w:rPr>
      </w:pPr>
    </w:p>
    <w:p w14:paraId="19C248CB" w14:textId="27B8A2C4" w:rsidR="004009C6" w:rsidRPr="006354B1" w:rsidRDefault="00A406F4" w:rsidP="006354B1">
      <w:pPr>
        <w:pStyle w:val="NoSpacing"/>
        <w:numPr>
          <w:ilvl w:val="0"/>
          <w:numId w:val="7"/>
        </w:numPr>
        <w:ind w:left="0" w:firstLine="0"/>
        <w:jc w:val="both"/>
        <w:rPr>
          <w:rFonts w:ascii="Times New Roman" w:hAnsi="Times New Roman" w:cs="Times New Roman"/>
        </w:rPr>
      </w:pPr>
      <w:r w:rsidRPr="00BC26A9">
        <w:rPr>
          <w:rFonts w:ascii="Times New Roman" w:hAnsi="Times New Roman" w:cs="Times New Roman"/>
          <w:b/>
        </w:rPr>
        <w:t>The proposed operation would contribute to the World Bank Group’s twin goals of eliminating extreme poverty and boosting shared prosperity in a sustainable manner</w:t>
      </w:r>
      <w:r w:rsidRPr="00A406F4">
        <w:rPr>
          <w:rFonts w:ascii="Times New Roman" w:hAnsi="Times New Roman" w:cs="Times New Roman"/>
        </w:rPr>
        <w:t xml:space="preserve">. </w:t>
      </w:r>
      <w:r w:rsidR="00BC26A9">
        <w:rPr>
          <w:rFonts w:ascii="Times New Roman" w:hAnsi="Times New Roman" w:cs="Times New Roman"/>
        </w:rPr>
        <w:t xml:space="preserve"> </w:t>
      </w:r>
      <w:r w:rsidR="00297F7D">
        <w:rPr>
          <w:rFonts w:ascii="Times New Roman" w:hAnsi="Times New Roman" w:cs="Times New Roman"/>
        </w:rPr>
        <w:t xml:space="preserve">It would improve the integration of Morocco’s small and medium agri-food producers and enterprises in agri-food value chains, as well as strengthen the resilience and sustainability of the selected value chains. </w:t>
      </w:r>
      <w:r w:rsidR="00C3154E" w:rsidRPr="006354B1">
        <w:rPr>
          <w:rFonts w:ascii="Times New Roman" w:hAnsi="Times New Roman" w:cs="Times New Roman"/>
        </w:rPr>
        <w:t>The proposed operation is aligned with the Country Partn</w:t>
      </w:r>
      <w:r w:rsidR="009751AF" w:rsidRPr="006354B1">
        <w:rPr>
          <w:rFonts w:ascii="Times New Roman" w:hAnsi="Times New Roman" w:cs="Times New Roman"/>
        </w:rPr>
        <w:t>ership Strategy (CPS</w:t>
      </w:r>
      <w:r w:rsidR="00730643" w:rsidRPr="006354B1">
        <w:rPr>
          <w:rFonts w:ascii="Times New Roman" w:hAnsi="Times New Roman" w:cs="Times New Roman"/>
        </w:rPr>
        <w:fldChar w:fldCharType="begin"/>
      </w:r>
      <w:r w:rsidR="00730643" w:rsidRPr="006354B1">
        <w:rPr>
          <w:rFonts w:ascii="Times New Roman" w:hAnsi="Times New Roman" w:cs="Times New Roman"/>
        </w:rPr>
        <w:instrText xml:space="preserve"> XE "CPS:Country Partnership Strategy" </w:instrText>
      </w:r>
      <w:r w:rsidR="00730643" w:rsidRPr="006354B1">
        <w:rPr>
          <w:rFonts w:ascii="Times New Roman" w:hAnsi="Times New Roman" w:cs="Times New Roman"/>
        </w:rPr>
        <w:fldChar w:fldCharType="end"/>
      </w:r>
      <w:r w:rsidR="009751AF" w:rsidRPr="006354B1">
        <w:rPr>
          <w:rFonts w:ascii="Times New Roman" w:hAnsi="Times New Roman" w:cs="Times New Roman"/>
        </w:rPr>
        <w:t>) 2014-2017</w:t>
      </w:r>
      <w:r w:rsidR="0077304D" w:rsidRPr="00BC26A9">
        <w:rPr>
          <w:rStyle w:val="FootnoteReference"/>
          <w:rFonts w:ascii="Times New Roman" w:hAnsi="Times New Roman" w:cs="Times New Roman"/>
        </w:rPr>
        <w:footnoteReference w:id="9"/>
      </w:r>
      <w:r w:rsidR="00C3154E" w:rsidRPr="006354B1">
        <w:rPr>
          <w:rFonts w:ascii="Times New Roman" w:hAnsi="Times New Roman" w:cs="Times New Roman"/>
        </w:rPr>
        <w:t xml:space="preserve">. </w:t>
      </w:r>
      <w:r w:rsidR="00F8613E" w:rsidRPr="006354B1">
        <w:rPr>
          <w:rFonts w:ascii="Times New Roman" w:hAnsi="Times New Roman" w:cs="Times New Roman"/>
        </w:rPr>
        <w:t xml:space="preserve">The </w:t>
      </w:r>
      <w:r w:rsidR="001B2686" w:rsidRPr="006354B1">
        <w:rPr>
          <w:rFonts w:ascii="Times New Roman" w:hAnsi="Times New Roman" w:cs="Times New Roman"/>
        </w:rPr>
        <w:t xml:space="preserve">Program would support the three strategic result areas of the CPS: (1) “Promoting Competitive and Inclusive Growth”; (2) “Building a Green and Resilient Future”; and (3) </w:t>
      </w:r>
      <w:r w:rsidR="00451FFD" w:rsidRPr="006354B1">
        <w:rPr>
          <w:rFonts w:ascii="Times New Roman" w:hAnsi="Times New Roman" w:cs="Times New Roman"/>
        </w:rPr>
        <w:t>“</w:t>
      </w:r>
      <w:r w:rsidR="001B2686" w:rsidRPr="006354B1">
        <w:rPr>
          <w:rFonts w:ascii="Times New Roman" w:hAnsi="Times New Roman" w:cs="Times New Roman"/>
        </w:rPr>
        <w:t>Strengthening Governance and Institutions for Improved Services</w:t>
      </w:r>
      <w:r w:rsidR="00451FFD" w:rsidRPr="006354B1">
        <w:rPr>
          <w:rFonts w:ascii="Times New Roman" w:hAnsi="Times New Roman" w:cs="Times New Roman"/>
        </w:rPr>
        <w:t>”</w:t>
      </w:r>
      <w:r w:rsidR="001B2686" w:rsidRPr="006354B1">
        <w:rPr>
          <w:rFonts w:ascii="Times New Roman" w:hAnsi="Times New Roman" w:cs="Times New Roman"/>
        </w:rPr>
        <w:t xml:space="preserve">. Specifically, the Program’s support for the strengthening of </w:t>
      </w:r>
      <w:r w:rsidR="00AB1B76" w:rsidRPr="006354B1">
        <w:rPr>
          <w:rFonts w:ascii="Times New Roman" w:hAnsi="Times New Roman" w:cs="Times New Roman"/>
        </w:rPr>
        <w:t>the</w:t>
      </w:r>
      <w:r w:rsidR="00451FFD" w:rsidRPr="006354B1">
        <w:rPr>
          <w:rFonts w:ascii="Times New Roman" w:hAnsi="Times New Roman" w:cs="Times New Roman"/>
        </w:rPr>
        <w:t xml:space="preserve"> interprofessions</w:t>
      </w:r>
      <w:r w:rsidR="00AB1B76" w:rsidRPr="006354B1">
        <w:rPr>
          <w:rFonts w:ascii="Times New Roman" w:hAnsi="Times New Roman" w:cs="Times New Roman"/>
        </w:rPr>
        <w:t xml:space="preserve"> recently recognized by MAPMDREF</w:t>
      </w:r>
      <w:r w:rsidR="001B2686" w:rsidRPr="006354B1">
        <w:rPr>
          <w:rFonts w:ascii="Times New Roman" w:hAnsi="Times New Roman" w:cs="Times New Roman"/>
        </w:rPr>
        <w:t>, improved market infrastructure management and access to market information</w:t>
      </w:r>
      <w:r w:rsidR="00451FFD" w:rsidRPr="006354B1">
        <w:rPr>
          <w:rFonts w:ascii="Times New Roman" w:hAnsi="Times New Roman" w:cs="Times New Roman"/>
        </w:rPr>
        <w:t>,</w:t>
      </w:r>
      <w:r w:rsidR="001B2686" w:rsidRPr="006354B1">
        <w:rPr>
          <w:rFonts w:ascii="Times New Roman" w:hAnsi="Times New Roman" w:cs="Times New Roman"/>
        </w:rPr>
        <w:t xml:space="preserve"> </w:t>
      </w:r>
      <w:r w:rsidR="00451FFD" w:rsidRPr="006354B1">
        <w:rPr>
          <w:rFonts w:ascii="Times New Roman" w:hAnsi="Times New Roman" w:cs="Times New Roman"/>
        </w:rPr>
        <w:t xml:space="preserve">and addressing constraints to SME development though agri-food innovation centers and industry-specific training programs </w:t>
      </w:r>
      <w:r w:rsidR="001B2686" w:rsidRPr="006354B1">
        <w:rPr>
          <w:rFonts w:ascii="Times New Roman" w:hAnsi="Times New Roman" w:cs="Times New Roman"/>
        </w:rPr>
        <w:t>would contribute to the achievement of Outcome 1.1 (Enhance the business environment with a more supportive institutional framework for business entry, trade facilitation, and SME developm</w:t>
      </w:r>
      <w:r w:rsidR="003E1A69" w:rsidRPr="006354B1">
        <w:rPr>
          <w:rFonts w:ascii="Times New Roman" w:hAnsi="Times New Roman" w:cs="Times New Roman"/>
        </w:rPr>
        <w:t>ent). T</w:t>
      </w:r>
      <w:r w:rsidR="001B2686" w:rsidRPr="006354B1">
        <w:rPr>
          <w:rFonts w:ascii="Times New Roman" w:hAnsi="Times New Roman" w:cs="Times New Roman"/>
        </w:rPr>
        <w:t xml:space="preserve">he Program’s support for increased investment in agri-food processing and aggregation, innovative products and green technologies and practices, as well as improved food safety and quality would contribute to Outcome 1.3 (Increase the productivity and value-added of the agri-food sector). </w:t>
      </w:r>
      <w:r w:rsidR="003E1A69" w:rsidRPr="006354B1">
        <w:rPr>
          <w:rFonts w:ascii="Times New Roman" w:hAnsi="Times New Roman" w:cs="Times New Roman"/>
        </w:rPr>
        <w:t xml:space="preserve">Finally, </w:t>
      </w:r>
      <w:r w:rsidR="00F8613E" w:rsidRPr="006354B1">
        <w:rPr>
          <w:rFonts w:ascii="Times New Roman" w:hAnsi="Times New Roman" w:cs="Times New Roman"/>
        </w:rPr>
        <w:t xml:space="preserve">the </w:t>
      </w:r>
      <w:r w:rsidR="003E1A69" w:rsidRPr="006354B1">
        <w:rPr>
          <w:rFonts w:ascii="Times New Roman" w:hAnsi="Times New Roman" w:cs="Times New Roman"/>
        </w:rPr>
        <w:t>P</w:t>
      </w:r>
      <w:r w:rsidR="001B2686" w:rsidRPr="006354B1">
        <w:rPr>
          <w:rFonts w:ascii="Times New Roman" w:hAnsi="Times New Roman" w:cs="Times New Roman"/>
        </w:rPr>
        <w:t>rogram</w:t>
      </w:r>
      <w:r w:rsidR="00F8613E" w:rsidRPr="006354B1">
        <w:rPr>
          <w:rFonts w:ascii="Times New Roman" w:hAnsi="Times New Roman" w:cs="Times New Roman"/>
        </w:rPr>
        <w:t>’s</w:t>
      </w:r>
      <w:r w:rsidR="001B2686" w:rsidRPr="006354B1">
        <w:rPr>
          <w:rFonts w:ascii="Times New Roman" w:hAnsi="Times New Roman" w:cs="Times New Roman"/>
        </w:rPr>
        <w:t xml:space="preserve"> support for improved sector planning and budgeting processes as well as integrated program monitoring, evalua</w:t>
      </w:r>
      <w:r w:rsidR="00366DFF" w:rsidRPr="006354B1">
        <w:rPr>
          <w:rFonts w:ascii="Times New Roman" w:hAnsi="Times New Roman" w:cs="Times New Roman"/>
        </w:rPr>
        <w:t>tion</w:t>
      </w:r>
      <w:r w:rsidR="001B2686" w:rsidRPr="006354B1">
        <w:rPr>
          <w:rFonts w:ascii="Times New Roman" w:hAnsi="Times New Roman" w:cs="Times New Roman"/>
        </w:rPr>
        <w:t xml:space="preserve"> and reporting systems would contribute to the achievement of Outcome 3.2 (Enable more transparent and accountable management of public resources through budget and procurement reforms)</w:t>
      </w:r>
      <w:r w:rsidR="004009C6" w:rsidRPr="006354B1">
        <w:rPr>
          <w:rFonts w:ascii="Times New Roman" w:hAnsi="Times New Roman" w:cs="Times New Roman"/>
          <w:sz w:val="21"/>
          <w:szCs w:val="21"/>
        </w:rPr>
        <w:t>.</w:t>
      </w:r>
    </w:p>
    <w:p w14:paraId="426DB779" w14:textId="6D102B62" w:rsidR="004009C6" w:rsidRDefault="004009C6" w:rsidP="003146C9">
      <w:pPr>
        <w:pStyle w:val="NoSpacing"/>
        <w:jc w:val="both"/>
        <w:rPr>
          <w:rFonts w:ascii="Times New Roman" w:hAnsi="Times New Roman" w:cs="Times New Roman"/>
        </w:rPr>
      </w:pPr>
    </w:p>
    <w:p w14:paraId="205D3435" w14:textId="1818FF62" w:rsidR="00D26847" w:rsidRPr="003146C9" w:rsidRDefault="00D26847" w:rsidP="00D26847">
      <w:pPr>
        <w:pStyle w:val="NoSpacing"/>
        <w:numPr>
          <w:ilvl w:val="0"/>
          <w:numId w:val="7"/>
        </w:numPr>
        <w:ind w:left="0" w:firstLine="0"/>
        <w:jc w:val="both"/>
        <w:rPr>
          <w:rFonts w:ascii="Times New Roman" w:hAnsi="Times New Roman" w:cs="Times New Roman"/>
        </w:rPr>
      </w:pPr>
      <w:r>
        <w:rPr>
          <w:rFonts w:ascii="Times New Roman" w:hAnsi="Times New Roman" w:cs="Times New Roman"/>
          <w:b/>
        </w:rPr>
        <w:t>T</w:t>
      </w:r>
      <w:r w:rsidRPr="00BC7BB5">
        <w:rPr>
          <w:rFonts w:ascii="Times New Roman" w:hAnsi="Times New Roman" w:cs="Times New Roman"/>
          <w:b/>
        </w:rPr>
        <w:t>he</w:t>
      </w:r>
      <w:r w:rsidRPr="00BC7BB5">
        <w:rPr>
          <w:rFonts w:ascii="Times New Roman" w:hAnsi="Times New Roman" w:cs="Times New Roman"/>
        </w:rPr>
        <w:t xml:space="preserve"> </w:t>
      </w:r>
      <w:r w:rsidRPr="00BC7BB5">
        <w:rPr>
          <w:rFonts w:ascii="Times New Roman" w:hAnsi="Times New Roman" w:cs="Times New Roman"/>
          <w:b/>
        </w:rPr>
        <w:t xml:space="preserve">proposed operation </w:t>
      </w:r>
      <w:r>
        <w:rPr>
          <w:rFonts w:ascii="Times New Roman" w:hAnsi="Times New Roman" w:cs="Times New Roman"/>
          <w:b/>
        </w:rPr>
        <w:t xml:space="preserve">contributes to the implementation of the World Bank Group’s </w:t>
      </w:r>
      <w:r w:rsidRPr="00BC7BB5">
        <w:rPr>
          <w:rFonts w:ascii="Times New Roman" w:hAnsi="Times New Roman" w:cs="Times New Roman"/>
          <w:b/>
        </w:rPr>
        <w:t xml:space="preserve">MENA </w:t>
      </w:r>
      <w:r>
        <w:rPr>
          <w:rFonts w:ascii="Times New Roman" w:hAnsi="Times New Roman" w:cs="Times New Roman"/>
          <w:b/>
        </w:rPr>
        <w:t>regional strategy’s pillar on renewal of the social contract, with an emphasis on more inclusive economic growth</w:t>
      </w:r>
      <w:r w:rsidRPr="00BC7BB5">
        <w:rPr>
          <w:rFonts w:ascii="Times New Roman" w:hAnsi="Times New Roman" w:cs="Times New Roman"/>
        </w:rPr>
        <w:t xml:space="preserve">. The analytical work which informed the preparation of the Program highlights the high number of young people, and in particular young women, who find employment opportunities in horticulture and fruit packaging and processing. </w:t>
      </w:r>
      <w:r w:rsidR="00991D58" w:rsidRPr="00991D58">
        <w:rPr>
          <w:rFonts w:ascii="Times New Roman" w:hAnsi="Times New Roman" w:cs="Times New Roman"/>
          <w:color w:val="000000" w:themeColor="text1"/>
        </w:rPr>
        <w:t xml:space="preserve"> </w:t>
      </w:r>
      <w:r w:rsidR="00A406F4">
        <w:rPr>
          <w:rFonts w:ascii="Times New Roman" w:hAnsi="Times New Roman" w:cs="Times New Roman"/>
          <w:color w:val="000000" w:themeColor="text1"/>
        </w:rPr>
        <w:t xml:space="preserve">The proposed operation is expected to expand employment opportunities in those subsectors, including for youth and women. </w:t>
      </w:r>
      <w:r w:rsidR="00991D58">
        <w:rPr>
          <w:rFonts w:ascii="Times New Roman" w:hAnsi="Times New Roman" w:cs="Times New Roman"/>
          <w:color w:val="000000" w:themeColor="text1"/>
        </w:rPr>
        <w:t>While the Program would have</w:t>
      </w:r>
      <w:r w:rsidR="00991D58" w:rsidRPr="00BC7BB5">
        <w:rPr>
          <w:rFonts w:ascii="Times New Roman" w:hAnsi="Times New Roman" w:cs="Times New Roman"/>
          <w:color w:val="000000" w:themeColor="text1"/>
        </w:rPr>
        <w:t xml:space="preserve"> national coverage, it is expected that it would particularly benefit </w:t>
      </w:r>
      <w:r w:rsidR="00991D58">
        <w:rPr>
          <w:rFonts w:ascii="Times New Roman" w:hAnsi="Times New Roman" w:cs="Times New Roman"/>
          <w:color w:val="000000" w:themeColor="text1"/>
        </w:rPr>
        <w:t xml:space="preserve">the </w:t>
      </w:r>
      <w:r w:rsidR="00991D58" w:rsidRPr="00BC7BB5">
        <w:rPr>
          <w:rFonts w:ascii="Times New Roman" w:hAnsi="Times New Roman" w:cs="Times New Roman"/>
          <w:color w:val="000000" w:themeColor="text1"/>
        </w:rPr>
        <w:t xml:space="preserve">lagging regions which contribute </w:t>
      </w:r>
      <w:r w:rsidR="00991D58">
        <w:rPr>
          <w:rFonts w:ascii="Times New Roman" w:hAnsi="Times New Roman" w:cs="Times New Roman"/>
          <w:color w:val="000000" w:themeColor="text1"/>
        </w:rPr>
        <w:t>approximately</w:t>
      </w:r>
      <w:r w:rsidR="00991D58" w:rsidRPr="00BC7BB5">
        <w:rPr>
          <w:rFonts w:ascii="Times New Roman" w:hAnsi="Times New Roman" w:cs="Times New Roman"/>
          <w:color w:val="000000" w:themeColor="text1"/>
        </w:rPr>
        <w:t xml:space="preserve"> 40 to 50 percent of </w:t>
      </w:r>
      <w:r w:rsidR="00991D58">
        <w:rPr>
          <w:rFonts w:ascii="Times New Roman" w:hAnsi="Times New Roman" w:cs="Times New Roman"/>
          <w:color w:val="000000" w:themeColor="text1"/>
        </w:rPr>
        <w:t>national production in</w:t>
      </w:r>
      <w:r w:rsidR="00991D58" w:rsidRPr="00BC7BB5">
        <w:rPr>
          <w:rFonts w:ascii="Times New Roman" w:hAnsi="Times New Roman" w:cs="Times New Roman"/>
          <w:color w:val="000000" w:themeColor="text1"/>
        </w:rPr>
        <w:t xml:space="preserve"> the selected value chains supported by the Program </w:t>
      </w:r>
      <w:r w:rsidR="00991D58">
        <w:rPr>
          <w:rFonts w:ascii="Times New Roman" w:hAnsi="Times New Roman" w:cs="Times New Roman"/>
          <w:color w:val="000000" w:themeColor="text1"/>
        </w:rPr>
        <w:t>(Beni-Mellal-Khénifra, Marrakech-Safi, Fès-Meknè</w:t>
      </w:r>
      <w:r w:rsidR="00991D58" w:rsidRPr="00BC7BB5">
        <w:rPr>
          <w:rFonts w:ascii="Times New Roman" w:hAnsi="Times New Roman" w:cs="Times New Roman"/>
          <w:color w:val="000000" w:themeColor="text1"/>
        </w:rPr>
        <w:t xml:space="preserve">s) and which are home to smaller value-chains benefitting from </w:t>
      </w:r>
      <w:r w:rsidR="00991D58">
        <w:rPr>
          <w:rFonts w:ascii="Times New Roman" w:hAnsi="Times New Roman" w:cs="Times New Roman"/>
          <w:color w:val="000000" w:themeColor="text1"/>
        </w:rPr>
        <w:t xml:space="preserve">the </w:t>
      </w:r>
      <w:r w:rsidR="00991D58" w:rsidRPr="00BC7BB5">
        <w:rPr>
          <w:rFonts w:ascii="Times New Roman" w:hAnsi="Times New Roman" w:cs="Times New Roman"/>
          <w:color w:val="000000" w:themeColor="text1"/>
        </w:rPr>
        <w:t>Program</w:t>
      </w:r>
      <w:r w:rsidR="00991D58">
        <w:rPr>
          <w:rFonts w:ascii="Times New Roman" w:hAnsi="Times New Roman" w:cs="Times New Roman"/>
          <w:color w:val="000000" w:themeColor="text1"/>
        </w:rPr>
        <w:t>’s</w:t>
      </w:r>
      <w:r w:rsidR="00991D58" w:rsidRPr="00BC7BB5">
        <w:rPr>
          <w:rFonts w:ascii="Times New Roman" w:hAnsi="Times New Roman" w:cs="Times New Roman"/>
          <w:color w:val="000000" w:themeColor="text1"/>
        </w:rPr>
        <w:t xml:space="preserve"> support to </w:t>
      </w:r>
      <w:r w:rsidR="00991D58" w:rsidRPr="00BC7BB5">
        <w:rPr>
          <w:rFonts w:ascii="Times New Roman" w:hAnsi="Times New Roman" w:cs="Times New Roman"/>
          <w:sz w:val="21"/>
          <w:szCs w:val="21"/>
        </w:rPr>
        <w:t>Distinctive S</w:t>
      </w:r>
      <w:r w:rsidR="00991D58">
        <w:rPr>
          <w:rFonts w:ascii="Times New Roman" w:hAnsi="Times New Roman" w:cs="Times New Roman"/>
          <w:sz w:val="21"/>
          <w:szCs w:val="21"/>
        </w:rPr>
        <w:t>igns of Origin and Quality (Draâ</w:t>
      </w:r>
      <w:r w:rsidR="00991D58" w:rsidRPr="00BC7BB5">
        <w:rPr>
          <w:rFonts w:ascii="Times New Roman" w:hAnsi="Times New Roman" w:cs="Times New Roman"/>
          <w:sz w:val="21"/>
          <w:szCs w:val="21"/>
        </w:rPr>
        <w:t>-Tafilalet, Souss-Massa).</w:t>
      </w:r>
    </w:p>
    <w:p w14:paraId="06246E2F" w14:textId="77777777" w:rsidR="004009C6" w:rsidRPr="003146C9" w:rsidRDefault="004009C6" w:rsidP="004009C6">
      <w:pPr>
        <w:pStyle w:val="NoSpacing"/>
        <w:jc w:val="both"/>
        <w:rPr>
          <w:rFonts w:ascii="Times New Roman" w:hAnsi="Times New Roman" w:cs="Times New Roman"/>
        </w:rPr>
      </w:pPr>
    </w:p>
    <w:p w14:paraId="603E4224" w14:textId="0F004E23" w:rsidR="007C3DCF" w:rsidRPr="003146C9" w:rsidRDefault="00E95722" w:rsidP="004009C6">
      <w:pPr>
        <w:pStyle w:val="NoSpacing"/>
        <w:numPr>
          <w:ilvl w:val="0"/>
          <w:numId w:val="1"/>
        </w:numPr>
        <w:ind w:left="720" w:hanging="720"/>
        <w:outlineLvl w:val="1"/>
        <w:rPr>
          <w:rFonts w:ascii="Times New Roman Bold" w:hAnsi="Times New Roman Bold" w:cs="Times New Roman"/>
          <w:b/>
          <w:smallCaps/>
        </w:rPr>
      </w:pPr>
      <w:bookmarkStart w:id="5" w:name="_Toc499113394"/>
      <w:r w:rsidRPr="003146C9">
        <w:rPr>
          <w:rFonts w:ascii="Times New Roman Bold" w:hAnsi="Times New Roman Bold" w:cs="Times New Roman"/>
          <w:b/>
          <w:smallCaps/>
        </w:rPr>
        <w:lastRenderedPageBreak/>
        <w:t>Rationale for Bank Engagement and Choice of Financing Instrument</w:t>
      </w:r>
      <w:bookmarkEnd w:id="5"/>
    </w:p>
    <w:p w14:paraId="2984274D" w14:textId="77777777" w:rsidR="007C3DCF" w:rsidRPr="003146C9" w:rsidRDefault="007C3DCF" w:rsidP="007C3DCF">
      <w:pPr>
        <w:pStyle w:val="NoSpacing"/>
        <w:ind w:left="450"/>
        <w:jc w:val="both"/>
        <w:rPr>
          <w:rFonts w:ascii="Times New Roman" w:hAnsi="Times New Roman" w:cs="Times New Roman"/>
          <w:b/>
        </w:rPr>
      </w:pPr>
    </w:p>
    <w:p w14:paraId="305CC328" w14:textId="682B5FA4" w:rsidR="003E1A69" w:rsidRPr="003146C9" w:rsidRDefault="00C3154E" w:rsidP="00735D36">
      <w:pPr>
        <w:pStyle w:val="NoSpacing"/>
        <w:numPr>
          <w:ilvl w:val="0"/>
          <w:numId w:val="7"/>
        </w:numPr>
        <w:ind w:left="0" w:firstLine="0"/>
        <w:jc w:val="both"/>
        <w:rPr>
          <w:rFonts w:ascii="Times New Roman" w:hAnsi="Times New Roman" w:cs="Times New Roman"/>
        </w:rPr>
      </w:pPr>
      <w:r w:rsidRPr="003146C9">
        <w:rPr>
          <w:rFonts w:ascii="Times New Roman" w:hAnsi="Times New Roman" w:cs="Times New Roman"/>
          <w:b/>
        </w:rPr>
        <w:t xml:space="preserve">The </w:t>
      </w:r>
      <w:r w:rsidR="00367692" w:rsidRPr="003146C9">
        <w:rPr>
          <w:rFonts w:ascii="Times New Roman" w:hAnsi="Times New Roman" w:cs="Times New Roman"/>
          <w:b/>
        </w:rPr>
        <w:t xml:space="preserve">Program would represent the next phase of the </w:t>
      </w:r>
      <w:r w:rsidRPr="003146C9">
        <w:rPr>
          <w:rFonts w:ascii="Times New Roman" w:hAnsi="Times New Roman" w:cs="Times New Roman"/>
          <w:b/>
        </w:rPr>
        <w:t>World Bank</w:t>
      </w:r>
      <w:r w:rsidR="00367692" w:rsidRPr="003146C9">
        <w:rPr>
          <w:rFonts w:ascii="Times New Roman" w:hAnsi="Times New Roman" w:cs="Times New Roman"/>
          <w:b/>
        </w:rPr>
        <w:t xml:space="preserve">’s support for the implementation of the PMV. </w:t>
      </w:r>
      <w:r w:rsidR="00367692" w:rsidRPr="003146C9">
        <w:rPr>
          <w:rFonts w:ascii="Times New Roman" w:hAnsi="Times New Roman" w:cs="Times New Roman"/>
        </w:rPr>
        <w:t>The World Bank</w:t>
      </w:r>
      <w:r w:rsidRPr="003146C9">
        <w:rPr>
          <w:rFonts w:ascii="Times New Roman" w:hAnsi="Times New Roman" w:cs="Times New Roman"/>
        </w:rPr>
        <w:t xml:space="preserve"> </w:t>
      </w:r>
      <w:r w:rsidR="00EF5885" w:rsidRPr="003146C9">
        <w:rPr>
          <w:rFonts w:ascii="Times New Roman" w:hAnsi="Times New Roman" w:cs="Times New Roman"/>
        </w:rPr>
        <w:t xml:space="preserve">has </w:t>
      </w:r>
      <w:r w:rsidRPr="003146C9">
        <w:rPr>
          <w:rFonts w:ascii="Times New Roman" w:hAnsi="Times New Roman" w:cs="Times New Roman"/>
        </w:rPr>
        <w:t>suppor</w:t>
      </w:r>
      <w:r w:rsidR="00EF5885" w:rsidRPr="003146C9">
        <w:rPr>
          <w:rFonts w:ascii="Times New Roman" w:hAnsi="Times New Roman" w:cs="Times New Roman"/>
        </w:rPr>
        <w:t>ted the implementation of the</w:t>
      </w:r>
      <w:r w:rsidR="003E1A69" w:rsidRPr="003146C9">
        <w:rPr>
          <w:rFonts w:ascii="Times New Roman" w:hAnsi="Times New Roman" w:cs="Times New Roman"/>
        </w:rPr>
        <w:t xml:space="preserve"> PMV</w:t>
      </w:r>
      <w:r w:rsidR="00EF5885" w:rsidRPr="003146C9">
        <w:rPr>
          <w:rFonts w:ascii="Times New Roman" w:hAnsi="Times New Roman" w:cs="Times New Roman"/>
        </w:rPr>
        <w:t xml:space="preserve"> since its inception</w:t>
      </w:r>
      <w:r w:rsidR="0077304D">
        <w:rPr>
          <w:rFonts w:ascii="Times New Roman" w:hAnsi="Times New Roman" w:cs="Times New Roman"/>
        </w:rPr>
        <w:t>,</w:t>
      </w:r>
      <w:r w:rsidR="00367692" w:rsidRPr="003146C9">
        <w:rPr>
          <w:rFonts w:ascii="Times New Roman" w:hAnsi="Times New Roman" w:cs="Times New Roman"/>
        </w:rPr>
        <w:t xml:space="preserve"> including through</w:t>
      </w:r>
      <w:r w:rsidRPr="003146C9">
        <w:rPr>
          <w:rFonts w:ascii="Times New Roman" w:hAnsi="Times New Roman" w:cs="Times New Roman"/>
        </w:rPr>
        <w:t xml:space="preserve">: (a) a </w:t>
      </w:r>
      <w:r w:rsidR="00735D36" w:rsidRPr="003146C9">
        <w:rPr>
          <w:rFonts w:ascii="Times New Roman" w:hAnsi="Times New Roman" w:cs="Times New Roman"/>
        </w:rPr>
        <w:t xml:space="preserve"> </w:t>
      </w:r>
      <w:r w:rsidR="00273455">
        <w:rPr>
          <w:rFonts w:ascii="Times New Roman" w:hAnsi="Times New Roman" w:cs="Times New Roman"/>
        </w:rPr>
        <w:t xml:space="preserve">series of two development policy loans </w:t>
      </w:r>
      <w:r w:rsidR="00735D36" w:rsidRPr="003146C9">
        <w:rPr>
          <w:rFonts w:ascii="Times New Roman" w:hAnsi="Times New Roman" w:cs="Times New Roman"/>
        </w:rPr>
        <w:t>(</w:t>
      </w:r>
      <w:r w:rsidR="0095668B" w:rsidRPr="003146C9">
        <w:rPr>
          <w:rFonts w:ascii="Times New Roman" w:hAnsi="Times New Roman" w:cs="Times New Roman"/>
        </w:rPr>
        <w:t>DPL</w:t>
      </w:r>
      <w:r w:rsidR="00735D36" w:rsidRPr="003146C9">
        <w:rPr>
          <w:rFonts w:ascii="Times New Roman" w:hAnsi="Times New Roman" w:cs="Times New Roman"/>
        </w:rPr>
        <w:fldChar w:fldCharType="begin"/>
      </w:r>
      <w:r w:rsidR="00735D36" w:rsidRPr="003146C9">
        <w:instrText xml:space="preserve"> XE "</w:instrText>
      </w:r>
      <w:r w:rsidR="00735D36" w:rsidRPr="003146C9">
        <w:rPr>
          <w:rFonts w:ascii="Times New Roman" w:hAnsi="Times New Roman" w:cs="Times New Roman"/>
        </w:rPr>
        <w:instrText>DPL:</w:instrText>
      </w:r>
      <w:r w:rsidR="00735D36" w:rsidRPr="003146C9">
        <w:instrText xml:space="preserve">Development Policy Lending" </w:instrText>
      </w:r>
      <w:r w:rsidR="00735D36" w:rsidRPr="003146C9">
        <w:rPr>
          <w:rFonts w:ascii="Times New Roman" w:hAnsi="Times New Roman" w:cs="Times New Roman"/>
        </w:rPr>
        <w:fldChar w:fldCharType="end"/>
      </w:r>
      <w:r w:rsidR="00735D36" w:rsidRPr="003146C9">
        <w:rPr>
          <w:rFonts w:ascii="Times New Roman" w:hAnsi="Times New Roman" w:cs="Times New Roman"/>
        </w:rPr>
        <w:t>)</w:t>
      </w:r>
      <w:r w:rsidR="0095668B" w:rsidRPr="003146C9">
        <w:rPr>
          <w:rFonts w:ascii="Times New Roman" w:hAnsi="Times New Roman" w:cs="Times New Roman"/>
        </w:rPr>
        <w:t xml:space="preserve"> in support of the PMV</w:t>
      </w:r>
      <w:r w:rsidRPr="003146C9">
        <w:rPr>
          <w:rFonts w:ascii="Times New Roman" w:hAnsi="Times New Roman" w:cs="Times New Roman"/>
        </w:rPr>
        <w:t xml:space="preserve"> (</w:t>
      </w:r>
      <w:r w:rsidR="00273455">
        <w:rPr>
          <w:rFonts w:ascii="Times New Roman" w:hAnsi="Times New Roman" w:cs="Times New Roman"/>
        </w:rPr>
        <w:t xml:space="preserve">during </w:t>
      </w:r>
      <w:r w:rsidRPr="003146C9">
        <w:rPr>
          <w:rFonts w:ascii="Times New Roman" w:hAnsi="Times New Roman" w:cs="Times New Roman"/>
        </w:rPr>
        <w:t xml:space="preserve">2011 to 2014, </w:t>
      </w:r>
      <w:r w:rsidR="00273455">
        <w:rPr>
          <w:rFonts w:ascii="Times New Roman" w:hAnsi="Times New Roman" w:cs="Times New Roman"/>
        </w:rPr>
        <w:t xml:space="preserve">for a total of about </w:t>
      </w:r>
      <w:r w:rsidR="00273455" w:rsidRPr="003146C9">
        <w:rPr>
          <w:rFonts w:ascii="Times New Roman" w:hAnsi="Times New Roman" w:cs="Times New Roman"/>
        </w:rPr>
        <w:t>US</w:t>
      </w:r>
      <w:r w:rsidR="00273455">
        <w:rPr>
          <w:rFonts w:ascii="Times New Roman" w:hAnsi="Times New Roman" w:cs="Times New Roman"/>
        </w:rPr>
        <w:t>$</w:t>
      </w:r>
      <w:r w:rsidR="00273455" w:rsidRPr="003146C9">
        <w:rPr>
          <w:rFonts w:ascii="Times New Roman" w:hAnsi="Times New Roman" w:cs="Times New Roman"/>
        </w:rPr>
        <w:t>40</w:t>
      </w:r>
      <w:r w:rsidR="00273455">
        <w:rPr>
          <w:rFonts w:ascii="Times New Roman" w:hAnsi="Times New Roman" w:cs="Times New Roman"/>
        </w:rPr>
        <w:t>0</w:t>
      </w:r>
      <w:r w:rsidR="00273455" w:rsidRPr="003146C9">
        <w:rPr>
          <w:rFonts w:ascii="Times New Roman" w:hAnsi="Times New Roman" w:cs="Times New Roman"/>
        </w:rPr>
        <w:t xml:space="preserve"> </w:t>
      </w:r>
      <w:r w:rsidRPr="003146C9">
        <w:rPr>
          <w:rFonts w:ascii="Times New Roman" w:hAnsi="Times New Roman" w:cs="Times New Roman"/>
        </w:rPr>
        <w:t xml:space="preserve">million) with a focus on institutional and regulatory measures to improve the efficiency of domestic markets through the </w:t>
      </w:r>
      <w:r w:rsidR="003E1A69" w:rsidRPr="003146C9">
        <w:rPr>
          <w:rFonts w:ascii="Times New Roman" w:hAnsi="Times New Roman" w:cs="Times New Roman"/>
        </w:rPr>
        <w:t>development</w:t>
      </w:r>
      <w:r w:rsidR="0095668B" w:rsidRPr="003146C9">
        <w:rPr>
          <w:rFonts w:ascii="Times New Roman" w:hAnsi="Times New Roman" w:cs="Times New Roman"/>
        </w:rPr>
        <w:t xml:space="preserve"> of modern management models for</w:t>
      </w:r>
      <w:r w:rsidRPr="003146C9">
        <w:rPr>
          <w:rFonts w:ascii="Times New Roman" w:hAnsi="Times New Roman" w:cs="Times New Roman"/>
        </w:rPr>
        <w:t xml:space="preserve"> wholes</w:t>
      </w:r>
      <w:r w:rsidR="00E146A1" w:rsidRPr="003146C9">
        <w:rPr>
          <w:rFonts w:ascii="Times New Roman" w:hAnsi="Times New Roman" w:cs="Times New Roman"/>
        </w:rPr>
        <w:t>ale markets and slaughterhouses,</w:t>
      </w:r>
      <w:r w:rsidRPr="003146C9">
        <w:rPr>
          <w:rFonts w:ascii="Times New Roman" w:hAnsi="Times New Roman" w:cs="Times New Roman"/>
        </w:rPr>
        <w:t xml:space="preserve"> improve the effectiveness of the agricultural inno</w:t>
      </w:r>
      <w:r w:rsidR="00E146A1" w:rsidRPr="003146C9">
        <w:rPr>
          <w:rFonts w:ascii="Times New Roman" w:hAnsi="Times New Roman" w:cs="Times New Roman"/>
        </w:rPr>
        <w:t>vation system</w:t>
      </w:r>
      <w:r w:rsidR="00B367F0" w:rsidRPr="003146C9">
        <w:rPr>
          <w:rFonts w:ascii="Times New Roman" w:hAnsi="Times New Roman" w:cs="Times New Roman"/>
        </w:rPr>
        <w:t xml:space="preserve"> and establish </w:t>
      </w:r>
      <w:r w:rsidRPr="003146C9">
        <w:rPr>
          <w:rFonts w:ascii="Times New Roman" w:hAnsi="Times New Roman" w:cs="Times New Roman"/>
        </w:rPr>
        <w:t>effective food safety management systems; and (b) two ongoing investment operations (</w:t>
      </w:r>
      <w:r w:rsidR="00273455">
        <w:rPr>
          <w:rFonts w:ascii="Times New Roman" w:hAnsi="Times New Roman" w:cs="Times New Roman"/>
        </w:rPr>
        <w:t xml:space="preserve">US$70 million </w:t>
      </w:r>
      <w:r w:rsidRPr="003146C9">
        <w:rPr>
          <w:rFonts w:ascii="Times New Roman" w:hAnsi="Times New Roman" w:cs="Times New Roman"/>
        </w:rPr>
        <w:t>Modernization of Irrigated Agriculture in Oum Er Rbia Basin Project, 2010-2017</w:t>
      </w:r>
      <w:r w:rsidR="00730643" w:rsidRPr="003146C9">
        <w:rPr>
          <w:rFonts w:ascii="Times New Roman" w:hAnsi="Times New Roman" w:cs="Times New Roman"/>
        </w:rPr>
        <w:fldChar w:fldCharType="begin"/>
      </w:r>
      <w:r w:rsidR="00730643" w:rsidRPr="003146C9">
        <w:instrText xml:space="preserve"> XE "</w:instrText>
      </w:r>
      <w:r w:rsidR="00730643" w:rsidRPr="003146C9">
        <w:rPr>
          <w:rFonts w:ascii="Times New Roman" w:hAnsi="Times New Roman" w:cs="Times New Roman"/>
        </w:rPr>
        <w:instrText>IBRD</w:instrText>
      </w:r>
      <w:r w:rsidR="00730643" w:rsidRPr="003146C9">
        <w:instrText xml:space="preserve">" </w:instrText>
      </w:r>
      <w:r w:rsidR="00730643" w:rsidRPr="003146C9">
        <w:rPr>
          <w:rFonts w:ascii="Times New Roman" w:hAnsi="Times New Roman" w:cs="Times New Roman"/>
        </w:rPr>
        <w:fldChar w:fldCharType="end"/>
      </w:r>
      <w:r w:rsidRPr="003146C9">
        <w:rPr>
          <w:rFonts w:ascii="Times New Roman" w:hAnsi="Times New Roman" w:cs="Times New Roman"/>
        </w:rPr>
        <w:t xml:space="preserve">; </w:t>
      </w:r>
      <w:r w:rsidR="00273455">
        <w:rPr>
          <w:rFonts w:ascii="Times New Roman" w:hAnsi="Times New Roman" w:cs="Times New Roman"/>
        </w:rPr>
        <w:t xml:space="preserve">and US$150 million </w:t>
      </w:r>
      <w:r w:rsidRPr="003146C9">
        <w:rPr>
          <w:rFonts w:ascii="Times New Roman" w:hAnsi="Times New Roman" w:cs="Times New Roman"/>
        </w:rPr>
        <w:t>Large Scale Irrigation Modernization Project, 2015-2022) with a focus on improving water service</w:t>
      </w:r>
      <w:r w:rsidR="003E1A69" w:rsidRPr="003146C9">
        <w:rPr>
          <w:rFonts w:ascii="Times New Roman" w:hAnsi="Times New Roman" w:cs="Times New Roman"/>
        </w:rPr>
        <w:t>s</w:t>
      </w:r>
      <w:r w:rsidRPr="003146C9">
        <w:rPr>
          <w:rFonts w:ascii="Times New Roman" w:hAnsi="Times New Roman" w:cs="Times New Roman"/>
        </w:rPr>
        <w:t xml:space="preserve"> to small farmers in large scale irrigation perimeters </w:t>
      </w:r>
      <w:r w:rsidR="00981AFD" w:rsidRPr="003146C9">
        <w:rPr>
          <w:rFonts w:ascii="Times New Roman" w:hAnsi="Times New Roman" w:cs="Times New Roman"/>
        </w:rPr>
        <w:t>and increasing</w:t>
      </w:r>
      <w:r w:rsidRPr="003146C9">
        <w:rPr>
          <w:rFonts w:ascii="Times New Roman" w:hAnsi="Times New Roman" w:cs="Times New Roman"/>
        </w:rPr>
        <w:t xml:space="preserve"> agricultural water productivity. In addition, sustainability</w:t>
      </w:r>
      <w:r w:rsidR="0095668B" w:rsidRPr="003146C9">
        <w:rPr>
          <w:rFonts w:ascii="Times New Roman" w:hAnsi="Times New Roman" w:cs="Times New Roman"/>
        </w:rPr>
        <w:t xml:space="preserve"> concerns </w:t>
      </w:r>
      <w:r w:rsidR="00B367F0" w:rsidRPr="003146C9">
        <w:rPr>
          <w:rFonts w:ascii="Times New Roman" w:hAnsi="Times New Roman" w:cs="Times New Roman"/>
        </w:rPr>
        <w:t xml:space="preserve">in </w:t>
      </w:r>
      <w:r w:rsidR="00457752" w:rsidRPr="003146C9">
        <w:rPr>
          <w:rFonts w:ascii="Times New Roman" w:hAnsi="Times New Roman" w:cs="Times New Roman"/>
        </w:rPr>
        <w:t>the agriculture sector</w:t>
      </w:r>
      <w:r w:rsidR="00B367F0" w:rsidRPr="003146C9">
        <w:rPr>
          <w:rFonts w:ascii="Times New Roman" w:hAnsi="Times New Roman" w:cs="Times New Roman"/>
        </w:rPr>
        <w:t xml:space="preserve"> have</w:t>
      </w:r>
      <w:r w:rsidRPr="003146C9">
        <w:rPr>
          <w:rFonts w:ascii="Times New Roman" w:hAnsi="Times New Roman" w:cs="Times New Roman"/>
        </w:rPr>
        <w:t xml:space="preserve"> been addressed through two grants by the Global Environmental Facility (GEF</w:t>
      </w:r>
      <w:r w:rsidR="00730643" w:rsidRPr="003146C9">
        <w:rPr>
          <w:rFonts w:ascii="Times New Roman" w:hAnsi="Times New Roman" w:cs="Times New Roman"/>
        </w:rPr>
        <w:fldChar w:fldCharType="begin"/>
      </w:r>
      <w:r w:rsidR="00730643" w:rsidRPr="003146C9">
        <w:instrText xml:space="preserve"> XE "</w:instrText>
      </w:r>
      <w:r w:rsidR="00730643" w:rsidRPr="003146C9">
        <w:rPr>
          <w:rFonts w:ascii="Times New Roman" w:hAnsi="Times New Roman" w:cs="Times New Roman"/>
        </w:rPr>
        <w:instrText>GEF:</w:instrText>
      </w:r>
      <w:r w:rsidR="00730643" w:rsidRPr="003146C9">
        <w:instrText xml:space="preserve">Global Environmental Facility" </w:instrText>
      </w:r>
      <w:r w:rsidR="00730643" w:rsidRPr="003146C9">
        <w:rPr>
          <w:rFonts w:ascii="Times New Roman" w:hAnsi="Times New Roman" w:cs="Times New Roman"/>
        </w:rPr>
        <w:fldChar w:fldCharType="end"/>
      </w:r>
      <w:r w:rsidRPr="003146C9">
        <w:rPr>
          <w:rFonts w:ascii="Times New Roman" w:hAnsi="Times New Roman" w:cs="Times New Roman"/>
        </w:rPr>
        <w:t>) (</w:t>
      </w:r>
      <w:r w:rsidR="00273455">
        <w:rPr>
          <w:rFonts w:ascii="Times New Roman" w:hAnsi="Times New Roman" w:cs="Times New Roman"/>
        </w:rPr>
        <w:t xml:space="preserve">US$4 million </w:t>
      </w:r>
      <w:r w:rsidRPr="003146C9">
        <w:rPr>
          <w:rFonts w:ascii="Times New Roman" w:hAnsi="Times New Roman" w:cs="Times New Roman"/>
        </w:rPr>
        <w:t xml:space="preserve">Integrating Climate Change in the Implementation of the Plan Maroc Vert Project, 2010-2015; and </w:t>
      </w:r>
      <w:r w:rsidR="00273455">
        <w:rPr>
          <w:rFonts w:ascii="Times New Roman" w:hAnsi="Times New Roman" w:cs="Times New Roman"/>
        </w:rPr>
        <w:t xml:space="preserve">US$6 million </w:t>
      </w:r>
      <w:r w:rsidRPr="003146C9">
        <w:rPr>
          <w:rFonts w:ascii="Times New Roman" w:hAnsi="Times New Roman" w:cs="Times New Roman"/>
        </w:rPr>
        <w:t>Social and Integrated Agricultural Project, 2013-2017)</w:t>
      </w:r>
      <w:r w:rsidR="0095668B" w:rsidRPr="003146C9">
        <w:rPr>
          <w:rFonts w:ascii="Times New Roman" w:hAnsi="Times New Roman" w:cs="Times New Roman"/>
        </w:rPr>
        <w:t xml:space="preserve"> focused</w:t>
      </w:r>
      <w:r w:rsidRPr="003146C9">
        <w:rPr>
          <w:rFonts w:ascii="Times New Roman" w:hAnsi="Times New Roman" w:cs="Times New Roman"/>
        </w:rPr>
        <w:t xml:space="preserve"> on climate change adaptation, biodiversity and land conservation. </w:t>
      </w:r>
      <w:r w:rsidR="002E2EAB" w:rsidRPr="003146C9">
        <w:rPr>
          <w:rFonts w:ascii="Times New Roman" w:hAnsi="Times New Roman" w:cs="Times New Roman"/>
        </w:rPr>
        <w:t>The</w:t>
      </w:r>
      <w:r w:rsidR="003E1A69" w:rsidRPr="003146C9">
        <w:rPr>
          <w:rFonts w:ascii="Times New Roman" w:hAnsi="Times New Roman" w:cs="Times New Roman"/>
        </w:rPr>
        <w:t xml:space="preserve"> Program would build on the achievements of the earlier DPLs with regards to </w:t>
      </w:r>
      <w:r w:rsidR="00216A91" w:rsidRPr="003146C9">
        <w:rPr>
          <w:rFonts w:ascii="Times New Roman" w:hAnsi="Times New Roman" w:cs="Times New Roman"/>
        </w:rPr>
        <w:t xml:space="preserve">the </w:t>
      </w:r>
      <w:r w:rsidR="003E1A69" w:rsidRPr="003146C9">
        <w:rPr>
          <w:rFonts w:ascii="Times New Roman" w:hAnsi="Times New Roman" w:cs="Times New Roman"/>
        </w:rPr>
        <w:t>sector reform agenda by accelerating the actual implementation of those reforms</w:t>
      </w:r>
      <w:r w:rsidR="00367692" w:rsidRPr="003146C9">
        <w:rPr>
          <w:rFonts w:ascii="Times New Roman" w:hAnsi="Times New Roman" w:cs="Times New Roman"/>
        </w:rPr>
        <w:t xml:space="preserve"> and placing a greater focus on results</w:t>
      </w:r>
      <w:r w:rsidR="00220F4B" w:rsidRPr="003146C9">
        <w:rPr>
          <w:rFonts w:ascii="Times New Roman" w:hAnsi="Times New Roman" w:cs="Times New Roman"/>
        </w:rPr>
        <w:t>.</w:t>
      </w:r>
      <w:r w:rsidR="006673C1" w:rsidRPr="003146C9">
        <w:rPr>
          <w:rFonts w:ascii="Times New Roman" w:hAnsi="Times New Roman" w:cs="Times New Roman"/>
        </w:rPr>
        <w:t xml:space="preserve"> In addition, the Program would</w:t>
      </w:r>
      <w:r w:rsidR="00A65D37" w:rsidRPr="003146C9">
        <w:rPr>
          <w:rFonts w:ascii="Times New Roman" w:hAnsi="Times New Roman" w:cs="Times New Roman"/>
        </w:rPr>
        <w:t xml:space="preserve"> </w:t>
      </w:r>
      <w:r w:rsidR="003E1A69" w:rsidRPr="003146C9">
        <w:rPr>
          <w:rFonts w:ascii="Times New Roman" w:hAnsi="Times New Roman" w:cs="Times New Roman"/>
        </w:rPr>
        <w:t xml:space="preserve">complement </w:t>
      </w:r>
      <w:r w:rsidR="00273455">
        <w:rPr>
          <w:rFonts w:ascii="Times New Roman" w:hAnsi="Times New Roman" w:cs="Times New Roman"/>
        </w:rPr>
        <w:t xml:space="preserve">the </w:t>
      </w:r>
      <w:r w:rsidR="003E1A69" w:rsidRPr="003146C9">
        <w:rPr>
          <w:rFonts w:ascii="Times New Roman" w:hAnsi="Times New Roman" w:cs="Times New Roman"/>
        </w:rPr>
        <w:t xml:space="preserve">ongoing </w:t>
      </w:r>
      <w:r w:rsidR="00854C87" w:rsidRPr="003146C9">
        <w:rPr>
          <w:rFonts w:ascii="Times New Roman" w:hAnsi="Times New Roman" w:cs="Times New Roman"/>
        </w:rPr>
        <w:t xml:space="preserve">operations focused on </w:t>
      </w:r>
      <w:r w:rsidR="000F6192" w:rsidRPr="003146C9">
        <w:rPr>
          <w:rFonts w:ascii="Times New Roman" w:hAnsi="Times New Roman" w:cs="Times New Roman"/>
        </w:rPr>
        <w:t xml:space="preserve">the reform of water management in agriculture and </w:t>
      </w:r>
      <w:r w:rsidR="00A65D37" w:rsidRPr="003146C9">
        <w:rPr>
          <w:rFonts w:ascii="Times New Roman" w:hAnsi="Times New Roman" w:cs="Times New Roman"/>
        </w:rPr>
        <w:t xml:space="preserve">on </w:t>
      </w:r>
      <w:r w:rsidR="00854C87" w:rsidRPr="003146C9">
        <w:rPr>
          <w:rFonts w:ascii="Times New Roman" w:hAnsi="Times New Roman" w:cs="Times New Roman"/>
        </w:rPr>
        <w:t xml:space="preserve">improving the management of irrigation by providing services and instruments to promote </w:t>
      </w:r>
      <w:r w:rsidR="00216A91" w:rsidRPr="003146C9">
        <w:rPr>
          <w:rFonts w:ascii="Times New Roman" w:hAnsi="Times New Roman" w:cs="Times New Roman"/>
        </w:rPr>
        <w:t>market integration and value-addition</w:t>
      </w:r>
      <w:r w:rsidR="00854C87" w:rsidRPr="003146C9">
        <w:rPr>
          <w:rFonts w:ascii="Times New Roman" w:hAnsi="Times New Roman" w:cs="Times New Roman"/>
        </w:rPr>
        <w:t xml:space="preserve"> beyond the farm gate; </w:t>
      </w:r>
      <w:r w:rsidR="00220F4B" w:rsidRPr="003146C9">
        <w:rPr>
          <w:rFonts w:ascii="Times New Roman" w:hAnsi="Times New Roman" w:cs="Times New Roman"/>
        </w:rPr>
        <w:t xml:space="preserve">while improvements in water management brought about </w:t>
      </w:r>
      <w:r w:rsidR="006673C1" w:rsidRPr="003146C9">
        <w:rPr>
          <w:rFonts w:ascii="Times New Roman" w:hAnsi="Times New Roman" w:cs="Times New Roman"/>
        </w:rPr>
        <w:t xml:space="preserve">by those operations would </w:t>
      </w:r>
      <w:r w:rsidR="00220F4B" w:rsidRPr="003146C9">
        <w:rPr>
          <w:rFonts w:ascii="Times New Roman" w:hAnsi="Times New Roman" w:cs="Times New Roman"/>
        </w:rPr>
        <w:t>contribute to the sustainability of the Program investmen</w:t>
      </w:r>
      <w:r w:rsidR="00212E02" w:rsidRPr="003146C9">
        <w:rPr>
          <w:rFonts w:ascii="Times New Roman" w:hAnsi="Times New Roman" w:cs="Times New Roman"/>
        </w:rPr>
        <w:t>ts in the selected value chains</w:t>
      </w:r>
      <w:r w:rsidR="00854C87" w:rsidRPr="003146C9">
        <w:rPr>
          <w:rFonts w:ascii="Times New Roman" w:hAnsi="Times New Roman" w:cs="Times New Roman"/>
        </w:rPr>
        <w:t>.</w:t>
      </w:r>
    </w:p>
    <w:p w14:paraId="03AABBA6" w14:textId="77777777" w:rsidR="004739F1" w:rsidRPr="00BC7BB5" w:rsidRDefault="004739F1" w:rsidP="004739F1">
      <w:pPr>
        <w:pStyle w:val="NoSpacing"/>
        <w:ind w:left="420"/>
        <w:jc w:val="both"/>
        <w:rPr>
          <w:rFonts w:ascii="Times New Roman" w:hAnsi="Times New Roman" w:cs="Times New Roman"/>
        </w:rPr>
      </w:pPr>
    </w:p>
    <w:p w14:paraId="70CB5CCE" w14:textId="0B018A97" w:rsidR="00EF5885" w:rsidRDefault="00C3154E" w:rsidP="00B35A06">
      <w:pPr>
        <w:pStyle w:val="NoSpacing"/>
        <w:numPr>
          <w:ilvl w:val="0"/>
          <w:numId w:val="7"/>
        </w:numPr>
        <w:ind w:left="0" w:firstLine="0"/>
        <w:jc w:val="both"/>
        <w:rPr>
          <w:rFonts w:ascii="Times New Roman" w:hAnsi="Times New Roman" w:cs="Times New Roman"/>
        </w:rPr>
      </w:pPr>
      <w:r w:rsidRPr="00BC7BB5">
        <w:rPr>
          <w:rFonts w:ascii="Times New Roman" w:hAnsi="Times New Roman" w:cs="Times New Roman"/>
          <w:b/>
        </w:rPr>
        <w:t xml:space="preserve">The Government of Morocco has demonstrated its commitment to results and reforms through </w:t>
      </w:r>
      <w:r w:rsidR="004222C4" w:rsidRPr="00BC7BB5">
        <w:rPr>
          <w:rFonts w:ascii="Times New Roman" w:hAnsi="Times New Roman" w:cs="Times New Roman"/>
          <w:b/>
        </w:rPr>
        <w:t xml:space="preserve">adaptive management of the </w:t>
      </w:r>
      <w:r w:rsidRPr="00BC7BB5">
        <w:rPr>
          <w:rFonts w:ascii="Times New Roman" w:hAnsi="Times New Roman" w:cs="Times New Roman"/>
          <w:b/>
        </w:rPr>
        <w:t>PMV</w:t>
      </w:r>
      <w:r w:rsidRPr="00BC7BB5">
        <w:rPr>
          <w:rFonts w:ascii="Times New Roman" w:hAnsi="Times New Roman" w:cs="Times New Roman"/>
        </w:rPr>
        <w:t xml:space="preserve">. </w:t>
      </w:r>
      <w:r w:rsidR="00230791" w:rsidRPr="00BC7BB5">
        <w:rPr>
          <w:rFonts w:ascii="Times New Roman" w:hAnsi="Times New Roman" w:cs="Times New Roman"/>
        </w:rPr>
        <w:t xml:space="preserve">The achievements </w:t>
      </w:r>
      <w:r w:rsidR="000D49E4" w:rsidRPr="00BC7BB5">
        <w:rPr>
          <w:rFonts w:ascii="Times New Roman" w:hAnsi="Times New Roman" w:cs="Times New Roman"/>
        </w:rPr>
        <w:t>of</w:t>
      </w:r>
      <w:r w:rsidR="00230791" w:rsidRPr="00BC7BB5">
        <w:rPr>
          <w:rFonts w:ascii="Times New Roman" w:hAnsi="Times New Roman" w:cs="Times New Roman"/>
        </w:rPr>
        <w:t xml:space="preserve"> the PMV and continued Government commitment to </w:t>
      </w:r>
      <w:r w:rsidR="003B02A8" w:rsidRPr="00BC7BB5">
        <w:rPr>
          <w:rFonts w:ascii="Times New Roman" w:hAnsi="Times New Roman" w:cs="Times New Roman"/>
        </w:rPr>
        <w:t>its</w:t>
      </w:r>
      <w:r w:rsidR="00230791" w:rsidRPr="00BC7BB5">
        <w:rPr>
          <w:rFonts w:ascii="Times New Roman" w:hAnsi="Times New Roman" w:cs="Times New Roman"/>
        </w:rPr>
        <w:t xml:space="preserve"> objectives provide a solid foundation for the proposed Program. </w:t>
      </w:r>
      <w:r w:rsidR="00273455" w:rsidRPr="00BC7BB5">
        <w:rPr>
          <w:rFonts w:ascii="Times New Roman" w:hAnsi="Times New Roman" w:cs="Times New Roman"/>
        </w:rPr>
        <w:t xml:space="preserve">MAPMDREF has solicited the support of the World Bank Group for the second phase of the implementation of the PMV </w:t>
      </w:r>
      <w:r w:rsidR="00273455">
        <w:rPr>
          <w:rFonts w:ascii="Times New Roman" w:hAnsi="Times New Roman" w:cs="Times New Roman"/>
        </w:rPr>
        <w:t>following</w:t>
      </w:r>
      <w:r w:rsidR="00273455" w:rsidRPr="00BC7BB5">
        <w:rPr>
          <w:rFonts w:ascii="Times New Roman" w:hAnsi="Times New Roman" w:cs="Times New Roman"/>
        </w:rPr>
        <w:t xml:space="preserve"> </w:t>
      </w:r>
      <w:r w:rsidR="00AB3C14" w:rsidRPr="00BC7BB5">
        <w:rPr>
          <w:rFonts w:ascii="Times New Roman" w:hAnsi="Times New Roman" w:cs="Times New Roman"/>
        </w:rPr>
        <w:t>on</w:t>
      </w:r>
      <w:r w:rsidR="00A14249" w:rsidRPr="00BC7BB5">
        <w:rPr>
          <w:rFonts w:ascii="Times New Roman" w:hAnsi="Times New Roman" w:cs="Times New Roman"/>
        </w:rPr>
        <w:t xml:space="preserve"> the </w:t>
      </w:r>
      <w:r w:rsidR="00273455">
        <w:rPr>
          <w:rFonts w:ascii="Times New Roman" w:hAnsi="Times New Roman" w:cs="Times New Roman"/>
        </w:rPr>
        <w:t xml:space="preserve">recommendations of the </w:t>
      </w:r>
      <w:r w:rsidR="00A14249" w:rsidRPr="00BC7BB5">
        <w:rPr>
          <w:rFonts w:ascii="Times New Roman" w:hAnsi="Times New Roman" w:cs="Times New Roman"/>
        </w:rPr>
        <w:t xml:space="preserve">2014 </w:t>
      </w:r>
      <w:r w:rsidR="00124E8E" w:rsidRPr="00BC7BB5">
        <w:rPr>
          <w:rFonts w:ascii="Times New Roman" w:hAnsi="Times New Roman" w:cs="Times New Roman"/>
        </w:rPr>
        <w:t xml:space="preserve">mid-term </w:t>
      </w:r>
      <w:r w:rsidR="00A14249" w:rsidRPr="00BC7BB5">
        <w:rPr>
          <w:rFonts w:ascii="Times New Roman" w:hAnsi="Times New Roman" w:cs="Times New Roman"/>
        </w:rPr>
        <w:t>review of the PMV</w:t>
      </w:r>
      <w:r w:rsidR="00431DF9" w:rsidRPr="00BC7BB5">
        <w:rPr>
          <w:rFonts w:ascii="Times New Roman" w:hAnsi="Times New Roman" w:cs="Times New Roman"/>
        </w:rPr>
        <w:t>:</w:t>
      </w:r>
      <w:r w:rsidR="00AB3C14" w:rsidRPr="00BC7BB5">
        <w:rPr>
          <w:rFonts w:ascii="Times New Roman" w:hAnsi="Times New Roman" w:cs="Times New Roman"/>
        </w:rPr>
        <w:t xml:space="preserve"> (a) to accelerate the implementation of reforms</w:t>
      </w:r>
      <w:r w:rsidR="00FD4993" w:rsidRPr="00BC7BB5">
        <w:rPr>
          <w:rFonts w:ascii="Times New Roman" w:hAnsi="Times New Roman" w:cs="Times New Roman"/>
        </w:rPr>
        <w:t>,</w:t>
      </w:r>
      <w:r w:rsidR="00AB3C14" w:rsidRPr="00BC7BB5">
        <w:rPr>
          <w:rFonts w:ascii="Times New Roman" w:hAnsi="Times New Roman" w:cs="Times New Roman"/>
        </w:rPr>
        <w:t xml:space="preserve"> and (b) </w:t>
      </w:r>
      <w:r w:rsidR="00273455">
        <w:rPr>
          <w:rFonts w:ascii="Times New Roman" w:hAnsi="Times New Roman" w:cs="Times New Roman"/>
        </w:rPr>
        <w:t xml:space="preserve">to place </w:t>
      </w:r>
      <w:r w:rsidR="00AB3C14" w:rsidRPr="00BC7BB5">
        <w:rPr>
          <w:rFonts w:ascii="Times New Roman" w:hAnsi="Times New Roman" w:cs="Times New Roman"/>
        </w:rPr>
        <w:t xml:space="preserve">greater emphasis on </w:t>
      </w:r>
      <w:r w:rsidR="00431DF9" w:rsidRPr="00BC7BB5">
        <w:rPr>
          <w:rFonts w:ascii="Times New Roman" w:hAnsi="Times New Roman" w:cs="Times New Roman"/>
        </w:rPr>
        <w:t xml:space="preserve">inclusive </w:t>
      </w:r>
      <w:r w:rsidR="00AB3C14" w:rsidRPr="00BC7BB5">
        <w:rPr>
          <w:rFonts w:ascii="Times New Roman" w:hAnsi="Times New Roman" w:cs="Times New Roman"/>
        </w:rPr>
        <w:t xml:space="preserve">value-addition and value-chain development </w:t>
      </w:r>
      <w:r w:rsidR="00A14249" w:rsidRPr="00BC7BB5">
        <w:rPr>
          <w:rFonts w:ascii="Times New Roman" w:hAnsi="Times New Roman" w:cs="Times New Roman"/>
        </w:rPr>
        <w:t>in</w:t>
      </w:r>
      <w:r w:rsidR="00AB3C14" w:rsidRPr="00BC7BB5">
        <w:rPr>
          <w:rFonts w:ascii="Times New Roman" w:hAnsi="Times New Roman" w:cs="Times New Roman"/>
        </w:rPr>
        <w:t xml:space="preserve"> the Moroccan agri-food sector</w:t>
      </w:r>
      <w:r w:rsidRPr="00BC7BB5">
        <w:rPr>
          <w:rFonts w:ascii="Times New Roman" w:hAnsi="Times New Roman" w:cs="Times New Roman"/>
        </w:rPr>
        <w:t>.</w:t>
      </w:r>
      <w:r w:rsidR="00DB18F9" w:rsidRPr="00BC7BB5">
        <w:rPr>
          <w:rFonts w:ascii="Times New Roman" w:hAnsi="Times New Roman" w:cs="Times New Roman"/>
        </w:rPr>
        <w:t xml:space="preserve"> </w:t>
      </w:r>
      <w:r w:rsidR="00134B6C" w:rsidRPr="00BC7BB5">
        <w:rPr>
          <w:rFonts w:ascii="Times New Roman" w:hAnsi="Times New Roman" w:cs="Times New Roman"/>
        </w:rPr>
        <w:t>T</w:t>
      </w:r>
      <w:r w:rsidRPr="00BC7BB5">
        <w:rPr>
          <w:rFonts w:ascii="Times New Roman" w:hAnsi="Times New Roman" w:cs="Times New Roman"/>
        </w:rPr>
        <w:t>he World Bank</w:t>
      </w:r>
      <w:r w:rsidR="00230791" w:rsidRPr="00BC7BB5">
        <w:rPr>
          <w:rFonts w:ascii="Times New Roman" w:hAnsi="Times New Roman" w:cs="Times New Roman"/>
        </w:rPr>
        <w:t xml:space="preserve"> Group</w:t>
      </w:r>
      <w:r w:rsidRPr="00BC7BB5">
        <w:rPr>
          <w:rFonts w:ascii="Times New Roman" w:hAnsi="Times New Roman" w:cs="Times New Roman"/>
        </w:rPr>
        <w:t xml:space="preserve"> </w:t>
      </w:r>
      <w:r w:rsidR="00230791" w:rsidRPr="00BC7BB5">
        <w:rPr>
          <w:rFonts w:ascii="Times New Roman" w:hAnsi="Times New Roman" w:cs="Times New Roman"/>
        </w:rPr>
        <w:t>is well positioned to accommodate</w:t>
      </w:r>
      <w:r w:rsidR="00323544" w:rsidRPr="00BC7BB5">
        <w:rPr>
          <w:rFonts w:ascii="Times New Roman" w:hAnsi="Times New Roman" w:cs="Times New Roman"/>
        </w:rPr>
        <w:t xml:space="preserve"> this request considering</w:t>
      </w:r>
      <w:r w:rsidR="00431DF9" w:rsidRPr="00BC7BB5">
        <w:rPr>
          <w:rFonts w:ascii="Times New Roman" w:hAnsi="Times New Roman" w:cs="Times New Roman"/>
        </w:rPr>
        <w:t>:</w:t>
      </w:r>
      <w:r w:rsidR="00DB18F9" w:rsidRPr="00BC7BB5">
        <w:rPr>
          <w:rFonts w:ascii="Times New Roman" w:hAnsi="Times New Roman" w:cs="Times New Roman"/>
        </w:rPr>
        <w:t xml:space="preserve"> (a) </w:t>
      </w:r>
      <w:r w:rsidR="00134B6C" w:rsidRPr="00BC7BB5">
        <w:rPr>
          <w:rFonts w:ascii="Times New Roman" w:hAnsi="Times New Roman" w:cs="Times New Roman"/>
        </w:rPr>
        <w:t>its</w:t>
      </w:r>
      <w:r w:rsidRPr="00BC7BB5">
        <w:rPr>
          <w:rFonts w:ascii="Times New Roman" w:hAnsi="Times New Roman" w:cs="Times New Roman"/>
        </w:rPr>
        <w:t xml:space="preserve"> extensive international experienc</w:t>
      </w:r>
      <w:r w:rsidR="00230791" w:rsidRPr="00BC7BB5">
        <w:rPr>
          <w:rFonts w:ascii="Times New Roman" w:hAnsi="Times New Roman" w:cs="Times New Roman"/>
        </w:rPr>
        <w:t xml:space="preserve">e in developing inclusive </w:t>
      </w:r>
      <w:r w:rsidR="00323544" w:rsidRPr="00BC7BB5">
        <w:rPr>
          <w:rFonts w:ascii="Times New Roman" w:hAnsi="Times New Roman" w:cs="Times New Roman"/>
        </w:rPr>
        <w:t xml:space="preserve">and resilient </w:t>
      </w:r>
      <w:r w:rsidR="00230791" w:rsidRPr="00BC7BB5">
        <w:rPr>
          <w:rFonts w:ascii="Times New Roman" w:hAnsi="Times New Roman" w:cs="Times New Roman"/>
        </w:rPr>
        <w:t xml:space="preserve">value </w:t>
      </w:r>
      <w:r w:rsidRPr="00BC7BB5">
        <w:rPr>
          <w:rFonts w:ascii="Times New Roman" w:hAnsi="Times New Roman" w:cs="Times New Roman"/>
        </w:rPr>
        <w:t>chain</w:t>
      </w:r>
      <w:r w:rsidR="00230791" w:rsidRPr="00BC7BB5">
        <w:rPr>
          <w:rFonts w:ascii="Times New Roman" w:hAnsi="Times New Roman" w:cs="Times New Roman"/>
        </w:rPr>
        <w:t>s and</w:t>
      </w:r>
      <w:r w:rsidRPr="00BC7BB5">
        <w:rPr>
          <w:rFonts w:ascii="Times New Roman" w:hAnsi="Times New Roman" w:cs="Times New Roman"/>
        </w:rPr>
        <w:t xml:space="preserve"> supporting agribusiness development</w:t>
      </w:r>
      <w:r w:rsidR="00273455">
        <w:rPr>
          <w:rFonts w:ascii="Times New Roman" w:hAnsi="Times New Roman" w:cs="Times New Roman"/>
        </w:rPr>
        <w:t>,</w:t>
      </w:r>
      <w:r w:rsidR="00906D29" w:rsidRPr="00BC7BB5">
        <w:rPr>
          <w:rFonts w:ascii="Times New Roman" w:hAnsi="Times New Roman" w:cs="Times New Roman"/>
        </w:rPr>
        <w:t xml:space="preserve"> </w:t>
      </w:r>
      <w:r w:rsidR="00F5759B" w:rsidRPr="00BC7BB5">
        <w:rPr>
          <w:rFonts w:ascii="Times New Roman" w:hAnsi="Times New Roman" w:cs="Times New Roman"/>
        </w:rPr>
        <w:t xml:space="preserve">and </w:t>
      </w:r>
      <w:r w:rsidR="00DB18F9" w:rsidRPr="00BC7BB5">
        <w:rPr>
          <w:rFonts w:ascii="Times New Roman" w:hAnsi="Times New Roman" w:cs="Times New Roman"/>
        </w:rPr>
        <w:t>(b)</w:t>
      </w:r>
      <w:r w:rsidR="00F5759B" w:rsidRPr="00BC7BB5">
        <w:rPr>
          <w:rFonts w:ascii="Times New Roman" w:hAnsi="Times New Roman" w:cs="Times New Roman"/>
        </w:rPr>
        <w:t xml:space="preserve"> previous support t</w:t>
      </w:r>
      <w:r w:rsidR="00906D29" w:rsidRPr="00BC7BB5">
        <w:rPr>
          <w:rFonts w:ascii="Times New Roman" w:hAnsi="Times New Roman" w:cs="Times New Roman"/>
        </w:rPr>
        <w:t>o the PMV</w:t>
      </w:r>
      <w:r w:rsidRPr="00BC7BB5">
        <w:rPr>
          <w:rFonts w:ascii="Times New Roman" w:hAnsi="Times New Roman" w:cs="Times New Roman"/>
        </w:rPr>
        <w:t>.</w:t>
      </w:r>
    </w:p>
    <w:p w14:paraId="47015EE2" w14:textId="1537E3D7" w:rsidR="001F6E26" w:rsidRDefault="001F6E26" w:rsidP="001F6E26">
      <w:pPr>
        <w:pStyle w:val="NoSpacing"/>
        <w:jc w:val="both"/>
        <w:rPr>
          <w:rFonts w:ascii="Times New Roman" w:hAnsi="Times New Roman" w:cs="Times New Roman"/>
        </w:rPr>
      </w:pPr>
    </w:p>
    <w:p w14:paraId="5F33741A" w14:textId="4F742815" w:rsidR="001F6E26" w:rsidRPr="0063157A" w:rsidRDefault="001F6E26" w:rsidP="001F6E26">
      <w:pPr>
        <w:pStyle w:val="NoSpacing"/>
        <w:numPr>
          <w:ilvl w:val="0"/>
          <w:numId w:val="7"/>
        </w:numPr>
        <w:ind w:left="0" w:firstLine="0"/>
        <w:jc w:val="both"/>
        <w:rPr>
          <w:rFonts w:ascii="Times New Roman" w:hAnsi="Times New Roman" w:cs="Times New Roman"/>
        </w:rPr>
      </w:pPr>
      <w:r w:rsidRPr="00BC7BB5">
        <w:rPr>
          <w:rFonts w:ascii="Times New Roman" w:hAnsi="Times New Roman" w:cs="Times New Roman"/>
          <w:b/>
        </w:rPr>
        <w:t>The</w:t>
      </w:r>
      <w:r w:rsidRPr="00BC7BB5">
        <w:rPr>
          <w:rFonts w:ascii="Times New Roman" w:hAnsi="Times New Roman" w:cs="Times New Roman"/>
        </w:rPr>
        <w:t xml:space="preserve"> </w:t>
      </w:r>
      <w:r w:rsidRPr="00BC7BB5">
        <w:rPr>
          <w:rFonts w:ascii="Times New Roman" w:hAnsi="Times New Roman" w:cs="Times New Roman"/>
          <w:b/>
        </w:rPr>
        <w:t xml:space="preserve">proposed operation supports the </w:t>
      </w:r>
      <w:r w:rsidR="00273455">
        <w:rPr>
          <w:rFonts w:ascii="Times New Roman" w:hAnsi="Times New Roman" w:cs="Times New Roman"/>
          <w:b/>
        </w:rPr>
        <w:t xml:space="preserve">World Bank Group’s </w:t>
      </w:r>
      <w:r w:rsidRPr="00BC7BB5">
        <w:rPr>
          <w:rFonts w:ascii="Times New Roman" w:hAnsi="Times New Roman" w:cs="Times New Roman"/>
          <w:b/>
        </w:rPr>
        <w:t xml:space="preserve">MENA Climate Change </w:t>
      </w:r>
      <w:r w:rsidR="00273455">
        <w:rPr>
          <w:rFonts w:ascii="Times New Roman" w:hAnsi="Times New Roman" w:cs="Times New Roman"/>
          <w:b/>
        </w:rPr>
        <w:t>Action</w:t>
      </w:r>
      <w:r w:rsidR="00273455" w:rsidRPr="00BC7BB5">
        <w:rPr>
          <w:rFonts w:ascii="Times New Roman" w:hAnsi="Times New Roman" w:cs="Times New Roman"/>
          <w:b/>
        </w:rPr>
        <w:t xml:space="preserve"> </w:t>
      </w:r>
      <w:r w:rsidRPr="00BC7BB5">
        <w:rPr>
          <w:rFonts w:ascii="Times New Roman" w:hAnsi="Times New Roman" w:cs="Times New Roman"/>
          <w:b/>
        </w:rPr>
        <w:t>Plan</w:t>
      </w:r>
      <w:r w:rsidRPr="00BC7BB5">
        <w:rPr>
          <w:rFonts w:ascii="Times New Roman" w:hAnsi="Times New Roman" w:cs="Times New Roman"/>
        </w:rPr>
        <w:t xml:space="preserve">. </w:t>
      </w:r>
      <w:r w:rsidR="00991D58">
        <w:rPr>
          <w:rFonts w:ascii="Times New Roman" w:hAnsi="Times New Roman" w:cs="Times New Roman"/>
        </w:rPr>
        <w:t>In line with the</w:t>
      </w:r>
      <w:r w:rsidR="00D26847">
        <w:rPr>
          <w:rFonts w:ascii="Times New Roman" w:hAnsi="Times New Roman" w:cs="Times New Roman"/>
        </w:rPr>
        <w:t xml:space="preserve"> Plan</w:t>
      </w:r>
      <w:r w:rsidR="00991D58">
        <w:rPr>
          <w:rFonts w:ascii="Times New Roman" w:hAnsi="Times New Roman" w:cs="Times New Roman"/>
        </w:rPr>
        <w:t xml:space="preserve">’s targets of doubling </w:t>
      </w:r>
      <w:r w:rsidRPr="00BC7BB5">
        <w:rPr>
          <w:rFonts w:ascii="Times New Roman" w:hAnsi="Times New Roman" w:cs="Times New Roman"/>
        </w:rPr>
        <w:t xml:space="preserve">adaptation financing </w:t>
      </w:r>
      <w:r w:rsidR="00991D58">
        <w:rPr>
          <w:rFonts w:ascii="Times New Roman" w:hAnsi="Times New Roman" w:cs="Times New Roman"/>
        </w:rPr>
        <w:t>and</w:t>
      </w:r>
      <w:r w:rsidRPr="00BC7BB5">
        <w:rPr>
          <w:rFonts w:ascii="Times New Roman" w:hAnsi="Times New Roman" w:cs="Times New Roman"/>
        </w:rPr>
        <w:t xml:space="preserve"> </w:t>
      </w:r>
      <w:r w:rsidR="00991D58" w:rsidRPr="00BC7BB5">
        <w:rPr>
          <w:rFonts w:ascii="Times New Roman" w:hAnsi="Times New Roman" w:cs="Times New Roman"/>
        </w:rPr>
        <w:t>increas</w:t>
      </w:r>
      <w:r w:rsidR="00991D58">
        <w:rPr>
          <w:rFonts w:ascii="Times New Roman" w:hAnsi="Times New Roman" w:cs="Times New Roman"/>
        </w:rPr>
        <w:t>ing</w:t>
      </w:r>
      <w:r w:rsidR="00991D58" w:rsidRPr="00BC7BB5">
        <w:rPr>
          <w:rFonts w:ascii="Times New Roman" w:hAnsi="Times New Roman" w:cs="Times New Roman"/>
        </w:rPr>
        <w:t xml:space="preserve"> </w:t>
      </w:r>
      <w:r w:rsidRPr="00BC7BB5">
        <w:rPr>
          <w:rFonts w:ascii="Times New Roman" w:hAnsi="Times New Roman" w:cs="Times New Roman"/>
        </w:rPr>
        <w:t>all climate-related lending in MENA</w:t>
      </w:r>
      <w:r w:rsidR="00991D58">
        <w:rPr>
          <w:rFonts w:ascii="Times New Roman" w:hAnsi="Times New Roman" w:cs="Times New Roman"/>
        </w:rPr>
        <w:t>, the proposed operation wil</w:t>
      </w:r>
      <w:r w:rsidR="0085420B">
        <w:rPr>
          <w:rFonts w:ascii="Times New Roman" w:hAnsi="Times New Roman" w:cs="Times New Roman"/>
        </w:rPr>
        <w:t xml:space="preserve">l contribute to increasing the resilience of selected agricultural value chains to climate change (through more efficient use of agricultural inputs, including water, and the adoption of improved technologies) and the reduction of greenhouse gas emissions from the selected subsectors. </w:t>
      </w:r>
      <w:r w:rsidR="0085420B" w:rsidRPr="00BC7BB5">
        <w:rPr>
          <w:rFonts w:ascii="Times New Roman" w:hAnsi="Times New Roman" w:cs="Times New Roman"/>
        </w:rPr>
        <w:t xml:space="preserve"> </w:t>
      </w:r>
    </w:p>
    <w:p w14:paraId="15FC935F" w14:textId="77777777" w:rsidR="004739F1" w:rsidRPr="00BC7BB5" w:rsidRDefault="004739F1" w:rsidP="004739F1">
      <w:pPr>
        <w:pStyle w:val="NoSpacing"/>
        <w:ind w:left="420"/>
        <w:jc w:val="both"/>
        <w:rPr>
          <w:rFonts w:ascii="Times New Roman" w:hAnsi="Times New Roman" w:cs="Times New Roman"/>
        </w:rPr>
      </w:pPr>
    </w:p>
    <w:p w14:paraId="2D99F405" w14:textId="144AB738" w:rsidR="00C3154E" w:rsidRPr="00BC7BB5" w:rsidRDefault="00EF5885" w:rsidP="00B35A06">
      <w:pPr>
        <w:pStyle w:val="NoSpacing"/>
        <w:numPr>
          <w:ilvl w:val="0"/>
          <w:numId w:val="7"/>
        </w:numPr>
        <w:ind w:left="0" w:firstLine="0"/>
        <w:jc w:val="both"/>
        <w:rPr>
          <w:rFonts w:ascii="Times New Roman" w:hAnsi="Times New Roman" w:cs="Times New Roman"/>
        </w:rPr>
      </w:pPr>
      <w:r w:rsidRPr="00BC7BB5">
        <w:rPr>
          <w:rFonts w:ascii="Times New Roman" w:hAnsi="Times New Roman" w:cs="Times New Roman"/>
          <w:b/>
        </w:rPr>
        <w:t xml:space="preserve">A Program-for-Results instrument </w:t>
      </w:r>
      <w:r w:rsidR="00422E1F" w:rsidRPr="00BC7BB5">
        <w:rPr>
          <w:rFonts w:ascii="Times New Roman" w:hAnsi="Times New Roman" w:cs="Times New Roman"/>
          <w:b/>
        </w:rPr>
        <w:t>is</w:t>
      </w:r>
      <w:r w:rsidRPr="00BC7BB5">
        <w:rPr>
          <w:rFonts w:ascii="Times New Roman" w:hAnsi="Times New Roman" w:cs="Times New Roman"/>
          <w:b/>
        </w:rPr>
        <w:t xml:space="preserve"> best suited to support the implementation of the </w:t>
      </w:r>
      <w:r w:rsidR="003F48CF" w:rsidRPr="00BC7BB5">
        <w:rPr>
          <w:rFonts w:ascii="Times New Roman" w:hAnsi="Times New Roman" w:cs="Times New Roman"/>
          <w:b/>
        </w:rPr>
        <w:t>second phase of the</w:t>
      </w:r>
      <w:r w:rsidR="006A5283" w:rsidRPr="00BC7BB5">
        <w:rPr>
          <w:rFonts w:ascii="Times New Roman" w:hAnsi="Times New Roman" w:cs="Times New Roman"/>
          <w:b/>
        </w:rPr>
        <w:t xml:space="preserve"> PMV</w:t>
      </w:r>
      <w:r w:rsidR="00C3154E" w:rsidRPr="00BC7BB5">
        <w:rPr>
          <w:rFonts w:ascii="Times New Roman" w:hAnsi="Times New Roman" w:cs="Times New Roman"/>
        </w:rPr>
        <w:t xml:space="preserve">. In selecting a Program-for-Results </w:t>
      </w:r>
      <w:r w:rsidR="00991D58">
        <w:rPr>
          <w:rFonts w:ascii="Times New Roman" w:hAnsi="Times New Roman" w:cs="Times New Roman"/>
        </w:rPr>
        <w:t xml:space="preserve">(PforR) </w:t>
      </w:r>
      <w:r w:rsidR="00C3154E" w:rsidRPr="00BC7BB5">
        <w:rPr>
          <w:rFonts w:ascii="Times New Roman" w:hAnsi="Times New Roman" w:cs="Times New Roman"/>
        </w:rPr>
        <w:t xml:space="preserve">instrument, the following factors were taken into consideration: (a) the proposed operation </w:t>
      </w:r>
      <w:r w:rsidR="001D57E5" w:rsidRPr="00BC7BB5">
        <w:rPr>
          <w:rFonts w:ascii="Times New Roman" w:hAnsi="Times New Roman" w:cs="Times New Roman"/>
        </w:rPr>
        <w:t>would support</w:t>
      </w:r>
      <w:r w:rsidR="00C3154E" w:rsidRPr="00BC7BB5">
        <w:rPr>
          <w:rFonts w:ascii="Times New Roman" w:hAnsi="Times New Roman" w:cs="Times New Roman"/>
        </w:rPr>
        <w:t xml:space="preserve"> </w:t>
      </w:r>
      <w:r w:rsidR="001D57E5" w:rsidRPr="00BC7BB5">
        <w:rPr>
          <w:rFonts w:ascii="Times New Roman" w:hAnsi="Times New Roman" w:cs="Times New Roman"/>
        </w:rPr>
        <w:t xml:space="preserve">the implementation of </w:t>
      </w:r>
      <w:r w:rsidR="00906D29" w:rsidRPr="00BC7BB5">
        <w:rPr>
          <w:rFonts w:ascii="Times New Roman" w:hAnsi="Times New Roman" w:cs="Times New Roman"/>
        </w:rPr>
        <w:t>the</w:t>
      </w:r>
      <w:r w:rsidR="001D57E5" w:rsidRPr="00BC7BB5">
        <w:rPr>
          <w:rFonts w:ascii="Times New Roman" w:hAnsi="Times New Roman" w:cs="Times New Roman"/>
        </w:rPr>
        <w:t xml:space="preserve"> </w:t>
      </w:r>
      <w:r w:rsidR="00C3154E" w:rsidRPr="00BC7BB5">
        <w:rPr>
          <w:rFonts w:ascii="Times New Roman" w:hAnsi="Times New Roman" w:cs="Times New Roman"/>
        </w:rPr>
        <w:t>ex</w:t>
      </w:r>
      <w:r w:rsidR="001D57E5" w:rsidRPr="00BC7BB5">
        <w:rPr>
          <w:rFonts w:ascii="Times New Roman" w:hAnsi="Times New Roman" w:cs="Times New Roman"/>
        </w:rPr>
        <w:t>isting Government program (PMV)</w:t>
      </w:r>
      <w:r w:rsidR="00906D29" w:rsidRPr="00BC7BB5">
        <w:rPr>
          <w:rFonts w:ascii="Times New Roman" w:hAnsi="Times New Roman" w:cs="Times New Roman"/>
        </w:rPr>
        <w:t xml:space="preserve"> while</w:t>
      </w:r>
      <w:r w:rsidR="003F48CF" w:rsidRPr="00BC7BB5">
        <w:rPr>
          <w:rFonts w:ascii="Times New Roman" w:hAnsi="Times New Roman" w:cs="Times New Roman"/>
        </w:rPr>
        <w:t xml:space="preserve"> </w:t>
      </w:r>
      <w:r w:rsidR="00751F71" w:rsidRPr="00BC7BB5">
        <w:rPr>
          <w:rFonts w:ascii="Times New Roman" w:hAnsi="Times New Roman" w:cs="Times New Roman"/>
        </w:rPr>
        <w:t>supporting</w:t>
      </w:r>
      <w:r w:rsidR="003F48CF" w:rsidRPr="00BC7BB5">
        <w:rPr>
          <w:rFonts w:ascii="Times New Roman" w:hAnsi="Times New Roman" w:cs="Times New Roman"/>
        </w:rPr>
        <w:t xml:space="preserve"> </w:t>
      </w:r>
      <w:r w:rsidR="00A146AB" w:rsidRPr="00BC7BB5">
        <w:rPr>
          <w:rFonts w:ascii="Times New Roman" w:hAnsi="Times New Roman" w:cs="Times New Roman"/>
        </w:rPr>
        <w:t>adjustments</w:t>
      </w:r>
      <w:r w:rsidR="00751F71" w:rsidRPr="00BC7BB5">
        <w:rPr>
          <w:rFonts w:ascii="Times New Roman" w:hAnsi="Times New Roman" w:cs="Times New Roman"/>
        </w:rPr>
        <w:t xml:space="preserve"> to</w:t>
      </w:r>
      <w:r w:rsidR="003F48CF" w:rsidRPr="00BC7BB5">
        <w:rPr>
          <w:rFonts w:ascii="Times New Roman" w:hAnsi="Times New Roman" w:cs="Times New Roman"/>
        </w:rPr>
        <w:t xml:space="preserve"> the PMV </w:t>
      </w:r>
      <w:r w:rsidR="0033191A" w:rsidRPr="00BC7BB5">
        <w:rPr>
          <w:rFonts w:ascii="Times New Roman" w:hAnsi="Times New Roman" w:cs="Times New Roman"/>
        </w:rPr>
        <w:t xml:space="preserve">to accelerate progress and deliver desired </w:t>
      </w:r>
      <w:r w:rsidR="009B66BF" w:rsidRPr="00BC7BB5">
        <w:rPr>
          <w:rFonts w:ascii="Times New Roman" w:hAnsi="Times New Roman" w:cs="Times New Roman"/>
        </w:rPr>
        <w:t>outcomes</w:t>
      </w:r>
      <w:r w:rsidR="009A37E4" w:rsidRPr="00BC7BB5">
        <w:rPr>
          <w:rFonts w:ascii="Times New Roman" w:hAnsi="Times New Roman" w:cs="Times New Roman"/>
        </w:rPr>
        <w:t>; (b</w:t>
      </w:r>
      <w:r w:rsidR="0033191A" w:rsidRPr="00BC7BB5">
        <w:rPr>
          <w:rFonts w:ascii="Times New Roman" w:hAnsi="Times New Roman" w:cs="Times New Roman"/>
        </w:rPr>
        <w:t xml:space="preserve">) the proposed operation </w:t>
      </w:r>
      <w:r w:rsidR="009B66BF" w:rsidRPr="00BC7BB5">
        <w:rPr>
          <w:rFonts w:ascii="Times New Roman" w:hAnsi="Times New Roman" w:cs="Times New Roman"/>
        </w:rPr>
        <w:t>would support</w:t>
      </w:r>
      <w:r w:rsidR="0033191A" w:rsidRPr="00BC7BB5">
        <w:rPr>
          <w:rFonts w:ascii="Times New Roman" w:hAnsi="Times New Roman" w:cs="Times New Roman"/>
        </w:rPr>
        <w:t xml:space="preserve"> a mix of</w:t>
      </w:r>
      <w:r w:rsidR="00C3154E" w:rsidRPr="00BC7BB5">
        <w:rPr>
          <w:rFonts w:ascii="Times New Roman" w:hAnsi="Times New Roman" w:cs="Times New Roman"/>
        </w:rPr>
        <w:t xml:space="preserve"> </w:t>
      </w:r>
      <w:r w:rsidR="0033191A" w:rsidRPr="00BC7BB5">
        <w:rPr>
          <w:rFonts w:ascii="Times New Roman" w:hAnsi="Times New Roman" w:cs="Times New Roman"/>
        </w:rPr>
        <w:t xml:space="preserve">institutional </w:t>
      </w:r>
      <w:r w:rsidR="004B7CE5" w:rsidRPr="00BC7BB5">
        <w:rPr>
          <w:rFonts w:ascii="Times New Roman" w:hAnsi="Times New Roman" w:cs="Times New Roman"/>
        </w:rPr>
        <w:t>strengthening</w:t>
      </w:r>
      <w:r w:rsidR="0033191A" w:rsidRPr="00BC7BB5">
        <w:rPr>
          <w:rFonts w:ascii="Times New Roman" w:hAnsi="Times New Roman" w:cs="Times New Roman"/>
        </w:rPr>
        <w:t xml:space="preserve"> activities, </w:t>
      </w:r>
      <w:r w:rsidR="009A37E4" w:rsidRPr="00BC7BB5">
        <w:rPr>
          <w:rFonts w:ascii="Times New Roman" w:hAnsi="Times New Roman" w:cs="Times New Roman"/>
        </w:rPr>
        <w:t>improvements in systems and processes for PMV implementation</w:t>
      </w:r>
      <w:r w:rsidR="006A1915" w:rsidRPr="00BC7BB5">
        <w:rPr>
          <w:rFonts w:ascii="Times New Roman" w:hAnsi="Times New Roman" w:cs="Times New Roman"/>
        </w:rPr>
        <w:t xml:space="preserve">, and </w:t>
      </w:r>
      <w:r w:rsidR="0020446F" w:rsidRPr="00BC7BB5">
        <w:rPr>
          <w:rFonts w:ascii="Times New Roman" w:hAnsi="Times New Roman" w:cs="Times New Roman"/>
        </w:rPr>
        <w:t xml:space="preserve">also </w:t>
      </w:r>
      <w:r w:rsidR="006A1915" w:rsidRPr="00BC7BB5">
        <w:rPr>
          <w:rFonts w:ascii="Times New Roman" w:hAnsi="Times New Roman" w:cs="Times New Roman"/>
        </w:rPr>
        <w:t>finance selected sub-programs of the PMV</w:t>
      </w:r>
      <w:r w:rsidR="0033191A" w:rsidRPr="00BC7BB5">
        <w:rPr>
          <w:rFonts w:ascii="Times New Roman" w:hAnsi="Times New Roman" w:cs="Times New Roman"/>
        </w:rPr>
        <w:t xml:space="preserve">; </w:t>
      </w:r>
      <w:r w:rsidR="004739F1" w:rsidRPr="00BC7BB5">
        <w:rPr>
          <w:rFonts w:ascii="Times New Roman" w:hAnsi="Times New Roman" w:cs="Times New Roman"/>
        </w:rPr>
        <w:t xml:space="preserve">and </w:t>
      </w:r>
      <w:r w:rsidR="0033191A" w:rsidRPr="00BC7BB5">
        <w:rPr>
          <w:rFonts w:ascii="Times New Roman" w:hAnsi="Times New Roman" w:cs="Times New Roman"/>
        </w:rPr>
        <w:t>(</w:t>
      </w:r>
      <w:r w:rsidR="00991D58">
        <w:rPr>
          <w:rFonts w:ascii="Times New Roman" w:hAnsi="Times New Roman" w:cs="Times New Roman"/>
        </w:rPr>
        <w:t>c</w:t>
      </w:r>
      <w:r w:rsidR="0033191A" w:rsidRPr="00BC7BB5">
        <w:rPr>
          <w:rFonts w:ascii="Times New Roman" w:hAnsi="Times New Roman" w:cs="Times New Roman"/>
        </w:rPr>
        <w:t xml:space="preserve">) the proposed operation </w:t>
      </w:r>
      <w:r w:rsidR="009B66BF" w:rsidRPr="00BC7BB5">
        <w:rPr>
          <w:rFonts w:ascii="Times New Roman" w:hAnsi="Times New Roman" w:cs="Times New Roman"/>
        </w:rPr>
        <w:t>would support MAPM</w:t>
      </w:r>
      <w:r w:rsidR="00893FFC" w:rsidRPr="00BC7BB5">
        <w:rPr>
          <w:rFonts w:ascii="Times New Roman" w:hAnsi="Times New Roman" w:cs="Times New Roman"/>
        </w:rPr>
        <w:t>DREF</w:t>
      </w:r>
      <w:r w:rsidR="009B66BF" w:rsidRPr="00BC7BB5">
        <w:rPr>
          <w:rFonts w:ascii="Times New Roman" w:hAnsi="Times New Roman" w:cs="Times New Roman"/>
        </w:rPr>
        <w:t xml:space="preserve">’s </w:t>
      </w:r>
      <w:r w:rsidR="00762140" w:rsidRPr="00BC7BB5">
        <w:rPr>
          <w:rFonts w:ascii="Times New Roman" w:hAnsi="Times New Roman" w:cs="Times New Roman"/>
        </w:rPr>
        <w:t>increased</w:t>
      </w:r>
      <w:r w:rsidR="009B66BF" w:rsidRPr="00BC7BB5">
        <w:rPr>
          <w:rFonts w:ascii="Times New Roman" w:hAnsi="Times New Roman" w:cs="Times New Roman"/>
        </w:rPr>
        <w:t xml:space="preserve"> focus on </w:t>
      </w:r>
      <w:r w:rsidR="00762140" w:rsidRPr="00BC7BB5">
        <w:rPr>
          <w:rFonts w:ascii="Times New Roman" w:hAnsi="Times New Roman" w:cs="Times New Roman"/>
        </w:rPr>
        <w:t>results</w:t>
      </w:r>
      <w:r w:rsidR="009B66BF" w:rsidRPr="00BC7BB5">
        <w:rPr>
          <w:rFonts w:ascii="Times New Roman" w:hAnsi="Times New Roman" w:cs="Times New Roman"/>
        </w:rPr>
        <w:t xml:space="preserve"> </w:t>
      </w:r>
      <w:r w:rsidR="00494D4A" w:rsidRPr="00BC7BB5">
        <w:rPr>
          <w:rFonts w:ascii="Times New Roman" w:hAnsi="Times New Roman" w:cs="Times New Roman"/>
        </w:rPr>
        <w:t>under the PMV</w:t>
      </w:r>
      <w:r w:rsidR="00DB18F9" w:rsidRPr="00BC7BB5">
        <w:rPr>
          <w:rFonts w:ascii="Times New Roman" w:hAnsi="Times New Roman" w:cs="Times New Roman"/>
        </w:rPr>
        <w:t>, thereby contributing to strengt</w:t>
      </w:r>
      <w:r w:rsidR="00690ADA">
        <w:rPr>
          <w:rFonts w:ascii="Times New Roman" w:hAnsi="Times New Roman" w:cs="Times New Roman"/>
        </w:rPr>
        <w:t>hening overall sector governance</w:t>
      </w:r>
      <w:r w:rsidR="00494D4A" w:rsidRPr="00BC7BB5">
        <w:rPr>
          <w:rFonts w:ascii="Times New Roman" w:hAnsi="Times New Roman" w:cs="Times New Roman"/>
        </w:rPr>
        <w:t xml:space="preserve"> </w:t>
      </w:r>
      <w:r w:rsidR="009B66BF" w:rsidRPr="00BC7BB5">
        <w:rPr>
          <w:rFonts w:ascii="Times New Roman" w:hAnsi="Times New Roman" w:cs="Times New Roman"/>
        </w:rPr>
        <w:t>and inform</w:t>
      </w:r>
      <w:r w:rsidR="00690ADA">
        <w:rPr>
          <w:rFonts w:ascii="Times New Roman" w:hAnsi="Times New Roman" w:cs="Times New Roman"/>
        </w:rPr>
        <w:t>ing</w:t>
      </w:r>
      <w:r w:rsidR="009B66BF" w:rsidRPr="00BC7BB5">
        <w:rPr>
          <w:rFonts w:ascii="Times New Roman" w:hAnsi="Times New Roman" w:cs="Times New Roman"/>
        </w:rPr>
        <w:t xml:space="preserve"> the preparation of any successor program by strengthen</w:t>
      </w:r>
      <w:r w:rsidR="00494D4A" w:rsidRPr="00BC7BB5">
        <w:rPr>
          <w:rFonts w:ascii="Times New Roman" w:hAnsi="Times New Roman" w:cs="Times New Roman"/>
        </w:rPr>
        <w:t>ing</w:t>
      </w:r>
      <w:r w:rsidR="009B66BF" w:rsidRPr="00BC7BB5">
        <w:rPr>
          <w:rFonts w:ascii="Times New Roman" w:hAnsi="Times New Roman" w:cs="Times New Roman"/>
        </w:rPr>
        <w:t xml:space="preserve"> </w:t>
      </w:r>
      <w:r w:rsidR="0033191A" w:rsidRPr="00BC7BB5">
        <w:rPr>
          <w:rFonts w:ascii="Times New Roman" w:hAnsi="Times New Roman" w:cs="Times New Roman"/>
        </w:rPr>
        <w:t xml:space="preserve">existing monitoring and evaluation </w:t>
      </w:r>
      <w:r w:rsidR="001D57E5" w:rsidRPr="00BC7BB5">
        <w:rPr>
          <w:rFonts w:ascii="Times New Roman" w:hAnsi="Times New Roman" w:cs="Times New Roman"/>
        </w:rPr>
        <w:t>systems</w:t>
      </w:r>
      <w:r w:rsidR="009B66BF" w:rsidRPr="00BC7BB5">
        <w:rPr>
          <w:rFonts w:ascii="Times New Roman" w:hAnsi="Times New Roman" w:cs="Times New Roman"/>
        </w:rPr>
        <w:t>.</w:t>
      </w:r>
      <w:r w:rsidR="0062754C" w:rsidRPr="00BC7BB5">
        <w:rPr>
          <w:rFonts w:ascii="Times New Roman" w:hAnsi="Times New Roman" w:cs="Times New Roman"/>
        </w:rPr>
        <w:t xml:space="preserve"> </w:t>
      </w:r>
    </w:p>
    <w:p w14:paraId="153996B5" w14:textId="77777777" w:rsidR="007945B8" w:rsidRPr="00BC7BB5" w:rsidRDefault="007945B8" w:rsidP="007945B8">
      <w:pPr>
        <w:pStyle w:val="ListParagraph"/>
        <w:rPr>
          <w:rFonts w:ascii="Times New Roman" w:hAnsi="Times New Roman" w:cs="Times New Roman"/>
        </w:rPr>
      </w:pPr>
    </w:p>
    <w:p w14:paraId="598DABA4" w14:textId="77777777" w:rsidR="007945B8" w:rsidRPr="00BC7BB5" w:rsidRDefault="007945B8" w:rsidP="007945B8">
      <w:pPr>
        <w:pStyle w:val="ListParagraph"/>
        <w:rPr>
          <w:rFonts w:ascii="Times New Roman" w:hAnsi="Times New Roman" w:cs="Times New Roman"/>
        </w:rPr>
      </w:pPr>
    </w:p>
    <w:p w14:paraId="53B2A190" w14:textId="3B69D3E2" w:rsidR="004E4895" w:rsidRPr="00BC7BB5" w:rsidRDefault="001D2940" w:rsidP="00B35A06">
      <w:pPr>
        <w:pStyle w:val="ListParagraph"/>
        <w:numPr>
          <w:ilvl w:val="0"/>
          <w:numId w:val="3"/>
        </w:numPr>
        <w:ind w:left="0" w:firstLine="0"/>
        <w:outlineLvl w:val="0"/>
        <w:rPr>
          <w:rFonts w:ascii="Times New Roman" w:hAnsi="Times New Roman" w:cs="Times New Roman"/>
          <w:b/>
        </w:rPr>
      </w:pPr>
      <w:bookmarkStart w:id="6" w:name="_Toc499113395"/>
      <w:r w:rsidRPr="00BC7BB5">
        <w:rPr>
          <w:rFonts w:ascii="Times New Roman" w:hAnsi="Times New Roman" w:cs="Times New Roman"/>
          <w:b/>
        </w:rPr>
        <w:t xml:space="preserve">PROGRAM </w:t>
      </w:r>
      <w:r w:rsidR="00FC3897" w:rsidRPr="00BC7BB5">
        <w:rPr>
          <w:rFonts w:ascii="Times New Roman" w:hAnsi="Times New Roman" w:cs="Times New Roman"/>
          <w:b/>
        </w:rPr>
        <w:t>DESCRIPTION</w:t>
      </w:r>
      <w:bookmarkEnd w:id="6"/>
    </w:p>
    <w:p w14:paraId="4560CC0D" w14:textId="41F8ED35" w:rsidR="00A11C17" w:rsidRPr="00BC7BB5" w:rsidRDefault="00A11C17" w:rsidP="00F561E8">
      <w:pPr>
        <w:pStyle w:val="NoSpacing"/>
        <w:numPr>
          <w:ilvl w:val="0"/>
          <w:numId w:val="27"/>
        </w:numPr>
        <w:ind w:left="0" w:firstLine="0"/>
        <w:outlineLvl w:val="1"/>
        <w:rPr>
          <w:rFonts w:ascii="Times New Roman Bold" w:hAnsi="Times New Roman Bold" w:cs="Times New Roman"/>
          <w:b/>
          <w:smallCaps/>
        </w:rPr>
      </w:pPr>
      <w:bookmarkStart w:id="7" w:name="_Toc499113396"/>
      <w:r w:rsidRPr="00BC7BB5">
        <w:rPr>
          <w:rFonts w:ascii="Times New Roman Bold" w:hAnsi="Times New Roman Bold" w:cs="Times New Roman"/>
          <w:b/>
          <w:smallCaps/>
        </w:rPr>
        <w:t>Government program</w:t>
      </w:r>
      <w:bookmarkEnd w:id="7"/>
      <w:r w:rsidRPr="00BC7BB5">
        <w:rPr>
          <w:rFonts w:ascii="Times New Roman Bold" w:hAnsi="Times New Roman Bold" w:cs="Times New Roman"/>
          <w:b/>
          <w:smallCaps/>
        </w:rPr>
        <w:t xml:space="preserve"> </w:t>
      </w:r>
    </w:p>
    <w:p w14:paraId="6077B10D" w14:textId="77777777" w:rsidR="00A11C17" w:rsidRPr="00BC7BB5" w:rsidRDefault="00A11C17" w:rsidP="00B65FDD">
      <w:pPr>
        <w:pStyle w:val="NoSpacing"/>
        <w:ind w:left="720"/>
        <w:rPr>
          <w:rFonts w:ascii="Times New Roman" w:hAnsi="Times New Roman" w:cs="Times New Roman"/>
          <w:b/>
          <w:i/>
        </w:rPr>
      </w:pPr>
    </w:p>
    <w:p w14:paraId="48E9E86A" w14:textId="7C9ED6A1" w:rsidR="00AA4549" w:rsidRPr="00BC7BB5" w:rsidRDefault="003F48CF" w:rsidP="00B35A06">
      <w:pPr>
        <w:pStyle w:val="NoSpacing"/>
        <w:numPr>
          <w:ilvl w:val="0"/>
          <w:numId w:val="7"/>
        </w:numPr>
        <w:ind w:left="0" w:firstLine="0"/>
        <w:jc w:val="both"/>
        <w:rPr>
          <w:rFonts w:ascii="Times New Roman" w:hAnsi="Times New Roman" w:cs="Arial"/>
        </w:rPr>
      </w:pPr>
      <w:r w:rsidRPr="00BC7BB5">
        <w:rPr>
          <w:rFonts w:ascii="Times New Roman" w:hAnsi="Times New Roman" w:cs="Arial"/>
          <w:b/>
        </w:rPr>
        <w:t>T</w:t>
      </w:r>
      <w:r w:rsidR="00D52419" w:rsidRPr="00BC7BB5">
        <w:rPr>
          <w:rFonts w:ascii="Times New Roman" w:hAnsi="Times New Roman" w:cs="Arial"/>
          <w:b/>
        </w:rPr>
        <w:t xml:space="preserve">he </w:t>
      </w:r>
      <w:r w:rsidR="00D752D9" w:rsidRPr="00BC7BB5">
        <w:rPr>
          <w:rFonts w:ascii="Times New Roman" w:hAnsi="Times New Roman" w:cs="Arial"/>
          <w:b/>
        </w:rPr>
        <w:t>Government</w:t>
      </w:r>
      <w:r w:rsidR="00314BA4" w:rsidRPr="00BC7BB5">
        <w:rPr>
          <w:rFonts w:ascii="Times New Roman" w:hAnsi="Times New Roman" w:cs="Arial"/>
          <w:b/>
        </w:rPr>
        <w:t>’s</w:t>
      </w:r>
      <w:r w:rsidR="00D752D9" w:rsidRPr="00BC7BB5">
        <w:rPr>
          <w:rFonts w:ascii="Times New Roman" w:hAnsi="Times New Roman" w:cs="Arial"/>
          <w:b/>
        </w:rPr>
        <w:t xml:space="preserve"> program is the </w:t>
      </w:r>
      <w:r w:rsidR="000C27F7" w:rsidRPr="00BC7BB5">
        <w:rPr>
          <w:rFonts w:ascii="Times New Roman" w:hAnsi="Times New Roman" w:cs="Arial"/>
          <w:b/>
        </w:rPr>
        <w:t>Plan Maroc Vert</w:t>
      </w:r>
      <w:r w:rsidR="00D752D9" w:rsidRPr="00BC7BB5">
        <w:rPr>
          <w:rFonts w:ascii="Times New Roman" w:hAnsi="Times New Roman" w:cs="Arial"/>
          <w:b/>
        </w:rPr>
        <w:t>, launched in</w:t>
      </w:r>
      <w:r w:rsidR="0081465B" w:rsidRPr="00BC7BB5">
        <w:rPr>
          <w:rFonts w:ascii="Times New Roman" w:hAnsi="Times New Roman" w:cs="Arial"/>
          <w:b/>
        </w:rPr>
        <w:t xml:space="preserve"> 2008</w:t>
      </w:r>
      <w:r w:rsidR="00D752D9" w:rsidRPr="00BC7BB5">
        <w:rPr>
          <w:rFonts w:ascii="Times New Roman" w:hAnsi="Times New Roman" w:cs="Arial"/>
          <w:b/>
        </w:rPr>
        <w:t xml:space="preserve"> </w:t>
      </w:r>
      <w:r w:rsidR="0066309A" w:rsidRPr="00BC7BB5">
        <w:rPr>
          <w:rFonts w:ascii="Times New Roman" w:hAnsi="Times New Roman" w:cs="Arial"/>
          <w:b/>
        </w:rPr>
        <w:t xml:space="preserve">to </w:t>
      </w:r>
      <w:r w:rsidR="00A709B4">
        <w:rPr>
          <w:rFonts w:ascii="Times New Roman" w:hAnsi="Times New Roman" w:cs="Arial"/>
          <w:b/>
        </w:rPr>
        <w:t xml:space="preserve">modernize and </w:t>
      </w:r>
      <w:r w:rsidR="0066309A" w:rsidRPr="00BC7BB5">
        <w:rPr>
          <w:rFonts w:ascii="Times New Roman" w:hAnsi="Times New Roman" w:cs="Arial"/>
          <w:b/>
        </w:rPr>
        <w:t xml:space="preserve">foster </w:t>
      </w:r>
      <w:r w:rsidR="00EC5A41" w:rsidRPr="00BC7BB5">
        <w:rPr>
          <w:rFonts w:ascii="Times New Roman" w:hAnsi="Times New Roman" w:cs="Arial"/>
          <w:b/>
        </w:rPr>
        <w:t xml:space="preserve">the growth of </w:t>
      </w:r>
      <w:r w:rsidR="0066309A" w:rsidRPr="00BC7BB5">
        <w:rPr>
          <w:rFonts w:ascii="Times New Roman" w:hAnsi="Times New Roman" w:cs="Arial"/>
          <w:b/>
        </w:rPr>
        <w:t xml:space="preserve">the agri-food sector. </w:t>
      </w:r>
      <w:r w:rsidR="00F046BF" w:rsidRPr="00BC7BB5">
        <w:rPr>
          <w:rFonts w:ascii="Times New Roman" w:hAnsi="Times New Roman" w:cs="Arial"/>
        </w:rPr>
        <w:t xml:space="preserve">The PMV aims to transform the agri-food sector into a key source of economic growth that contributes to employment creation and poverty reduction in rural areas, while promoting the sector’s integration into the global economy, and helping the sector adapt to climate change. </w:t>
      </w:r>
      <w:r w:rsidR="00AA4549" w:rsidRPr="00BC7BB5">
        <w:rPr>
          <w:rFonts w:ascii="Times New Roman" w:hAnsi="Times New Roman" w:cs="Arial"/>
        </w:rPr>
        <w:t>The PMV includes a set of transversal institutional reforms, as well as an investment support program based on public-private partnerships. At sub-sector level, specific targets and actions have also been jointly negotiated between MAPMDREF</w:t>
      </w:r>
      <w:r w:rsidR="00283B8E" w:rsidRPr="00BC7BB5">
        <w:rPr>
          <w:rFonts w:ascii="Times New Roman" w:hAnsi="Times New Roman" w:cs="Arial"/>
        </w:rPr>
        <w:t xml:space="preserve">, </w:t>
      </w:r>
      <w:r w:rsidR="00385697" w:rsidRPr="00BC7BB5">
        <w:rPr>
          <w:rFonts w:ascii="Times New Roman" w:hAnsi="Times New Roman" w:cs="Arial"/>
        </w:rPr>
        <w:t>the Ministry of Economy and Finance (</w:t>
      </w:r>
      <w:r w:rsidR="00283B8E" w:rsidRPr="00BC7BB5">
        <w:rPr>
          <w:rFonts w:ascii="Times New Roman" w:hAnsi="Times New Roman" w:cs="Arial"/>
        </w:rPr>
        <w:t>MEF</w:t>
      </w:r>
      <w:r w:rsidR="00730643" w:rsidRPr="00BC7BB5">
        <w:rPr>
          <w:rFonts w:ascii="Times New Roman" w:hAnsi="Times New Roman" w:cs="Arial"/>
        </w:rPr>
        <w:fldChar w:fldCharType="begin"/>
      </w:r>
      <w:r w:rsidR="00730643" w:rsidRPr="00BC7BB5">
        <w:instrText xml:space="preserve"> XE "</w:instrText>
      </w:r>
      <w:r w:rsidR="00730643" w:rsidRPr="00BC7BB5">
        <w:rPr>
          <w:rFonts w:ascii="Times New Roman" w:hAnsi="Times New Roman" w:cs="Arial"/>
        </w:rPr>
        <w:instrText>MEF:</w:instrText>
      </w:r>
      <w:r w:rsidR="00730643" w:rsidRPr="00BC7BB5">
        <w:instrText xml:space="preserve">Ministry of Economy and Finance" </w:instrText>
      </w:r>
      <w:r w:rsidR="00730643" w:rsidRPr="00BC7BB5">
        <w:rPr>
          <w:rFonts w:ascii="Times New Roman" w:hAnsi="Times New Roman" w:cs="Arial"/>
        </w:rPr>
        <w:fldChar w:fldCharType="end"/>
      </w:r>
      <w:r w:rsidR="00385697" w:rsidRPr="00BC7BB5">
        <w:rPr>
          <w:rFonts w:ascii="Times New Roman" w:hAnsi="Times New Roman" w:cs="Arial"/>
        </w:rPr>
        <w:t>)</w:t>
      </w:r>
      <w:r w:rsidR="00991D58">
        <w:rPr>
          <w:rFonts w:ascii="Times New Roman" w:hAnsi="Times New Roman" w:cs="Arial"/>
        </w:rPr>
        <w:t>,</w:t>
      </w:r>
      <w:r w:rsidR="00AA4549" w:rsidRPr="00BC7BB5">
        <w:rPr>
          <w:rFonts w:ascii="Times New Roman" w:hAnsi="Times New Roman" w:cs="Arial"/>
        </w:rPr>
        <w:t xml:space="preserve"> and representatives of the private sector (Interprofessions) through </w:t>
      </w:r>
      <w:r w:rsidR="00AA4549" w:rsidRPr="00BC7BB5">
        <w:rPr>
          <w:rFonts w:ascii="Times New Roman" w:hAnsi="Times New Roman" w:cs="Arial"/>
          <w:i/>
        </w:rPr>
        <w:t xml:space="preserve">Contrat-Programmes </w:t>
      </w:r>
      <w:r w:rsidR="00AA4549" w:rsidRPr="00BC7BB5">
        <w:rPr>
          <w:rFonts w:ascii="Times New Roman" w:hAnsi="Times New Roman" w:cs="Arial"/>
        </w:rPr>
        <w:t>(</w:t>
      </w:r>
      <w:r w:rsidR="00F42B8C" w:rsidRPr="00BC7BB5">
        <w:rPr>
          <w:rFonts w:ascii="Times New Roman" w:hAnsi="Times New Roman" w:cs="Arial"/>
        </w:rPr>
        <w:t>CP</w:t>
      </w:r>
      <w:r w:rsidR="00730643" w:rsidRPr="00BC7BB5">
        <w:rPr>
          <w:rFonts w:ascii="Times New Roman" w:hAnsi="Times New Roman" w:cs="Arial"/>
        </w:rPr>
        <w:fldChar w:fldCharType="begin"/>
      </w:r>
      <w:r w:rsidR="00730643" w:rsidRPr="00BC7BB5">
        <w:instrText xml:space="preserve"> XE "</w:instrText>
      </w:r>
      <w:r w:rsidR="00730643" w:rsidRPr="00BC7BB5">
        <w:rPr>
          <w:rFonts w:ascii="Times New Roman" w:hAnsi="Times New Roman" w:cs="Arial"/>
        </w:rPr>
        <w:instrText>CP:</w:instrText>
      </w:r>
      <w:r w:rsidR="00730643" w:rsidRPr="00BC7BB5">
        <w:instrText xml:space="preserve">Contrat-Programmes" </w:instrText>
      </w:r>
      <w:r w:rsidR="00730643" w:rsidRPr="00BC7BB5">
        <w:rPr>
          <w:rFonts w:ascii="Times New Roman" w:hAnsi="Times New Roman" w:cs="Arial"/>
        </w:rPr>
        <w:fldChar w:fldCharType="end"/>
      </w:r>
      <w:r w:rsidR="00F42B8C" w:rsidRPr="00BC7BB5">
        <w:rPr>
          <w:rFonts w:ascii="Times New Roman" w:hAnsi="Times New Roman" w:cs="Arial"/>
        </w:rPr>
        <w:t>s</w:t>
      </w:r>
      <w:r w:rsidR="00BF28AC" w:rsidRPr="00BC7BB5">
        <w:rPr>
          <w:rFonts w:ascii="Times New Roman" w:hAnsi="Times New Roman" w:cs="Arial"/>
        </w:rPr>
        <w:t>, result-based agreements</w:t>
      </w:r>
      <w:r w:rsidR="00F42B8C" w:rsidRPr="00BC7BB5">
        <w:rPr>
          <w:rFonts w:ascii="Times New Roman" w:hAnsi="Times New Roman" w:cs="Arial"/>
        </w:rPr>
        <w:t>)</w:t>
      </w:r>
      <w:r w:rsidR="00710EBD">
        <w:rPr>
          <w:rFonts w:ascii="Times New Roman" w:hAnsi="Times New Roman" w:cs="Arial"/>
        </w:rPr>
        <w:t xml:space="preserve"> in 1</w:t>
      </w:r>
      <w:r w:rsidR="0085420B">
        <w:rPr>
          <w:rFonts w:ascii="Times New Roman" w:hAnsi="Times New Roman" w:cs="Arial"/>
        </w:rPr>
        <w:t>8</w:t>
      </w:r>
      <w:r w:rsidR="00BF28AC" w:rsidRPr="00BC7BB5">
        <w:rPr>
          <w:rFonts w:ascii="Times New Roman" w:hAnsi="Times New Roman" w:cs="Arial"/>
        </w:rPr>
        <w:t xml:space="preserve"> sub-sectors</w:t>
      </w:r>
      <w:r w:rsidR="00AA4549" w:rsidRPr="00BC7BB5">
        <w:rPr>
          <w:rFonts w:ascii="Times New Roman" w:hAnsi="Times New Roman" w:cs="Arial"/>
        </w:rPr>
        <w:t>.</w:t>
      </w:r>
      <w:r w:rsidR="00AA4549" w:rsidRPr="00BC7BB5">
        <w:rPr>
          <w:rFonts w:ascii="Times New Roman" w:hAnsi="Times New Roman" w:cs="Arial"/>
          <w:b/>
        </w:rPr>
        <w:t xml:space="preserve"> </w:t>
      </w:r>
      <w:r w:rsidR="00AA4549" w:rsidRPr="00BC7BB5">
        <w:rPr>
          <w:rFonts w:ascii="Times New Roman" w:hAnsi="Times New Roman" w:cs="Arial"/>
        </w:rPr>
        <w:t>For each action,</w:t>
      </w:r>
      <w:r w:rsidR="00AA4549" w:rsidRPr="00BC7BB5">
        <w:rPr>
          <w:rFonts w:ascii="Times New Roman" w:hAnsi="Times New Roman" w:cs="Arial"/>
          <w:b/>
        </w:rPr>
        <w:t xml:space="preserve"> </w:t>
      </w:r>
      <w:r w:rsidR="00AA4549" w:rsidRPr="00BC7BB5">
        <w:rPr>
          <w:rFonts w:ascii="Times New Roman" w:hAnsi="Times New Roman" w:cs="Arial"/>
        </w:rPr>
        <w:t xml:space="preserve">the CPs define the respective contributions of the public and the private sectors. </w:t>
      </w:r>
      <w:r w:rsidR="00A451FF" w:rsidRPr="00BC7BB5">
        <w:rPr>
          <w:rFonts w:ascii="Times New Roman" w:hAnsi="Times New Roman" w:cs="Arial"/>
        </w:rPr>
        <w:t>The PMV has al</w:t>
      </w:r>
      <w:r w:rsidR="00A709B4">
        <w:rPr>
          <w:rFonts w:ascii="Times New Roman" w:hAnsi="Times New Roman" w:cs="Arial"/>
        </w:rPr>
        <w:t>so been translated into</w:t>
      </w:r>
      <w:r w:rsidR="00A451FF" w:rsidRPr="00BC7BB5">
        <w:rPr>
          <w:rFonts w:ascii="Times New Roman" w:hAnsi="Times New Roman" w:cs="Arial"/>
        </w:rPr>
        <w:t xml:space="preserve"> agricultural development plans</w:t>
      </w:r>
      <w:r w:rsidR="005675AF">
        <w:rPr>
          <w:rFonts w:ascii="Times New Roman" w:hAnsi="Times New Roman" w:cs="Arial"/>
        </w:rPr>
        <w:t xml:space="preserve"> endorsed by each region</w:t>
      </w:r>
      <w:r w:rsidR="00A451FF" w:rsidRPr="00BC7BB5">
        <w:rPr>
          <w:rFonts w:ascii="Times New Roman" w:hAnsi="Times New Roman" w:cs="Arial"/>
        </w:rPr>
        <w:t>.</w:t>
      </w:r>
    </w:p>
    <w:p w14:paraId="283C9F27" w14:textId="50E14014" w:rsidR="00C73CF0" w:rsidRPr="00BC7BB5" w:rsidRDefault="00C73CF0" w:rsidP="00D666A3">
      <w:pPr>
        <w:pStyle w:val="NoSpacing"/>
        <w:ind w:left="420"/>
        <w:jc w:val="both"/>
        <w:rPr>
          <w:rFonts w:ascii="Times New Roman" w:hAnsi="Times New Roman" w:cs="Arial"/>
        </w:rPr>
      </w:pPr>
    </w:p>
    <w:p w14:paraId="0C79D9D7" w14:textId="2D911C9C" w:rsidR="00C73CF0" w:rsidRPr="00BC7BB5" w:rsidRDefault="00751548" w:rsidP="00B35A06">
      <w:pPr>
        <w:pStyle w:val="NoSpacing"/>
        <w:numPr>
          <w:ilvl w:val="0"/>
          <w:numId w:val="7"/>
        </w:numPr>
        <w:ind w:left="0" w:firstLine="0"/>
        <w:jc w:val="both"/>
        <w:rPr>
          <w:rFonts w:ascii="Times New Roman" w:hAnsi="Times New Roman" w:cs="Arial"/>
        </w:rPr>
      </w:pPr>
      <w:r w:rsidRPr="00BC7BB5">
        <w:rPr>
          <w:rFonts w:ascii="Times New Roman" w:hAnsi="Times New Roman" w:cs="Arial"/>
          <w:b/>
        </w:rPr>
        <w:t>The PMV’s transversal</w:t>
      </w:r>
      <w:r w:rsidR="00C73CF0" w:rsidRPr="00BC7BB5">
        <w:rPr>
          <w:rFonts w:ascii="Times New Roman" w:hAnsi="Times New Roman" w:cs="Arial"/>
          <w:b/>
        </w:rPr>
        <w:t xml:space="preserve"> reforms</w:t>
      </w:r>
      <w:r w:rsidRPr="00BC7BB5">
        <w:rPr>
          <w:rFonts w:ascii="Times New Roman" w:hAnsi="Times New Roman" w:cs="Arial"/>
        </w:rPr>
        <w:t xml:space="preserve"> </w:t>
      </w:r>
      <w:r w:rsidR="00C73CF0" w:rsidRPr="00BC7BB5">
        <w:rPr>
          <w:rFonts w:ascii="Times New Roman" w:hAnsi="Times New Roman" w:cs="Arial"/>
          <w:b/>
        </w:rPr>
        <w:t xml:space="preserve">include actions </w:t>
      </w:r>
      <w:r w:rsidRPr="00BC7BB5">
        <w:rPr>
          <w:rFonts w:ascii="Times New Roman" w:hAnsi="Times New Roman" w:cs="Arial"/>
          <w:b/>
        </w:rPr>
        <w:t>in the following areas</w:t>
      </w:r>
      <w:r w:rsidR="0025705B" w:rsidRPr="00BC7BB5">
        <w:rPr>
          <w:rFonts w:ascii="Times New Roman" w:hAnsi="Times New Roman" w:cs="Arial"/>
        </w:rPr>
        <w:t xml:space="preserve"> (see Table 1 for further details)</w:t>
      </w:r>
      <w:r w:rsidR="00C73CF0" w:rsidRPr="00BC7BB5">
        <w:rPr>
          <w:rFonts w:ascii="Times New Roman" w:hAnsi="Times New Roman" w:cs="Arial"/>
        </w:rPr>
        <w:t>:</w:t>
      </w:r>
    </w:p>
    <w:p w14:paraId="4A9501B6" w14:textId="77777777" w:rsidR="00E36212" w:rsidRPr="00BC7BB5" w:rsidRDefault="00E36212" w:rsidP="00E36212">
      <w:pPr>
        <w:pStyle w:val="NoSpacing"/>
        <w:ind w:left="720"/>
        <w:jc w:val="both"/>
        <w:rPr>
          <w:rFonts w:ascii="Times New Roman" w:hAnsi="Times New Roman" w:cs="Arial"/>
        </w:rPr>
      </w:pPr>
    </w:p>
    <w:p w14:paraId="1F1D95EA" w14:textId="63B06E28" w:rsidR="00C73CF0" w:rsidRPr="00BC7BB5" w:rsidRDefault="002119E2" w:rsidP="00F561E8">
      <w:pPr>
        <w:pStyle w:val="NoSpacing"/>
        <w:numPr>
          <w:ilvl w:val="1"/>
          <w:numId w:val="20"/>
        </w:numPr>
        <w:ind w:left="1080"/>
        <w:jc w:val="both"/>
        <w:rPr>
          <w:rFonts w:ascii="Times New Roman" w:hAnsi="Times New Roman" w:cs="Arial"/>
        </w:rPr>
      </w:pPr>
      <w:r w:rsidRPr="00BC7BB5">
        <w:rPr>
          <w:rFonts w:ascii="Times New Roman" w:hAnsi="Times New Roman" w:cs="Arial"/>
          <w:i/>
        </w:rPr>
        <w:t>Sector g</w:t>
      </w:r>
      <w:r w:rsidR="00313AA6" w:rsidRPr="00BC7BB5">
        <w:rPr>
          <w:rFonts w:ascii="Times New Roman" w:hAnsi="Times New Roman" w:cs="Arial"/>
          <w:i/>
        </w:rPr>
        <w:t>overnance</w:t>
      </w:r>
      <w:r w:rsidR="00313AA6" w:rsidRPr="00BC7BB5">
        <w:rPr>
          <w:rFonts w:ascii="Times New Roman" w:hAnsi="Times New Roman" w:cs="Arial"/>
        </w:rPr>
        <w:t xml:space="preserve">. </w:t>
      </w:r>
      <w:r w:rsidR="00B843CA" w:rsidRPr="00BC7BB5">
        <w:rPr>
          <w:rFonts w:ascii="Times New Roman" w:hAnsi="Times New Roman" w:cs="Arial"/>
        </w:rPr>
        <w:t>Reorient</w:t>
      </w:r>
      <w:r w:rsidR="00751548" w:rsidRPr="00BC7BB5">
        <w:rPr>
          <w:rFonts w:ascii="Times New Roman" w:hAnsi="Times New Roman" w:cs="Arial"/>
        </w:rPr>
        <w:t>ing</w:t>
      </w:r>
      <w:r w:rsidR="00B843CA" w:rsidRPr="00BC7BB5">
        <w:rPr>
          <w:rFonts w:ascii="Times New Roman" w:hAnsi="Times New Roman" w:cs="Arial"/>
        </w:rPr>
        <w:t xml:space="preserve"> the ro</w:t>
      </w:r>
      <w:r w:rsidR="00751548" w:rsidRPr="00BC7BB5">
        <w:rPr>
          <w:rFonts w:ascii="Times New Roman" w:hAnsi="Times New Roman" w:cs="Arial"/>
        </w:rPr>
        <w:t xml:space="preserve">le of MAPMDREF towards planning, </w:t>
      </w:r>
      <w:r w:rsidR="00B843CA" w:rsidRPr="00BC7BB5">
        <w:rPr>
          <w:rFonts w:ascii="Times New Roman" w:hAnsi="Times New Roman" w:cs="Arial"/>
        </w:rPr>
        <w:t xml:space="preserve">policy development </w:t>
      </w:r>
      <w:r w:rsidR="00751548" w:rsidRPr="00BC7BB5">
        <w:rPr>
          <w:rFonts w:ascii="Times New Roman" w:hAnsi="Times New Roman" w:cs="Arial"/>
        </w:rPr>
        <w:t xml:space="preserve">and core regulatory functions </w:t>
      </w:r>
      <w:r w:rsidR="00B843CA" w:rsidRPr="00BC7BB5">
        <w:rPr>
          <w:rFonts w:ascii="Times New Roman" w:hAnsi="Times New Roman" w:cs="Arial"/>
        </w:rPr>
        <w:t>and delegating other agricultural services functions to private actors through public-private partnerships</w:t>
      </w:r>
      <w:r w:rsidR="00DD061C" w:rsidRPr="00BC7BB5">
        <w:rPr>
          <w:rFonts w:ascii="Times New Roman" w:hAnsi="Times New Roman" w:cs="Arial"/>
        </w:rPr>
        <w:t xml:space="preserve"> (through the </w:t>
      </w:r>
      <w:r w:rsidR="00FD4993" w:rsidRPr="00BC7BB5">
        <w:rPr>
          <w:rFonts w:ascii="Times New Roman" w:hAnsi="Times New Roman" w:cs="Arial"/>
        </w:rPr>
        <w:t>CP</w:t>
      </w:r>
      <w:r w:rsidR="00DD061C" w:rsidRPr="00BC7BB5">
        <w:rPr>
          <w:rFonts w:ascii="Times New Roman" w:hAnsi="Times New Roman" w:cs="Arial"/>
        </w:rPr>
        <w:t>s)</w:t>
      </w:r>
      <w:r w:rsidR="00643D09" w:rsidRPr="00BC7BB5">
        <w:rPr>
          <w:rFonts w:ascii="Times New Roman" w:hAnsi="Times New Roman" w:cs="Arial"/>
        </w:rPr>
        <w:t>, to autonomous agencies</w:t>
      </w:r>
      <w:r w:rsidR="00751548" w:rsidRPr="00BC7BB5">
        <w:rPr>
          <w:rFonts w:ascii="Times New Roman" w:hAnsi="Times New Roman" w:cs="Arial"/>
        </w:rPr>
        <w:t xml:space="preserve"> and to the regional and local level deconcentrated services of the Ministry</w:t>
      </w:r>
      <w:r w:rsidR="00B843CA" w:rsidRPr="00BC7BB5">
        <w:rPr>
          <w:rFonts w:ascii="Times New Roman" w:hAnsi="Times New Roman" w:cs="Arial"/>
        </w:rPr>
        <w:t>;</w:t>
      </w:r>
    </w:p>
    <w:p w14:paraId="2129F1B1" w14:textId="72A1804A" w:rsidR="00DB3C6D" w:rsidRPr="00BC7BB5" w:rsidRDefault="00DB3C6D" w:rsidP="00F561E8">
      <w:pPr>
        <w:pStyle w:val="NoSpacing"/>
        <w:numPr>
          <w:ilvl w:val="1"/>
          <w:numId w:val="20"/>
        </w:numPr>
        <w:ind w:left="1080"/>
        <w:jc w:val="both"/>
        <w:rPr>
          <w:rFonts w:ascii="Times New Roman" w:hAnsi="Times New Roman" w:cs="Arial"/>
        </w:rPr>
      </w:pPr>
      <w:r w:rsidRPr="00BC7BB5">
        <w:rPr>
          <w:rFonts w:ascii="Times New Roman" w:hAnsi="Times New Roman" w:cs="Arial"/>
          <w:i/>
        </w:rPr>
        <w:t>Market efficiency.</w:t>
      </w:r>
      <w:r w:rsidRPr="00BC7BB5">
        <w:rPr>
          <w:rFonts w:ascii="Times New Roman" w:hAnsi="Times New Roman" w:cs="Arial"/>
        </w:rPr>
        <w:t xml:space="preserve"> Improving the efficiency of domestic markets through improved management of marketing and processing infrastructure, </w:t>
      </w:r>
      <w:r w:rsidR="00BF7B6D" w:rsidRPr="00BC7BB5">
        <w:rPr>
          <w:rFonts w:ascii="Times New Roman" w:hAnsi="Times New Roman" w:cs="Arial"/>
        </w:rPr>
        <w:t>specifically</w:t>
      </w:r>
      <w:r w:rsidRPr="00BC7BB5">
        <w:rPr>
          <w:rFonts w:ascii="Times New Roman" w:hAnsi="Times New Roman" w:cs="Arial"/>
        </w:rPr>
        <w:t xml:space="preserve"> wholesale markets (for fruit and vegetables) and slaughterhouses;</w:t>
      </w:r>
    </w:p>
    <w:p w14:paraId="2A518BE2" w14:textId="0223551A" w:rsidR="00B843CA" w:rsidRPr="00BC7BB5" w:rsidRDefault="003200AD" w:rsidP="00F561E8">
      <w:pPr>
        <w:pStyle w:val="NoSpacing"/>
        <w:numPr>
          <w:ilvl w:val="1"/>
          <w:numId w:val="20"/>
        </w:numPr>
        <w:ind w:left="1080"/>
        <w:jc w:val="both"/>
        <w:rPr>
          <w:rFonts w:ascii="Times New Roman" w:hAnsi="Times New Roman" w:cs="Arial"/>
        </w:rPr>
      </w:pPr>
      <w:r w:rsidRPr="00BC7BB5">
        <w:rPr>
          <w:rFonts w:ascii="Times New Roman" w:hAnsi="Times New Roman" w:cs="Arial"/>
          <w:i/>
        </w:rPr>
        <w:t>Food safety.</w:t>
      </w:r>
      <w:r w:rsidR="00B843CA" w:rsidRPr="00BC7BB5">
        <w:rPr>
          <w:rFonts w:ascii="Times New Roman" w:hAnsi="Times New Roman" w:cs="Arial"/>
        </w:rPr>
        <w:t xml:space="preserve"> </w:t>
      </w:r>
      <w:r w:rsidR="007A3B3F" w:rsidRPr="00BC7BB5">
        <w:rPr>
          <w:rFonts w:ascii="Times New Roman" w:hAnsi="Times New Roman" w:cs="Arial"/>
        </w:rPr>
        <w:t xml:space="preserve">Strengthening food safety through the creation of </w:t>
      </w:r>
      <w:r w:rsidR="006D2A30" w:rsidRPr="00BC7BB5">
        <w:rPr>
          <w:rFonts w:ascii="Times New Roman" w:hAnsi="Times New Roman" w:cs="Arial"/>
        </w:rPr>
        <w:t>a national food safety agency (</w:t>
      </w:r>
      <w:r w:rsidR="007A3B3F" w:rsidRPr="00BC7BB5">
        <w:rPr>
          <w:rFonts w:ascii="Times New Roman" w:hAnsi="Times New Roman" w:cs="Arial"/>
        </w:rPr>
        <w:t>ONSSA</w:t>
      </w:r>
      <w:r w:rsidR="006D2A30" w:rsidRPr="00BC7BB5">
        <w:rPr>
          <w:rFonts w:ascii="Times New Roman" w:hAnsi="Times New Roman" w:cs="Arial"/>
        </w:rPr>
        <w:t>)</w:t>
      </w:r>
      <w:r w:rsidRPr="00BC7BB5">
        <w:rPr>
          <w:rFonts w:ascii="Times New Roman" w:hAnsi="Times New Roman" w:cs="Arial"/>
        </w:rPr>
        <w:t xml:space="preserve"> and </w:t>
      </w:r>
      <w:r w:rsidR="0085420B">
        <w:rPr>
          <w:rFonts w:ascii="Times New Roman" w:hAnsi="Times New Roman" w:cs="Arial"/>
        </w:rPr>
        <w:t>the</w:t>
      </w:r>
      <w:r w:rsidRPr="00BC7BB5">
        <w:rPr>
          <w:rFonts w:ascii="Times New Roman" w:hAnsi="Times New Roman" w:cs="Arial"/>
        </w:rPr>
        <w:t xml:space="preserve"> </w:t>
      </w:r>
      <w:r w:rsidR="00326508">
        <w:rPr>
          <w:rFonts w:ascii="Times New Roman" w:hAnsi="Times New Roman" w:cs="Arial"/>
        </w:rPr>
        <w:t>20</w:t>
      </w:r>
      <w:r w:rsidR="0085420B">
        <w:rPr>
          <w:rFonts w:ascii="Times New Roman" w:hAnsi="Times New Roman" w:cs="Arial"/>
        </w:rPr>
        <w:t>08</w:t>
      </w:r>
      <w:r w:rsidR="00326508">
        <w:rPr>
          <w:rFonts w:ascii="Times New Roman" w:hAnsi="Times New Roman" w:cs="Arial"/>
        </w:rPr>
        <w:t xml:space="preserve"> </w:t>
      </w:r>
      <w:r w:rsidRPr="00BC7BB5">
        <w:rPr>
          <w:rFonts w:ascii="Times New Roman" w:hAnsi="Times New Roman" w:cs="Arial"/>
        </w:rPr>
        <w:t>food safety law</w:t>
      </w:r>
      <w:r w:rsidR="007A3B3F" w:rsidRPr="00BC7BB5">
        <w:rPr>
          <w:rFonts w:ascii="Times New Roman" w:hAnsi="Times New Roman" w:cs="Arial"/>
        </w:rPr>
        <w:t>;</w:t>
      </w:r>
    </w:p>
    <w:p w14:paraId="741EC92B" w14:textId="20D021BE" w:rsidR="007A3B3F" w:rsidRPr="00BC7BB5" w:rsidRDefault="006D2A30" w:rsidP="00F561E8">
      <w:pPr>
        <w:pStyle w:val="NoSpacing"/>
        <w:numPr>
          <w:ilvl w:val="1"/>
          <w:numId w:val="20"/>
        </w:numPr>
        <w:ind w:left="1080"/>
        <w:jc w:val="both"/>
        <w:rPr>
          <w:rFonts w:ascii="Times New Roman" w:hAnsi="Times New Roman" w:cs="Arial"/>
        </w:rPr>
      </w:pPr>
      <w:r w:rsidRPr="00BC7BB5">
        <w:rPr>
          <w:rFonts w:ascii="Times New Roman" w:hAnsi="Times New Roman" w:cs="Arial"/>
          <w:i/>
        </w:rPr>
        <w:t>Agricultural knowledge and innovation systems</w:t>
      </w:r>
      <w:r w:rsidRPr="00BC7BB5">
        <w:rPr>
          <w:rFonts w:ascii="Times New Roman" w:hAnsi="Times New Roman" w:cs="Arial"/>
        </w:rPr>
        <w:t xml:space="preserve">. </w:t>
      </w:r>
      <w:r w:rsidR="007A3B3F" w:rsidRPr="00BC7BB5">
        <w:rPr>
          <w:rFonts w:ascii="Times New Roman" w:hAnsi="Times New Roman" w:cs="Arial"/>
        </w:rPr>
        <w:t xml:space="preserve">Reorganizing and strengthening agricultural advisory services, through a National Advisory Strategy and the creation </w:t>
      </w:r>
      <w:r w:rsidR="00330C08">
        <w:rPr>
          <w:rFonts w:ascii="Times New Roman" w:hAnsi="Times New Roman" w:cs="Arial"/>
        </w:rPr>
        <w:t xml:space="preserve">of </w:t>
      </w:r>
      <w:r w:rsidRPr="00BC7BB5">
        <w:rPr>
          <w:rFonts w:ascii="Times New Roman" w:hAnsi="Times New Roman" w:cs="Arial"/>
        </w:rPr>
        <w:t>the national extension agency</w:t>
      </w:r>
      <w:r w:rsidR="007A3B3F" w:rsidRPr="00BC7BB5">
        <w:rPr>
          <w:rFonts w:ascii="Times New Roman" w:hAnsi="Times New Roman" w:cs="Arial"/>
        </w:rPr>
        <w:t xml:space="preserve"> </w:t>
      </w:r>
      <w:r w:rsidR="00330C08">
        <w:rPr>
          <w:rFonts w:ascii="Times New Roman" w:hAnsi="Times New Roman" w:cs="Arial"/>
        </w:rPr>
        <w:t>(</w:t>
      </w:r>
      <w:r w:rsidR="007A3B3F" w:rsidRPr="00BC7BB5">
        <w:rPr>
          <w:rFonts w:ascii="Times New Roman" w:hAnsi="Times New Roman" w:cs="Arial"/>
        </w:rPr>
        <w:t>ONCA</w:t>
      </w:r>
      <w:r w:rsidR="00330C08">
        <w:rPr>
          <w:rFonts w:ascii="Times New Roman" w:hAnsi="Times New Roman" w:cs="Arial"/>
        </w:rPr>
        <w:t>)</w:t>
      </w:r>
      <w:r w:rsidR="007A3B3F" w:rsidRPr="00BC7BB5">
        <w:rPr>
          <w:rFonts w:ascii="Times New Roman" w:hAnsi="Times New Roman" w:cs="Arial"/>
        </w:rPr>
        <w:t>;</w:t>
      </w:r>
      <w:r w:rsidR="00643D09" w:rsidRPr="00BC7BB5">
        <w:rPr>
          <w:rFonts w:ascii="Times New Roman" w:hAnsi="Times New Roman" w:cs="Arial"/>
        </w:rPr>
        <w:t xml:space="preserve"> and</w:t>
      </w:r>
      <w:r w:rsidR="007A3B3F" w:rsidRPr="00BC7BB5">
        <w:rPr>
          <w:rFonts w:ascii="Times New Roman" w:hAnsi="Times New Roman" w:cs="Arial"/>
        </w:rPr>
        <w:t xml:space="preserve"> </w:t>
      </w:r>
      <w:r w:rsidRPr="00BC7BB5">
        <w:rPr>
          <w:rFonts w:ascii="Times New Roman" w:hAnsi="Times New Roman" w:cs="Arial"/>
        </w:rPr>
        <w:t xml:space="preserve">reforms </w:t>
      </w:r>
      <w:r w:rsidR="00B27391" w:rsidRPr="00BC7BB5">
        <w:rPr>
          <w:rFonts w:ascii="Times New Roman" w:hAnsi="Times New Roman" w:cs="Arial"/>
        </w:rPr>
        <w:t xml:space="preserve">of </w:t>
      </w:r>
      <w:r w:rsidRPr="00BC7BB5">
        <w:rPr>
          <w:rFonts w:ascii="Times New Roman" w:hAnsi="Times New Roman" w:cs="Arial"/>
        </w:rPr>
        <w:t>the researc</w:t>
      </w:r>
      <w:r w:rsidR="001B1A33" w:rsidRPr="00BC7BB5">
        <w:rPr>
          <w:rFonts w:ascii="Times New Roman" w:hAnsi="Times New Roman" w:cs="Arial"/>
        </w:rPr>
        <w:t>h system;</w:t>
      </w:r>
    </w:p>
    <w:p w14:paraId="1EF2E4EC" w14:textId="75193A9F" w:rsidR="001B1A33" w:rsidRPr="00BC7BB5" w:rsidRDefault="001B1A33" w:rsidP="00F561E8">
      <w:pPr>
        <w:pStyle w:val="NoSpacing"/>
        <w:numPr>
          <w:ilvl w:val="1"/>
          <w:numId w:val="20"/>
        </w:numPr>
        <w:ind w:left="1080"/>
        <w:jc w:val="both"/>
        <w:rPr>
          <w:rFonts w:ascii="Times New Roman" w:hAnsi="Times New Roman" w:cs="Arial"/>
        </w:rPr>
      </w:pPr>
      <w:r w:rsidRPr="00BC7BB5">
        <w:rPr>
          <w:rFonts w:ascii="Times New Roman" w:hAnsi="Times New Roman" w:cs="Arial"/>
          <w:i/>
        </w:rPr>
        <w:t>Trade</w:t>
      </w:r>
      <w:r w:rsidRPr="00BC7BB5">
        <w:rPr>
          <w:rFonts w:ascii="Times New Roman" w:hAnsi="Times New Roman" w:cs="Arial"/>
        </w:rPr>
        <w:t>. Improving access to high value export markets through the gradual liberalization of protected sectors and new Free Trade Agreements;</w:t>
      </w:r>
    </w:p>
    <w:p w14:paraId="0ADE294F" w14:textId="6D144807" w:rsidR="001B1A33" w:rsidRPr="00BC7BB5" w:rsidRDefault="001B1A33" w:rsidP="00F561E8">
      <w:pPr>
        <w:pStyle w:val="NoSpacing"/>
        <w:numPr>
          <w:ilvl w:val="1"/>
          <w:numId w:val="20"/>
        </w:numPr>
        <w:ind w:left="1080"/>
        <w:jc w:val="both"/>
        <w:rPr>
          <w:rFonts w:ascii="Times New Roman" w:hAnsi="Times New Roman" w:cs="Arial"/>
        </w:rPr>
      </w:pPr>
      <w:r w:rsidRPr="00BC7BB5">
        <w:rPr>
          <w:rFonts w:ascii="Times New Roman" w:hAnsi="Times New Roman" w:cs="Arial"/>
          <w:i/>
        </w:rPr>
        <w:t>Water management.</w:t>
      </w:r>
      <w:r w:rsidRPr="00BC7BB5">
        <w:rPr>
          <w:rFonts w:ascii="Times New Roman" w:hAnsi="Times New Roman" w:cs="Arial"/>
        </w:rPr>
        <w:t xml:space="preserve"> Strengthening irrigation water services by delegating their management to the private sector, extending</w:t>
      </w:r>
      <w:r w:rsidR="00643D09" w:rsidRPr="00BC7BB5">
        <w:rPr>
          <w:rFonts w:ascii="Times New Roman" w:hAnsi="Times New Roman" w:cs="Arial"/>
        </w:rPr>
        <w:t xml:space="preserve"> existing irrigation perimeters</w:t>
      </w:r>
      <w:r w:rsidRPr="00BC7BB5">
        <w:rPr>
          <w:rFonts w:ascii="Times New Roman" w:hAnsi="Times New Roman" w:cs="Arial"/>
        </w:rPr>
        <w:t xml:space="preserve"> </w:t>
      </w:r>
      <w:r w:rsidR="00B27391" w:rsidRPr="00BC7BB5">
        <w:rPr>
          <w:rFonts w:ascii="Times New Roman" w:hAnsi="Times New Roman" w:cs="Arial"/>
        </w:rPr>
        <w:t xml:space="preserve">and </w:t>
      </w:r>
      <w:r w:rsidRPr="00BC7BB5">
        <w:rPr>
          <w:rFonts w:ascii="Times New Roman" w:hAnsi="Times New Roman" w:cs="Arial"/>
        </w:rPr>
        <w:t>promoting on-farm drip irrigation;</w:t>
      </w:r>
      <w:r w:rsidR="00643D09" w:rsidRPr="00BC7BB5">
        <w:rPr>
          <w:rFonts w:ascii="Times New Roman" w:hAnsi="Times New Roman" w:cs="Arial"/>
        </w:rPr>
        <w:t xml:space="preserve"> and</w:t>
      </w:r>
    </w:p>
    <w:p w14:paraId="6CDB26B1" w14:textId="3FB5A85E" w:rsidR="007A3B3F" w:rsidRPr="00BC7BB5" w:rsidRDefault="0025497D" w:rsidP="00F561E8">
      <w:pPr>
        <w:pStyle w:val="NoSpacing"/>
        <w:numPr>
          <w:ilvl w:val="1"/>
          <w:numId w:val="20"/>
        </w:numPr>
        <w:ind w:left="1080"/>
        <w:jc w:val="both"/>
        <w:rPr>
          <w:rFonts w:ascii="Times New Roman" w:hAnsi="Times New Roman" w:cs="Arial"/>
        </w:rPr>
      </w:pPr>
      <w:r w:rsidRPr="00BC7BB5">
        <w:rPr>
          <w:rFonts w:ascii="Times New Roman" w:hAnsi="Times New Roman" w:cs="Arial"/>
          <w:i/>
        </w:rPr>
        <w:t>Land management.</w:t>
      </w:r>
      <w:r w:rsidRPr="00BC7BB5">
        <w:rPr>
          <w:rFonts w:ascii="Times New Roman" w:hAnsi="Times New Roman" w:cs="Arial"/>
        </w:rPr>
        <w:t xml:space="preserve"> </w:t>
      </w:r>
      <w:r w:rsidR="00661EF4" w:rsidRPr="00BC7BB5">
        <w:rPr>
          <w:rFonts w:ascii="Times New Roman" w:hAnsi="Times New Roman" w:cs="Arial"/>
        </w:rPr>
        <w:t>Mobilizing agricultural la</w:t>
      </w:r>
      <w:r w:rsidR="00335754" w:rsidRPr="00BC7BB5">
        <w:rPr>
          <w:rFonts w:ascii="Times New Roman" w:hAnsi="Times New Roman" w:cs="Arial"/>
        </w:rPr>
        <w:t>n</w:t>
      </w:r>
      <w:r w:rsidR="00661EF4" w:rsidRPr="00BC7BB5">
        <w:rPr>
          <w:rFonts w:ascii="Times New Roman" w:hAnsi="Times New Roman" w:cs="Arial"/>
        </w:rPr>
        <w:t>d though private sector participation in the development of state-owned and collective lands and promoting contract farming.</w:t>
      </w:r>
    </w:p>
    <w:p w14:paraId="31453BB7" w14:textId="77777777" w:rsidR="00661EF4" w:rsidRPr="00BC7BB5" w:rsidRDefault="00661EF4" w:rsidP="00661EF4">
      <w:pPr>
        <w:pStyle w:val="NoSpacing"/>
        <w:ind w:left="1140"/>
        <w:jc w:val="both"/>
        <w:rPr>
          <w:rFonts w:ascii="Times New Roman" w:hAnsi="Times New Roman" w:cs="Arial"/>
        </w:rPr>
      </w:pPr>
    </w:p>
    <w:p w14:paraId="4085C18D" w14:textId="24D81586" w:rsidR="008D6E54" w:rsidRDefault="00AB5B32" w:rsidP="00B35A06">
      <w:pPr>
        <w:pStyle w:val="NoSpacing"/>
        <w:numPr>
          <w:ilvl w:val="0"/>
          <w:numId w:val="7"/>
        </w:numPr>
        <w:ind w:left="0" w:firstLine="0"/>
        <w:jc w:val="both"/>
        <w:rPr>
          <w:rFonts w:ascii="Times New Roman" w:hAnsi="Times New Roman" w:cs="Arial"/>
        </w:rPr>
      </w:pPr>
      <w:r w:rsidRPr="00BC7BB5">
        <w:rPr>
          <w:rFonts w:ascii="Times New Roman" w:hAnsi="Times New Roman" w:cs="Arial"/>
          <w:b/>
        </w:rPr>
        <w:t xml:space="preserve">One of the core objectives of the PMV is to </w:t>
      </w:r>
      <w:r w:rsidR="004B5AC9" w:rsidRPr="00BC7BB5">
        <w:rPr>
          <w:rFonts w:ascii="Times New Roman" w:hAnsi="Times New Roman" w:cs="Arial"/>
          <w:b/>
        </w:rPr>
        <w:t>increase</w:t>
      </w:r>
      <w:r w:rsidRPr="00BC7BB5">
        <w:rPr>
          <w:rFonts w:ascii="Times New Roman" w:hAnsi="Times New Roman" w:cs="Arial"/>
          <w:b/>
        </w:rPr>
        <w:t xml:space="preserve"> </w:t>
      </w:r>
      <w:r w:rsidR="004B5AC9" w:rsidRPr="00BC7BB5">
        <w:rPr>
          <w:rFonts w:ascii="Times New Roman" w:hAnsi="Times New Roman" w:cs="Arial"/>
          <w:b/>
        </w:rPr>
        <w:t xml:space="preserve">private </w:t>
      </w:r>
      <w:r w:rsidRPr="00BC7BB5">
        <w:rPr>
          <w:rFonts w:ascii="Times New Roman" w:hAnsi="Times New Roman" w:cs="Arial"/>
          <w:b/>
        </w:rPr>
        <w:t xml:space="preserve">investments </w:t>
      </w:r>
      <w:r w:rsidR="004B5AC9" w:rsidRPr="00BC7BB5">
        <w:rPr>
          <w:rFonts w:ascii="Times New Roman" w:hAnsi="Times New Roman" w:cs="Arial"/>
          <w:b/>
        </w:rPr>
        <w:t>in the agri-food</w:t>
      </w:r>
      <w:r w:rsidRPr="00BC7BB5">
        <w:rPr>
          <w:rFonts w:ascii="Times New Roman" w:hAnsi="Times New Roman" w:cs="Arial"/>
          <w:b/>
        </w:rPr>
        <w:t xml:space="preserve"> sector. </w:t>
      </w:r>
      <w:r w:rsidR="008D6E54" w:rsidRPr="00BC7BB5">
        <w:rPr>
          <w:rFonts w:ascii="Times New Roman" w:hAnsi="Times New Roman" w:cs="Arial"/>
        </w:rPr>
        <w:t xml:space="preserve">The </w:t>
      </w:r>
      <w:r w:rsidR="004B5AC9" w:rsidRPr="00BC7BB5">
        <w:rPr>
          <w:rFonts w:ascii="Times New Roman" w:hAnsi="Times New Roman" w:cs="Arial"/>
        </w:rPr>
        <w:t xml:space="preserve">investment </w:t>
      </w:r>
      <w:r w:rsidR="008D6E54" w:rsidRPr="00BC7BB5">
        <w:rPr>
          <w:rFonts w:ascii="Times New Roman" w:hAnsi="Times New Roman" w:cs="Arial"/>
        </w:rPr>
        <w:t xml:space="preserve">support policy of the PMV is based on a set of incentives aimed at leveraging </w:t>
      </w:r>
      <w:r w:rsidR="00991D58">
        <w:rPr>
          <w:rFonts w:ascii="Times New Roman" w:hAnsi="Times New Roman" w:cs="Arial"/>
        </w:rPr>
        <w:t xml:space="preserve">private </w:t>
      </w:r>
      <w:r w:rsidR="008D6E54" w:rsidRPr="00BC7BB5">
        <w:rPr>
          <w:rFonts w:ascii="Times New Roman" w:hAnsi="Times New Roman" w:cs="Arial"/>
        </w:rPr>
        <w:t xml:space="preserve">investment in the sector for value-addition and value-chain development. Under the first pillar of </w:t>
      </w:r>
      <w:r w:rsidR="004B5AC9" w:rsidRPr="00BC7BB5">
        <w:rPr>
          <w:rFonts w:ascii="Times New Roman" w:hAnsi="Times New Roman" w:cs="Arial"/>
        </w:rPr>
        <w:t xml:space="preserve">the </w:t>
      </w:r>
      <w:r w:rsidR="008D6E54" w:rsidRPr="00BC7BB5">
        <w:rPr>
          <w:rFonts w:ascii="Times New Roman" w:hAnsi="Times New Roman" w:cs="Arial"/>
        </w:rPr>
        <w:t>PMV, financial incentives are provided through</w:t>
      </w:r>
      <w:r w:rsidR="004B5AC9" w:rsidRPr="00BC7BB5">
        <w:rPr>
          <w:rFonts w:ascii="Times New Roman" w:hAnsi="Times New Roman" w:cs="Arial"/>
        </w:rPr>
        <w:t xml:space="preserve"> the</w:t>
      </w:r>
      <w:r w:rsidR="008D6E54" w:rsidRPr="00BC7BB5">
        <w:rPr>
          <w:rFonts w:ascii="Times New Roman" w:hAnsi="Times New Roman" w:cs="Arial"/>
        </w:rPr>
        <w:t xml:space="preserve"> </w:t>
      </w:r>
      <w:r w:rsidR="008D6E54" w:rsidRPr="00BC7BB5">
        <w:rPr>
          <w:rFonts w:ascii="Times New Roman" w:hAnsi="Times New Roman" w:cs="Arial"/>
          <w:i/>
        </w:rPr>
        <w:t>Fonds de D</w:t>
      </w:r>
      <w:r w:rsidR="004B5AC9" w:rsidRPr="00BC7BB5">
        <w:rPr>
          <w:rFonts w:ascii="Times New Roman" w:hAnsi="Times New Roman" w:cs="Arial"/>
          <w:i/>
        </w:rPr>
        <w:t>é</w:t>
      </w:r>
      <w:r w:rsidR="008D6E54" w:rsidRPr="00BC7BB5">
        <w:rPr>
          <w:rFonts w:ascii="Times New Roman" w:hAnsi="Times New Roman" w:cs="Arial"/>
          <w:i/>
        </w:rPr>
        <w:t>veloppement Agricole</w:t>
      </w:r>
      <w:r w:rsidR="008D6E54" w:rsidRPr="00BC7BB5">
        <w:rPr>
          <w:rFonts w:ascii="Times New Roman" w:hAnsi="Times New Roman" w:cs="Arial"/>
        </w:rPr>
        <w:t xml:space="preserve"> (Agricultural Development Fund, FDA</w:t>
      </w:r>
      <w:r w:rsidR="00EA4B8A">
        <w:rPr>
          <w:rFonts w:ascii="Times New Roman" w:hAnsi="Times New Roman" w:cs="Arial"/>
        </w:rPr>
        <w:fldChar w:fldCharType="begin"/>
      </w:r>
      <w:r w:rsidR="00EA4B8A">
        <w:instrText xml:space="preserve"> XE "</w:instrText>
      </w:r>
      <w:r w:rsidR="00EA4B8A" w:rsidRPr="00E81FE1">
        <w:rPr>
          <w:rFonts w:ascii="Times New Roman" w:hAnsi="Times New Roman" w:cs="Arial"/>
        </w:rPr>
        <w:instrText>FDA:</w:instrText>
      </w:r>
      <w:r w:rsidR="00EA4B8A" w:rsidRPr="00E81FE1">
        <w:instrText>Fonds de Développement Agricole (Agricultural Development Fund</w:instrText>
      </w:r>
      <w:r w:rsidR="00EA4B8A">
        <w:instrText xml:space="preserve">" </w:instrText>
      </w:r>
      <w:r w:rsidR="00EA4B8A">
        <w:rPr>
          <w:rFonts w:ascii="Times New Roman" w:hAnsi="Times New Roman" w:cs="Arial"/>
        </w:rPr>
        <w:fldChar w:fldCharType="end"/>
      </w:r>
      <w:r w:rsidR="008D6E54" w:rsidRPr="00BC7BB5">
        <w:rPr>
          <w:rFonts w:ascii="Times New Roman" w:hAnsi="Times New Roman" w:cs="Arial"/>
        </w:rPr>
        <w:t xml:space="preserve">) for private investments in modern equipment and technologies and for aggregation projects targeting small </w:t>
      </w:r>
      <w:r w:rsidR="00A709B4">
        <w:rPr>
          <w:rFonts w:ascii="Times New Roman" w:hAnsi="Times New Roman" w:cs="Arial"/>
        </w:rPr>
        <w:t xml:space="preserve">and medium </w:t>
      </w:r>
      <w:r w:rsidR="008D6E54" w:rsidRPr="00BC7BB5">
        <w:rPr>
          <w:rFonts w:ascii="Times New Roman" w:hAnsi="Times New Roman" w:cs="Arial"/>
        </w:rPr>
        <w:t>producers</w:t>
      </w:r>
      <w:r w:rsidR="005E2FAE" w:rsidRPr="00BC7BB5">
        <w:rPr>
          <w:rFonts w:ascii="Times New Roman" w:hAnsi="Times New Roman" w:cs="Arial"/>
        </w:rPr>
        <w:t xml:space="preserve"> who are willing to enter in</w:t>
      </w:r>
      <w:r w:rsidR="008D6E54" w:rsidRPr="00BC7BB5">
        <w:rPr>
          <w:rFonts w:ascii="Times New Roman" w:hAnsi="Times New Roman" w:cs="Arial"/>
        </w:rPr>
        <w:t xml:space="preserve"> commercial partnerships with processors (</w:t>
      </w:r>
      <w:r w:rsidR="008D6E54" w:rsidRPr="00BC7BB5">
        <w:rPr>
          <w:rFonts w:ascii="Times New Roman" w:hAnsi="Times New Roman" w:cs="Arial"/>
          <w:i/>
        </w:rPr>
        <w:t>agrégateurs</w:t>
      </w:r>
      <w:r w:rsidR="008D6E54" w:rsidRPr="00BC7BB5">
        <w:rPr>
          <w:rFonts w:ascii="Times New Roman" w:hAnsi="Times New Roman" w:cs="Arial"/>
        </w:rPr>
        <w:t xml:space="preserve">). Under </w:t>
      </w:r>
      <w:r w:rsidR="004B5AC9" w:rsidRPr="00BC7BB5">
        <w:rPr>
          <w:rFonts w:ascii="Times New Roman" w:hAnsi="Times New Roman" w:cs="Arial"/>
        </w:rPr>
        <w:t xml:space="preserve">the PMV’s </w:t>
      </w:r>
      <w:r w:rsidR="008D6E54" w:rsidRPr="00BC7BB5">
        <w:rPr>
          <w:rFonts w:ascii="Times New Roman" w:hAnsi="Times New Roman" w:cs="Arial"/>
        </w:rPr>
        <w:t>second pillar</w:t>
      </w:r>
      <w:r w:rsidR="00995F40">
        <w:rPr>
          <w:rFonts w:ascii="Times New Roman" w:hAnsi="Times New Roman" w:cs="Arial"/>
        </w:rPr>
        <w:t xml:space="preserve">, </w:t>
      </w:r>
      <w:r w:rsidR="00A709B4">
        <w:rPr>
          <w:rFonts w:ascii="Times New Roman" w:hAnsi="Times New Roman" w:cs="Arial"/>
        </w:rPr>
        <w:t xml:space="preserve">financial </w:t>
      </w:r>
      <w:r w:rsidR="00995F40">
        <w:rPr>
          <w:rFonts w:ascii="Times New Roman" w:hAnsi="Times New Roman" w:cs="Arial"/>
        </w:rPr>
        <w:t>incentives target</w:t>
      </w:r>
      <w:r w:rsidR="008D6E54" w:rsidRPr="00BC7BB5">
        <w:rPr>
          <w:rFonts w:ascii="Times New Roman" w:hAnsi="Times New Roman" w:cs="Arial"/>
        </w:rPr>
        <w:t xml:space="preserve"> subsistence family </w:t>
      </w:r>
      <w:r w:rsidR="004B5AC9" w:rsidRPr="00BC7BB5">
        <w:rPr>
          <w:rFonts w:ascii="Times New Roman" w:hAnsi="Times New Roman" w:cs="Arial"/>
        </w:rPr>
        <w:t xml:space="preserve">producers </w:t>
      </w:r>
      <w:r w:rsidR="008D6E54" w:rsidRPr="00BC7BB5">
        <w:rPr>
          <w:rFonts w:ascii="Times New Roman" w:hAnsi="Times New Roman" w:cs="Arial"/>
        </w:rPr>
        <w:t xml:space="preserve">in </w:t>
      </w:r>
      <w:r w:rsidR="00FD4993" w:rsidRPr="00BC7BB5">
        <w:rPr>
          <w:rFonts w:ascii="Times New Roman" w:hAnsi="Times New Roman" w:cs="Arial"/>
        </w:rPr>
        <w:t>dis</w:t>
      </w:r>
      <w:r w:rsidR="008D6E54" w:rsidRPr="00BC7BB5">
        <w:rPr>
          <w:rFonts w:ascii="Times New Roman" w:hAnsi="Times New Roman" w:cs="Arial"/>
        </w:rPr>
        <w:t xml:space="preserve">advantaged areas to support their </w:t>
      </w:r>
      <w:r w:rsidR="00FD4993" w:rsidRPr="00BC7BB5">
        <w:rPr>
          <w:rFonts w:ascii="Times New Roman" w:hAnsi="Times New Roman" w:cs="Arial"/>
        </w:rPr>
        <w:t xml:space="preserve">transition </w:t>
      </w:r>
      <w:r w:rsidR="008D6E54" w:rsidRPr="00BC7BB5">
        <w:rPr>
          <w:rFonts w:ascii="Times New Roman" w:hAnsi="Times New Roman" w:cs="Arial"/>
        </w:rPr>
        <w:t xml:space="preserve">to higher value crops. Incentives include financial support </w:t>
      </w:r>
      <w:r w:rsidR="004B5AC9" w:rsidRPr="00BC7BB5">
        <w:rPr>
          <w:rFonts w:ascii="Times New Roman" w:hAnsi="Times New Roman" w:cs="Arial"/>
        </w:rPr>
        <w:t xml:space="preserve">for </w:t>
      </w:r>
      <w:r w:rsidR="008D6E54" w:rsidRPr="00BC7BB5">
        <w:rPr>
          <w:rFonts w:ascii="Times New Roman" w:hAnsi="Times New Roman" w:cs="Arial"/>
        </w:rPr>
        <w:t xml:space="preserve">collective investments </w:t>
      </w:r>
      <w:r w:rsidR="004B5AC9" w:rsidRPr="00BC7BB5">
        <w:rPr>
          <w:rFonts w:ascii="Times New Roman" w:hAnsi="Times New Roman" w:cs="Arial"/>
        </w:rPr>
        <w:t xml:space="preserve">in </w:t>
      </w:r>
      <w:r w:rsidR="008D6E54" w:rsidRPr="00BC7BB5">
        <w:rPr>
          <w:rFonts w:ascii="Times New Roman" w:hAnsi="Times New Roman" w:cs="Arial"/>
        </w:rPr>
        <w:t>production</w:t>
      </w:r>
      <w:r w:rsidR="004B5AC9" w:rsidRPr="00BC7BB5">
        <w:rPr>
          <w:rFonts w:ascii="Times New Roman" w:hAnsi="Times New Roman" w:cs="Arial"/>
        </w:rPr>
        <w:t xml:space="preserve"> and processing</w:t>
      </w:r>
      <w:r w:rsidR="008D6E54" w:rsidRPr="00BC7BB5">
        <w:rPr>
          <w:rFonts w:ascii="Times New Roman" w:hAnsi="Times New Roman" w:cs="Arial"/>
        </w:rPr>
        <w:t xml:space="preserve"> (e.g.</w:t>
      </w:r>
      <w:r w:rsidR="00991D58">
        <w:rPr>
          <w:rFonts w:ascii="Times New Roman" w:hAnsi="Times New Roman" w:cs="Arial"/>
        </w:rPr>
        <w:t>,</w:t>
      </w:r>
      <w:r w:rsidR="008D6E54" w:rsidRPr="00BC7BB5">
        <w:rPr>
          <w:rFonts w:ascii="Times New Roman" w:hAnsi="Times New Roman" w:cs="Arial"/>
        </w:rPr>
        <w:t xml:space="preserve"> orchard plantations and processing units), technical assistance for project preparation and </w:t>
      </w:r>
      <w:r w:rsidR="00643D09" w:rsidRPr="00BC7BB5">
        <w:rPr>
          <w:rFonts w:ascii="Times New Roman" w:hAnsi="Times New Roman" w:cs="Arial"/>
        </w:rPr>
        <w:t>capacity building for p</w:t>
      </w:r>
      <w:r w:rsidR="004B5AC9" w:rsidRPr="00BC7BB5">
        <w:rPr>
          <w:rFonts w:ascii="Times New Roman" w:hAnsi="Times New Roman" w:cs="Arial"/>
        </w:rPr>
        <w:t>r</w:t>
      </w:r>
      <w:r w:rsidR="00643D09" w:rsidRPr="00BC7BB5">
        <w:rPr>
          <w:rFonts w:ascii="Times New Roman" w:hAnsi="Times New Roman" w:cs="Arial"/>
        </w:rPr>
        <w:t>o</w:t>
      </w:r>
      <w:r w:rsidR="004B5AC9" w:rsidRPr="00BC7BB5">
        <w:rPr>
          <w:rFonts w:ascii="Times New Roman" w:hAnsi="Times New Roman" w:cs="Arial"/>
        </w:rPr>
        <w:t>ducers</w:t>
      </w:r>
      <w:r w:rsidR="008D6E54" w:rsidRPr="00BC7BB5">
        <w:rPr>
          <w:rFonts w:ascii="Times New Roman" w:hAnsi="Times New Roman" w:cs="Arial"/>
        </w:rPr>
        <w:t xml:space="preserve">. Both </w:t>
      </w:r>
      <w:r w:rsidR="004B5AC9" w:rsidRPr="00BC7BB5">
        <w:rPr>
          <w:rFonts w:ascii="Times New Roman" w:hAnsi="Times New Roman" w:cs="Arial"/>
        </w:rPr>
        <w:t xml:space="preserve">pillars </w:t>
      </w:r>
      <w:r w:rsidR="008D6E54" w:rsidRPr="00BC7BB5">
        <w:rPr>
          <w:rFonts w:ascii="Times New Roman" w:hAnsi="Times New Roman" w:cs="Arial"/>
        </w:rPr>
        <w:t xml:space="preserve">aim at improving productivity and incomes of </w:t>
      </w:r>
      <w:r w:rsidR="004B5AC9" w:rsidRPr="00BC7BB5">
        <w:rPr>
          <w:rFonts w:ascii="Times New Roman" w:hAnsi="Times New Roman" w:cs="Arial"/>
        </w:rPr>
        <w:t>agricultural producers</w:t>
      </w:r>
      <w:r w:rsidR="008D6E54" w:rsidRPr="00BC7BB5">
        <w:rPr>
          <w:rFonts w:ascii="Times New Roman" w:hAnsi="Times New Roman" w:cs="Arial"/>
        </w:rPr>
        <w:t>, improving linkages between producers and buyers, and enabling greater integration of producers in modern value-chains.</w:t>
      </w:r>
    </w:p>
    <w:p w14:paraId="1CCE34FF" w14:textId="77777777" w:rsidR="009707D8" w:rsidRPr="00BC7BB5" w:rsidRDefault="009707D8" w:rsidP="009707D8">
      <w:pPr>
        <w:pStyle w:val="NoSpacing"/>
        <w:jc w:val="both"/>
        <w:rPr>
          <w:rFonts w:ascii="Times New Roman" w:hAnsi="Times New Roman" w:cs="Arial"/>
        </w:rPr>
      </w:pPr>
    </w:p>
    <w:p w14:paraId="00C0D356" w14:textId="78E3E1CC" w:rsidR="00AB5B32" w:rsidRPr="00BC7BB5" w:rsidRDefault="008D6E54" w:rsidP="00B35A06">
      <w:pPr>
        <w:pStyle w:val="NoSpacing"/>
        <w:numPr>
          <w:ilvl w:val="0"/>
          <w:numId w:val="7"/>
        </w:numPr>
        <w:ind w:left="0" w:firstLine="0"/>
        <w:jc w:val="both"/>
        <w:rPr>
          <w:rFonts w:ascii="Times New Roman" w:hAnsi="Times New Roman" w:cs="Arial"/>
        </w:rPr>
      </w:pPr>
      <w:r w:rsidRPr="00BC7BB5">
        <w:rPr>
          <w:rFonts w:ascii="Times New Roman" w:hAnsi="Times New Roman" w:cs="Arial"/>
          <w:b/>
        </w:rPr>
        <w:t xml:space="preserve">The </w:t>
      </w:r>
      <w:r w:rsidR="004B5AC9" w:rsidRPr="00BC7BB5">
        <w:rPr>
          <w:rFonts w:ascii="Times New Roman" w:hAnsi="Times New Roman" w:cs="Arial"/>
          <w:b/>
        </w:rPr>
        <w:t>investment support policy of the PMV</w:t>
      </w:r>
      <w:r w:rsidRPr="00BC7BB5">
        <w:rPr>
          <w:rFonts w:ascii="Times New Roman" w:hAnsi="Times New Roman" w:cs="Arial"/>
          <w:b/>
        </w:rPr>
        <w:t xml:space="preserve"> </w:t>
      </w:r>
      <w:r w:rsidR="00DF24EE" w:rsidRPr="00BC7BB5">
        <w:rPr>
          <w:rFonts w:ascii="Times New Roman" w:hAnsi="Times New Roman" w:cs="Arial"/>
          <w:b/>
        </w:rPr>
        <w:t xml:space="preserve">focuses </w:t>
      </w:r>
      <w:r w:rsidR="005E2FAE" w:rsidRPr="00BC7BB5">
        <w:rPr>
          <w:rFonts w:ascii="Times New Roman" w:hAnsi="Times New Roman" w:cs="Arial"/>
          <w:b/>
        </w:rPr>
        <w:t xml:space="preserve">both </w:t>
      </w:r>
      <w:r w:rsidR="00DF24EE" w:rsidRPr="00BC7BB5">
        <w:rPr>
          <w:rFonts w:ascii="Times New Roman" w:hAnsi="Times New Roman" w:cs="Arial"/>
          <w:b/>
        </w:rPr>
        <w:t xml:space="preserve">on </w:t>
      </w:r>
      <w:r w:rsidRPr="00BC7BB5">
        <w:rPr>
          <w:rFonts w:ascii="Times New Roman" w:hAnsi="Times New Roman" w:cs="Arial"/>
          <w:b/>
        </w:rPr>
        <w:t>attract</w:t>
      </w:r>
      <w:r w:rsidR="00DF24EE" w:rsidRPr="00BC7BB5">
        <w:rPr>
          <w:rFonts w:ascii="Times New Roman" w:hAnsi="Times New Roman" w:cs="Arial"/>
          <w:b/>
        </w:rPr>
        <w:t>ing</w:t>
      </w:r>
      <w:r w:rsidRPr="00BC7BB5">
        <w:rPr>
          <w:rFonts w:ascii="Times New Roman" w:hAnsi="Times New Roman" w:cs="Arial"/>
          <w:b/>
        </w:rPr>
        <w:t xml:space="preserve"> commercial private investments in value-chain structuring projects and </w:t>
      </w:r>
      <w:r w:rsidR="00DF24EE" w:rsidRPr="00BC7BB5">
        <w:rPr>
          <w:rFonts w:ascii="Times New Roman" w:hAnsi="Times New Roman" w:cs="Arial"/>
          <w:b/>
        </w:rPr>
        <w:t xml:space="preserve">on </w:t>
      </w:r>
      <w:r w:rsidRPr="00BC7BB5">
        <w:rPr>
          <w:rFonts w:ascii="Times New Roman" w:hAnsi="Times New Roman" w:cs="Arial"/>
          <w:b/>
        </w:rPr>
        <w:t>facilitat</w:t>
      </w:r>
      <w:r w:rsidR="00DF24EE" w:rsidRPr="00BC7BB5">
        <w:rPr>
          <w:rFonts w:ascii="Times New Roman" w:hAnsi="Times New Roman" w:cs="Arial"/>
          <w:b/>
        </w:rPr>
        <w:t>ing</w:t>
      </w:r>
      <w:r w:rsidRPr="00BC7BB5">
        <w:rPr>
          <w:rFonts w:ascii="Times New Roman" w:hAnsi="Times New Roman" w:cs="Arial"/>
          <w:b/>
        </w:rPr>
        <w:t xml:space="preserve"> access to </w:t>
      </w:r>
      <w:r w:rsidR="00DF24EE" w:rsidRPr="00BC7BB5">
        <w:rPr>
          <w:rFonts w:ascii="Times New Roman" w:hAnsi="Times New Roman" w:cs="Arial"/>
          <w:b/>
        </w:rPr>
        <w:t xml:space="preserve">finance </w:t>
      </w:r>
      <w:r w:rsidRPr="00BC7BB5">
        <w:rPr>
          <w:rFonts w:ascii="Times New Roman" w:hAnsi="Times New Roman" w:cs="Arial"/>
          <w:b/>
        </w:rPr>
        <w:t xml:space="preserve">for private investors. </w:t>
      </w:r>
      <w:r w:rsidRPr="00BC7BB5">
        <w:rPr>
          <w:rFonts w:ascii="Times New Roman" w:hAnsi="Times New Roman" w:cs="Arial"/>
        </w:rPr>
        <w:t>As highlighted in the 2016 Morocco Financial Sector Assessment</w:t>
      </w:r>
      <w:r w:rsidR="0085420B">
        <w:rPr>
          <w:rStyle w:val="FootnoteReference"/>
          <w:rFonts w:ascii="Times New Roman" w:hAnsi="Times New Roman" w:cs="Arial"/>
        </w:rPr>
        <w:footnoteReference w:id="10"/>
      </w:r>
      <w:r w:rsidRPr="00BC7BB5">
        <w:rPr>
          <w:rFonts w:ascii="Times New Roman" w:hAnsi="Times New Roman" w:cs="Arial"/>
        </w:rPr>
        <w:t>, access to commercial finance remains a challenge in Morocco even for well-established medium and large size private companies, due to a variety of reasons, for instance</w:t>
      </w:r>
      <w:r w:rsidR="00991D58">
        <w:rPr>
          <w:rFonts w:ascii="Times New Roman" w:hAnsi="Times New Roman" w:cs="Arial"/>
        </w:rPr>
        <w:t>,</w:t>
      </w:r>
      <w:r w:rsidRPr="00BC7BB5">
        <w:rPr>
          <w:rFonts w:ascii="Times New Roman" w:hAnsi="Times New Roman" w:cs="Arial"/>
        </w:rPr>
        <w:t xml:space="preserve"> high collateral requirements. </w:t>
      </w:r>
      <w:r w:rsidR="00995F40">
        <w:rPr>
          <w:rFonts w:ascii="Times New Roman" w:hAnsi="Times New Roman" w:cs="Arial"/>
        </w:rPr>
        <w:t>While</w:t>
      </w:r>
      <w:r w:rsidR="00247544" w:rsidRPr="00BC7BB5">
        <w:rPr>
          <w:rFonts w:ascii="Times New Roman" w:hAnsi="Times New Roman" w:cs="Arial"/>
        </w:rPr>
        <w:t xml:space="preserve"> a range of financing instruments </w:t>
      </w:r>
      <w:r w:rsidR="00995F40">
        <w:rPr>
          <w:rFonts w:ascii="Times New Roman" w:hAnsi="Times New Roman" w:cs="Arial"/>
        </w:rPr>
        <w:t xml:space="preserve">have been developed </w:t>
      </w:r>
      <w:r w:rsidR="00247544" w:rsidRPr="00BC7BB5">
        <w:rPr>
          <w:rFonts w:ascii="Times New Roman" w:hAnsi="Times New Roman" w:cs="Arial"/>
        </w:rPr>
        <w:t xml:space="preserve">to address the needs of the sector (commercial, </w:t>
      </w:r>
      <w:r w:rsidR="005E2FAE" w:rsidRPr="00BC7BB5">
        <w:rPr>
          <w:rFonts w:ascii="Times New Roman" w:hAnsi="Times New Roman" w:cs="Arial"/>
        </w:rPr>
        <w:t>intermediate</w:t>
      </w:r>
      <w:r w:rsidR="00247544" w:rsidRPr="00BC7BB5">
        <w:rPr>
          <w:rFonts w:ascii="Times New Roman" w:hAnsi="Times New Roman" w:cs="Arial"/>
        </w:rPr>
        <w:t xml:space="preserve"> and microfinance), t</w:t>
      </w:r>
      <w:r w:rsidRPr="00BC7BB5">
        <w:rPr>
          <w:rFonts w:ascii="Times New Roman" w:hAnsi="Times New Roman" w:cs="Arial"/>
        </w:rPr>
        <w:t xml:space="preserve">he agriculture sector remains perceived as particularly risky </w:t>
      </w:r>
      <w:r w:rsidR="00687EDA" w:rsidRPr="00BC7BB5">
        <w:rPr>
          <w:rFonts w:ascii="Times New Roman" w:hAnsi="Times New Roman" w:cs="Arial"/>
        </w:rPr>
        <w:t xml:space="preserve">by </w:t>
      </w:r>
      <w:r w:rsidR="00991D58" w:rsidRPr="00BC7BB5">
        <w:rPr>
          <w:rFonts w:ascii="Times New Roman" w:hAnsi="Times New Roman" w:cs="Arial"/>
        </w:rPr>
        <w:t>financ</w:t>
      </w:r>
      <w:r w:rsidR="00991D58">
        <w:rPr>
          <w:rFonts w:ascii="Times New Roman" w:hAnsi="Times New Roman" w:cs="Arial"/>
        </w:rPr>
        <w:t>ial</w:t>
      </w:r>
      <w:r w:rsidR="00991D58" w:rsidRPr="00BC7BB5">
        <w:rPr>
          <w:rFonts w:ascii="Times New Roman" w:hAnsi="Times New Roman" w:cs="Arial"/>
        </w:rPr>
        <w:t xml:space="preserve"> </w:t>
      </w:r>
      <w:r w:rsidR="00687EDA" w:rsidRPr="00BC7BB5">
        <w:rPr>
          <w:rFonts w:ascii="Times New Roman" w:hAnsi="Times New Roman" w:cs="Arial"/>
        </w:rPr>
        <w:t>institutions</w:t>
      </w:r>
      <w:r w:rsidRPr="00BC7BB5">
        <w:rPr>
          <w:rFonts w:ascii="Times New Roman" w:hAnsi="Times New Roman" w:cs="Arial"/>
        </w:rPr>
        <w:t xml:space="preserve"> considering</w:t>
      </w:r>
      <w:r w:rsidR="004B5AC9" w:rsidRPr="00BC7BB5">
        <w:rPr>
          <w:rFonts w:ascii="Times New Roman" w:hAnsi="Times New Roman" w:cs="Arial"/>
        </w:rPr>
        <w:t xml:space="preserve"> its</w:t>
      </w:r>
      <w:r w:rsidRPr="00BC7BB5">
        <w:rPr>
          <w:rFonts w:ascii="Times New Roman" w:hAnsi="Times New Roman" w:cs="Arial"/>
        </w:rPr>
        <w:t xml:space="preserve"> exposure to </w:t>
      </w:r>
      <w:r w:rsidR="0089199D" w:rsidRPr="00BC7BB5">
        <w:rPr>
          <w:rFonts w:ascii="Times New Roman" w:hAnsi="Times New Roman" w:cs="Arial"/>
        </w:rPr>
        <w:t xml:space="preserve">climate </w:t>
      </w:r>
      <w:r w:rsidRPr="00BC7BB5">
        <w:rPr>
          <w:rFonts w:ascii="Times New Roman" w:hAnsi="Times New Roman" w:cs="Arial"/>
        </w:rPr>
        <w:t>variability</w:t>
      </w:r>
      <w:r w:rsidR="00DF24EE" w:rsidRPr="00BC7BB5">
        <w:rPr>
          <w:rFonts w:ascii="Times New Roman" w:hAnsi="Times New Roman" w:cs="Arial"/>
        </w:rPr>
        <w:t xml:space="preserve"> and market price volatility</w:t>
      </w:r>
      <w:r w:rsidRPr="00BC7BB5">
        <w:rPr>
          <w:rFonts w:ascii="Times New Roman" w:hAnsi="Times New Roman" w:cs="Arial"/>
        </w:rPr>
        <w:t xml:space="preserve">.  </w:t>
      </w:r>
      <w:r w:rsidR="005E2FAE" w:rsidRPr="00BC7BB5">
        <w:rPr>
          <w:rFonts w:ascii="Times New Roman" w:hAnsi="Times New Roman" w:cs="Arial"/>
        </w:rPr>
        <w:t>Morocco’s low ranking</w:t>
      </w:r>
      <w:r w:rsidR="00277A2B" w:rsidRPr="00BC7BB5">
        <w:rPr>
          <w:rFonts w:ascii="Times New Roman" w:hAnsi="Times New Roman" w:cs="Arial"/>
        </w:rPr>
        <w:t xml:space="preserve"> for finance</w:t>
      </w:r>
      <w:r w:rsidR="005E2FAE" w:rsidRPr="00BC7BB5">
        <w:rPr>
          <w:rFonts w:ascii="Times New Roman" w:hAnsi="Times New Roman" w:cs="Arial"/>
        </w:rPr>
        <w:t xml:space="preserve"> in the Enabling the Business of Agriculture </w:t>
      </w:r>
      <w:r w:rsidR="009477E8" w:rsidRPr="00BC7BB5">
        <w:rPr>
          <w:rFonts w:ascii="Times New Roman" w:hAnsi="Times New Roman" w:cs="Arial"/>
        </w:rPr>
        <w:t>(EBA</w:t>
      </w:r>
      <w:r w:rsidR="00292FEA">
        <w:rPr>
          <w:rFonts w:ascii="Times New Roman" w:hAnsi="Times New Roman" w:cs="Arial"/>
        </w:rPr>
        <w:fldChar w:fldCharType="begin"/>
      </w:r>
      <w:r w:rsidR="00292FEA">
        <w:instrText xml:space="preserve"> XE "</w:instrText>
      </w:r>
      <w:r w:rsidR="00292FEA" w:rsidRPr="00C70331">
        <w:rPr>
          <w:rFonts w:ascii="Times New Roman" w:hAnsi="Times New Roman" w:cs="Arial"/>
        </w:rPr>
        <w:instrText>EBA:</w:instrText>
      </w:r>
      <w:r w:rsidR="00292FEA" w:rsidRPr="00C70331">
        <w:instrText>Enabling the Business of Agriculture</w:instrText>
      </w:r>
      <w:r w:rsidR="00292FEA">
        <w:instrText xml:space="preserve">" </w:instrText>
      </w:r>
      <w:r w:rsidR="00292FEA">
        <w:rPr>
          <w:rFonts w:ascii="Times New Roman" w:hAnsi="Times New Roman" w:cs="Arial"/>
        </w:rPr>
        <w:fldChar w:fldCharType="end"/>
      </w:r>
      <w:r w:rsidR="009477E8" w:rsidRPr="00BC7BB5">
        <w:rPr>
          <w:rFonts w:ascii="Times New Roman" w:hAnsi="Times New Roman" w:cs="Arial"/>
        </w:rPr>
        <w:t xml:space="preserve">) </w:t>
      </w:r>
      <w:r w:rsidR="005E2FAE" w:rsidRPr="00BC7BB5">
        <w:rPr>
          <w:rFonts w:ascii="Times New Roman" w:hAnsi="Times New Roman" w:cs="Arial"/>
        </w:rPr>
        <w:t>2017</w:t>
      </w:r>
      <w:r w:rsidR="005002BE">
        <w:rPr>
          <w:rStyle w:val="FootnoteReference"/>
          <w:rFonts w:ascii="Times New Roman" w:hAnsi="Times New Roman" w:cs="Arial"/>
        </w:rPr>
        <w:footnoteReference w:id="11"/>
      </w:r>
      <w:r w:rsidR="005E2FAE" w:rsidRPr="00BC7BB5">
        <w:rPr>
          <w:rFonts w:ascii="Times New Roman" w:hAnsi="Times New Roman" w:cs="Arial"/>
        </w:rPr>
        <w:t xml:space="preserve"> </w:t>
      </w:r>
      <w:r w:rsidR="00277A2B" w:rsidRPr="00BC7BB5">
        <w:rPr>
          <w:rFonts w:ascii="Times New Roman" w:hAnsi="Times New Roman" w:cs="Arial"/>
        </w:rPr>
        <w:t>reflects weaknesses in the enabling environment for producers’ access to finance</w:t>
      </w:r>
      <w:r w:rsidR="005E2FAE" w:rsidRPr="00BC7BB5">
        <w:rPr>
          <w:rFonts w:ascii="Times New Roman" w:hAnsi="Times New Roman" w:cs="Arial"/>
        </w:rPr>
        <w:t xml:space="preserve">. </w:t>
      </w:r>
      <w:r w:rsidR="00DF24EE" w:rsidRPr="00BC7BB5">
        <w:rPr>
          <w:rFonts w:ascii="Times New Roman" w:hAnsi="Times New Roman" w:cs="Arial"/>
        </w:rPr>
        <w:t xml:space="preserve">The FDA </w:t>
      </w:r>
      <w:r w:rsidR="00277A2B" w:rsidRPr="00BC7BB5">
        <w:rPr>
          <w:rFonts w:ascii="Times New Roman" w:hAnsi="Times New Roman" w:cs="Arial"/>
        </w:rPr>
        <w:t>incentives</w:t>
      </w:r>
      <w:r w:rsidR="00277A2B" w:rsidRPr="00BC7BB5">
        <w:rPr>
          <w:rStyle w:val="FootnoteReference"/>
          <w:rFonts w:ascii="Times New Roman" w:hAnsi="Times New Roman" w:cs="Arial"/>
        </w:rPr>
        <w:footnoteReference w:id="12"/>
      </w:r>
      <w:r w:rsidR="00277A2B" w:rsidRPr="00BC7BB5">
        <w:rPr>
          <w:rFonts w:ascii="Times New Roman" w:hAnsi="Times New Roman" w:cs="Arial"/>
        </w:rPr>
        <w:t xml:space="preserve"> aim t</w:t>
      </w:r>
      <w:r w:rsidR="00AC56D9" w:rsidRPr="00BC7BB5">
        <w:rPr>
          <w:rFonts w:ascii="Times New Roman" w:hAnsi="Times New Roman" w:cs="Arial"/>
        </w:rPr>
        <w:t xml:space="preserve">o address this market failure </w:t>
      </w:r>
      <w:r w:rsidR="00C86BD3" w:rsidRPr="00BC7BB5">
        <w:rPr>
          <w:rFonts w:ascii="Times New Roman" w:hAnsi="Times New Roman" w:cs="Arial"/>
        </w:rPr>
        <w:t>in supporting</w:t>
      </w:r>
      <w:r w:rsidR="00DF24EE" w:rsidRPr="00BC7BB5">
        <w:rPr>
          <w:rFonts w:ascii="Times New Roman" w:hAnsi="Times New Roman" w:cs="Arial"/>
        </w:rPr>
        <w:t xml:space="preserve"> </w:t>
      </w:r>
      <w:r w:rsidR="00277A2B" w:rsidRPr="00BC7BB5">
        <w:rPr>
          <w:rFonts w:ascii="Times New Roman" w:hAnsi="Times New Roman" w:cs="Arial"/>
        </w:rPr>
        <w:t xml:space="preserve">private </w:t>
      </w:r>
      <w:r w:rsidR="00DF24EE" w:rsidRPr="00BC7BB5">
        <w:rPr>
          <w:rFonts w:ascii="Times New Roman" w:hAnsi="Times New Roman" w:cs="Arial"/>
        </w:rPr>
        <w:t>investment</w:t>
      </w:r>
      <w:r w:rsidR="00277A2B" w:rsidRPr="00BC7BB5">
        <w:rPr>
          <w:rFonts w:ascii="Times New Roman" w:hAnsi="Times New Roman" w:cs="Arial"/>
        </w:rPr>
        <w:t>s</w:t>
      </w:r>
      <w:r w:rsidR="00DF24EE" w:rsidRPr="00BC7BB5">
        <w:rPr>
          <w:rFonts w:ascii="Times New Roman" w:hAnsi="Times New Roman" w:cs="Arial"/>
        </w:rPr>
        <w:t xml:space="preserve"> in processing, pack</w:t>
      </w:r>
      <w:r w:rsidR="00991D58">
        <w:rPr>
          <w:rFonts w:ascii="Times New Roman" w:hAnsi="Times New Roman" w:cs="Arial"/>
        </w:rPr>
        <w:t>ag</w:t>
      </w:r>
      <w:r w:rsidR="00DF24EE" w:rsidRPr="00BC7BB5">
        <w:rPr>
          <w:rFonts w:ascii="Times New Roman" w:hAnsi="Times New Roman" w:cs="Arial"/>
        </w:rPr>
        <w:t xml:space="preserve">ing and storage </w:t>
      </w:r>
      <w:r w:rsidR="007D71DE" w:rsidRPr="00BC7BB5">
        <w:rPr>
          <w:rFonts w:ascii="Times New Roman" w:hAnsi="Times New Roman" w:cs="Arial"/>
        </w:rPr>
        <w:t>facilities</w:t>
      </w:r>
      <w:r w:rsidR="003965BA" w:rsidRPr="00BC7BB5">
        <w:rPr>
          <w:rFonts w:ascii="Times New Roman" w:hAnsi="Times New Roman" w:cs="Arial"/>
        </w:rPr>
        <w:t xml:space="preserve"> and </w:t>
      </w:r>
      <w:r w:rsidR="00277A2B" w:rsidRPr="00BC7BB5">
        <w:rPr>
          <w:rFonts w:ascii="Times New Roman" w:hAnsi="Times New Roman" w:cs="Arial"/>
        </w:rPr>
        <w:t>farm modernization</w:t>
      </w:r>
      <w:r w:rsidR="00DF24EE" w:rsidRPr="00BC7BB5">
        <w:rPr>
          <w:rFonts w:ascii="Times New Roman" w:hAnsi="Times New Roman" w:cs="Arial"/>
        </w:rPr>
        <w:t xml:space="preserve">, </w:t>
      </w:r>
      <w:r w:rsidR="00277A2B" w:rsidRPr="00BC7BB5">
        <w:rPr>
          <w:rFonts w:ascii="Times New Roman" w:hAnsi="Times New Roman" w:cs="Arial"/>
        </w:rPr>
        <w:t xml:space="preserve">by </w:t>
      </w:r>
      <w:r w:rsidR="00DF24EE" w:rsidRPr="00BC7BB5">
        <w:rPr>
          <w:rFonts w:ascii="Times New Roman" w:hAnsi="Times New Roman" w:cs="Arial"/>
        </w:rPr>
        <w:t xml:space="preserve">reducing the risks for </w:t>
      </w:r>
      <w:r w:rsidR="00277A2B" w:rsidRPr="00BC7BB5">
        <w:rPr>
          <w:rFonts w:ascii="Times New Roman" w:hAnsi="Times New Roman" w:cs="Arial"/>
        </w:rPr>
        <w:t xml:space="preserve">producers and </w:t>
      </w:r>
      <w:r w:rsidR="00DF24EE" w:rsidRPr="00BC7BB5">
        <w:rPr>
          <w:rFonts w:ascii="Times New Roman" w:hAnsi="Times New Roman" w:cs="Arial"/>
        </w:rPr>
        <w:t xml:space="preserve">investors and thereby </w:t>
      </w:r>
      <w:r w:rsidR="00010791" w:rsidRPr="00BC7BB5">
        <w:rPr>
          <w:rFonts w:ascii="Times New Roman" w:hAnsi="Times New Roman" w:cs="Arial"/>
        </w:rPr>
        <w:t xml:space="preserve">also </w:t>
      </w:r>
      <w:r w:rsidR="00DF24EE" w:rsidRPr="00BC7BB5">
        <w:rPr>
          <w:rFonts w:ascii="Times New Roman" w:hAnsi="Times New Roman" w:cs="Arial"/>
        </w:rPr>
        <w:t>facilitating access to commercial financing.</w:t>
      </w:r>
      <w:r w:rsidR="00010791" w:rsidRPr="00BC7BB5">
        <w:rPr>
          <w:rFonts w:ascii="Times New Roman" w:hAnsi="Times New Roman" w:cs="Arial"/>
        </w:rPr>
        <w:t xml:space="preserve"> </w:t>
      </w:r>
      <w:r w:rsidRPr="00BC7BB5">
        <w:rPr>
          <w:rFonts w:ascii="Times New Roman" w:hAnsi="Times New Roman" w:cs="Arial"/>
        </w:rPr>
        <w:t xml:space="preserve">The FDA </w:t>
      </w:r>
      <w:r w:rsidR="007D71DE" w:rsidRPr="00BC7BB5">
        <w:rPr>
          <w:rFonts w:ascii="Times New Roman" w:hAnsi="Times New Roman" w:cs="Arial"/>
        </w:rPr>
        <w:t xml:space="preserve">incentives </w:t>
      </w:r>
      <w:r w:rsidR="003965BA" w:rsidRPr="00BC7BB5">
        <w:rPr>
          <w:rFonts w:ascii="Times New Roman" w:hAnsi="Times New Roman" w:cs="Arial"/>
        </w:rPr>
        <w:t>consider</w:t>
      </w:r>
      <w:r w:rsidRPr="00BC7BB5">
        <w:rPr>
          <w:rFonts w:ascii="Times New Roman" w:hAnsi="Times New Roman" w:cs="Arial"/>
        </w:rPr>
        <w:t xml:space="preserve"> the positive externalities that </w:t>
      </w:r>
      <w:r w:rsidR="007D71DE" w:rsidRPr="00BC7BB5">
        <w:rPr>
          <w:rFonts w:ascii="Times New Roman" w:hAnsi="Times New Roman" w:cs="Arial"/>
        </w:rPr>
        <w:t xml:space="preserve">those </w:t>
      </w:r>
      <w:r w:rsidR="003965BA" w:rsidRPr="00BC7BB5">
        <w:rPr>
          <w:rFonts w:ascii="Times New Roman" w:hAnsi="Times New Roman" w:cs="Arial"/>
        </w:rPr>
        <w:t>investments</w:t>
      </w:r>
      <w:r w:rsidR="007D71DE" w:rsidRPr="00BC7BB5">
        <w:rPr>
          <w:rFonts w:ascii="Times New Roman" w:hAnsi="Times New Roman" w:cs="Arial"/>
        </w:rPr>
        <w:t xml:space="preserve"> </w:t>
      </w:r>
      <w:r w:rsidRPr="00BC7BB5">
        <w:rPr>
          <w:rFonts w:ascii="Times New Roman" w:hAnsi="Times New Roman" w:cs="Arial"/>
        </w:rPr>
        <w:t>generate on the structuring of agricultur</w:t>
      </w:r>
      <w:r w:rsidR="007D71DE" w:rsidRPr="00BC7BB5">
        <w:rPr>
          <w:rFonts w:ascii="Times New Roman" w:hAnsi="Times New Roman" w:cs="Arial"/>
        </w:rPr>
        <w:t>al</w:t>
      </w:r>
      <w:r w:rsidRPr="00BC7BB5">
        <w:rPr>
          <w:rFonts w:ascii="Times New Roman" w:hAnsi="Times New Roman" w:cs="Arial"/>
        </w:rPr>
        <w:t xml:space="preserve"> value chains, </w:t>
      </w:r>
      <w:r w:rsidR="003965BA" w:rsidRPr="00BC7BB5">
        <w:rPr>
          <w:rFonts w:ascii="Times New Roman" w:hAnsi="Times New Roman" w:cs="Arial"/>
        </w:rPr>
        <w:t>by linking</w:t>
      </w:r>
      <w:r w:rsidRPr="00BC7BB5">
        <w:rPr>
          <w:rFonts w:ascii="Times New Roman" w:hAnsi="Times New Roman" w:cs="Arial"/>
        </w:rPr>
        <w:t xml:space="preserve"> small and medium producers and buyers</w:t>
      </w:r>
      <w:r w:rsidR="007D71DE" w:rsidRPr="00BC7BB5">
        <w:rPr>
          <w:rFonts w:ascii="Times New Roman" w:hAnsi="Times New Roman" w:cs="Arial"/>
        </w:rPr>
        <w:t xml:space="preserve"> (including exporters)</w:t>
      </w:r>
      <w:r w:rsidRPr="00BC7BB5">
        <w:rPr>
          <w:rFonts w:ascii="Times New Roman" w:hAnsi="Times New Roman" w:cs="Arial"/>
        </w:rPr>
        <w:t xml:space="preserve">. </w:t>
      </w:r>
      <w:r w:rsidR="003965BA" w:rsidRPr="00BC7BB5">
        <w:rPr>
          <w:rFonts w:ascii="Times New Roman" w:hAnsi="Times New Roman" w:cs="Arial"/>
        </w:rPr>
        <w:t>For instance, c</w:t>
      </w:r>
      <w:r w:rsidRPr="00BC7BB5">
        <w:rPr>
          <w:rFonts w:ascii="Times New Roman" w:hAnsi="Times New Roman" w:cs="Arial"/>
        </w:rPr>
        <w:t xml:space="preserve">itrus packaging stations are the necessary gateway for sorting and </w:t>
      </w:r>
      <w:r w:rsidR="003C4BD1" w:rsidRPr="00BC7BB5">
        <w:rPr>
          <w:rFonts w:ascii="Times New Roman" w:hAnsi="Times New Roman" w:cs="Arial"/>
        </w:rPr>
        <w:t xml:space="preserve">conditioning </w:t>
      </w:r>
      <w:r w:rsidR="003965BA" w:rsidRPr="00BC7BB5">
        <w:rPr>
          <w:rFonts w:ascii="Times New Roman" w:hAnsi="Times New Roman" w:cs="Arial"/>
        </w:rPr>
        <w:t>of export</w:t>
      </w:r>
      <w:r w:rsidRPr="00BC7BB5">
        <w:rPr>
          <w:rFonts w:ascii="Times New Roman" w:hAnsi="Times New Roman" w:cs="Arial"/>
        </w:rPr>
        <w:t xml:space="preserve"> produce, and </w:t>
      </w:r>
      <w:r w:rsidR="003965BA" w:rsidRPr="00BC7BB5">
        <w:rPr>
          <w:rFonts w:ascii="Times New Roman" w:hAnsi="Times New Roman" w:cs="Arial"/>
        </w:rPr>
        <w:t xml:space="preserve">they </w:t>
      </w:r>
      <w:r w:rsidRPr="00BC7BB5">
        <w:rPr>
          <w:rFonts w:ascii="Times New Roman" w:hAnsi="Times New Roman" w:cs="Arial"/>
        </w:rPr>
        <w:t>require large capacity to be economically viable, which leads private investor</w:t>
      </w:r>
      <w:r w:rsidR="004807E6" w:rsidRPr="00BC7BB5">
        <w:rPr>
          <w:rFonts w:ascii="Times New Roman" w:hAnsi="Times New Roman" w:cs="Arial"/>
        </w:rPr>
        <w:t>s</w:t>
      </w:r>
      <w:r w:rsidRPr="00BC7BB5">
        <w:rPr>
          <w:rFonts w:ascii="Times New Roman" w:hAnsi="Times New Roman" w:cs="Arial"/>
        </w:rPr>
        <w:t xml:space="preserve"> to work closely with surrounding </w:t>
      </w:r>
      <w:r w:rsidR="004807E6" w:rsidRPr="00BC7BB5">
        <w:rPr>
          <w:rFonts w:ascii="Times New Roman" w:hAnsi="Times New Roman" w:cs="Arial"/>
        </w:rPr>
        <w:t>producers</w:t>
      </w:r>
      <w:r w:rsidRPr="00BC7BB5">
        <w:rPr>
          <w:rFonts w:ascii="Times New Roman" w:hAnsi="Times New Roman" w:cs="Arial"/>
        </w:rPr>
        <w:t xml:space="preserve"> </w:t>
      </w:r>
      <w:r w:rsidR="004807E6" w:rsidRPr="00BC7BB5">
        <w:rPr>
          <w:rFonts w:ascii="Times New Roman" w:hAnsi="Times New Roman" w:cs="Arial"/>
        </w:rPr>
        <w:t>in meeting export standards</w:t>
      </w:r>
      <w:r w:rsidR="004B5AC9" w:rsidRPr="00BC7BB5">
        <w:rPr>
          <w:rFonts w:ascii="Times New Roman" w:hAnsi="Times New Roman" w:cs="Arial"/>
        </w:rPr>
        <w:t xml:space="preserve">. </w:t>
      </w:r>
    </w:p>
    <w:p w14:paraId="2E6BB0D2" w14:textId="6575853B" w:rsidR="00075717" w:rsidRPr="00BC7BB5" w:rsidRDefault="00075717" w:rsidP="000977A0">
      <w:pPr>
        <w:pStyle w:val="NoSpacing"/>
        <w:ind w:left="420"/>
        <w:jc w:val="both"/>
        <w:rPr>
          <w:rFonts w:ascii="Times New Roman" w:hAnsi="Times New Roman" w:cs="Arial"/>
        </w:rPr>
      </w:pPr>
    </w:p>
    <w:p w14:paraId="25C12AFD" w14:textId="2BF5B335" w:rsidR="0062754C" w:rsidRPr="00BC7BB5" w:rsidRDefault="00991D58" w:rsidP="00B35A06">
      <w:pPr>
        <w:pStyle w:val="NoSpacing"/>
        <w:numPr>
          <w:ilvl w:val="0"/>
          <w:numId w:val="7"/>
        </w:numPr>
        <w:ind w:left="0" w:firstLine="0"/>
        <w:jc w:val="both"/>
        <w:rPr>
          <w:rFonts w:ascii="Times New Roman" w:hAnsi="Times New Roman" w:cs="Arial"/>
        </w:rPr>
      </w:pPr>
      <w:r>
        <w:rPr>
          <w:rFonts w:ascii="Times New Roman" w:hAnsi="Times New Roman" w:cs="Arial"/>
          <w:b/>
        </w:rPr>
        <w:t xml:space="preserve">The findings of the 2014 </w:t>
      </w:r>
      <w:r w:rsidR="00D52419" w:rsidRPr="00BC7BB5">
        <w:rPr>
          <w:rFonts w:ascii="Times New Roman" w:hAnsi="Times New Roman" w:cs="Arial"/>
          <w:b/>
        </w:rPr>
        <w:t xml:space="preserve">mid-term review of the </w:t>
      </w:r>
      <w:r w:rsidR="008B4D4F" w:rsidRPr="00BC7BB5">
        <w:rPr>
          <w:rFonts w:ascii="Times New Roman" w:hAnsi="Times New Roman" w:cs="Arial"/>
          <w:b/>
        </w:rPr>
        <w:t xml:space="preserve">results achieved under the </w:t>
      </w:r>
      <w:r w:rsidR="00D52419" w:rsidRPr="00BC7BB5">
        <w:rPr>
          <w:rFonts w:ascii="Times New Roman" w:hAnsi="Times New Roman" w:cs="Arial"/>
          <w:b/>
        </w:rPr>
        <w:t>PMV</w:t>
      </w:r>
      <w:r w:rsidR="000977A0" w:rsidRPr="00BC7BB5">
        <w:rPr>
          <w:rFonts w:ascii="Times New Roman" w:hAnsi="Times New Roman" w:cs="Arial"/>
          <w:b/>
        </w:rPr>
        <w:t xml:space="preserve"> are being incorporated into the second phase of the PMV</w:t>
      </w:r>
      <w:r w:rsidR="00A9566C" w:rsidRPr="00BC7BB5">
        <w:rPr>
          <w:rFonts w:ascii="Times New Roman" w:hAnsi="Times New Roman" w:cs="Arial"/>
        </w:rPr>
        <w:t>. T</w:t>
      </w:r>
      <w:r w:rsidR="00D52419" w:rsidRPr="00BC7BB5">
        <w:rPr>
          <w:rFonts w:ascii="Times New Roman" w:hAnsi="Times New Roman" w:cs="Arial"/>
        </w:rPr>
        <w:t>he review</w:t>
      </w:r>
      <w:r w:rsidR="00C73CF0" w:rsidRPr="00BC7BB5">
        <w:rPr>
          <w:rFonts w:ascii="Times New Roman" w:hAnsi="Times New Roman" w:cs="Arial"/>
        </w:rPr>
        <w:t xml:space="preserve"> </w:t>
      </w:r>
      <w:r w:rsidR="007E1C31">
        <w:rPr>
          <w:rFonts w:ascii="Times New Roman" w:hAnsi="Times New Roman" w:cs="Arial"/>
        </w:rPr>
        <w:t xml:space="preserve">was carried out by MAPMDREF and </w:t>
      </w:r>
      <w:r w:rsidR="00D52419" w:rsidRPr="00BC7BB5">
        <w:rPr>
          <w:rFonts w:ascii="Times New Roman" w:hAnsi="Times New Roman" w:cs="Arial"/>
        </w:rPr>
        <w:t>quantified implementation progress with respect to agricultural output growth and value added, yields, exports, job creation</w:t>
      </w:r>
      <w:r w:rsidR="007E1C31">
        <w:rPr>
          <w:rFonts w:ascii="Times New Roman" w:hAnsi="Times New Roman" w:cs="Arial"/>
        </w:rPr>
        <w:t>,</w:t>
      </w:r>
      <w:r w:rsidR="00D52419" w:rsidRPr="00BC7BB5">
        <w:rPr>
          <w:rFonts w:ascii="Times New Roman" w:hAnsi="Times New Roman" w:cs="Arial"/>
        </w:rPr>
        <w:t xml:space="preserve"> as well as the PMV’s </w:t>
      </w:r>
      <w:r w:rsidR="00FF2027" w:rsidRPr="00BC7BB5">
        <w:rPr>
          <w:rFonts w:ascii="Times New Roman" w:hAnsi="Times New Roman" w:cs="Arial"/>
        </w:rPr>
        <w:t>transversal reforms</w:t>
      </w:r>
      <w:r w:rsidR="00D52419" w:rsidRPr="00BC7BB5">
        <w:rPr>
          <w:rFonts w:ascii="Times New Roman" w:hAnsi="Times New Roman" w:cs="Arial"/>
        </w:rPr>
        <w:t xml:space="preserve">. </w:t>
      </w:r>
      <w:r w:rsidR="00300FB7" w:rsidRPr="00BC7BB5">
        <w:rPr>
          <w:rFonts w:ascii="Times New Roman" w:hAnsi="Times New Roman" w:cs="Arial"/>
        </w:rPr>
        <w:t>C</w:t>
      </w:r>
      <w:r w:rsidR="00D52419" w:rsidRPr="00BC7BB5">
        <w:rPr>
          <w:rFonts w:ascii="Times New Roman" w:hAnsi="Times New Roman" w:cs="Arial"/>
        </w:rPr>
        <w:t xml:space="preserve">onsidering the </w:t>
      </w:r>
      <w:r w:rsidR="00A95B37" w:rsidRPr="00BC7BB5">
        <w:rPr>
          <w:rFonts w:ascii="Times New Roman" w:hAnsi="Times New Roman" w:cs="Arial"/>
        </w:rPr>
        <w:t>projected growth in production</w:t>
      </w:r>
      <w:r w:rsidR="007610EA" w:rsidRPr="00BC7BB5">
        <w:rPr>
          <w:rFonts w:ascii="Times New Roman" w:hAnsi="Times New Roman" w:cs="Arial"/>
        </w:rPr>
        <w:t xml:space="preserve"> resulting </w:t>
      </w:r>
      <w:r w:rsidR="00D52419" w:rsidRPr="00BC7BB5">
        <w:rPr>
          <w:rFonts w:ascii="Times New Roman" w:hAnsi="Times New Roman" w:cs="Arial"/>
        </w:rPr>
        <w:t xml:space="preserve">from </w:t>
      </w:r>
      <w:r w:rsidR="00E00AB8" w:rsidRPr="00BC7BB5">
        <w:rPr>
          <w:rFonts w:ascii="Times New Roman" w:hAnsi="Times New Roman" w:cs="Arial"/>
        </w:rPr>
        <w:t>the</w:t>
      </w:r>
      <w:r w:rsidR="008B4D4F" w:rsidRPr="00BC7BB5">
        <w:rPr>
          <w:rFonts w:ascii="Times New Roman" w:hAnsi="Times New Roman" w:cs="Arial"/>
        </w:rPr>
        <w:t xml:space="preserve"> </w:t>
      </w:r>
      <w:r w:rsidR="00D52419" w:rsidRPr="00BC7BB5">
        <w:rPr>
          <w:rFonts w:ascii="Times New Roman" w:hAnsi="Times New Roman" w:cs="Arial"/>
        </w:rPr>
        <w:t>investments made d</w:t>
      </w:r>
      <w:r w:rsidR="008B4D4F" w:rsidRPr="00BC7BB5">
        <w:rPr>
          <w:rFonts w:ascii="Times New Roman" w:hAnsi="Times New Roman" w:cs="Arial"/>
        </w:rPr>
        <w:t>uring the first phase of the PMV</w:t>
      </w:r>
      <w:r w:rsidR="00D52419" w:rsidRPr="00BC7BB5">
        <w:rPr>
          <w:rFonts w:ascii="Times New Roman" w:hAnsi="Times New Roman" w:cs="Arial"/>
        </w:rPr>
        <w:t xml:space="preserve"> (</w:t>
      </w:r>
      <w:r w:rsidR="008B4D4F" w:rsidRPr="00BC7BB5">
        <w:rPr>
          <w:rFonts w:ascii="Times New Roman" w:hAnsi="Times New Roman" w:cs="Arial"/>
        </w:rPr>
        <w:t>2008-2014)</w:t>
      </w:r>
      <w:r w:rsidR="00300FB7" w:rsidRPr="00BC7BB5">
        <w:rPr>
          <w:rFonts w:ascii="Times New Roman" w:hAnsi="Times New Roman" w:cs="Arial"/>
        </w:rPr>
        <w:t xml:space="preserve">, the review recommended a shift in emphasis towards the promotion of investments </w:t>
      </w:r>
      <w:r w:rsidR="00E00AB8" w:rsidRPr="00BC7BB5">
        <w:rPr>
          <w:rFonts w:ascii="Times New Roman" w:hAnsi="Times New Roman" w:cs="Arial"/>
        </w:rPr>
        <w:t>in value-adding,</w:t>
      </w:r>
      <w:r w:rsidR="008E6404" w:rsidRPr="00BC7BB5">
        <w:rPr>
          <w:rFonts w:ascii="Times New Roman" w:hAnsi="Times New Roman" w:cs="Arial"/>
        </w:rPr>
        <w:t xml:space="preserve"> agri-food processing</w:t>
      </w:r>
      <w:r w:rsidR="00A95B37" w:rsidRPr="00BC7BB5">
        <w:rPr>
          <w:rFonts w:ascii="Times New Roman" w:hAnsi="Times New Roman" w:cs="Arial"/>
        </w:rPr>
        <w:t xml:space="preserve"> </w:t>
      </w:r>
      <w:r w:rsidR="00E00AB8" w:rsidRPr="00BC7BB5">
        <w:rPr>
          <w:rFonts w:ascii="Times New Roman" w:hAnsi="Times New Roman" w:cs="Arial"/>
        </w:rPr>
        <w:t xml:space="preserve">and </w:t>
      </w:r>
      <w:r w:rsidR="00A95B37" w:rsidRPr="00BC7BB5">
        <w:rPr>
          <w:rFonts w:ascii="Times New Roman" w:hAnsi="Times New Roman" w:cs="Arial"/>
        </w:rPr>
        <w:t>a greater focus on market diversification</w:t>
      </w:r>
      <w:r w:rsidR="008B4D4F" w:rsidRPr="00BC7BB5">
        <w:rPr>
          <w:rFonts w:ascii="Times New Roman" w:hAnsi="Times New Roman" w:cs="Arial"/>
        </w:rPr>
        <w:t xml:space="preserve">. </w:t>
      </w:r>
      <w:r w:rsidR="008E6404" w:rsidRPr="00BC7BB5">
        <w:rPr>
          <w:rFonts w:ascii="Times New Roman" w:hAnsi="Times New Roman" w:cs="Arial"/>
        </w:rPr>
        <w:t>The review</w:t>
      </w:r>
      <w:r w:rsidR="007610EA" w:rsidRPr="00BC7BB5">
        <w:rPr>
          <w:rFonts w:ascii="Times New Roman" w:hAnsi="Times New Roman" w:cs="Arial"/>
        </w:rPr>
        <w:t xml:space="preserve"> </w:t>
      </w:r>
      <w:r w:rsidR="005D21EE" w:rsidRPr="00BC7BB5">
        <w:rPr>
          <w:rFonts w:ascii="Times New Roman" w:hAnsi="Times New Roman" w:cs="Arial"/>
        </w:rPr>
        <w:t xml:space="preserve">highlighted the </w:t>
      </w:r>
      <w:r w:rsidR="00184EED" w:rsidRPr="00BC7BB5">
        <w:rPr>
          <w:rFonts w:ascii="Times New Roman" w:hAnsi="Times New Roman" w:cs="Arial"/>
        </w:rPr>
        <w:t>need to accelerate</w:t>
      </w:r>
      <w:r w:rsidR="007610EA" w:rsidRPr="00BC7BB5">
        <w:rPr>
          <w:rFonts w:ascii="Times New Roman" w:hAnsi="Times New Roman" w:cs="Arial"/>
        </w:rPr>
        <w:t xml:space="preserve"> the </w:t>
      </w:r>
      <w:r w:rsidR="00515D06" w:rsidRPr="00BC7BB5">
        <w:rPr>
          <w:rFonts w:ascii="Times New Roman" w:hAnsi="Times New Roman" w:cs="Arial"/>
        </w:rPr>
        <w:t xml:space="preserve">implementation of the </w:t>
      </w:r>
      <w:r w:rsidR="007610EA" w:rsidRPr="00BC7BB5">
        <w:rPr>
          <w:rFonts w:ascii="Times New Roman" w:hAnsi="Times New Roman" w:cs="Arial"/>
        </w:rPr>
        <w:t xml:space="preserve">PMV’s </w:t>
      </w:r>
      <w:r w:rsidR="00515D06" w:rsidRPr="00BC7BB5">
        <w:rPr>
          <w:rFonts w:ascii="Times New Roman" w:hAnsi="Times New Roman" w:cs="Arial"/>
        </w:rPr>
        <w:t>transversal reforms</w:t>
      </w:r>
      <w:r w:rsidR="007610EA" w:rsidRPr="00BC7BB5">
        <w:rPr>
          <w:rFonts w:ascii="Times New Roman" w:hAnsi="Times New Roman" w:cs="Arial"/>
        </w:rPr>
        <w:t xml:space="preserve"> related to</w:t>
      </w:r>
      <w:r w:rsidR="00C4696D" w:rsidRPr="00BC7BB5">
        <w:rPr>
          <w:rFonts w:ascii="Times New Roman" w:hAnsi="Times New Roman" w:cs="Arial"/>
        </w:rPr>
        <w:t xml:space="preserve"> </w:t>
      </w:r>
      <w:r w:rsidR="005D21EE" w:rsidRPr="00BC7BB5">
        <w:rPr>
          <w:rFonts w:ascii="Times New Roman" w:hAnsi="Times New Roman" w:cs="Arial"/>
        </w:rPr>
        <w:t>domestic market</w:t>
      </w:r>
      <w:r w:rsidR="008E6404" w:rsidRPr="00BC7BB5">
        <w:rPr>
          <w:rFonts w:ascii="Times New Roman" w:hAnsi="Times New Roman" w:cs="Arial"/>
        </w:rPr>
        <w:t xml:space="preserve"> efficiency</w:t>
      </w:r>
      <w:r w:rsidR="005D21EE" w:rsidRPr="00BC7BB5">
        <w:rPr>
          <w:rFonts w:ascii="Times New Roman" w:hAnsi="Times New Roman" w:cs="Arial"/>
        </w:rPr>
        <w:t xml:space="preserve">, </w:t>
      </w:r>
      <w:r w:rsidR="008E6404" w:rsidRPr="00BC7BB5">
        <w:rPr>
          <w:rFonts w:ascii="Times New Roman" w:hAnsi="Times New Roman" w:cs="Arial"/>
        </w:rPr>
        <w:t xml:space="preserve">the promotion of food safety and quality, </w:t>
      </w:r>
      <w:r w:rsidR="005D21EE" w:rsidRPr="00BC7BB5">
        <w:rPr>
          <w:rFonts w:ascii="Times New Roman" w:hAnsi="Times New Roman" w:cs="Arial"/>
        </w:rPr>
        <w:t xml:space="preserve">and the </w:t>
      </w:r>
      <w:r w:rsidR="00561A72" w:rsidRPr="00BC7BB5">
        <w:rPr>
          <w:rFonts w:ascii="Times New Roman" w:hAnsi="Times New Roman" w:cs="Arial"/>
        </w:rPr>
        <w:t>improvement of the enabling environment for the development of the agri-food sector</w:t>
      </w:r>
      <w:r w:rsidR="005D21EE" w:rsidRPr="00BC7BB5">
        <w:rPr>
          <w:rFonts w:ascii="Times New Roman" w:hAnsi="Times New Roman" w:cs="Arial"/>
        </w:rPr>
        <w:t xml:space="preserve">. </w:t>
      </w:r>
      <w:r w:rsidR="004D7E2B" w:rsidRPr="00BC7BB5">
        <w:rPr>
          <w:rFonts w:ascii="Times New Roman" w:hAnsi="Times New Roman" w:cs="Arial"/>
        </w:rPr>
        <w:t>Finally, the review emphasized the need to leverage more private sector investment</w:t>
      </w:r>
      <w:r w:rsidR="007E1C31">
        <w:rPr>
          <w:rFonts w:ascii="Times New Roman" w:hAnsi="Times New Roman" w:cs="Arial"/>
        </w:rPr>
        <w:t>,</w:t>
      </w:r>
      <w:r w:rsidR="005A529B" w:rsidRPr="00BC7BB5">
        <w:rPr>
          <w:rFonts w:ascii="Times New Roman" w:hAnsi="Times New Roman" w:cs="Arial"/>
        </w:rPr>
        <w:t xml:space="preserve"> including through adjustments to the </w:t>
      </w:r>
      <w:r w:rsidR="001F0333" w:rsidRPr="00BC7BB5">
        <w:rPr>
          <w:rFonts w:ascii="Times New Roman" w:hAnsi="Times New Roman" w:cs="Arial"/>
        </w:rPr>
        <w:t>PMV</w:t>
      </w:r>
      <w:r w:rsidR="002C3CC7" w:rsidRPr="00BC7BB5">
        <w:rPr>
          <w:rFonts w:ascii="Times New Roman" w:hAnsi="Times New Roman" w:cs="Arial"/>
        </w:rPr>
        <w:t>’s</w:t>
      </w:r>
      <w:r w:rsidR="001F0333" w:rsidRPr="00BC7BB5">
        <w:rPr>
          <w:rFonts w:ascii="Times New Roman" w:hAnsi="Times New Roman" w:cs="Arial"/>
        </w:rPr>
        <w:t xml:space="preserve"> instruments</w:t>
      </w:r>
      <w:r w:rsidR="005A529B" w:rsidRPr="00BC7BB5">
        <w:rPr>
          <w:rFonts w:ascii="Times New Roman" w:hAnsi="Times New Roman" w:cs="Arial"/>
        </w:rPr>
        <w:t xml:space="preserve"> </w:t>
      </w:r>
      <w:r w:rsidR="001F0333" w:rsidRPr="00BC7BB5">
        <w:rPr>
          <w:rFonts w:ascii="Times New Roman" w:hAnsi="Times New Roman" w:cs="Arial"/>
        </w:rPr>
        <w:t>for investment support</w:t>
      </w:r>
      <w:r w:rsidR="004D7E2B" w:rsidRPr="00BC7BB5">
        <w:rPr>
          <w:rFonts w:ascii="Times New Roman" w:hAnsi="Times New Roman" w:cs="Arial"/>
        </w:rPr>
        <w:t>.</w:t>
      </w:r>
      <w:r w:rsidR="00DD2B07" w:rsidRPr="00BC7BB5">
        <w:rPr>
          <w:rFonts w:ascii="Times New Roman" w:hAnsi="Times New Roman" w:cs="Arial"/>
        </w:rPr>
        <w:t xml:space="preserve"> MAPM</w:t>
      </w:r>
      <w:r w:rsidR="00C65C64" w:rsidRPr="00BC7BB5">
        <w:rPr>
          <w:rFonts w:ascii="Times New Roman" w:hAnsi="Times New Roman" w:cs="Arial"/>
        </w:rPr>
        <w:t>DREF</w:t>
      </w:r>
      <w:r w:rsidR="00D52419" w:rsidRPr="00BC7BB5">
        <w:rPr>
          <w:rFonts w:ascii="Times New Roman" w:hAnsi="Times New Roman" w:cs="Arial"/>
        </w:rPr>
        <w:t xml:space="preserve">, in consultation with </w:t>
      </w:r>
      <w:r w:rsidR="00C65C64" w:rsidRPr="00BC7BB5">
        <w:rPr>
          <w:rFonts w:ascii="Times New Roman" w:hAnsi="Times New Roman" w:cs="Arial"/>
        </w:rPr>
        <w:t>MIIC</w:t>
      </w:r>
      <w:r w:rsidR="00DD2B07" w:rsidRPr="00BC7BB5">
        <w:rPr>
          <w:rFonts w:ascii="Times New Roman" w:hAnsi="Times New Roman" w:cs="Arial"/>
        </w:rPr>
        <w:t xml:space="preserve">EN and </w:t>
      </w:r>
      <w:r w:rsidR="00D52419" w:rsidRPr="00BC7BB5">
        <w:rPr>
          <w:rFonts w:ascii="Times New Roman" w:hAnsi="Times New Roman" w:cs="Arial"/>
        </w:rPr>
        <w:t>sector stakehol</w:t>
      </w:r>
      <w:r w:rsidR="00DD2B07" w:rsidRPr="00BC7BB5">
        <w:rPr>
          <w:rFonts w:ascii="Times New Roman" w:hAnsi="Times New Roman" w:cs="Arial"/>
        </w:rPr>
        <w:t xml:space="preserve">ders, </w:t>
      </w:r>
      <w:r w:rsidR="002C3CC7" w:rsidRPr="00BC7BB5">
        <w:rPr>
          <w:rFonts w:ascii="Times New Roman" w:hAnsi="Times New Roman" w:cs="Arial"/>
        </w:rPr>
        <w:t xml:space="preserve">elaborated </w:t>
      </w:r>
      <w:r w:rsidR="00C2756A" w:rsidRPr="00BC7BB5">
        <w:rPr>
          <w:rFonts w:ascii="Times New Roman" w:hAnsi="Times New Roman" w:cs="Arial"/>
        </w:rPr>
        <w:t xml:space="preserve">in 2015 </w:t>
      </w:r>
      <w:r w:rsidR="002C3CC7" w:rsidRPr="00BC7BB5">
        <w:rPr>
          <w:rFonts w:ascii="Times New Roman" w:hAnsi="Times New Roman" w:cs="Arial"/>
        </w:rPr>
        <w:t>a strategy to support the development of agribusiness</w:t>
      </w:r>
      <w:r w:rsidR="00C65C64" w:rsidRPr="00BC7BB5">
        <w:rPr>
          <w:rFonts w:ascii="Times New Roman" w:hAnsi="Times New Roman" w:cs="Arial"/>
        </w:rPr>
        <w:t xml:space="preserve"> under the umbrella of the PMV</w:t>
      </w:r>
      <w:r w:rsidR="007E1C31">
        <w:rPr>
          <w:rFonts w:ascii="Times New Roman" w:hAnsi="Times New Roman" w:cs="Arial"/>
        </w:rPr>
        <w:t>,</w:t>
      </w:r>
      <w:r w:rsidR="00A75577" w:rsidRPr="00BC7BB5">
        <w:rPr>
          <w:rFonts w:ascii="Times New Roman" w:hAnsi="Times New Roman" w:cs="Arial"/>
        </w:rPr>
        <w:t xml:space="preserve"> which integrates those recommendations</w:t>
      </w:r>
      <w:r w:rsidR="00DD2B07" w:rsidRPr="00BC7BB5">
        <w:rPr>
          <w:rFonts w:ascii="Times New Roman" w:hAnsi="Times New Roman" w:cs="Arial"/>
        </w:rPr>
        <w:t xml:space="preserve">. </w:t>
      </w:r>
    </w:p>
    <w:p w14:paraId="518AF333" w14:textId="77777777" w:rsidR="005D30EF" w:rsidRPr="00BC7BB5" w:rsidRDefault="005D30EF" w:rsidP="005D30EF">
      <w:pPr>
        <w:pStyle w:val="NoSpacing"/>
        <w:jc w:val="both"/>
        <w:rPr>
          <w:rFonts w:ascii="Times New Roman" w:hAnsi="Times New Roman" w:cs="Arial"/>
        </w:rPr>
      </w:pPr>
    </w:p>
    <w:p w14:paraId="05E725E6" w14:textId="059B46C8" w:rsidR="00D52419" w:rsidRPr="00BC7BB5" w:rsidRDefault="000B4282" w:rsidP="00FC5467">
      <w:pPr>
        <w:pStyle w:val="NoSpacing"/>
        <w:numPr>
          <w:ilvl w:val="0"/>
          <w:numId w:val="7"/>
        </w:numPr>
        <w:ind w:left="0" w:firstLine="0"/>
        <w:jc w:val="both"/>
        <w:rPr>
          <w:rFonts w:ascii="Times New Roman" w:hAnsi="Times New Roman" w:cs="Arial"/>
        </w:rPr>
      </w:pPr>
      <w:r w:rsidRPr="00BC7BB5">
        <w:rPr>
          <w:rFonts w:ascii="Times New Roman" w:hAnsi="Times New Roman" w:cs="Times New Roman"/>
        </w:rPr>
        <w:t>T</w:t>
      </w:r>
      <w:r w:rsidR="00C2756A" w:rsidRPr="00BC7BB5">
        <w:rPr>
          <w:rFonts w:ascii="Times New Roman" w:hAnsi="Times New Roman" w:cs="Times New Roman"/>
        </w:rPr>
        <w:t>h</w:t>
      </w:r>
      <w:r w:rsidR="00A75577" w:rsidRPr="00BC7BB5">
        <w:rPr>
          <w:rFonts w:ascii="Times New Roman" w:hAnsi="Times New Roman" w:cs="Times New Roman"/>
        </w:rPr>
        <w:t>is</w:t>
      </w:r>
      <w:r w:rsidR="00C2756A" w:rsidRPr="00BC7BB5">
        <w:rPr>
          <w:rFonts w:ascii="Times New Roman" w:hAnsi="Times New Roman" w:cs="Times New Roman"/>
        </w:rPr>
        <w:t xml:space="preserve"> </w:t>
      </w:r>
      <w:r w:rsidR="00A75577" w:rsidRPr="00BC7BB5">
        <w:rPr>
          <w:rFonts w:ascii="Times New Roman" w:hAnsi="Times New Roman" w:cs="Times New Roman"/>
        </w:rPr>
        <w:t xml:space="preserve">strategic review of the PMV </w:t>
      </w:r>
      <w:r w:rsidR="00C2756A" w:rsidRPr="00BC7BB5">
        <w:rPr>
          <w:rFonts w:ascii="Times New Roman" w:hAnsi="Times New Roman" w:cs="Times New Roman"/>
        </w:rPr>
        <w:t>also led to the preparation of a</w:t>
      </w:r>
      <w:r w:rsidR="00C2756A" w:rsidRPr="00BC7BB5">
        <w:rPr>
          <w:rFonts w:ascii="Times New Roman" w:hAnsi="Times New Roman" w:cs="Times New Roman"/>
          <w:b/>
        </w:rPr>
        <w:t xml:space="preserve"> </w:t>
      </w:r>
      <w:r w:rsidR="00813BF3" w:rsidRPr="00BC7BB5">
        <w:rPr>
          <w:rFonts w:ascii="Times New Roman" w:hAnsi="Times New Roman" w:cs="Times New Roman"/>
        </w:rPr>
        <w:t xml:space="preserve">new </w:t>
      </w:r>
      <w:r w:rsidR="00813BF3" w:rsidRPr="00BC7BB5">
        <w:rPr>
          <w:rFonts w:ascii="Times New Roman" w:hAnsi="Times New Roman" w:cs="Times New Roman"/>
          <w:i/>
        </w:rPr>
        <w:t>Contra</w:t>
      </w:r>
      <w:r w:rsidR="00440259" w:rsidRPr="00BC7BB5">
        <w:rPr>
          <w:rFonts w:ascii="Times New Roman" w:hAnsi="Times New Roman" w:cs="Times New Roman"/>
          <w:i/>
        </w:rPr>
        <w:t>t-Program</w:t>
      </w:r>
      <w:r w:rsidR="00813BF3" w:rsidRPr="00BC7BB5">
        <w:rPr>
          <w:rFonts w:ascii="Times New Roman" w:hAnsi="Times New Roman" w:cs="Times New Roman"/>
          <w:i/>
        </w:rPr>
        <w:t>me</w:t>
      </w:r>
      <w:r w:rsidR="00440259" w:rsidRPr="00BC7BB5">
        <w:rPr>
          <w:rFonts w:ascii="Times New Roman" w:hAnsi="Times New Roman" w:cs="Times New Roman"/>
        </w:rPr>
        <w:t xml:space="preserve"> (CP)</w:t>
      </w:r>
      <w:r w:rsidR="00A32D53" w:rsidRPr="00BC7BB5">
        <w:rPr>
          <w:rFonts w:ascii="Times New Roman" w:hAnsi="Times New Roman" w:cs="Times New Roman"/>
        </w:rPr>
        <w:t>, signed in April 2017</w:t>
      </w:r>
      <w:r w:rsidR="00440259" w:rsidRPr="00BC7BB5">
        <w:rPr>
          <w:rFonts w:ascii="Times New Roman" w:hAnsi="Times New Roman" w:cs="Times New Roman"/>
        </w:rPr>
        <w:t xml:space="preserve"> between the MAPM</w:t>
      </w:r>
      <w:r w:rsidR="00117E58" w:rsidRPr="00BC7BB5">
        <w:rPr>
          <w:rFonts w:ascii="Times New Roman" w:hAnsi="Times New Roman" w:cs="Times New Roman"/>
        </w:rPr>
        <w:t>DREF</w:t>
      </w:r>
      <w:r w:rsidR="00440259" w:rsidRPr="00BC7BB5">
        <w:rPr>
          <w:rFonts w:ascii="Times New Roman" w:hAnsi="Times New Roman" w:cs="Times New Roman"/>
        </w:rPr>
        <w:t>, MI</w:t>
      </w:r>
      <w:r w:rsidR="00BF28AC" w:rsidRPr="00BC7BB5">
        <w:rPr>
          <w:rFonts w:ascii="Times New Roman" w:hAnsi="Times New Roman" w:cs="Times New Roman"/>
        </w:rPr>
        <w:t>IC</w:t>
      </w:r>
      <w:r w:rsidR="00440259" w:rsidRPr="00BC7BB5">
        <w:rPr>
          <w:rFonts w:ascii="Times New Roman" w:hAnsi="Times New Roman" w:cs="Times New Roman"/>
        </w:rPr>
        <w:t>EN, MEF and the</w:t>
      </w:r>
      <w:r w:rsidR="009477E8" w:rsidRPr="00BC7BB5">
        <w:rPr>
          <w:rFonts w:ascii="Times New Roman" w:hAnsi="Times New Roman" w:cs="Times New Roman"/>
        </w:rPr>
        <w:t xml:space="preserve"> i</w:t>
      </w:r>
      <w:r w:rsidR="00440259" w:rsidRPr="00BC7BB5">
        <w:rPr>
          <w:rFonts w:ascii="Times New Roman" w:hAnsi="Times New Roman" w:cs="Times New Roman"/>
        </w:rPr>
        <w:t xml:space="preserve">nterprofessions </w:t>
      </w:r>
      <w:r w:rsidR="00880893" w:rsidRPr="00BC7BB5">
        <w:rPr>
          <w:rFonts w:ascii="Times New Roman" w:hAnsi="Times New Roman" w:cs="Times New Roman"/>
        </w:rPr>
        <w:t>and defining areas for collaboration to increase value-added beyond the farm gate at sub-sector level</w:t>
      </w:r>
      <w:r w:rsidR="002101D1" w:rsidRPr="00BC7BB5">
        <w:rPr>
          <w:rFonts w:ascii="Times New Roman" w:hAnsi="Times New Roman" w:cs="Times New Roman"/>
        </w:rPr>
        <w:t>.</w:t>
      </w:r>
      <w:r w:rsidR="00D52419" w:rsidRPr="00BC7BB5">
        <w:rPr>
          <w:rFonts w:ascii="Times New Roman" w:hAnsi="Times New Roman" w:cs="Times New Roman"/>
        </w:rPr>
        <w:t xml:space="preserve"> </w:t>
      </w:r>
      <w:r w:rsidR="00440259" w:rsidRPr="00BC7BB5">
        <w:rPr>
          <w:rFonts w:ascii="Times New Roman" w:hAnsi="Times New Roman" w:cs="Times New Roman"/>
        </w:rPr>
        <w:t xml:space="preserve">The </w:t>
      </w:r>
      <w:r w:rsidR="008730FD" w:rsidRPr="00BC7BB5">
        <w:rPr>
          <w:rFonts w:ascii="Times New Roman" w:hAnsi="Times New Roman" w:cs="Times New Roman"/>
        </w:rPr>
        <w:t>agribusiness CP</w:t>
      </w:r>
      <w:r w:rsidR="0062754C" w:rsidRPr="00BC7BB5">
        <w:rPr>
          <w:rFonts w:ascii="Times New Roman" w:hAnsi="Times New Roman" w:cs="Times New Roman"/>
        </w:rPr>
        <w:t xml:space="preserve"> </w:t>
      </w:r>
      <w:r w:rsidR="008556D6" w:rsidRPr="00BC7BB5">
        <w:rPr>
          <w:rFonts w:ascii="Times New Roman" w:hAnsi="Times New Roman" w:cs="Times New Roman"/>
        </w:rPr>
        <w:t>(CP IAA</w:t>
      </w:r>
      <w:r w:rsidR="00292FEA">
        <w:rPr>
          <w:rFonts w:ascii="Times New Roman" w:hAnsi="Times New Roman" w:cs="Times New Roman"/>
        </w:rPr>
        <w:fldChar w:fldCharType="begin"/>
      </w:r>
      <w:r w:rsidR="00292FEA">
        <w:instrText xml:space="preserve"> XE "</w:instrText>
      </w:r>
      <w:r w:rsidR="00292FEA" w:rsidRPr="007B372D">
        <w:rPr>
          <w:rFonts w:ascii="Times New Roman" w:hAnsi="Times New Roman" w:cs="Times New Roman"/>
        </w:rPr>
        <w:instrText>CP IAA:</w:instrText>
      </w:r>
      <w:r w:rsidR="00292FEA" w:rsidRPr="007B372D">
        <w:instrText>agribusiness CP</w:instrText>
      </w:r>
      <w:r w:rsidR="00292FEA">
        <w:instrText xml:space="preserve">" </w:instrText>
      </w:r>
      <w:r w:rsidR="00292FEA">
        <w:rPr>
          <w:rFonts w:ascii="Times New Roman" w:hAnsi="Times New Roman" w:cs="Times New Roman"/>
        </w:rPr>
        <w:fldChar w:fldCharType="end"/>
      </w:r>
      <w:r w:rsidR="008556D6" w:rsidRPr="00BC7BB5">
        <w:rPr>
          <w:rFonts w:ascii="Times New Roman" w:hAnsi="Times New Roman" w:cs="Times New Roman"/>
        </w:rPr>
        <w:t xml:space="preserve">) </w:t>
      </w:r>
      <w:r w:rsidR="008730FD" w:rsidRPr="00BC7BB5">
        <w:rPr>
          <w:rFonts w:ascii="Times New Roman" w:hAnsi="Times New Roman" w:cs="Times New Roman"/>
        </w:rPr>
        <w:t xml:space="preserve">outlines </w:t>
      </w:r>
      <w:r w:rsidR="00867F46" w:rsidRPr="00BC7BB5">
        <w:rPr>
          <w:rFonts w:ascii="Times New Roman" w:hAnsi="Times New Roman" w:cs="Times New Roman"/>
        </w:rPr>
        <w:t xml:space="preserve">targeted </w:t>
      </w:r>
      <w:r w:rsidR="0062754C" w:rsidRPr="00BC7BB5">
        <w:rPr>
          <w:rFonts w:ascii="Times New Roman" w:hAnsi="Times New Roman" w:cs="Times New Roman"/>
        </w:rPr>
        <w:t xml:space="preserve">value chain development efforts in </w:t>
      </w:r>
      <w:r w:rsidR="00FC5467" w:rsidRPr="00BC7BB5">
        <w:rPr>
          <w:rFonts w:ascii="Times New Roman" w:hAnsi="Times New Roman" w:cs="Times New Roman"/>
        </w:rPr>
        <w:t>the following</w:t>
      </w:r>
      <w:r w:rsidR="00DE4934" w:rsidRPr="00BC7BB5">
        <w:rPr>
          <w:rFonts w:ascii="Times New Roman" w:hAnsi="Times New Roman" w:cs="Times New Roman"/>
        </w:rPr>
        <w:t xml:space="preserve"> priority </w:t>
      </w:r>
      <w:r w:rsidR="00064B85" w:rsidRPr="00BC7BB5">
        <w:rPr>
          <w:rFonts w:ascii="Times New Roman" w:hAnsi="Times New Roman" w:cs="Times New Roman"/>
        </w:rPr>
        <w:t>sub-sectors</w:t>
      </w:r>
      <w:r w:rsidR="00FC5467" w:rsidRPr="00BC7BB5">
        <w:rPr>
          <w:rFonts w:ascii="Times New Roman" w:hAnsi="Times New Roman" w:cs="Times New Roman"/>
        </w:rPr>
        <w:t>:</w:t>
      </w:r>
      <w:r w:rsidR="00DE4934" w:rsidRPr="00BC7BB5">
        <w:rPr>
          <w:rFonts w:ascii="Times New Roman" w:hAnsi="Times New Roman" w:cs="Times New Roman"/>
        </w:rPr>
        <w:t xml:space="preserve"> olive oil; citrus;</w:t>
      </w:r>
      <w:r w:rsidR="00FC5467" w:rsidRPr="00BC7BB5">
        <w:rPr>
          <w:rFonts w:ascii="Times New Roman" w:hAnsi="Times New Roman" w:cs="Times New Roman"/>
        </w:rPr>
        <w:t xml:space="preserve"> fresh fruit</w:t>
      </w:r>
      <w:r w:rsidR="008730FD" w:rsidRPr="00BC7BB5">
        <w:rPr>
          <w:rFonts w:ascii="Times New Roman" w:hAnsi="Times New Roman" w:cs="Times New Roman"/>
        </w:rPr>
        <w:t xml:space="preserve"> and vegetables; fruit and vegetable processing</w:t>
      </w:r>
      <w:r w:rsidR="00671992" w:rsidRPr="00BC7BB5">
        <w:rPr>
          <w:rFonts w:ascii="Times New Roman" w:hAnsi="Times New Roman" w:cs="Times New Roman"/>
        </w:rPr>
        <w:t>; dairy; meat; bakery and</w:t>
      </w:r>
      <w:r w:rsidR="008730FD" w:rsidRPr="00BC7BB5">
        <w:rPr>
          <w:rFonts w:ascii="Times New Roman" w:hAnsi="Times New Roman" w:cs="Times New Roman"/>
        </w:rPr>
        <w:t xml:space="preserve"> confectionary</w:t>
      </w:r>
      <w:r w:rsidR="007E1C31" w:rsidRPr="007E1C31">
        <w:rPr>
          <w:rFonts w:ascii="Times New Roman" w:hAnsi="Times New Roman" w:cs="Times New Roman"/>
        </w:rPr>
        <w:t xml:space="preserve"> </w:t>
      </w:r>
      <w:r w:rsidR="007E1C31" w:rsidRPr="00BC7BB5">
        <w:rPr>
          <w:rFonts w:ascii="Times New Roman" w:hAnsi="Times New Roman" w:cs="Times New Roman"/>
        </w:rPr>
        <w:t>products</w:t>
      </w:r>
      <w:r w:rsidR="008730FD" w:rsidRPr="00BC7BB5">
        <w:rPr>
          <w:rFonts w:ascii="Times New Roman" w:hAnsi="Times New Roman" w:cs="Times New Roman"/>
        </w:rPr>
        <w:t>; and pasta and couscous</w:t>
      </w:r>
      <w:r w:rsidR="0062754C" w:rsidRPr="00BC7BB5">
        <w:rPr>
          <w:rFonts w:ascii="Times New Roman" w:hAnsi="Times New Roman" w:cs="Times New Roman"/>
        </w:rPr>
        <w:t xml:space="preserve">. </w:t>
      </w:r>
      <w:r w:rsidR="008730FD" w:rsidRPr="00BC7BB5">
        <w:rPr>
          <w:rFonts w:ascii="Times New Roman" w:hAnsi="Times New Roman" w:cs="Times New Roman"/>
        </w:rPr>
        <w:t xml:space="preserve">The </w:t>
      </w:r>
      <w:r w:rsidR="00064B85" w:rsidRPr="00BC7BB5">
        <w:rPr>
          <w:rFonts w:ascii="Times New Roman" w:hAnsi="Times New Roman" w:cs="Times New Roman"/>
        </w:rPr>
        <w:t>CP IAA</w:t>
      </w:r>
      <w:r w:rsidR="008730FD" w:rsidRPr="00BC7BB5">
        <w:rPr>
          <w:rFonts w:ascii="Times New Roman" w:hAnsi="Times New Roman" w:cs="Times New Roman"/>
        </w:rPr>
        <w:t xml:space="preserve"> </w:t>
      </w:r>
      <w:r w:rsidR="0039709E" w:rsidRPr="00BC7BB5">
        <w:rPr>
          <w:rFonts w:ascii="Times New Roman" w:hAnsi="Times New Roman" w:cs="Times New Roman"/>
        </w:rPr>
        <w:t>aim</w:t>
      </w:r>
      <w:r w:rsidR="00064B85" w:rsidRPr="00BC7BB5">
        <w:rPr>
          <w:rFonts w:ascii="Times New Roman" w:hAnsi="Times New Roman" w:cs="Times New Roman"/>
        </w:rPr>
        <w:t>s</w:t>
      </w:r>
      <w:r w:rsidR="0039709E" w:rsidRPr="00BC7BB5">
        <w:rPr>
          <w:rFonts w:ascii="Times New Roman" w:hAnsi="Times New Roman" w:cs="Times New Roman"/>
        </w:rPr>
        <w:t xml:space="preserve"> to</w:t>
      </w:r>
      <w:r w:rsidR="000C6C00" w:rsidRPr="00BC7BB5">
        <w:rPr>
          <w:rFonts w:ascii="Times New Roman" w:hAnsi="Times New Roman" w:cs="Times New Roman"/>
        </w:rPr>
        <w:t xml:space="preserve"> </w:t>
      </w:r>
      <w:r w:rsidR="00801AFB" w:rsidRPr="00BC7BB5">
        <w:rPr>
          <w:rFonts w:ascii="Times New Roman" w:hAnsi="Times New Roman" w:cs="Times New Roman"/>
        </w:rPr>
        <w:t>further shift the focus of the</w:t>
      </w:r>
      <w:r w:rsidR="000C6C00" w:rsidRPr="00BC7BB5">
        <w:rPr>
          <w:rFonts w:ascii="Times New Roman" w:hAnsi="Times New Roman" w:cs="Times New Roman"/>
        </w:rPr>
        <w:t xml:space="preserve"> PMV</w:t>
      </w:r>
      <w:r w:rsidR="00801AFB" w:rsidRPr="00BC7BB5">
        <w:rPr>
          <w:rFonts w:ascii="Times New Roman" w:hAnsi="Times New Roman" w:cs="Times New Roman"/>
        </w:rPr>
        <w:t xml:space="preserve"> to</w:t>
      </w:r>
      <w:r w:rsidR="00151ACA" w:rsidRPr="00BC7BB5">
        <w:rPr>
          <w:rFonts w:ascii="Times New Roman" w:hAnsi="Times New Roman" w:cs="Times New Roman"/>
        </w:rPr>
        <w:t>wards</w:t>
      </w:r>
      <w:r w:rsidR="007E1C31">
        <w:rPr>
          <w:rFonts w:ascii="Times New Roman" w:hAnsi="Times New Roman" w:cs="Times New Roman"/>
        </w:rPr>
        <w:t>:</w:t>
      </w:r>
      <w:r w:rsidR="00801AFB" w:rsidRPr="00BC7BB5">
        <w:rPr>
          <w:rFonts w:ascii="Times New Roman" w:hAnsi="Times New Roman" w:cs="Times New Roman"/>
        </w:rPr>
        <w:t xml:space="preserve"> (a) </w:t>
      </w:r>
      <w:r w:rsidR="0039709E" w:rsidRPr="00BC7BB5">
        <w:rPr>
          <w:rFonts w:ascii="Times New Roman" w:hAnsi="Times New Roman" w:cs="Times New Roman"/>
        </w:rPr>
        <w:t>the integration between upstream production and downstream processing; (ii) develop</w:t>
      </w:r>
      <w:r w:rsidR="00801AFB" w:rsidRPr="00BC7BB5">
        <w:rPr>
          <w:rFonts w:ascii="Times New Roman" w:hAnsi="Times New Roman" w:cs="Times New Roman"/>
        </w:rPr>
        <w:t>ing</w:t>
      </w:r>
      <w:r w:rsidR="0039709E" w:rsidRPr="00BC7BB5">
        <w:rPr>
          <w:rFonts w:ascii="Times New Roman" w:hAnsi="Times New Roman" w:cs="Times New Roman"/>
        </w:rPr>
        <w:t xml:space="preserve"> new p</w:t>
      </w:r>
      <w:r w:rsidR="00DE4934" w:rsidRPr="00BC7BB5">
        <w:rPr>
          <w:rFonts w:ascii="Times New Roman" w:hAnsi="Times New Roman" w:cs="Times New Roman"/>
        </w:rPr>
        <w:t>roducts with higher added value</w:t>
      </w:r>
      <w:r w:rsidR="007923A5" w:rsidRPr="00BC7BB5">
        <w:rPr>
          <w:rFonts w:ascii="Times New Roman" w:hAnsi="Times New Roman" w:cs="Times New Roman"/>
        </w:rPr>
        <w:t xml:space="preserve">; (iii) </w:t>
      </w:r>
      <w:r w:rsidR="0039709E" w:rsidRPr="00BC7BB5">
        <w:rPr>
          <w:rFonts w:ascii="Times New Roman" w:hAnsi="Times New Roman" w:cs="Times New Roman"/>
        </w:rPr>
        <w:t>the inclusion of the agri-food industry in the i</w:t>
      </w:r>
      <w:r w:rsidR="007923A5" w:rsidRPr="00BC7BB5">
        <w:rPr>
          <w:rFonts w:ascii="Times New Roman" w:hAnsi="Times New Roman" w:cs="Times New Roman"/>
        </w:rPr>
        <w:t>nternational economy and improving</w:t>
      </w:r>
      <w:r w:rsidR="0039709E" w:rsidRPr="00BC7BB5">
        <w:rPr>
          <w:rFonts w:ascii="Times New Roman" w:hAnsi="Times New Roman" w:cs="Times New Roman"/>
        </w:rPr>
        <w:t xml:space="preserve"> its competitiveness, notably through the modernization of production to</w:t>
      </w:r>
      <w:r w:rsidR="007923A5" w:rsidRPr="00BC7BB5">
        <w:rPr>
          <w:rFonts w:ascii="Times New Roman" w:hAnsi="Times New Roman" w:cs="Times New Roman"/>
        </w:rPr>
        <w:t>ols; (iv) promoting</w:t>
      </w:r>
      <w:r w:rsidR="0039709E" w:rsidRPr="00BC7BB5">
        <w:rPr>
          <w:rFonts w:ascii="Times New Roman" w:hAnsi="Times New Roman" w:cs="Times New Roman"/>
        </w:rPr>
        <w:t xml:space="preserve"> exports in </w:t>
      </w:r>
      <w:r w:rsidR="00BD013A" w:rsidRPr="00BC7BB5">
        <w:rPr>
          <w:rFonts w:ascii="Times New Roman" w:hAnsi="Times New Roman" w:cs="Times New Roman"/>
        </w:rPr>
        <w:t>both</w:t>
      </w:r>
      <w:r w:rsidR="007923A5" w:rsidRPr="00BC7BB5">
        <w:rPr>
          <w:rFonts w:ascii="Times New Roman" w:hAnsi="Times New Roman" w:cs="Times New Roman"/>
        </w:rPr>
        <w:t xml:space="preserve"> traditional markets and new high-growth markets; (v) stimulating</w:t>
      </w:r>
      <w:r w:rsidR="0039709E" w:rsidRPr="00BC7BB5">
        <w:rPr>
          <w:rFonts w:ascii="Times New Roman" w:hAnsi="Times New Roman" w:cs="Times New Roman"/>
        </w:rPr>
        <w:t xml:space="preserve"> private investment; (vi) increasin</w:t>
      </w:r>
      <w:r w:rsidR="007923A5" w:rsidRPr="00BC7BB5">
        <w:rPr>
          <w:rFonts w:ascii="Times New Roman" w:hAnsi="Times New Roman" w:cs="Times New Roman"/>
        </w:rPr>
        <w:t xml:space="preserve">g farmers' incomes; </w:t>
      </w:r>
      <w:r w:rsidR="004534F3" w:rsidRPr="00BC7BB5">
        <w:rPr>
          <w:rFonts w:ascii="Times New Roman" w:hAnsi="Times New Roman" w:cs="Times New Roman"/>
        </w:rPr>
        <w:t xml:space="preserve">and </w:t>
      </w:r>
      <w:r w:rsidR="007923A5" w:rsidRPr="00BC7BB5">
        <w:rPr>
          <w:rFonts w:ascii="Times New Roman" w:hAnsi="Times New Roman" w:cs="Times New Roman"/>
        </w:rPr>
        <w:t>(vii) creating jobs in the sector</w:t>
      </w:r>
      <w:r w:rsidR="0039709E" w:rsidRPr="00BC7BB5">
        <w:rPr>
          <w:rFonts w:ascii="Times New Roman" w:hAnsi="Times New Roman" w:cs="Times New Roman"/>
        </w:rPr>
        <w:t xml:space="preserve">. </w:t>
      </w:r>
      <w:r w:rsidR="008730FD" w:rsidRPr="00BC7BB5">
        <w:rPr>
          <w:rFonts w:ascii="Times New Roman" w:hAnsi="Times New Roman" w:cs="Times New Roman"/>
        </w:rPr>
        <w:t xml:space="preserve">Under the </w:t>
      </w:r>
      <w:r w:rsidR="00DE4934" w:rsidRPr="00BC7BB5">
        <w:rPr>
          <w:rFonts w:ascii="Times New Roman" w:hAnsi="Times New Roman" w:cs="Times New Roman"/>
        </w:rPr>
        <w:t>CP</w:t>
      </w:r>
      <w:r w:rsidR="007923A5" w:rsidRPr="00BC7BB5">
        <w:rPr>
          <w:rFonts w:ascii="Times New Roman" w:hAnsi="Times New Roman" w:cs="Times New Roman"/>
        </w:rPr>
        <w:t xml:space="preserve"> IAA</w:t>
      </w:r>
      <w:r w:rsidR="0039709E" w:rsidRPr="00BC7BB5">
        <w:rPr>
          <w:rFonts w:ascii="Times New Roman" w:hAnsi="Times New Roman" w:cs="Times New Roman"/>
        </w:rPr>
        <w:t xml:space="preserve">, </w:t>
      </w:r>
      <w:r w:rsidR="001D7585" w:rsidRPr="00BC7BB5">
        <w:rPr>
          <w:rFonts w:ascii="Times New Roman" w:hAnsi="Times New Roman" w:cs="Times New Roman"/>
        </w:rPr>
        <w:t>the Government</w:t>
      </w:r>
      <w:r w:rsidR="0039709E" w:rsidRPr="00BC7BB5">
        <w:rPr>
          <w:rFonts w:ascii="Times New Roman" w:hAnsi="Times New Roman" w:cs="Times New Roman"/>
        </w:rPr>
        <w:t xml:space="preserve"> envisages</w:t>
      </w:r>
      <w:r w:rsidR="0062754C" w:rsidRPr="00BC7BB5">
        <w:rPr>
          <w:rFonts w:ascii="Times New Roman" w:hAnsi="Times New Roman" w:cs="Times New Roman"/>
        </w:rPr>
        <w:t xml:space="preserve"> to create by 2021 (compared to 2016) 38,457 additional permanent agribusiness jobs, </w:t>
      </w:r>
      <w:r w:rsidR="003A67FC" w:rsidRPr="00BC7BB5">
        <w:rPr>
          <w:rFonts w:ascii="Times New Roman" w:hAnsi="Times New Roman" w:cs="Times New Roman"/>
        </w:rPr>
        <w:t>US$</w:t>
      </w:r>
      <w:r w:rsidR="0062754C" w:rsidRPr="00BC7BB5">
        <w:rPr>
          <w:rFonts w:ascii="Times New Roman" w:hAnsi="Times New Roman" w:cs="Times New Roman"/>
        </w:rPr>
        <w:t xml:space="preserve">1.25 billion of additional annual export turnover, and </w:t>
      </w:r>
      <w:r w:rsidR="003A67FC" w:rsidRPr="00BC7BB5">
        <w:rPr>
          <w:rFonts w:ascii="Times New Roman" w:hAnsi="Times New Roman" w:cs="Times New Roman"/>
        </w:rPr>
        <w:t>US$</w:t>
      </w:r>
      <w:r w:rsidR="0062754C" w:rsidRPr="00BC7BB5">
        <w:rPr>
          <w:rFonts w:ascii="Times New Roman" w:hAnsi="Times New Roman" w:cs="Times New Roman"/>
        </w:rPr>
        <w:t>1.31 billion of additional annual added value</w:t>
      </w:r>
      <w:r w:rsidR="002101D1" w:rsidRPr="00BC7BB5">
        <w:rPr>
          <w:rFonts w:ascii="Times New Roman" w:hAnsi="Times New Roman" w:cs="Times New Roman"/>
        </w:rPr>
        <w:t>.</w:t>
      </w:r>
      <w:r w:rsidR="00FC5467" w:rsidRPr="00BC7BB5">
        <w:rPr>
          <w:rFonts w:ascii="Times New Roman" w:hAnsi="Times New Roman" w:cs="Arial"/>
        </w:rPr>
        <w:t xml:space="preserve"> </w:t>
      </w:r>
      <w:r w:rsidR="00FC5467" w:rsidRPr="00BC7BB5">
        <w:rPr>
          <w:rFonts w:ascii="Times New Roman" w:hAnsi="Times New Roman" w:cs="Times New Roman"/>
        </w:rPr>
        <w:t>The CP IAA is</w:t>
      </w:r>
      <w:r w:rsidR="00177334" w:rsidRPr="00BC7BB5">
        <w:rPr>
          <w:rFonts w:ascii="Times New Roman" w:hAnsi="Times New Roman" w:cs="Times New Roman"/>
        </w:rPr>
        <w:t xml:space="preserve"> </w:t>
      </w:r>
      <w:r w:rsidR="00177334" w:rsidRPr="00BC7BB5">
        <w:rPr>
          <w:rFonts w:ascii="Times New Roman" w:hAnsi="Times New Roman" w:cs="Times New Roman"/>
        </w:rPr>
        <w:lastRenderedPageBreak/>
        <w:t xml:space="preserve">expected </w:t>
      </w:r>
      <w:r w:rsidR="00DA326B" w:rsidRPr="00BC7BB5">
        <w:rPr>
          <w:rFonts w:ascii="Times New Roman" w:hAnsi="Times New Roman" w:cs="Times New Roman"/>
        </w:rPr>
        <w:t xml:space="preserve">to be financed through </w:t>
      </w:r>
      <w:r w:rsidR="0011128F" w:rsidRPr="00BC7BB5">
        <w:rPr>
          <w:rFonts w:ascii="Times New Roman" w:hAnsi="Times New Roman" w:cs="Times New Roman"/>
        </w:rPr>
        <w:t>a g</w:t>
      </w:r>
      <w:r w:rsidR="003A67FC" w:rsidRPr="00BC7BB5">
        <w:rPr>
          <w:rFonts w:ascii="Times New Roman" w:hAnsi="Times New Roman" w:cs="Times New Roman"/>
        </w:rPr>
        <w:t>overnment contribution of US$</w:t>
      </w:r>
      <w:r w:rsidR="00FC5467" w:rsidRPr="00BC7BB5">
        <w:rPr>
          <w:rFonts w:ascii="Times New Roman" w:hAnsi="Times New Roman" w:cs="Times New Roman"/>
        </w:rPr>
        <w:t>400 million (</w:t>
      </w:r>
      <w:r w:rsidR="001E66C4" w:rsidRPr="00BC7BB5">
        <w:rPr>
          <w:rFonts w:ascii="Times New Roman" w:hAnsi="Times New Roman" w:cs="Times New Roman"/>
        </w:rPr>
        <w:t>33 percent</w:t>
      </w:r>
      <w:r w:rsidR="0011128F" w:rsidRPr="00BC7BB5">
        <w:rPr>
          <w:rFonts w:ascii="Times New Roman" w:hAnsi="Times New Roman" w:cs="Times New Roman"/>
        </w:rPr>
        <w:t xml:space="preserve"> o</w:t>
      </w:r>
      <w:r w:rsidR="00DA326B" w:rsidRPr="00BC7BB5">
        <w:rPr>
          <w:rFonts w:ascii="Times New Roman" w:hAnsi="Times New Roman" w:cs="Times New Roman"/>
        </w:rPr>
        <w:t>f the total budget envelope</w:t>
      </w:r>
      <w:r w:rsidR="0011128F" w:rsidRPr="00BC7BB5">
        <w:rPr>
          <w:rFonts w:ascii="Times New Roman" w:hAnsi="Times New Roman" w:cs="Times New Roman"/>
        </w:rPr>
        <w:t>) and a private sector contribution</w:t>
      </w:r>
      <w:r w:rsidR="00DA326B" w:rsidRPr="00BC7BB5">
        <w:rPr>
          <w:rFonts w:ascii="Times New Roman" w:hAnsi="Times New Roman" w:cs="Times New Roman"/>
        </w:rPr>
        <w:t xml:space="preserve"> of</w:t>
      </w:r>
      <w:r w:rsidR="003A67FC" w:rsidRPr="00BC7BB5">
        <w:rPr>
          <w:rFonts w:ascii="Times New Roman" w:hAnsi="Times New Roman" w:cs="Times New Roman"/>
        </w:rPr>
        <w:t xml:space="preserve"> US$</w:t>
      </w:r>
      <w:r w:rsidR="0011128F" w:rsidRPr="00BC7BB5">
        <w:rPr>
          <w:rFonts w:ascii="Times New Roman" w:hAnsi="Times New Roman" w:cs="Times New Roman"/>
        </w:rPr>
        <w:t>800 million.</w:t>
      </w:r>
      <w:r w:rsidR="000F0C51" w:rsidRPr="00BC7BB5">
        <w:rPr>
          <w:rFonts w:ascii="Times New Roman" w:hAnsi="Times New Roman" w:cs="Times New Roman"/>
        </w:rPr>
        <w:t xml:space="preserve"> </w:t>
      </w:r>
    </w:p>
    <w:p w14:paraId="0D4F49A2" w14:textId="77777777" w:rsidR="00FC5467" w:rsidRPr="00BC7BB5" w:rsidRDefault="00FC5467" w:rsidP="001145B5">
      <w:pPr>
        <w:pStyle w:val="ListParagraph"/>
        <w:spacing w:after="120"/>
        <w:rPr>
          <w:rFonts w:ascii="Times New Roman" w:hAnsi="Times New Roman" w:cs="Arial"/>
        </w:rPr>
      </w:pPr>
    </w:p>
    <w:p w14:paraId="51970F6A" w14:textId="4F5935B0" w:rsidR="00B7066B" w:rsidRPr="00BC7BB5" w:rsidRDefault="00481F71" w:rsidP="00F561E8">
      <w:pPr>
        <w:pStyle w:val="NoSpacing"/>
        <w:numPr>
          <w:ilvl w:val="0"/>
          <w:numId w:val="27"/>
        </w:numPr>
        <w:ind w:left="0" w:firstLine="0"/>
        <w:outlineLvl w:val="1"/>
        <w:rPr>
          <w:rFonts w:ascii="Times New Roman Bold" w:hAnsi="Times New Roman Bold" w:cs="Times New Roman"/>
          <w:b/>
          <w:smallCaps/>
        </w:rPr>
      </w:pPr>
      <w:bookmarkStart w:id="8" w:name="_Toc499113397"/>
      <w:r w:rsidRPr="00BC7BB5">
        <w:rPr>
          <w:rFonts w:ascii="Times New Roman Bold" w:hAnsi="Times New Roman Bold" w:cs="Times New Roman"/>
          <w:b/>
          <w:smallCaps/>
        </w:rPr>
        <w:t>Program Development Objective</w:t>
      </w:r>
      <w:r w:rsidR="00B7066B" w:rsidRPr="00BC7BB5">
        <w:rPr>
          <w:rFonts w:ascii="Times New Roman Bold" w:hAnsi="Times New Roman Bold" w:cs="Times New Roman"/>
          <w:b/>
          <w:smallCaps/>
        </w:rPr>
        <w:t xml:space="preserve"> </w:t>
      </w:r>
      <w:r w:rsidR="00A11C17" w:rsidRPr="00BC7BB5">
        <w:rPr>
          <w:rFonts w:ascii="Times New Roman Bold" w:hAnsi="Times New Roman Bold" w:cs="Times New Roman"/>
          <w:b/>
          <w:smallCaps/>
        </w:rPr>
        <w:t>(PDO</w:t>
      </w:r>
      <w:r w:rsidR="00730643" w:rsidRPr="00BC7BB5">
        <w:rPr>
          <w:rFonts w:ascii="Times New Roman Bold" w:hAnsi="Times New Roman Bold" w:cs="Times New Roman"/>
          <w:b/>
          <w:smallCaps/>
        </w:rPr>
        <w:fldChar w:fldCharType="begin"/>
      </w:r>
      <w:r w:rsidR="00730643" w:rsidRPr="00BC7BB5">
        <w:instrText xml:space="preserve"> XE "</w:instrText>
      </w:r>
      <w:r w:rsidR="00730643" w:rsidRPr="00BC7BB5">
        <w:rPr>
          <w:rFonts w:ascii="Times New Roman Bold" w:hAnsi="Times New Roman Bold" w:cs="Times New Roman"/>
          <w:b/>
          <w:smallCaps/>
        </w:rPr>
        <w:instrText>PDO:</w:instrText>
      </w:r>
      <w:r w:rsidR="00730643" w:rsidRPr="00BC7BB5">
        <w:instrText>B.</w:instrText>
      </w:r>
      <w:r w:rsidR="00730643" w:rsidRPr="00BC7BB5">
        <w:tab/>
        <w:instrText xml:space="preserve">PROGRAM DEVELOPMENT OBJECTIVE" </w:instrText>
      </w:r>
      <w:r w:rsidR="00730643" w:rsidRPr="00BC7BB5">
        <w:rPr>
          <w:rFonts w:ascii="Times New Roman Bold" w:hAnsi="Times New Roman Bold" w:cs="Times New Roman"/>
          <w:b/>
          <w:smallCaps/>
        </w:rPr>
        <w:fldChar w:fldCharType="end"/>
      </w:r>
      <w:r w:rsidR="00A11C17" w:rsidRPr="00BC7BB5">
        <w:rPr>
          <w:rFonts w:ascii="Times New Roman Bold" w:hAnsi="Times New Roman Bold" w:cs="Times New Roman"/>
          <w:b/>
          <w:smallCaps/>
        </w:rPr>
        <w:t xml:space="preserve">) </w:t>
      </w:r>
      <w:r w:rsidR="00B7066B" w:rsidRPr="00BC7BB5">
        <w:rPr>
          <w:rFonts w:ascii="Times New Roman Bold" w:hAnsi="Times New Roman Bold" w:cs="Times New Roman"/>
          <w:b/>
          <w:smallCaps/>
        </w:rPr>
        <w:t>and key results</w:t>
      </w:r>
      <w:bookmarkEnd w:id="8"/>
      <w:r w:rsidR="00A11C17" w:rsidRPr="00BC7BB5">
        <w:rPr>
          <w:rFonts w:ascii="Times New Roman Bold" w:hAnsi="Times New Roman Bold" w:cs="Times New Roman"/>
          <w:b/>
          <w:smallCaps/>
        </w:rPr>
        <w:t xml:space="preserve"> </w:t>
      </w:r>
    </w:p>
    <w:p w14:paraId="2B372CCD" w14:textId="77777777" w:rsidR="00B7066B" w:rsidRPr="00BC7BB5" w:rsidRDefault="00B7066B" w:rsidP="00B7066B">
      <w:pPr>
        <w:pStyle w:val="NoSpacing"/>
        <w:ind w:left="360"/>
        <w:rPr>
          <w:rFonts w:ascii="Times New Roman" w:hAnsi="Times New Roman" w:cs="Times New Roman"/>
          <w:i/>
        </w:rPr>
      </w:pPr>
    </w:p>
    <w:p w14:paraId="170DA9F3" w14:textId="030BD4C4" w:rsidR="00E3105C" w:rsidRPr="00BC7BB5" w:rsidRDefault="00F21C35" w:rsidP="00B35A06">
      <w:pPr>
        <w:pStyle w:val="NoSpacing"/>
        <w:numPr>
          <w:ilvl w:val="0"/>
          <w:numId w:val="7"/>
        </w:numPr>
        <w:ind w:left="0" w:firstLine="0"/>
        <w:jc w:val="both"/>
        <w:rPr>
          <w:rFonts w:ascii="Times New Roman" w:hAnsi="Times New Roman" w:cs="Times New Roman"/>
          <w:color w:val="000000" w:themeColor="text1"/>
        </w:rPr>
      </w:pPr>
      <w:r w:rsidRPr="00BC7BB5">
        <w:rPr>
          <w:rFonts w:ascii="Times New Roman" w:hAnsi="Times New Roman" w:cs="Times New Roman"/>
          <w:color w:val="000000" w:themeColor="text1"/>
        </w:rPr>
        <w:t xml:space="preserve">The </w:t>
      </w:r>
      <w:r w:rsidR="005D65AA" w:rsidRPr="005D65AA">
        <w:rPr>
          <w:rFonts w:ascii="Times New Roman" w:hAnsi="Times New Roman" w:cs="Times New Roman"/>
          <w:b/>
          <w:color w:val="000000" w:themeColor="text1"/>
        </w:rPr>
        <w:t>Program D</w:t>
      </w:r>
      <w:r w:rsidRPr="00BC7BB5">
        <w:rPr>
          <w:rFonts w:ascii="Times New Roman" w:hAnsi="Times New Roman" w:cs="Times New Roman"/>
          <w:b/>
          <w:color w:val="000000" w:themeColor="text1"/>
        </w:rPr>
        <w:t>evel</w:t>
      </w:r>
      <w:r w:rsidR="00772D96" w:rsidRPr="00BC7BB5">
        <w:rPr>
          <w:rFonts w:ascii="Times New Roman" w:hAnsi="Times New Roman" w:cs="Times New Roman"/>
          <w:b/>
          <w:color w:val="000000" w:themeColor="text1"/>
        </w:rPr>
        <w:t xml:space="preserve">opment </w:t>
      </w:r>
      <w:r w:rsidR="005D65AA">
        <w:rPr>
          <w:rFonts w:ascii="Times New Roman" w:hAnsi="Times New Roman" w:cs="Times New Roman"/>
          <w:b/>
          <w:color w:val="000000" w:themeColor="text1"/>
        </w:rPr>
        <w:t>O</w:t>
      </w:r>
      <w:r w:rsidR="00772D96" w:rsidRPr="00BC7BB5">
        <w:rPr>
          <w:rFonts w:ascii="Times New Roman" w:hAnsi="Times New Roman" w:cs="Times New Roman"/>
          <w:b/>
          <w:color w:val="000000" w:themeColor="text1"/>
        </w:rPr>
        <w:t xml:space="preserve">bjective </w:t>
      </w:r>
      <w:r w:rsidRPr="00BC7BB5">
        <w:rPr>
          <w:rFonts w:ascii="Times New Roman" w:hAnsi="Times New Roman" w:cs="Times New Roman"/>
          <w:color w:val="000000" w:themeColor="text1"/>
        </w:rPr>
        <w:t>is</w:t>
      </w:r>
      <w:r w:rsidRPr="00BC7BB5">
        <w:rPr>
          <w:rFonts w:ascii="Times New Roman" w:hAnsi="Times New Roman" w:cs="Times New Roman"/>
          <w:b/>
          <w:color w:val="000000" w:themeColor="text1"/>
        </w:rPr>
        <w:t xml:space="preserve"> </w:t>
      </w:r>
      <w:r w:rsidR="00D8519B" w:rsidRPr="00BC7BB5">
        <w:rPr>
          <w:rFonts w:ascii="Times New Roman" w:hAnsi="Times New Roman" w:cs="Times New Roman"/>
          <w:color w:val="000000" w:themeColor="text1"/>
        </w:rPr>
        <w:t>to increase the vol</w:t>
      </w:r>
      <w:r w:rsidR="00496C8F" w:rsidRPr="00BC7BB5">
        <w:rPr>
          <w:rFonts w:ascii="Times New Roman" w:hAnsi="Times New Roman" w:cs="Times New Roman"/>
          <w:color w:val="000000" w:themeColor="text1"/>
        </w:rPr>
        <w:t>ume of added-</w:t>
      </w:r>
      <w:r w:rsidR="00D8519B" w:rsidRPr="00BC7BB5">
        <w:rPr>
          <w:rFonts w:ascii="Times New Roman" w:hAnsi="Times New Roman" w:cs="Times New Roman"/>
          <w:color w:val="000000" w:themeColor="text1"/>
        </w:rPr>
        <w:t>value products commerciali</w:t>
      </w:r>
      <w:r w:rsidR="007A56B5" w:rsidRPr="00BC7BB5">
        <w:rPr>
          <w:rFonts w:ascii="Times New Roman" w:hAnsi="Times New Roman" w:cs="Times New Roman"/>
          <w:color w:val="000000" w:themeColor="text1"/>
        </w:rPr>
        <w:t xml:space="preserve">zed in selected agri-food value </w:t>
      </w:r>
      <w:r w:rsidR="00D8519B" w:rsidRPr="00BC7BB5">
        <w:rPr>
          <w:rFonts w:ascii="Times New Roman" w:hAnsi="Times New Roman" w:cs="Times New Roman"/>
          <w:color w:val="000000" w:themeColor="text1"/>
        </w:rPr>
        <w:t>chains in the Program area</w:t>
      </w:r>
      <w:r w:rsidR="00E3105C" w:rsidRPr="00BC7BB5">
        <w:rPr>
          <w:rFonts w:ascii="Times New Roman" w:hAnsi="Times New Roman" w:cs="Times New Roman"/>
          <w:color w:val="000000" w:themeColor="text1"/>
        </w:rPr>
        <w:t>.</w:t>
      </w:r>
    </w:p>
    <w:p w14:paraId="76E0489C" w14:textId="77777777" w:rsidR="00152CEC" w:rsidRPr="00BC7BB5" w:rsidRDefault="00152CEC" w:rsidP="00F21691">
      <w:pPr>
        <w:pStyle w:val="NoSpacing"/>
        <w:ind w:left="420"/>
        <w:jc w:val="both"/>
        <w:rPr>
          <w:rFonts w:ascii="Times New Roman" w:hAnsi="Times New Roman" w:cs="Times New Roman"/>
          <w:color w:val="000000" w:themeColor="text1"/>
        </w:rPr>
      </w:pPr>
    </w:p>
    <w:p w14:paraId="134620C6" w14:textId="779D47DD" w:rsidR="00D8519B" w:rsidRPr="00BC7BB5" w:rsidRDefault="002E57CA" w:rsidP="00D8519B">
      <w:pPr>
        <w:pStyle w:val="NoSpacing"/>
        <w:numPr>
          <w:ilvl w:val="0"/>
          <w:numId w:val="7"/>
        </w:numPr>
        <w:ind w:left="0" w:firstLine="0"/>
        <w:jc w:val="both"/>
        <w:rPr>
          <w:rFonts w:ascii="Times New Roman" w:hAnsi="Times New Roman" w:cs="Times New Roman"/>
          <w:color w:val="000000" w:themeColor="text1"/>
        </w:rPr>
      </w:pPr>
      <w:r w:rsidRPr="00BC7BB5">
        <w:rPr>
          <w:rFonts w:ascii="Times New Roman" w:hAnsi="Times New Roman" w:cs="Times New Roman"/>
          <w:color w:val="000000" w:themeColor="text1"/>
        </w:rPr>
        <w:t xml:space="preserve">The </w:t>
      </w:r>
      <w:r w:rsidR="00152CEC" w:rsidRPr="00BC7BB5">
        <w:rPr>
          <w:rFonts w:ascii="Times New Roman" w:hAnsi="Times New Roman" w:cs="Times New Roman"/>
          <w:color w:val="000000" w:themeColor="text1"/>
        </w:rPr>
        <w:t>Program would thereby contribute to the broader, higher level objectives of the Government’s pro</w:t>
      </w:r>
      <w:r w:rsidR="001C0E3F" w:rsidRPr="00BC7BB5">
        <w:rPr>
          <w:rFonts w:ascii="Times New Roman" w:hAnsi="Times New Roman" w:cs="Times New Roman"/>
          <w:color w:val="000000" w:themeColor="text1"/>
        </w:rPr>
        <w:t>gram (</w:t>
      </w:r>
      <w:r w:rsidR="00152CEC" w:rsidRPr="00BC7BB5">
        <w:rPr>
          <w:rFonts w:ascii="Times New Roman" w:hAnsi="Times New Roman" w:cs="Times New Roman"/>
          <w:color w:val="000000" w:themeColor="text1"/>
        </w:rPr>
        <w:t>PMV)</w:t>
      </w:r>
      <w:r w:rsidR="00E03960">
        <w:rPr>
          <w:rFonts w:ascii="Times New Roman" w:hAnsi="Times New Roman" w:cs="Times New Roman"/>
          <w:color w:val="000000" w:themeColor="text1"/>
        </w:rPr>
        <w:t>,</w:t>
      </w:r>
      <w:r w:rsidR="00152CEC" w:rsidRPr="00BC7BB5">
        <w:rPr>
          <w:rFonts w:ascii="Times New Roman" w:hAnsi="Times New Roman" w:cs="Times New Roman"/>
          <w:color w:val="000000" w:themeColor="text1"/>
        </w:rPr>
        <w:t xml:space="preserve"> which are </w:t>
      </w:r>
      <w:r w:rsidR="00467456" w:rsidRPr="00BC7BB5">
        <w:rPr>
          <w:rFonts w:ascii="Times New Roman" w:hAnsi="Times New Roman" w:cs="Times New Roman"/>
          <w:color w:val="000000" w:themeColor="text1"/>
        </w:rPr>
        <w:t xml:space="preserve">to </w:t>
      </w:r>
      <w:r w:rsidR="001C0E3F" w:rsidRPr="00BC7BB5">
        <w:rPr>
          <w:rFonts w:ascii="Times New Roman" w:hAnsi="Times New Roman" w:cs="Times New Roman"/>
          <w:color w:val="000000" w:themeColor="text1"/>
        </w:rPr>
        <w:t xml:space="preserve">increase investments in the agri-food sector, </w:t>
      </w:r>
      <w:r w:rsidR="00152CEC" w:rsidRPr="00BC7BB5">
        <w:rPr>
          <w:rFonts w:ascii="Times New Roman" w:hAnsi="Times New Roman" w:cs="Times New Roman"/>
          <w:color w:val="000000" w:themeColor="text1"/>
        </w:rPr>
        <w:t>to increase th</w:t>
      </w:r>
      <w:r w:rsidR="001C0E3F" w:rsidRPr="00BC7BB5">
        <w:rPr>
          <w:rFonts w:ascii="Times New Roman" w:hAnsi="Times New Roman" w:cs="Times New Roman"/>
          <w:color w:val="000000" w:themeColor="text1"/>
        </w:rPr>
        <w:t>e added-value of the</w:t>
      </w:r>
      <w:r w:rsidR="00152CEC" w:rsidRPr="00BC7BB5">
        <w:rPr>
          <w:rFonts w:ascii="Times New Roman" w:hAnsi="Times New Roman" w:cs="Times New Roman"/>
          <w:color w:val="000000" w:themeColor="text1"/>
        </w:rPr>
        <w:t xml:space="preserve"> sector, </w:t>
      </w:r>
      <w:r w:rsidR="001C0E3F" w:rsidRPr="00BC7BB5">
        <w:rPr>
          <w:rFonts w:ascii="Times New Roman" w:hAnsi="Times New Roman" w:cs="Times New Roman"/>
          <w:color w:val="000000" w:themeColor="text1"/>
        </w:rPr>
        <w:t>to increase agri-food exports, to</w:t>
      </w:r>
      <w:r w:rsidR="00152CEC" w:rsidRPr="00BC7BB5">
        <w:rPr>
          <w:rFonts w:ascii="Times New Roman" w:hAnsi="Times New Roman" w:cs="Times New Roman"/>
          <w:color w:val="000000" w:themeColor="text1"/>
        </w:rPr>
        <w:t xml:space="preserve"> </w:t>
      </w:r>
      <w:r w:rsidR="001C0E3F" w:rsidRPr="00BC7BB5">
        <w:rPr>
          <w:rFonts w:ascii="Times New Roman" w:hAnsi="Times New Roman" w:cs="Times New Roman"/>
          <w:color w:val="000000" w:themeColor="text1"/>
        </w:rPr>
        <w:t>create additional jobs</w:t>
      </w:r>
      <w:r w:rsidR="00E03960">
        <w:rPr>
          <w:rFonts w:ascii="Times New Roman" w:hAnsi="Times New Roman" w:cs="Times New Roman"/>
          <w:color w:val="000000" w:themeColor="text1"/>
        </w:rPr>
        <w:t>,</w:t>
      </w:r>
      <w:r w:rsidR="001C0E3F" w:rsidRPr="00BC7BB5">
        <w:rPr>
          <w:rFonts w:ascii="Times New Roman" w:hAnsi="Times New Roman" w:cs="Times New Roman"/>
          <w:color w:val="000000" w:themeColor="text1"/>
        </w:rPr>
        <w:t xml:space="preserve"> and to increase rural incomes</w:t>
      </w:r>
      <w:r w:rsidR="00152CEC" w:rsidRPr="00BC7BB5">
        <w:rPr>
          <w:rFonts w:ascii="Times New Roman" w:hAnsi="Times New Roman" w:cs="Times New Roman"/>
          <w:color w:val="000000" w:themeColor="text1"/>
        </w:rPr>
        <w:t>.  The Program would primarily (but not exclusively) focus on areas of the Government’s program which address</w:t>
      </w:r>
      <w:r w:rsidR="00E03960">
        <w:rPr>
          <w:rFonts w:ascii="Times New Roman" w:hAnsi="Times New Roman" w:cs="Times New Roman"/>
          <w:color w:val="000000" w:themeColor="text1"/>
        </w:rPr>
        <w:t>es</w:t>
      </w:r>
      <w:r w:rsidR="00152CEC" w:rsidRPr="00BC7BB5">
        <w:rPr>
          <w:rFonts w:ascii="Times New Roman" w:hAnsi="Times New Roman" w:cs="Times New Roman"/>
          <w:color w:val="000000" w:themeColor="text1"/>
        </w:rPr>
        <w:t xml:space="preserve"> constraints to market access and value-addition beyond the farm</w:t>
      </w:r>
      <w:r w:rsidR="00E03960">
        <w:rPr>
          <w:rFonts w:ascii="Times New Roman" w:hAnsi="Times New Roman" w:cs="Times New Roman"/>
          <w:color w:val="000000" w:themeColor="text1"/>
        </w:rPr>
        <w:t xml:space="preserve"> </w:t>
      </w:r>
      <w:r w:rsidR="00152CEC" w:rsidRPr="00BC7BB5">
        <w:rPr>
          <w:rFonts w:ascii="Times New Roman" w:hAnsi="Times New Roman" w:cs="Times New Roman"/>
          <w:color w:val="000000" w:themeColor="text1"/>
        </w:rPr>
        <w:t xml:space="preserve">gate, </w:t>
      </w:r>
      <w:r w:rsidR="00E03960">
        <w:rPr>
          <w:rFonts w:ascii="Times New Roman" w:hAnsi="Times New Roman" w:cs="Times New Roman"/>
          <w:color w:val="000000" w:themeColor="text1"/>
        </w:rPr>
        <w:t>taking into account</w:t>
      </w:r>
      <w:r w:rsidR="00E03960" w:rsidRPr="00BC7BB5">
        <w:rPr>
          <w:rFonts w:ascii="Times New Roman" w:hAnsi="Times New Roman" w:cs="Times New Roman"/>
          <w:color w:val="000000" w:themeColor="text1"/>
        </w:rPr>
        <w:t xml:space="preserve"> </w:t>
      </w:r>
      <w:r w:rsidR="00152CEC" w:rsidRPr="00BC7BB5">
        <w:rPr>
          <w:rFonts w:ascii="Times New Roman" w:hAnsi="Times New Roman" w:cs="Times New Roman"/>
          <w:color w:val="000000" w:themeColor="text1"/>
        </w:rPr>
        <w:t xml:space="preserve">the findings of the mid-term review of the PMV. </w:t>
      </w:r>
    </w:p>
    <w:p w14:paraId="6C38E05D" w14:textId="77777777" w:rsidR="00D8519B" w:rsidRPr="00BC7BB5" w:rsidRDefault="00D8519B" w:rsidP="00D8519B">
      <w:pPr>
        <w:pStyle w:val="ListParagraph"/>
        <w:spacing w:after="0"/>
        <w:rPr>
          <w:rFonts w:ascii="Times New Roman" w:hAnsi="Times New Roman" w:cs="Times New Roman"/>
          <w:color w:val="000000" w:themeColor="text1"/>
        </w:rPr>
      </w:pPr>
    </w:p>
    <w:p w14:paraId="3522F399" w14:textId="2C6AD1D3" w:rsidR="00D8519B" w:rsidRPr="00BC7BB5" w:rsidRDefault="007F5CD2" w:rsidP="00D8519B">
      <w:pPr>
        <w:pStyle w:val="NoSpacing"/>
        <w:numPr>
          <w:ilvl w:val="0"/>
          <w:numId w:val="7"/>
        </w:numPr>
        <w:ind w:left="0" w:firstLine="0"/>
        <w:jc w:val="both"/>
        <w:rPr>
          <w:rFonts w:ascii="Times New Roman" w:hAnsi="Times New Roman" w:cs="Times New Roman"/>
          <w:color w:val="000000" w:themeColor="text1"/>
        </w:rPr>
      </w:pPr>
      <w:r w:rsidRPr="00BC7BB5">
        <w:rPr>
          <w:rFonts w:ascii="Times New Roman" w:hAnsi="Times New Roman" w:cs="Times New Roman"/>
          <w:i/>
          <w:color w:val="000000" w:themeColor="text1"/>
        </w:rPr>
        <w:t>T</w:t>
      </w:r>
      <w:r w:rsidR="00D8519B" w:rsidRPr="00BC7BB5">
        <w:rPr>
          <w:rFonts w:ascii="Times New Roman" w:hAnsi="Times New Roman" w:cs="Times New Roman"/>
          <w:i/>
          <w:color w:val="000000" w:themeColor="text1"/>
        </w:rPr>
        <w:t>argeting</w:t>
      </w:r>
      <w:r w:rsidR="00D8519B" w:rsidRPr="00BC7BB5">
        <w:rPr>
          <w:rFonts w:ascii="Times New Roman" w:hAnsi="Times New Roman" w:cs="Times New Roman"/>
          <w:color w:val="000000" w:themeColor="text1"/>
        </w:rPr>
        <w:t xml:space="preserve">. </w:t>
      </w:r>
      <w:r w:rsidR="00011051" w:rsidRPr="00BC7BB5">
        <w:rPr>
          <w:rFonts w:ascii="Times New Roman" w:hAnsi="Times New Roman" w:cs="Times New Roman"/>
          <w:color w:val="000000" w:themeColor="text1"/>
        </w:rPr>
        <w:t>While some of the Program’s activities would benefit a broad range of stakeholders in the agri-food sector, t</w:t>
      </w:r>
      <w:r w:rsidR="00DD7E47" w:rsidRPr="00BC7BB5">
        <w:rPr>
          <w:rFonts w:ascii="Times New Roman" w:hAnsi="Times New Roman" w:cs="Times New Roman"/>
          <w:color w:val="000000" w:themeColor="text1"/>
        </w:rPr>
        <w:t xml:space="preserve">he Program would include </w:t>
      </w:r>
      <w:r w:rsidR="005C095E" w:rsidRPr="00BC7BB5">
        <w:rPr>
          <w:rFonts w:ascii="Times New Roman" w:hAnsi="Times New Roman" w:cs="Times New Roman"/>
          <w:color w:val="000000" w:themeColor="text1"/>
        </w:rPr>
        <w:t xml:space="preserve">activities </w:t>
      </w:r>
      <w:r w:rsidR="008F5595" w:rsidRPr="00BC7BB5">
        <w:rPr>
          <w:rFonts w:ascii="Times New Roman" w:hAnsi="Times New Roman" w:cs="Times New Roman"/>
          <w:color w:val="000000" w:themeColor="text1"/>
        </w:rPr>
        <w:t xml:space="preserve">specifically </w:t>
      </w:r>
      <w:r w:rsidR="005C095E" w:rsidRPr="00BC7BB5">
        <w:rPr>
          <w:rFonts w:ascii="Times New Roman" w:hAnsi="Times New Roman" w:cs="Times New Roman"/>
          <w:color w:val="000000" w:themeColor="text1"/>
        </w:rPr>
        <w:t>aim</w:t>
      </w:r>
      <w:r w:rsidR="00011051" w:rsidRPr="00BC7BB5">
        <w:rPr>
          <w:rFonts w:ascii="Times New Roman" w:hAnsi="Times New Roman" w:cs="Times New Roman"/>
          <w:color w:val="000000" w:themeColor="text1"/>
        </w:rPr>
        <w:t>ed</w:t>
      </w:r>
      <w:r w:rsidR="005C095E" w:rsidRPr="00BC7BB5">
        <w:rPr>
          <w:rFonts w:ascii="Times New Roman" w:hAnsi="Times New Roman" w:cs="Times New Roman"/>
          <w:color w:val="000000" w:themeColor="text1"/>
        </w:rPr>
        <w:t xml:space="preserve"> at </w:t>
      </w:r>
      <w:r w:rsidR="00BB5149" w:rsidRPr="00BC7BB5">
        <w:rPr>
          <w:rFonts w:ascii="Times New Roman" w:hAnsi="Times New Roman" w:cs="Times New Roman"/>
          <w:color w:val="000000" w:themeColor="text1"/>
        </w:rPr>
        <w:t>promoting</w:t>
      </w:r>
      <w:r w:rsidR="005C095E" w:rsidRPr="00BC7BB5">
        <w:rPr>
          <w:rFonts w:ascii="Times New Roman" w:hAnsi="Times New Roman" w:cs="Times New Roman"/>
          <w:color w:val="000000" w:themeColor="text1"/>
        </w:rPr>
        <w:t xml:space="preserve"> the inclusion of small and medium producers and enterprises with modern value-chains and their capacity to </w:t>
      </w:r>
      <w:r w:rsidR="00FC0939">
        <w:rPr>
          <w:rFonts w:ascii="Times New Roman" w:hAnsi="Times New Roman" w:cs="Times New Roman"/>
          <w:color w:val="000000" w:themeColor="text1"/>
        </w:rPr>
        <w:t>produce and commercialize added-</w:t>
      </w:r>
      <w:r w:rsidR="005C095E" w:rsidRPr="00BC7BB5">
        <w:rPr>
          <w:rFonts w:ascii="Times New Roman" w:hAnsi="Times New Roman" w:cs="Times New Roman"/>
          <w:color w:val="000000" w:themeColor="text1"/>
        </w:rPr>
        <w:t xml:space="preserve">value products. </w:t>
      </w:r>
    </w:p>
    <w:p w14:paraId="73B189C6" w14:textId="77777777" w:rsidR="00D8519B" w:rsidRPr="00BC7BB5" w:rsidRDefault="00D8519B" w:rsidP="00BB5149">
      <w:pPr>
        <w:pStyle w:val="ListParagraph"/>
        <w:spacing w:after="0"/>
        <w:rPr>
          <w:rFonts w:ascii="Times New Roman" w:hAnsi="Times New Roman" w:cs="Times New Roman"/>
          <w:color w:val="000000" w:themeColor="text1"/>
        </w:rPr>
      </w:pPr>
    </w:p>
    <w:p w14:paraId="50C01607" w14:textId="53BE3131" w:rsidR="00152CEC" w:rsidRPr="00BC7BB5" w:rsidRDefault="00D8519B" w:rsidP="00D8519B">
      <w:pPr>
        <w:pStyle w:val="NoSpacing"/>
        <w:numPr>
          <w:ilvl w:val="0"/>
          <w:numId w:val="7"/>
        </w:numPr>
        <w:ind w:left="0" w:firstLine="0"/>
        <w:jc w:val="both"/>
        <w:rPr>
          <w:rFonts w:ascii="Times New Roman" w:hAnsi="Times New Roman" w:cs="Times New Roman"/>
          <w:color w:val="000000" w:themeColor="text1"/>
        </w:rPr>
      </w:pPr>
      <w:r w:rsidRPr="00BC7BB5">
        <w:rPr>
          <w:rFonts w:ascii="Times New Roman" w:hAnsi="Times New Roman" w:cs="Times New Roman"/>
          <w:i/>
          <w:color w:val="000000" w:themeColor="text1"/>
        </w:rPr>
        <w:t>Selected agri-food value-chains</w:t>
      </w:r>
      <w:r w:rsidRPr="00BC7BB5">
        <w:rPr>
          <w:rFonts w:ascii="Times New Roman" w:hAnsi="Times New Roman" w:cs="Times New Roman"/>
          <w:color w:val="000000" w:themeColor="text1"/>
        </w:rPr>
        <w:t xml:space="preserve">. </w:t>
      </w:r>
      <w:r w:rsidR="00152CEC" w:rsidRPr="00BC7BB5">
        <w:rPr>
          <w:rFonts w:ascii="Times New Roman" w:hAnsi="Times New Roman" w:cs="Times New Roman"/>
          <w:color w:val="000000" w:themeColor="text1"/>
        </w:rPr>
        <w:t xml:space="preserve">While the Program would strengthen the overall enabling environment for agri-food value chain development in Morocco, it would also place a specific focus on addressing constraints that producers and agribusiness firms </w:t>
      </w:r>
      <w:r w:rsidR="00E76D52" w:rsidRPr="00BC7BB5">
        <w:rPr>
          <w:rFonts w:ascii="Times New Roman" w:hAnsi="Times New Roman" w:cs="Times New Roman"/>
          <w:color w:val="000000" w:themeColor="text1"/>
        </w:rPr>
        <w:t xml:space="preserve">in the olive and citrus value chains </w:t>
      </w:r>
      <w:r w:rsidR="00152CEC" w:rsidRPr="00BC7BB5">
        <w:rPr>
          <w:rFonts w:ascii="Times New Roman" w:hAnsi="Times New Roman" w:cs="Times New Roman"/>
          <w:color w:val="000000" w:themeColor="text1"/>
        </w:rPr>
        <w:t>are facing with regards to value-addition, product quality</w:t>
      </w:r>
      <w:r w:rsidR="00E03960">
        <w:rPr>
          <w:rFonts w:ascii="Times New Roman" w:hAnsi="Times New Roman" w:cs="Times New Roman"/>
          <w:color w:val="000000" w:themeColor="text1"/>
        </w:rPr>
        <w:t>,</w:t>
      </w:r>
      <w:r w:rsidR="00152CEC" w:rsidRPr="00BC7BB5">
        <w:rPr>
          <w:rFonts w:ascii="Times New Roman" w:hAnsi="Times New Roman" w:cs="Times New Roman"/>
          <w:color w:val="000000" w:themeColor="text1"/>
        </w:rPr>
        <w:t xml:space="preserve"> and market </w:t>
      </w:r>
      <w:r w:rsidR="0085767D" w:rsidRPr="00BC7BB5">
        <w:rPr>
          <w:rFonts w:ascii="Times New Roman" w:hAnsi="Times New Roman" w:cs="Times New Roman"/>
          <w:color w:val="000000" w:themeColor="text1"/>
        </w:rPr>
        <w:t>integration</w:t>
      </w:r>
      <w:r w:rsidR="00152CEC" w:rsidRPr="00BC7BB5">
        <w:rPr>
          <w:rFonts w:ascii="Times New Roman" w:hAnsi="Times New Roman" w:cs="Times New Roman"/>
          <w:color w:val="000000" w:themeColor="text1"/>
        </w:rPr>
        <w:t>. Those two sub</w:t>
      </w:r>
      <w:r w:rsidR="00234768">
        <w:rPr>
          <w:rFonts w:ascii="Times New Roman" w:hAnsi="Times New Roman" w:cs="Times New Roman"/>
          <w:color w:val="000000" w:themeColor="text1"/>
        </w:rPr>
        <w:t>-</w:t>
      </w:r>
      <w:r w:rsidR="00152CEC" w:rsidRPr="00BC7BB5">
        <w:rPr>
          <w:rFonts w:ascii="Times New Roman" w:hAnsi="Times New Roman" w:cs="Times New Roman"/>
          <w:color w:val="000000" w:themeColor="text1"/>
        </w:rPr>
        <w:t xml:space="preserve">sectors were selected by </w:t>
      </w:r>
      <w:r w:rsidR="001100C7" w:rsidRPr="00BC7BB5">
        <w:rPr>
          <w:rFonts w:ascii="Times New Roman" w:hAnsi="Times New Roman" w:cs="Times New Roman"/>
          <w:color w:val="000000" w:themeColor="text1"/>
        </w:rPr>
        <w:t>MAPMDREF</w:t>
      </w:r>
      <w:r w:rsidR="00152CEC" w:rsidRPr="00BC7BB5">
        <w:rPr>
          <w:rFonts w:ascii="Times New Roman" w:hAnsi="Times New Roman" w:cs="Times New Roman"/>
          <w:color w:val="000000" w:themeColor="text1"/>
        </w:rPr>
        <w:t xml:space="preserve"> </w:t>
      </w:r>
      <w:r w:rsidR="00E03960">
        <w:rPr>
          <w:rFonts w:ascii="Times New Roman" w:hAnsi="Times New Roman" w:cs="Times New Roman"/>
          <w:color w:val="000000" w:themeColor="text1"/>
        </w:rPr>
        <w:t>based on the following considerations</w:t>
      </w:r>
      <w:r w:rsidR="00152CEC" w:rsidRPr="00BC7BB5">
        <w:rPr>
          <w:rFonts w:ascii="Times New Roman" w:hAnsi="Times New Roman" w:cs="Times New Roman"/>
          <w:color w:val="000000" w:themeColor="text1"/>
        </w:rPr>
        <w:t>: (a) their contribution to agricultural GDP growth and to the rural economy, (b) the expected increase in prod</w:t>
      </w:r>
      <w:r w:rsidR="00496C8F" w:rsidRPr="00BC7BB5">
        <w:rPr>
          <w:rFonts w:ascii="Times New Roman" w:hAnsi="Times New Roman" w:cs="Times New Roman"/>
          <w:color w:val="000000" w:themeColor="text1"/>
        </w:rPr>
        <w:t>uction by 2022</w:t>
      </w:r>
      <w:r w:rsidR="00764E50" w:rsidRPr="00BC7BB5">
        <w:rPr>
          <w:rFonts w:ascii="Times New Roman" w:hAnsi="Times New Roman" w:cs="Times New Roman"/>
          <w:color w:val="000000" w:themeColor="text1"/>
        </w:rPr>
        <w:t xml:space="preserve"> following investments </w:t>
      </w:r>
      <w:r w:rsidR="00886A11" w:rsidRPr="00BC7BB5">
        <w:rPr>
          <w:rFonts w:ascii="Times New Roman" w:hAnsi="Times New Roman" w:cs="Times New Roman"/>
          <w:color w:val="000000" w:themeColor="text1"/>
        </w:rPr>
        <w:t xml:space="preserve">in </w:t>
      </w:r>
      <w:r w:rsidR="00764E50" w:rsidRPr="00BC7BB5">
        <w:rPr>
          <w:rFonts w:ascii="Times New Roman" w:hAnsi="Times New Roman" w:cs="Times New Roman"/>
          <w:color w:val="000000" w:themeColor="text1"/>
        </w:rPr>
        <w:t xml:space="preserve">plantations </w:t>
      </w:r>
      <w:r w:rsidR="008F2B13" w:rsidRPr="00BC7BB5">
        <w:rPr>
          <w:rFonts w:ascii="Times New Roman" w:hAnsi="Times New Roman" w:cs="Times New Roman"/>
          <w:color w:val="000000" w:themeColor="text1"/>
        </w:rPr>
        <w:t>since 2008</w:t>
      </w:r>
      <w:r w:rsidR="00152CEC" w:rsidRPr="00BC7BB5">
        <w:rPr>
          <w:rFonts w:ascii="Times New Roman" w:hAnsi="Times New Roman" w:cs="Times New Roman"/>
          <w:color w:val="000000" w:themeColor="text1"/>
        </w:rPr>
        <w:t>, and (c) their potential in terms of further value-addition and increased exports</w:t>
      </w:r>
      <w:r w:rsidR="00C213BE" w:rsidRPr="00BC7BB5">
        <w:rPr>
          <w:rFonts w:ascii="Times New Roman" w:hAnsi="Times New Roman" w:cs="Times New Roman"/>
          <w:color w:val="000000" w:themeColor="text1"/>
        </w:rPr>
        <w:t>.</w:t>
      </w:r>
    </w:p>
    <w:p w14:paraId="3C8DC5C7" w14:textId="77777777" w:rsidR="00FF7F2A" w:rsidRPr="00BC7BB5" w:rsidRDefault="00FF7F2A" w:rsidP="00FF7F2A">
      <w:pPr>
        <w:pStyle w:val="NoSpacing"/>
        <w:ind w:left="420"/>
        <w:jc w:val="both"/>
        <w:rPr>
          <w:rFonts w:ascii="Times New Roman" w:hAnsi="Times New Roman" w:cs="Times New Roman"/>
          <w:color w:val="000000" w:themeColor="text1"/>
        </w:rPr>
      </w:pPr>
    </w:p>
    <w:p w14:paraId="61280E86" w14:textId="5731CA5C" w:rsidR="00FF7F2A" w:rsidRPr="00BC7BB5" w:rsidRDefault="00A85DD8" w:rsidP="00FC2954">
      <w:pPr>
        <w:pStyle w:val="NoSpacing"/>
        <w:numPr>
          <w:ilvl w:val="0"/>
          <w:numId w:val="7"/>
        </w:numPr>
        <w:ind w:left="0" w:firstLine="0"/>
        <w:jc w:val="both"/>
        <w:rPr>
          <w:rFonts w:ascii="Times New Roman" w:hAnsi="Times New Roman" w:cs="Times New Roman"/>
          <w:color w:val="000000" w:themeColor="text1"/>
        </w:rPr>
      </w:pPr>
      <w:r w:rsidRPr="00BC7BB5">
        <w:rPr>
          <w:rFonts w:ascii="Times New Roman" w:hAnsi="Times New Roman" w:cs="Times New Roman"/>
          <w:color w:val="000000" w:themeColor="text1"/>
        </w:rPr>
        <w:t xml:space="preserve">The </w:t>
      </w:r>
      <w:r w:rsidR="00FC2954" w:rsidRPr="00BC7BB5">
        <w:rPr>
          <w:rFonts w:ascii="Times New Roman" w:hAnsi="Times New Roman" w:cs="Times New Roman"/>
          <w:b/>
          <w:color w:val="000000" w:themeColor="text1"/>
        </w:rPr>
        <w:t>PDO results indicator</w:t>
      </w:r>
      <w:r w:rsidR="00E03960">
        <w:rPr>
          <w:rFonts w:ascii="Times New Roman" w:hAnsi="Times New Roman" w:cs="Times New Roman"/>
          <w:b/>
          <w:color w:val="000000" w:themeColor="text1"/>
        </w:rPr>
        <w:t>s</w:t>
      </w:r>
      <w:r w:rsidR="00FC2954" w:rsidRPr="00BC7BB5">
        <w:rPr>
          <w:rFonts w:ascii="Times New Roman" w:hAnsi="Times New Roman" w:cs="Times New Roman"/>
          <w:color w:val="000000" w:themeColor="text1"/>
        </w:rPr>
        <w:t xml:space="preserve"> </w:t>
      </w:r>
      <w:r w:rsidR="002D1DE2">
        <w:rPr>
          <w:rFonts w:ascii="Times New Roman" w:hAnsi="Times New Roman" w:cs="Times New Roman"/>
          <w:color w:val="000000" w:themeColor="text1"/>
        </w:rPr>
        <w:t>measure volume of added value products commercialized, specifically</w:t>
      </w:r>
      <w:r w:rsidRPr="00BC7BB5">
        <w:rPr>
          <w:rFonts w:ascii="Times New Roman" w:hAnsi="Times New Roman" w:cs="Times New Roman"/>
          <w:color w:val="000000" w:themeColor="text1"/>
        </w:rPr>
        <w:t>:</w:t>
      </w:r>
      <w:r w:rsidR="00FC2954" w:rsidRPr="00BC7BB5">
        <w:rPr>
          <w:rFonts w:ascii="Times New Roman" w:hAnsi="Times New Roman" w:cs="Times New Roman"/>
          <w:color w:val="000000" w:themeColor="text1"/>
        </w:rPr>
        <w:t xml:space="preserve"> </w:t>
      </w:r>
      <w:r w:rsidR="00E03960">
        <w:rPr>
          <w:rFonts w:ascii="Times New Roman" w:hAnsi="Times New Roman" w:cs="Times New Roman"/>
          <w:color w:val="000000" w:themeColor="text1"/>
        </w:rPr>
        <w:t>(a) v</w:t>
      </w:r>
      <w:r w:rsidR="00D85B5E" w:rsidRPr="00BC7BB5">
        <w:rPr>
          <w:rFonts w:ascii="Times New Roman" w:hAnsi="Times New Roman" w:cs="Times New Roman"/>
          <w:color w:val="000000" w:themeColor="text1"/>
        </w:rPr>
        <w:t>olume</w:t>
      </w:r>
      <w:r w:rsidR="00E21988" w:rsidRPr="00BC7BB5">
        <w:rPr>
          <w:rFonts w:ascii="Times New Roman" w:hAnsi="Times New Roman" w:cs="Times New Roman"/>
          <w:color w:val="000000" w:themeColor="text1"/>
        </w:rPr>
        <w:t xml:space="preserve"> </w:t>
      </w:r>
      <w:r w:rsidR="00FF7F2A" w:rsidRPr="00BC7BB5">
        <w:rPr>
          <w:rFonts w:ascii="Times New Roman" w:hAnsi="Times New Roman" w:cs="Times New Roman"/>
          <w:color w:val="000000" w:themeColor="text1"/>
        </w:rPr>
        <w:t xml:space="preserve">of </w:t>
      </w:r>
      <w:r w:rsidR="00E03960">
        <w:rPr>
          <w:rFonts w:ascii="Times New Roman" w:hAnsi="Times New Roman" w:cs="Times New Roman"/>
          <w:color w:val="000000" w:themeColor="text1"/>
        </w:rPr>
        <w:t>conditioned and exported citrus; (b) volume of conditioned and exported olive</w:t>
      </w:r>
      <w:r w:rsidR="005002BE">
        <w:rPr>
          <w:rFonts w:ascii="Times New Roman" w:hAnsi="Times New Roman" w:cs="Times New Roman"/>
          <w:color w:val="000000" w:themeColor="text1"/>
        </w:rPr>
        <w:t>s</w:t>
      </w:r>
      <w:r w:rsidR="00E03960">
        <w:rPr>
          <w:rFonts w:ascii="Times New Roman" w:hAnsi="Times New Roman" w:cs="Times New Roman"/>
          <w:color w:val="000000" w:themeColor="text1"/>
        </w:rPr>
        <w:t>; (c) volume of high quality olive oil commercialized</w:t>
      </w:r>
      <w:r w:rsidR="00FC2954" w:rsidRPr="00BC7BB5">
        <w:rPr>
          <w:rFonts w:ascii="Times New Roman" w:hAnsi="Times New Roman" w:cs="Times New Roman"/>
          <w:color w:val="000000" w:themeColor="text1"/>
        </w:rPr>
        <w:t>.</w:t>
      </w:r>
    </w:p>
    <w:p w14:paraId="66423BC4" w14:textId="0035F88C" w:rsidR="00D921E8" w:rsidRPr="00BC7BB5" w:rsidRDefault="00D921E8" w:rsidP="00FC2954">
      <w:pPr>
        <w:pStyle w:val="ListParagraph"/>
        <w:spacing w:after="0" w:line="240" w:lineRule="auto"/>
        <w:ind w:left="1498"/>
        <w:jc w:val="both"/>
        <w:rPr>
          <w:rFonts w:ascii="Times New Roman" w:hAnsi="Times New Roman" w:cs="Times New Roman"/>
          <w:color w:val="000000" w:themeColor="text1"/>
        </w:rPr>
      </w:pPr>
    </w:p>
    <w:p w14:paraId="531B0CD2" w14:textId="77777777" w:rsidR="00FF7F2A" w:rsidRPr="00BC7BB5" w:rsidRDefault="00FF7F2A" w:rsidP="00C43495">
      <w:pPr>
        <w:pStyle w:val="NoSpacing"/>
        <w:ind w:left="1500"/>
        <w:jc w:val="both"/>
        <w:rPr>
          <w:rFonts w:ascii="Times New Roman" w:hAnsi="Times New Roman" w:cs="Times New Roman"/>
          <w:color w:val="000000" w:themeColor="text1"/>
        </w:rPr>
      </w:pPr>
      <w:r w:rsidRPr="00BC7BB5">
        <w:rPr>
          <w:rFonts w:ascii="Times New Roman" w:hAnsi="Times New Roman" w:cs="Times New Roman"/>
          <w:color w:val="000000" w:themeColor="text1"/>
        </w:rPr>
        <w:tab/>
      </w:r>
    </w:p>
    <w:p w14:paraId="06121ABF" w14:textId="6973D33B" w:rsidR="00B7066B" w:rsidRPr="00BC7BB5" w:rsidRDefault="00D13B55" w:rsidP="00F561E8">
      <w:pPr>
        <w:pStyle w:val="NoSpacing"/>
        <w:numPr>
          <w:ilvl w:val="0"/>
          <w:numId w:val="27"/>
        </w:numPr>
        <w:ind w:left="0" w:firstLine="0"/>
        <w:outlineLvl w:val="1"/>
        <w:rPr>
          <w:rFonts w:ascii="Times New Roman Bold" w:hAnsi="Times New Roman Bold" w:cs="Times New Roman"/>
          <w:b/>
          <w:smallCaps/>
        </w:rPr>
      </w:pPr>
      <w:bookmarkStart w:id="9" w:name="_Toc499113398"/>
      <w:r>
        <w:rPr>
          <w:rFonts w:ascii="Times New Roman Bold" w:hAnsi="Times New Roman Bold" w:cs="Times New Roman"/>
          <w:b/>
          <w:smallCaps/>
        </w:rPr>
        <w:t>P</w:t>
      </w:r>
      <w:r w:rsidR="006C0E70">
        <w:rPr>
          <w:rFonts w:ascii="Times New Roman Bold" w:hAnsi="Times New Roman Bold" w:cs="Times New Roman"/>
          <w:b/>
          <w:smallCaps/>
        </w:rPr>
        <w:t>f</w:t>
      </w:r>
      <w:r>
        <w:rPr>
          <w:rFonts w:ascii="Times New Roman Bold" w:hAnsi="Times New Roman Bold" w:cs="Times New Roman"/>
          <w:b/>
          <w:smallCaps/>
        </w:rPr>
        <w:t>or</w:t>
      </w:r>
      <w:r w:rsidR="00FE4DD8">
        <w:rPr>
          <w:rFonts w:ascii="Times New Roman Bold" w:hAnsi="Times New Roman Bold" w:cs="Times New Roman"/>
          <w:b/>
          <w:smallCaps/>
        </w:rPr>
        <w:t>R</w:t>
      </w:r>
      <w:r w:rsidR="00B7066B" w:rsidRPr="00BC7BB5">
        <w:rPr>
          <w:rFonts w:ascii="Times New Roman Bold" w:hAnsi="Times New Roman Bold" w:cs="Times New Roman"/>
          <w:b/>
          <w:smallCaps/>
        </w:rPr>
        <w:t xml:space="preserve"> Program Scope</w:t>
      </w:r>
      <w:bookmarkEnd w:id="9"/>
    </w:p>
    <w:p w14:paraId="7F98B25A" w14:textId="77777777" w:rsidR="00B7066B" w:rsidRPr="00BC7BB5" w:rsidRDefault="00B7066B" w:rsidP="00B7066B">
      <w:pPr>
        <w:pStyle w:val="NoSpacing"/>
        <w:ind w:left="360"/>
        <w:rPr>
          <w:rFonts w:ascii="Times New Roman" w:hAnsi="Times New Roman" w:cs="Times New Roman"/>
          <w:b/>
        </w:rPr>
      </w:pPr>
    </w:p>
    <w:p w14:paraId="4FF9C534" w14:textId="2769EC2E" w:rsidR="00A02C09" w:rsidRPr="00BC7BB5" w:rsidRDefault="00A02C09" w:rsidP="00B35A06">
      <w:pPr>
        <w:pStyle w:val="NoSpacing"/>
        <w:numPr>
          <w:ilvl w:val="0"/>
          <w:numId w:val="7"/>
        </w:numPr>
        <w:ind w:left="0" w:firstLine="0"/>
        <w:jc w:val="both"/>
        <w:rPr>
          <w:rFonts w:ascii="Times New Roman" w:hAnsi="Times New Roman" w:cs="Times New Roman"/>
          <w:color w:val="000000" w:themeColor="text1"/>
        </w:rPr>
      </w:pPr>
      <w:r w:rsidRPr="00BC7BB5">
        <w:rPr>
          <w:rFonts w:ascii="Times New Roman" w:hAnsi="Times New Roman" w:cs="Times New Roman"/>
          <w:color w:val="000000" w:themeColor="text1"/>
        </w:rPr>
        <w:t xml:space="preserve">In selecting areas for support under the proposed </w:t>
      </w:r>
      <w:r w:rsidR="00146A92">
        <w:rPr>
          <w:rFonts w:ascii="Times New Roman" w:hAnsi="Times New Roman" w:cs="Times New Roman"/>
          <w:color w:val="000000" w:themeColor="text1"/>
        </w:rPr>
        <w:t>P</w:t>
      </w:r>
      <w:r w:rsidR="00E03960">
        <w:rPr>
          <w:rFonts w:ascii="Times New Roman" w:hAnsi="Times New Roman" w:cs="Times New Roman"/>
          <w:color w:val="000000" w:themeColor="text1"/>
        </w:rPr>
        <w:t>f</w:t>
      </w:r>
      <w:r w:rsidR="00146A92">
        <w:rPr>
          <w:rFonts w:ascii="Times New Roman" w:hAnsi="Times New Roman" w:cs="Times New Roman"/>
          <w:color w:val="000000" w:themeColor="text1"/>
        </w:rPr>
        <w:t>or</w:t>
      </w:r>
      <w:r w:rsidR="00292FEA">
        <w:rPr>
          <w:rFonts w:ascii="Times New Roman" w:hAnsi="Times New Roman" w:cs="Times New Roman"/>
          <w:color w:val="000000" w:themeColor="text1"/>
        </w:rPr>
        <w:t>R</w:t>
      </w:r>
      <w:r w:rsidR="00730643" w:rsidRPr="00BC7BB5">
        <w:rPr>
          <w:rFonts w:ascii="Times New Roman" w:hAnsi="Times New Roman" w:cs="Times New Roman"/>
          <w:color w:val="000000" w:themeColor="text1"/>
        </w:rPr>
        <w:fldChar w:fldCharType="begin"/>
      </w:r>
      <w:r w:rsidR="00730643" w:rsidRPr="00BC7BB5">
        <w:instrText xml:space="preserve"> XE "</w:instrText>
      </w:r>
      <w:r w:rsidR="00730643" w:rsidRPr="00BC7BB5">
        <w:rPr>
          <w:rFonts w:ascii="Times New Roman" w:hAnsi="Times New Roman" w:cs="Times New Roman"/>
          <w:color w:val="000000" w:themeColor="text1"/>
        </w:rPr>
        <w:instrText>P4R</w:instrText>
      </w:r>
      <w:r w:rsidR="00730643" w:rsidRPr="00BC7BB5">
        <w:instrText xml:space="preserve">" </w:instrText>
      </w:r>
      <w:r w:rsidR="00730643" w:rsidRPr="00BC7BB5">
        <w:rPr>
          <w:rFonts w:ascii="Times New Roman" w:hAnsi="Times New Roman" w:cs="Times New Roman"/>
          <w:color w:val="000000" w:themeColor="text1"/>
        </w:rPr>
        <w:fldChar w:fldCharType="end"/>
      </w:r>
      <w:r w:rsidRPr="00BC7BB5">
        <w:rPr>
          <w:rFonts w:ascii="Times New Roman" w:hAnsi="Times New Roman" w:cs="Times New Roman"/>
          <w:color w:val="000000" w:themeColor="text1"/>
        </w:rPr>
        <w:t>, the following considerations provided the basis for the definition of the Program</w:t>
      </w:r>
      <w:r w:rsidR="00A27CA2">
        <w:rPr>
          <w:rFonts w:ascii="Times New Roman" w:hAnsi="Times New Roman" w:cs="Times New Roman"/>
          <w:color w:val="000000" w:themeColor="text1"/>
        </w:rPr>
        <w:t>’s</w:t>
      </w:r>
      <w:r w:rsidRPr="00BC7BB5">
        <w:rPr>
          <w:rFonts w:ascii="Times New Roman" w:hAnsi="Times New Roman" w:cs="Times New Roman"/>
          <w:color w:val="000000" w:themeColor="text1"/>
        </w:rPr>
        <w:t xml:space="preserve"> scope and boundaries: </w:t>
      </w:r>
    </w:p>
    <w:p w14:paraId="2189B142" w14:textId="77777777" w:rsidR="00A02C09" w:rsidRPr="00BC7BB5" w:rsidRDefault="00A02C09" w:rsidP="00A02C09">
      <w:pPr>
        <w:spacing w:after="0" w:line="240" w:lineRule="auto"/>
        <w:ind w:left="1140"/>
        <w:jc w:val="both"/>
        <w:rPr>
          <w:rFonts w:ascii="Times New Roman" w:hAnsi="Times New Roman" w:cs="Times New Roman"/>
          <w:color w:val="000000" w:themeColor="text1"/>
        </w:rPr>
      </w:pPr>
    </w:p>
    <w:p w14:paraId="34590FC9" w14:textId="14AC95A7" w:rsidR="00A92648" w:rsidRPr="00BC7BB5" w:rsidRDefault="00E367CE" w:rsidP="00F561E8">
      <w:pPr>
        <w:pStyle w:val="ListParagraph"/>
        <w:numPr>
          <w:ilvl w:val="0"/>
          <w:numId w:val="21"/>
        </w:numPr>
        <w:spacing w:after="0" w:line="240" w:lineRule="auto"/>
        <w:ind w:left="1080"/>
        <w:jc w:val="both"/>
        <w:rPr>
          <w:rFonts w:ascii="Times New Roman" w:hAnsi="Times New Roman" w:cs="Times New Roman"/>
          <w:color w:val="000000" w:themeColor="text1"/>
        </w:rPr>
      </w:pPr>
      <w:r w:rsidRPr="00BC7BB5">
        <w:rPr>
          <w:rFonts w:ascii="Times New Roman" w:hAnsi="Times New Roman" w:cs="Times New Roman"/>
          <w:color w:val="000000" w:themeColor="text1"/>
        </w:rPr>
        <w:t xml:space="preserve">The Program would be aligned with the recommendations of the mid-term review of the PMV </w:t>
      </w:r>
      <w:r w:rsidR="00467456" w:rsidRPr="00BC7BB5">
        <w:rPr>
          <w:rFonts w:ascii="Times New Roman" w:hAnsi="Times New Roman" w:cs="Times New Roman"/>
          <w:color w:val="000000" w:themeColor="text1"/>
        </w:rPr>
        <w:t>for</w:t>
      </w:r>
      <w:r w:rsidRPr="00BC7BB5">
        <w:rPr>
          <w:rFonts w:ascii="Times New Roman" w:hAnsi="Times New Roman" w:cs="Times New Roman"/>
          <w:color w:val="000000" w:themeColor="text1"/>
        </w:rPr>
        <w:t xml:space="preserve"> greater emphasis on agri-food value-chains development. Substantial progress </w:t>
      </w:r>
      <w:r w:rsidR="00AA4986" w:rsidRPr="00BC7BB5">
        <w:rPr>
          <w:rFonts w:ascii="Times New Roman" w:hAnsi="Times New Roman" w:cs="Times New Roman"/>
          <w:color w:val="000000" w:themeColor="text1"/>
        </w:rPr>
        <w:t xml:space="preserve">has </w:t>
      </w:r>
      <w:r w:rsidRPr="00BC7BB5">
        <w:rPr>
          <w:rFonts w:ascii="Times New Roman" w:hAnsi="Times New Roman" w:cs="Times New Roman"/>
          <w:color w:val="000000" w:themeColor="text1"/>
        </w:rPr>
        <w:t>been made at farm level under the PMV, in terms of increasing production and productivity, whereas important bottlenecks remain to be addressed beyond the farm</w:t>
      </w:r>
      <w:r w:rsidR="00E03960">
        <w:rPr>
          <w:rFonts w:ascii="Times New Roman" w:hAnsi="Times New Roman" w:cs="Times New Roman"/>
          <w:color w:val="000000" w:themeColor="text1"/>
        </w:rPr>
        <w:t xml:space="preserve"> </w:t>
      </w:r>
      <w:r w:rsidRPr="00BC7BB5">
        <w:rPr>
          <w:rFonts w:ascii="Times New Roman" w:hAnsi="Times New Roman" w:cs="Times New Roman"/>
          <w:color w:val="000000" w:themeColor="text1"/>
        </w:rPr>
        <w:t xml:space="preserve">gate. The Program would support and help improve </w:t>
      </w:r>
      <w:r w:rsidR="001D76DA" w:rsidRPr="00BC7BB5">
        <w:rPr>
          <w:rFonts w:ascii="Times New Roman" w:hAnsi="Times New Roman" w:cs="Times New Roman"/>
          <w:color w:val="000000" w:themeColor="text1"/>
        </w:rPr>
        <w:t xml:space="preserve">the </w:t>
      </w:r>
      <w:r w:rsidRPr="00BC7BB5">
        <w:rPr>
          <w:rFonts w:ascii="Times New Roman" w:hAnsi="Times New Roman" w:cs="Times New Roman"/>
          <w:color w:val="000000" w:themeColor="text1"/>
        </w:rPr>
        <w:t>PMV’s interventions that address those bottlenecks</w:t>
      </w:r>
      <w:r w:rsidR="00777C0D" w:rsidRPr="00BC7BB5">
        <w:rPr>
          <w:rFonts w:ascii="Times New Roman" w:hAnsi="Times New Roman" w:cs="Times New Roman"/>
          <w:color w:val="000000" w:themeColor="text1"/>
        </w:rPr>
        <w:t>,</w:t>
      </w:r>
      <w:r w:rsidRPr="00BC7BB5">
        <w:rPr>
          <w:rFonts w:ascii="Times New Roman" w:hAnsi="Times New Roman" w:cs="Times New Roman"/>
          <w:color w:val="000000" w:themeColor="text1"/>
        </w:rPr>
        <w:t xml:space="preserve"> </w:t>
      </w:r>
      <w:r w:rsidR="00777C0D" w:rsidRPr="00BC7BB5">
        <w:rPr>
          <w:rFonts w:ascii="Times New Roman" w:hAnsi="Times New Roman" w:cs="Times New Roman"/>
          <w:color w:val="000000" w:themeColor="text1"/>
        </w:rPr>
        <w:t>so as</w:t>
      </w:r>
      <w:r w:rsidRPr="00BC7BB5">
        <w:rPr>
          <w:rFonts w:ascii="Times New Roman" w:hAnsi="Times New Roman" w:cs="Times New Roman"/>
          <w:color w:val="000000" w:themeColor="text1"/>
        </w:rPr>
        <w:t xml:space="preserve"> to create new market opportunities that will drive further investments in the sector</w:t>
      </w:r>
      <w:r w:rsidR="00467456" w:rsidRPr="00BC7BB5">
        <w:rPr>
          <w:rFonts w:ascii="Times New Roman" w:hAnsi="Times New Roman" w:cs="Times New Roman"/>
          <w:color w:val="000000" w:themeColor="text1"/>
        </w:rPr>
        <w:t>;</w:t>
      </w:r>
    </w:p>
    <w:p w14:paraId="6008A722" w14:textId="272B954A" w:rsidR="00E367CE" w:rsidRPr="00BC7BB5" w:rsidRDefault="00A92648" w:rsidP="00F561E8">
      <w:pPr>
        <w:pStyle w:val="ListParagraph"/>
        <w:numPr>
          <w:ilvl w:val="0"/>
          <w:numId w:val="21"/>
        </w:numPr>
        <w:spacing w:after="0" w:line="240" w:lineRule="auto"/>
        <w:ind w:left="1080"/>
        <w:jc w:val="both"/>
        <w:rPr>
          <w:rFonts w:ascii="Times New Roman" w:hAnsi="Times New Roman" w:cs="Times New Roman"/>
          <w:color w:val="000000" w:themeColor="text1"/>
        </w:rPr>
      </w:pPr>
      <w:r w:rsidRPr="00BC7BB5">
        <w:rPr>
          <w:rFonts w:ascii="Times New Roman" w:hAnsi="Times New Roman" w:cs="Times New Roman"/>
          <w:color w:val="000000" w:themeColor="text1"/>
        </w:rPr>
        <w:t xml:space="preserve">The Program would apply the principles of </w:t>
      </w:r>
      <w:r w:rsidR="003C6149" w:rsidRPr="00BC7BB5">
        <w:rPr>
          <w:rFonts w:ascii="Times New Roman" w:hAnsi="Times New Roman" w:cs="Times New Roman"/>
          <w:color w:val="000000" w:themeColor="text1"/>
        </w:rPr>
        <w:t>maximizing finance for development</w:t>
      </w:r>
      <w:r w:rsidR="00E03960">
        <w:rPr>
          <w:rFonts w:ascii="Times New Roman" w:hAnsi="Times New Roman" w:cs="Times New Roman"/>
          <w:color w:val="000000" w:themeColor="text1"/>
        </w:rPr>
        <w:t>/</w:t>
      </w:r>
      <w:r w:rsidR="005002BE">
        <w:rPr>
          <w:rFonts w:ascii="Times New Roman" w:hAnsi="Times New Roman" w:cs="Times New Roman"/>
          <w:color w:val="000000" w:themeColor="text1"/>
        </w:rPr>
        <w:t>“</w:t>
      </w:r>
      <w:r w:rsidR="00E03960">
        <w:rPr>
          <w:rFonts w:ascii="Times New Roman" w:hAnsi="Times New Roman" w:cs="Times New Roman"/>
          <w:color w:val="000000" w:themeColor="text1"/>
        </w:rPr>
        <w:t>cascade” approach</w:t>
      </w:r>
      <w:r w:rsidRPr="00BC7BB5">
        <w:rPr>
          <w:rFonts w:ascii="Times New Roman" w:hAnsi="Times New Roman" w:cs="Times New Roman"/>
          <w:color w:val="000000" w:themeColor="text1"/>
        </w:rPr>
        <w:t xml:space="preserve"> and seek to maximize private sector investments in the agri-food sector by improving selected regulations, instruments and pr</w:t>
      </w:r>
      <w:r w:rsidR="009F0194" w:rsidRPr="00BC7BB5">
        <w:rPr>
          <w:rFonts w:ascii="Times New Roman" w:hAnsi="Times New Roman" w:cs="Times New Roman"/>
          <w:color w:val="000000" w:themeColor="text1"/>
        </w:rPr>
        <w:t xml:space="preserve">ograms impacting private investments </w:t>
      </w:r>
      <w:r w:rsidRPr="00BC7BB5">
        <w:rPr>
          <w:rFonts w:ascii="Times New Roman" w:hAnsi="Times New Roman" w:cs="Times New Roman"/>
          <w:color w:val="000000" w:themeColor="text1"/>
        </w:rPr>
        <w:t xml:space="preserve">in the </w:t>
      </w:r>
      <w:r w:rsidR="001D76DA" w:rsidRPr="00BC7BB5">
        <w:rPr>
          <w:rFonts w:ascii="Times New Roman" w:hAnsi="Times New Roman" w:cs="Times New Roman"/>
          <w:color w:val="000000" w:themeColor="text1"/>
        </w:rPr>
        <w:t xml:space="preserve">agri-food </w:t>
      </w:r>
      <w:r w:rsidRPr="00BC7BB5">
        <w:rPr>
          <w:rFonts w:ascii="Times New Roman" w:hAnsi="Times New Roman" w:cs="Times New Roman"/>
          <w:color w:val="000000" w:themeColor="text1"/>
        </w:rPr>
        <w:t>sector;</w:t>
      </w:r>
      <w:r w:rsidR="00E367CE" w:rsidRPr="00BC7BB5">
        <w:rPr>
          <w:rFonts w:ascii="Times New Roman" w:hAnsi="Times New Roman" w:cs="Times New Roman"/>
          <w:color w:val="000000" w:themeColor="text1"/>
        </w:rPr>
        <w:t xml:space="preserve"> </w:t>
      </w:r>
    </w:p>
    <w:p w14:paraId="47009EEA" w14:textId="634EA18E" w:rsidR="00E367CE" w:rsidRPr="00BC7BB5" w:rsidRDefault="00E367CE" w:rsidP="00F561E8">
      <w:pPr>
        <w:pStyle w:val="ListParagraph"/>
        <w:numPr>
          <w:ilvl w:val="0"/>
          <w:numId w:val="21"/>
        </w:numPr>
        <w:spacing w:after="0" w:line="240" w:lineRule="auto"/>
        <w:ind w:left="1080"/>
        <w:jc w:val="both"/>
        <w:rPr>
          <w:rFonts w:ascii="Times New Roman" w:hAnsi="Times New Roman" w:cs="Times New Roman"/>
          <w:color w:val="000000" w:themeColor="text1"/>
        </w:rPr>
      </w:pPr>
      <w:r w:rsidRPr="00BC7BB5">
        <w:rPr>
          <w:rFonts w:ascii="Times New Roman" w:hAnsi="Times New Roman" w:cs="Times New Roman"/>
          <w:color w:val="000000" w:themeColor="text1"/>
        </w:rPr>
        <w:t>The Program would selectively support interventions that have the potential to accelerate the broader transformation of the agri-food sector towards greater added-value</w:t>
      </w:r>
      <w:r w:rsidR="00777C0D" w:rsidRPr="00BC7BB5">
        <w:rPr>
          <w:rFonts w:ascii="Times New Roman" w:hAnsi="Times New Roman" w:cs="Times New Roman"/>
          <w:color w:val="000000" w:themeColor="text1"/>
        </w:rPr>
        <w:t xml:space="preserve"> and</w:t>
      </w:r>
      <w:r w:rsidRPr="00BC7BB5">
        <w:rPr>
          <w:rFonts w:ascii="Times New Roman" w:hAnsi="Times New Roman" w:cs="Times New Roman"/>
          <w:color w:val="000000" w:themeColor="text1"/>
        </w:rPr>
        <w:t xml:space="preserve"> inclusion</w:t>
      </w:r>
      <w:r w:rsidR="00777C0D" w:rsidRPr="00BC7BB5">
        <w:rPr>
          <w:rFonts w:ascii="Times New Roman" w:hAnsi="Times New Roman" w:cs="Times New Roman"/>
          <w:color w:val="000000" w:themeColor="text1"/>
        </w:rPr>
        <w:t xml:space="preserve"> of </w:t>
      </w:r>
      <w:r w:rsidR="00777C0D" w:rsidRPr="00BC7BB5">
        <w:rPr>
          <w:rFonts w:ascii="Times New Roman" w:hAnsi="Times New Roman" w:cs="Times New Roman"/>
          <w:color w:val="000000" w:themeColor="text1"/>
        </w:rPr>
        <w:lastRenderedPageBreak/>
        <w:t>small and medium producers with markets</w:t>
      </w:r>
      <w:r w:rsidRPr="00BC7BB5">
        <w:rPr>
          <w:rFonts w:ascii="Times New Roman" w:hAnsi="Times New Roman" w:cs="Times New Roman"/>
          <w:color w:val="000000" w:themeColor="text1"/>
        </w:rPr>
        <w:t xml:space="preserve"> (such as the reform of wholesale markets; the use of </w:t>
      </w:r>
      <w:r w:rsidR="009914C2">
        <w:rPr>
          <w:rFonts w:ascii="Times New Roman" w:hAnsi="Times New Roman" w:cs="Times New Roman"/>
          <w:color w:val="000000" w:themeColor="text1"/>
        </w:rPr>
        <w:t>i</w:t>
      </w:r>
      <w:r w:rsidR="00292FEA" w:rsidRPr="00292FEA">
        <w:rPr>
          <w:rFonts w:ascii="Times New Roman" w:hAnsi="Times New Roman" w:cs="Times New Roman"/>
          <w:color w:val="000000" w:themeColor="text1"/>
        </w:rPr>
        <w:t xml:space="preserve">nformation </w:t>
      </w:r>
      <w:r w:rsidR="009914C2">
        <w:rPr>
          <w:rFonts w:ascii="Times New Roman" w:hAnsi="Times New Roman" w:cs="Times New Roman"/>
          <w:color w:val="000000" w:themeColor="text1"/>
        </w:rPr>
        <w:t>and</w:t>
      </w:r>
      <w:r w:rsidR="009914C2" w:rsidRPr="00292FEA">
        <w:rPr>
          <w:rFonts w:ascii="Times New Roman" w:hAnsi="Times New Roman" w:cs="Times New Roman"/>
          <w:color w:val="000000" w:themeColor="text1"/>
        </w:rPr>
        <w:t xml:space="preserve"> </w:t>
      </w:r>
      <w:r w:rsidR="009914C2">
        <w:rPr>
          <w:rFonts w:ascii="Times New Roman" w:hAnsi="Times New Roman" w:cs="Times New Roman"/>
          <w:color w:val="000000" w:themeColor="text1"/>
        </w:rPr>
        <w:t>c</w:t>
      </w:r>
      <w:r w:rsidR="00292FEA" w:rsidRPr="00292FEA">
        <w:rPr>
          <w:rFonts w:ascii="Times New Roman" w:hAnsi="Times New Roman" w:cs="Times New Roman"/>
          <w:color w:val="000000" w:themeColor="text1"/>
        </w:rPr>
        <w:t xml:space="preserve">ommunications </w:t>
      </w:r>
      <w:r w:rsidR="009914C2">
        <w:rPr>
          <w:rFonts w:ascii="Times New Roman" w:hAnsi="Times New Roman" w:cs="Times New Roman"/>
          <w:color w:val="000000" w:themeColor="text1"/>
        </w:rPr>
        <w:t>t</w:t>
      </w:r>
      <w:r w:rsidR="00292FEA" w:rsidRPr="00292FEA">
        <w:rPr>
          <w:rFonts w:ascii="Times New Roman" w:hAnsi="Times New Roman" w:cs="Times New Roman"/>
          <w:color w:val="000000" w:themeColor="text1"/>
        </w:rPr>
        <w:t>echnologie</w:t>
      </w:r>
      <w:r w:rsidR="00292FEA">
        <w:rPr>
          <w:rFonts w:ascii="Times New Roman" w:hAnsi="Times New Roman" w:cs="Times New Roman"/>
          <w:color w:val="000000" w:themeColor="text1"/>
        </w:rPr>
        <w:t>s</w:t>
      </w:r>
      <w:r w:rsidR="00292FEA" w:rsidRPr="00292FEA">
        <w:rPr>
          <w:rFonts w:ascii="Times New Roman" w:hAnsi="Times New Roman" w:cs="Times New Roman"/>
          <w:color w:val="000000" w:themeColor="text1"/>
        </w:rPr>
        <w:t xml:space="preserve"> </w:t>
      </w:r>
      <w:r w:rsidR="00292FEA">
        <w:rPr>
          <w:rFonts w:ascii="Times New Roman" w:hAnsi="Times New Roman" w:cs="Times New Roman"/>
          <w:color w:val="000000" w:themeColor="text1"/>
        </w:rPr>
        <w:t>(</w:t>
      </w:r>
      <w:r w:rsidRPr="00BC7BB5">
        <w:rPr>
          <w:rFonts w:ascii="Times New Roman" w:hAnsi="Times New Roman" w:cs="Times New Roman"/>
          <w:color w:val="000000" w:themeColor="text1"/>
        </w:rPr>
        <w:t>ICT</w:t>
      </w:r>
      <w:r w:rsidR="00292FEA">
        <w:rPr>
          <w:rFonts w:ascii="Times New Roman" w:hAnsi="Times New Roman" w:cs="Times New Roman"/>
          <w:color w:val="000000" w:themeColor="text1"/>
        </w:rPr>
        <w:t>)</w:t>
      </w:r>
      <w:r w:rsidR="00730643" w:rsidRPr="00BC7BB5">
        <w:rPr>
          <w:rFonts w:ascii="Times New Roman" w:hAnsi="Times New Roman" w:cs="Times New Roman"/>
          <w:color w:val="000000" w:themeColor="text1"/>
        </w:rPr>
        <w:fldChar w:fldCharType="begin"/>
      </w:r>
      <w:r w:rsidR="00730643" w:rsidRPr="00BC7BB5">
        <w:instrText xml:space="preserve"> XE "</w:instrText>
      </w:r>
      <w:r w:rsidR="00730643" w:rsidRPr="00BC7BB5">
        <w:rPr>
          <w:rFonts w:ascii="Times New Roman" w:hAnsi="Times New Roman" w:cs="Times New Roman"/>
          <w:color w:val="000000" w:themeColor="text1"/>
        </w:rPr>
        <w:instrText>ICT</w:instrText>
      </w:r>
      <w:r w:rsidR="00730643" w:rsidRPr="00BC7BB5">
        <w:instrText xml:space="preserve">" </w:instrText>
      </w:r>
      <w:r w:rsidR="00730643" w:rsidRPr="00BC7BB5">
        <w:rPr>
          <w:rFonts w:ascii="Times New Roman" w:hAnsi="Times New Roman" w:cs="Times New Roman"/>
          <w:color w:val="000000" w:themeColor="text1"/>
        </w:rPr>
        <w:fldChar w:fldCharType="end"/>
      </w:r>
      <w:r w:rsidRPr="00BC7BB5">
        <w:rPr>
          <w:rFonts w:ascii="Times New Roman" w:hAnsi="Times New Roman" w:cs="Times New Roman"/>
          <w:color w:val="000000" w:themeColor="text1"/>
        </w:rPr>
        <w:t xml:space="preserve"> for producers’ access to information; the promotion of commercial partnerships between </w:t>
      </w:r>
      <w:r w:rsidR="00777C0D" w:rsidRPr="00BC7BB5">
        <w:rPr>
          <w:rFonts w:ascii="Times New Roman" w:hAnsi="Times New Roman" w:cs="Times New Roman"/>
          <w:color w:val="000000" w:themeColor="text1"/>
        </w:rPr>
        <w:t xml:space="preserve">small </w:t>
      </w:r>
      <w:r w:rsidRPr="00BC7BB5">
        <w:rPr>
          <w:rFonts w:ascii="Times New Roman" w:hAnsi="Times New Roman" w:cs="Times New Roman"/>
          <w:color w:val="000000" w:themeColor="text1"/>
        </w:rPr>
        <w:t>producers and buyers;</w:t>
      </w:r>
      <w:r w:rsidR="00746EAA">
        <w:rPr>
          <w:rFonts w:ascii="Times New Roman" w:hAnsi="Times New Roman" w:cs="Times New Roman"/>
          <w:color w:val="000000" w:themeColor="text1"/>
        </w:rPr>
        <w:t xml:space="preserve"> and</w:t>
      </w:r>
      <w:r w:rsidRPr="00BC7BB5">
        <w:rPr>
          <w:rFonts w:ascii="Times New Roman" w:hAnsi="Times New Roman" w:cs="Times New Roman"/>
          <w:color w:val="000000" w:themeColor="text1"/>
        </w:rPr>
        <w:t xml:space="preserve"> strengthening the ecosystem fo</w:t>
      </w:r>
      <w:r w:rsidR="00746EAA">
        <w:rPr>
          <w:rFonts w:ascii="Times New Roman" w:hAnsi="Times New Roman" w:cs="Times New Roman"/>
          <w:color w:val="000000" w:themeColor="text1"/>
        </w:rPr>
        <w:t>r agribusiness development</w:t>
      </w:r>
      <w:r w:rsidRPr="00BC7BB5">
        <w:rPr>
          <w:rFonts w:ascii="Times New Roman" w:hAnsi="Times New Roman" w:cs="Times New Roman"/>
          <w:color w:val="000000" w:themeColor="text1"/>
        </w:rPr>
        <w:t>)</w:t>
      </w:r>
      <w:r w:rsidR="00467456" w:rsidRPr="00BC7BB5">
        <w:rPr>
          <w:rFonts w:ascii="Times New Roman" w:hAnsi="Times New Roman" w:cs="Times New Roman"/>
          <w:color w:val="000000" w:themeColor="text1"/>
        </w:rPr>
        <w:t>;</w:t>
      </w:r>
    </w:p>
    <w:p w14:paraId="7DDD4F7F" w14:textId="6423D948" w:rsidR="00E367CE" w:rsidRPr="00BC7BB5" w:rsidRDefault="00E367CE" w:rsidP="00F561E8">
      <w:pPr>
        <w:pStyle w:val="ListParagraph"/>
        <w:numPr>
          <w:ilvl w:val="0"/>
          <w:numId w:val="21"/>
        </w:numPr>
        <w:spacing w:after="0" w:line="240" w:lineRule="auto"/>
        <w:ind w:left="1080"/>
        <w:jc w:val="both"/>
        <w:rPr>
          <w:rFonts w:ascii="Times New Roman" w:hAnsi="Times New Roman" w:cs="Times New Roman"/>
          <w:color w:val="000000" w:themeColor="text1"/>
        </w:rPr>
      </w:pPr>
      <w:r w:rsidRPr="00BC7BB5">
        <w:rPr>
          <w:rFonts w:ascii="Times New Roman" w:hAnsi="Times New Roman" w:cs="Times New Roman"/>
          <w:color w:val="000000" w:themeColor="text1"/>
        </w:rPr>
        <w:t xml:space="preserve">Program interventions would be focused on key areas of the </w:t>
      </w:r>
      <w:r w:rsidR="00467456" w:rsidRPr="00BC7BB5">
        <w:rPr>
          <w:rFonts w:ascii="Times New Roman" w:hAnsi="Times New Roman" w:cs="Times New Roman"/>
          <w:color w:val="000000" w:themeColor="text1"/>
        </w:rPr>
        <w:t>Government</w:t>
      </w:r>
      <w:r w:rsidR="0067574D" w:rsidRPr="00BC7BB5">
        <w:rPr>
          <w:rFonts w:ascii="Times New Roman" w:hAnsi="Times New Roman" w:cs="Times New Roman"/>
          <w:color w:val="000000" w:themeColor="text1"/>
        </w:rPr>
        <w:t>’s</w:t>
      </w:r>
      <w:r w:rsidR="00467456" w:rsidRPr="00BC7BB5">
        <w:rPr>
          <w:rFonts w:ascii="Times New Roman" w:hAnsi="Times New Roman" w:cs="Times New Roman"/>
          <w:color w:val="000000" w:themeColor="text1"/>
        </w:rPr>
        <w:t xml:space="preserve"> </w:t>
      </w:r>
      <w:r w:rsidRPr="00BC7BB5">
        <w:rPr>
          <w:rFonts w:ascii="Times New Roman" w:hAnsi="Times New Roman" w:cs="Times New Roman"/>
          <w:color w:val="000000" w:themeColor="text1"/>
        </w:rPr>
        <w:t xml:space="preserve">program where the Bank’s international experience </w:t>
      </w:r>
      <w:r w:rsidR="00331FE8" w:rsidRPr="00BC7BB5">
        <w:rPr>
          <w:rFonts w:ascii="Times New Roman" w:hAnsi="Times New Roman" w:cs="Times New Roman"/>
          <w:color w:val="000000" w:themeColor="text1"/>
        </w:rPr>
        <w:t>can be brought in to</w:t>
      </w:r>
      <w:r w:rsidRPr="00BC7BB5">
        <w:rPr>
          <w:rFonts w:ascii="Times New Roman" w:hAnsi="Times New Roman" w:cs="Times New Roman"/>
          <w:color w:val="000000" w:themeColor="text1"/>
        </w:rPr>
        <w:t xml:space="preserve"> improve existing instruments and continue the reform efforts supported under the </w:t>
      </w:r>
      <w:r w:rsidR="009914C2">
        <w:rPr>
          <w:rFonts w:ascii="Times New Roman" w:hAnsi="Times New Roman" w:cs="Times New Roman"/>
          <w:color w:val="000000" w:themeColor="text1"/>
        </w:rPr>
        <w:t>earlier</w:t>
      </w:r>
      <w:r w:rsidR="009914C2" w:rsidRPr="00BC7BB5">
        <w:rPr>
          <w:rFonts w:ascii="Times New Roman" w:hAnsi="Times New Roman" w:cs="Times New Roman"/>
          <w:color w:val="000000" w:themeColor="text1"/>
        </w:rPr>
        <w:t xml:space="preserve"> </w:t>
      </w:r>
      <w:r w:rsidRPr="00BC7BB5">
        <w:rPr>
          <w:rFonts w:ascii="Times New Roman" w:hAnsi="Times New Roman" w:cs="Times New Roman"/>
          <w:color w:val="000000" w:themeColor="text1"/>
        </w:rPr>
        <w:t>DPL</w:t>
      </w:r>
      <w:r w:rsidR="00730643" w:rsidRPr="00BC7BB5">
        <w:rPr>
          <w:rFonts w:ascii="Times New Roman" w:hAnsi="Times New Roman" w:cs="Times New Roman"/>
          <w:color w:val="000000" w:themeColor="text1"/>
        </w:rPr>
        <w:fldChar w:fldCharType="begin"/>
      </w:r>
      <w:r w:rsidR="00730643" w:rsidRPr="00BC7BB5">
        <w:instrText xml:space="preserve"> XE "</w:instrText>
      </w:r>
      <w:r w:rsidR="00730643" w:rsidRPr="00BC7BB5">
        <w:rPr>
          <w:rFonts w:ascii="Times New Roman" w:hAnsi="Times New Roman" w:cs="Times New Roman"/>
          <w:color w:val="000000" w:themeColor="text1"/>
        </w:rPr>
        <w:instrText>DPL</w:instrText>
      </w:r>
      <w:r w:rsidR="00730643" w:rsidRPr="00BC7BB5">
        <w:instrText xml:space="preserve">" </w:instrText>
      </w:r>
      <w:r w:rsidR="00730643" w:rsidRPr="00BC7BB5">
        <w:rPr>
          <w:rFonts w:ascii="Times New Roman" w:hAnsi="Times New Roman" w:cs="Times New Roman"/>
          <w:color w:val="000000" w:themeColor="text1"/>
        </w:rPr>
        <w:fldChar w:fldCharType="end"/>
      </w:r>
      <w:r w:rsidRPr="00BC7BB5">
        <w:rPr>
          <w:rFonts w:ascii="Times New Roman" w:hAnsi="Times New Roman" w:cs="Times New Roman"/>
          <w:color w:val="000000" w:themeColor="text1"/>
        </w:rPr>
        <w:t xml:space="preserve"> series</w:t>
      </w:r>
      <w:r w:rsidR="00F8368C" w:rsidRPr="00BC7BB5">
        <w:rPr>
          <w:rFonts w:ascii="Times New Roman" w:hAnsi="Times New Roman" w:cs="Times New Roman"/>
          <w:color w:val="000000" w:themeColor="text1"/>
        </w:rPr>
        <w:t>;</w:t>
      </w:r>
    </w:p>
    <w:p w14:paraId="2E3FA8D5" w14:textId="4E5394F1" w:rsidR="00E367CE" w:rsidRPr="00BC7BB5" w:rsidRDefault="00E367CE" w:rsidP="00F561E8">
      <w:pPr>
        <w:pStyle w:val="ListParagraph"/>
        <w:numPr>
          <w:ilvl w:val="0"/>
          <w:numId w:val="21"/>
        </w:numPr>
        <w:spacing w:after="0" w:line="240" w:lineRule="auto"/>
        <w:ind w:left="1080"/>
        <w:jc w:val="both"/>
        <w:rPr>
          <w:rFonts w:ascii="Times New Roman" w:hAnsi="Times New Roman" w:cs="Times New Roman"/>
          <w:color w:val="000000" w:themeColor="text1"/>
        </w:rPr>
      </w:pPr>
      <w:r w:rsidRPr="00BC7BB5">
        <w:rPr>
          <w:rFonts w:ascii="Times New Roman" w:hAnsi="Times New Roman" w:cs="Times New Roman"/>
          <w:color w:val="000000" w:themeColor="text1"/>
        </w:rPr>
        <w:t>The Program would serve as a leverage to facilitate multi-stakeholder dialogue and reforms. The design of the Program recognizes that it can provide a platform to facilitate dialogue and accelerate the implementation of reforms in areas that require good intra-governmental coordination as well as public-private partnerships (such as the wholesale market reforms,</w:t>
      </w:r>
      <w:r w:rsidR="00F8368C" w:rsidRPr="00BC7BB5">
        <w:rPr>
          <w:rFonts w:ascii="Times New Roman" w:hAnsi="Times New Roman" w:cs="Times New Roman"/>
          <w:color w:val="000000" w:themeColor="text1"/>
        </w:rPr>
        <w:t xml:space="preserve"> </w:t>
      </w:r>
      <w:r w:rsidRPr="00BC7BB5">
        <w:rPr>
          <w:rFonts w:ascii="Times New Roman" w:hAnsi="Times New Roman" w:cs="Times New Roman"/>
          <w:color w:val="000000" w:themeColor="text1"/>
        </w:rPr>
        <w:t>the implemen</w:t>
      </w:r>
      <w:r w:rsidR="001D76DA" w:rsidRPr="00BC7BB5">
        <w:rPr>
          <w:rFonts w:ascii="Times New Roman" w:hAnsi="Times New Roman" w:cs="Times New Roman"/>
          <w:color w:val="000000" w:themeColor="text1"/>
        </w:rPr>
        <w:t>tation of the food safety law</w:t>
      </w:r>
      <w:r w:rsidR="009F0194" w:rsidRPr="00BC7BB5">
        <w:rPr>
          <w:rFonts w:ascii="Times New Roman" w:hAnsi="Times New Roman" w:cs="Times New Roman"/>
          <w:color w:val="000000" w:themeColor="text1"/>
        </w:rPr>
        <w:t xml:space="preserve"> and</w:t>
      </w:r>
      <w:r w:rsidRPr="00BC7BB5">
        <w:rPr>
          <w:rFonts w:ascii="Times New Roman" w:hAnsi="Times New Roman" w:cs="Times New Roman"/>
          <w:color w:val="000000" w:themeColor="text1"/>
        </w:rPr>
        <w:t xml:space="preserve"> the </w:t>
      </w:r>
      <w:r w:rsidR="00C35567">
        <w:rPr>
          <w:rFonts w:ascii="Times New Roman" w:hAnsi="Times New Roman" w:cs="Times New Roman"/>
          <w:color w:val="000000" w:themeColor="text1"/>
        </w:rPr>
        <w:t>strengthening of the recently</w:t>
      </w:r>
      <w:r w:rsidR="009914C2">
        <w:rPr>
          <w:rFonts w:ascii="Times New Roman" w:hAnsi="Times New Roman" w:cs="Times New Roman"/>
          <w:color w:val="000000" w:themeColor="text1"/>
        </w:rPr>
        <w:t xml:space="preserve"> </w:t>
      </w:r>
      <w:r w:rsidR="00C35567">
        <w:rPr>
          <w:rFonts w:ascii="Times New Roman" w:hAnsi="Times New Roman" w:cs="Times New Roman"/>
          <w:color w:val="000000" w:themeColor="text1"/>
        </w:rPr>
        <w:t>recognize</w:t>
      </w:r>
      <w:r w:rsidRPr="00BC7BB5">
        <w:rPr>
          <w:rFonts w:ascii="Times New Roman" w:hAnsi="Times New Roman" w:cs="Times New Roman"/>
          <w:color w:val="000000" w:themeColor="text1"/>
        </w:rPr>
        <w:t>d interprofessions)</w:t>
      </w:r>
      <w:r w:rsidR="00F95F91" w:rsidRPr="00BC7BB5">
        <w:rPr>
          <w:rFonts w:ascii="Times New Roman" w:hAnsi="Times New Roman" w:cs="Times New Roman"/>
          <w:color w:val="000000" w:themeColor="text1"/>
        </w:rPr>
        <w:t>;</w:t>
      </w:r>
      <w:r w:rsidRPr="00BC7BB5">
        <w:rPr>
          <w:rFonts w:ascii="Times New Roman" w:hAnsi="Times New Roman" w:cs="Times New Roman"/>
          <w:color w:val="000000" w:themeColor="text1"/>
        </w:rPr>
        <w:t xml:space="preserve"> </w:t>
      </w:r>
      <w:r w:rsidR="00F95F91" w:rsidRPr="00BC7BB5">
        <w:rPr>
          <w:rFonts w:ascii="Times New Roman" w:hAnsi="Times New Roman" w:cs="Times New Roman"/>
          <w:color w:val="000000" w:themeColor="text1"/>
        </w:rPr>
        <w:t>and</w:t>
      </w:r>
    </w:p>
    <w:p w14:paraId="6BB7DC8D" w14:textId="26C51DEF" w:rsidR="00F95F91" w:rsidRPr="00BC7BB5" w:rsidRDefault="00E367CE" w:rsidP="00F561E8">
      <w:pPr>
        <w:pStyle w:val="ListParagraph"/>
        <w:numPr>
          <w:ilvl w:val="0"/>
          <w:numId w:val="21"/>
        </w:numPr>
        <w:spacing w:after="0" w:line="240" w:lineRule="auto"/>
        <w:ind w:left="1080"/>
        <w:jc w:val="both"/>
        <w:rPr>
          <w:rFonts w:ascii="Times New Roman" w:hAnsi="Times New Roman" w:cs="Times New Roman"/>
          <w:color w:val="000000" w:themeColor="text1"/>
        </w:rPr>
      </w:pPr>
      <w:r w:rsidRPr="00BC7BB5">
        <w:rPr>
          <w:rFonts w:ascii="Times New Roman" w:hAnsi="Times New Roman" w:cs="Times New Roman"/>
          <w:color w:val="000000" w:themeColor="text1"/>
        </w:rPr>
        <w:t>Transversal measures would be complemented by support to selected value-chains. Considering the breadth of the Government program both with regards to transversal reforms and investm</w:t>
      </w:r>
      <w:r w:rsidR="003D3A66" w:rsidRPr="00BC7BB5">
        <w:rPr>
          <w:rFonts w:ascii="Times New Roman" w:hAnsi="Times New Roman" w:cs="Times New Roman"/>
          <w:color w:val="000000" w:themeColor="text1"/>
        </w:rPr>
        <w:t xml:space="preserve">ent support, </w:t>
      </w:r>
      <w:r w:rsidRPr="00BC7BB5">
        <w:rPr>
          <w:rFonts w:ascii="Times New Roman" w:hAnsi="Times New Roman" w:cs="Times New Roman"/>
          <w:color w:val="000000" w:themeColor="text1"/>
        </w:rPr>
        <w:t xml:space="preserve">Program support for increased </w:t>
      </w:r>
      <w:r w:rsidR="00777C0D" w:rsidRPr="00BC7BB5">
        <w:rPr>
          <w:rFonts w:ascii="Times New Roman" w:hAnsi="Times New Roman" w:cs="Times New Roman"/>
          <w:color w:val="000000" w:themeColor="text1"/>
        </w:rPr>
        <w:t xml:space="preserve">value-chain integration </w:t>
      </w:r>
      <w:r w:rsidRPr="00BC7BB5">
        <w:rPr>
          <w:rFonts w:ascii="Times New Roman" w:hAnsi="Times New Roman" w:cs="Times New Roman"/>
          <w:color w:val="000000" w:themeColor="text1"/>
        </w:rPr>
        <w:t xml:space="preserve">and investments at value-chain level would </w:t>
      </w:r>
      <w:r w:rsidR="009F0194" w:rsidRPr="00BC7BB5">
        <w:rPr>
          <w:rFonts w:ascii="Times New Roman" w:hAnsi="Times New Roman" w:cs="Times New Roman"/>
          <w:color w:val="000000" w:themeColor="text1"/>
        </w:rPr>
        <w:t>focus on</w:t>
      </w:r>
      <w:r w:rsidRPr="00BC7BB5">
        <w:rPr>
          <w:rFonts w:ascii="Times New Roman" w:hAnsi="Times New Roman" w:cs="Times New Roman"/>
          <w:color w:val="000000" w:themeColor="text1"/>
        </w:rPr>
        <w:t xml:space="preserve"> two high priority sub-sectors (olive and citrus) under the PMV</w:t>
      </w:r>
      <w:r w:rsidR="00F8368C" w:rsidRPr="00BC7BB5">
        <w:rPr>
          <w:rFonts w:ascii="Times New Roman" w:hAnsi="Times New Roman" w:cs="Times New Roman"/>
          <w:color w:val="000000" w:themeColor="text1"/>
        </w:rPr>
        <w:t>,</w:t>
      </w:r>
      <w:r w:rsidRPr="00BC7BB5">
        <w:rPr>
          <w:rFonts w:ascii="Times New Roman" w:hAnsi="Times New Roman" w:cs="Times New Roman"/>
          <w:color w:val="000000" w:themeColor="text1"/>
        </w:rPr>
        <w:t xml:space="preserve"> with the understanding that success in those two sectors </w:t>
      </w:r>
      <w:r w:rsidR="00F8368C" w:rsidRPr="00BC7BB5">
        <w:rPr>
          <w:rFonts w:ascii="Times New Roman" w:hAnsi="Times New Roman" w:cs="Times New Roman"/>
          <w:color w:val="000000" w:themeColor="text1"/>
        </w:rPr>
        <w:t>c</w:t>
      </w:r>
      <w:r w:rsidRPr="00BC7BB5">
        <w:rPr>
          <w:rFonts w:ascii="Times New Roman" w:hAnsi="Times New Roman" w:cs="Times New Roman"/>
          <w:color w:val="000000" w:themeColor="text1"/>
        </w:rPr>
        <w:t>ould subsequently serve as a b</w:t>
      </w:r>
      <w:r w:rsidR="009F0194" w:rsidRPr="00BC7BB5">
        <w:rPr>
          <w:rFonts w:ascii="Times New Roman" w:hAnsi="Times New Roman" w:cs="Times New Roman"/>
          <w:color w:val="000000" w:themeColor="text1"/>
        </w:rPr>
        <w:t>lueprint for other sub-sectors</w:t>
      </w:r>
      <w:r w:rsidR="00F95F91" w:rsidRPr="00BC7BB5">
        <w:rPr>
          <w:rFonts w:ascii="Times New Roman" w:hAnsi="Times New Roman" w:cs="Times New Roman"/>
          <w:color w:val="000000" w:themeColor="text1"/>
        </w:rPr>
        <w:t>.</w:t>
      </w:r>
    </w:p>
    <w:p w14:paraId="5C7594B3" w14:textId="77777777" w:rsidR="00A02C09" w:rsidRPr="00BC7BB5" w:rsidRDefault="00A02C09" w:rsidP="00465C04">
      <w:pPr>
        <w:pStyle w:val="NoSpacing"/>
        <w:ind w:left="420"/>
        <w:jc w:val="both"/>
        <w:rPr>
          <w:rFonts w:ascii="Times New Roman" w:hAnsi="Times New Roman" w:cs="Times New Roman"/>
        </w:rPr>
      </w:pPr>
    </w:p>
    <w:p w14:paraId="542A1F8D" w14:textId="0BC67315" w:rsidR="00465C04" w:rsidRPr="00BC7BB5" w:rsidRDefault="00465C04" w:rsidP="00B35A06">
      <w:pPr>
        <w:pStyle w:val="NoSpacing"/>
        <w:numPr>
          <w:ilvl w:val="0"/>
          <w:numId w:val="7"/>
        </w:numPr>
        <w:ind w:left="0" w:firstLine="0"/>
        <w:jc w:val="both"/>
        <w:rPr>
          <w:rFonts w:ascii="Times New Roman" w:hAnsi="Times New Roman" w:cs="Times New Roman"/>
        </w:rPr>
      </w:pPr>
      <w:r w:rsidRPr="00BC7BB5">
        <w:rPr>
          <w:rFonts w:ascii="Times New Roman" w:hAnsi="Times New Roman" w:cs="Times New Roman"/>
          <w:color w:val="000000" w:themeColor="text1"/>
        </w:rPr>
        <w:t>Table 1 below summarizes the content of the Government’s program</w:t>
      </w:r>
      <w:r w:rsidR="0067574D" w:rsidRPr="00BC7BB5">
        <w:rPr>
          <w:rFonts w:ascii="Times New Roman" w:hAnsi="Times New Roman" w:cs="Times New Roman"/>
          <w:color w:val="000000" w:themeColor="text1"/>
        </w:rPr>
        <w:t xml:space="preserve">, </w:t>
      </w:r>
      <w:r w:rsidR="009914C2">
        <w:rPr>
          <w:rFonts w:ascii="Times New Roman" w:hAnsi="Times New Roman" w:cs="Times New Roman"/>
          <w:color w:val="000000" w:themeColor="text1"/>
        </w:rPr>
        <w:t xml:space="preserve">key </w:t>
      </w:r>
      <w:r w:rsidR="0067574D" w:rsidRPr="00BC7BB5">
        <w:rPr>
          <w:rFonts w:ascii="Times New Roman" w:hAnsi="Times New Roman" w:cs="Times New Roman"/>
          <w:color w:val="000000" w:themeColor="text1"/>
        </w:rPr>
        <w:t>achievements to date</w:t>
      </w:r>
      <w:r w:rsidR="009914C2">
        <w:rPr>
          <w:rFonts w:ascii="Times New Roman" w:hAnsi="Times New Roman" w:cs="Times New Roman"/>
          <w:color w:val="000000" w:themeColor="text1"/>
        </w:rPr>
        <w:t>,</w:t>
      </w:r>
      <w:r w:rsidRPr="00BC7BB5">
        <w:rPr>
          <w:rFonts w:ascii="Times New Roman" w:hAnsi="Times New Roman" w:cs="Times New Roman"/>
          <w:color w:val="000000" w:themeColor="text1"/>
        </w:rPr>
        <w:t xml:space="preserve"> and the scope of the proposed Program.</w:t>
      </w:r>
      <w:r w:rsidR="001D76DA" w:rsidRPr="00BC7BB5">
        <w:rPr>
          <w:rFonts w:ascii="Times New Roman" w:hAnsi="Times New Roman" w:cs="Times New Roman"/>
          <w:color w:val="000000" w:themeColor="text1"/>
        </w:rPr>
        <w:t xml:space="preserve"> </w:t>
      </w:r>
      <w:r w:rsidR="00595533" w:rsidRPr="00BC7BB5">
        <w:rPr>
          <w:rFonts w:ascii="Times New Roman" w:hAnsi="Times New Roman" w:cs="Times New Roman"/>
          <w:color w:val="000000" w:themeColor="text1"/>
        </w:rPr>
        <w:t xml:space="preserve">The </w:t>
      </w:r>
      <w:r w:rsidR="001D76DA" w:rsidRPr="00BC7BB5">
        <w:rPr>
          <w:rFonts w:ascii="Times New Roman" w:hAnsi="Times New Roman" w:cs="Times New Roman"/>
          <w:color w:val="000000" w:themeColor="text1"/>
        </w:rPr>
        <w:t xml:space="preserve">Program </w:t>
      </w:r>
      <w:r w:rsidR="00595533" w:rsidRPr="00BC7BB5">
        <w:rPr>
          <w:rFonts w:ascii="Times New Roman" w:hAnsi="Times New Roman" w:cs="Times New Roman"/>
          <w:color w:val="000000" w:themeColor="text1"/>
        </w:rPr>
        <w:t xml:space="preserve">would support selected </w:t>
      </w:r>
      <w:r w:rsidR="001D76DA" w:rsidRPr="00BC7BB5">
        <w:rPr>
          <w:rFonts w:ascii="Times New Roman" w:hAnsi="Times New Roman" w:cs="Times New Roman"/>
          <w:color w:val="000000" w:themeColor="text1"/>
        </w:rPr>
        <w:t xml:space="preserve">activities </w:t>
      </w:r>
      <w:r w:rsidR="00595533" w:rsidRPr="00BC7BB5">
        <w:rPr>
          <w:rFonts w:ascii="Times New Roman" w:hAnsi="Times New Roman" w:cs="Times New Roman"/>
          <w:color w:val="000000" w:themeColor="text1"/>
        </w:rPr>
        <w:t>in</w:t>
      </w:r>
      <w:r w:rsidR="00650CDE" w:rsidRPr="00BC7BB5">
        <w:rPr>
          <w:rFonts w:ascii="Times New Roman" w:hAnsi="Times New Roman" w:cs="Times New Roman"/>
          <w:color w:val="000000" w:themeColor="text1"/>
        </w:rPr>
        <w:t xml:space="preserve"> four of the seven transversal sub-programs</w:t>
      </w:r>
      <w:r w:rsidR="00EF6D6C" w:rsidRPr="00BC7BB5">
        <w:rPr>
          <w:rFonts w:ascii="Times New Roman" w:hAnsi="Times New Roman" w:cs="Times New Roman"/>
          <w:color w:val="000000" w:themeColor="text1"/>
        </w:rPr>
        <w:t xml:space="preserve"> of the PMV (</w:t>
      </w:r>
      <w:r w:rsidR="009914C2">
        <w:rPr>
          <w:rFonts w:ascii="Times New Roman" w:hAnsi="Times New Roman" w:cs="Times New Roman"/>
          <w:color w:val="000000" w:themeColor="text1"/>
        </w:rPr>
        <w:t>s</w:t>
      </w:r>
      <w:r w:rsidR="00EF6D6C" w:rsidRPr="00BC7BB5">
        <w:rPr>
          <w:rFonts w:ascii="Times New Roman" w:hAnsi="Times New Roman" w:cs="Times New Roman"/>
          <w:color w:val="000000" w:themeColor="text1"/>
        </w:rPr>
        <w:t>ector g</w:t>
      </w:r>
      <w:r w:rsidR="00650CDE" w:rsidRPr="00BC7BB5">
        <w:rPr>
          <w:rFonts w:ascii="Times New Roman" w:hAnsi="Times New Roman" w:cs="Times New Roman"/>
          <w:color w:val="000000" w:themeColor="text1"/>
        </w:rPr>
        <w:t xml:space="preserve">overnance, </w:t>
      </w:r>
      <w:r w:rsidR="00EF6D6C" w:rsidRPr="00BC7BB5">
        <w:rPr>
          <w:rFonts w:ascii="Times New Roman" w:hAnsi="Times New Roman" w:cs="Times New Roman"/>
          <w:color w:val="000000" w:themeColor="text1"/>
        </w:rPr>
        <w:t>market efficiency, food quality</w:t>
      </w:r>
      <w:r w:rsidR="009914C2">
        <w:rPr>
          <w:rFonts w:ascii="Times New Roman" w:hAnsi="Times New Roman" w:cs="Times New Roman"/>
          <w:color w:val="000000" w:themeColor="text1"/>
        </w:rPr>
        <w:t>,</w:t>
      </w:r>
      <w:r w:rsidR="00EF6D6C" w:rsidRPr="00BC7BB5">
        <w:rPr>
          <w:rFonts w:ascii="Times New Roman" w:hAnsi="Times New Roman" w:cs="Times New Roman"/>
          <w:color w:val="000000" w:themeColor="text1"/>
        </w:rPr>
        <w:t xml:space="preserve"> and agriculture knowledge and innovation systems)</w:t>
      </w:r>
      <w:r w:rsidR="009914C2">
        <w:rPr>
          <w:rFonts w:ascii="Times New Roman" w:hAnsi="Times New Roman" w:cs="Times New Roman"/>
          <w:color w:val="000000" w:themeColor="text1"/>
        </w:rPr>
        <w:t>,</w:t>
      </w:r>
      <w:r w:rsidR="00EF6D6C" w:rsidRPr="00BC7BB5">
        <w:rPr>
          <w:rFonts w:ascii="Times New Roman" w:hAnsi="Times New Roman" w:cs="Times New Roman"/>
          <w:color w:val="000000" w:themeColor="text1"/>
        </w:rPr>
        <w:t xml:space="preserve"> </w:t>
      </w:r>
      <w:r w:rsidR="00854FA8" w:rsidRPr="00BC7BB5">
        <w:rPr>
          <w:rFonts w:ascii="Times New Roman" w:hAnsi="Times New Roman" w:cs="Times New Roman"/>
          <w:color w:val="000000" w:themeColor="text1"/>
        </w:rPr>
        <w:t>as well as</w:t>
      </w:r>
      <w:r w:rsidR="004042EB" w:rsidRPr="00BC7BB5">
        <w:rPr>
          <w:rFonts w:ascii="Times New Roman" w:hAnsi="Times New Roman" w:cs="Times New Roman"/>
          <w:color w:val="000000" w:themeColor="text1"/>
        </w:rPr>
        <w:t xml:space="preserve"> the PMV’s investment support program</w:t>
      </w:r>
      <w:r w:rsidR="00EF6D6C" w:rsidRPr="00BC7BB5">
        <w:rPr>
          <w:rFonts w:ascii="Times New Roman" w:hAnsi="Times New Roman" w:cs="Times New Roman"/>
          <w:color w:val="000000" w:themeColor="text1"/>
        </w:rPr>
        <w:t xml:space="preserve"> </w:t>
      </w:r>
      <w:r w:rsidR="00630696" w:rsidRPr="00BC7BB5">
        <w:rPr>
          <w:rFonts w:ascii="Times New Roman" w:hAnsi="Times New Roman" w:cs="Times New Roman"/>
          <w:color w:val="000000" w:themeColor="text1"/>
        </w:rPr>
        <w:t>in</w:t>
      </w:r>
      <w:r w:rsidR="00533E27" w:rsidRPr="00BC7BB5">
        <w:rPr>
          <w:rFonts w:ascii="Times New Roman" w:hAnsi="Times New Roman" w:cs="Times New Roman"/>
          <w:color w:val="000000" w:themeColor="text1"/>
        </w:rPr>
        <w:t xml:space="preserve"> </w:t>
      </w:r>
      <w:r w:rsidR="00630696" w:rsidRPr="00BC7BB5">
        <w:rPr>
          <w:rFonts w:ascii="Times New Roman" w:hAnsi="Times New Roman" w:cs="Times New Roman"/>
          <w:color w:val="000000" w:themeColor="text1"/>
        </w:rPr>
        <w:t>two of the 18 sub-sectors supported by the PMV</w:t>
      </w:r>
      <w:r w:rsidR="00854FA8" w:rsidRPr="00BC7BB5">
        <w:rPr>
          <w:rFonts w:ascii="Times New Roman" w:hAnsi="Times New Roman" w:cs="Times New Roman"/>
          <w:color w:val="000000" w:themeColor="text1"/>
        </w:rPr>
        <w:t xml:space="preserve"> </w:t>
      </w:r>
      <w:r w:rsidR="00630696" w:rsidRPr="00BC7BB5">
        <w:rPr>
          <w:rFonts w:ascii="Times New Roman" w:hAnsi="Times New Roman" w:cs="Times New Roman"/>
          <w:color w:val="000000" w:themeColor="text1"/>
        </w:rPr>
        <w:t>over a five-</w:t>
      </w:r>
      <w:r w:rsidR="00EF6D6C" w:rsidRPr="00BC7BB5">
        <w:rPr>
          <w:rFonts w:ascii="Times New Roman" w:hAnsi="Times New Roman" w:cs="Times New Roman"/>
          <w:color w:val="000000" w:themeColor="text1"/>
        </w:rPr>
        <w:t>year period</w:t>
      </w:r>
      <w:r w:rsidR="00854FA8" w:rsidRPr="00BC7BB5">
        <w:rPr>
          <w:rFonts w:ascii="Times New Roman" w:hAnsi="Times New Roman" w:cs="Times New Roman"/>
          <w:color w:val="000000" w:themeColor="text1"/>
        </w:rPr>
        <w:t xml:space="preserve"> (2018-2022)</w:t>
      </w:r>
      <w:r w:rsidR="00EF6D6C" w:rsidRPr="00BC7BB5">
        <w:rPr>
          <w:rFonts w:ascii="Times New Roman" w:hAnsi="Times New Roman" w:cs="Times New Roman"/>
          <w:color w:val="000000" w:themeColor="text1"/>
        </w:rPr>
        <w:t>.</w:t>
      </w:r>
      <w:r w:rsidR="000E1853" w:rsidRPr="00BC7BB5">
        <w:rPr>
          <w:rFonts w:ascii="Times New Roman" w:hAnsi="Times New Roman" w:cs="Times New Roman"/>
          <w:color w:val="000000" w:themeColor="text1"/>
        </w:rPr>
        <w:t xml:space="preserve"> The Program area includes </w:t>
      </w:r>
      <w:r w:rsidR="00455A89" w:rsidRPr="00BC7BB5">
        <w:rPr>
          <w:rFonts w:ascii="Times New Roman" w:hAnsi="Times New Roman" w:cs="Times New Roman"/>
          <w:color w:val="000000" w:themeColor="text1"/>
        </w:rPr>
        <w:t xml:space="preserve">the </w:t>
      </w:r>
      <w:r w:rsidR="00455A89" w:rsidRPr="00BC7BB5">
        <w:rPr>
          <w:rFonts w:ascii="Times New Roman" w:hAnsi="Times New Roman" w:cs="Times New Roman"/>
        </w:rPr>
        <w:t>regions of Tanger-Tétouan-Al Hoceima, l’Oriental, Fès-Meknès, Rabat-Salé-Kénitra, Béni-Mellal-Khénifra, Ca</w:t>
      </w:r>
      <w:r w:rsidR="007A56B5" w:rsidRPr="00BC7BB5">
        <w:rPr>
          <w:rFonts w:ascii="Times New Roman" w:hAnsi="Times New Roman" w:cs="Times New Roman"/>
        </w:rPr>
        <w:t>sablanca-Settat, Marrakech-Safi,</w:t>
      </w:r>
      <w:r w:rsidR="00455A89" w:rsidRPr="00BC7BB5">
        <w:rPr>
          <w:rFonts w:ascii="Times New Roman" w:hAnsi="Times New Roman" w:cs="Times New Roman"/>
        </w:rPr>
        <w:t xml:space="preserve"> Draâ-Tafilalet, and </w:t>
      </w:r>
      <w:r w:rsidR="007A56B5" w:rsidRPr="00BC7BB5">
        <w:rPr>
          <w:rFonts w:ascii="Times New Roman" w:hAnsi="Times New Roman" w:cs="Times New Roman"/>
        </w:rPr>
        <w:t>Souss-Massa</w:t>
      </w:r>
      <w:r w:rsidR="00455A89" w:rsidRPr="00BC7BB5">
        <w:rPr>
          <w:rFonts w:ascii="Times New Roman" w:hAnsi="Times New Roman" w:cs="Times New Roman"/>
        </w:rPr>
        <w:t>.</w:t>
      </w:r>
    </w:p>
    <w:p w14:paraId="359E9581" w14:textId="77777777" w:rsidR="003A67FC" w:rsidRPr="00BC7BB5" w:rsidRDefault="003A67FC" w:rsidP="003A67FC">
      <w:pPr>
        <w:pStyle w:val="NoSpacing"/>
        <w:jc w:val="both"/>
        <w:rPr>
          <w:rFonts w:ascii="Times New Roman" w:hAnsi="Times New Roman" w:cs="Times New Roman"/>
        </w:rPr>
      </w:pPr>
    </w:p>
    <w:p w14:paraId="6178E890" w14:textId="77777777" w:rsidR="00292FEA" w:rsidRDefault="00292FEA" w:rsidP="00A56C80">
      <w:pPr>
        <w:pStyle w:val="NoSpacing"/>
        <w:spacing w:after="120"/>
        <w:ind w:left="418"/>
        <w:jc w:val="center"/>
        <w:rPr>
          <w:rFonts w:ascii="Times New Roman" w:hAnsi="Times New Roman" w:cs="Times New Roman"/>
          <w:b/>
        </w:rPr>
        <w:sectPr w:rsidR="00292FEA" w:rsidSect="00FE6D62">
          <w:footerReference w:type="first" r:id="rId16"/>
          <w:pgSz w:w="12240" w:h="15840"/>
          <w:pgMar w:top="1440" w:right="1440" w:bottom="1440" w:left="1440" w:header="720" w:footer="720" w:gutter="0"/>
          <w:pgNumType w:start="1" w:chapStyle="1"/>
          <w:cols w:space="720"/>
          <w:docGrid w:linePitch="360"/>
        </w:sectPr>
      </w:pPr>
    </w:p>
    <w:p w14:paraId="4FC73927" w14:textId="363FA171" w:rsidR="00801E3C" w:rsidRPr="00BC7BB5" w:rsidRDefault="00A56C80" w:rsidP="00B24C66">
      <w:pPr>
        <w:pStyle w:val="NoSpacing"/>
        <w:ind w:left="418"/>
        <w:jc w:val="center"/>
        <w:rPr>
          <w:rFonts w:ascii="Times New Roman" w:hAnsi="Times New Roman" w:cs="Times New Roman"/>
          <w:b/>
        </w:rPr>
      </w:pPr>
      <w:r w:rsidRPr="00BC7BB5">
        <w:rPr>
          <w:rFonts w:ascii="Times New Roman" w:hAnsi="Times New Roman" w:cs="Times New Roman"/>
          <w:b/>
        </w:rPr>
        <w:lastRenderedPageBreak/>
        <w:t>Table 1</w:t>
      </w:r>
      <w:r w:rsidR="009914C2">
        <w:rPr>
          <w:rFonts w:ascii="Times New Roman" w:hAnsi="Times New Roman" w:cs="Times New Roman"/>
          <w:b/>
        </w:rPr>
        <w:t>.</w:t>
      </w:r>
      <w:r w:rsidRPr="00BC7BB5">
        <w:rPr>
          <w:rFonts w:ascii="Times New Roman" w:hAnsi="Times New Roman" w:cs="Times New Roman"/>
          <w:b/>
        </w:rPr>
        <w:t xml:space="preserve"> Key attr</w:t>
      </w:r>
      <w:r w:rsidR="005C072B">
        <w:rPr>
          <w:rFonts w:ascii="Times New Roman" w:hAnsi="Times New Roman" w:cs="Times New Roman"/>
          <w:b/>
        </w:rPr>
        <w:t>ibutes and scope of the</w:t>
      </w:r>
      <w:r w:rsidRPr="00BC7BB5">
        <w:rPr>
          <w:rFonts w:ascii="Times New Roman" w:hAnsi="Times New Roman" w:cs="Times New Roman"/>
          <w:b/>
        </w:rPr>
        <w:t xml:space="preserve"> Program</w:t>
      </w:r>
    </w:p>
    <w:tbl>
      <w:tblPr>
        <w:tblStyle w:val="TableGrid"/>
        <w:tblW w:w="13590" w:type="dxa"/>
        <w:tblInd w:w="-275" w:type="dxa"/>
        <w:tblLook w:val="04A0" w:firstRow="1" w:lastRow="0" w:firstColumn="1" w:lastColumn="0" w:noHBand="0" w:noVBand="1"/>
      </w:tblPr>
      <w:tblGrid>
        <w:gridCol w:w="2250"/>
        <w:gridCol w:w="2497"/>
        <w:gridCol w:w="2967"/>
        <w:gridCol w:w="2645"/>
        <w:gridCol w:w="3231"/>
      </w:tblGrid>
      <w:tr w:rsidR="00857749" w:rsidRPr="00BC7BB5" w14:paraId="2315B660" w14:textId="77777777" w:rsidTr="00211171">
        <w:tc>
          <w:tcPr>
            <w:tcW w:w="2250" w:type="dxa"/>
          </w:tcPr>
          <w:p w14:paraId="765006B5" w14:textId="77777777" w:rsidR="00857749" w:rsidRPr="00BC7BB5" w:rsidRDefault="00857749" w:rsidP="008B7058">
            <w:pPr>
              <w:jc w:val="center"/>
              <w:rPr>
                <w:rFonts w:ascii="Times New Roman" w:hAnsi="Times New Roman" w:cs="Times New Roman"/>
                <w:b/>
                <w:caps/>
                <w:sz w:val="20"/>
                <w:szCs w:val="20"/>
              </w:rPr>
            </w:pPr>
            <w:r w:rsidRPr="00BC7BB5">
              <w:rPr>
                <w:rFonts w:ascii="Times New Roman" w:hAnsi="Times New Roman" w:cs="Times New Roman"/>
                <w:b/>
                <w:caps/>
                <w:sz w:val="20"/>
                <w:szCs w:val="20"/>
              </w:rPr>
              <w:t>ATTRIBUTES</w:t>
            </w:r>
          </w:p>
        </w:tc>
        <w:tc>
          <w:tcPr>
            <w:tcW w:w="8109" w:type="dxa"/>
            <w:gridSpan w:val="3"/>
          </w:tcPr>
          <w:p w14:paraId="771E5140" w14:textId="77777777" w:rsidR="00857749" w:rsidRPr="00BC7BB5" w:rsidRDefault="00857749" w:rsidP="008B7058">
            <w:pPr>
              <w:jc w:val="center"/>
              <w:rPr>
                <w:rFonts w:ascii="Times New Roman" w:hAnsi="Times New Roman" w:cs="Times New Roman"/>
                <w:b/>
                <w:sz w:val="20"/>
                <w:szCs w:val="20"/>
              </w:rPr>
            </w:pPr>
            <w:r w:rsidRPr="00BC7BB5">
              <w:rPr>
                <w:rFonts w:ascii="Times New Roman" w:hAnsi="Times New Roman" w:cs="Times New Roman"/>
                <w:b/>
                <w:sz w:val="20"/>
                <w:szCs w:val="20"/>
              </w:rPr>
              <w:t>PLAN MAROC VERT</w:t>
            </w:r>
          </w:p>
        </w:tc>
        <w:tc>
          <w:tcPr>
            <w:tcW w:w="3231" w:type="dxa"/>
          </w:tcPr>
          <w:p w14:paraId="611FFC0F" w14:textId="5A47FEE5" w:rsidR="00857749" w:rsidRPr="00BC7BB5" w:rsidRDefault="00857749" w:rsidP="008B7058">
            <w:pPr>
              <w:jc w:val="center"/>
              <w:rPr>
                <w:rFonts w:ascii="Times New Roman" w:hAnsi="Times New Roman" w:cs="Times New Roman"/>
                <w:b/>
                <w:sz w:val="20"/>
                <w:szCs w:val="20"/>
              </w:rPr>
            </w:pPr>
            <w:r w:rsidRPr="00BC7BB5">
              <w:rPr>
                <w:rFonts w:ascii="Times New Roman" w:hAnsi="Times New Roman" w:cs="Times New Roman"/>
                <w:b/>
                <w:sz w:val="20"/>
                <w:szCs w:val="20"/>
              </w:rPr>
              <w:t>PROGRAM</w:t>
            </w:r>
          </w:p>
        </w:tc>
      </w:tr>
      <w:tr w:rsidR="00857749" w:rsidRPr="00BC7BB5" w14:paraId="2000D63F" w14:textId="77777777" w:rsidTr="00211171">
        <w:tc>
          <w:tcPr>
            <w:tcW w:w="2250" w:type="dxa"/>
          </w:tcPr>
          <w:p w14:paraId="13023C12" w14:textId="77777777" w:rsidR="00857749" w:rsidRPr="00BC7BB5" w:rsidRDefault="00857749" w:rsidP="008B7058">
            <w:pPr>
              <w:jc w:val="center"/>
              <w:rPr>
                <w:rFonts w:ascii="Times New Roman Bold" w:hAnsi="Times New Roman Bold" w:cs="Times New Roman"/>
                <w:b/>
                <w:sz w:val="20"/>
                <w:szCs w:val="20"/>
              </w:rPr>
            </w:pPr>
            <w:r w:rsidRPr="00BC7BB5">
              <w:rPr>
                <w:rFonts w:ascii="Times New Roman Bold" w:hAnsi="Times New Roman Bold" w:cs="Times New Roman"/>
                <w:b/>
                <w:sz w:val="20"/>
                <w:szCs w:val="20"/>
              </w:rPr>
              <w:t>Development Objective</w:t>
            </w:r>
          </w:p>
        </w:tc>
        <w:tc>
          <w:tcPr>
            <w:tcW w:w="8109" w:type="dxa"/>
            <w:gridSpan w:val="3"/>
          </w:tcPr>
          <w:p w14:paraId="57C7450C" w14:textId="25BBB6C5" w:rsidR="00857749" w:rsidRPr="00BC7BB5" w:rsidRDefault="00857749" w:rsidP="008B7058">
            <w:pPr>
              <w:jc w:val="both"/>
              <w:rPr>
                <w:rFonts w:ascii="Times New Roman Bold" w:hAnsi="Times New Roman Bold" w:cs="Times New Roman"/>
                <w:b/>
                <w:sz w:val="20"/>
                <w:szCs w:val="20"/>
              </w:rPr>
            </w:pPr>
            <w:r w:rsidRPr="00BC7BB5">
              <w:rPr>
                <w:rFonts w:ascii="Times New Roman" w:hAnsi="Times New Roman" w:cs="Times New Roman"/>
                <w:sz w:val="18"/>
                <w:szCs w:val="18"/>
              </w:rPr>
              <w:t>The PMV aims to transform</w:t>
            </w:r>
            <w:r w:rsidR="001E2365" w:rsidRPr="00BC7BB5">
              <w:rPr>
                <w:rFonts w:ascii="Times New Roman" w:hAnsi="Times New Roman" w:cs="Times New Roman"/>
                <w:sz w:val="18"/>
                <w:szCs w:val="18"/>
              </w:rPr>
              <w:t xml:space="preserve"> the agri-food sector into a</w:t>
            </w:r>
            <w:r w:rsidRPr="00BC7BB5">
              <w:rPr>
                <w:rFonts w:ascii="Times New Roman" w:hAnsi="Times New Roman" w:cs="Times New Roman"/>
                <w:sz w:val="18"/>
                <w:szCs w:val="18"/>
              </w:rPr>
              <w:t xml:space="preserve"> source of economic growth that contributes to employment creation and poverty reduction in rural areas. In addition, the policy reforms and inves</w:t>
            </w:r>
            <w:r w:rsidR="001E2365" w:rsidRPr="00BC7BB5">
              <w:rPr>
                <w:rFonts w:ascii="Times New Roman" w:hAnsi="Times New Roman" w:cs="Times New Roman"/>
                <w:sz w:val="18"/>
                <w:szCs w:val="18"/>
              </w:rPr>
              <w:t>tments in a productive, dynamic</w:t>
            </w:r>
            <w:r w:rsidRPr="00BC7BB5">
              <w:rPr>
                <w:rFonts w:ascii="Times New Roman" w:hAnsi="Times New Roman" w:cs="Times New Roman"/>
                <w:sz w:val="18"/>
                <w:szCs w:val="18"/>
              </w:rPr>
              <w:t xml:space="preserve"> and market-oriented agri-food sector supported under the PMV seek to </w:t>
            </w:r>
            <w:r w:rsidR="001E2365" w:rsidRPr="00BC7BB5">
              <w:rPr>
                <w:rFonts w:ascii="Times New Roman" w:hAnsi="Times New Roman" w:cs="Times New Roman"/>
                <w:sz w:val="18"/>
                <w:szCs w:val="18"/>
              </w:rPr>
              <w:t>improve food security, promote Morocco</w:t>
            </w:r>
            <w:r w:rsidRPr="00BC7BB5">
              <w:rPr>
                <w:rFonts w:ascii="Times New Roman" w:hAnsi="Times New Roman" w:cs="Times New Roman"/>
                <w:sz w:val="18"/>
                <w:szCs w:val="18"/>
              </w:rPr>
              <w:t>’s in</w:t>
            </w:r>
            <w:r w:rsidR="001E2365" w:rsidRPr="00BC7BB5">
              <w:rPr>
                <w:rFonts w:ascii="Times New Roman" w:hAnsi="Times New Roman" w:cs="Times New Roman"/>
                <w:sz w:val="18"/>
                <w:szCs w:val="18"/>
              </w:rPr>
              <w:t>tegration in the global economy</w:t>
            </w:r>
            <w:r w:rsidRPr="00BC7BB5">
              <w:rPr>
                <w:rFonts w:ascii="Times New Roman" w:hAnsi="Times New Roman" w:cs="Times New Roman"/>
                <w:sz w:val="18"/>
                <w:szCs w:val="18"/>
              </w:rPr>
              <w:t xml:space="preserve"> and help the sector adapt to climate change.</w:t>
            </w:r>
          </w:p>
        </w:tc>
        <w:tc>
          <w:tcPr>
            <w:tcW w:w="3231" w:type="dxa"/>
          </w:tcPr>
          <w:p w14:paraId="12B0B447" w14:textId="44DDC4EF" w:rsidR="00857749" w:rsidRPr="00BC7BB5" w:rsidRDefault="00857749" w:rsidP="008B7058">
            <w:pPr>
              <w:jc w:val="both"/>
              <w:rPr>
                <w:rFonts w:ascii="Times New Roman Bold" w:hAnsi="Times New Roman Bold" w:cs="Times New Roman"/>
                <w:b/>
                <w:sz w:val="18"/>
                <w:szCs w:val="18"/>
              </w:rPr>
            </w:pPr>
            <w:r w:rsidRPr="00BC7BB5">
              <w:rPr>
                <w:rFonts w:ascii="Times New Roman" w:hAnsi="Times New Roman" w:cs="Times New Roman"/>
                <w:color w:val="000000" w:themeColor="text1"/>
                <w:sz w:val="18"/>
                <w:szCs w:val="18"/>
              </w:rPr>
              <w:t xml:space="preserve">To increase </w:t>
            </w:r>
            <w:r w:rsidR="00496C8F" w:rsidRPr="00BC7BB5">
              <w:rPr>
                <w:rFonts w:ascii="Times New Roman" w:hAnsi="Times New Roman" w:cs="Times New Roman"/>
                <w:color w:val="000000" w:themeColor="text1"/>
                <w:sz w:val="18"/>
                <w:szCs w:val="18"/>
              </w:rPr>
              <w:t>the volume of added-</w:t>
            </w:r>
            <w:r w:rsidR="001E2365" w:rsidRPr="00BC7BB5">
              <w:rPr>
                <w:rFonts w:ascii="Times New Roman" w:hAnsi="Times New Roman" w:cs="Times New Roman"/>
                <w:color w:val="000000" w:themeColor="text1"/>
                <w:sz w:val="18"/>
                <w:szCs w:val="18"/>
              </w:rPr>
              <w:t>value products commerciali</w:t>
            </w:r>
            <w:r w:rsidR="007A56B5" w:rsidRPr="00BC7BB5">
              <w:rPr>
                <w:rFonts w:ascii="Times New Roman" w:hAnsi="Times New Roman" w:cs="Times New Roman"/>
                <w:color w:val="000000" w:themeColor="text1"/>
                <w:sz w:val="18"/>
                <w:szCs w:val="18"/>
              </w:rPr>
              <w:t xml:space="preserve">zed in selected agri-food value </w:t>
            </w:r>
            <w:r w:rsidR="001E2365" w:rsidRPr="00BC7BB5">
              <w:rPr>
                <w:rFonts w:ascii="Times New Roman" w:hAnsi="Times New Roman" w:cs="Times New Roman"/>
                <w:color w:val="000000" w:themeColor="text1"/>
                <w:sz w:val="18"/>
                <w:szCs w:val="18"/>
              </w:rPr>
              <w:t>chains in the Program area</w:t>
            </w:r>
            <w:r w:rsidRPr="00BC7BB5">
              <w:rPr>
                <w:rFonts w:ascii="Times New Roman" w:hAnsi="Times New Roman" w:cs="Times New Roman"/>
                <w:color w:val="000000" w:themeColor="text1"/>
                <w:sz w:val="18"/>
                <w:szCs w:val="18"/>
              </w:rPr>
              <w:t>.</w:t>
            </w:r>
          </w:p>
        </w:tc>
      </w:tr>
      <w:tr w:rsidR="00857749" w:rsidRPr="00BC7BB5" w14:paraId="52E2A338" w14:textId="77777777" w:rsidTr="00211171">
        <w:tc>
          <w:tcPr>
            <w:tcW w:w="2250" w:type="dxa"/>
          </w:tcPr>
          <w:p w14:paraId="5B27E92E" w14:textId="77777777" w:rsidR="00857749" w:rsidRPr="00BC7BB5" w:rsidRDefault="00857749" w:rsidP="008B7058">
            <w:pPr>
              <w:jc w:val="center"/>
              <w:rPr>
                <w:rFonts w:ascii="Times New Roman Bold" w:hAnsi="Times New Roman Bold" w:cs="Times New Roman"/>
                <w:b/>
                <w:sz w:val="20"/>
                <w:szCs w:val="20"/>
              </w:rPr>
            </w:pPr>
            <w:r w:rsidRPr="00BC7BB5">
              <w:rPr>
                <w:rFonts w:ascii="Times New Roman Bold" w:hAnsi="Times New Roman Bold" w:cs="Times New Roman"/>
                <w:b/>
                <w:sz w:val="20"/>
                <w:szCs w:val="20"/>
              </w:rPr>
              <w:t>DO Indicators</w:t>
            </w:r>
          </w:p>
        </w:tc>
        <w:tc>
          <w:tcPr>
            <w:tcW w:w="8109" w:type="dxa"/>
            <w:gridSpan w:val="3"/>
          </w:tcPr>
          <w:p w14:paraId="25296FB1" w14:textId="77777777" w:rsidR="00857749" w:rsidRPr="00BC7BB5" w:rsidRDefault="00857749" w:rsidP="008B7058">
            <w:pPr>
              <w:jc w:val="both"/>
              <w:rPr>
                <w:rFonts w:ascii="Times New Roman" w:hAnsi="Times New Roman" w:cs="Times New Roman"/>
                <w:sz w:val="18"/>
                <w:szCs w:val="18"/>
              </w:rPr>
            </w:pPr>
            <w:r w:rsidRPr="00BC7BB5">
              <w:rPr>
                <w:rFonts w:ascii="Times New Roman" w:hAnsi="Times New Roman" w:cs="Times New Roman"/>
                <w:sz w:val="18"/>
                <w:szCs w:val="18"/>
              </w:rPr>
              <w:t>Deliver, compared to 2008:</w:t>
            </w:r>
          </w:p>
          <w:p w14:paraId="41AE94F2" w14:textId="77777777" w:rsidR="00857749" w:rsidRPr="00BC7BB5" w:rsidRDefault="00857749" w:rsidP="00422BC8">
            <w:pPr>
              <w:pStyle w:val="ListParagraph"/>
              <w:numPr>
                <w:ilvl w:val="0"/>
                <w:numId w:val="10"/>
              </w:numPr>
              <w:ind w:left="220" w:hanging="180"/>
              <w:jc w:val="both"/>
              <w:rPr>
                <w:rFonts w:ascii="Times New Roman" w:hAnsi="Times New Roman" w:cs="Times New Roman"/>
                <w:sz w:val="18"/>
                <w:szCs w:val="18"/>
              </w:rPr>
            </w:pPr>
            <w:r w:rsidRPr="00BC7BB5">
              <w:rPr>
                <w:rFonts w:ascii="Times New Roman" w:hAnsi="Times New Roman" w:cs="Times New Roman"/>
                <w:sz w:val="18"/>
                <w:szCs w:val="18"/>
              </w:rPr>
              <w:t xml:space="preserve"> up to 1.5 million additional working days per year;</w:t>
            </w:r>
          </w:p>
          <w:p w14:paraId="6194D1DE" w14:textId="77777777" w:rsidR="00857749" w:rsidRPr="00BC7BB5" w:rsidRDefault="00857749" w:rsidP="00422BC8">
            <w:pPr>
              <w:pStyle w:val="ListParagraph"/>
              <w:numPr>
                <w:ilvl w:val="0"/>
                <w:numId w:val="10"/>
              </w:numPr>
              <w:ind w:left="310" w:hanging="265"/>
              <w:jc w:val="both"/>
              <w:rPr>
                <w:rFonts w:ascii="Times New Roman" w:hAnsi="Times New Roman" w:cs="Times New Roman"/>
                <w:sz w:val="18"/>
                <w:szCs w:val="18"/>
              </w:rPr>
            </w:pPr>
            <w:r w:rsidRPr="00BC7BB5">
              <w:rPr>
                <w:rFonts w:ascii="Times New Roman" w:hAnsi="Times New Roman" w:cs="Times New Roman"/>
                <w:sz w:val="18"/>
                <w:szCs w:val="18"/>
              </w:rPr>
              <w:t xml:space="preserve">a 50 percent drop in rural poverty; </w:t>
            </w:r>
          </w:p>
          <w:p w14:paraId="25441634" w14:textId="77777777" w:rsidR="00857749" w:rsidRPr="00BC7BB5" w:rsidRDefault="00857749" w:rsidP="000D26B9">
            <w:pPr>
              <w:jc w:val="both"/>
              <w:rPr>
                <w:rFonts w:ascii="Times New Roman" w:hAnsi="Times New Roman" w:cs="Times New Roman"/>
                <w:sz w:val="18"/>
                <w:szCs w:val="18"/>
              </w:rPr>
            </w:pPr>
            <w:r w:rsidRPr="00BC7BB5">
              <w:rPr>
                <w:rFonts w:ascii="Times New Roman" w:hAnsi="Times New Roman" w:cs="Times New Roman"/>
                <w:sz w:val="18"/>
                <w:szCs w:val="18"/>
              </w:rPr>
              <w:t>(iii)  up to US$14 billion of combined public and private sector investments; and</w:t>
            </w:r>
          </w:p>
          <w:p w14:paraId="71550161" w14:textId="76075447" w:rsidR="00857749" w:rsidRPr="00BC7BB5" w:rsidRDefault="00857749" w:rsidP="000D26B9">
            <w:pPr>
              <w:rPr>
                <w:rFonts w:ascii="Times New Roman Bold" w:hAnsi="Times New Roman Bold" w:cs="Times New Roman"/>
                <w:b/>
                <w:sz w:val="20"/>
                <w:szCs w:val="20"/>
              </w:rPr>
            </w:pPr>
            <w:r w:rsidRPr="00BC7BB5">
              <w:rPr>
                <w:rFonts w:ascii="Times New Roman" w:hAnsi="Times New Roman" w:cs="Times New Roman"/>
                <w:sz w:val="18"/>
                <w:szCs w:val="18"/>
              </w:rPr>
              <w:t>(iv) up to US$9 billion of additional annual added value.</w:t>
            </w:r>
          </w:p>
        </w:tc>
        <w:tc>
          <w:tcPr>
            <w:tcW w:w="3231" w:type="dxa"/>
          </w:tcPr>
          <w:p w14:paraId="6522EA09" w14:textId="4936B8FD" w:rsidR="001E2365" w:rsidRPr="00BC7BB5" w:rsidRDefault="009914C2" w:rsidP="009914C2">
            <w:pPr>
              <w:pStyle w:val="ListParagraph"/>
              <w:ind w:left="0"/>
              <w:jc w:val="both"/>
              <w:rPr>
                <w:rFonts w:ascii="Times New Roman Bold" w:hAnsi="Times New Roman Bold" w:cs="Times New Roman"/>
                <w:b/>
                <w:sz w:val="20"/>
                <w:szCs w:val="20"/>
              </w:rPr>
            </w:pPr>
            <w:r>
              <w:rPr>
                <w:rFonts w:ascii="Times New Roman" w:hAnsi="Times New Roman" w:cs="Times New Roman"/>
                <w:color w:val="000000" w:themeColor="text1"/>
                <w:sz w:val="18"/>
                <w:szCs w:val="18"/>
              </w:rPr>
              <w:t>(i) v</w:t>
            </w:r>
            <w:r w:rsidRPr="009914C2">
              <w:rPr>
                <w:rFonts w:ascii="Times New Roman" w:hAnsi="Times New Roman" w:cs="Times New Roman"/>
                <w:color w:val="000000" w:themeColor="text1"/>
                <w:sz w:val="18"/>
                <w:szCs w:val="18"/>
              </w:rPr>
              <w:t>olume of conditioned and exported citrus; (</w:t>
            </w:r>
            <w:r>
              <w:rPr>
                <w:rFonts w:ascii="Times New Roman" w:hAnsi="Times New Roman" w:cs="Times New Roman"/>
                <w:color w:val="000000" w:themeColor="text1"/>
                <w:sz w:val="18"/>
                <w:szCs w:val="18"/>
              </w:rPr>
              <w:t>ii</w:t>
            </w:r>
            <w:r w:rsidRPr="009914C2">
              <w:rPr>
                <w:rFonts w:ascii="Times New Roman" w:hAnsi="Times New Roman" w:cs="Times New Roman"/>
                <w:color w:val="000000" w:themeColor="text1"/>
                <w:sz w:val="18"/>
                <w:szCs w:val="18"/>
              </w:rPr>
              <w:t>) volume of conditioned and exported olive</w:t>
            </w:r>
            <w:r w:rsidR="005002BE">
              <w:rPr>
                <w:rFonts w:ascii="Times New Roman" w:hAnsi="Times New Roman" w:cs="Times New Roman"/>
                <w:color w:val="000000" w:themeColor="text1"/>
                <w:sz w:val="18"/>
                <w:szCs w:val="18"/>
              </w:rPr>
              <w:t>s</w:t>
            </w:r>
            <w:r w:rsidRPr="009914C2">
              <w:rPr>
                <w:rFonts w:ascii="Times New Roman" w:hAnsi="Times New Roman" w:cs="Times New Roman"/>
                <w:color w:val="000000" w:themeColor="text1"/>
                <w:sz w:val="18"/>
                <w:szCs w:val="18"/>
              </w:rPr>
              <w:t>; (</w:t>
            </w:r>
            <w:r>
              <w:rPr>
                <w:rFonts w:ascii="Times New Roman" w:hAnsi="Times New Roman" w:cs="Times New Roman"/>
                <w:color w:val="000000" w:themeColor="text1"/>
                <w:sz w:val="18"/>
                <w:szCs w:val="18"/>
              </w:rPr>
              <w:t>iii</w:t>
            </w:r>
            <w:r w:rsidRPr="009914C2">
              <w:rPr>
                <w:rFonts w:ascii="Times New Roman" w:hAnsi="Times New Roman" w:cs="Times New Roman"/>
                <w:color w:val="000000" w:themeColor="text1"/>
                <w:sz w:val="18"/>
                <w:szCs w:val="18"/>
              </w:rPr>
              <w:t>) volume of high quality olive oil commercialized</w:t>
            </w:r>
          </w:p>
          <w:p w14:paraId="07794898" w14:textId="160FF308" w:rsidR="00857749" w:rsidRPr="00BC7BB5" w:rsidRDefault="00857749" w:rsidP="008B7058">
            <w:pPr>
              <w:jc w:val="both"/>
              <w:rPr>
                <w:rFonts w:ascii="Times New Roman Bold" w:hAnsi="Times New Roman Bold" w:cs="Times New Roman"/>
                <w:b/>
                <w:sz w:val="20"/>
                <w:szCs w:val="20"/>
              </w:rPr>
            </w:pPr>
          </w:p>
        </w:tc>
      </w:tr>
      <w:tr w:rsidR="00857749" w:rsidRPr="00BC7BB5" w14:paraId="2430CCB6" w14:textId="77777777" w:rsidTr="00211171">
        <w:tc>
          <w:tcPr>
            <w:tcW w:w="2250" w:type="dxa"/>
          </w:tcPr>
          <w:p w14:paraId="5B9C776E" w14:textId="77777777" w:rsidR="00857749" w:rsidRPr="00BC7BB5" w:rsidRDefault="00857749" w:rsidP="008B7058">
            <w:pPr>
              <w:jc w:val="center"/>
              <w:rPr>
                <w:rFonts w:ascii="Times New Roman Bold" w:hAnsi="Times New Roman Bold" w:cs="Times New Roman"/>
                <w:b/>
                <w:sz w:val="20"/>
                <w:szCs w:val="20"/>
              </w:rPr>
            </w:pPr>
            <w:r w:rsidRPr="00BC7BB5">
              <w:rPr>
                <w:rFonts w:ascii="Times New Roman Bold" w:hAnsi="Times New Roman Bold" w:cs="Times New Roman"/>
                <w:b/>
                <w:sz w:val="20"/>
                <w:szCs w:val="20"/>
              </w:rPr>
              <w:t>Components</w:t>
            </w:r>
          </w:p>
        </w:tc>
        <w:tc>
          <w:tcPr>
            <w:tcW w:w="2497" w:type="dxa"/>
          </w:tcPr>
          <w:p w14:paraId="1C9E99DE" w14:textId="77777777" w:rsidR="00857749" w:rsidRPr="00BC7BB5" w:rsidRDefault="00857749" w:rsidP="008B7058">
            <w:pPr>
              <w:jc w:val="center"/>
              <w:rPr>
                <w:rFonts w:ascii="Times New Roman Bold" w:hAnsi="Times New Roman Bold" w:cs="Times New Roman"/>
                <w:b/>
                <w:sz w:val="20"/>
                <w:szCs w:val="20"/>
              </w:rPr>
            </w:pPr>
            <w:r w:rsidRPr="00BC7BB5">
              <w:rPr>
                <w:rFonts w:ascii="Times New Roman Bold" w:hAnsi="Times New Roman Bold" w:cs="Times New Roman"/>
                <w:b/>
                <w:sz w:val="20"/>
                <w:szCs w:val="20"/>
              </w:rPr>
              <w:t>Strategic Initiatives</w:t>
            </w:r>
          </w:p>
        </w:tc>
        <w:tc>
          <w:tcPr>
            <w:tcW w:w="2967" w:type="dxa"/>
          </w:tcPr>
          <w:p w14:paraId="0B81AA80" w14:textId="77777777" w:rsidR="00857749" w:rsidRPr="00BC7BB5" w:rsidRDefault="00857749" w:rsidP="008B7058">
            <w:pPr>
              <w:jc w:val="center"/>
              <w:rPr>
                <w:rFonts w:ascii="Times New Roman Bold" w:hAnsi="Times New Roman Bold" w:cs="Times New Roman"/>
                <w:b/>
                <w:sz w:val="20"/>
                <w:szCs w:val="20"/>
              </w:rPr>
            </w:pPr>
            <w:r w:rsidRPr="00BC7BB5">
              <w:rPr>
                <w:rFonts w:ascii="Times New Roman Bold" w:hAnsi="Times New Roman Bold" w:cs="Times New Roman"/>
                <w:b/>
                <w:sz w:val="20"/>
                <w:szCs w:val="20"/>
              </w:rPr>
              <w:t>Key Achievements</w:t>
            </w:r>
          </w:p>
        </w:tc>
        <w:tc>
          <w:tcPr>
            <w:tcW w:w="2645" w:type="dxa"/>
          </w:tcPr>
          <w:p w14:paraId="0876A39B" w14:textId="77777777" w:rsidR="00857749" w:rsidRPr="00BC7BB5" w:rsidRDefault="00857749" w:rsidP="008B7058">
            <w:pPr>
              <w:jc w:val="center"/>
              <w:rPr>
                <w:rFonts w:ascii="Times New Roman Bold" w:hAnsi="Times New Roman Bold" w:cs="Times New Roman"/>
                <w:b/>
                <w:sz w:val="20"/>
                <w:szCs w:val="20"/>
              </w:rPr>
            </w:pPr>
            <w:r w:rsidRPr="00BC7BB5">
              <w:rPr>
                <w:rFonts w:ascii="Times New Roman Bold" w:hAnsi="Times New Roman Bold" w:cs="Times New Roman"/>
                <w:b/>
                <w:sz w:val="20"/>
                <w:szCs w:val="20"/>
              </w:rPr>
              <w:t>Outstanding Issues</w:t>
            </w:r>
          </w:p>
        </w:tc>
        <w:tc>
          <w:tcPr>
            <w:tcW w:w="3231" w:type="dxa"/>
          </w:tcPr>
          <w:p w14:paraId="4A6F2023" w14:textId="77777777" w:rsidR="00857749" w:rsidRPr="00BC7BB5" w:rsidRDefault="00857749" w:rsidP="008B7058">
            <w:pPr>
              <w:jc w:val="center"/>
              <w:rPr>
                <w:rFonts w:ascii="Times New Roman Bold" w:hAnsi="Times New Roman Bold" w:cs="Times New Roman"/>
                <w:b/>
                <w:sz w:val="20"/>
                <w:szCs w:val="20"/>
              </w:rPr>
            </w:pPr>
            <w:r w:rsidRPr="00BC7BB5">
              <w:rPr>
                <w:rFonts w:ascii="Times New Roman Bold" w:hAnsi="Times New Roman Bold" w:cs="Times New Roman"/>
                <w:b/>
                <w:sz w:val="20"/>
                <w:szCs w:val="20"/>
              </w:rPr>
              <w:t>Proposed Program</w:t>
            </w:r>
          </w:p>
        </w:tc>
      </w:tr>
      <w:tr w:rsidR="00857749" w:rsidRPr="00BC7BB5" w14:paraId="10458EF5" w14:textId="77777777" w:rsidTr="00211171">
        <w:tc>
          <w:tcPr>
            <w:tcW w:w="13590" w:type="dxa"/>
            <w:gridSpan w:val="5"/>
            <w:shd w:val="clear" w:color="auto" w:fill="F2F2F2" w:themeFill="background1" w:themeFillShade="F2"/>
          </w:tcPr>
          <w:p w14:paraId="7F2A2E77" w14:textId="77777777" w:rsidR="00857749" w:rsidRPr="00BC7BB5" w:rsidRDefault="00857749" w:rsidP="008B7058">
            <w:pPr>
              <w:jc w:val="center"/>
              <w:rPr>
                <w:rFonts w:ascii="Times New Roman" w:hAnsi="Times New Roman" w:cs="Times New Roman"/>
                <w:b/>
                <w:i/>
                <w:sz w:val="20"/>
                <w:szCs w:val="20"/>
              </w:rPr>
            </w:pPr>
            <w:r w:rsidRPr="00BC7BB5">
              <w:rPr>
                <w:rFonts w:ascii="Times New Roman" w:hAnsi="Times New Roman" w:cs="Times New Roman"/>
                <w:b/>
                <w:i/>
                <w:sz w:val="20"/>
                <w:szCs w:val="20"/>
              </w:rPr>
              <w:t>Transversal/Institutional Reforms</w:t>
            </w:r>
          </w:p>
        </w:tc>
      </w:tr>
      <w:tr w:rsidR="00857749" w:rsidRPr="00BC7BB5" w14:paraId="5C165004" w14:textId="77777777" w:rsidTr="00211171">
        <w:tc>
          <w:tcPr>
            <w:tcW w:w="2250" w:type="dxa"/>
          </w:tcPr>
          <w:p w14:paraId="578A0D11" w14:textId="616CFD8B" w:rsidR="00857749" w:rsidRPr="00BC7BB5" w:rsidRDefault="00857749" w:rsidP="008B7058">
            <w:pPr>
              <w:jc w:val="both"/>
              <w:rPr>
                <w:rFonts w:ascii="Times New Roman" w:hAnsi="Times New Roman" w:cs="Times New Roman"/>
                <w:sz w:val="18"/>
                <w:szCs w:val="18"/>
              </w:rPr>
            </w:pPr>
            <w:r w:rsidRPr="00BC7BB5">
              <w:rPr>
                <w:rFonts w:ascii="Times New Roman" w:hAnsi="Times New Roman" w:cs="Times New Roman"/>
                <w:sz w:val="18"/>
                <w:szCs w:val="18"/>
              </w:rPr>
              <w:t xml:space="preserve">Sector </w:t>
            </w:r>
            <w:r w:rsidR="009914C2">
              <w:rPr>
                <w:rFonts w:ascii="Times New Roman" w:hAnsi="Times New Roman" w:cs="Times New Roman"/>
                <w:sz w:val="18"/>
                <w:szCs w:val="18"/>
              </w:rPr>
              <w:t>g</w:t>
            </w:r>
            <w:r w:rsidRPr="00BC7BB5">
              <w:rPr>
                <w:rFonts w:ascii="Times New Roman" w:hAnsi="Times New Roman" w:cs="Times New Roman"/>
                <w:sz w:val="18"/>
                <w:szCs w:val="18"/>
              </w:rPr>
              <w:t xml:space="preserve">overnance </w:t>
            </w:r>
          </w:p>
        </w:tc>
        <w:tc>
          <w:tcPr>
            <w:tcW w:w="2497" w:type="dxa"/>
          </w:tcPr>
          <w:p w14:paraId="66242AA0" w14:textId="1751753E" w:rsidR="00211171" w:rsidRPr="00BC7BB5" w:rsidRDefault="00857749" w:rsidP="008B7058">
            <w:pPr>
              <w:pStyle w:val="NoSpacing"/>
              <w:jc w:val="both"/>
              <w:rPr>
                <w:rFonts w:ascii="Times New Roman" w:hAnsi="Times New Roman" w:cs="Times New Roman"/>
                <w:sz w:val="18"/>
                <w:szCs w:val="18"/>
              </w:rPr>
            </w:pPr>
            <w:r w:rsidRPr="00BC7BB5">
              <w:rPr>
                <w:rFonts w:ascii="Times New Roman" w:hAnsi="Times New Roman" w:cs="Times New Roman"/>
                <w:sz w:val="18"/>
                <w:szCs w:val="18"/>
              </w:rPr>
              <w:t xml:space="preserve">Reorienting the role of MAPMDREF towards its policy and regulatory functions </w:t>
            </w:r>
            <w:r w:rsidR="00211171" w:rsidRPr="00BC7BB5">
              <w:rPr>
                <w:rFonts w:ascii="Times New Roman" w:hAnsi="Times New Roman" w:cs="Times New Roman"/>
                <w:sz w:val="18"/>
                <w:szCs w:val="18"/>
              </w:rPr>
              <w:t xml:space="preserve">and delegation of agricultural services delivery to </w:t>
            </w:r>
            <w:r w:rsidR="00D95503">
              <w:rPr>
                <w:rFonts w:ascii="Times New Roman" w:hAnsi="Times New Roman" w:cs="Times New Roman"/>
                <w:sz w:val="18"/>
                <w:szCs w:val="18"/>
              </w:rPr>
              <w:t xml:space="preserve">deconcentrated services, </w:t>
            </w:r>
            <w:r w:rsidR="00211171" w:rsidRPr="00BC7BB5">
              <w:rPr>
                <w:rFonts w:ascii="Times New Roman" w:hAnsi="Times New Roman" w:cs="Times New Roman"/>
                <w:sz w:val="18"/>
                <w:szCs w:val="18"/>
              </w:rPr>
              <w:t>autonomous agencies or public-private partnerships</w:t>
            </w:r>
          </w:p>
        </w:tc>
        <w:tc>
          <w:tcPr>
            <w:tcW w:w="2967" w:type="dxa"/>
          </w:tcPr>
          <w:p w14:paraId="14843A15" w14:textId="61F2A595" w:rsidR="00857749" w:rsidRPr="00BC7BB5" w:rsidRDefault="00857749" w:rsidP="008B7058">
            <w:pPr>
              <w:jc w:val="both"/>
              <w:rPr>
                <w:rFonts w:ascii="Times New Roman" w:hAnsi="Times New Roman" w:cs="Times New Roman"/>
                <w:sz w:val="18"/>
                <w:szCs w:val="18"/>
              </w:rPr>
            </w:pPr>
            <w:r w:rsidRPr="00BC7BB5">
              <w:rPr>
                <w:rFonts w:ascii="Times New Roman" w:hAnsi="Times New Roman" w:cs="Times New Roman"/>
                <w:sz w:val="18"/>
                <w:szCs w:val="18"/>
              </w:rPr>
              <w:t>- Multi-annual expenditure framework agreements signed between MAPMDREF and MEF</w:t>
            </w:r>
            <w:r w:rsidR="007F1140" w:rsidRPr="00BC7BB5">
              <w:rPr>
                <w:rFonts w:ascii="Times New Roman" w:hAnsi="Times New Roman" w:cs="Times New Roman"/>
                <w:sz w:val="18"/>
                <w:szCs w:val="18"/>
              </w:rPr>
              <w:t>;</w:t>
            </w:r>
            <w:r w:rsidRPr="00BC7BB5">
              <w:rPr>
                <w:rFonts w:ascii="Times New Roman" w:hAnsi="Times New Roman" w:cs="Times New Roman"/>
                <w:sz w:val="18"/>
                <w:szCs w:val="18"/>
              </w:rPr>
              <w:t xml:space="preserve"> </w:t>
            </w:r>
          </w:p>
          <w:p w14:paraId="2FB4F812" w14:textId="72B76F06" w:rsidR="00857749" w:rsidRPr="00BC7BB5" w:rsidRDefault="00857749" w:rsidP="008B7058">
            <w:pPr>
              <w:jc w:val="both"/>
              <w:rPr>
                <w:rFonts w:ascii="Times New Roman" w:hAnsi="Times New Roman" w:cs="Times New Roman"/>
                <w:sz w:val="18"/>
                <w:szCs w:val="18"/>
              </w:rPr>
            </w:pPr>
            <w:r w:rsidRPr="00BC7BB5">
              <w:rPr>
                <w:rFonts w:ascii="Times New Roman" w:hAnsi="Times New Roman" w:cs="Times New Roman"/>
                <w:sz w:val="18"/>
                <w:szCs w:val="18"/>
              </w:rPr>
              <w:t>- Regional Agricultural Plans (PARs) developed to “localize” the PMV</w:t>
            </w:r>
            <w:r w:rsidR="007F1140" w:rsidRPr="00BC7BB5">
              <w:rPr>
                <w:rFonts w:ascii="Times New Roman" w:hAnsi="Times New Roman" w:cs="Times New Roman"/>
                <w:sz w:val="18"/>
                <w:szCs w:val="18"/>
              </w:rPr>
              <w:t>;</w:t>
            </w:r>
            <w:r w:rsidRPr="00BC7BB5">
              <w:rPr>
                <w:rFonts w:ascii="Times New Roman" w:hAnsi="Times New Roman" w:cs="Times New Roman"/>
                <w:sz w:val="18"/>
                <w:szCs w:val="18"/>
              </w:rPr>
              <w:t xml:space="preserve"> </w:t>
            </w:r>
          </w:p>
          <w:p w14:paraId="4C9D861B" w14:textId="23E81A22" w:rsidR="00857749" w:rsidRPr="00BC7BB5" w:rsidRDefault="00857749" w:rsidP="008B7058">
            <w:pPr>
              <w:jc w:val="both"/>
              <w:rPr>
                <w:rFonts w:ascii="Times New Roman" w:hAnsi="Times New Roman" w:cs="Times New Roman"/>
                <w:sz w:val="18"/>
                <w:szCs w:val="18"/>
              </w:rPr>
            </w:pPr>
            <w:r w:rsidRPr="00BC7BB5">
              <w:rPr>
                <w:rFonts w:ascii="Times New Roman" w:hAnsi="Times New Roman" w:cs="Times New Roman"/>
                <w:sz w:val="18"/>
                <w:szCs w:val="18"/>
              </w:rPr>
              <w:t xml:space="preserve">- Creation of </w:t>
            </w:r>
            <w:r w:rsidR="00D95503">
              <w:rPr>
                <w:rFonts w:ascii="Times New Roman" w:hAnsi="Times New Roman" w:cs="Times New Roman"/>
                <w:i/>
                <w:sz w:val="18"/>
                <w:szCs w:val="18"/>
              </w:rPr>
              <w:t>Agence pour l</w:t>
            </w:r>
            <w:r w:rsidRPr="00BC7BB5">
              <w:rPr>
                <w:rFonts w:ascii="Times New Roman" w:hAnsi="Times New Roman" w:cs="Times New Roman"/>
                <w:i/>
                <w:sz w:val="18"/>
                <w:szCs w:val="18"/>
              </w:rPr>
              <w:t>e Développement Agricole</w:t>
            </w:r>
            <w:r w:rsidRPr="00BC7BB5">
              <w:rPr>
                <w:rFonts w:ascii="Times New Roman" w:hAnsi="Times New Roman" w:cs="Times New Roman"/>
                <w:sz w:val="18"/>
                <w:szCs w:val="18"/>
              </w:rPr>
              <w:t xml:space="preserve"> (ADA) to facilitate </w:t>
            </w:r>
            <w:r w:rsidR="00F1551D" w:rsidRPr="00BC7BB5">
              <w:rPr>
                <w:rFonts w:ascii="Times New Roman" w:hAnsi="Times New Roman" w:cs="Times New Roman"/>
                <w:sz w:val="18"/>
                <w:szCs w:val="18"/>
              </w:rPr>
              <w:t>Pillar I and II</w:t>
            </w:r>
            <w:r w:rsidRPr="00BC7BB5">
              <w:rPr>
                <w:rFonts w:ascii="Times New Roman" w:hAnsi="Times New Roman" w:cs="Times New Roman"/>
                <w:sz w:val="18"/>
                <w:szCs w:val="18"/>
              </w:rPr>
              <w:t xml:space="preserve"> (2008)</w:t>
            </w:r>
            <w:r w:rsidR="007F1140" w:rsidRPr="00BC7BB5">
              <w:rPr>
                <w:rFonts w:ascii="Times New Roman" w:hAnsi="Times New Roman" w:cs="Times New Roman"/>
                <w:sz w:val="18"/>
                <w:szCs w:val="18"/>
              </w:rPr>
              <w:t>;</w:t>
            </w:r>
          </w:p>
          <w:p w14:paraId="522EA328" w14:textId="78FA36E8" w:rsidR="00857749" w:rsidRPr="00BC7BB5" w:rsidRDefault="00857749" w:rsidP="008B7058">
            <w:pPr>
              <w:jc w:val="both"/>
              <w:rPr>
                <w:rFonts w:ascii="Times New Roman" w:hAnsi="Times New Roman" w:cs="Times New Roman"/>
                <w:sz w:val="18"/>
                <w:szCs w:val="18"/>
              </w:rPr>
            </w:pPr>
            <w:r w:rsidRPr="00BC7BB5">
              <w:rPr>
                <w:rFonts w:ascii="Times New Roman" w:hAnsi="Times New Roman" w:cs="Times New Roman"/>
                <w:sz w:val="18"/>
                <w:szCs w:val="18"/>
              </w:rPr>
              <w:t xml:space="preserve">- Creation of </w:t>
            </w:r>
            <w:r w:rsidR="00777C0D" w:rsidRPr="00BC7BB5">
              <w:rPr>
                <w:rFonts w:ascii="Times New Roman" w:hAnsi="Times New Roman" w:cs="Times New Roman"/>
                <w:i/>
                <w:sz w:val="18"/>
                <w:szCs w:val="18"/>
              </w:rPr>
              <w:t>i</w:t>
            </w:r>
            <w:r w:rsidRPr="00BC7BB5">
              <w:rPr>
                <w:rFonts w:ascii="Times New Roman" w:hAnsi="Times New Roman" w:cs="Times New Roman"/>
                <w:i/>
                <w:sz w:val="18"/>
                <w:szCs w:val="18"/>
              </w:rPr>
              <w:t>nterprofessions</w:t>
            </w:r>
            <w:r w:rsidRPr="00BC7BB5">
              <w:rPr>
                <w:rFonts w:ascii="Times New Roman" w:hAnsi="Times New Roman" w:cs="Times New Roman"/>
                <w:sz w:val="18"/>
                <w:szCs w:val="18"/>
              </w:rPr>
              <w:t xml:space="preserve"> for intra-branch coordination and to support public-private dialogue (2012)</w:t>
            </w:r>
            <w:r w:rsidR="007F1140" w:rsidRPr="00BC7BB5">
              <w:rPr>
                <w:rFonts w:ascii="Times New Roman" w:hAnsi="Times New Roman" w:cs="Times New Roman"/>
                <w:sz w:val="18"/>
                <w:szCs w:val="18"/>
              </w:rPr>
              <w:t>;</w:t>
            </w:r>
          </w:p>
          <w:p w14:paraId="62361E34" w14:textId="73DDFA4C" w:rsidR="00857749" w:rsidRPr="00BC7BB5" w:rsidRDefault="00857749" w:rsidP="008B7058">
            <w:pPr>
              <w:pStyle w:val="NoSpacing"/>
              <w:jc w:val="both"/>
              <w:rPr>
                <w:rFonts w:ascii="Times New Roman" w:hAnsi="Times New Roman" w:cs="Times New Roman"/>
                <w:sz w:val="18"/>
                <w:szCs w:val="18"/>
              </w:rPr>
            </w:pPr>
            <w:r w:rsidRPr="00BC7BB5">
              <w:rPr>
                <w:rFonts w:ascii="Times New Roman" w:hAnsi="Times New Roman" w:cs="Times New Roman"/>
                <w:sz w:val="18"/>
                <w:szCs w:val="18"/>
              </w:rPr>
              <w:t xml:space="preserve">- Result-oriented </w:t>
            </w:r>
            <w:r w:rsidRPr="00BC7BB5">
              <w:rPr>
                <w:rFonts w:ascii="Times New Roman" w:hAnsi="Times New Roman" w:cs="Times New Roman"/>
                <w:i/>
                <w:sz w:val="18"/>
                <w:szCs w:val="18"/>
              </w:rPr>
              <w:t>contrat-programmes</w:t>
            </w:r>
            <w:r w:rsidR="008F6526" w:rsidRPr="00BC7BB5">
              <w:rPr>
                <w:rFonts w:ascii="Times New Roman" w:hAnsi="Times New Roman" w:cs="Times New Roman"/>
                <w:i/>
                <w:sz w:val="18"/>
                <w:szCs w:val="18"/>
              </w:rPr>
              <w:t xml:space="preserve"> (CP)</w:t>
            </w:r>
            <w:r w:rsidRPr="00BC7BB5">
              <w:rPr>
                <w:rFonts w:ascii="Times New Roman" w:hAnsi="Times New Roman" w:cs="Times New Roman"/>
                <w:sz w:val="18"/>
                <w:szCs w:val="18"/>
              </w:rPr>
              <w:t xml:space="preserve"> signed by MAPM</w:t>
            </w:r>
            <w:r w:rsidR="008F6526" w:rsidRPr="00BC7BB5">
              <w:rPr>
                <w:rFonts w:ascii="Times New Roman" w:hAnsi="Times New Roman" w:cs="Times New Roman"/>
                <w:sz w:val="18"/>
                <w:szCs w:val="18"/>
              </w:rPr>
              <w:t xml:space="preserve">DREF, </w:t>
            </w:r>
            <w:r w:rsidRPr="00BC7BB5">
              <w:rPr>
                <w:rFonts w:ascii="Times New Roman" w:hAnsi="Times New Roman" w:cs="Times New Roman"/>
                <w:sz w:val="18"/>
                <w:szCs w:val="18"/>
              </w:rPr>
              <w:t xml:space="preserve">MEF </w:t>
            </w:r>
            <w:r w:rsidR="008F6526" w:rsidRPr="00BC7BB5">
              <w:rPr>
                <w:rFonts w:ascii="Times New Roman" w:hAnsi="Times New Roman" w:cs="Times New Roman"/>
                <w:sz w:val="18"/>
                <w:szCs w:val="18"/>
              </w:rPr>
              <w:t>and</w:t>
            </w:r>
            <w:r w:rsidRPr="00BC7BB5">
              <w:rPr>
                <w:rFonts w:ascii="Times New Roman" w:hAnsi="Times New Roman" w:cs="Times New Roman"/>
                <w:sz w:val="18"/>
                <w:szCs w:val="18"/>
              </w:rPr>
              <w:t xml:space="preserve"> </w:t>
            </w:r>
            <w:r w:rsidR="008F6526" w:rsidRPr="00BC7BB5">
              <w:rPr>
                <w:rFonts w:ascii="Times New Roman" w:hAnsi="Times New Roman" w:cs="Times New Roman"/>
                <w:sz w:val="18"/>
                <w:szCs w:val="18"/>
              </w:rPr>
              <w:t>interprofessions in</w:t>
            </w:r>
            <w:r w:rsidRPr="00BC7BB5">
              <w:rPr>
                <w:rFonts w:ascii="Times New Roman" w:hAnsi="Times New Roman" w:cs="Times New Roman"/>
                <w:sz w:val="18"/>
                <w:szCs w:val="18"/>
              </w:rPr>
              <w:t xml:space="preserve"> 18 </w:t>
            </w:r>
            <w:r w:rsidR="008F6526" w:rsidRPr="00BC7BB5">
              <w:rPr>
                <w:rFonts w:ascii="Times New Roman" w:hAnsi="Times New Roman" w:cs="Times New Roman"/>
                <w:sz w:val="18"/>
                <w:szCs w:val="18"/>
              </w:rPr>
              <w:t>sub-sectors</w:t>
            </w:r>
            <w:r w:rsidRPr="00BC7BB5">
              <w:rPr>
                <w:rFonts w:ascii="Times New Roman" w:hAnsi="Times New Roman" w:cs="Times New Roman"/>
                <w:sz w:val="18"/>
                <w:szCs w:val="18"/>
              </w:rPr>
              <w:t xml:space="preserve"> and with FENAGRI for the agri-food industry (CP IAA)</w:t>
            </w:r>
          </w:p>
        </w:tc>
        <w:tc>
          <w:tcPr>
            <w:tcW w:w="2645" w:type="dxa"/>
          </w:tcPr>
          <w:p w14:paraId="5131A794" w14:textId="77777777" w:rsidR="00857749" w:rsidRPr="00BC7BB5" w:rsidRDefault="00857749" w:rsidP="008B7058">
            <w:pPr>
              <w:rPr>
                <w:rFonts w:ascii="Times New Roman" w:hAnsi="Times New Roman" w:cs="Times New Roman"/>
                <w:sz w:val="18"/>
                <w:szCs w:val="18"/>
              </w:rPr>
            </w:pPr>
            <w:r w:rsidRPr="00BC7BB5">
              <w:rPr>
                <w:rFonts w:ascii="Times New Roman" w:hAnsi="Times New Roman" w:cs="Times New Roman"/>
                <w:sz w:val="18"/>
                <w:szCs w:val="18"/>
              </w:rPr>
              <w:t>- Lack of integrated financial management system</w:t>
            </w:r>
          </w:p>
          <w:p w14:paraId="78F6A7D0" w14:textId="77777777" w:rsidR="00857749" w:rsidRPr="00BC7BB5" w:rsidRDefault="00857749" w:rsidP="008B7058">
            <w:pPr>
              <w:rPr>
                <w:rFonts w:ascii="Times New Roman" w:hAnsi="Times New Roman" w:cs="Times New Roman"/>
                <w:sz w:val="18"/>
                <w:szCs w:val="18"/>
              </w:rPr>
            </w:pPr>
            <w:r w:rsidRPr="00BC7BB5">
              <w:rPr>
                <w:rFonts w:ascii="Times New Roman" w:hAnsi="Times New Roman" w:cs="Times New Roman"/>
                <w:sz w:val="18"/>
                <w:szCs w:val="18"/>
              </w:rPr>
              <w:t xml:space="preserve">- Need to strengthen program coordination, monitoring and evaluation </w:t>
            </w:r>
          </w:p>
          <w:p w14:paraId="2990C89B" w14:textId="47F31567" w:rsidR="00857749" w:rsidRPr="00BC7BB5" w:rsidRDefault="00857749" w:rsidP="008B7058">
            <w:pPr>
              <w:rPr>
                <w:rFonts w:ascii="Times New Roman" w:hAnsi="Times New Roman" w:cs="Times New Roman"/>
                <w:sz w:val="18"/>
                <w:szCs w:val="18"/>
              </w:rPr>
            </w:pPr>
            <w:r w:rsidRPr="00BC7BB5">
              <w:rPr>
                <w:rFonts w:ascii="Times New Roman" w:hAnsi="Times New Roman" w:cs="Times New Roman"/>
                <w:sz w:val="18"/>
                <w:szCs w:val="18"/>
              </w:rPr>
              <w:t xml:space="preserve">- Weak </w:t>
            </w:r>
            <w:r w:rsidR="00777C0D" w:rsidRPr="00BC7BB5">
              <w:rPr>
                <w:rFonts w:ascii="Times New Roman" w:hAnsi="Times New Roman" w:cs="Times New Roman"/>
                <w:sz w:val="18"/>
                <w:szCs w:val="18"/>
              </w:rPr>
              <w:t>i</w:t>
            </w:r>
            <w:r w:rsidRPr="00BC7BB5">
              <w:rPr>
                <w:rFonts w:ascii="Times New Roman" w:hAnsi="Times New Roman" w:cs="Times New Roman"/>
                <w:sz w:val="18"/>
                <w:szCs w:val="18"/>
              </w:rPr>
              <w:t>nterprofessions</w:t>
            </w:r>
          </w:p>
          <w:p w14:paraId="326CA778" w14:textId="77777777" w:rsidR="00857749" w:rsidRPr="00BC7BB5" w:rsidRDefault="00857749" w:rsidP="008B7058">
            <w:pPr>
              <w:rPr>
                <w:rFonts w:ascii="Times New Roman" w:hAnsi="Times New Roman" w:cs="Times New Roman"/>
                <w:sz w:val="18"/>
                <w:szCs w:val="18"/>
              </w:rPr>
            </w:pPr>
            <w:r w:rsidRPr="00BC7BB5">
              <w:rPr>
                <w:rFonts w:ascii="Times New Roman" w:hAnsi="Times New Roman" w:cs="Times New Roman"/>
                <w:sz w:val="18"/>
                <w:szCs w:val="18"/>
              </w:rPr>
              <w:t>- Contrat-programmes partially implemented (results behind targets in selected areas)</w:t>
            </w:r>
          </w:p>
        </w:tc>
        <w:tc>
          <w:tcPr>
            <w:tcW w:w="3231" w:type="dxa"/>
          </w:tcPr>
          <w:p w14:paraId="0D61732D" w14:textId="77777777" w:rsidR="00857749" w:rsidRPr="00BC7BB5" w:rsidRDefault="00857749" w:rsidP="008B7058">
            <w:pPr>
              <w:rPr>
                <w:rFonts w:ascii="Times New Roman" w:hAnsi="Times New Roman" w:cs="Times New Roman"/>
                <w:sz w:val="18"/>
                <w:szCs w:val="18"/>
              </w:rPr>
            </w:pPr>
            <w:r w:rsidRPr="00BC7BB5">
              <w:rPr>
                <w:rFonts w:ascii="Times New Roman" w:hAnsi="Times New Roman" w:cs="Times New Roman"/>
                <w:sz w:val="18"/>
                <w:szCs w:val="18"/>
              </w:rPr>
              <w:t>-Develop integrated financial management system</w:t>
            </w:r>
          </w:p>
          <w:p w14:paraId="6E8C2AE2" w14:textId="77777777" w:rsidR="00857749" w:rsidRPr="00BC7BB5" w:rsidRDefault="00857749" w:rsidP="008B7058">
            <w:pPr>
              <w:rPr>
                <w:rFonts w:ascii="Times New Roman" w:hAnsi="Times New Roman" w:cs="Times New Roman"/>
                <w:sz w:val="18"/>
                <w:szCs w:val="18"/>
              </w:rPr>
            </w:pPr>
            <w:r w:rsidRPr="00BC7BB5">
              <w:rPr>
                <w:rFonts w:ascii="Times New Roman" w:hAnsi="Times New Roman" w:cs="Times New Roman"/>
                <w:sz w:val="18"/>
                <w:szCs w:val="18"/>
              </w:rPr>
              <w:t xml:space="preserve">- Strengthen program coordination, monitoring and evaluation </w:t>
            </w:r>
          </w:p>
          <w:p w14:paraId="12562062" w14:textId="5388E77C" w:rsidR="00857749" w:rsidRPr="00BC7BB5" w:rsidRDefault="00857749" w:rsidP="008B7058">
            <w:pPr>
              <w:rPr>
                <w:rFonts w:ascii="Times New Roman" w:hAnsi="Times New Roman" w:cs="Times New Roman"/>
                <w:sz w:val="18"/>
                <w:szCs w:val="18"/>
              </w:rPr>
            </w:pPr>
            <w:r w:rsidRPr="00BC7BB5">
              <w:rPr>
                <w:rFonts w:ascii="Times New Roman" w:hAnsi="Times New Roman" w:cs="Times New Roman"/>
                <w:sz w:val="18"/>
                <w:szCs w:val="18"/>
              </w:rPr>
              <w:t xml:space="preserve">-Strengthen at least two </w:t>
            </w:r>
            <w:r w:rsidR="00777C0D" w:rsidRPr="00BC7BB5">
              <w:rPr>
                <w:rFonts w:ascii="Times New Roman" w:hAnsi="Times New Roman" w:cs="Times New Roman"/>
                <w:sz w:val="18"/>
                <w:szCs w:val="18"/>
              </w:rPr>
              <w:t>i</w:t>
            </w:r>
            <w:r w:rsidRPr="00BC7BB5">
              <w:rPr>
                <w:rFonts w:ascii="Times New Roman" w:hAnsi="Times New Roman" w:cs="Times New Roman"/>
                <w:sz w:val="18"/>
                <w:szCs w:val="18"/>
              </w:rPr>
              <w:t>nterprofessions</w:t>
            </w:r>
          </w:p>
          <w:p w14:paraId="0D2501E2" w14:textId="77777777" w:rsidR="00857749" w:rsidRPr="00BC7BB5" w:rsidRDefault="00857749" w:rsidP="008B7058">
            <w:pPr>
              <w:rPr>
                <w:rFonts w:ascii="Times New Roman" w:hAnsi="Times New Roman" w:cs="Times New Roman"/>
                <w:i/>
                <w:sz w:val="18"/>
                <w:szCs w:val="18"/>
              </w:rPr>
            </w:pPr>
            <w:r w:rsidRPr="00BC7BB5">
              <w:rPr>
                <w:rFonts w:ascii="Times New Roman" w:hAnsi="Times New Roman" w:cs="Times New Roman"/>
                <w:sz w:val="18"/>
                <w:szCs w:val="18"/>
              </w:rPr>
              <w:t xml:space="preserve">- Support for the implementation of the olive and citrus </w:t>
            </w:r>
            <w:r w:rsidRPr="00BC7BB5">
              <w:rPr>
                <w:rFonts w:ascii="Times New Roman" w:hAnsi="Times New Roman" w:cs="Times New Roman"/>
                <w:i/>
                <w:sz w:val="18"/>
                <w:szCs w:val="18"/>
              </w:rPr>
              <w:t>contrat-programmes</w:t>
            </w:r>
          </w:p>
          <w:p w14:paraId="5FC5EA01" w14:textId="77777777" w:rsidR="00857749" w:rsidRPr="00BC7BB5" w:rsidRDefault="00857749" w:rsidP="008B7058">
            <w:pPr>
              <w:rPr>
                <w:rFonts w:ascii="Times New Roman" w:hAnsi="Times New Roman" w:cs="Times New Roman"/>
                <w:sz w:val="18"/>
                <w:szCs w:val="18"/>
              </w:rPr>
            </w:pPr>
            <w:r w:rsidRPr="00BC7BB5">
              <w:rPr>
                <w:rFonts w:ascii="Times New Roman" w:hAnsi="Times New Roman" w:cs="Times New Roman"/>
                <w:sz w:val="18"/>
                <w:szCs w:val="18"/>
              </w:rPr>
              <w:t xml:space="preserve">- Support for the implementation of the </w:t>
            </w:r>
            <w:r w:rsidRPr="00BC7BB5">
              <w:rPr>
                <w:rFonts w:ascii="Times New Roman" w:hAnsi="Times New Roman" w:cs="Times New Roman"/>
                <w:i/>
                <w:sz w:val="18"/>
                <w:szCs w:val="18"/>
              </w:rPr>
              <w:t>contrat-programme</w:t>
            </w:r>
            <w:r w:rsidRPr="00BC7BB5">
              <w:rPr>
                <w:rFonts w:ascii="Times New Roman" w:hAnsi="Times New Roman" w:cs="Times New Roman"/>
                <w:sz w:val="18"/>
                <w:szCs w:val="18"/>
              </w:rPr>
              <w:t xml:space="preserve"> for the agri-food industry (CP IAA)</w:t>
            </w:r>
          </w:p>
          <w:p w14:paraId="46AF1D54" w14:textId="77777777" w:rsidR="00857749" w:rsidRPr="00BC7BB5" w:rsidRDefault="00857749" w:rsidP="008B7058">
            <w:pPr>
              <w:rPr>
                <w:rFonts w:ascii="Times New Roman" w:hAnsi="Times New Roman" w:cs="Times New Roman"/>
                <w:sz w:val="18"/>
                <w:szCs w:val="18"/>
              </w:rPr>
            </w:pPr>
          </w:p>
          <w:p w14:paraId="4704E7BF" w14:textId="77777777" w:rsidR="00857749" w:rsidRPr="00BC7BB5" w:rsidRDefault="00857749" w:rsidP="008B7058">
            <w:pPr>
              <w:rPr>
                <w:rFonts w:ascii="Times New Roman" w:hAnsi="Times New Roman" w:cs="Times New Roman"/>
                <w:sz w:val="18"/>
                <w:szCs w:val="18"/>
              </w:rPr>
            </w:pPr>
          </w:p>
          <w:p w14:paraId="223B6820" w14:textId="77777777" w:rsidR="00857749" w:rsidRPr="00BC7BB5" w:rsidRDefault="00857749" w:rsidP="008B7058">
            <w:pPr>
              <w:rPr>
                <w:rFonts w:ascii="Times New Roman" w:hAnsi="Times New Roman" w:cs="Times New Roman"/>
                <w:sz w:val="18"/>
                <w:szCs w:val="18"/>
              </w:rPr>
            </w:pPr>
          </w:p>
        </w:tc>
      </w:tr>
      <w:tr w:rsidR="00857749" w:rsidRPr="00BC7BB5" w14:paraId="0198E6D8" w14:textId="77777777" w:rsidTr="00211171">
        <w:tc>
          <w:tcPr>
            <w:tcW w:w="2250" w:type="dxa"/>
          </w:tcPr>
          <w:p w14:paraId="5F0892BA" w14:textId="1D640555" w:rsidR="00857749" w:rsidRPr="00BC7BB5" w:rsidRDefault="00857749" w:rsidP="008B7058">
            <w:pPr>
              <w:jc w:val="both"/>
              <w:rPr>
                <w:rFonts w:ascii="Times New Roman" w:hAnsi="Times New Roman" w:cs="Times New Roman"/>
                <w:sz w:val="18"/>
                <w:szCs w:val="18"/>
              </w:rPr>
            </w:pPr>
            <w:r w:rsidRPr="00BC7BB5">
              <w:rPr>
                <w:rFonts w:ascii="Times New Roman" w:hAnsi="Times New Roman" w:cs="Times New Roman"/>
                <w:sz w:val="18"/>
                <w:szCs w:val="18"/>
              </w:rPr>
              <w:t xml:space="preserve">Market </w:t>
            </w:r>
            <w:r w:rsidR="00650CDE" w:rsidRPr="00BC7BB5">
              <w:rPr>
                <w:rFonts w:ascii="Times New Roman" w:hAnsi="Times New Roman" w:cs="Times New Roman"/>
                <w:sz w:val="18"/>
                <w:szCs w:val="18"/>
              </w:rPr>
              <w:t>efficiency</w:t>
            </w:r>
          </w:p>
        </w:tc>
        <w:tc>
          <w:tcPr>
            <w:tcW w:w="2497" w:type="dxa"/>
          </w:tcPr>
          <w:p w14:paraId="66F1CB46" w14:textId="77777777" w:rsidR="00857749" w:rsidRPr="00BC7BB5" w:rsidRDefault="00857749" w:rsidP="008B7058">
            <w:pPr>
              <w:rPr>
                <w:rFonts w:ascii="Times New Roman" w:hAnsi="Times New Roman" w:cs="Times New Roman"/>
                <w:sz w:val="18"/>
                <w:szCs w:val="18"/>
              </w:rPr>
            </w:pPr>
            <w:r w:rsidRPr="00BC7BB5">
              <w:rPr>
                <w:rFonts w:ascii="Times New Roman" w:hAnsi="Times New Roman" w:cs="Times New Roman"/>
                <w:sz w:val="18"/>
                <w:szCs w:val="18"/>
              </w:rPr>
              <w:t xml:space="preserve">Improving the efficiency and transparency of domestic markets </w:t>
            </w:r>
          </w:p>
        </w:tc>
        <w:tc>
          <w:tcPr>
            <w:tcW w:w="2967" w:type="dxa"/>
          </w:tcPr>
          <w:p w14:paraId="6510373C" w14:textId="48123716" w:rsidR="00857749" w:rsidRPr="00BC7BB5" w:rsidRDefault="00857749" w:rsidP="008B7058">
            <w:pPr>
              <w:jc w:val="both"/>
              <w:rPr>
                <w:rFonts w:ascii="Times New Roman" w:hAnsi="Times New Roman" w:cs="Times New Roman"/>
                <w:sz w:val="18"/>
                <w:szCs w:val="18"/>
              </w:rPr>
            </w:pPr>
            <w:r w:rsidRPr="00BC7BB5">
              <w:rPr>
                <w:rFonts w:ascii="Times New Roman" w:hAnsi="Times New Roman" w:cs="Times New Roman"/>
                <w:sz w:val="18"/>
                <w:szCs w:val="18"/>
              </w:rPr>
              <w:t>-National Strategy and Action Plan for the Restructuring of Fruit an</w:t>
            </w:r>
            <w:r w:rsidR="007F1140" w:rsidRPr="00BC7BB5">
              <w:rPr>
                <w:rFonts w:ascii="Times New Roman" w:hAnsi="Times New Roman" w:cs="Times New Roman"/>
                <w:sz w:val="18"/>
                <w:szCs w:val="18"/>
              </w:rPr>
              <w:t xml:space="preserve">d Vegetable Wholesale Markets </w:t>
            </w:r>
            <w:r w:rsidRPr="00BC7BB5">
              <w:rPr>
                <w:rFonts w:ascii="Times New Roman" w:hAnsi="Times New Roman" w:cs="Times New Roman"/>
                <w:sz w:val="18"/>
                <w:szCs w:val="18"/>
              </w:rPr>
              <w:t>adopted (2010)</w:t>
            </w:r>
          </w:p>
          <w:p w14:paraId="3A23EDD6" w14:textId="37B040D4" w:rsidR="00857749" w:rsidRPr="00BC7BB5" w:rsidRDefault="00857749" w:rsidP="008B7058">
            <w:pPr>
              <w:jc w:val="both"/>
              <w:rPr>
                <w:rFonts w:ascii="Times New Roman" w:hAnsi="Times New Roman" w:cs="Times New Roman"/>
                <w:sz w:val="18"/>
                <w:szCs w:val="18"/>
              </w:rPr>
            </w:pPr>
            <w:r w:rsidRPr="00BC7BB5">
              <w:rPr>
                <w:rFonts w:ascii="Times New Roman" w:hAnsi="Times New Roman" w:cs="Times New Roman"/>
                <w:sz w:val="18"/>
                <w:szCs w:val="18"/>
              </w:rPr>
              <w:t xml:space="preserve">- New management model for wholesale market identified </w:t>
            </w:r>
          </w:p>
          <w:p w14:paraId="0F67F9F2" w14:textId="77777777" w:rsidR="00857749" w:rsidRPr="00BC7BB5" w:rsidRDefault="00857749" w:rsidP="008B7058">
            <w:pPr>
              <w:jc w:val="both"/>
              <w:rPr>
                <w:rFonts w:ascii="Times New Roman" w:hAnsi="Times New Roman" w:cs="Times New Roman"/>
                <w:sz w:val="18"/>
                <w:szCs w:val="18"/>
              </w:rPr>
            </w:pPr>
            <w:r w:rsidRPr="00BC7BB5">
              <w:rPr>
                <w:rFonts w:ascii="Times New Roman" w:hAnsi="Times New Roman" w:cs="Times New Roman"/>
                <w:sz w:val="18"/>
                <w:szCs w:val="18"/>
              </w:rPr>
              <w:t xml:space="preserve">- Domestic market for red meat liberalized </w:t>
            </w:r>
          </w:p>
          <w:p w14:paraId="22EC6C2B" w14:textId="77777777" w:rsidR="00857749" w:rsidRPr="00BC7BB5" w:rsidRDefault="00857749" w:rsidP="008B7058">
            <w:pPr>
              <w:jc w:val="both"/>
              <w:rPr>
                <w:rFonts w:ascii="Times New Roman" w:hAnsi="Times New Roman" w:cs="Times New Roman"/>
                <w:sz w:val="18"/>
                <w:szCs w:val="18"/>
              </w:rPr>
            </w:pPr>
            <w:r w:rsidRPr="00BC7BB5">
              <w:rPr>
                <w:rFonts w:ascii="Times New Roman" w:hAnsi="Times New Roman" w:cs="Times New Roman"/>
                <w:sz w:val="18"/>
                <w:szCs w:val="18"/>
              </w:rPr>
              <w:t xml:space="preserve">- </w:t>
            </w:r>
            <w:r w:rsidRPr="00BC7BB5">
              <w:rPr>
                <w:rFonts w:ascii="Times New Roman" w:hAnsi="Times New Roman" w:cs="Times New Roman"/>
                <w:i/>
                <w:sz w:val="18"/>
                <w:szCs w:val="18"/>
              </w:rPr>
              <w:t>Asaar</w:t>
            </w:r>
            <w:r w:rsidRPr="00BC7BB5">
              <w:rPr>
                <w:rFonts w:ascii="Times New Roman" w:hAnsi="Times New Roman" w:cs="Times New Roman"/>
                <w:sz w:val="18"/>
                <w:szCs w:val="18"/>
              </w:rPr>
              <w:t xml:space="preserve"> market information platform established</w:t>
            </w:r>
          </w:p>
        </w:tc>
        <w:tc>
          <w:tcPr>
            <w:tcW w:w="2645" w:type="dxa"/>
          </w:tcPr>
          <w:p w14:paraId="62FE6A63" w14:textId="77777777" w:rsidR="00857749" w:rsidRPr="00BC7BB5" w:rsidRDefault="00857749" w:rsidP="008B7058">
            <w:pPr>
              <w:rPr>
                <w:rFonts w:ascii="Times New Roman" w:hAnsi="Times New Roman" w:cs="Times New Roman"/>
                <w:sz w:val="18"/>
                <w:szCs w:val="18"/>
              </w:rPr>
            </w:pPr>
            <w:r w:rsidRPr="00BC7BB5">
              <w:rPr>
                <w:rFonts w:ascii="Times New Roman" w:hAnsi="Times New Roman" w:cs="Times New Roman"/>
                <w:sz w:val="18"/>
                <w:szCs w:val="18"/>
              </w:rPr>
              <w:t>- Reduce market distortions through progressive liberalization of domestic fruit and vegetable market</w:t>
            </w:r>
          </w:p>
          <w:p w14:paraId="55443DB7" w14:textId="77777777" w:rsidR="00857749" w:rsidRPr="00BC7BB5" w:rsidRDefault="00857749" w:rsidP="008B7058">
            <w:pPr>
              <w:rPr>
                <w:rFonts w:ascii="Times New Roman" w:hAnsi="Times New Roman" w:cs="Times New Roman"/>
                <w:sz w:val="18"/>
                <w:szCs w:val="18"/>
              </w:rPr>
            </w:pPr>
            <w:r w:rsidRPr="00BC7BB5">
              <w:rPr>
                <w:rFonts w:ascii="Times New Roman" w:hAnsi="Times New Roman" w:cs="Times New Roman"/>
                <w:sz w:val="18"/>
                <w:szCs w:val="18"/>
              </w:rPr>
              <w:t>- Implement new wholesale market management model</w:t>
            </w:r>
          </w:p>
          <w:p w14:paraId="360088F2" w14:textId="7A72E1E1" w:rsidR="00857749" w:rsidRPr="00BC7BB5" w:rsidRDefault="00857749" w:rsidP="008B7058">
            <w:pPr>
              <w:rPr>
                <w:rFonts w:ascii="Times New Roman" w:hAnsi="Times New Roman" w:cs="Times New Roman"/>
                <w:sz w:val="18"/>
                <w:szCs w:val="18"/>
              </w:rPr>
            </w:pPr>
            <w:r w:rsidRPr="00BC7BB5">
              <w:rPr>
                <w:rFonts w:ascii="Times New Roman" w:hAnsi="Times New Roman" w:cs="Times New Roman"/>
                <w:sz w:val="18"/>
                <w:szCs w:val="18"/>
              </w:rPr>
              <w:t>-Upgrade slaughterhouse infrastructure</w:t>
            </w:r>
          </w:p>
          <w:p w14:paraId="4D92823B" w14:textId="3AC49583" w:rsidR="00857749" w:rsidRPr="00BC7BB5" w:rsidRDefault="00857749" w:rsidP="008B7058">
            <w:pPr>
              <w:rPr>
                <w:rFonts w:ascii="Times New Roman" w:hAnsi="Times New Roman" w:cs="Times New Roman"/>
                <w:sz w:val="18"/>
                <w:szCs w:val="18"/>
              </w:rPr>
            </w:pPr>
            <w:r w:rsidRPr="00BC7BB5">
              <w:rPr>
                <w:rFonts w:ascii="Times New Roman" w:hAnsi="Times New Roman" w:cs="Times New Roman"/>
                <w:sz w:val="18"/>
                <w:szCs w:val="18"/>
              </w:rPr>
              <w:t xml:space="preserve">- Upgrade </w:t>
            </w:r>
            <w:r w:rsidRPr="00BC7BB5">
              <w:rPr>
                <w:rFonts w:ascii="Times New Roman" w:hAnsi="Times New Roman" w:cs="Times New Roman"/>
                <w:i/>
                <w:sz w:val="18"/>
                <w:szCs w:val="18"/>
              </w:rPr>
              <w:t>Asaar</w:t>
            </w:r>
            <w:r w:rsidRPr="00BC7BB5">
              <w:rPr>
                <w:rFonts w:ascii="Times New Roman" w:hAnsi="Times New Roman" w:cs="Times New Roman"/>
                <w:sz w:val="18"/>
                <w:szCs w:val="18"/>
              </w:rPr>
              <w:t xml:space="preserve"> platform and </w:t>
            </w:r>
            <w:r w:rsidR="00F1551D" w:rsidRPr="00BC7BB5">
              <w:rPr>
                <w:rFonts w:ascii="Times New Roman" w:hAnsi="Times New Roman" w:cs="Times New Roman"/>
                <w:sz w:val="18"/>
                <w:szCs w:val="18"/>
              </w:rPr>
              <w:t xml:space="preserve">increase </w:t>
            </w:r>
            <w:r w:rsidRPr="00BC7BB5">
              <w:rPr>
                <w:rFonts w:ascii="Times New Roman" w:hAnsi="Times New Roman" w:cs="Times New Roman"/>
                <w:sz w:val="18"/>
                <w:szCs w:val="18"/>
              </w:rPr>
              <w:t xml:space="preserve">outreach </w:t>
            </w:r>
            <w:r w:rsidR="00F1551D" w:rsidRPr="00BC7BB5">
              <w:rPr>
                <w:rFonts w:ascii="Times New Roman" w:hAnsi="Times New Roman" w:cs="Times New Roman"/>
                <w:sz w:val="18"/>
                <w:szCs w:val="18"/>
              </w:rPr>
              <w:t>through</w:t>
            </w:r>
            <w:r w:rsidRPr="00BC7BB5">
              <w:rPr>
                <w:rFonts w:ascii="Times New Roman" w:hAnsi="Times New Roman" w:cs="Times New Roman"/>
                <w:sz w:val="18"/>
                <w:szCs w:val="18"/>
              </w:rPr>
              <w:t xml:space="preserve"> ICT </w:t>
            </w:r>
          </w:p>
        </w:tc>
        <w:tc>
          <w:tcPr>
            <w:tcW w:w="3231" w:type="dxa"/>
          </w:tcPr>
          <w:p w14:paraId="70FC27FD" w14:textId="77777777" w:rsidR="007F1140" w:rsidRPr="00BC7BB5" w:rsidRDefault="00857749" w:rsidP="008B7058">
            <w:pPr>
              <w:jc w:val="both"/>
              <w:rPr>
                <w:rFonts w:ascii="Times New Roman" w:hAnsi="Times New Roman" w:cs="Times New Roman"/>
                <w:sz w:val="18"/>
                <w:szCs w:val="18"/>
              </w:rPr>
            </w:pPr>
            <w:r w:rsidRPr="00BC7BB5">
              <w:rPr>
                <w:rFonts w:ascii="Times New Roman" w:hAnsi="Times New Roman" w:cs="Times New Roman"/>
                <w:sz w:val="18"/>
                <w:szCs w:val="18"/>
              </w:rPr>
              <w:t>- At least one wholesale market with new management model</w:t>
            </w:r>
          </w:p>
          <w:p w14:paraId="3BB09D8C" w14:textId="50F5E329" w:rsidR="00857749" w:rsidRPr="00BC7BB5" w:rsidRDefault="007F1140" w:rsidP="00D95503">
            <w:pPr>
              <w:jc w:val="both"/>
              <w:rPr>
                <w:rFonts w:ascii="Times New Roman" w:hAnsi="Times New Roman" w:cs="Times New Roman"/>
                <w:sz w:val="18"/>
                <w:szCs w:val="18"/>
              </w:rPr>
            </w:pPr>
            <w:r w:rsidRPr="00BC7BB5">
              <w:rPr>
                <w:rFonts w:ascii="Times New Roman" w:hAnsi="Times New Roman" w:cs="Times New Roman"/>
                <w:sz w:val="18"/>
                <w:szCs w:val="18"/>
              </w:rPr>
              <w:t xml:space="preserve">- </w:t>
            </w:r>
            <w:r w:rsidR="00857749" w:rsidRPr="00BC7BB5">
              <w:rPr>
                <w:rFonts w:ascii="Times New Roman" w:hAnsi="Times New Roman" w:cs="Times New Roman"/>
                <w:sz w:val="18"/>
                <w:szCs w:val="18"/>
              </w:rPr>
              <w:t xml:space="preserve">Upgrade </w:t>
            </w:r>
            <w:r w:rsidR="00857749" w:rsidRPr="00BC7BB5">
              <w:rPr>
                <w:rFonts w:ascii="Times New Roman" w:hAnsi="Times New Roman" w:cs="Times New Roman"/>
                <w:i/>
                <w:sz w:val="18"/>
                <w:szCs w:val="18"/>
              </w:rPr>
              <w:t>Asaar</w:t>
            </w:r>
            <w:r w:rsidR="00857749" w:rsidRPr="00BC7BB5">
              <w:rPr>
                <w:rFonts w:ascii="Times New Roman" w:hAnsi="Times New Roman" w:cs="Times New Roman"/>
                <w:sz w:val="18"/>
                <w:szCs w:val="18"/>
              </w:rPr>
              <w:t xml:space="preserve"> platform and expand outreach to users with new ICT tools</w:t>
            </w:r>
          </w:p>
        </w:tc>
      </w:tr>
      <w:tr w:rsidR="00857749" w:rsidRPr="00BC7BB5" w14:paraId="319B810D" w14:textId="77777777" w:rsidTr="00211171">
        <w:tc>
          <w:tcPr>
            <w:tcW w:w="2250" w:type="dxa"/>
          </w:tcPr>
          <w:p w14:paraId="61DC9DEB" w14:textId="0FEC10B5" w:rsidR="00857749" w:rsidRPr="00BC7BB5" w:rsidRDefault="00857749" w:rsidP="008B7058">
            <w:pPr>
              <w:jc w:val="both"/>
              <w:rPr>
                <w:rFonts w:ascii="Times New Roman" w:hAnsi="Times New Roman" w:cs="Times New Roman"/>
                <w:sz w:val="18"/>
                <w:szCs w:val="18"/>
              </w:rPr>
            </w:pPr>
            <w:r w:rsidRPr="00BC7BB5">
              <w:rPr>
                <w:rFonts w:ascii="Times New Roman" w:hAnsi="Times New Roman" w:cs="Times New Roman"/>
                <w:sz w:val="18"/>
                <w:szCs w:val="18"/>
              </w:rPr>
              <w:t xml:space="preserve">Food quality </w:t>
            </w:r>
          </w:p>
        </w:tc>
        <w:tc>
          <w:tcPr>
            <w:tcW w:w="2497" w:type="dxa"/>
          </w:tcPr>
          <w:p w14:paraId="67A33C14" w14:textId="77777777" w:rsidR="00857749" w:rsidRPr="00BC7BB5" w:rsidRDefault="00857749" w:rsidP="008B7058">
            <w:pPr>
              <w:pStyle w:val="NoSpacing"/>
              <w:jc w:val="both"/>
              <w:rPr>
                <w:rFonts w:ascii="Times New Roman" w:hAnsi="Times New Roman" w:cs="Times New Roman"/>
                <w:sz w:val="18"/>
                <w:szCs w:val="18"/>
              </w:rPr>
            </w:pPr>
            <w:r w:rsidRPr="00BC7BB5">
              <w:rPr>
                <w:rFonts w:ascii="Times New Roman" w:hAnsi="Times New Roman" w:cs="Times New Roman"/>
                <w:sz w:val="18"/>
                <w:szCs w:val="18"/>
              </w:rPr>
              <w:t>Strengthening food quality, including food safety, in response to market demand</w:t>
            </w:r>
          </w:p>
        </w:tc>
        <w:tc>
          <w:tcPr>
            <w:tcW w:w="2967" w:type="dxa"/>
          </w:tcPr>
          <w:p w14:paraId="7C44AC4B" w14:textId="77777777" w:rsidR="00857749" w:rsidRPr="00BC7BB5" w:rsidRDefault="00857749" w:rsidP="008B7058">
            <w:pPr>
              <w:rPr>
                <w:rFonts w:ascii="Times New Roman" w:hAnsi="Times New Roman" w:cs="Times New Roman"/>
                <w:sz w:val="18"/>
                <w:szCs w:val="18"/>
              </w:rPr>
            </w:pPr>
            <w:r w:rsidRPr="00BC7BB5">
              <w:rPr>
                <w:rFonts w:ascii="Times New Roman" w:hAnsi="Times New Roman" w:cs="Times New Roman"/>
                <w:sz w:val="18"/>
                <w:szCs w:val="18"/>
              </w:rPr>
              <w:t>- Creation of the national food safety agency (ONSSA) in 2012</w:t>
            </w:r>
          </w:p>
          <w:p w14:paraId="7192C210" w14:textId="3FEF7476" w:rsidR="009F0194" w:rsidRPr="00BC7BB5" w:rsidRDefault="00857749" w:rsidP="008B7058">
            <w:pPr>
              <w:pStyle w:val="NoSpacing"/>
              <w:jc w:val="both"/>
              <w:rPr>
                <w:rFonts w:ascii="Times New Roman" w:hAnsi="Times New Roman" w:cs="Times New Roman"/>
                <w:sz w:val="18"/>
                <w:szCs w:val="18"/>
              </w:rPr>
            </w:pPr>
            <w:r w:rsidRPr="00BC7BB5">
              <w:rPr>
                <w:rFonts w:ascii="Times New Roman" w:hAnsi="Times New Roman" w:cs="Times New Roman"/>
                <w:sz w:val="18"/>
                <w:szCs w:val="18"/>
              </w:rPr>
              <w:t xml:space="preserve">- </w:t>
            </w:r>
            <w:r w:rsidR="00326508">
              <w:rPr>
                <w:rFonts w:ascii="Times New Roman" w:hAnsi="Times New Roman" w:cs="Times New Roman"/>
                <w:sz w:val="18"/>
                <w:szCs w:val="18"/>
              </w:rPr>
              <w:t>20</w:t>
            </w:r>
            <w:r w:rsidR="005002BE">
              <w:rPr>
                <w:rFonts w:ascii="Times New Roman" w:hAnsi="Times New Roman" w:cs="Times New Roman"/>
                <w:sz w:val="18"/>
                <w:szCs w:val="18"/>
              </w:rPr>
              <w:t>08</w:t>
            </w:r>
            <w:r w:rsidR="00326508" w:rsidRPr="00BC7BB5">
              <w:rPr>
                <w:rFonts w:ascii="Times New Roman" w:hAnsi="Times New Roman" w:cs="Times New Roman"/>
                <w:sz w:val="18"/>
                <w:szCs w:val="18"/>
              </w:rPr>
              <w:t xml:space="preserve"> </w:t>
            </w:r>
            <w:r w:rsidRPr="00BC7BB5">
              <w:rPr>
                <w:rFonts w:ascii="Times New Roman" w:hAnsi="Times New Roman" w:cs="Times New Roman"/>
                <w:sz w:val="18"/>
                <w:szCs w:val="18"/>
              </w:rPr>
              <w:t>food safety law</w:t>
            </w:r>
          </w:p>
          <w:p w14:paraId="262BD3BA" w14:textId="4BA1E78A" w:rsidR="00857749" w:rsidRPr="00BC7BB5" w:rsidRDefault="00857749" w:rsidP="003146C9">
            <w:pPr>
              <w:tabs>
                <w:tab w:val="left" w:pos="1860"/>
              </w:tabs>
              <w:rPr>
                <w:rFonts w:ascii="Times New Roman" w:hAnsi="Times New Roman" w:cs="Times New Roman"/>
                <w:sz w:val="18"/>
                <w:szCs w:val="18"/>
              </w:rPr>
            </w:pPr>
            <w:r w:rsidRPr="00BC7BB5">
              <w:rPr>
                <w:rFonts w:ascii="Times New Roman" w:hAnsi="Times New Roman" w:cs="Times New Roman"/>
                <w:sz w:val="18"/>
                <w:szCs w:val="18"/>
              </w:rPr>
              <w:lastRenderedPageBreak/>
              <w:t>- Law on Quality and Origin Labels (2008)</w:t>
            </w:r>
          </w:p>
          <w:p w14:paraId="7A666068" w14:textId="64D552CF" w:rsidR="00857749" w:rsidRPr="00BC7BB5" w:rsidRDefault="00857749" w:rsidP="008B7058">
            <w:pPr>
              <w:pStyle w:val="NoSpacing"/>
              <w:jc w:val="both"/>
              <w:rPr>
                <w:rFonts w:ascii="Times New Roman" w:hAnsi="Times New Roman" w:cs="Times New Roman"/>
                <w:sz w:val="18"/>
                <w:szCs w:val="18"/>
              </w:rPr>
            </w:pPr>
            <w:r w:rsidRPr="00BC7BB5">
              <w:rPr>
                <w:rFonts w:ascii="Times New Roman" w:hAnsi="Times New Roman" w:cs="Times New Roman"/>
                <w:sz w:val="18"/>
                <w:szCs w:val="18"/>
              </w:rPr>
              <w:t>- Law on Organic Products (2013)</w:t>
            </w:r>
          </w:p>
        </w:tc>
        <w:tc>
          <w:tcPr>
            <w:tcW w:w="2645" w:type="dxa"/>
          </w:tcPr>
          <w:p w14:paraId="448D6DD1" w14:textId="47B90FE9" w:rsidR="00857749" w:rsidRPr="00BC7BB5" w:rsidRDefault="00857749" w:rsidP="008B7058">
            <w:pPr>
              <w:pStyle w:val="NoSpacing"/>
              <w:rPr>
                <w:rFonts w:ascii="Times New Roman" w:hAnsi="Times New Roman" w:cs="Times New Roman"/>
                <w:sz w:val="18"/>
                <w:szCs w:val="18"/>
              </w:rPr>
            </w:pPr>
            <w:r w:rsidRPr="00BC7BB5">
              <w:rPr>
                <w:rFonts w:ascii="Times New Roman" w:hAnsi="Times New Roman" w:cs="Times New Roman"/>
                <w:sz w:val="18"/>
                <w:szCs w:val="18"/>
              </w:rPr>
              <w:lastRenderedPageBreak/>
              <w:t xml:space="preserve">- Need to strengthen ONSSA’s capacity </w:t>
            </w:r>
          </w:p>
          <w:p w14:paraId="00BAC478" w14:textId="78261850" w:rsidR="00857749" w:rsidRPr="00BC7BB5" w:rsidRDefault="00857749" w:rsidP="008B7058">
            <w:pPr>
              <w:pStyle w:val="NoSpacing"/>
              <w:rPr>
                <w:rFonts w:ascii="Times New Roman" w:hAnsi="Times New Roman" w:cs="Times New Roman"/>
                <w:sz w:val="18"/>
                <w:szCs w:val="18"/>
              </w:rPr>
            </w:pPr>
            <w:r w:rsidRPr="00BC7BB5">
              <w:rPr>
                <w:rFonts w:ascii="Times New Roman" w:hAnsi="Times New Roman" w:cs="Times New Roman"/>
                <w:sz w:val="18"/>
                <w:szCs w:val="18"/>
              </w:rPr>
              <w:t xml:space="preserve">- </w:t>
            </w:r>
            <w:r w:rsidR="00F1551D" w:rsidRPr="00BC7BB5">
              <w:rPr>
                <w:rFonts w:ascii="Times New Roman" w:hAnsi="Times New Roman" w:cs="Times New Roman"/>
                <w:sz w:val="18"/>
                <w:szCs w:val="18"/>
              </w:rPr>
              <w:t>S</w:t>
            </w:r>
            <w:r w:rsidRPr="00BC7BB5">
              <w:rPr>
                <w:rFonts w:ascii="Times New Roman" w:hAnsi="Times New Roman" w:cs="Times New Roman"/>
                <w:sz w:val="18"/>
                <w:szCs w:val="18"/>
              </w:rPr>
              <w:t>cale</w:t>
            </w:r>
            <w:r w:rsidR="009914C2">
              <w:rPr>
                <w:rFonts w:ascii="Times New Roman" w:hAnsi="Times New Roman" w:cs="Times New Roman"/>
                <w:sz w:val="18"/>
                <w:szCs w:val="18"/>
              </w:rPr>
              <w:t xml:space="preserve"> </w:t>
            </w:r>
            <w:r w:rsidRPr="00BC7BB5">
              <w:rPr>
                <w:rFonts w:ascii="Times New Roman" w:hAnsi="Times New Roman" w:cs="Times New Roman"/>
                <w:sz w:val="18"/>
                <w:szCs w:val="18"/>
              </w:rPr>
              <w:t>up certification schemes</w:t>
            </w:r>
          </w:p>
          <w:p w14:paraId="180FE565" w14:textId="77777777" w:rsidR="00857749" w:rsidRPr="00BC7BB5" w:rsidRDefault="00857749" w:rsidP="008B7058">
            <w:pPr>
              <w:pStyle w:val="NoSpacing"/>
              <w:rPr>
                <w:rFonts w:ascii="Times New Roman" w:hAnsi="Times New Roman" w:cs="Times New Roman"/>
                <w:sz w:val="18"/>
                <w:szCs w:val="18"/>
              </w:rPr>
            </w:pPr>
            <w:r w:rsidRPr="00BC7BB5">
              <w:rPr>
                <w:rFonts w:ascii="Times New Roman" w:hAnsi="Times New Roman" w:cs="Times New Roman"/>
                <w:sz w:val="18"/>
                <w:szCs w:val="18"/>
              </w:rPr>
              <w:lastRenderedPageBreak/>
              <w:t>- Raise public awareness of food quality standards</w:t>
            </w:r>
          </w:p>
        </w:tc>
        <w:tc>
          <w:tcPr>
            <w:tcW w:w="3231" w:type="dxa"/>
          </w:tcPr>
          <w:p w14:paraId="34E01734" w14:textId="77777777" w:rsidR="00857749" w:rsidRPr="00BC7BB5" w:rsidRDefault="00857749" w:rsidP="008B7058">
            <w:pPr>
              <w:pStyle w:val="NoSpacing"/>
              <w:rPr>
                <w:rFonts w:ascii="Times New Roman" w:hAnsi="Times New Roman" w:cs="Times New Roman"/>
                <w:sz w:val="18"/>
                <w:szCs w:val="18"/>
              </w:rPr>
            </w:pPr>
            <w:r w:rsidRPr="00BC7BB5">
              <w:rPr>
                <w:rFonts w:ascii="Times New Roman" w:hAnsi="Times New Roman" w:cs="Times New Roman"/>
                <w:sz w:val="18"/>
                <w:szCs w:val="18"/>
              </w:rPr>
              <w:lastRenderedPageBreak/>
              <w:t>-Strengthen ONSSA’s capacity to implement the law</w:t>
            </w:r>
          </w:p>
          <w:p w14:paraId="13E6FE1F" w14:textId="5A188EDB" w:rsidR="00857749" w:rsidRPr="00BC7BB5" w:rsidRDefault="00857749" w:rsidP="008B7058">
            <w:pPr>
              <w:pStyle w:val="NoSpacing"/>
              <w:rPr>
                <w:rFonts w:ascii="Times New Roman" w:hAnsi="Times New Roman" w:cs="Times New Roman"/>
                <w:sz w:val="18"/>
                <w:szCs w:val="18"/>
              </w:rPr>
            </w:pPr>
            <w:r w:rsidRPr="00BC7BB5">
              <w:rPr>
                <w:rFonts w:ascii="Times New Roman" w:hAnsi="Times New Roman" w:cs="Times New Roman"/>
                <w:sz w:val="18"/>
                <w:szCs w:val="18"/>
              </w:rPr>
              <w:t>- Scale</w:t>
            </w:r>
            <w:r w:rsidR="009914C2">
              <w:rPr>
                <w:rFonts w:ascii="Times New Roman" w:hAnsi="Times New Roman" w:cs="Times New Roman"/>
                <w:sz w:val="18"/>
                <w:szCs w:val="18"/>
              </w:rPr>
              <w:t xml:space="preserve"> </w:t>
            </w:r>
            <w:r w:rsidRPr="00BC7BB5">
              <w:rPr>
                <w:rFonts w:ascii="Times New Roman" w:hAnsi="Times New Roman" w:cs="Times New Roman"/>
                <w:sz w:val="18"/>
                <w:szCs w:val="18"/>
              </w:rPr>
              <w:t>up certification schemes</w:t>
            </w:r>
          </w:p>
          <w:p w14:paraId="1FAFAD63" w14:textId="128D1901" w:rsidR="00857749" w:rsidRPr="00BC7BB5" w:rsidRDefault="00E46843" w:rsidP="008B7058">
            <w:pPr>
              <w:pStyle w:val="NoSpacing"/>
              <w:rPr>
                <w:rFonts w:ascii="Times New Roman" w:hAnsi="Times New Roman" w:cs="Times New Roman"/>
                <w:sz w:val="18"/>
                <w:szCs w:val="18"/>
              </w:rPr>
            </w:pPr>
            <w:r w:rsidRPr="00BC7BB5">
              <w:rPr>
                <w:rFonts w:ascii="Times New Roman" w:hAnsi="Times New Roman" w:cs="Times New Roman"/>
                <w:sz w:val="18"/>
                <w:szCs w:val="18"/>
              </w:rPr>
              <w:lastRenderedPageBreak/>
              <w:t>- Raise producer, industry</w:t>
            </w:r>
            <w:r w:rsidR="00857749" w:rsidRPr="00BC7BB5">
              <w:rPr>
                <w:rFonts w:ascii="Times New Roman" w:hAnsi="Times New Roman" w:cs="Times New Roman"/>
                <w:sz w:val="18"/>
                <w:szCs w:val="18"/>
              </w:rPr>
              <w:t xml:space="preserve"> and consumer awareness of food quality standards</w:t>
            </w:r>
          </w:p>
        </w:tc>
      </w:tr>
      <w:tr w:rsidR="00857749" w:rsidRPr="00BC7BB5" w14:paraId="7AB03DAD" w14:textId="77777777" w:rsidTr="00211171">
        <w:tc>
          <w:tcPr>
            <w:tcW w:w="2250" w:type="dxa"/>
          </w:tcPr>
          <w:p w14:paraId="35B295E5" w14:textId="4B42471D" w:rsidR="00857749" w:rsidRPr="00BC7BB5" w:rsidRDefault="00857749" w:rsidP="008B7058">
            <w:pPr>
              <w:jc w:val="both"/>
              <w:rPr>
                <w:rFonts w:ascii="Times New Roman" w:hAnsi="Times New Roman" w:cs="Times New Roman"/>
                <w:sz w:val="18"/>
                <w:szCs w:val="18"/>
              </w:rPr>
            </w:pPr>
            <w:r w:rsidRPr="00BC7BB5">
              <w:rPr>
                <w:rFonts w:ascii="Times New Roman" w:hAnsi="Times New Roman" w:cs="Times New Roman"/>
                <w:sz w:val="18"/>
                <w:szCs w:val="18"/>
              </w:rPr>
              <w:lastRenderedPageBreak/>
              <w:t>Agric</w:t>
            </w:r>
            <w:r w:rsidR="00650CDE" w:rsidRPr="00BC7BB5">
              <w:rPr>
                <w:rFonts w:ascii="Times New Roman" w:hAnsi="Times New Roman" w:cs="Times New Roman"/>
                <w:sz w:val="18"/>
                <w:szCs w:val="18"/>
              </w:rPr>
              <w:t>ulture knowledge and innovation</w:t>
            </w:r>
            <w:r w:rsidRPr="00BC7BB5">
              <w:rPr>
                <w:rFonts w:ascii="Times New Roman" w:hAnsi="Times New Roman" w:cs="Times New Roman"/>
                <w:sz w:val="18"/>
                <w:szCs w:val="18"/>
              </w:rPr>
              <w:t xml:space="preserve"> systems</w:t>
            </w:r>
          </w:p>
          <w:p w14:paraId="1F2D3CEF" w14:textId="77777777" w:rsidR="00857749" w:rsidRPr="00BC7BB5" w:rsidRDefault="00857749" w:rsidP="008B7058">
            <w:pPr>
              <w:jc w:val="both"/>
              <w:rPr>
                <w:rFonts w:ascii="Times New Roman" w:hAnsi="Times New Roman" w:cs="Times New Roman"/>
                <w:sz w:val="18"/>
                <w:szCs w:val="18"/>
              </w:rPr>
            </w:pPr>
            <w:r w:rsidRPr="00BC7BB5">
              <w:rPr>
                <w:rFonts w:ascii="Times New Roman" w:hAnsi="Times New Roman" w:cs="Times New Roman"/>
                <w:sz w:val="18"/>
                <w:szCs w:val="18"/>
              </w:rPr>
              <w:t>(AKIS)</w:t>
            </w:r>
          </w:p>
        </w:tc>
        <w:tc>
          <w:tcPr>
            <w:tcW w:w="2497" w:type="dxa"/>
          </w:tcPr>
          <w:p w14:paraId="25876A9A" w14:textId="77777777" w:rsidR="00857749" w:rsidRPr="00BC7BB5" w:rsidRDefault="00857749" w:rsidP="008B7058">
            <w:pPr>
              <w:jc w:val="both"/>
              <w:rPr>
                <w:rFonts w:ascii="Times New Roman" w:hAnsi="Times New Roman" w:cs="Times New Roman"/>
                <w:sz w:val="18"/>
                <w:szCs w:val="18"/>
              </w:rPr>
            </w:pPr>
            <w:r w:rsidRPr="00BC7BB5">
              <w:rPr>
                <w:rFonts w:ascii="Times New Roman" w:hAnsi="Times New Roman" w:cs="Times New Roman"/>
                <w:sz w:val="18"/>
                <w:szCs w:val="18"/>
              </w:rPr>
              <w:t>Reorganizing and strengthening agricultural advisory services, through a National Advisory Strategy and the creation of ONCA (</w:t>
            </w:r>
            <w:r w:rsidRPr="00BC7BB5">
              <w:rPr>
                <w:rFonts w:ascii="Times New Roman" w:hAnsi="Times New Roman" w:cs="Times New Roman"/>
                <w:i/>
                <w:sz w:val="18"/>
                <w:szCs w:val="18"/>
              </w:rPr>
              <w:t>Office National du Conseil Agricole</w:t>
            </w:r>
            <w:r w:rsidRPr="00BC7BB5">
              <w:rPr>
                <w:rFonts w:ascii="Times New Roman" w:hAnsi="Times New Roman" w:cs="Times New Roman"/>
                <w:sz w:val="18"/>
                <w:szCs w:val="18"/>
              </w:rPr>
              <w:t>)</w:t>
            </w:r>
          </w:p>
        </w:tc>
        <w:tc>
          <w:tcPr>
            <w:tcW w:w="2967" w:type="dxa"/>
          </w:tcPr>
          <w:p w14:paraId="57115E40" w14:textId="77777777" w:rsidR="00857749" w:rsidRPr="00BC7BB5" w:rsidRDefault="00857749" w:rsidP="008B7058">
            <w:pPr>
              <w:jc w:val="both"/>
              <w:rPr>
                <w:rFonts w:ascii="Times New Roman" w:hAnsi="Times New Roman" w:cs="Times New Roman"/>
                <w:sz w:val="18"/>
                <w:szCs w:val="18"/>
              </w:rPr>
            </w:pPr>
            <w:r w:rsidRPr="00BC7BB5">
              <w:rPr>
                <w:rFonts w:ascii="Times New Roman" w:hAnsi="Times New Roman" w:cs="Times New Roman"/>
                <w:sz w:val="18"/>
                <w:szCs w:val="18"/>
              </w:rPr>
              <w:t>- Creation of the national extension agency (ONCA) in 2012</w:t>
            </w:r>
          </w:p>
          <w:p w14:paraId="5059A1F4" w14:textId="63769AB2" w:rsidR="00857749" w:rsidRPr="00BC7BB5" w:rsidRDefault="00857749" w:rsidP="008B7058">
            <w:pPr>
              <w:jc w:val="both"/>
              <w:rPr>
                <w:rFonts w:ascii="Times New Roman" w:hAnsi="Times New Roman" w:cs="Times New Roman"/>
                <w:sz w:val="18"/>
                <w:szCs w:val="18"/>
              </w:rPr>
            </w:pPr>
            <w:r w:rsidRPr="00BC7BB5">
              <w:rPr>
                <w:rFonts w:ascii="Times New Roman" w:hAnsi="Times New Roman" w:cs="Times New Roman"/>
                <w:sz w:val="18"/>
                <w:szCs w:val="18"/>
              </w:rPr>
              <w:t xml:space="preserve">- National strategy for a pluralistic, demand-driven </w:t>
            </w:r>
            <w:r w:rsidR="00B63770" w:rsidRPr="00BC7BB5">
              <w:rPr>
                <w:rFonts w:ascii="Times New Roman" w:hAnsi="Times New Roman" w:cs="Times New Roman"/>
                <w:sz w:val="18"/>
                <w:szCs w:val="18"/>
              </w:rPr>
              <w:t>AKIS</w:t>
            </w:r>
          </w:p>
          <w:p w14:paraId="19A6EC47" w14:textId="4CFAEC9F" w:rsidR="00857749" w:rsidRPr="00BC7BB5" w:rsidRDefault="00857749" w:rsidP="008B7058">
            <w:pPr>
              <w:pStyle w:val="HTMLPreformatted"/>
              <w:rPr>
                <w:rFonts w:ascii="Times New Roman" w:hAnsi="Times New Roman" w:cs="Times New Roman"/>
                <w:sz w:val="18"/>
                <w:szCs w:val="18"/>
              </w:rPr>
            </w:pPr>
            <w:r w:rsidRPr="00BC7BB5">
              <w:rPr>
                <w:rFonts w:ascii="Times New Roman" w:hAnsi="Times New Roman" w:cs="Times New Roman"/>
                <w:sz w:val="18"/>
                <w:szCs w:val="18"/>
              </w:rPr>
              <w:t xml:space="preserve">- </w:t>
            </w:r>
            <w:r w:rsidRPr="00BC7BB5">
              <w:rPr>
                <w:rFonts w:ascii="Times New Roman" w:eastAsiaTheme="minorHAnsi" w:hAnsi="Times New Roman" w:cs="Times New Roman"/>
                <w:sz w:val="18"/>
                <w:szCs w:val="18"/>
              </w:rPr>
              <w:t xml:space="preserve">Adoption on Law 62-12 on the profession of agricultural adviser </w:t>
            </w:r>
          </w:p>
          <w:p w14:paraId="60259473" w14:textId="625488E6" w:rsidR="00857749" w:rsidRPr="00BC7BB5" w:rsidRDefault="00857749" w:rsidP="008B7058">
            <w:pPr>
              <w:jc w:val="both"/>
              <w:rPr>
                <w:rFonts w:ascii="Times New Roman" w:hAnsi="Times New Roman" w:cs="Times New Roman"/>
                <w:sz w:val="18"/>
                <w:szCs w:val="18"/>
              </w:rPr>
            </w:pPr>
            <w:r w:rsidRPr="00BC7BB5">
              <w:rPr>
                <w:rFonts w:ascii="Times New Roman" w:hAnsi="Times New Roman" w:cs="Times New Roman"/>
                <w:sz w:val="18"/>
                <w:szCs w:val="18"/>
              </w:rPr>
              <w:t>- Competitive research grant mechanism</w:t>
            </w:r>
          </w:p>
        </w:tc>
        <w:tc>
          <w:tcPr>
            <w:tcW w:w="2645" w:type="dxa"/>
          </w:tcPr>
          <w:p w14:paraId="1CBCE5FB" w14:textId="77777777" w:rsidR="00857749" w:rsidRPr="00BC7BB5" w:rsidRDefault="00857749" w:rsidP="008B7058">
            <w:pPr>
              <w:rPr>
                <w:rFonts w:ascii="Times New Roman" w:hAnsi="Times New Roman" w:cs="Times New Roman"/>
                <w:sz w:val="18"/>
                <w:szCs w:val="18"/>
              </w:rPr>
            </w:pPr>
            <w:r w:rsidRPr="00BC7BB5">
              <w:rPr>
                <w:rFonts w:ascii="Times New Roman" w:hAnsi="Times New Roman" w:cs="Times New Roman"/>
                <w:sz w:val="18"/>
                <w:szCs w:val="18"/>
              </w:rPr>
              <w:t>- Need to strengthen ONCA</w:t>
            </w:r>
          </w:p>
          <w:p w14:paraId="15CF9EBC" w14:textId="77777777" w:rsidR="00857749" w:rsidRPr="00BC7BB5" w:rsidRDefault="00857749" w:rsidP="008B7058">
            <w:pPr>
              <w:rPr>
                <w:rFonts w:ascii="Times New Roman" w:hAnsi="Times New Roman" w:cs="Times New Roman"/>
                <w:sz w:val="18"/>
                <w:szCs w:val="18"/>
              </w:rPr>
            </w:pPr>
            <w:r w:rsidRPr="00BC7BB5">
              <w:rPr>
                <w:rFonts w:ascii="Times New Roman" w:hAnsi="Times New Roman" w:cs="Times New Roman"/>
                <w:sz w:val="18"/>
                <w:szCs w:val="18"/>
              </w:rPr>
              <w:t>- Implementation of the national AKIS strategy, including the development of private agricultural extension</w:t>
            </w:r>
          </w:p>
          <w:p w14:paraId="554A9D24" w14:textId="35EDA94D" w:rsidR="00857749" w:rsidRPr="00BC7BB5" w:rsidRDefault="00857749" w:rsidP="008B7058">
            <w:pPr>
              <w:rPr>
                <w:rFonts w:ascii="Times New Roman" w:hAnsi="Times New Roman" w:cs="Times New Roman"/>
                <w:sz w:val="18"/>
                <w:szCs w:val="18"/>
              </w:rPr>
            </w:pPr>
            <w:r w:rsidRPr="00BC7BB5">
              <w:rPr>
                <w:rFonts w:ascii="Times New Roman" w:hAnsi="Times New Roman" w:cs="Times New Roman"/>
                <w:sz w:val="18"/>
                <w:szCs w:val="18"/>
              </w:rPr>
              <w:t>- Need to develop the ecosystem to foster private sector innovation in the agri-food sector</w:t>
            </w:r>
          </w:p>
        </w:tc>
        <w:tc>
          <w:tcPr>
            <w:tcW w:w="3231" w:type="dxa"/>
          </w:tcPr>
          <w:p w14:paraId="2A7B5A93" w14:textId="77777777" w:rsidR="00857749" w:rsidRPr="00BC7BB5" w:rsidRDefault="00857749" w:rsidP="008B7058">
            <w:pPr>
              <w:rPr>
                <w:rFonts w:ascii="Times New Roman" w:hAnsi="Times New Roman" w:cs="Times New Roman"/>
                <w:sz w:val="18"/>
                <w:szCs w:val="18"/>
              </w:rPr>
            </w:pPr>
            <w:r w:rsidRPr="00BC7BB5">
              <w:rPr>
                <w:rFonts w:ascii="Times New Roman" w:hAnsi="Times New Roman" w:cs="Times New Roman"/>
                <w:sz w:val="18"/>
                <w:szCs w:val="18"/>
              </w:rPr>
              <w:t>- Network of specialized technical and business innovation centers co-managed with the private sector (new, adjustment to the program)</w:t>
            </w:r>
          </w:p>
          <w:p w14:paraId="594E93D7" w14:textId="4D214AB4" w:rsidR="00857749" w:rsidRPr="00BC7BB5" w:rsidRDefault="00857749" w:rsidP="008B7058">
            <w:pPr>
              <w:jc w:val="both"/>
              <w:rPr>
                <w:rFonts w:ascii="Times New Roman" w:hAnsi="Times New Roman" w:cs="Times New Roman"/>
                <w:sz w:val="18"/>
                <w:szCs w:val="18"/>
              </w:rPr>
            </w:pPr>
            <w:r w:rsidRPr="00BC7BB5">
              <w:rPr>
                <w:rFonts w:ascii="Times New Roman" w:hAnsi="Times New Roman" w:cs="Times New Roman"/>
                <w:sz w:val="18"/>
                <w:szCs w:val="18"/>
              </w:rPr>
              <w:t>- Competitive innovation grants (new, adjustment to the program)</w:t>
            </w:r>
            <w:r w:rsidR="003146C9">
              <w:rPr>
                <w:rFonts w:ascii="Times New Roman" w:hAnsi="Times New Roman" w:cs="Times New Roman"/>
                <w:sz w:val="18"/>
                <w:szCs w:val="18"/>
              </w:rPr>
              <w:t xml:space="preserve"> – including for water savings in the agri-food sector</w:t>
            </w:r>
          </w:p>
          <w:p w14:paraId="368A8229" w14:textId="77777777" w:rsidR="00857749" w:rsidRPr="00BC7BB5" w:rsidRDefault="00857749" w:rsidP="008B7058">
            <w:pPr>
              <w:rPr>
                <w:rFonts w:ascii="Times New Roman" w:hAnsi="Times New Roman" w:cs="Times New Roman"/>
                <w:sz w:val="18"/>
                <w:szCs w:val="18"/>
              </w:rPr>
            </w:pPr>
          </w:p>
        </w:tc>
      </w:tr>
      <w:tr w:rsidR="00857749" w:rsidRPr="00BC7BB5" w14:paraId="23A1F65A" w14:textId="77777777" w:rsidTr="00211171">
        <w:tc>
          <w:tcPr>
            <w:tcW w:w="2250" w:type="dxa"/>
          </w:tcPr>
          <w:p w14:paraId="563B0D6F" w14:textId="77777777" w:rsidR="00857749" w:rsidRPr="00BC7BB5" w:rsidRDefault="00857749" w:rsidP="00914CF8">
            <w:pPr>
              <w:jc w:val="both"/>
              <w:rPr>
                <w:rFonts w:ascii="Times New Roman" w:hAnsi="Times New Roman" w:cs="Times New Roman"/>
                <w:sz w:val="18"/>
                <w:szCs w:val="18"/>
              </w:rPr>
            </w:pPr>
            <w:r w:rsidRPr="00BC7BB5">
              <w:rPr>
                <w:rFonts w:ascii="Times New Roman" w:hAnsi="Times New Roman" w:cs="Times New Roman"/>
                <w:sz w:val="18"/>
                <w:szCs w:val="18"/>
              </w:rPr>
              <w:t xml:space="preserve">Trade </w:t>
            </w:r>
          </w:p>
        </w:tc>
        <w:tc>
          <w:tcPr>
            <w:tcW w:w="2497" w:type="dxa"/>
          </w:tcPr>
          <w:p w14:paraId="327F3145" w14:textId="363A0B2E" w:rsidR="00857749" w:rsidRPr="00BC7BB5" w:rsidRDefault="00857749" w:rsidP="00914CF8">
            <w:pPr>
              <w:jc w:val="both"/>
              <w:rPr>
                <w:rFonts w:ascii="Times New Roman" w:hAnsi="Times New Roman" w:cs="Times New Roman"/>
                <w:sz w:val="18"/>
                <w:szCs w:val="18"/>
              </w:rPr>
            </w:pPr>
            <w:r w:rsidRPr="00BC7BB5">
              <w:rPr>
                <w:rFonts w:ascii="Times New Roman" w:hAnsi="Times New Roman" w:cs="Times New Roman"/>
                <w:sz w:val="18"/>
                <w:szCs w:val="18"/>
              </w:rPr>
              <w:t xml:space="preserve">Improving access to high value export markets </w:t>
            </w:r>
          </w:p>
        </w:tc>
        <w:tc>
          <w:tcPr>
            <w:tcW w:w="2967" w:type="dxa"/>
          </w:tcPr>
          <w:p w14:paraId="67F3B25D" w14:textId="77777777" w:rsidR="00857749" w:rsidRPr="00BC7BB5" w:rsidRDefault="00857749" w:rsidP="00E62C16">
            <w:pPr>
              <w:jc w:val="both"/>
              <w:rPr>
                <w:rFonts w:ascii="Times New Roman" w:hAnsi="Times New Roman" w:cs="Times New Roman"/>
                <w:sz w:val="18"/>
                <w:szCs w:val="18"/>
              </w:rPr>
            </w:pPr>
            <w:r w:rsidRPr="00BC7BB5">
              <w:rPr>
                <w:rFonts w:ascii="Times New Roman" w:hAnsi="Times New Roman" w:cs="Times New Roman"/>
                <w:sz w:val="18"/>
                <w:szCs w:val="18"/>
              </w:rPr>
              <w:t>- Agricultural Free Trade Agreement with EU (2012)</w:t>
            </w:r>
          </w:p>
          <w:p w14:paraId="524FCAE0" w14:textId="65063267" w:rsidR="00E46843" w:rsidRPr="00BC7BB5" w:rsidRDefault="00E46843" w:rsidP="00E62C16">
            <w:pPr>
              <w:jc w:val="both"/>
              <w:rPr>
                <w:rFonts w:ascii="Times New Roman" w:hAnsi="Times New Roman" w:cs="Times New Roman"/>
                <w:sz w:val="18"/>
                <w:szCs w:val="18"/>
              </w:rPr>
            </w:pPr>
            <w:r w:rsidRPr="00BC7BB5">
              <w:rPr>
                <w:rFonts w:ascii="Times New Roman" w:hAnsi="Times New Roman" w:cs="Times New Roman"/>
                <w:sz w:val="18"/>
                <w:szCs w:val="18"/>
              </w:rPr>
              <w:t>- Export platforms</w:t>
            </w:r>
          </w:p>
        </w:tc>
        <w:tc>
          <w:tcPr>
            <w:tcW w:w="2645" w:type="dxa"/>
          </w:tcPr>
          <w:p w14:paraId="1FF16DC1" w14:textId="450AD8F1" w:rsidR="00857749" w:rsidRPr="00BC7BB5" w:rsidRDefault="00857749" w:rsidP="00E62C16">
            <w:pPr>
              <w:rPr>
                <w:rFonts w:ascii="Times New Roman" w:hAnsi="Times New Roman" w:cs="Times New Roman"/>
                <w:sz w:val="18"/>
                <w:szCs w:val="18"/>
              </w:rPr>
            </w:pPr>
            <w:r w:rsidRPr="00BC7BB5">
              <w:rPr>
                <w:rFonts w:ascii="Times New Roman" w:hAnsi="Times New Roman" w:cs="Times New Roman"/>
                <w:sz w:val="18"/>
                <w:szCs w:val="18"/>
              </w:rPr>
              <w:t xml:space="preserve">Establish export platforms to support the diversification of export markets </w:t>
            </w:r>
          </w:p>
        </w:tc>
        <w:tc>
          <w:tcPr>
            <w:tcW w:w="3231" w:type="dxa"/>
          </w:tcPr>
          <w:p w14:paraId="4F985FD9" w14:textId="33D57F07" w:rsidR="00857749" w:rsidRPr="00BC7BB5" w:rsidRDefault="002B7292" w:rsidP="00E62C16">
            <w:pPr>
              <w:rPr>
                <w:rFonts w:ascii="Times New Roman" w:hAnsi="Times New Roman" w:cs="Times New Roman"/>
                <w:sz w:val="18"/>
                <w:szCs w:val="18"/>
              </w:rPr>
            </w:pPr>
            <w:r w:rsidRPr="00BC7BB5">
              <w:rPr>
                <w:rFonts w:ascii="Times New Roman" w:hAnsi="Times New Roman" w:cs="Times New Roman"/>
                <w:sz w:val="18"/>
                <w:szCs w:val="18"/>
              </w:rPr>
              <w:t>See above (food quality and safety standards)</w:t>
            </w:r>
          </w:p>
        </w:tc>
      </w:tr>
      <w:tr w:rsidR="00857749" w:rsidRPr="00BC7BB5" w14:paraId="09C2334C" w14:textId="77777777" w:rsidTr="00211171">
        <w:tc>
          <w:tcPr>
            <w:tcW w:w="2250" w:type="dxa"/>
          </w:tcPr>
          <w:p w14:paraId="1774B177" w14:textId="2699F4FC" w:rsidR="00857749" w:rsidRPr="00BC7BB5" w:rsidRDefault="00857749" w:rsidP="008B7058">
            <w:pPr>
              <w:jc w:val="both"/>
              <w:rPr>
                <w:rFonts w:ascii="Times New Roman" w:hAnsi="Times New Roman" w:cs="Times New Roman"/>
                <w:sz w:val="18"/>
                <w:szCs w:val="18"/>
              </w:rPr>
            </w:pPr>
            <w:r w:rsidRPr="00BC7BB5">
              <w:rPr>
                <w:rFonts w:ascii="Times New Roman" w:hAnsi="Times New Roman" w:cs="Times New Roman"/>
                <w:sz w:val="18"/>
                <w:szCs w:val="18"/>
              </w:rPr>
              <w:t xml:space="preserve">Water </w:t>
            </w:r>
            <w:r w:rsidR="009914C2">
              <w:rPr>
                <w:rFonts w:ascii="Times New Roman" w:hAnsi="Times New Roman" w:cs="Times New Roman"/>
                <w:sz w:val="18"/>
                <w:szCs w:val="18"/>
              </w:rPr>
              <w:t>m</w:t>
            </w:r>
            <w:r w:rsidRPr="00BC7BB5">
              <w:rPr>
                <w:rFonts w:ascii="Times New Roman" w:hAnsi="Times New Roman" w:cs="Times New Roman"/>
                <w:sz w:val="18"/>
                <w:szCs w:val="18"/>
              </w:rPr>
              <w:t>anagement</w:t>
            </w:r>
          </w:p>
        </w:tc>
        <w:tc>
          <w:tcPr>
            <w:tcW w:w="2497" w:type="dxa"/>
          </w:tcPr>
          <w:p w14:paraId="72C8E2BE" w14:textId="0AE1A0F5" w:rsidR="00857749" w:rsidRPr="00BC7BB5" w:rsidRDefault="00857749" w:rsidP="008B7058">
            <w:pPr>
              <w:rPr>
                <w:rFonts w:ascii="Times New Roman" w:hAnsi="Times New Roman" w:cs="Times New Roman"/>
                <w:sz w:val="18"/>
                <w:szCs w:val="18"/>
              </w:rPr>
            </w:pPr>
            <w:r w:rsidRPr="00BC7BB5">
              <w:rPr>
                <w:rFonts w:ascii="Times New Roman" w:hAnsi="Times New Roman" w:cs="Times New Roman"/>
                <w:bCs/>
                <w:sz w:val="18"/>
                <w:szCs w:val="18"/>
              </w:rPr>
              <w:t xml:space="preserve"> </w:t>
            </w:r>
            <w:r w:rsidRPr="00BC7BB5">
              <w:rPr>
                <w:rFonts w:ascii="Times New Roman" w:hAnsi="Times New Roman" w:cs="Times New Roman"/>
                <w:sz w:val="18"/>
                <w:szCs w:val="18"/>
              </w:rPr>
              <w:t xml:space="preserve"> </w:t>
            </w:r>
            <w:r w:rsidR="008F6526" w:rsidRPr="00BC7BB5">
              <w:rPr>
                <w:rFonts w:ascii="Times New Roman" w:hAnsi="Times New Roman" w:cs="Times New Roman"/>
                <w:sz w:val="18"/>
                <w:szCs w:val="18"/>
              </w:rPr>
              <w:t>PNEEI</w:t>
            </w:r>
            <w:r w:rsidR="00E62C16" w:rsidRPr="00BC7BB5">
              <w:rPr>
                <w:rStyle w:val="FootnoteReference"/>
                <w:rFonts w:ascii="Times New Roman" w:hAnsi="Times New Roman" w:cs="Times New Roman"/>
                <w:sz w:val="18"/>
                <w:szCs w:val="18"/>
              </w:rPr>
              <w:footnoteReference w:id="13"/>
            </w:r>
          </w:p>
        </w:tc>
        <w:tc>
          <w:tcPr>
            <w:tcW w:w="2967" w:type="dxa"/>
          </w:tcPr>
          <w:p w14:paraId="2A31F1F7" w14:textId="10DF5624" w:rsidR="00857749" w:rsidRPr="00BC7BB5" w:rsidRDefault="00857749" w:rsidP="00B24C66">
            <w:pPr>
              <w:jc w:val="both"/>
              <w:rPr>
                <w:rFonts w:ascii="Times New Roman" w:hAnsi="Times New Roman" w:cs="Times New Roman"/>
                <w:sz w:val="18"/>
                <w:szCs w:val="18"/>
              </w:rPr>
            </w:pPr>
            <w:r w:rsidRPr="00BC7BB5">
              <w:rPr>
                <w:rFonts w:ascii="Times New Roman" w:hAnsi="Times New Roman" w:cs="Times New Roman"/>
                <w:sz w:val="18"/>
                <w:szCs w:val="18"/>
              </w:rPr>
              <w:t>220,000 ha converted to drip irrigation</w:t>
            </w:r>
          </w:p>
        </w:tc>
        <w:tc>
          <w:tcPr>
            <w:tcW w:w="2645" w:type="dxa"/>
          </w:tcPr>
          <w:p w14:paraId="591C536A" w14:textId="11B6CC61" w:rsidR="00857749" w:rsidRPr="00BC7BB5" w:rsidRDefault="00857749" w:rsidP="008B7058">
            <w:pPr>
              <w:rPr>
                <w:rFonts w:ascii="Times New Roman" w:hAnsi="Times New Roman" w:cs="Times New Roman"/>
                <w:sz w:val="18"/>
                <w:szCs w:val="18"/>
              </w:rPr>
            </w:pPr>
            <w:r w:rsidRPr="00BC7BB5">
              <w:rPr>
                <w:rFonts w:ascii="Times New Roman" w:hAnsi="Times New Roman" w:cs="Times New Roman"/>
                <w:sz w:val="18"/>
                <w:szCs w:val="18"/>
              </w:rPr>
              <w:t xml:space="preserve">Continue PNEEI reforms </w:t>
            </w:r>
          </w:p>
        </w:tc>
        <w:tc>
          <w:tcPr>
            <w:tcW w:w="3231" w:type="dxa"/>
          </w:tcPr>
          <w:p w14:paraId="2EB8FCAD" w14:textId="5988BCF5" w:rsidR="00857749" w:rsidRPr="003146C9" w:rsidRDefault="00857749" w:rsidP="003146C9">
            <w:pPr>
              <w:rPr>
                <w:rFonts w:ascii="Times New Roman" w:hAnsi="Times New Roman" w:cs="Times New Roman"/>
                <w:sz w:val="18"/>
                <w:szCs w:val="18"/>
              </w:rPr>
            </w:pPr>
          </w:p>
        </w:tc>
      </w:tr>
      <w:tr w:rsidR="00857749" w:rsidRPr="00BC7BB5" w14:paraId="58FEEDCD" w14:textId="77777777" w:rsidTr="00211171">
        <w:tc>
          <w:tcPr>
            <w:tcW w:w="2250" w:type="dxa"/>
          </w:tcPr>
          <w:p w14:paraId="7A3691CB" w14:textId="7B5826A2" w:rsidR="00857749" w:rsidRPr="00BC7BB5" w:rsidRDefault="00857749" w:rsidP="008B7058">
            <w:pPr>
              <w:jc w:val="both"/>
              <w:rPr>
                <w:rFonts w:ascii="Times New Roman" w:hAnsi="Times New Roman" w:cs="Times New Roman"/>
                <w:sz w:val="18"/>
                <w:szCs w:val="18"/>
              </w:rPr>
            </w:pPr>
            <w:r w:rsidRPr="00BC7BB5">
              <w:rPr>
                <w:rFonts w:ascii="Times New Roman" w:hAnsi="Times New Roman" w:cs="Times New Roman"/>
                <w:sz w:val="18"/>
                <w:szCs w:val="18"/>
              </w:rPr>
              <w:t xml:space="preserve">Land </w:t>
            </w:r>
            <w:r w:rsidR="009914C2">
              <w:rPr>
                <w:rFonts w:ascii="Times New Roman" w:hAnsi="Times New Roman" w:cs="Times New Roman"/>
                <w:sz w:val="18"/>
                <w:szCs w:val="18"/>
              </w:rPr>
              <w:t>m</w:t>
            </w:r>
            <w:r w:rsidRPr="00BC7BB5">
              <w:rPr>
                <w:rFonts w:ascii="Times New Roman" w:hAnsi="Times New Roman" w:cs="Times New Roman"/>
                <w:sz w:val="18"/>
                <w:szCs w:val="18"/>
              </w:rPr>
              <w:t>anagement</w:t>
            </w:r>
          </w:p>
          <w:p w14:paraId="1A8418E0" w14:textId="77777777" w:rsidR="00857749" w:rsidRPr="00BC7BB5" w:rsidRDefault="00857749" w:rsidP="008B7058">
            <w:pPr>
              <w:jc w:val="right"/>
              <w:rPr>
                <w:rFonts w:ascii="Times New Roman" w:hAnsi="Times New Roman" w:cs="Times New Roman"/>
                <w:sz w:val="18"/>
                <w:szCs w:val="18"/>
              </w:rPr>
            </w:pPr>
          </w:p>
        </w:tc>
        <w:tc>
          <w:tcPr>
            <w:tcW w:w="2497" w:type="dxa"/>
          </w:tcPr>
          <w:p w14:paraId="58BB143A" w14:textId="77777777" w:rsidR="00857749" w:rsidRPr="00BC7BB5" w:rsidRDefault="00857749" w:rsidP="008B7058">
            <w:pPr>
              <w:jc w:val="both"/>
              <w:rPr>
                <w:rFonts w:ascii="Times New Roman" w:hAnsi="Times New Roman" w:cs="Times New Roman"/>
                <w:sz w:val="18"/>
                <w:szCs w:val="18"/>
              </w:rPr>
            </w:pPr>
            <w:r w:rsidRPr="00BC7BB5">
              <w:rPr>
                <w:rFonts w:ascii="Times New Roman" w:hAnsi="Times New Roman" w:cs="Times New Roman"/>
                <w:sz w:val="18"/>
                <w:szCs w:val="18"/>
              </w:rPr>
              <w:t xml:space="preserve">Mobilizing agricultural land though private sector participation </w:t>
            </w:r>
          </w:p>
        </w:tc>
        <w:tc>
          <w:tcPr>
            <w:tcW w:w="2967" w:type="dxa"/>
          </w:tcPr>
          <w:p w14:paraId="1C03E085" w14:textId="77777777" w:rsidR="00857749" w:rsidRPr="00BC7BB5" w:rsidRDefault="00857749" w:rsidP="008B7058">
            <w:pPr>
              <w:jc w:val="both"/>
              <w:rPr>
                <w:rFonts w:ascii="Times New Roman" w:hAnsi="Times New Roman" w:cs="Times New Roman"/>
                <w:sz w:val="18"/>
                <w:szCs w:val="18"/>
              </w:rPr>
            </w:pPr>
            <w:r w:rsidRPr="00BC7BB5">
              <w:rPr>
                <w:rFonts w:ascii="Times New Roman" w:hAnsi="Times New Roman" w:cs="Times New Roman"/>
                <w:sz w:val="18"/>
                <w:szCs w:val="18"/>
              </w:rPr>
              <w:t>19,000 ha of state-owned and collective lands mobilized through public-private partnerships</w:t>
            </w:r>
          </w:p>
        </w:tc>
        <w:tc>
          <w:tcPr>
            <w:tcW w:w="2645" w:type="dxa"/>
          </w:tcPr>
          <w:p w14:paraId="5BC913EC" w14:textId="7FCF12CD" w:rsidR="00857749" w:rsidRPr="00BC7BB5" w:rsidRDefault="00857749" w:rsidP="008B7058">
            <w:pPr>
              <w:rPr>
                <w:rFonts w:ascii="Times New Roman" w:hAnsi="Times New Roman" w:cs="Times New Roman"/>
                <w:sz w:val="18"/>
                <w:szCs w:val="18"/>
              </w:rPr>
            </w:pPr>
            <w:r w:rsidRPr="00BC7BB5">
              <w:rPr>
                <w:rFonts w:ascii="Times New Roman" w:hAnsi="Times New Roman" w:cs="Times New Roman"/>
                <w:sz w:val="18"/>
                <w:szCs w:val="18"/>
              </w:rPr>
              <w:t>Mobilize additional 300,000 ha of state-owned and collective lands</w:t>
            </w:r>
          </w:p>
        </w:tc>
        <w:tc>
          <w:tcPr>
            <w:tcW w:w="3231" w:type="dxa"/>
          </w:tcPr>
          <w:p w14:paraId="4C0E3B1F" w14:textId="77777777" w:rsidR="00857749" w:rsidRPr="00BC7BB5" w:rsidRDefault="00857749" w:rsidP="008B7058">
            <w:pPr>
              <w:rPr>
                <w:rFonts w:ascii="Times New Roman" w:hAnsi="Times New Roman" w:cs="Times New Roman"/>
                <w:sz w:val="18"/>
                <w:szCs w:val="18"/>
              </w:rPr>
            </w:pPr>
          </w:p>
        </w:tc>
      </w:tr>
      <w:tr w:rsidR="00857749" w:rsidRPr="00BC7BB5" w14:paraId="5A1309B9" w14:textId="77777777" w:rsidTr="00211171">
        <w:tc>
          <w:tcPr>
            <w:tcW w:w="13590" w:type="dxa"/>
            <w:gridSpan w:val="5"/>
            <w:shd w:val="clear" w:color="auto" w:fill="F2F2F2" w:themeFill="background1" w:themeFillShade="F2"/>
          </w:tcPr>
          <w:p w14:paraId="46F5ADA2" w14:textId="77777777" w:rsidR="00857749" w:rsidRPr="00BC7BB5" w:rsidRDefault="00857749" w:rsidP="008B7058">
            <w:pPr>
              <w:jc w:val="center"/>
              <w:rPr>
                <w:rFonts w:ascii="Times New Roman" w:hAnsi="Times New Roman" w:cs="Times New Roman"/>
                <w:b/>
                <w:i/>
                <w:sz w:val="18"/>
                <w:szCs w:val="18"/>
              </w:rPr>
            </w:pPr>
            <w:r w:rsidRPr="00BC7BB5">
              <w:rPr>
                <w:rFonts w:ascii="Times New Roman" w:hAnsi="Times New Roman" w:cs="Times New Roman"/>
                <w:b/>
                <w:i/>
                <w:sz w:val="18"/>
                <w:szCs w:val="18"/>
              </w:rPr>
              <w:t>Investment Support</w:t>
            </w:r>
          </w:p>
        </w:tc>
      </w:tr>
      <w:tr w:rsidR="00857749" w:rsidRPr="00BC7BB5" w14:paraId="61DE4DCB" w14:textId="77777777" w:rsidTr="00211171">
        <w:tc>
          <w:tcPr>
            <w:tcW w:w="2250" w:type="dxa"/>
          </w:tcPr>
          <w:p w14:paraId="2768F14C" w14:textId="7F159E10" w:rsidR="00857749" w:rsidRPr="00BC7BB5" w:rsidRDefault="00857749" w:rsidP="008B7058">
            <w:pPr>
              <w:rPr>
                <w:rFonts w:ascii="Times New Roman" w:hAnsi="Times New Roman" w:cs="Times New Roman"/>
                <w:sz w:val="18"/>
                <w:szCs w:val="18"/>
              </w:rPr>
            </w:pPr>
            <w:r w:rsidRPr="00BC7BB5">
              <w:rPr>
                <w:rFonts w:ascii="Times New Roman" w:hAnsi="Times New Roman" w:cs="Times New Roman"/>
                <w:i/>
                <w:sz w:val="18"/>
                <w:szCs w:val="18"/>
              </w:rPr>
              <w:t>Pillar I</w:t>
            </w:r>
            <w:r w:rsidRPr="00BC7BB5">
              <w:rPr>
                <w:rFonts w:ascii="Times New Roman" w:hAnsi="Times New Roman" w:cs="Times New Roman"/>
                <w:sz w:val="18"/>
                <w:szCs w:val="18"/>
              </w:rPr>
              <w:t xml:space="preserve"> – </w:t>
            </w:r>
            <w:r w:rsidR="009F0194" w:rsidRPr="00BC7BB5">
              <w:rPr>
                <w:rFonts w:ascii="Times New Roman" w:hAnsi="Times New Roman" w:cs="Times New Roman"/>
                <w:sz w:val="18"/>
                <w:szCs w:val="18"/>
              </w:rPr>
              <w:t>Investment</w:t>
            </w:r>
            <w:r w:rsidRPr="00BC7BB5">
              <w:rPr>
                <w:rFonts w:ascii="Times New Roman" w:hAnsi="Times New Roman" w:cs="Times New Roman"/>
                <w:sz w:val="18"/>
                <w:szCs w:val="18"/>
              </w:rPr>
              <w:t xml:space="preserve"> projects: Incentives by sub</w:t>
            </w:r>
            <w:r w:rsidR="00234768">
              <w:rPr>
                <w:rFonts w:ascii="Times New Roman" w:hAnsi="Times New Roman" w:cs="Times New Roman"/>
                <w:sz w:val="18"/>
                <w:szCs w:val="18"/>
              </w:rPr>
              <w:t>-</w:t>
            </w:r>
            <w:r w:rsidRPr="00BC7BB5">
              <w:rPr>
                <w:rFonts w:ascii="Times New Roman" w:hAnsi="Times New Roman" w:cs="Times New Roman"/>
                <w:sz w:val="18"/>
                <w:szCs w:val="18"/>
              </w:rPr>
              <w:t xml:space="preserve">sector </w:t>
            </w:r>
          </w:p>
        </w:tc>
        <w:tc>
          <w:tcPr>
            <w:tcW w:w="2497" w:type="dxa"/>
          </w:tcPr>
          <w:p w14:paraId="7FFDCA72" w14:textId="190C5198" w:rsidR="00857749" w:rsidRPr="00BC7BB5" w:rsidRDefault="00857749" w:rsidP="008B7058">
            <w:pPr>
              <w:jc w:val="both"/>
              <w:rPr>
                <w:rFonts w:ascii="Times New Roman" w:hAnsi="Times New Roman" w:cs="Times New Roman"/>
                <w:sz w:val="18"/>
                <w:szCs w:val="18"/>
              </w:rPr>
            </w:pPr>
            <w:r w:rsidRPr="00BC7BB5">
              <w:rPr>
                <w:rFonts w:ascii="Times New Roman" w:hAnsi="Times New Roman" w:cs="Times New Roman"/>
                <w:sz w:val="18"/>
                <w:szCs w:val="18"/>
              </w:rPr>
              <w:t xml:space="preserve">Providing incentives (grants) for 900 </w:t>
            </w:r>
            <w:r w:rsidR="009F0194" w:rsidRPr="00BC7BB5">
              <w:rPr>
                <w:rFonts w:ascii="Times New Roman" w:hAnsi="Times New Roman" w:cs="Times New Roman"/>
                <w:sz w:val="18"/>
                <w:szCs w:val="18"/>
              </w:rPr>
              <w:t>investment</w:t>
            </w:r>
            <w:r w:rsidRPr="00BC7BB5">
              <w:rPr>
                <w:rFonts w:ascii="Times New Roman" w:hAnsi="Times New Roman" w:cs="Times New Roman"/>
                <w:sz w:val="18"/>
                <w:szCs w:val="18"/>
              </w:rPr>
              <w:t xml:space="preserve"> projects aimed at integrating market-oriented producers in agri-food chains </w:t>
            </w:r>
          </w:p>
        </w:tc>
        <w:tc>
          <w:tcPr>
            <w:tcW w:w="2967" w:type="dxa"/>
          </w:tcPr>
          <w:p w14:paraId="464C6F73" w14:textId="77777777" w:rsidR="00857749" w:rsidRPr="00BC7BB5" w:rsidRDefault="00857749" w:rsidP="008B7058">
            <w:pPr>
              <w:jc w:val="both"/>
              <w:rPr>
                <w:rFonts w:ascii="Times New Roman" w:hAnsi="Times New Roman" w:cs="Times New Roman"/>
                <w:sz w:val="18"/>
                <w:szCs w:val="18"/>
              </w:rPr>
            </w:pPr>
            <w:r w:rsidRPr="00BC7BB5">
              <w:rPr>
                <w:rFonts w:ascii="Times New Roman" w:hAnsi="Times New Roman" w:cs="Times New Roman"/>
                <w:sz w:val="18"/>
                <w:szCs w:val="18"/>
              </w:rPr>
              <w:t>- Law on aggregation (2010)</w:t>
            </w:r>
          </w:p>
          <w:p w14:paraId="7D5C6850" w14:textId="6D8F03E9" w:rsidR="00857749" w:rsidRPr="00BC7BB5" w:rsidRDefault="00857749" w:rsidP="008B7058">
            <w:pPr>
              <w:jc w:val="both"/>
              <w:rPr>
                <w:rFonts w:ascii="Times New Roman" w:hAnsi="Times New Roman" w:cs="Times New Roman"/>
                <w:sz w:val="18"/>
                <w:szCs w:val="18"/>
              </w:rPr>
            </w:pPr>
            <w:r w:rsidRPr="00BC7BB5">
              <w:rPr>
                <w:rFonts w:ascii="Times New Roman" w:hAnsi="Times New Roman" w:cs="Times New Roman"/>
                <w:sz w:val="18"/>
                <w:szCs w:val="18"/>
              </w:rPr>
              <w:t xml:space="preserve">- </w:t>
            </w:r>
            <w:r w:rsidR="00294E47" w:rsidRPr="00BC7BB5">
              <w:rPr>
                <w:rFonts w:ascii="Times New Roman" w:hAnsi="Times New Roman" w:cs="Times New Roman"/>
                <w:sz w:val="18"/>
                <w:szCs w:val="18"/>
              </w:rPr>
              <w:t>169 aggregation project submitted</w:t>
            </w:r>
            <w:r w:rsidR="00D95503">
              <w:rPr>
                <w:rFonts w:ascii="Times New Roman" w:hAnsi="Times New Roman" w:cs="Times New Roman"/>
                <w:sz w:val="18"/>
                <w:szCs w:val="18"/>
              </w:rPr>
              <w:t xml:space="preserve"> of which 5</w:t>
            </w:r>
            <w:r w:rsidR="000B40CF" w:rsidRPr="00BC7BB5">
              <w:rPr>
                <w:rFonts w:ascii="Times New Roman" w:hAnsi="Times New Roman" w:cs="Times New Roman"/>
                <w:sz w:val="18"/>
                <w:szCs w:val="18"/>
              </w:rPr>
              <w:t xml:space="preserve">7 </w:t>
            </w:r>
            <w:r w:rsidR="00D95503">
              <w:rPr>
                <w:rFonts w:ascii="Times New Roman" w:hAnsi="Times New Roman" w:cs="Times New Roman"/>
                <w:sz w:val="18"/>
                <w:szCs w:val="18"/>
              </w:rPr>
              <w:t>certified</w:t>
            </w:r>
            <w:r w:rsidR="00294E47" w:rsidRPr="00BC7BB5">
              <w:rPr>
                <w:rFonts w:ascii="Times New Roman" w:hAnsi="Times New Roman" w:cs="Times New Roman"/>
                <w:sz w:val="18"/>
                <w:szCs w:val="18"/>
              </w:rPr>
              <w:t xml:space="preserve">, representing approximately </w:t>
            </w:r>
            <w:r w:rsidR="00D95503">
              <w:rPr>
                <w:rFonts w:ascii="Times New Roman" w:hAnsi="Times New Roman" w:cs="Times New Roman"/>
                <w:sz w:val="18"/>
                <w:szCs w:val="18"/>
              </w:rPr>
              <w:t>32</w:t>
            </w:r>
            <w:r w:rsidR="000B40CF" w:rsidRPr="00BC7BB5">
              <w:rPr>
                <w:rFonts w:ascii="Times New Roman" w:hAnsi="Times New Roman" w:cs="Times New Roman"/>
                <w:sz w:val="18"/>
                <w:szCs w:val="18"/>
              </w:rPr>
              <w:t>,000</w:t>
            </w:r>
            <w:r w:rsidRPr="00BC7BB5">
              <w:rPr>
                <w:rFonts w:ascii="Times New Roman" w:hAnsi="Times New Roman" w:cs="Times New Roman"/>
                <w:sz w:val="18"/>
                <w:szCs w:val="18"/>
              </w:rPr>
              <w:t xml:space="preserve"> producers</w:t>
            </w:r>
            <w:r w:rsidR="00294E47" w:rsidRPr="00BC7BB5">
              <w:rPr>
                <w:rFonts w:ascii="Times New Roman" w:hAnsi="Times New Roman" w:cs="Times New Roman"/>
                <w:sz w:val="18"/>
                <w:szCs w:val="18"/>
              </w:rPr>
              <w:t>, thereby potentially leveraging</w:t>
            </w:r>
            <w:r w:rsidR="00D95503">
              <w:rPr>
                <w:rFonts w:ascii="Times New Roman" w:hAnsi="Times New Roman" w:cs="Times New Roman"/>
                <w:sz w:val="18"/>
                <w:szCs w:val="18"/>
              </w:rPr>
              <w:t xml:space="preserve"> MAD 19</w:t>
            </w:r>
            <w:r w:rsidRPr="00BC7BB5">
              <w:rPr>
                <w:rFonts w:ascii="Times New Roman" w:hAnsi="Times New Roman" w:cs="Times New Roman"/>
                <w:sz w:val="18"/>
                <w:szCs w:val="18"/>
              </w:rPr>
              <w:t xml:space="preserve"> billion of private investment </w:t>
            </w:r>
          </w:p>
        </w:tc>
        <w:tc>
          <w:tcPr>
            <w:tcW w:w="2645" w:type="dxa"/>
          </w:tcPr>
          <w:p w14:paraId="5D1AC796" w14:textId="77777777" w:rsidR="00857749" w:rsidRPr="00BC7BB5" w:rsidRDefault="00857749" w:rsidP="008B7058">
            <w:pPr>
              <w:rPr>
                <w:rFonts w:ascii="Times New Roman" w:hAnsi="Times New Roman" w:cs="Times New Roman"/>
                <w:sz w:val="18"/>
                <w:szCs w:val="18"/>
              </w:rPr>
            </w:pPr>
            <w:r w:rsidRPr="00BC7BB5">
              <w:rPr>
                <w:rFonts w:ascii="Times New Roman" w:hAnsi="Times New Roman" w:cs="Times New Roman"/>
                <w:sz w:val="18"/>
                <w:szCs w:val="18"/>
              </w:rPr>
              <w:t>- Improve modalities and incentives for aggregation</w:t>
            </w:r>
          </w:p>
          <w:p w14:paraId="6767AF83" w14:textId="77777777" w:rsidR="00857749" w:rsidRPr="00BC7BB5" w:rsidRDefault="00857749" w:rsidP="008B7058">
            <w:pPr>
              <w:rPr>
                <w:rFonts w:ascii="Times New Roman" w:hAnsi="Times New Roman" w:cs="Times New Roman"/>
                <w:sz w:val="18"/>
                <w:szCs w:val="18"/>
              </w:rPr>
            </w:pPr>
            <w:r w:rsidRPr="00BC7BB5">
              <w:rPr>
                <w:rFonts w:ascii="Times New Roman" w:hAnsi="Times New Roman" w:cs="Times New Roman"/>
                <w:sz w:val="18"/>
                <w:szCs w:val="18"/>
              </w:rPr>
              <w:t>- Pilot alternative approaches for vertical and horizontal integration</w:t>
            </w:r>
          </w:p>
        </w:tc>
        <w:tc>
          <w:tcPr>
            <w:tcW w:w="3231" w:type="dxa"/>
          </w:tcPr>
          <w:p w14:paraId="0FC5359F" w14:textId="77777777" w:rsidR="00857749" w:rsidRPr="00BC7BB5" w:rsidRDefault="00857749" w:rsidP="008B7058">
            <w:pPr>
              <w:jc w:val="both"/>
              <w:rPr>
                <w:rFonts w:ascii="Times New Roman" w:hAnsi="Times New Roman" w:cs="Times New Roman"/>
                <w:sz w:val="18"/>
                <w:szCs w:val="18"/>
              </w:rPr>
            </w:pPr>
            <w:r w:rsidRPr="00BC7BB5">
              <w:rPr>
                <w:rFonts w:ascii="Times New Roman" w:hAnsi="Times New Roman" w:cs="Times New Roman"/>
                <w:sz w:val="18"/>
                <w:szCs w:val="18"/>
              </w:rPr>
              <w:t>- Amended Law on aggregation</w:t>
            </w:r>
          </w:p>
          <w:p w14:paraId="1BA6BFFF" w14:textId="460965B0" w:rsidR="00857749" w:rsidRPr="00BC7BB5" w:rsidRDefault="00857749" w:rsidP="008B7058">
            <w:pPr>
              <w:jc w:val="both"/>
              <w:rPr>
                <w:rFonts w:ascii="Times New Roman" w:hAnsi="Times New Roman" w:cs="Times New Roman"/>
                <w:sz w:val="18"/>
                <w:szCs w:val="18"/>
              </w:rPr>
            </w:pPr>
            <w:r w:rsidRPr="00BC7BB5">
              <w:rPr>
                <w:rFonts w:ascii="Times New Roman" w:hAnsi="Times New Roman" w:cs="Times New Roman"/>
                <w:sz w:val="18"/>
                <w:szCs w:val="18"/>
              </w:rPr>
              <w:t>- Pilot alternative approach</w:t>
            </w:r>
            <w:r w:rsidR="00294E47" w:rsidRPr="00BC7BB5">
              <w:rPr>
                <w:rFonts w:ascii="Times New Roman" w:hAnsi="Times New Roman" w:cs="Times New Roman"/>
                <w:sz w:val="18"/>
                <w:szCs w:val="18"/>
              </w:rPr>
              <w:t xml:space="preserve"> for </w:t>
            </w:r>
            <w:r w:rsidRPr="00BC7BB5">
              <w:rPr>
                <w:rFonts w:ascii="Times New Roman" w:hAnsi="Times New Roman" w:cs="Times New Roman"/>
                <w:sz w:val="18"/>
                <w:szCs w:val="18"/>
              </w:rPr>
              <w:t>aggregation projects</w:t>
            </w:r>
            <w:r w:rsidR="002B7292" w:rsidRPr="00BC7BB5">
              <w:rPr>
                <w:rFonts w:ascii="Times New Roman" w:hAnsi="Times New Roman" w:cs="Times New Roman"/>
                <w:sz w:val="18"/>
                <w:szCs w:val="18"/>
              </w:rPr>
              <w:t xml:space="preserve"> through productive alliances</w:t>
            </w:r>
            <w:r w:rsidRPr="00BC7BB5">
              <w:rPr>
                <w:rFonts w:ascii="Times New Roman" w:hAnsi="Times New Roman" w:cs="Times New Roman"/>
                <w:sz w:val="18"/>
                <w:szCs w:val="18"/>
              </w:rPr>
              <w:t xml:space="preserve"> (new, program adjustment)</w:t>
            </w:r>
          </w:p>
          <w:p w14:paraId="67206C0E" w14:textId="3066CB0A" w:rsidR="00857749" w:rsidRPr="00BC7BB5" w:rsidRDefault="00857749" w:rsidP="008B7058">
            <w:pPr>
              <w:jc w:val="both"/>
              <w:rPr>
                <w:rFonts w:ascii="Times New Roman" w:hAnsi="Times New Roman" w:cs="Times New Roman"/>
                <w:sz w:val="18"/>
                <w:szCs w:val="18"/>
              </w:rPr>
            </w:pPr>
            <w:r w:rsidRPr="00BC7BB5">
              <w:rPr>
                <w:rFonts w:ascii="Times New Roman" w:hAnsi="Times New Roman" w:cs="Times New Roman"/>
                <w:sz w:val="18"/>
                <w:szCs w:val="18"/>
              </w:rPr>
              <w:t>- Incentives for aggregation projects in the olive and citrus sub</w:t>
            </w:r>
            <w:r w:rsidR="00234768">
              <w:rPr>
                <w:rFonts w:ascii="Times New Roman" w:hAnsi="Times New Roman" w:cs="Times New Roman"/>
                <w:sz w:val="18"/>
                <w:szCs w:val="18"/>
              </w:rPr>
              <w:t>-</w:t>
            </w:r>
            <w:r w:rsidRPr="00BC7BB5">
              <w:rPr>
                <w:rFonts w:ascii="Times New Roman" w:hAnsi="Times New Roman" w:cs="Times New Roman"/>
                <w:sz w:val="18"/>
                <w:szCs w:val="18"/>
              </w:rPr>
              <w:t>sectors</w:t>
            </w:r>
          </w:p>
        </w:tc>
      </w:tr>
      <w:tr w:rsidR="009F0194" w:rsidRPr="00BC7BB5" w14:paraId="4F9C9563" w14:textId="77777777" w:rsidTr="00D776F9">
        <w:tc>
          <w:tcPr>
            <w:tcW w:w="2250" w:type="dxa"/>
          </w:tcPr>
          <w:p w14:paraId="111190E1" w14:textId="48A1C744" w:rsidR="009F0194" w:rsidRPr="00BC7BB5" w:rsidRDefault="009F0194" w:rsidP="00D776F9">
            <w:pPr>
              <w:rPr>
                <w:rFonts w:ascii="Times New Roman" w:hAnsi="Times New Roman" w:cs="Times New Roman"/>
                <w:sz w:val="18"/>
                <w:szCs w:val="18"/>
              </w:rPr>
            </w:pPr>
            <w:r w:rsidRPr="00BC7BB5">
              <w:rPr>
                <w:rFonts w:ascii="Times New Roman" w:hAnsi="Times New Roman" w:cs="Times New Roman"/>
                <w:sz w:val="18"/>
                <w:szCs w:val="18"/>
              </w:rPr>
              <w:t>FDA incentives for investments in value addition</w:t>
            </w:r>
          </w:p>
          <w:p w14:paraId="69EFBC30" w14:textId="77777777" w:rsidR="009F0194" w:rsidRPr="00BC7BB5" w:rsidRDefault="009F0194" w:rsidP="00D776F9">
            <w:pPr>
              <w:jc w:val="both"/>
              <w:rPr>
                <w:rFonts w:ascii="Times New Roman" w:hAnsi="Times New Roman" w:cs="Times New Roman"/>
                <w:sz w:val="18"/>
                <w:szCs w:val="18"/>
              </w:rPr>
            </w:pPr>
          </w:p>
        </w:tc>
        <w:tc>
          <w:tcPr>
            <w:tcW w:w="2497" w:type="dxa"/>
          </w:tcPr>
          <w:p w14:paraId="2D135CF9" w14:textId="77777777" w:rsidR="009F0194" w:rsidRPr="00BC7BB5" w:rsidRDefault="009F0194" w:rsidP="00D776F9">
            <w:pPr>
              <w:rPr>
                <w:rFonts w:ascii="Times New Roman" w:hAnsi="Times New Roman" w:cs="Times New Roman"/>
                <w:sz w:val="18"/>
                <w:szCs w:val="18"/>
              </w:rPr>
            </w:pPr>
            <w:r w:rsidRPr="00BC7BB5">
              <w:rPr>
                <w:rFonts w:ascii="Times New Roman" w:hAnsi="Times New Roman" w:cs="Times New Roman"/>
                <w:sz w:val="18"/>
                <w:szCs w:val="18"/>
              </w:rPr>
              <w:t>Providing incentives (grants) for private investments in (i) on-farm equipment; (ii) processing, conditioning and storage in priority value-chains</w:t>
            </w:r>
          </w:p>
        </w:tc>
        <w:tc>
          <w:tcPr>
            <w:tcW w:w="2967" w:type="dxa"/>
          </w:tcPr>
          <w:p w14:paraId="004AA0D3" w14:textId="68B8FADF" w:rsidR="009F0194" w:rsidRPr="00BC7BB5" w:rsidRDefault="00B31CA0" w:rsidP="00D776F9">
            <w:pPr>
              <w:jc w:val="both"/>
              <w:rPr>
                <w:rFonts w:ascii="Times New Roman" w:hAnsi="Times New Roman" w:cs="Times New Roman"/>
                <w:sz w:val="18"/>
                <w:szCs w:val="18"/>
              </w:rPr>
            </w:pPr>
            <w:r w:rsidRPr="00BC7BB5">
              <w:rPr>
                <w:rFonts w:ascii="Times New Roman" w:hAnsi="Times New Roman" w:cs="Times New Roman"/>
                <w:sz w:val="18"/>
                <w:szCs w:val="18"/>
              </w:rPr>
              <w:t>- High producer demand for on-farm investments</w:t>
            </w:r>
          </w:p>
          <w:p w14:paraId="5AE286A2" w14:textId="6EC2FA05" w:rsidR="00B31CA0" w:rsidRPr="00BC7BB5" w:rsidRDefault="00B31CA0" w:rsidP="00D776F9">
            <w:pPr>
              <w:jc w:val="both"/>
              <w:rPr>
                <w:rFonts w:ascii="Times New Roman" w:hAnsi="Times New Roman" w:cs="Times New Roman"/>
                <w:sz w:val="18"/>
                <w:szCs w:val="18"/>
              </w:rPr>
            </w:pPr>
            <w:r w:rsidRPr="00BC7BB5">
              <w:rPr>
                <w:rFonts w:ascii="Times New Roman" w:hAnsi="Times New Roman" w:cs="Times New Roman"/>
                <w:sz w:val="18"/>
                <w:szCs w:val="18"/>
              </w:rPr>
              <w:t>- Revision of incentives for value-addition under the CP IAA</w:t>
            </w:r>
          </w:p>
        </w:tc>
        <w:tc>
          <w:tcPr>
            <w:tcW w:w="2645" w:type="dxa"/>
          </w:tcPr>
          <w:p w14:paraId="3F53EE50" w14:textId="0DE3C20B" w:rsidR="009F0194" w:rsidRPr="00BC7BB5" w:rsidRDefault="009F0194" w:rsidP="00D776F9">
            <w:pPr>
              <w:rPr>
                <w:rFonts w:ascii="Times New Roman" w:hAnsi="Times New Roman" w:cs="Times New Roman"/>
                <w:sz w:val="18"/>
                <w:szCs w:val="18"/>
              </w:rPr>
            </w:pPr>
            <w:r w:rsidRPr="00BC7BB5">
              <w:rPr>
                <w:rFonts w:ascii="Times New Roman" w:hAnsi="Times New Roman" w:cs="Times New Roman"/>
                <w:sz w:val="18"/>
                <w:szCs w:val="18"/>
              </w:rPr>
              <w:t xml:space="preserve">- </w:t>
            </w:r>
            <w:r w:rsidR="00294E47" w:rsidRPr="00BC7BB5">
              <w:rPr>
                <w:rFonts w:ascii="Times New Roman" w:hAnsi="Times New Roman" w:cs="Times New Roman"/>
                <w:sz w:val="18"/>
                <w:szCs w:val="18"/>
              </w:rPr>
              <w:t>Improve appraisal and monitoring modalities</w:t>
            </w:r>
          </w:p>
          <w:p w14:paraId="11EA3766" w14:textId="4F386C31" w:rsidR="009F0194" w:rsidRPr="00BC7BB5" w:rsidRDefault="00B31CA0" w:rsidP="00D776F9">
            <w:pPr>
              <w:rPr>
                <w:rFonts w:ascii="Times New Roman" w:hAnsi="Times New Roman" w:cs="Times New Roman"/>
                <w:sz w:val="18"/>
                <w:szCs w:val="18"/>
              </w:rPr>
            </w:pPr>
            <w:r w:rsidRPr="00BC7BB5">
              <w:rPr>
                <w:rFonts w:ascii="Times New Roman" w:hAnsi="Times New Roman" w:cs="Times New Roman"/>
                <w:sz w:val="18"/>
                <w:szCs w:val="18"/>
              </w:rPr>
              <w:t>- Integrate lessons of early implementation</w:t>
            </w:r>
          </w:p>
          <w:p w14:paraId="615C10B4" w14:textId="77777777" w:rsidR="009F0194" w:rsidRPr="00BC7BB5" w:rsidRDefault="009F0194" w:rsidP="00D776F9">
            <w:pPr>
              <w:rPr>
                <w:rFonts w:ascii="Times New Roman" w:hAnsi="Times New Roman" w:cs="Times New Roman"/>
                <w:sz w:val="18"/>
                <w:szCs w:val="18"/>
              </w:rPr>
            </w:pPr>
          </w:p>
        </w:tc>
        <w:tc>
          <w:tcPr>
            <w:tcW w:w="3231" w:type="dxa"/>
          </w:tcPr>
          <w:p w14:paraId="23F9C2A0" w14:textId="77777777" w:rsidR="009F0194" w:rsidRPr="00BC7BB5" w:rsidRDefault="009F0194" w:rsidP="00D776F9">
            <w:pPr>
              <w:ind w:left="-74"/>
              <w:rPr>
                <w:rFonts w:ascii="Times New Roman" w:hAnsi="Times New Roman" w:cs="Times New Roman"/>
                <w:sz w:val="18"/>
                <w:szCs w:val="18"/>
              </w:rPr>
            </w:pPr>
            <w:r w:rsidRPr="00BC7BB5">
              <w:rPr>
                <w:rFonts w:ascii="Times New Roman" w:hAnsi="Times New Roman" w:cs="Times New Roman"/>
                <w:sz w:val="18"/>
                <w:szCs w:val="18"/>
              </w:rPr>
              <w:t>- Enhanced appraisal and monitoring modalities</w:t>
            </w:r>
          </w:p>
          <w:p w14:paraId="3FAC49EB" w14:textId="443AB83D" w:rsidR="009F0194" w:rsidRPr="00BC7BB5" w:rsidRDefault="009F0194" w:rsidP="00D776F9">
            <w:pPr>
              <w:rPr>
                <w:rFonts w:ascii="Times New Roman" w:hAnsi="Times New Roman" w:cs="Times New Roman"/>
                <w:sz w:val="18"/>
                <w:szCs w:val="18"/>
              </w:rPr>
            </w:pPr>
            <w:r w:rsidRPr="00BC7BB5">
              <w:rPr>
                <w:rFonts w:ascii="Times New Roman" w:hAnsi="Times New Roman" w:cs="Times New Roman"/>
                <w:sz w:val="18"/>
                <w:szCs w:val="18"/>
              </w:rPr>
              <w:t xml:space="preserve">- </w:t>
            </w:r>
            <w:r w:rsidR="007A23AF" w:rsidRPr="00BC7BB5">
              <w:rPr>
                <w:rFonts w:ascii="Times New Roman" w:hAnsi="Times New Roman" w:cs="Times New Roman"/>
                <w:sz w:val="18"/>
                <w:szCs w:val="18"/>
              </w:rPr>
              <w:t>Incentives</w:t>
            </w:r>
            <w:r w:rsidRPr="00BC7BB5">
              <w:rPr>
                <w:rFonts w:ascii="Times New Roman" w:hAnsi="Times New Roman" w:cs="Times New Roman"/>
                <w:sz w:val="18"/>
                <w:szCs w:val="18"/>
              </w:rPr>
              <w:t xml:space="preserve"> in processing, conditioning and storage in the olive and citrus sub</w:t>
            </w:r>
            <w:r w:rsidR="00234768">
              <w:rPr>
                <w:rFonts w:ascii="Times New Roman" w:hAnsi="Times New Roman" w:cs="Times New Roman"/>
                <w:sz w:val="18"/>
                <w:szCs w:val="18"/>
              </w:rPr>
              <w:t>-</w:t>
            </w:r>
            <w:r w:rsidRPr="00BC7BB5">
              <w:rPr>
                <w:rFonts w:ascii="Times New Roman" w:hAnsi="Times New Roman" w:cs="Times New Roman"/>
                <w:sz w:val="18"/>
                <w:szCs w:val="18"/>
              </w:rPr>
              <w:t>sectors</w:t>
            </w:r>
            <w:r w:rsidR="003146C9">
              <w:rPr>
                <w:rStyle w:val="FootnoteReference"/>
                <w:rFonts w:ascii="Times New Roman" w:hAnsi="Times New Roman" w:cs="Times New Roman"/>
                <w:sz w:val="18"/>
                <w:szCs w:val="18"/>
              </w:rPr>
              <w:footnoteReference w:id="14"/>
            </w:r>
            <w:r w:rsidRPr="00BC7BB5">
              <w:rPr>
                <w:rFonts w:ascii="Times New Roman" w:hAnsi="Times New Roman" w:cs="Times New Roman"/>
                <w:sz w:val="18"/>
                <w:szCs w:val="18"/>
              </w:rPr>
              <w:t xml:space="preserve"> (grants)</w:t>
            </w:r>
          </w:p>
        </w:tc>
      </w:tr>
      <w:tr w:rsidR="00857749" w:rsidRPr="00BC7BB5" w14:paraId="18A5E00F" w14:textId="77777777" w:rsidTr="00211171">
        <w:tc>
          <w:tcPr>
            <w:tcW w:w="2250" w:type="dxa"/>
          </w:tcPr>
          <w:p w14:paraId="285B567D" w14:textId="77777777" w:rsidR="00857749" w:rsidRPr="00BC7BB5" w:rsidRDefault="00857749" w:rsidP="008B7058">
            <w:pPr>
              <w:rPr>
                <w:rFonts w:ascii="Times New Roman" w:hAnsi="Times New Roman" w:cs="Times New Roman"/>
                <w:i/>
                <w:sz w:val="18"/>
                <w:szCs w:val="18"/>
              </w:rPr>
            </w:pPr>
            <w:r w:rsidRPr="00BC7BB5">
              <w:rPr>
                <w:rFonts w:ascii="Times New Roman" w:hAnsi="Times New Roman" w:cs="Times New Roman"/>
                <w:i/>
                <w:sz w:val="18"/>
                <w:szCs w:val="18"/>
              </w:rPr>
              <w:t>Pillar II</w:t>
            </w:r>
            <w:r w:rsidRPr="00BC7BB5">
              <w:rPr>
                <w:rFonts w:ascii="Times New Roman" w:hAnsi="Times New Roman" w:cs="Times New Roman"/>
                <w:sz w:val="18"/>
                <w:szCs w:val="18"/>
              </w:rPr>
              <w:t xml:space="preserve"> – Support for small producers in disadvantaged areas</w:t>
            </w:r>
          </w:p>
        </w:tc>
        <w:tc>
          <w:tcPr>
            <w:tcW w:w="2497" w:type="dxa"/>
          </w:tcPr>
          <w:p w14:paraId="5311C8E9" w14:textId="5E7E6D77" w:rsidR="00857749" w:rsidRPr="00BC7BB5" w:rsidRDefault="00857749" w:rsidP="00211171">
            <w:pPr>
              <w:rPr>
                <w:rFonts w:ascii="Times New Roman" w:hAnsi="Times New Roman" w:cs="Times New Roman"/>
                <w:sz w:val="18"/>
                <w:szCs w:val="18"/>
              </w:rPr>
            </w:pPr>
            <w:r w:rsidRPr="00BC7BB5">
              <w:rPr>
                <w:rFonts w:ascii="Times New Roman" w:hAnsi="Times New Roman" w:cs="Times New Roman"/>
                <w:sz w:val="18"/>
                <w:szCs w:val="18"/>
              </w:rPr>
              <w:t>Financing 400 smallholder projects aimed at increasing smallholder</w:t>
            </w:r>
            <w:r w:rsidR="00211171" w:rsidRPr="00BC7BB5">
              <w:rPr>
                <w:rFonts w:ascii="Times New Roman" w:hAnsi="Times New Roman" w:cs="Times New Roman"/>
                <w:sz w:val="18"/>
                <w:szCs w:val="18"/>
              </w:rPr>
              <w:t>s’ incomes</w:t>
            </w:r>
            <w:r w:rsidRPr="00BC7BB5">
              <w:rPr>
                <w:rFonts w:ascii="Times New Roman" w:hAnsi="Times New Roman" w:cs="Times New Roman"/>
                <w:sz w:val="18"/>
                <w:szCs w:val="18"/>
              </w:rPr>
              <w:t xml:space="preserve"> through crop switching, diversification and intensification</w:t>
            </w:r>
          </w:p>
        </w:tc>
        <w:tc>
          <w:tcPr>
            <w:tcW w:w="2967" w:type="dxa"/>
          </w:tcPr>
          <w:p w14:paraId="6C5561C4" w14:textId="426D64C7" w:rsidR="00857749" w:rsidRPr="00BC7BB5" w:rsidRDefault="00D94B9F" w:rsidP="008B7058">
            <w:pPr>
              <w:jc w:val="both"/>
              <w:rPr>
                <w:rFonts w:ascii="Times New Roman" w:hAnsi="Times New Roman" w:cs="Times New Roman"/>
                <w:sz w:val="18"/>
                <w:szCs w:val="18"/>
              </w:rPr>
            </w:pPr>
            <w:r w:rsidRPr="00BC7BB5">
              <w:rPr>
                <w:rFonts w:ascii="Times New Roman" w:hAnsi="Times New Roman" w:cs="Times New Roman"/>
                <w:sz w:val="18"/>
                <w:szCs w:val="18"/>
              </w:rPr>
              <w:t xml:space="preserve">530 projects under preparation or implementation. </w:t>
            </w:r>
            <w:r w:rsidR="00857749" w:rsidRPr="00BC7BB5">
              <w:rPr>
                <w:rFonts w:ascii="Times New Roman" w:hAnsi="Times New Roman" w:cs="Times New Roman"/>
                <w:sz w:val="18"/>
                <w:szCs w:val="18"/>
              </w:rPr>
              <w:t>237,000 hectares of new plantations have been established, representing an investment of approximately MAD 5.2 billion</w:t>
            </w:r>
          </w:p>
        </w:tc>
        <w:tc>
          <w:tcPr>
            <w:tcW w:w="2645" w:type="dxa"/>
          </w:tcPr>
          <w:p w14:paraId="22949537" w14:textId="77777777" w:rsidR="00857749" w:rsidRPr="00BC7BB5" w:rsidRDefault="00857749" w:rsidP="008B7058">
            <w:pPr>
              <w:rPr>
                <w:rFonts w:ascii="Times New Roman" w:hAnsi="Times New Roman" w:cs="Times New Roman"/>
                <w:sz w:val="18"/>
                <w:szCs w:val="18"/>
              </w:rPr>
            </w:pPr>
            <w:r w:rsidRPr="00BC7BB5">
              <w:rPr>
                <w:rFonts w:ascii="Times New Roman" w:hAnsi="Times New Roman" w:cs="Times New Roman"/>
                <w:sz w:val="18"/>
                <w:szCs w:val="18"/>
              </w:rPr>
              <w:t>- Ensure sustainability of investments</w:t>
            </w:r>
          </w:p>
          <w:p w14:paraId="392D1FF2" w14:textId="77777777" w:rsidR="00857749" w:rsidRPr="00BC7BB5" w:rsidRDefault="00857749" w:rsidP="008B7058">
            <w:pPr>
              <w:rPr>
                <w:rFonts w:ascii="Times New Roman" w:hAnsi="Times New Roman" w:cs="Times New Roman"/>
                <w:sz w:val="18"/>
                <w:szCs w:val="18"/>
              </w:rPr>
            </w:pPr>
            <w:r w:rsidRPr="00BC7BB5">
              <w:rPr>
                <w:rFonts w:ascii="Times New Roman" w:hAnsi="Times New Roman" w:cs="Times New Roman"/>
                <w:sz w:val="18"/>
                <w:szCs w:val="18"/>
              </w:rPr>
              <w:t>- Transition from pillar II to more sustainable approach</w:t>
            </w:r>
          </w:p>
        </w:tc>
        <w:tc>
          <w:tcPr>
            <w:tcW w:w="3231" w:type="dxa"/>
          </w:tcPr>
          <w:p w14:paraId="132F4CE6" w14:textId="77777777" w:rsidR="00857749" w:rsidRPr="00BC7BB5" w:rsidRDefault="00857749" w:rsidP="008B7058">
            <w:pPr>
              <w:rPr>
                <w:rFonts w:ascii="Times New Roman" w:hAnsi="Times New Roman" w:cs="Times New Roman"/>
                <w:sz w:val="18"/>
                <w:szCs w:val="18"/>
              </w:rPr>
            </w:pPr>
            <w:r w:rsidRPr="00BC7BB5">
              <w:rPr>
                <w:rFonts w:ascii="Times New Roman" w:hAnsi="Times New Roman" w:cs="Times New Roman"/>
                <w:sz w:val="18"/>
                <w:szCs w:val="18"/>
              </w:rPr>
              <w:t>- Technical assistance for beneficiaries transitioning towards high value products, such as olive GIEs and cooperatives (new, program adjustment)</w:t>
            </w:r>
          </w:p>
        </w:tc>
      </w:tr>
      <w:tr w:rsidR="00857749" w:rsidRPr="00BC7BB5" w14:paraId="42ADD05A" w14:textId="77777777" w:rsidTr="00211171">
        <w:tc>
          <w:tcPr>
            <w:tcW w:w="2250" w:type="dxa"/>
          </w:tcPr>
          <w:p w14:paraId="0AE7D988" w14:textId="77777777" w:rsidR="00857749" w:rsidRPr="00BC7BB5" w:rsidRDefault="00857749" w:rsidP="008B7058">
            <w:pPr>
              <w:jc w:val="center"/>
              <w:rPr>
                <w:rFonts w:ascii="Times New Roman Bold" w:hAnsi="Times New Roman Bold" w:cs="Times New Roman"/>
                <w:b/>
                <w:sz w:val="20"/>
                <w:szCs w:val="20"/>
              </w:rPr>
            </w:pPr>
            <w:r w:rsidRPr="00BC7BB5">
              <w:rPr>
                <w:rFonts w:ascii="Times New Roman Bold" w:hAnsi="Times New Roman Bold" w:cs="Times New Roman"/>
                <w:b/>
                <w:sz w:val="20"/>
                <w:szCs w:val="20"/>
              </w:rPr>
              <w:t>Geographic scope</w:t>
            </w:r>
          </w:p>
        </w:tc>
        <w:tc>
          <w:tcPr>
            <w:tcW w:w="8109" w:type="dxa"/>
            <w:gridSpan w:val="3"/>
          </w:tcPr>
          <w:p w14:paraId="7B90F172" w14:textId="6E27A287" w:rsidR="00857749" w:rsidRPr="00BC7BB5" w:rsidRDefault="000A1436" w:rsidP="000A1436">
            <w:pPr>
              <w:jc w:val="center"/>
              <w:rPr>
                <w:rFonts w:ascii="Times New Roman Bold" w:hAnsi="Times New Roman Bold" w:cs="Times New Roman"/>
                <w:sz w:val="20"/>
                <w:szCs w:val="20"/>
              </w:rPr>
            </w:pPr>
            <w:r>
              <w:rPr>
                <w:rFonts w:ascii="Times New Roman" w:hAnsi="Times New Roman" w:cs="Times New Roman"/>
                <w:sz w:val="18"/>
                <w:szCs w:val="18"/>
              </w:rPr>
              <w:t>National coverage (a</w:t>
            </w:r>
            <w:r w:rsidR="00857749" w:rsidRPr="00BC7BB5">
              <w:rPr>
                <w:rFonts w:ascii="Times New Roman" w:hAnsi="Times New Roman" w:cs="Times New Roman"/>
                <w:sz w:val="18"/>
                <w:szCs w:val="18"/>
              </w:rPr>
              <w:t>ll 12 r</w:t>
            </w:r>
            <w:r w:rsidR="00D66C2B" w:rsidRPr="00BC7BB5">
              <w:rPr>
                <w:rFonts w:ascii="Times New Roman" w:hAnsi="Times New Roman" w:cs="Times New Roman"/>
                <w:sz w:val="18"/>
                <w:szCs w:val="18"/>
              </w:rPr>
              <w:t>egions</w:t>
            </w:r>
            <w:r>
              <w:rPr>
                <w:rFonts w:ascii="Times New Roman" w:hAnsi="Times New Roman" w:cs="Times New Roman"/>
                <w:sz w:val="18"/>
                <w:szCs w:val="18"/>
              </w:rPr>
              <w:t>)</w:t>
            </w:r>
          </w:p>
        </w:tc>
        <w:tc>
          <w:tcPr>
            <w:tcW w:w="3231" w:type="dxa"/>
          </w:tcPr>
          <w:p w14:paraId="028BA7B7" w14:textId="6D4D625B" w:rsidR="00857749" w:rsidRPr="00BC7BB5" w:rsidRDefault="007D58C6" w:rsidP="008B7058">
            <w:pPr>
              <w:jc w:val="both"/>
              <w:rPr>
                <w:rFonts w:ascii="Times New Roman" w:hAnsi="Times New Roman" w:cs="Times New Roman"/>
                <w:sz w:val="18"/>
                <w:szCs w:val="18"/>
              </w:rPr>
            </w:pPr>
            <w:r>
              <w:rPr>
                <w:rFonts w:ascii="Times New Roman" w:hAnsi="Times New Roman" w:cs="Times New Roman"/>
                <w:sz w:val="18"/>
                <w:szCs w:val="18"/>
              </w:rPr>
              <w:t>Program area (nine</w:t>
            </w:r>
            <w:r w:rsidR="007A56B5" w:rsidRPr="00BC7BB5">
              <w:rPr>
                <w:rFonts w:ascii="Times New Roman" w:hAnsi="Times New Roman" w:cs="Times New Roman"/>
                <w:sz w:val="18"/>
                <w:szCs w:val="18"/>
              </w:rPr>
              <w:t xml:space="preserve"> regions</w:t>
            </w:r>
            <w:r w:rsidR="008E7877" w:rsidRPr="00BC7BB5">
              <w:rPr>
                <w:rFonts w:ascii="Times New Roman" w:hAnsi="Times New Roman" w:cs="Times New Roman"/>
                <w:sz w:val="18"/>
                <w:szCs w:val="18"/>
              </w:rPr>
              <w:t>)</w:t>
            </w:r>
          </w:p>
        </w:tc>
      </w:tr>
      <w:tr w:rsidR="00857749" w:rsidRPr="00BC7BB5" w14:paraId="69AD22B7" w14:textId="77777777" w:rsidTr="00211171">
        <w:tc>
          <w:tcPr>
            <w:tcW w:w="2250" w:type="dxa"/>
          </w:tcPr>
          <w:p w14:paraId="211EE15E" w14:textId="77777777" w:rsidR="00857749" w:rsidRPr="00BC7BB5" w:rsidRDefault="00857749" w:rsidP="008B7058">
            <w:pPr>
              <w:jc w:val="center"/>
              <w:rPr>
                <w:rFonts w:ascii="Times New Roman Bold" w:hAnsi="Times New Roman Bold" w:cs="Times New Roman"/>
                <w:b/>
                <w:sz w:val="20"/>
                <w:szCs w:val="20"/>
              </w:rPr>
            </w:pPr>
            <w:r w:rsidRPr="00BC7BB5">
              <w:rPr>
                <w:rFonts w:ascii="Times New Roman Bold" w:hAnsi="Times New Roman Bold" w:cs="Times New Roman"/>
                <w:b/>
                <w:sz w:val="20"/>
                <w:szCs w:val="20"/>
              </w:rPr>
              <w:t>Implementation period</w:t>
            </w:r>
          </w:p>
        </w:tc>
        <w:tc>
          <w:tcPr>
            <w:tcW w:w="8109" w:type="dxa"/>
            <w:gridSpan w:val="3"/>
          </w:tcPr>
          <w:p w14:paraId="38B8A75E" w14:textId="0AD80835" w:rsidR="00857749" w:rsidRPr="00BC7BB5" w:rsidRDefault="00857749" w:rsidP="008B7058">
            <w:pPr>
              <w:jc w:val="center"/>
              <w:rPr>
                <w:rFonts w:ascii="Times New Roman Bold" w:hAnsi="Times New Roman Bold" w:cs="Times New Roman"/>
                <w:sz w:val="20"/>
                <w:szCs w:val="20"/>
              </w:rPr>
            </w:pPr>
            <w:r w:rsidRPr="00BC7BB5">
              <w:rPr>
                <w:rFonts w:ascii="Times New Roman" w:hAnsi="Times New Roman" w:cs="Times New Roman"/>
                <w:sz w:val="18"/>
                <w:szCs w:val="18"/>
              </w:rPr>
              <w:t>2008-2015 (phase I) and 2016-2022 (phase II)</w:t>
            </w:r>
          </w:p>
        </w:tc>
        <w:tc>
          <w:tcPr>
            <w:tcW w:w="3231" w:type="dxa"/>
          </w:tcPr>
          <w:p w14:paraId="1EF9A149" w14:textId="77777777" w:rsidR="00857749" w:rsidRPr="00BC7BB5" w:rsidRDefault="00857749" w:rsidP="008B7058">
            <w:pPr>
              <w:jc w:val="both"/>
              <w:rPr>
                <w:rFonts w:ascii="Times New Roman" w:hAnsi="Times New Roman" w:cs="Times New Roman"/>
                <w:sz w:val="20"/>
                <w:szCs w:val="20"/>
              </w:rPr>
            </w:pPr>
            <w:r w:rsidRPr="00BC7BB5">
              <w:rPr>
                <w:rFonts w:ascii="Times New Roman" w:hAnsi="Times New Roman" w:cs="Times New Roman"/>
                <w:sz w:val="20"/>
                <w:szCs w:val="20"/>
              </w:rPr>
              <w:t>2018-2022 (five years)</w:t>
            </w:r>
          </w:p>
        </w:tc>
      </w:tr>
      <w:tr w:rsidR="00857749" w:rsidRPr="00BC7BB5" w14:paraId="2EC6315F" w14:textId="77777777" w:rsidTr="00211171">
        <w:tc>
          <w:tcPr>
            <w:tcW w:w="2250" w:type="dxa"/>
          </w:tcPr>
          <w:p w14:paraId="3219C556" w14:textId="46114FB6" w:rsidR="00857749" w:rsidRPr="00BC7BB5" w:rsidRDefault="00857749" w:rsidP="008B7058">
            <w:pPr>
              <w:jc w:val="center"/>
              <w:rPr>
                <w:rFonts w:ascii="Times New Roman Bold" w:hAnsi="Times New Roman Bold" w:cs="Times New Roman"/>
                <w:b/>
                <w:sz w:val="20"/>
                <w:szCs w:val="20"/>
              </w:rPr>
            </w:pPr>
            <w:r w:rsidRPr="00BC7BB5">
              <w:rPr>
                <w:rFonts w:ascii="Times New Roman Bold" w:hAnsi="Times New Roman Bold" w:cs="Times New Roman"/>
                <w:b/>
                <w:sz w:val="20"/>
                <w:szCs w:val="20"/>
              </w:rPr>
              <w:t xml:space="preserve">Cost </w:t>
            </w:r>
          </w:p>
        </w:tc>
        <w:tc>
          <w:tcPr>
            <w:tcW w:w="8109" w:type="dxa"/>
            <w:gridSpan w:val="3"/>
          </w:tcPr>
          <w:p w14:paraId="21B43B93" w14:textId="77777777" w:rsidR="00857749" w:rsidRPr="00BC7BB5" w:rsidRDefault="00857749" w:rsidP="008B7058">
            <w:pPr>
              <w:jc w:val="center"/>
              <w:rPr>
                <w:rFonts w:ascii="Times New Roman Bold" w:hAnsi="Times New Roman Bold" w:cs="Times New Roman"/>
                <w:sz w:val="20"/>
                <w:szCs w:val="20"/>
              </w:rPr>
            </w:pPr>
            <w:r w:rsidRPr="00BC7BB5">
              <w:rPr>
                <w:rFonts w:ascii="Times New Roman" w:hAnsi="Times New Roman" w:cs="Times New Roman"/>
                <w:sz w:val="18"/>
                <w:szCs w:val="18"/>
              </w:rPr>
              <w:t>US$6.66 billion for 2008-2022</w:t>
            </w:r>
          </w:p>
        </w:tc>
        <w:tc>
          <w:tcPr>
            <w:tcW w:w="3231" w:type="dxa"/>
          </w:tcPr>
          <w:p w14:paraId="1A5E4D3F" w14:textId="70E963C1" w:rsidR="00857749" w:rsidRPr="00BC7BB5" w:rsidRDefault="00857749" w:rsidP="008B7058">
            <w:pPr>
              <w:jc w:val="both"/>
              <w:rPr>
                <w:rFonts w:ascii="Times New Roman" w:hAnsi="Times New Roman" w:cs="Times New Roman"/>
                <w:sz w:val="20"/>
                <w:szCs w:val="20"/>
              </w:rPr>
            </w:pPr>
            <w:r w:rsidRPr="00BC7BB5">
              <w:rPr>
                <w:rFonts w:ascii="Times New Roman" w:hAnsi="Times New Roman" w:cs="Times New Roman"/>
                <w:sz w:val="20"/>
                <w:szCs w:val="20"/>
              </w:rPr>
              <w:t>US$</w:t>
            </w:r>
            <w:r w:rsidR="00D95503" w:rsidRPr="001555C1">
              <w:rPr>
                <w:rFonts w:ascii="Times New Roman" w:hAnsi="Times New Roman" w:cs="Times New Roman"/>
                <w:sz w:val="20"/>
                <w:szCs w:val="20"/>
              </w:rPr>
              <w:t>450</w:t>
            </w:r>
            <w:r w:rsidRPr="00BC7BB5">
              <w:rPr>
                <w:rFonts w:ascii="Times New Roman" w:hAnsi="Times New Roman" w:cs="Times New Roman"/>
                <w:sz w:val="20"/>
                <w:szCs w:val="20"/>
              </w:rPr>
              <w:t xml:space="preserve"> million</w:t>
            </w:r>
          </w:p>
        </w:tc>
      </w:tr>
    </w:tbl>
    <w:p w14:paraId="4C2AA214" w14:textId="77777777" w:rsidR="00857749" w:rsidRPr="00BC7BB5" w:rsidRDefault="00857749" w:rsidP="00465C04">
      <w:pPr>
        <w:pStyle w:val="NoSpacing"/>
        <w:ind w:left="420"/>
        <w:jc w:val="both"/>
        <w:rPr>
          <w:rFonts w:ascii="Times New Roman" w:hAnsi="Times New Roman" w:cs="Times New Roman"/>
        </w:rPr>
        <w:sectPr w:rsidR="00857749" w:rsidRPr="00BC7BB5" w:rsidSect="009F0194">
          <w:pgSz w:w="15840" w:h="12240" w:orient="landscape"/>
          <w:pgMar w:top="1440" w:right="1440" w:bottom="1440" w:left="1440" w:header="720" w:footer="720" w:gutter="0"/>
          <w:pgNumType w:chapStyle="1"/>
          <w:cols w:space="720"/>
          <w:docGrid w:linePitch="360"/>
        </w:sectPr>
      </w:pPr>
    </w:p>
    <w:p w14:paraId="40A619F7" w14:textId="05922C1A" w:rsidR="00596A2D" w:rsidRPr="00BC7BB5" w:rsidRDefault="00596A2D" w:rsidP="00B35A06">
      <w:pPr>
        <w:pStyle w:val="NoSpacing"/>
        <w:numPr>
          <w:ilvl w:val="0"/>
          <w:numId w:val="7"/>
        </w:numPr>
        <w:ind w:left="0" w:firstLine="0"/>
        <w:jc w:val="both"/>
        <w:rPr>
          <w:rFonts w:ascii="Times New Roman" w:hAnsi="Times New Roman" w:cs="Times New Roman"/>
        </w:rPr>
      </w:pPr>
      <w:r w:rsidRPr="00BC7BB5">
        <w:rPr>
          <w:rFonts w:ascii="Times New Roman" w:hAnsi="Times New Roman" w:cs="Times New Roman"/>
          <w:color w:val="000000" w:themeColor="text1"/>
        </w:rPr>
        <w:lastRenderedPageBreak/>
        <w:t xml:space="preserve">To achieve its development objective, the Program would invest in </w:t>
      </w:r>
      <w:r w:rsidR="00292076" w:rsidRPr="00BC7BB5">
        <w:rPr>
          <w:rFonts w:ascii="Times New Roman" w:hAnsi="Times New Roman" w:cs="Times New Roman"/>
          <w:color w:val="000000" w:themeColor="text1"/>
        </w:rPr>
        <w:t xml:space="preserve">two </w:t>
      </w:r>
      <w:r w:rsidRPr="00BC7BB5">
        <w:rPr>
          <w:rFonts w:ascii="Times New Roman" w:hAnsi="Times New Roman" w:cs="Times New Roman"/>
          <w:color w:val="000000" w:themeColor="text1"/>
        </w:rPr>
        <w:t xml:space="preserve">focal areas: (a) </w:t>
      </w:r>
      <w:r w:rsidR="0067750E" w:rsidRPr="00BC7BB5">
        <w:rPr>
          <w:rFonts w:ascii="Times New Roman" w:hAnsi="Times New Roman" w:cs="Times New Roman"/>
          <w:i/>
          <w:color w:val="000000" w:themeColor="text1"/>
        </w:rPr>
        <w:t>increased</w:t>
      </w:r>
      <w:r w:rsidRPr="00BC7BB5">
        <w:rPr>
          <w:rFonts w:ascii="Times New Roman" w:hAnsi="Times New Roman" w:cs="Times New Roman"/>
          <w:i/>
          <w:color w:val="000000" w:themeColor="text1"/>
        </w:rPr>
        <w:t xml:space="preserve"> market efficiency and </w:t>
      </w:r>
      <w:r w:rsidR="00292076" w:rsidRPr="00BC7BB5">
        <w:rPr>
          <w:rFonts w:ascii="Times New Roman" w:hAnsi="Times New Roman" w:cs="Times New Roman"/>
          <w:i/>
          <w:color w:val="000000" w:themeColor="text1"/>
        </w:rPr>
        <w:t>integration</w:t>
      </w:r>
      <w:r w:rsidRPr="00BC7BB5">
        <w:rPr>
          <w:rFonts w:ascii="Times New Roman" w:hAnsi="Times New Roman" w:cs="Times New Roman"/>
          <w:color w:val="000000" w:themeColor="text1"/>
        </w:rPr>
        <w:t xml:space="preserve">, by (i) strengthening the capacity of </w:t>
      </w:r>
      <w:r w:rsidR="00777C0D" w:rsidRPr="00BC7BB5">
        <w:rPr>
          <w:rFonts w:ascii="Times New Roman" w:hAnsi="Times New Roman" w:cs="Times New Roman"/>
          <w:color w:val="000000" w:themeColor="text1"/>
        </w:rPr>
        <w:t>interprofessions</w:t>
      </w:r>
      <w:r w:rsidR="009914C2">
        <w:rPr>
          <w:rFonts w:ascii="Times New Roman" w:hAnsi="Times New Roman" w:cs="Times New Roman"/>
          <w:color w:val="000000" w:themeColor="text1"/>
        </w:rPr>
        <w:t>,</w:t>
      </w:r>
      <w:r w:rsidR="009914C2" w:rsidRPr="00BC7BB5">
        <w:rPr>
          <w:rFonts w:ascii="Times New Roman" w:hAnsi="Times New Roman" w:cs="Times New Roman"/>
          <w:color w:val="000000" w:themeColor="text1"/>
        </w:rPr>
        <w:t xml:space="preserve"> </w:t>
      </w:r>
      <w:r w:rsidRPr="00BC7BB5">
        <w:rPr>
          <w:rFonts w:ascii="Times New Roman" w:hAnsi="Times New Roman" w:cs="Times New Roman"/>
          <w:color w:val="000000" w:themeColor="text1"/>
        </w:rPr>
        <w:t xml:space="preserve">(ii) enabling greater access of small </w:t>
      </w:r>
      <w:r w:rsidR="00292076" w:rsidRPr="00BC7BB5">
        <w:rPr>
          <w:rFonts w:ascii="Times New Roman" w:hAnsi="Times New Roman" w:cs="Times New Roman"/>
          <w:color w:val="000000" w:themeColor="text1"/>
        </w:rPr>
        <w:t xml:space="preserve">and medium </w:t>
      </w:r>
      <w:r w:rsidRPr="00BC7BB5">
        <w:rPr>
          <w:rFonts w:ascii="Times New Roman" w:hAnsi="Times New Roman" w:cs="Times New Roman"/>
          <w:color w:val="000000" w:themeColor="text1"/>
        </w:rPr>
        <w:t xml:space="preserve">producers </w:t>
      </w:r>
      <w:r w:rsidR="00292076" w:rsidRPr="00BC7BB5">
        <w:rPr>
          <w:rFonts w:ascii="Times New Roman" w:hAnsi="Times New Roman" w:cs="Times New Roman"/>
          <w:color w:val="000000" w:themeColor="text1"/>
        </w:rPr>
        <w:t>and enterprises</w:t>
      </w:r>
      <w:r w:rsidRPr="00BC7BB5">
        <w:rPr>
          <w:rFonts w:ascii="Times New Roman" w:hAnsi="Times New Roman" w:cs="Times New Roman"/>
          <w:color w:val="000000" w:themeColor="text1"/>
        </w:rPr>
        <w:t xml:space="preserve"> to existing instruments</w:t>
      </w:r>
      <w:r w:rsidR="003C6149" w:rsidRPr="00BC7BB5">
        <w:rPr>
          <w:rFonts w:ascii="Times New Roman" w:hAnsi="Times New Roman" w:cs="Times New Roman"/>
          <w:color w:val="000000" w:themeColor="text1"/>
        </w:rPr>
        <w:t xml:space="preserve"> (targeted incentives)</w:t>
      </w:r>
      <w:r w:rsidRPr="00BC7BB5">
        <w:rPr>
          <w:rFonts w:ascii="Times New Roman" w:hAnsi="Times New Roman" w:cs="Times New Roman"/>
          <w:color w:val="000000" w:themeColor="text1"/>
        </w:rPr>
        <w:t xml:space="preserve"> to </w:t>
      </w:r>
      <w:r w:rsidR="003C6149" w:rsidRPr="00BC7BB5">
        <w:rPr>
          <w:rFonts w:ascii="Times New Roman" w:hAnsi="Times New Roman" w:cs="Times New Roman"/>
          <w:color w:val="000000" w:themeColor="text1"/>
        </w:rPr>
        <w:t xml:space="preserve">foster </w:t>
      </w:r>
      <w:r w:rsidRPr="00BC7BB5">
        <w:rPr>
          <w:rFonts w:ascii="Times New Roman" w:hAnsi="Times New Roman" w:cs="Times New Roman"/>
          <w:color w:val="000000" w:themeColor="text1"/>
        </w:rPr>
        <w:t>vertical and horizontal integration</w:t>
      </w:r>
      <w:r w:rsidR="009914C2">
        <w:rPr>
          <w:rFonts w:ascii="Times New Roman" w:hAnsi="Times New Roman" w:cs="Times New Roman"/>
          <w:color w:val="000000" w:themeColor="text1"/>
        </w:rPr>
        <w:t>,</w:t>
      </w:r>
      <w:r w:rsidR="009914C2" w:rsidRPr="00BC7BB5">
        <w:rPr>
          <w:rFonts w:ascii="Times New Roman" w:hAnsi="Times New Roman" w:cs="Times New Roman"/>
          <w:color w:val="000000" w:themeColor="text1"/>
        </w:rPr>
        <w:t xml:space="preserve"> </w:t>
      </w:r>
      <w:r w:rsidRPr="00BC7BB5">
        <w:rPr>
          <w:rFonts w:ascii="Times New Roman" w:hAnsi="Times New Roman" w:cs="Times New Roman"/>
          <w:color w:val="000000" w:themeColor="text1"/>
        </w:rPr>
        <w:t xml:space="preserve">(iii) upgrading </w:t>
      </w:r>
      <w:r w:rsidR="00292076" w:rsidRPr="00BC7BB5">
        <w:rPr>
          <w:rFonts w:ascii="Times New Roman" w:hAnsi="Times New Roman" w:cs="Times New Roman"/>
          <w:color w:val="000000" w:themeColor="text1"/>
        </w:rPr>
        <w:t xml:space="preserve">selected </w:t>
      </w:r>
      <w:r w:rsidRPr="00BC7BB5">
        <w:rPr>
          <w:rFonts w:ascii="Times New Roman" w:hAnsi="Times New Roman" w:cs="Times New Roman"/>
          <w:color w:val="000000" w:themeColor="text1"/>
        </w:rPr>
        <w:t>market infrastructure and improving their management</w:t>
      </w:r>
      <w:r w:rsidR="009914C2">
        <w:rPr>
          <w:rFonts w:ascii="Times New Roman" w:hAnsi="Times New Roman" w:cs="Times New Roman"/>
          <w:color w:val="000000" w:themeColor="text1"/>
        </w:rPr>
        <w:t>,</w:t>
      </w:r>
      <w:r w:rsidRPr="00BC7BB5">
        <w:rPr>
          <w:rFonts w:ascii="Times New Roman" w:hAnsi="Times New Roman" w:cs="Times New Roman"/>
          <w:color w:val="000000" w:themeColor="text1"/>
        </w:rPr>
        <w:t xml:space="preserve"> and (iv) developing agriculture market information systems;</w:t>
      </w:r>
      <w:r w:rsidR="00E66670" w:rsidRPr="00BC7BB5">
        <w:rPr>
          <w:rFonts w:ascii="Times New Roman" w:hAnsi="Times New Roman" w:cs="Times New Roman"/>
          <w:color w:val="000000" w:themeColor="text1"/>
        </w:rPr>
        <w:t xml:space="preserve"> and</w:t>
      </w:r>
      <w:r w:rsidRPr="00BC7BB5">
        <w:rPr>
          <w:rFonts w:ascii="Times New Roman" w:hAnsi="Times New Roman" w:cs="Times New Roman"/>
          <w:color w:val="000000" w:themeColor="text1"/>
        </w:rPr>
        <w:t xml:space="preserve"> (b</w:t>
      </w:r>
      <w:r w:rsidR="0067750E" w:rsidRPr="00BC7BB5">
        <w:rPr>
          <w:rFonts w:ascii="Times New Roman" w:hAnsi="Times New Roman" w:cs="Times New Roman"/>
          <w:i/>
          <w:color w:val="000000" w:themeColor="text1"/>
        </w:rPr>
        <w:t>) improved</w:t>
      </w:r>
      <w:r w:rsidR="00292076" w:rsidRPr="00BC7BB5">
        <w:rPr>
          <w:rFonts w:ascii="Times New Roman" w:hAnsi="Times New Roman" w:cs="Times New Roman"/>
          <w:i/>
          <w:color w:val="000000" w:themeColor="text1"/>
        </w:rPr>
        <w:t xml:space="preserve"> </w:t>
      </w:r>
      <w:r w:rsidR="0067750E" w:rsidRPr="00BC7BB5">
        <w:rPr>
          <w:rFonts w:ascii="Times New Roman" w:hAnsi="Times New Roman" w:cs="Times New Roman"/>
          <w:i/>
          <w:color w:val="000000" w:themeColor="text1"/>
        </w:rPr>
        <w:t>added</w:t>
      </w:r>
      <w:r w:rsidR="00292076" w:rsidRPr="00BC7BB5">
        <w:rPr>
          <w:rFonts w:ascii="Times New Roman" w:hAnsi="Times New Roman" w:cs="Times New Roman"/>
          <w:i/>
          <w:color w:val="000000" w:themeColor="text1"/>
        </w:rPr>
        <w:t xml:space="preserve">-value </w:t>
      </w:r>
      <w:r w:rsidR="0067750E" w:rsidRPr="00BC7BB5">
        <w:rPr>
          <w:rFonts w:ascii="Times New Roman" w:hAnsi="Times New Roman" w:cs="Times New Roman"/>
          <w:i/>
          <w:color w:val="000000" w:themeColor="text1"/>
        </w:rPr>
        <w:t xml:space="preserve">of </w:t>
      </w:r>
      <w:r w:rsidR="00292076" w:rsidRPr="00BC7BB5">
        <w:rPr>
          <w:rFonts w:ascii="Times New Roman" w:hAnsi="Times New Roman" w:cs="Times New Roman"/>
          <w:i/>
          <w:color w:val="000000" w:themeColor="text1"/>
        </w:rPr>
        <w:t>agri-food products</w:t>
      </w:r>
      <w:r w:rsidRPr="00BC7BB5">
        <w:rPr>
          <w:rFonts w:ascii="Times New Roman" w:hAnsi="Times New Roman" w:cs="Times New Roman"/>
          <w:i/>
          <w:color w:val="000000" w:themeColor="text1"/>
        </w:rPr>
        <w:t>,</w:t>
      </w:r>
      <w:r w:rsidRPr="00BC7BB5">
        <w:rPr>
          <w:rFonts w:ascii="Times New Roman" w:hAnsi="Times New Roman" w:cs="Times New Roman"/>
          <w:color w:val="000000" w:themeColor="text1"/>
        </w:rPr>
        <w:t xml:space="preserve"> by </w:t>
      </w:r>
      <w:r w:rsidR="00292076" w:rsidRPr="00BC7BB5">
        <w:rPr>
          <w:rFonts w:ascii="Times New Roman" w:hAnsi="Times New Roman" w:cs="Times New Roman"/>
          <w:color w:val="000000" w:themeColor="text1"/>
        </w:rPr>
        <w:t xml:space="preserve">(i) </w:t>
      </w:r>
      <w:r w:rsidRPr="00BC7BB5">
        <w:rPr>
          <w:rFonts w:ascii="Times New Roman" w:hAnsi="Times New Roman" w:cs="Times New Roman"/>
          <w:color w:val="000000" w:themeColor="text1"/>
        </w:rPr>
        <w:t>enabling risk-based implementation of the national food safety law and regulations</w:t>
      </w:r>
      <w:r w:rsidR="00241AE1" w:rsidRPr="00BC7BB5">
        <w:rPr>
          <w:rFonts w:ascii="Times New Roman" w:hAnsi="Times New Roman" w:cs="Times New Roman"/>
          <w:color w:val="000000" w:themeColor="text1"/>
        </w:rPr>
        <w:t>,</w:t>
      </w:r>
      <w:r w:rsidR="0067750E" w:rsidRPr="00BC7BB5">
        <w:rPr>
          <w:rFonts w:ascii="Times New Roman" w:hAnsi="Times New Roman" w:cs="Times New Roman"/>
          <w:color w:val="000000" w:themeColor="text1"/>
        </w:rPr>
        <w:t xml:space="preserve"> (ii) </w:t>
      </w:r>
      <w:r w:rsidRPr="00BC7BB5">
        <w:rPr>
          <w:rFonts w:ascii="Times New Roman" w:hAnsi="Times New Roman" w:cs="Times New Roman"/>
          <w:color w:val="000000" w:themeColor="text1"/>
        </w:rPr>
        <w:t>promoting quality standards and certification systems</w:t>
      </w:r>
      <w:r w:rsidR="0067750E" w:rsidRPr="00BC7BB5">
        <w:rPr>
          <w:rFonts w:ascii="Times New Roman" w:hAnsi="Times New Roman" w:cs="Times New Roman"/>
          <w:color w:val="000000" w:themeColor="text1"/>
        </w:rPr>
        <w:t>,</w:t>
      </w:r>
      <w:r w:rsidRPr="00BC7BB5">
        <w:rPr>
          <w:rFonts w:ascii="Times New Roman" w:hAnsi="Times New Roman" w:cs="Times New Roman"/>
          <w:color w:val="000000" w:themeColor="text1"/>
        </w:rPr>
        <w:t xml:space="preserve"> (</w:t>
      </w:r>
      <w:r w:rsidR="00292076" w:rsidRPr="00BC7BB5">
        <w:rPr>
          <w:rFonts w:ascii="Times New Roman" w:hAnsi="Times New Roman" w:cs="Times New Roman"/>
          <w:color w:val="000000" w:themeColor="text1"/>
        </w:rPr>
        <w:t>i</w:t>
      </w:r>
      <w:r w:rsidR="0067750E" w:rsidRPr="00BC7BB5">
        <w:rPr>
          <w:rFonts w:ascii="Times New Roman" w:hAnsi="Times New Roman" w:cs="Times New Roman"/>
          <w:color w:val="000000" w:themeColor="text1"/>
        </w:rPr>
        <w:t>i</w:t>
      </w:r>
      <w:r w:rsidR="00292076" w:rsidRPr="00BC7BB5">
        <w:rPr>
          <w:rFonts w:ascii="Times New Roman" w:hAnsi="Times New Roman" w:cs="Times New Roman"/>
          <w:color w:val="000000" w:themeColor="text1"/>
        </w:rPr>
        <w:t>i</w:t>
      </w:r>
      <w:r w:rsidRPr="00BC7BB5">
        <w:rPr>
          <w:rFonts w:ascii="Times New Roman" w:hAnsi="Times New Roman" w:cs="Times New Roman"/>
          <w:color w:val="000000" w:themeColor="text1"/>
        </w:rPr>
        <w:t xml:space="preserve">) improving access to business development services </w:t>
      </w:r>
      <w:r w:rsidR="00050E4F" w:rsidRPr="00BC7BB5">
        <w:rPr>
          <w:rFonts w:ascii="Times New Roman" w:hAnsi="Times New Roman" w:cs="Times New Roman"/>
          <w:color w:val="000000" w:themeColor="text1"/>
        </w:rPr>
        <w:t xml:space="preserve">for producers and agribusiness SMEs </w:t>
      </w:r>
      <w:r w:rsidRPr="00BC7BB5">
        <w:rPr>
          <w:rFonts w:ascii="Times New Roman" w:hAnsi="Times New Roman" w:cs="Times New Roman"/>
          <w:color w:val="000000" w:themeColor="text1"/>
        </w:rPr>
        <w:t xml:space="preserve">and </w:t>
      </w:r>
      <w:r w:rsidR="00587F79" w:rsidRPr="00BC7BB5">
        <w:rPr>
          <w:rFonts w:ascii="Times New Roman" w:hAnsi="Times New Roman" w:cs="Times New Roman"/>
          <w:color w:val="000000" w:themeColor="text1"/>
        </w:rPr>
        <w:t>their readiness</w:t>
      </w:r>
      <w:r w:rsidRPr="00BC7BB5">
        <w:rPr>
          <w:rFonts w:ascii="Times New Roman" w:hAnsi="Times New Roman" w:cs="Times New Roman"/>
          <w:color w:val="000000" w:themeColor="text1"/>
        </w:rPr>
        <w:t xml:space="preserve"> </w:t>
      </w:r>
      <w:r w:rsidR="00587F79" w:rsidRPr="00BC7BB5">
        <w:rPr>
          <w:rFonts w:ascii="Times New Roman" w:hAnsi="Times New Roman" w:cs="Times New Roman"/>
          <w:color w:val="000000" w:themeColor="text1"/>
        </w:rPr>
        <w:t xml:space="preserve">for </w:t>
      </w:r>
      <w:r w:rsidRPr="00BC7BB5">
        <w:rPr>
          <w:rFonts w:ascii="Times New Roman" w:hAnsi="Times New Roman" w:cs="Times New Roman"/>
          <w:color w:val="000000" w:themeColor="text1"/>
        </w:rPr>
        <w:t>access to finance</w:t>
      </w:r>
      <w:r w:rsidR="0067750E" w:rsidRPr="00BC7BB5">
        <w:rPr>
          <w:rFonts w:ascii="Times New Roman" w:hAnsi="Times New Roman" w:cs="Times New Roman"/>
          <w:color w:val="000000" w:themeColor="text1"/>
        </w:rPr>
        <w:t>, and (iv) financing innovation</w:t>
      </w:r>
      <w:r w:rsidRPr="00BC7BB5">
        <w:rPr>
          <w:rFonts w:ascii="Times New Roman" w:hAnsi="Times New Roman" w:cs="Times New Roman"/>
          <w:color w:val="000000" w:themeColor="text1"/>
        </w:rPr>
        <w:t>.</w:t>
      </w:r>
    </w:p>
    <w:p w14:paraId="156275F8" w14:textId="77777777" w:rsidR="00596A2D" w:rsidRPr="00BC7BB5" w:rsidRDefault="00596A2D" w:rsidP="00801E3C">
      <w:pPr>
        <w:pStyle w:val="NoSpacing"/>
        <w:ind w:left="420"/>
        <w:jc w:val="both"/>
        <w:rPr>
          <w:rFonts w:ascii="Times New Roman" w:hAnsi="Times New Roman" w:cs="Times New Roman"/>
        </w:rPr>
      </w:pPr>
    </w:p>
    <w:p w14:paraId="201848ED" w14:textId="55700ADD" w:rsidR="00150CEA" w:rsidRPr="00BC7BB5" w:rsidRDefault="00241AE1" w:rsidP="00B35A06">
      <w:pPr>
        <w:pStyle w:val="NoSpacing"/>
        <w:numPr>
          <w:ilvl w:val="0"/>
          <w:numId w:val="7"/>
        </w:numPr>
        <w:ind w:left="0" w:firstLine="0"/>
        <w:jc w:val="both"/>
        <w:rPr>
          <w:rFonts w:ascii="Times New Roman" w:hAnsi="Times New Roman" w:cs="Times New Roman"/>
        </w:rPr>
      </w:pPr>
      <w:r w:rsidRPr="00BC7BB5">
        <w:rPr>
          <w:rFonts w:ascii="Times New Roman" w:hAnsi="Times New Roman" w:cs="Times New Roman"/>
          <w:b/>
        </w:rPr>
        <w:t>Result Area 1 – Increased</w:t>
      </w:r>
      <w:r w:rsidR="00412FA7" w:rsidRPr="00BC7BB5">
        <w:rPr>
          <w:rFonts w:ascii="Times New Roman" w:hAnsi="Times New Roman" w:cs="Times New Roman"/>
          <w:b/>
        </w:rPr>
        <w:t xml:space="preserve"> market efficiency and </w:t>
      </w:r>
      <w:r w:rsidR="009E696D" w:rsidRPr="00BC7BB5">
        <w:rPr>
          <w:rFonts w:ascii="Times New Roman" w:hAnsi="Times New Roman" w:cs="Times New Roman"/>
          <w:b/>
        </w:rPr>
        <w:t>integration</w:t>
      </w:r>
      <w:r w:rsidR="00412FA7" w:rsidRPr="00BC7BB5">
        <w:rPr>
          <w:rFonts w:ascii="Times New Roman" w:hAnsi="Times New Roman" w:cs="Times New Roman"/>
        </w:rPr>
        <w:t>.</w:t>
      </w:r>
      <w:r w:rsidR="003318F9" w:rsidRPr="00BC7BB5">
        <w:rPr>
          <w:rFonts w:ascii="Times New Roman" w:hAnsi="Times New Roman" w:cs="Times New Roman"/>
        </w:rPr>
        <w:t xml:space="preserve"> </w:t>
      </w:r>
      <w:r w:rsidR="003318F9" w:rsidRPr="00BC7BB5">
        <w:rPr>
          <w:rFonts w:ascii="Times New Roman" w:hAnsi="Times New Roman" w:cs="Times New Roman"/>
          <w:color w:val="000000" w:themeColor="text1"/>
        </w:rPr>
        <w:t xml:space="preserve">Result area 1 aims at improving market efficiency and transparency, and facilitating the </w:t>
      </w:r>
      <w:r w:rsidR="00C2461E" w:rsidRPr="00BC7BB5">
        <w:rPr>
          <w:rFonts w:ascii="Times New Roman" w:hAnsi="Times New Roman" w:cs="Times New Roman"/>
          <w:color w:val="000000" w:themeColor="text1"/>
        </w:rPr>
        <w:t xml:space="preserve">integration </w:t>
      </w:r>
      <w:r w:rsidR="003318F9" w:rsidRPr="00BC7BB5">
        <w:rPr>
          <w:rFonts w:ascii="Times New Roman" w:hAnsi="Times New Roman" w:cs="Times New Roman"/>
          <w:color w:val="000000" w:themeColor="text1"/>
        </w:rPr>
        <w:t xml:space="preserve">of small and medium </w:t>
      </w:r>
      <w:r w:rsidR="00770106" w:rsidRPr="00BC7BB5">
        <w:rPr>
          <w:rFonts w:ascii="Times New Roman" w:hAnsi="Times New Roman" w:cs="Times New Roman"/>
          <w:color w:val="000000" w:themeColor="text1"/>
        </w:rPr>
        <w:t>producers and enterprises</w:t>
      </w:r>
      <w:r w:rsidR="003318F9" w:rsidRPr="00BC7BB5">
        <w:rPr>
          <w:rFonts w:ascii="Times New Roman" w:hAnsi="Times New Roman" w:cs="Times New Roman"/>
          <w:color w:val="000000" w:themeColor="text1"/>
        </w:rPr>
        <w:t xml:space="preserve"> with modern value-chains.</w:t>
      </w:r>
      <w:r w:rsidR="003318F9" w:rsidRPr="00BC7BB5">
        <w:rPr>
          <w:rFonts w:ascii="Times New Roman" w:hAnsi="Times New Roman" w:cs="Times New Roman"/>
          <w:b/>
          <w:color w:val="000000" w:themeColor="text1"/>
        </w:rPr>
        <w:t xml:space="preserve"> </w:t>
      </w:r>
      <w:r w:rsidR="005C072B">
        <w:rPr>
          <w:rFonts w:ascii="Times New Roman" w:hAnsi="Times New Roman" w:cs="Times New Roman"/>
          <w:color w:val="000000" w:themeColor="text1"/>
        </w:rPr>
        <w:t>The</w:t>
      </w:r>
      <w:r w:rsidR="000D7008" w:rsidRPr="00BC7BB5">
        <w:rPr>
          <w:rFonts w:ascii="Times New Roman" w:hAnsi="Times New Roman" w:cs="Times New Roman"/>
          <w:color w:val="000000" w:themeColor="text1"/>
        </w:rPr>
        <w:t xml:space="preserve"> P</w:t>
      </w:r>
      <w:r w:rsidR="009D1051" w:rsidRPr="00BC7BB5">
        <w:rPr>
          <w:rFonts w:ascii="Times New Roman" w:hAnsi="Times New Roman" w:cs="Times New Roman"/>
          <w:color w:val="000000" w:themeColor="text1"/>
        </w:rPr>
        <w:t xml:space="preserve">rogram would support the following </w:t>
      </w:r>
      <w:r w:rsidR="00CE7174" w:rsidRPr="00BC7BB5">
        <w:rPr>
          <w:rFonts w:ascii="Times New Roman" w:hAnsi="Times New Roman" w:cs="Times New Roman"/>
          <w:color w:val="000000" w:themeColor="text1"/>
        </w:rPr>
        <w:t xml:space="preserve">four sub-programs </w:t>
      </w:r>
      <w:r w:rsidR="009D1051" w:rsidRPr="00BC7BB5">
        <w:rPr>
          <w:rFonts w:ascii="Times New Roman" w:hAnsi="Times New Roman" w:cs="Times New Roman"/>
          <w:color w:val="000000" w:themeColor="text1"/>
        </w:rPr>
        <w:t>of the PMV</w:t>
      </w:r>
      <w:r w:rsidR="003318F9" w:rsidRPr="00BC7BB5">
        <w:rPr>
          <w:rFonts w:ascii="Times New Roman" w:hAnsi="Times New Roman" w:cs="Times New Roman"/>
          <w:color w:val="000000" w:themeColor="text1"/>
        </w:rPr>
        <w:t xml:space="preserve"> in order to reach that objective:</w:t>
      </w:r>
      <w:r w:rsidR="003318F9" w:rsidRPr="00BC7BB5">
        <w:rPr>
          <w:rFonts w:ascii="Times New Roman" w:hAnsi="Times New Roman" w:cs="Times New Roman"/>
          <w:b/>
          <w:color w:val="000000" w:themeColor="text1"/>
        </w:rPr>
        <w:t xml:space="preserve"> </w:t>
      </w:r>
    </w:p>
    <w:p w14:paraId="5EEFE541" w14:textId="77777777" w:rsidR="00050E4F" w:rsidRPr="00BC7BB5" w:rsidRDefault="00050E4F" w:rsidP="00050E4F">
      <w:pPr>
        <w:pStyle w:val="NoSpacing"/>
        <w:ind w:left="720"/>
        <w:jc w:val="both"/>
        <w:rPr>
          <w:rFonts w:ascii="Times New Roman" w:hAnsi="Times New Roman" w:cs="Times New Roman"/>
        </w:rPr>
      </w:pPr>
    </w:p>
    <w:p w14:paraId="00AF8951" w14:textId="25B35542" w:rsidR="00150CEA" w:rsidRPr="00BC7BB5" w:rsidRDefault="00241AE1" w:rsidP="00F561E8">
      <w:pPr>
        <w:pStyle w:val="NoSpacing"/>
        <w:numPr>
          <w:ilvl w:val="0"/>
          <w:numId w:val="22"/>
        </w:numPr>
        <w:ind w:left="1080"/>
        <w:jc w:val="both"/>
        <w:rPr>
          <w:rFonts w:ascii="Times New Roman" w:hAnsi="Times New Roman" w:cs="Times New Roman"/>
        </w:rPr>
      </w:pPr>
      <w:r w:rsidRPr="00BC7BB5">
        <w:rPr>
          <w:rFonts w:ascii="Times New Roman" w:hAnsi="Times New Roman" w:cs="Times New Roman"/>
          <w:i/>
          <w:color w:val="000000" w:themeColor="text1"/>
        </w:rPr>
        <w:t>Strengthening the i</w:t>
      </w:r>
      <w:r w:rsidR="00150CEA" w:rsidRPr="00BC7BB5">
        <w:rPr>
          <w:rFonts w:ascii="Times New Roman" w:hAnsi="Times New Roman" w:cs="Times New Roman"/>
          <w:i/>
          <w:color w:val="000000" w:themeColor="text1"/>
        </w:rPr>
        <w:t>nterprofessions</w:t>
      </w:r>
      <w:r w:rsidR="00150CEA" w:rsidRPr="00BC7BB5">
        <w:rPr>
          <w:rFonts w:ascii="Times New Roman" w:hAnsi="Times New Roman" w:cs="Times New Roman"/>
          <w:color w:val="000000" w:themeColor="text1"/>
        </w:rPr>
        <w:t>.</w:t>
      </w:r>
      <w:r w:rsidR="00150CEA" w:rsidRPr="00BC7BB5">
        <w:rPr>
          <w:rFonts w:ascii="Times New Roman" w:hAnsi="Times New Roman" w:cs="Times New Roman"/>
        </w:rPr>
        <w:t xml:space="preserve"> </w:t>
      </w:r>
      <w:r w:rsidR="00150CEA" w:rsidRPr="00BC7BB5">
        <w:rPr>
          <w:rFonts w:ascii="Times New Roman" w:hAnsi="Times New Roman" w:cs="Times New Roman"/>
          <w:color w:val="000000" w:themeColor="text1"/>
        </w:rPr>
        <w:t xml:space="preserve">The Program would provide </w:t>
      </w:r>
      <w:r w:rsidR="00760890" w:rsidRPr="00BC7BB5">
        <w:rPr>
          <w:rFonts w:ascii="Times New Roman" w:hAnsi="Times New Roman" w:cs="Times New Roman"/>
          <w:color w:val="000000" w:themeColor="text1"/>
        </w:rPr>
        <w:t xml:space="preserve">technical and </w:t>
      </w:r>
      <w:r w:rsidR="00150CEA" w:rsidRPr="00BC7BB5">
        <w:rPr>
          <w:rFonts w:ascii="Times New Roman" w:hAnsi="Times New Roman" w:cs="Times New Roman"/>
          <w:color w:val="000000" w:themeColor="text1"/>
        </w:rPr>
        <w:t xml:space="preserve">financial support to strengthen the capacity of </w:t>
      </w:r>
      <w:r w:rsidR="007D2620" w:rsidRPr="00BC7BB5">
        <w:rPr>
          <w:rFonts w:ascii="Times New Roman" w:hAnsi="Times New Roman" w:cs="Times New Roman"/>
          <w:color w:val="000000" w:themeColor="text1"/>
        </w:rPr>
        <w:t xml:space="preserve">at least </w:t>
      </w:r>
      <w:r w:rsidR="00E82087" w:rsidRPr="00BC7BB5">
        <w:rPr>
          <w:rFonts w:ascii="Times New Roman" w:hAnsi="Times New Roman" w:cs="Times New Roman"/>
          <w:color w:val="000000" w:themeColor="text1"/>
        </w:rPr>
        <w:t>two</w:t>
      </w:r>
      <w:r w:rsidRPr="00BC7BB5">
        <w:rPr>
          <w:rFonts w:ascii="Times New Roman" w:hAnsi="Times New Roman" w:cs="Times New Roman"/>
          <w:color w:val="000000" w:themeColor="text1"/>
        </w:rPr>
        <w:t xml:space="preserve"> interprofessions (Maroc Citrus and Interprolive)</w:t>
      </w:r>
      <w:r w:rsidR="00E82087" w:rsidRPr="00BC7BB5">
        <w:rPr>
          <w:rFonts w:ascii="Times New Roman" w:hAnsi="Times New Roman" w:cs="Times New Roman"/>
          <w:color w:val="000000" w:themeColor="text1"/>
        </w:rPr>
        <w:t xml:space="preserve"> </w:t>
      </w:r>
      <w:r w:rsidR="00150CEA" w:rsidRPr="00BC7BB5">
        <w:rPr>
          <w:rFonts w:ascii="Times New Roman" w:hAnsi="Times New Roman" w:cs="Times New Roman"/>
          <w:color w:val="000000" w:themeColor="text1"/>
        </w:rPr>
        <w:t>so as to enable them to carry out their missions under Law 03-12 and to become effective and inclusive platforms for intra-branch coordination and public-private dialogue. Program activities would focus on the preparation of their resp</w:t>
      </w:r>
      <w:r w:rsidR="00992EDA" w:rsidRPr="00BC7BB5">
        <w:rPr>
          <w:rFonts w:ascii="Times New Roman" w:hAnsi="Times New Roman" w:cs="Times New Roman"/>
          <w:color w:val="000000" w:themeColor="text1"/>
        </w:rPr>
        <w:t>ective business plans (</w:t>
      </w:r>
      <w:r w:rsidR="007D10FB" w:rsidRPr="00BC7BB5">
        <w:rPr>
          <w:rFonts w:ascii="Times New Roman" w:hAnsi="Times New Roman" w:cs="Times New Roman"/>
          <w:color w:val="000000" w:themeColor="text1"/>
        </w:rPr>
        <w:t>specifically</w:t>
      </w:r>
      <w:r w:rsidR="00992EDA" w:rsidRPr="00BC7BB5">
        <w:rPr>
          <w:rFonts w:ascii="Times New Roman" w:hAnsi="Times New Roman" w:cs="Times New Roman"/>
          <w:color w:val="000000" w:themeColor="text1"/>
        </w:rPr>
        <w:t xml:space="preserve"> covering:</w:t>
      </w:r>
      <w:r w:rsidR="00150CEA" w:rsidRPr="00BC7BB5">
        <w:rPr>
          <w:rFonts w:ascii="Times New Roman" w:hAnsi="Times New Roman" w:cs="Times New Roman"/>
          <w:color w:val="000000" w:themeColor="text1"/>
        </w:rPr>
        <w:t xml:space="preserve"> revenue mobilization and sustainability</w:t>
      </w:r>
      <w:r w:rsidR="009914C2">
        <w:rPr>
          <w:rFonts w:ascii="Times New Roman" w:hAnsi="Times New Roman" w:cs="Times New Roman"/>
          <w:color w:val="000000" w:themeColor="text1"/>
        </w:rPr>
        <w:t>,</w:t>
      </w:r>
      <w:r w:rsidRPr="00BC7BB5">
        <w:rPr>
          <w:rFonts w:ascii="Times New Roman" w:hAnsi="Times New Roman" w:cs="Times New Roman"/>
          <w:color w:val="000000" w:themeColor="text1"/>
        </w:rPr>
        <w:t xml:space="preserve"> </w:t>
      </w:r>
      <w:r w:rsidR="00FB0BF8" w:rsidRPr="00BC7BB5">
        <w:rPr>
          <w:rFonts w:ascii="Times New Roman" w:hAnsi="Times New Roman" w:cs="Times New Roman"/>
          <w:color w:val="000000" w:themeColor="text1"/>
        </w:rPr>
        <w:t>including</w:t>
      </w:r>
      <w:r w:rsidRPr="00BC7BB5">
        <w:rPr>
          <w:rFonts w:ascii="Times New Roman" w:hAnsi="Times New Roman" w:cs="Times New Roman"/>
          <w:color w:val="000000" w:themeColor="text1"/>
        </w:rPr>
        <w:t xml:space="preserve"> through the </w:t>
      </w:r>
      <w:r w:rsidR="006949C7">
        <w:rPr>
          <w:rFonts w:ascii="Times New Roman" w:hAnsi="Times New Roman" w:cs="Times New Roman"/>
          <w:color w:val="000000" w:themeColor="text1"/>
        </w:rPr>
        <w:t>adoption</w:t>
      </w:r>
      <w:r w:rsidRPr="00BC7BB5">
        <w:rPr>
          <w:rFonts w:ascii="Times New Roman" w:hAnsi="Times New Roman" w:cs="Times New Roman"/>
          <w:color w:val="000000" w:themeColor="text1"/>
        </w:rPr>
        <w:t xml:space="preserve"> of intra-branch financing agreements for each interprofession</w:t>
      </w:r>
      <w:r w:rsidR="006949C7">
        <w:rPr>
          <w:rFonts w:ascii="Times New Roman" w:hAnsi="Times New Roman" w:cs="Times New Roman"/>
          <w:color w:val="000000" w:themeColor="text1"/>
        </w:rPr>
        <w:t xml:space="preserve"> – </w:t>
      </w:r>
      <w:r w:rsidR="006949C7" w:rsidRPr="006949C7">
        <w:rPr>
          <w:rFonts w:ascii="Times New Roman" w:hAnsi="Times New Roman" w:cs="Times New Roman"/>
          <w:i/>
          <w:color w:val="000000" w:themeColor="text1"/>
        </w:rPr>
        <w:t>Accords interprofessionnels</w:t>
      </w:r>
      <w:r w:rsidR="00150CEA" w:rsidRPr="00BC7BB5">
        <w:rPr>
          <w:rFonts w:ascii="Times New Roman" w:hAnsi="Times New Roman" w:cs="Times New Roman"/>
          <w:color w:val="000000" w:themeColor="text1"/>
        </w:rPr>
        <w:t xml:space="preserve">, </w:t>
      </w:r>
      <w:r w:rsidR="009914C2">
        <w:rPr>
          <w:rFonts w:ascii="Times New Roman" w:hAnsi="Times New Roman" w:cs="Times New Roman"/>
          <w:color w:val="000000" w:themeColor="text1"/>
        </w:rPr>
        <w:t xml:space="preserve">- </w:t>
      </w:r>
      <w:r w:rsidR="00150CEA" w:rsidRPr="00BC7BB5">
        <w:rPr>
          <w:rFonts w:ascii="Times New Roman" w:hAnsi="Times New Roman" w:cs="Times New Roman"/>
          <w:color w:val="000000" w:themeColor="text1"/>
        </w:rPr>
        <w:t>strategic activities</w:t>
      </w:r>
      <w:r w:rsidR="00CD4CEE" w:rsidRPr="00BC7BB5">
        <w:rPr>
          <w:rFonts w:ascii="Times New Roman" w:hAnsi="Times New Roman" w:cs="Times New Roman"/>
          <w:color w:val="000000" w:themeColor="text1"/>
        </w:rPr>
        <w:t>,</w:t>
      </w:r>
      <w:r w:rsidR="00150CEA" w:rsidRPr="00BC7BB5">
        <w:rPr>
          <w:rFonts w:ascii="Times New Roman" w:hAnsi="Times New Roman" w:cs="Times New Roman"/>
          <w:color w:val="000000" w:themeColor="text1"/>
        </w:rPr>
        <w:t xml:space="preserve"> improvement of representativeness</w:t>
      </w:r>
      <w:r w:rsidR="00CD4CEE" w:rsidRPr="00BC7BB5">
        <w:rPr>
          <w:rFonts w:ascii="Times New Roman" w:hAnsi="Times New Roman" w:cs="Times New Roman"/>
          <w:color w:val="000000" w:themeColor="text1"/>
        </w:rPr>
        <w:t xml:space="preserve"> and capacity building</w:t>
      </w:r>
      <w:r w:rsidR="00150CEA" w:rsidRPr="00BC7BB5">
        <w:rPr>
          <w:rFonts w:ascii="Times New Roman" w:hAnsi="Times New Roman" w:cs="Times New Roman"/>
          <w:color w:val="000000" w:themeColor="text1"/>
        </w:rPr>
        <w:t xml:space="preserve">) and </w:t>
      </w:r>
      <w:r w:rsidR="009F7288" w:rsidRPr="00BC7BB5">
        <w:rPr>
          <w:rFonts w:ascii="Times New Roman" w:hAnsi="Times New Roman" w:cs="Times New Roman"/>
          <w:color w:val="000000" w:themeColor="text1"/>
        </w:rPr>
        <w:t>financing</w:t>
      </w:r>
      <w:r w:rsidR="00150CEA" w:rsidRPr="00BC7BB5">
        <w:rPr>
          <w:rFonts w:ascii="Times New Roman" w:hAnsi="Times New Roman" w:cs="Times New Roman"/>
          <w:color w:val="000000" w:themeColor="text1"/>
        </w:rPr>
        <w:t xml:space="preserve"> the subsequent ex</w:t>
      </w:r>
      <w:r w:rsidR="009D1051" w:rsidRPr="00BC7BB5">
        <w:rPr>
          <w:rFonts w:ascii="Times New Roman" w:hAnsi="Times New Roman" w:cs="Times New Roman"/>
          <w:color w:val="000000" w:themeColor="text1"/>
        </w:rPr>
        <w:t>ecution of those business plans</w:t>
      </w:r>
      <w:r w:rsidR="00150CEA" w:rsidRPr="00BC7BB5">
        <w:rPr>
          <w:rFonts w:ascii="Times New Roman" w:hAnsi="Times New Roman" w:cs="Times New Roman"/>
          <w:color w:val="000000" w:themeColor="text1"/>
        </w:rPr>
        <w:t>;</w:t>
      </w:r>
    </w:p>
    <w:p w14:paraId="4C73F387" w14:textId="68D16CF8" w:rsidR="00150CEA" w:rsidRPr="00BC7BB5" w:rsidRDefault="003318F9" w:rsidP="00F561E8">
      <w:pPr>
        <w:pStyle w:val="NoSpacing"/>
        <w:numPr>
          <w:ilvl w:val="0"/>
          <w:numId w:val="22"/>
        </w:numPr>
        <w:ind w:left="1080"/>
        <w:jc w:val="both"/>
        <w:rPr>
          <w:rFonts w:ascii="Times New Roman" w:hAnsi="Times New Roman" w:cs="Times New Roman"/>
        </w:rPr>
      </w:pPr>
      <w:r w:rsidRPr="00BC7BB5">
        <w:rPr>
          <w:rFonts w:ascii="Times New Roman" w:hAnsi="Times New Roman" w:cs="Times New Roman"/>
          <w:i/>
          <w:color w:val="000000" w:themeColor="text1"/>
        </w:rPr>
        <w:t>Support</w:t>
      </w:r>
      <w:r w:rsidR="009914C2">
        <w:rPr>
          <w:rFonts w:ascii="Times New Roman" w:hAnsi="Times New Roman" w:cs="Times New Roman"/>
          <w:i/>
          <w:color w:val="000000" w:themeColor="text1"/>
        </w:rPr>
        <w:t>ing</w:t>
      </w:r>
      <w:r w:rsidRPr="00BC7BB5">
        <w:rPr>
          <w:rFonts w:ascii="Times New Roman" w:hAnsi="Times New Roman" w:cs="Times New Roman"/>
          <w:i/>
          <w:color w:val="000000" w:themeColor="text1"/>
        </w:rPr>
        <w:t xml:space="preserve"> </w:t>
      </w:r>
      <w:r w:rsidR="00730753" w:rsidRPr="00BC7BB5">
        <w:rPr>
          <w:rFonts w:ascii="Times New Roman" w:hAnsi="Times New Roman" w:cs="Times New Roman"/>
          <w:i/>
          <w:color w:val="000000" w:themeColor="text1"/>
        </w:rPr>
        <w:t xml:space="preserve">the </w:t>
      </w:r>
      <w:r w:rsidRPr="00BC7BB5">
        <w:rPr>
          <w:rFonts w:ascii="Times New Roman" w:hAnsi="Times New Roman" w:cs="Times New Roman"/>
          <w:i/>
          <w:color w:val="000000" w:themeColor="text1"/>
        </w:rPr>
        <w:t xml:space="preserve">integration of small and medium producers </w:t>
      </w:r>
      <w:r w:rsidR="009914C2">
        <w:rPr>
          <w:rFonts w:ascii="Times New Roman" w:hAnsi="Times New Roman" w:cs="Times New Roman"/>
          <w:i/>
          <w:color w:val="000000" w:themeColor="text1"/>
        </w:rPr>
        <w:t>and</w:t>
      </w:r>
      <w:r w:rsidR="009914C2" w:rsidRPr="00BC7BB5">
        <w:rPr>
          <w:rFonts w:ascii="Times New Roman" w:hAnsi="Times New Roman" w:cs="Times New Roman"/>
          <w:i/>
          <w:color w:val="000000" w:themeColor="text1"/>
        </w:rPr>
        <w:t xml:space="preserve"> </w:t>
      </w:r>
      <w:r w:rsidRPr="00BC7BB5">
        <w:rPr>
          <w:rFonts w:ascii="Times New Roman" w:hAnsi="Times New Roman" w:cs="Times New Roman"/>
          <w:i/>
          <w:color w:val="000000" w:themeColor="text1"/>
        </w:rPr>
        <w:t>markets</w:t>
      </w:r>
      <w:r w:rsidR="00711B9D" w:rsidRPr="00BC7BB5">
        <w:rPr>
          <w:rFonts w:ascii="Times New Roman" w:hAnsi="Times New Roman" w:cs="Times New Roman"/>
          <w:color w:val="000000" w:themeColor="text1"/>
        </w:rPr>
        <w:t xml:space="preserve">. The Program would support adjustments to existing </w:t>
      </w:r>
      <w:r w:rsidR="00AB10F4" w:rsidRPr="00BC7BB5">
        <w:rPr>
          <w:rFonts w:ascii="Times New Roman" w:hAnsi="Times New Roman" w:cs="Times New Roman"/>
          <w:color w:val="000000" w:themeColor="text1"/>
        </w:rPr>
        <w:t xml:space="preserve">PMV </w:t>
      </w:r>
      <w:r w:rsidR="00711B9D" w:rsidRPr="00BC7BB5">
        <w:rPr>
          <w:rFonts w:ascii="Times New Roman" w:hAnsi="Times New Roman" w:cs="Times New Roman"/>
          <w:color w:val="000000" w:themeColor="text1"/>
        </w:rPr>
        <w:t xml:space="preserve">instruments </w:t>
      </w:r>
      <w:r w:rsidR="00AB10F4" w:rsidRPr="00BC7BB5">
        <w:rPr>
          <w:rFonts w:ascii="Times New Roman" w:hAnsi="Times New Roman" w:cs="Times New Roman"/>
          <w:color w:val="000000" w:themeColor="text1"/>
        </w:rPr>
        <w:t xml:space="preserve">for the promotion of private investment </w:t>
      </w:r>
      <w:r w:rsidR="00711B9D" w:rsidRPr="00BC7BB5">
        <w:rPr>
          <w:rFonts w:ascii="Times New Roman" w:hAnsi="Times New Roman" w:cs="Times New Roman"/>
          <w:color w:val="000000" w:themeColor="text1"/>
        </w:rPr>
        <w:t>with a view to improving their structuring impact on selected value chains</w:t>
      </w:r>
      <w:r w:rsidR="009914C2">
        <w:rPr>
          <w:rFonts w:ascii="Times New Roman" w:hAnsi="Times New Roman" w:cs="Times New Roman"/>
          <w:color w:val="000000" w:themeColor="text1"/>
        </w:rPr>
        <w:t>,</w:t>
      </w:r>
      <w:r w:rsidR="00711B9D" w:rsidRPr="00BC7BB5">
        <w:rPr>
          <w:rFonts w:ascii="Times New Roman" w:hAnsi="Times New Roman" w:cs="Times New Roman"/>
          <w:color w:val="000000" w:themeColor="text1"/>
        </w:rPr>
        <w:t xml:space="preserve"> as well as better inclusion of and access to finance for small and medium producers and enterprises</w:t>
      </w:r>
      <w:r w:rsidR="00A93913" w:rsidRPr="00BC7BB5">
        <w:rPr>
          <w:rFonts w:ascii="Times New Roman" w:hAnsi="Times New Roman" w:cs="Times New Roman"/>
          <w:color w:val="000000" w:themeColor="text1"/>
        </w:rPr>
        <w:t>, including</w:t>
      </w:r>
      <w:r w:rsidR="009914C2">
        <w:rPr>
          <w:rFonts w:ascii="Times New Roman" w:hAnsi="Times New Roman" w:cs="Times New Roman"/>
          <w:color w:val="000000" w:themeColor="text1"/>
        </w:rPr>
        <w:t>:</w:t>
      </w:r>
      <w:r w:rsidR="00A93913" w:rsidRPr="00BC7BB5">
        <w:rPr>
          <w:rFonts w:ascii="Times New Roman" w:hAnsi="Times New Roman" w:cs="Times New Roman"/>
          <w:color w:val="000000" w:themeColor="text1"/>
        </w:rPr>
        <w:t xml:space="preserve"> (i) </w:t>
      </w:r>
      <w:r w:rsidR="00CE7174" w:rsidRPr="00BC7BB5">
        <w:rPr>
          <w:rFonts w:ascii="Times New Roman" w:hAnsi="Times New Roman" w:cs="Times New Roman"/>
          <w:color w:val="000000" w:themeColor="text1"/>
        </w:rPr>
        <w:t xml:space="preserve">the amendment of </w:t>
      </w:r>
      <w:r w:rsidR="009914C2">
        <w:rPr>
          <w:rFonts w:ascii="Times New Roman" w:hAnsi="Times New Roman" w:cs="Times New Roman"/>
          <w:color w:val="000000" w:themeColor="text1"/>
        </w:rPr>
        <w:t xml:space="preserve">the </w:t>
      </w:r>
      <w:r w:rsidR="00CE7174" w:rsidRPr="00BC7BB5">
        <w:rPr>
          <w:rFonts w:ascii="Times New Roman" w:hAnsi="Times New Roman" w:cs="Times New Roman"/>
          <w:color w:val="000000" w:themeColor="text1"/>
        </w:rPr>
        <w:t xml:space="preserve">Law 04-12 on </w:t>
      </w:r>
      <w:r w:rsidR="009914C2">
        <w:rPr>
          <w:rFonts w:ascii="Times New Roman" w:hAnsi="Times New Roman" w:cs="Times New Roman"/>
          <w:color w:val="000000" w:themeColor="text1"/>
        </w:rPr>
        <w:t xml:space="preserve">agricultural </w:t>
      </w:r>
      <w:r w:rsidR="00CE7174" w:rsidRPr="00BC7BB5">
        <w:rPr>
          <w:rFonts w:ascii="Times New Roman" w:hAnsi="Times New Roman" w:cs="Times New Roman"/>
          <w:color w:val="000000" w:themeColor="text1"/>
        </w:rPr>
        <w:t xml:space="preserve">aggregation </w:t>
      </w:r>
      <w:r w:rsidR="00992EDA" w:rsidRPr="00BC7BB5">
        <w:rPr>
          <w:rFonts w:ascii="Times New Roman" w:hAnsi="Times New Roman" w:cs="Times New Roman"/>
          <w:color w:val="000000" w:themeColor="text1"/>
        </w:rPr>
        <w:t xml:space="preserve">to </w:t>
      </w:r>
      <w:r w:rsidR="00FB0BF8" w:rsidRPr="00BC7BB5">
        <w:rPr>
          <w:rFonts w:ascii="Times New Roman" w:hAnsi="Times New Roman" w:cs="Times New Roman"/>
          <w:color w:val="000000" w:themeColor="text1"/>
        </w:rPr>
        <w:t xml:space="preserve">allow for direct sales of fruit and vegetables from </w:t>
      </w:r>
      <w:r w:rsidR="00A93913" w:rsidRPr="00BC7BB5">
        <w:rPr>
          <w:rFonts w:ascii="Times New Roman" w:hAnsi="Times New Roman" w:cs="Times New Roman"/>
          <w:color w:val="000000" w:themeColor="text1"/>
        </w:rPr>
        <w:t xml:space="preserve">aggregation </w:t>
      </w:r>
      <w:r w:rsidR="009914C2">
        <w:rPr>
          <w:rFonts w:ascii="Times New Roman" w:hAnsi="Times New Roman" w:cs="Times New Roman"/>
          <w:color w:val="000000" w:themeColor="text1"/>
        </w:rPr>
        <w:t>investments</w:t>
      </w:r>
      <w:r w:rsidR="009914C2" w:rsidRPr="00BC7BB5">
        <w:rPr>
          <w:rFonts w:ascii="Times New Roman" w:hAnsi="Times New Roman" w:cs="Times New Roman"/>
          <w:color w:val="000000" w:themeColor="text1"/>
        </w:rPr>
        <w:t xml:space="preserve"> </w:t>
      </w:r>
      <w:r w:rsidR="00FB0BF8" w:rsidRPr="00BC7BB5">
        <w:rPr>
          <w:rFonts w:ascii="Times New Roman" w:hAnsi="Times New Roman" w:cs="Times New Roman"/>
          <w:color w:val="000000" w:themeColor="text1"/>
        </w:rPr>
        <w:t>to supermarkets and other modern commercialization platforms</w:t>
      </w:r>
      <w:r w:rsidR="009914C2">
        <w:rPr>
          <w:rFonts w:ascii="Times New Roman" w:hAnsi="Times New Roman" w:cs="Times New Roman"/>
          <w:color w:val="000000" w:themeColor="text1"/>
        </w:rPr>
        <w:t>;</w:t>
      </w:r>
      <w:r w:rsidR="00A93913" w:rsidRPr="00BC7BB5">
        <w:rPr>
          <w:rFonts w:ascii="Times New Roman" w:hAnsi="Times New Roman" w:cs="Times New Roman"/>
          <w:color w:val="000000" w:themeColor="text1"/>
        </w:rPr>
        <w:t xml:space="preserve"> (ii) incentives for </w:t>
      </w:r>
      <w:r w:rsidR="00BD6D60">
        <w:rPr>
          <w:rFonts w:ascii="Times New Roman" w:hAnsi="Times New Roman" w:cs="Times New Roman"/>
          <w:color w:val="000000" w:themeColor="text1"/>
        </w:rPr>
        <w:t xml:space="preserve">investments in </w:t>
      </w:r>
      <w:r w:rsidR="00A93913" w:rsidRPr="00BC7BB5">
        <w:rPr>
          <w:rFonts w:ascii="Times New Roman" w:hAnsi="Times New Roman" w:cs="Times New Roman"/>
          <w:color w:val="000000" w:themeColor="text1"/>
        </w:rPr>
        <w:t>value-addition</w:t>
      </w:r>
      <w:r w:rsidR="00BD6D60">
        <w:rPr>
          <w:rFonts w:ascii="Times New Roman" w:hAnsi="Times New Roman" w:cs="Times New Roman"/>
          <w:color w:val="000000" w:themeColor="text1"/>
        </w:rPr>
        <w:t xml:space="preserve"> and </w:t>
      </w:r>
      <w:r w:rsidR="004E2B61">
        <w:rPr>
          <w:rFonts w:ascii="Times New Roman" w:hAnsi="Times New Roman" w:cs="Times New Roman"/>
          <w:color w:val="000000" w:themeColor="text1"/>
        </w:rPr>
        <w:t xml:space="preserve">support for </w:t>
      </w:r>
      <w:r w:rsidR="00BD6D60">
        <w:rPr>
          <w:rFonts w:ascii="Times New Roman" w:hAnsi="Times New Roman" w:cs="Times New Roman"/>
          <w:color w:val="000000" w:themeColor="text1"/>
        </w:rPr>
        <w:t>aggregation</w:t>
      </w:r>
      <w:r w:rsidR="00A93913" w:rsidRPr="00BC7BB5">
        <w:rPr>
          <w:rFonts w:ascii="Times New Roman" w:hAnsi="Times New Roman" w:cs="Times New Roman"/>
          <w:color w:val="000000" w:themeColor="text1"/>
        </w:rPr>
        <w:t xml:space="preserve"> </w:t>
      </w:r>
      <w:r w:rsidR="00D7792B" w:rsidRPr="00BC7BB5">
        <w:rPr>
          <w:rFonts w:ascii="Times New Roman" w:hAnsi="Times New Roman" w:cs="Times New Roman"/>
          <w:color w:val="000000" w:themeColor="text1"/>
        </w:rPr>
        <w:t xml:space="preserve">in the selected value-chains </w:t>
      </w:r>
      <w:r w:rsidR="00A93913" w:rsidRPr="00BC7BB5">
        <w:rPr>
          <w:rFonts w:ascii="Times New Roman" w:hAnsi="Times New Roman" w:cs="Times New Roman"/>
          <w:color w:val="000000" w:themeColor="text1"/>
        </w:rPr>
        <w:t>under the FDA</w:t>
      </w:r>
      <w:r w:rsidR="009914C2">
        <w:rPr>
          <w:rFonts w:ascii="Times New Roman" w:hAnsi="Times New Roman" w:cs="Times New Roman"/>
          <w:color w:val="000000" w:themeColor="text1"/>
        </w:rPr>
        <w:t>’s</w:t>
      </w:r>
      <w:r w:rsidR="00730643" w:rsidRPr="00BC7BB5">
        <w:rPr>
          <w:rFonts w:ascii="Times New Roman" w:hAnsi="Times New Roman" w:cs="Times New Roman"/>
          <w:color w:val="000000" w:themeColor="text1"/>
        </w:rPr>
        <w:fldChar w:fldCharType="begin"/>
      </w:r>
      <w:r w:rsidR="00730643" w:rsidRPr="00BC7BB5">
        <w:instrText xml:space="preserve"> XE "</w:instrText>
      </w:r>
      <w:r w:rsidR="00730643" w:rsidRPr="00BC7BB5">
        <w:rPr>
          <w:rFonts w:ascii="Times New Roman" w:hAnsi="Times New Roman" w:cs="Times New Roman"/>
          <w:color w:val="000000" w:themeColor="text1"/>
        </w:rPr>
        <w:instrText>FDA</w:instrText>
      </w:r>
      <w:r w:rsidR="00730643" w:rsidRPr="00BC7BB5">
        <w:instrText xml:space="preserve">" </w:instrText>
      </w:r>
      <w:r w:rsidR="00730643" w:rsidRPr="00BC7BB5">
        <w:rPr>
          <w:rFonts w:ascii="Times New Roman" w:hAnsi="Times New Roman" w:cs="Times New Roman"/>
          <w:color w:val="000000" w:themeColor="text1"/>
        </w:rPr>
        <w:fldChar w:fldCharType="end"/>
      </w:r>
      <w:r w:rsidR="00BD6D60">
        <w:rPr>
          <w:rFonts w:ascii="Times New Roman" w:hAnsi="Times New Roman" w:cs="Times New Roman"/>
          <w:color w:val="000000" w:themeColor="text1"/>
        </w:rPr>
        <w:t xml:space="preserve"> </w:t>
      </w:r>
      <w:r w:rsidR="009914C2" w:rsidRPr="00BC7BB5">
        <w:rPr>
          <w:rFonts w:ascii="Times New Roman" w:hAnsi="Times New Roman" w:cs="Times New Roman"/>
          <w:color w:val="000000" w:themeColor="text1"/>
        </w:rPr>
        <w:t>universal</w:t>
      </w:r>
      <w:r w:rsidR="009914C2">
        <w:rPr>
          <w:rFonts w:ascii="Times New Roman" w:hAnsi="Times New Roman" w:cs="Times New Roman"/>
          <w:color w:val="000000" w:themeColor="text1"/>
        </w:rPr>
        <w:t xml:space="preserve"> </w:t>
      </w:r>
      <w:r w:rsidR="00BD6D60">
        <w:rPr>
          <w:rFonts w:ascii="Times New Roman" w:hAnsi="Times New Roman" w:cs="Times New Roman"/>
          <w:color w:val="000000" w:themeColor="text1"/>
        </w:rPr>
        <w:t>support system</w:t>
      </w:r>
      <w:r w:rsidR="00D7792B" w:rsidRPr="00BC7BB5">
        <w:rPr>
          <w:rFonts w:ascii="Times New Roman" w:hAnsi="Times New Roman" w:cs="Times New Roman"/>
          <w:color w:val="000000" w:themeColor="text1"/>
        </w:rPr>
        <w:t xml:space="preserve"> following adjusted operational modalities</w:t>
      </w:r>
      <w:r w:rsidR="00150CEA" w:rsidRPr="00BC7BB5">
        <w:rPr>
          <w:rFonts w:ascii="Times New Roman" w:hAnsi="Times New Roman" w:cs="Times New Roman"/>
          <w:color w:val="000000" w:themeColor="text1"/>
        </w:rPr>
        <w:t>;</w:t>
      </w:r>
      <w:r w:rsidR="00A93913" w:rsidRPr="00BC7BB5">
        <w:rPr>
          <w:rFonts w:ascii="Times New Roman" w:hAnsi="Times New Roman" w:cs="Times New Roman"/>
          <w:color w:val="000000" w:themeColor="text1"/>
        </w:rPr>
        <w:t xml:space="preserve"> and (iii) </w:t>
      </w:r>
      <w:r w:rsidR="00F41EFC" w:rsidRPr="00BC7BB5">
        <w:rPr>
          <w:rFonts w:ascii="Times New Roman" w:hAnsi="Times New Roman" w:cs="Times New Roman"/>
          <w:color w:val="000000" w:themeColor="text1"/>
        </w:rPr>
        <w:t xml:space="preserve">the </w:t>
      </w:r>
      <w:r w:rsidR="002B4749" w:rsidRPr="00BC7BB5">
        <w:rPr>
          <w:rFonts w:ascii="Times New Roman" w:hAnsi="Times New Roman" w:cs="Times New Roman"/>
          <w:color w:val="000000" w:themeColor="text1"/>
        </w:rPr>
        <w:t>piloting of a new support mechanism (</w:t>
      </w:r>
      <w:r w:rsidR="00D7792B" w:rsidRPr="00BC7BB5">
        <w:rPr>
          <w:rFonts w:ascii="Times New Roman" w:hAnsi="Times New Roman" w:cs="Times New Roman"/>
          <w:color w:val="000000" w:themeColor="text1"/>
        </w:rPr>
        <w:t>productive alliances</w:t>
      </w:r>
      <w:r w:rsidR="002B4749" w:rsidRPr="00BC7BB5">
        <w:rPr>
          <w:rFonts w:ascii="Times New Roman" w:hAnsi="Times New Roman" w:cs="Times New Roman"/>
          <w:color w:val="000000" w:themeColor="text1"/>
        </w:rPr>
        <w:t>) to support producer groups interested in entering in</w:t>
      </w:r>
      <w:r w:rsidR="00D7792B" w:rsidRPr="00BC7BB5">
        <w:rPr>
          <w:rFonts w:ascii="Times New Roman" w:hAnsi="Times New Roman" w:cs="Times New Roman"/>
          <w:color w:val="000000" w:themeColor="text1"/>
        </w:rPr>
        <w:t>to</w:t>
      </w:r>
      <w:r w:rsidR="002B4749" w:rsidRPr="00BC7BB5">
        <w:rPr>
          <w:rFonts w:ascii="Times New Roman" w:hAnsi="Times New Roman" w:cs="Times New Roman"/>
          <w:color w:val="000000" w:themeColor="text1"/>
        </w:rPr>
        <w:t xml:space="preserve"> commercial partnerships with buyers</w:t>
      </w:r>
      <w:r w:rsidR="00F41EFC" w:rsidRPr="00BC7BB5">
        <w:rPr>
          <w:rFonts w:ascii="Times New Roman" w:hAnsi="Times New Roman" w:cs="Times New Roman"/>
          <w:color w:val="000000" w:themeColor="text1"/>
        </w:rPr>
        <w:t xml:space="preserve">. The proposed Program would </w:t>
      </w:r>
      <w:r w:rsidR="0078749D" w:rsidRPr="00BC7BB5">
        <w:rPr>
          <w:rFonts w:ascii="Times New Roman" w:hAnsi="Times New Roman" w:cs="Times New Roman"/>
          <w:color w:val="000000" w:themeColor="text1"/>
        </w:rPr>
        <w:t xml:space="preserve">initially </w:t>
      </w:r>
      <w:r w:rsidR="00F41EFC" w:rsidRPr="00BC7BB5">
        <w:rPr>
          <w:rFonts w:ascii="Times New Roman" w:hAnsi="Times New Roman" w:cs="Times New Roman"/>
          <w:color w:val="000000" w:themeColor="text1"/>
        </w:rPr>
        <w:t>finance projects in the olive and citrus sub-sectors prepared and implemented following those enhance</w:t>
      </w:r>
      <w:r w:rsidR="005B2F75" w:rsidRPr="00BC7BB5">
        <w:rPr>
          <w:rFonts w:ascii="Times New Roman" w:hAnsi="Times New Roman" w:cs="Times New Roman"/>
          <w:color w:val="000000" w:themeColor="text1"/>
        </w:rPr>
        <w:t>d operational modalities</w:t>
      </w:r>
      <w:r w:rsidR="0078749D" w:rsidRPr="00BC7BB5">
        <w:rPr>
          <w:rFonts w:ascii="Times New Roman" w:hAnsi="Times New Roman" w:cs="Times New Roman"/>
          <w:color w:val="000000" w:themeColor="text1"/>
        </w:rPr>
        <w:t xml:space="preserve"> (support could be extended to other sub-sector</w:t>
      </w:r>
      <w:r w:rsidR="00BF6675" w:rsidRPr="00BC7BB5">
        <w:rPr>
          <w:rFonts w:ascii="Times New Roman" w:hAnsi="Times New Roman" w:cs="Times New Roman"/>
          <w:color w:val="000000" w:themeColor="text1"/>
        </w:rPr>
        <w:t>s</w:t>
      </w:r>
      <w:r w:rsidR="0078749D" w:rsidRPr="00BC7BB5">
        <w:rPr>
          <w:rFonts w:ascii="Times New Roman" w:hAnsi="Times New Roman" w:cs="Times New Roman"/>
          <w:color w:val="000000" w:themeColor="text1"/>
        </w:rPr>
        <w:t xml:space="preserve"> during implementation</w:t>
      </w:r>
      <w:r w:rsidR="00992EDA" w:rsidRPr="00BC7BB5">
        <w:rPr>
          <w:rFonts w:ascii="Times New Roman" w:hAnsi="Times New Roman" w:cs="Times New Roman"/>
          <w:color w:val="000000" w:themeColor="text1"/>
        </w:rPr>
        <w:t>, subject to further appraisal</w:t>
      </w:r>
      <w:r w:rsidR="0078749D" w:rsidRPr="00BC7BB5">
        <w:rPr>
          <w:rFonts w:ascii="Times New Roman" w:hAnsi="Times New Roman" w:cs="Times New Roman"/>
          <w:color w:val="000000" w:themeColor="text1"/>
        </w:rPr>
        <w:t>)</w:t>
      </w:r>
      <w:r w:rsidR="005B2F75" w:rsidRPr="00BC7BB5">
        <w:rPr>
          <w:rFonts w:ascii="Times New Roman" w:hAnsi="Times New Roman" w:cs="Times New Roman"/>
          <w:color w:val="000000" w:themeColor="text1"/>
        </w:rPr>
        <w:t>;</w:t>
      </w:r>
    </w:p>
    <w:p w14:paraId="5BA53324" w14:textId="341A5DBB" w:rsidR="00150CEA" w:rsidRPr="00BC7BB5" w:rsidRDefault="007C2B61" w:rsidP="00F561E8">
      <w:pPr>
        <w:pStyle w:val="NoSpacing"/>
        <w:numPr>
          <w:ilvl w:val="0"/>
          <w:numId w:val="22"/>
        </w:numPr>
        <w:ind w:left="1080"/>
        <w:jc w:val="both"/>
        <w:rPr>
          <w:rFonts w:ascii="Times New Roman" w:hAnsi="Times New Roman" w:cs="Times New Roman"/>
        </w:rPr>
      </w:pPr>
      <w:r w:rsidRPr="00BC7BB5">
        <w:rPr>
          <w:rFonts w:ascii="Times New Roman" w:hAnsi="Times New Roman" w:cs="Times New Roman"/>
          <w:i/>
        </w:rPr>
        <w:t>Modernizing the management of wholesale markets</w:t>
      </w:r>
      <w:r w:rsidR="000851D1" w:rsidRPr="00BC7BB5">
        <w:rPr>
          <w:rFonts w:ascii="Times New Roman" w:hAnsi="Times New Roman" w:cs="Times New Roman"/>
          <w:i/>
          <w:color w:val="000000" w:themeColor="text1"/>
        </w:rPr>
        <w:t xml:space="preserve">. </w:t>
      </w:r>
      <w:r w:rsidR="00A27CA2">
        <w:rPr>
          <w:rFonts w:ascii="Times New Roman" w:hAnsi="Times New Roman" w:cs="Times New Roman"/>
          <w:color w:val="000000" w:themeColor="text1"/>
        </w:rPr>
        <w:t xml:space="preserve">The </w:t>
      </w:r>
      <w:r w:rsidR="000851D1" w:rsidRPr="00BC7BB5">
        <w:rPr>
          <w:rFonts w:ascii="Times New Roman" w:hAnsi="Times New Roman" w:cs="Times New Roman"/>
          <w:color w:val="000000" w:themeColor="text1"/>
        </w:rPr>
        <w:t xml:space="preserve">Program would finance </w:t>
      </w:r>
      <w:r w:rsidR="00596A53">
        <w:rPr>
          <w:rFonts w:ascii="Times New Roman" w:hAnsi="Times New Roman" w:cs="Times New Roman"/>
          <w:color w:val="000000" w:themeColor="text1"/>
        </w:rPr>
        <w:t xml:space="preserve">the </w:t>
      </w:r>
      <w:r w:rsidR="00A422D9">
        <w:rPr>
          <w:rFonts w:ascii="Times New Roman" w:hAnsi="Times New Roman" w:cs="Times New Roman"/>
          <w:color w:val="000000" w:themeColor="text1"/>
        </w:rPr>
        <w:t xml:space="preserve">construction and operationalization of </w:t>
      </w:r>
      <w:r w:rsidR="00AB10F4" w:rsidRPr="00BC7BB5">
        <w:rPr>
          <w:rFonts w:ascii="Times New Roman" w:hAnsi="Times New Roman" w:cs="Times New Roman"/>
          <w:color w:val="000000" w:themeColor="text1"/>
        </w:rPr>
        <w:t xml:space="preserve">at least </w:t>
      </w:r>
      <w:r w:rsidR="00992EDA" w:rsidRPr="00BC7BB5">
        <w:rPr>
          <w:rFonts w:ascii="Times New Roman" w:hAnsi="Times New Roman" w:cs="Times New Roman"/>
          <w:color w:val="000000" w:themeColor="text1"/>
        </w:rPr>
        <w:t>one</w:t>
      </w:r>
      <w:r w:rsidR="000851D1" w:rsidRPr="00BC7BB5">
        <w:rPr>
          <w:rFonts w:ascii="Times New Roman" w:hAnsi="Times New Roman" w:cs="Times New Roman"/>
          <w:color w:val="000000" w:themeColor="text1"/>
        </w:rPr>
        <w:t xml:space="preserve"> new</w:t>
      </w:r>
      <w:r w:rsidRPr="00BC7BB5">
        <w:rPr>
          <w:rFonts w:ascii="Times New Roman" w:hAnsi="Times New Roman" w:cs="Times New Roman"/>
          <w:color w:val="000000" w:themeColor="text1"/>
        </w:rPr>
        <w:t xml:space="preserve"> </w:t>
      </w:r>
      <w:r w:rsidR="000851D1" w:rsidRPr="00BC7BB5">
        <w:rPr>
          <w:rFonts w:ascii="Times New Roman" w:hAnsi="Times New Roman" w:cs="Times New Roman"/>
          <w:color w:val="000000" w:themeColor="text1"/>
        </w:rPr>
        <w:t xml:space="preserve">wholesale market </w:t>
      </w:r>
      <w:r w:rsidR="00832355" w:rsidRPr="00BC7BB5">
        <w:rPr>
          <w:rFonts w:ascii="Times New Roman" w:hAnsi="Times New Roman" w:cs="Times New Roman"/>
          <w:color w:val="000000" w:themeColor="text1"/>
        </w:rPr>
        <w:t xml:space="preserve">and support the establishment of a new management model </w:t>
      </w:r>
      <w:r w:rsidR="00FB0BF8" w:rsidRPr="00BC7BB5">
        <w:rPr>
          <w:rFonts w:ascii="Times New Roman" w:hAnsi="Times New Roman" w:cs="Times New Roman"/>
          <w:color w:val="000000" w:themeColor="text1"/>
        </w:rPr>
        <w:t>with a view to improving</w:t>
      </w:r>
      <w:r w:rsidR="00AB10F4" w:rsidRPr="00BC7BB5">
        <w:rPr>
          <w:rFonts w:ascii="Times New Roman" w:hAnsi="Times New Roman" w:cs="Times New Roman"/>
          <w:color w:val="000000" w:themeColor="text1"/>
        </w:rPr>
        <w:t xml:space="preserve"> domestic market efficiency and transparency</w:t>
      </w:r>
      <w:r w:rsidR="00FB0BF8" w:rsidRPr="00BC7BB5">
        <w:rPr>
          <w:rFonts w:ascii="Times New Roman" w:hAnsi="Times New Roman" w:cs="Times New Roman"/>
          <w:color w:val="000000" w:themeColor="text1"/>
        </w:rPr>
        <w:t xml:space="preserve"> in the fruit and vegetables sector</w:t>
      </w:r>
      <w:r w:rsidR="007A56B5" w:rsidRPr="00BC7BB5">
        <w:rPr>
          <w:rFonts w:ascii="Times New Roman" w:hAnsi="Times New Roman" w:cs="Times New Roman"/>
          <w:color w:val="000000" w:themeColor="text1"/>
        </w:rPr>
        <w:t xml:space="preserve">. </w:t>
      </w:r>
      <w:r w:rsidR="008A405A" w:rsidRPr="00BC7BB5">
        <w:rPr>
          <w:rFonts w:ascii="Times New Roman" w:hAnsi="Times New Roman" w:cs="Times New Roman"/>
          <w:color w:val="000000" w:themeColor="text1"/>
        </w:rPr>
        <w:t xml:space="preserve">The </w:t>
      </w:r>
      <w:r w:rsidR="00F87056" w:rsidRPr="00BC7BB5">
        <w:rPr>
          <w:rFonts w:ascii="Times New Roman" w:hAnsi="Times New Roman" w:cs="Times New Roman"/>
          <w:color w:val="000000" w:themeColor="text1"/>
        </w:rPr>
        <w:t>wholesale market</w:t>
      </w:r>
      <w:r w:rsidR="008A405A" w:rsidRPr="00BC7BB5">
        <w:rPr>
          <w:rFonts w:ascii="Times New Roman" w:hAnsi="Times New Roman" w:cs="Times New Roman"/>
          <w:color w:val="000000" w:themeColor="text1"/>
        </w:rPr>
        <w:t xml:space="preserve"> with most </w:t>
      </w:r>
      <w:r w:rsidR="00F87056" w:rsidRPr="00BC7BB5">
        <w:rPr>
          <w:rFonts w:ascii="Times New Roman" w:hAnsi="Times New Roman" w:cs="Times New Roman"/>
          <w:color w:val="000000" w:themeColor="text1"/>
        </w:rPr>
        <w:t>advanced</w:t>
      </w:r>
      <w:r w:rsidR="008A405A" w:rsidRPr="00BC7BB5">
        <w:rPr>
          <w:rFonts w:ascii="Times New Roman" w:hAnsi="Times New Roman" w:cs="Times New Roman"/>
          <w:color w:val="000000" w:themeColor="text1"/>
        </w:rPr>
        <w:t xml:space="preserve"> readiness conditions is th</w:t>
      </w:r>
      <w:r w:rsidR="00F87056" w:rsidRPr="00BC7BB5">
        <w:rPr>
          <w:rFonts w:ascii="Times New Roman" w:hAnsi="Times New Roman" w:cs="Times New Roman"/>
          <w:color w:val="000000" w:themeColor="text1"/>
        </w:rPr>
        <w:t>at of</w:t>
      </w:r>
      <w:r w:rsidR="008A405A" w:rsidRPr="00BC7BB5">
        <w:rPr>
          <w:rFonts w:ascii="Times New Roman" w:hAnsi="Times New Roman" w:cs="Times New Roman"/>
          <w:color w:val="000000" w:themeColor="text1"/>
        </w:rPr>
        <w:t xml:space="preserve"> </w:t>
      </w:r>
      <w:r w:rsidR="00B641FA" w:rsidRPr="00BC7BB5">
        <w:rPr>
          <w:rFonts w:ascii="Times New Roman" w:hAnsi="Times New Roman" w:cs="Times New Roman"/>
          <w:color w:val="000000" w:themeColor="text1"/>
        </w:rPr>
        <w:t xml:space="preserve">the </w:t>
      </w:r>
      <w:r w:rsidR="008A405A" w:rsidRPr="00BC7BB5">
        <w:rPr>
          <w:rFonts w:ascii="Times New Roman" w:hAnsi="Times New Roman" w:cs="Times New Roman"/>
          <w:color w:val="000000" w:themeColor="text1"/>
        </w:rPr>
        <w:t>Rabat</w:t>
      </w:r>
      <w:r w:rsidR="00B641FA" w:rsidRPr="00BC7BB5">
        <w:rPr>
          <w:rFonts w:ascii="Times New Roman" w:hAnsi="Times New Roman" w:cs="Times New Roman"/>
          <w:color w:val="000000" w:themeColor="text1"/>
        </w:rPr>
        <w:t>-Salé-Kénitra region</w:t>
      </w:r>
      <w:r w:rsidR="00BD6D60">
        <w:rPr>
          <w:rFonts w:ascii="Times New Roman" w:hAnsi="Times New Roman" w:cs="Times New Roman"/>
          <w:color w:val="000000" w:themeColor="text1"/>
        </w:rPr>
        <w:t>;</w:t>
      </w:r>
      <w:r w:rsidR="00D7792B" w:rsidRPr="00BC7BB5">
        <w:rPr>
          <w:rFonts w:ascii="Times New Roman" w:hAnsi="Times New Roman" w:cs="Times New Roman"/>
          <w:color w:val="000000" w:themeColor="text1"/>
        </w:rPr>
        <w:t xml:space="preserve"> </w:t>
      </w:r>
    </w:p>
    <w:p w14:paraId="70D16D3A" w14:textId="447FF515" w:rsidR="00412FA7" w:rsidRPr="00BC7BB5" w:rsidRDefault="003318F9" w:rsidP="00F561E8">
      <w:pPr>
        <w:pStyle w:val="NoSpacing"/>
        <w:numPr>
          <w:ilvl w:val="0"/>
          <w:numId w:val="22"/>
        </w:numPr>
        <w:ind w:left="1080"/>
        <w:jc w:val="both"/>
        <w:rPr>
          <w:rFonts w:ascii="Times New Roman" w:hAnsi="Times New Roman" w:cs="Times New Roman"/>
        </w:rPr>
      </w:pPr>
      <w:r w:rsidRPr="00BC7BB5">
        <w:rPr>
          <w:rFonts w:ascii="Times New Roman" w:hAnsi="Times New Roman" w:cs="Times New Roman"/>
          <w:i/>
          <w:color w:val="000000" w:themeColor="text1"/>
        </w:rPr>
        <w:t>Improving access to information</w:t>
      </w:r>
      <w:r w:rsidR="00150CEA" w:rsidRPr="00BC7BB5">
        <w:rPr>
          <w:rFonts w:ascii="Times New Roman" w:hAnsi="Times New Roman" w:cs="Times New Roman"/>
          <w:color w:val="000000" w:themeColor="text1"/>
        </w:rPr>
        <w:t>.</w:t>
      </w:r>
      <w:r w:rsidR="001346AF" w:rsidRPr="00BC7BB5">
        <w:rPr>
          <w:rFonts w:ascii="Times New Roman" w:hAnsi="Times New Roman" w:cs="Times New Roman"/>
          <w:color w:val="000000" w:themeColor="text1"/>
        </w:rPr>
        <w:t xml:space="preserve"> The Program would support MAPMDREF’s efforts to improve the transparency of market information and </w:t>
      </w:r>
      <w:r w:rsidR="00B84F7A" w:rsidRPr="00BC7BB5">
        <w:rPr>
          <w:rFonts w:ascii="Times New Roman" w:hAnsi="Times New Roman" w:cs="Times New Roman"/>
          <w:color w:val="000000" w:themeColor="text1"/>
        </w:rPr>
        <w:t xml:space="preserve">to </w:t>
      </w:r>
      <w:r w:rsidR="001346AF" w:rsidRPr="00BC7BB5">
        <w:rPr>
          <w:rFonts w:ascii="Times New Roman" w:hAnsi="Times New Roman" w:cs="Times New Roman"/>
          <w:color w:val="000000" w:themeColor="text1"/>
        </w:rPr>
        <w:t xml:space="preserve">make it accessible for </w:t>
      </w:r>
      <w:r w:rsidR="00FB0BF8" w:rsidRPr="00BC7BB5">
        <w:rPr>
          <w:rFonts w:ascii="Times New Roman" w:hAnsi="Times New Roman" w:cs="Times New Roman"/>
          <w:color w:val="000000" w:themeColor="text1"/>
        </w:rPr>
        <w:t xml:space="preserve">small and medium </w:t>
      </w:r>
      <w:r w:rsidR="00B84F7A" w:rsidRPr="00BC7BB5">
        <w:rPr>
          <w:rFonts w:ascii="Times New Roman" w:hAnsi="Times New Roman" w:cs="Times New Roman"/>
          <w:color w:val="000000" w:themeColor="text1"/>
        </w:rPr>
        <w:t>producers</w:t>
      </w:r>
      <w:r w:rsidR="001346AF" w:rsidRPr="00BC7BB5">
        <w:rPr>
          <w:rFonts w:ascii="Times New Roman" w:hAnsi="Times New Roman" w:cs="Times New Roman"/>
          <w:color w:val="000000" w:themeColor="text1"/>
        </w:rPr>
        <w:t xml:space="preserve">, through the modernization of </w:t>
      </w:r>
      <w:r w:rsidR="00AB10F4" w:rsidRPr="00BC7BB5">
        <w:rPr>
          <w:rFonts w:ascii="Times New Roman" w:hAnsi="Times New Roman" w:cs="Times New Roman"/>
          <w:color w:val="000000" w:themeColor="text1"/>
        </w:rPr>
        <w:t xml:space="preserve">the </w:t>
      </w:r>
      <w:r w:rsidR="001346AF" w:rsidRPr="00BC7BB5">
        <w:rPr>
          <w:rFonts w:ascii="Times New Roman" w:hAnsi="Times New Roman" w:cs="Times New Roman"/>
          <w:color w:val="000000" w:themeColor="text1"/>
        </w:rPr>
        <w:t xml:space="preserve">existing </w:t>
      </w:r>
      <w:r w:rsidR="001346AF" w:rsidRPr="00BC7BB5">
        <w:rPr>
          <w:rFonts w:ascii="Times New Roman" w:hAnsi="Times New Roman" w:cs="Times New Roman"/>
          <w:i/>
          <w:color w:val="000000" w:themeColor="text1"/>
        </w:rPr>
        <w:t>Asaar</w:t>
      </w:r>
      <w:r w:rsidR="001346AF" w:rsidRPr="00BC7BB5">
        <w:rPr>
          <w:rFonts w:ascii="Times New Roman" w:hAnsi="Times New Roman" w:cs="Times New Roman"/>
          <w:color w:val="000000" w:themeColor="text1"/>
        </w:rPr>
        <w:t xml:space="preserve"> market information platform, the strengthening of the m</w:t>
      </w:r>
      <w:r w:rsidR="00992EDA" w:rsidRPr="00BC7BB5">
        <w:rPr>
          <w:rFonts w:ascii="Times New Roman" w:hAnsi="Times New Roman" w:cs="Times New Roman"/>
          <w:color w:val="000000" w:themeColor="text1"/>
        </w:rPr>
        <w:t xml:space="preserve">arket </w:t>
      </w:r>
      <w:r w:rsidR="00BD6D60">
        <w:rPr>
          <w:rFonts w:ascii="Times New Roman" w:hAnsi="Times New Roman" w:cs="Times New Roman"/>
          <w:color w:val="000000" w:themeColor="text1"/>
        </w:rPr>
        <w:t xml:space="preserve">price </w:t>
      </w:r>
      <w:r w:rsidR="00992EDA" w:rsidRPr="00BC7BB5">
        <w:rPr>
          <w:rFonts w:ascii="Times New Roman" w:hAnsi="Times New Roman" w:cs="Times New Roman"/>
          <w:color w:val="000000" w:themeColor="text1"/>
        </w:rPr>
        <w:t>analysis unit of the Ministry’s Department of Strategy and Statistics</w:t>
      </w:r>
      <w:r w:rsidR="001346AF" w:rsidRPr="00BC7BB5">
        <w:rPr>
          <w:rFonts w:ascii="Times New Roman" w:hAnsi="Times New Roman" w:cs="Times New Roman"/>
          <w:color w:val="000000" w:themeColor="text1"/>
        </w:rPr>
        <w:t xml:space="preserve"> in Casablanca, as well as the </w:t>
      </w:r>
      <w:r w:rsidR="00AC351E">
        <w:rPr>
          <w:rFonts w:ascii="Times New Roman" w:hAnsi="Times New Roman" w:cs="Times New Roman"/>
          <w:color w:val="000000" w:themeColor="text1"/>
        </w:rPr>
        <w:t>development</w:t>
      </w:r>
      <w:r w:rsidR="001346AF" w:rsidRPr="00BC7BB5">
        <w:rPr>
          <w:rFonts w:ascii="Times New Roman" w:hAnsi="Times New Roman" w:cs="Times New Roman"/>
          <w:color w:val="000000" w:themeColor="text1"/>
        </w:rPr>
        <w:t xml:space="preserve"> of new ICT tools (mobile apps, SMS, etc.) to </w:t>
      </w:r>
      <w:r w:rsidR="00AC351E">
        <w:rPr>
          <w:rFonts w:ascii="Times New Roman" w:hAnsi="Times New Roman" w:cs="Times New Roman"/>
          <w:color w:val="000000" w:themeColor="text1"/>
        </w:rPr>
        <w:t>increase producers and enterprises’ access to information</w:t>
      </w:r>
      <w:r w:rsidR="001346AF" w:rsidRPr="00BC7BB5">
        <w:rPr>
          <w:rFonts w:ascii="Times New Roman" w:hAnsi="Times New Roman" w:cs="Times New Roman"/>
          <w:color w:val="000000" w:themeColor="text1"/>
        </w:rPr>
        <w:t>.</w:t>
      </w:r>
    </w:p>
    <w:p w14:paraId="3EE5CD40" w14:textId="77777777" w:rsidR="003A67FC" w:rsidRPr="00BC7BB5" w:rsidRDefault="003A67FC" w:rsidP="003A67FC">
      <w:pPr>
        <w:pStyle w:val="NoSpacing"/>
        <w:jc w:val="both"/>
        <w:rPr>
          <w:rFonts w:ascii="Times New Roman" w:hAnsi="Times New Roman" w:cs="Times New Roman"/>
        </w:rPr>
      </w:pPr>
    </w:p>
    <w:p w14:paraId="6949D3DA" w14:textId="22E219A9" w:rsidR="00412FA7" w:rsidRPr="00BC7BB5" w:rsidRDefault="00412FA7" w:rsidP="00B35A06">
      <w:pPr>
        <w:pStyle w:val="NoSpacing"/>
        <w:numPr>
          <w:ilvl w:val="0"/>
          <w:numId w:val="7"/>
        </w:numPr>
        <w:ind w:left="0" w:firstLine="0"/>
        <w:jc w:val="both"/>
        <w:rPr>
          <w:rFonts w:ascii="Times New Roman" w:hAnsi="Times New Roman" w:cs="Times New Roman"/>
        </w:rPr>
      </w:pPr>
      <w:r w:rsidRPr="00BC7BB5">
        <w:rPr>
          <w:rFonts w:ascii="Times New Roman" w:hAnsi="Times New Roman" w:cs="Times New Roman"/>
          <w:b/>
        </w:rPr>
        <w:t>Result</w:t>
      </w:r>
      <w:r w:rsidR="00D94926" w:rsidRPr="00BC7BB5">
        <w:rPr>
          <w:rFonts w:ascii="Times New Roman" w:hAnsi="Times New Roman" w:cs="Times New Roman"/>
          <w:b/>
        </w:rPr>
        <w:t xml:space="preserve"> A</w:t>
      </w:r>
      <w:r w:rsidRPr="00BC7BB5">
        <w:rPr>
          <w:rFonts w:ascii="Times New Roman" w:hAnsi="Times New Roman" w:cs="Times New Roman"/>
          <w:b/>
        </w:rPr>
        <w:t xml:space="preserve">rea 2 – </w:t>
      </w:r>
      <w:r w:rsidR="00992EDA" w:rsidRPr="00BC7BB5">
        <w:rPr>
          <w:rFonts w:ascii="Times New Roman" w:hAnsi="Times New Roman" w:cs="Times New Roman"/>
          <w:b/>
        </w:rPr>
        <w:t>Improved</w:t>
      </w:r>
      <w:r w:rsidR="006A0104" w:rsidRPr="00BC7BB5">
        <w:rPr>
          <w:rFonts w:ascii="Times New Roman" w:hAnsi="Times New Roman" w:cs="Times New Roman"/>
          <w:b/>
        </w:rPr>
        <w:t xml:space="preserve"> </w:t>
      </w:r>
      <w:r w:rsidR="00992EDA" w:rsidRPr="00BC7BB5">
        <w:rPr>
          <w:rFonts w:ascii="Times New Roman" w:hAnsi="Times New Roman" w:cs="Times New Roman"/>
          <w:b/>
        </w:rPr>
        <w:t>added</w:t>
      </w:r>
      <w:r w:rsidR="006A0104" w:rsidRPr="00BC7BB5">
        <w:rPr>
          <w:rFonts w:ascii="Times New Roman" w:hAnsi="Times New Roman" w:cs="Times New Roman"/>
          <w:b/>
        </w:rPr>
        <w:t xml:space="preserve">-value </w:t>
      </w:r>
      <w:r w:rsidR="00992EDA" w:rsidRPr="00BC7BB5">
        <w:rPr>
          <w:rFonts w:ascii="Times New Roman" w:hAnsi="Times New Roman" w:cs="Times New Roman"/>
          <w:b/>
        </w:rPr>
        <w:t>of</w:t>
      </w:r>
      <w:r w:rsidR="00730753" w:rsidRPr="00BC7BB5">
        <w:rPr>
          <w:rFonts w:ascii="Times New Roman" w:hAnsi="Times New Roman" w:cs="Times New Roman"/>
          <w:b/>
        </w:rPr>
        <w:t xml:space="preserve"> </w:t>
      </w:r>
      <w:r w:rsidR="006A0104" w:rsidRPr="00BC7BB5">
        <w:rPr>
          <w:rFonts w:ascii="Times New Roman" w:hAnsi="Times New Roman" w:cs="Times New Roman"/>
          <w:b/>
        </w:rPr>
        <w:t>agri-food products</w:t>
      </w:r>
      <w:r w:rsidRPr="00BC7BB5">
        <w:rPr>
          <w:rFonts w:ascii="Times New Roman" w:hAnsi="Times New Roman" w:cs="Times New Roman"/>
        </w:rPr>
        <w:t>.</w:t>
      </w:r>
      <w:r w:rsidR="00916983" w:rsidRPr="00BC7BB5">
        <w:rPr>
          <w:rFonts w:ascii="Times New Roman" w:hAnsi="Times New Roman" w:cs="Times New Roman"/>
        </w:rPr>
        <w:t xml:space="preserve"> </w:t>
      </w:r>
      <w:r w:rsidR="00916983" w:rsidRPr="00BC7BB5">
        <w:rPr>
          <w:rFonts w:ascii="Times New Roman" w:hAnsi="Times New Roman" w:cs="Times New Roman"/>
          <w:color w:val="000000" w:themeColor="text1"/>
        </w:rPr>
        <w:t xml:space="preserve">Result area 2 aims at improving the </w:t>
      </w:r>
      <w:r w:rsidR="007119BF">
        <w:rPr>
          <w:rFonts w:ascii="Times New Roman" w:hAnsi="Times New Roman" w:cs="Times New Roman"/>
          <w:color w:val="000000" w:themeColor="text1"/>
        </w:rPr>
        <w:t>added-</w:t>
      </w:r>
      <w:r w:rsidR="008B27F6" w:rsidRPr="00BC7BB5">
        <w:rPr>
          <w:rFonts w:ascii="Times New Roman" w:hAnsi="Times New Roman" w:cs="Times New Roman"/>
          <w:color w:val="000000" w:themeColor="text1"/>
        </w:rPr>
        <w:t>value</w:t>
      </w:r>
      <w:r w:rsidR="00916983" w:rsidRPr="00BC7BB5">
        <w:rPr>
          <w:rFonts w:ascii="Times New Roman" w:hAnsi="Times New Roman" w:cs="Times New Roman"/>
          <w:color w:val="000000" w:themeColor="text1"/>
        </w:rPr>
        <w:t xml:space="preserve"> of agri-food products, </w:t>
      </w:r>
      <w:r w:rsidR="003879EA" w:rsidRPr="00BC7BB5">
        <w:rPr>
          <w:rFonts w:ascii="Times New Roman" w:hAnsi="Times New Roman" w:cs="Times New Roman"/>
          <w:color w:val="000000" w:themeColor="text1"/>
        </w:rPr>
        <w:t xml:space="preserve">including </w:t>
      </w:r>
      <w:r w:rsidR="00916983" w:rsidRPr="00BC7BB5">
        <w:rPr>
          <w:rFonts w:ascii="Times New Roman" w:hAnsi="Times New Roman" w:cs="Times New Roman"/>
          <w:color w:val="000000" w:themeColor="text1"/>
        </w:rPr>
        <w:t xml:space="preserve">food </w:t>
      </w:r>
      <w:r w:rsidR="00EB2AF5" w:rsidRPr="00BC7BB5">
        <w:rPr>
          <w:rFonts w:ascii="Times New Roman" w:hAnsi="Times New Roman" w:cs="Times New Roman"/>
          <w:color w:val="000000" w:themeColor="text1"/>
        </w:rPr>
        <w:t xml:space="preserve">quality and food </w:t>
      </w:r>
      <w:r w:rsidR="00916983" w:rsidRPr="00BC7BB5">
        <w:rPr>
          <w:rFonts w:ascii="Times New Roman" w:hAnsi="Times New Roman" w:cs="Times New Roman"/>
          <w:color w:val="000000" w:themeColor="text1"/>
        </w:rPr>
        <w:t xml:space="preserve">safety </w:t>
      </w:r>
      <w:r w:rsidR="003879EA" w:rsidRPr="00BC7BB5">
        <w:rPr>
          <w:rFonts w:ascii="Times New Roman" w:hAnsi="Times New Roman" w:cs="Times New Roman"/>
          <w:color w:val="000000" w:themeColor="text1"/>
        </w:rPr>
        <w:t>and</w:t>
      </w:r>
      <w:r w:rsidR="00916983" w:rsidRPr="00BC7BB5">
        <w:rPr>
          <w:rFonts w:ascii="Times New Roman" w:hAnsi="Times New Roman" w:cs="Times New Roman"/>
          <w:color w:val="000000" w:themeColor="text1"/>
        </w:rPr>
        <w:t xml:space="preserve"> sanitary and phytosanitary </w:t>
      </w:r>
      <w:r w:rsidR="00916983" w:rsidRPr="00BC7BB5">
        <w:rPr>
          <w:rFonts w:ascii="Times New Roman" w:hAnsi="Times New Roman" w:cs="Times New Roman"/>
          <w:color w:val="000000" w:themeColor="text1"/>
        </w:rPr>
        <w:lastRenderedPageBreak/>
        <w:t>aspects</w:t>
      </w:r>
      <w:r w:rsidR="003879EA" w:rsidRPr="00BC7BB5">
        <w:rPr>
          <w:rFonts w:ascii="Times New Roman" w:hAnsi="Times New Roman" w:cs="Times New Roman"/>
          <w:color w:val="000000" w:themeColor="text1"/>
        </w:rPr>
        <w:t xml:space="preserve"> </w:t>
      </w:r>
      <w:r w:rsidR="00EB2AF5" w:rsidRPr="00BC7BB5">
        <w:rPr>
          <w:rFonts w:ascii="Times New Roman" w:hAnsi="Times New Roman" w:cs="Times New Roman"/>
          <w:color w:val="000000" w:themeColor="text1"/>
        </w:rPr>
        <w:t>which</w:t>
      </w:r>
      <w:r w:rsidR="00916983" w:rsidRPr="00BC7BB5">
        <w:rPr>
          <w:rFonts w:ascii="Times New Roman" w:hAnsi="Times New Roman" w:cs="Times New Roman"/>
          <w:color w:val="000000" w:themeColor="text1"/>
        </w:rPr>
        <w:t xml:space="preserve"> have been identified as key constraints for operators in the agri-food sector to meet market demand and to access new market opportunity both domestic</w:t>
      </w:r>
      <w:r w:rsidR="00992EDA" w:rsidRPr="00BC7BB5">
        <w:rPr>
          <w:rFonts w:ascii="Times New Roman" w:hAnsi="Times New Roman" w:cs="Times New Roman"/>
          <w:color w:val="000000" w:themeColor="text1"/>
        </w:rPr>
        <w:t>ally</w:t>
      </w:r>
      <w:r w:rsidR="00916983" w:rsidRPr="00BC7BB5">
        <w:rPr>
          <w:rFonts w:ascii="Times New Roman" w:hAnsi="Times New Roman" w:cs="Times New Roman"/>
          <w:color w:val="000000" w:themeColor="text1"/>
        </w:rPr>
        <w:t xml:space="preserve"> and for exports. </w:t>
      </w:r>
      <w:r w:rsidR="007D6B6A" w:rsidRPr="00BC7BB5">
        <w:rPr>
          <w:rFonts w:ascii="Times New Roman" w:hAnsi="Times New Roman" w:cs="Times New Roman"/>
          <w:color w:val="000000" w:themeColor="text1"/>
        </w:rPr>
        <w:t>Result area 2 also aims at improving producers and agribusiness SMEs’ capacity to add</w:t>
      </w:r>
      <w:r w:rsidR="00A422D9">
        <w:rPr>
          <w:rFonts w:ascii="Times New Roman" w:hAnsi="Times New Roman" w:cs="Times New Roman"/>
          <w:color w:val="000000" w:themeColor="text1"/>
        </w:rPr>
        <w:t xml:space="preserve"> </w:t>
      </w:r>
      <w:r w:rsidR="007D6B6A" w:rsidRPr="00BC7BB5">
        <w:rPr>
          <w:rFonts w:ascii="Times New Roman" w:hAnsi="Times New Roman" w:cs="Times New Roman"/>
          <w:color w:val="000000" w:themeColor="text1"/>
        </w:rPr>
        <w:t>value to their products</w:t>
      </w:r>
      <w:r w:rsidR="006B041D" w:rsidRPr="00BC7BB5">
        <w:rPr>
          <w:rFonts w:ascii="Times New Roman" w:hAnsi="Times New Roman" w:cs="Times New Roman"/>
          <w:color w:val="000000" w:themeColor="text1"/>
        </w:rPr>
        <w:t xml:space="preserve"> by increasing their capacity for innovation and their access to marketing and distribution networks</w:t>
      </w:r>
      <w:r w:rsidR="007D6B6A" w:rsidRPr="00BC7BB5">
        <w:rPr>
          <w:rFonts w:ascii="Times New Roman" w:hAnsi="Times New Roman" w:cs="Times New Roman"/>
          <w:color w:val="000000" w:themeColor="text1"/>
        </w:rPr>
        <w:t xml:space="preserve">, through access to business development services, technical support services and </w:t>
      </w:r>
      <w:r w:rsidR="006B041D" w:rsidRPr="00BC7BB5">
        <w:rPr>
          <w:rFonts w:ascii="Times New Roman" w:hAnsi="Times New Roman" w:cs="Times New Roman"/>
          <w:color w:val="000000" w:themeColor="text1"/>
        </w:rPr>
        <w:t>training, and financing for innovation</w:t>
      </w:r>
      <w:r w:rsidR="007D6B6A" w:rsidRPr="00BC7BB5">
        <w:rPr>
          <w:rFonts w:ascii="Times New Roman" w:hAnsi="Times New Roman" w:cs="Times New Roman"/>
          <w:color w:val="000000" w:themeColor="text1"/>
        </w:rPr>
        <w:t xml:space="preserve">. Four </w:t>
      </w:r>
      <w:r w:rsidR="00916983" w:rsidRPr="00BC7BB5">
        <w:rPr>
          <w:rFonts w:ascii="Times New Roman" w:hAnsi="Times New Roman" w:cs="Times New Roman"/>
          <w:color w:val="000000" w:themeColor="text1"/>
        </w:rPr>
        <w:t>sub-programs would be included: (a) improving food safety</w:t>
      </w:r>
      <w:r w:rsidR="007D6B6A" w:rsidRPr="00BC7BB5">
        <w:rPr>
          <w:rFonts w:ascii="Times New Roman" w:hAnsi="Times New Roman" w:cs="Times New Roman"/>
          <w:color w:val="000000" w:themeColor="text1"/>
        </w:rPr>
        <w:t>,</w:t>
      </w:r>
      <w:r w:rsidR="00916983" w:rsidRPr="00BC7BB5">
        <w:rPr>
          <w:rFonts w:ascii="Times New Roman" w:hAnsi="Times New Roman" w:cs="Times New Roman"/>
          <w:color w:val="000000" w:themeColor="text1"/>
        </w:rPr>
        <w:t xml:space="preserve"> (b) promoting quality standards and certification systems</w:t>
      </w:r>
      <w:r w:rsidR="007D6B6A" w:rsidRPr="00BC7BB5">
        <w:rPr>
          <w:rFonts w:ascii="Times New Roman" w:hAnsi="Times New Roman" w:cs="Times New Roman"/>
          <w:color w:val="000000" w:themeColor="text1"/>
        </w:rPr>
        <w:t>, (c)</w:t>
      </w:r>
      <w:r w:rsidR="007D6B6A" w:rsidRPr="00BC7BB5">
        <w:rPr>
          <w:rFonts w:ascii="Times New Roman" w:hAnsi="Times New Roman" w:cs="Times New Roman"/>
          <w:bCs/>
          <w:color w:val="000000" w:themeColor="text1"/>
        </w:rPr>
        <w:t xml:space="preserve"> strengthening business development and technical support services, and (d) financing innovation</w:t>
      </w:r>
      <w:r w:rsidR="000572CD" w:rsidRPr="00BC7BB5">
        <w:rPr>
          <w:rFonts w:ascii="Times New Roman" w:hAnsi="Times New Roman" w:cs="Times New Roman"/>
          <w:color w:val="000000" w:themeColor="text1"/>
        </w:rPr>
        <w:t>.</w:t>
      </w:r>
    </w:p>
    <w:p w14:paraId="30DF041E" w14:textId="77777777" w:rsidR="00BC2700" w:rsidRPr="00BC7BB5" w:rsidRDefault="00BC2700" w:rsidP="00BC2700">
      <w:pPr>
        <w:pStyle w:val="NoSpacing"/>
        <w:ind w:left="1140"/>
        <w:jc w:val="both"/>
        <w:rPr>
          <w:rFonts w:ascii="Times New Roman" w:hAnsi="Times New Roman" w:cs="Times New Roman"/>
        </w:rPr>
      </w:pPr>
    </w:p>
    <w:p w14:paraId="22727CFB" w14:textId="7C864B3A" w:rsidR="00CF35D3" w:rsidRPr="00BC7BB5" w:rsidRDefault="00CF35D3" w:rsidP="00A422D9">
      <w:pPr>
        <w:pStyle w:val="NoSpacing"/>
        <w:numPr>
          <w:ilvl w:val="0"/>
          <w:numId w:val="23"/>
        </w:numPr>
        <w:ind w:left="1080"/>
        <w:jc w:val="both"/>
        <w:rPr>
          <w:rFonts w:ascii="Times New Roman" w:hAnsi="Times New Roman" w:cs="Times New Roman"/>
        </w:rPr>
      </w:pPr>
      <w:r w:rsidRPr="00BC7BB5">
        <w:rPr>
          <w:rFonts w:ascii="Times New Roman" w:hAnsi="Times New Roman" w:cs="Times New Roman"/>
          <w:i/>
        </w:rPr>
        <w:t>Improving food safety.</w:t>
      </w:r>
      <w:r w:rsidR="005B2F75" w:rsidRPr="00BC7BB5">
        <w:rPr>
          <w:rFonts w:ascii="Times New Roman" w:hAnsi="Times New Roman" w:cs="Times New Roman"/>
          <w:b/>
        </w:rPr>
        <w:t xml:space="preserve"> </w:t>
      </w:r>
      <w:r w:rsidR="007119BF">
        <w:rPr>
          <w:rFonts w:ascii="Times New Roman" w:hAnsi="Times New Roman" w:cs="Times New Roman"/>
          <w:color w:val="000000" w:themeColor="text1"/>
        </w:rPr>
        <w:t xml:space="preserve">The </w:t>
      </w:r>
      <w:r w:rsidR="005B2F75" w:rsidRPr="00BC7BB5">
        <w:rPr>
          <w:rFonts w:ascii="Times New Roman" w:hAnsi="Times New Roman" w:cs="Times New Roman"/>
          <w:color w:val="000000" w:themeColor="text1"/>
        </w:rPr>
        <w:t>Program would</w:t>
      </w:r>
      <w:r w:rsidR="00A422D9">
        <w:rPr>
          <w:rFonts w:ascii="Times New Roman" w:hAnsi="Times New Roman" w:cs="Times New Roman"/>
          <w:color w:val="000000" w:themeColor="text1"/>
        </w:rPr>
        <w:t xml:space="preserve"> support: </w:t>
      </w:r>
      <w:r w:rsidR="00A422D9" w:rsidRPr="00A422D9">
        <w:rPr>
          <w:rFonts w:ascii="Times New Roman" w:hAnsi="Times New Roman" w:cs="Times New Roman"/>
          <w:color w:val="000000" w:themeColor="text1"/>
        </w:rPr>
        <w:t>(i) the carrying out of a census of agri-food enterprises and the provision of advisory services to private operators regarding compliance with food safety requirements and ONSSA’s approval/authorization criteria and processes; (ii) the strengthening of the capacity of ONSSA to carry out its mandate through the carrying out of the activities described in the POM; (iii) the carrying out of awareness campaigns to inform consumers about food safety; (iv) the establishment of an input register for citrus in the Souss region; and (v) the implementation of the Mediterranean fruit fly</w:t>
      </w:r>
      <w:r w:rsidR="00A422D9">
        <w:rPr>
          <w:rFonts w:ascii="Times New Roman" w:hAnsi="Times New Roman" w:cs="Times New Roman"/>
          <w:color w:val="000000" w:themeColor="text1"/>
        </w:rPr>
        <w:t xml:space="preserve"> control program through</w:t>
      </w:r>
      <w:r w:rsidR="00A422D9" w:rsidRPr="00A422D9">
        <w:rPr>
          <w:rFonts w:ascii="Times New Roman" w:hAnsi="Times New Roman" w:cs="Times New Roman"/>
          <w:color w:val="000000" w:themeColor="text1"/>
        </w:rPr>
        <w:t xml:space="preserve"> the creation of a new facility for the production of sterile </w:t>
      </w:r>
      <w:r w:rsidR="00A422D9" w:rsidRPr="00A422D9">
        <w:rPr>
          <w:rFonts w:ascii="Times New Roman" w:hAnsi="Times New Roman" w:cs="Times New Roman"/>
          <w:i/>
          <w:color w:val="000000" w:themeColor="text1"/>
        </w:rPr>
        <w:t>ceratit</w:t>
      </w:r>
      <w:r w:rsidR="00596A53">
        <w:rPr>
          <w:rFonts w:ascii="Times New Roman" w:hAnsi="Times New Roman" w:cs="Times New Roman"/>
          <w:i/>
          <w:color w:val="000000" w:themeColor="text1"/>
        </w:rPr>
        <w:t>is</w:t>
      </w:r>
      <w:r w:rsidR="00A422D9" w:rsidRPr="00A422D9">
        <w:rPr>
          <w:rFonts w:ascii="Times New Roman" w:hAnsi="Times New Roman" w:cs="Times New Roman"/>
          <w:color w:val="000000" w:themeColor="text1"/>
        </w:rPr>
        <w:t xml:space="preserve"> males and the expansion of the areas covered by releases of sterile males;</w:t>
      </w:r>
      <w:r w:rsidR="005B2F75" w:rsidRPr="00BC7BB5">
        <w:rPr>
          <w:rFonts w:ascii="Times New Roman" w:hAnsi="Times New Roman" w:cs="Times New Roman"/>
          <w:color w:val="000000" w:themeColor="text1"/>
        </w:rPr>
        <w:t xml:space="preserve"> </w:t>
      </w:r>
    </w:p>
    <w:p w14:paraId="32CC0BBB" w14:textId="0A068A16" w:rsidR="00CF35D3" w:rsidRPr="00BC7BB5" w:rsidRDefault="00CF35D3" w:rsidP="00F561E8">
      <w:pPr>
        <w:pStyle w:val="NoSpacing"/>
        <w:numPr>
          <w:ilvl w:val="0"/>
          <w:numId w:val="23"/>
        </w:numPr>
        <w:ind w:left="1080"/>
        <w:jc w:val="both"/>
        <w:rPr>
          <w:rFonts w:ascii="Times New Roman" w:hAnsi="Times New Roman" w:cs="Times New Roman"/>
        </w:rPr>
      </w:pPr>
      <w:r w:rsidRPr="00BC7BB5">
        <w:rPr>
          <w:rFonts w:ascii="Times New Roman" w:hAnsi="Times New Roman" w:cs="Times New Roman"/>
          <w:i/>
        </w:rPr>
        <w:t>Promoting quality standards and certification systems.</w:t>
      </w:r>
      <w:r w:rsidRPr="00BC7BB5">
        <w:rPr>
          <w:rFonts w:ascii="Times New Roman" w:hAnsi="Times New Roman" w:cs="Times New Roman"/>
        </w:rPr>
        <w:t xml:space="preserve"> </w:t>
      </w:r>
      <w:r w:rsidR="005D5B3B" w:rsidRPr="00BC7BB5">
        <w:rPr>
          <w:rFonts w:ascii="Times New Roman" w:hAnsi="Times New Roman" w:cs="Times New Roman"/>
          <w:color w:val="000000" w:themeColor="text1"/>
        </w:rPr>
        <w:t>The Program</w:t>
      </w:r>
      <w:r w:rsidR="00C37AD2" w:rsidRPr="00BC7BB5">
        <w:rPr>
          <w:rFonts w:ascii="Times New Roman" w:hAnsi="Times New Roman" w:cs="Times New Roman"/>
          <w:color w:val="000000" w:themeColor="text1"/>
        </w:rPr>
        <w:t xml:space="preserve"> would provide technical</w:t>
      </w:r>
      <w:r w:rsidR="00992EDA" w:rsidRPr="00BC7BB5">
        <w:rPr>
          <w:rFonts w:ascii="Times New Roman" w:hAnsi="Times New Roman" w:cs="Times New Roman"/>
          <w:color w:val="000000" w:themeColor="text1"/>
        </w:rPr>
        <w:t xml:space="preserve"> </w:t>
      </w:r>
      <w:r w:rsidR="005D5B3B" w:rsidRPr="00BC7BB5">
        <w:rPr>
          <w:rFonts w:ascii="Times New Roman" w:hAnsi="Times New Roman" w:cs="Times New Roman"/>
          <w:color w:val="000000" w:themeColor="text1"/>
        </w:rPr>
        <w:t xml:space="preserve">support to: (i) </w:t>
      </w:r>
      <w:r w:rsidR="00992EDA" w:rsidRPr="00BC7BB5">
        <w:rPr>
          <w:rFonts w:ascii="Times New Roman" w:hAnsi="Times New Roman" w:cs="Times New Roman"/>
          <w:color w:val="000000" w:themeColor="text1"/>
        </w:rPr>
        <w:t xml:space="preserve">certify new products under </w:t>
      </w:r>
      <w:r w:rsidR="00992EDA" w:rsidRPr="00BC7BB5">
        <w:rPr>
          <w:rFonts w:ascii="Times New Roman" w:hAnsi="Times New Roman" w:cs="Times New Roman"/>
          <w:sz w:val="21"/>
          <w:szCs w:val="21"/>
        </w:rPr>
        <w:t xml:space="preserve">Distinctive Signs of Origin and Quality </w:t>
      </w:r>
      <w:r w:rsidR="005D5B3B" w:rsidRPr="00BC7BB5">
        <w:rPr>
          <w:rFonts w:ascii="Times New Roman" w:hAnsi="Times New Roman" w:cs="Times New Roman"/>
          <w:color w:val="000000" w:themeColor="text1"/>
        </w:rPr>
        <w:t>schemes</w:t>
      </w:r>
      <w:r w:rsidR="00992EDA" w:rsidRPr="00BC7BB5">
        <w:rPr>
          <w:rFonts w:ascii="Times New Roman" w:hAnsi="Times New Roman" w:cs="Times New Roman"/>
          <w:color w:val="000000" w:themeColor="text1"/>
        </w:rPr>
        <w:t xml:space="preserve"> (SDOQ</w:t>
      </w:r>
      <w:r w:rsidR="00307845">
        <w:rPr>
          <w:rFonts w:ascii="Times New Roman" w:hAnsi="Times New Roman" w:cs="Times New Roman"/>
          <w:color w:val="000000" w:themeColor="text1"/>
        </w:rPr>
        <w:fldChar w:fldCharType="begin"/>
      </w:r>
      <w:r w:rsidR="00307845">
        <w:instrText xml:space="preserve"> XE "</w:instrText>
      </w:r>
      <w:r w:rsidR="00307845" w:rsidRPr="00FE6D7B">
        <w:rPr>
          <w:rFonts w:ascii="Times New Roman" w:hAnsi="Times New Roman" w:cs="Times New Roman"/>
          <w:color w:val="000000" w:themeColor="text1"/>
        </w:rPr>
        <w:instrText>SDOQ:</w:instrText>
      </w:r>
      <w:r w:rsidR="00307845" w:rsidRPr="00FE6D7B">
        <w:instrText>Distinctive Signs of Origin and Quality</w:instrText>
      </w:r>
      <w:r w:rsidR="00307845">
        <w:instrText xml:space="preserve">" </w:instrText>
      </w:r>
      <w:r w:rsidR="00307845">
        <w:rPr>
          <w:rFonts w:ascii="Times New Roman" w:hAnsi="Times New Roman" w:cs="Times New Roman"/>
          <w:color w:val="000000" w:themeColor="text1"/>
        </w:rPr>
        <w:fldChar w:fldCharType="end"/>
      </w:r>
      <w:r w:rsidR="00992EDA" w:rsidRPr="00BC7BB5">
        <w:rPr>
          <w:rFonts w:ascii="Times New Roman" w:hAnsi="Times New Roman" w:cs="Times New Roman"/>
          <w:color w:val="000000" w:themeColor="text1"/>
        </w:rPr>
        <w:t xml:space="preserve">); (ii) help </w:t>
      </w:r>
      <w:r w:rsidR="005D5B3B" w:rsidRPr="00BC7BB5">
        <w:rPr>
          <w:rFonts w:ascii="Times New Roman" w:hAnsi="Times New Roman" w:cs="Times New Roman"/>
          <w:color w:val="000000" w:themeColor="text1"/>
        </w:rPr>
        <w:t xml:space="preserve">producers and producer groups adopt good practices required to obtain organic certification; and (iii) </w:t>
      </w:r>
      <w:r w:rsidR="00A422D9">
        <w:rPr>
          <w:rFonts w:ascii="Times New Roman" w:hAnsi="Times New Roman" w:cs="Times New Roman"/>
          <w:color w:val="000000" w:themeColor="text1"/>
        </w:rPr>
        <w:t>strengthen the</w:t>
      </w:r>
      <w:r w:rsidR="005D5B3B" w:rsidRPr="00BC7BB5">
        <w:rPr>
          <w:rFonts w:ascii="Times New Roman" w:hAnsi="Times New Roman" w:cs="Times New Roman"/>
          <w:color w:val="000000" w:themeColor="text1"/>
        </w:rPr>
        <w:t xml:space="preserve"> capacity </w:t>
      </w:r>
      <w:r w:rsidR="00A422D9">
        <w:rPr>
          <w:rFonts w:ascii="Times New Roman" w:hAnsi="Times New Roman" w:cs="Times New Roman"/>
          <w:color w:val="000000" w:themeColor="text1"/>
        </w:rPr>
        <w:t xml:space="preserve">of producers </w:t>
      </w:r>
      <w:r w:rsidR="005D5B3B" w:rsidRPr="00BC7BB5">
        <w:rPr>
          <w:rFonts w:ascii="Times New Roman" w:hAnsi="Times New Roman" w:cs="Times New Roman"/>
          <w:color w:val="000000" w:themeColor="text1"/>
        </w:rPr>
        <w:t xml:space="preserve">of organic and </w:t>
      </w:r>
      <w:r w:rsidR="00992EDA" w:rsidRPr="00BC7BB5">
        <w:rPr>
          <w:rFonts w:ascii="Times New Roman" w:hAnsi="Times New Roman" w:cs="Times New Roman"/>
          <w:color w:val="000000" w:themeColor="text1"/>
        </w:rPr>
        <w:t>SDOQ</w:t>
      </w:r>
      <w:r w:rsidR="005D5B3B" w:rsidRPr="00BC7BB5">
        <w:rPr>
          <w:rFonts w:ascii="Times New Roman" w:hAnsi="Times New Roman" w:cs="Times New Roman"/>
          <w:color w:val="000000" w:themeColor="text1"/>
        </w:rPr>
        <w:t xml:space="preserve">-certified </w:t>
      </w:r>
      <w:r w:rsidR="00A422D9" w:rsidRPr="00BC7BB5">
        <w:rPr>
          <w:rFonts w:ascii="Times New Roman" w:hAnsi="Times New Roman" w:cs="Times New Roman"/>
          <w:color w:val="000000" w:themeColor="text1"/>
        </w:rPr>
        <w:t>produc</w:t>
      </w:r>
      <w:r w:rsidR="00A422D9">
        <w:rPr>
          <w:rFonts w:ascii="Times New Roman" w:hAnsi="Times New Roman" w:cs="Times New Roman"/>
          <w:color w:val="000000" w:themeColor="text1"/>
        </w:rPr>
        <w:t>ts</w:t>
      </w:r>
      <w:r w:rsidR="00A422D9" w:rsidRPr="00BC7BB5">
        <w:rPr>
          <w:rFonts w:ascii="Times New Roman" w:hAnsi="Times New Roman" w:cs="Times New Roman"/>
          <w:color w:val="000000" w:themeColor="text1"/>
        </w:rPr>
        <w:t xml:space="preserve"> </w:t>
      </w:r>
      <w:r w:rsidR="005D5B3B" w:rsidRPr="00BC7BB5">
        <w:rPr>
          <w:rFonts w:ascii="Times New Roman" w:hAnsi="Times New Roman" w:cs="Times New Roman"/>
          <w:color w:val="000000" w:themeColor="text1"/>
        </w:rPr>
        <w:t>to implement good hygiene practices</w:t>
      </w:r>
      <w:r w:rsidR="00A422D9">
        <w:rPr>
          <w:rFonts w:ascii="Times New Roman" w:hAnsi="Times New Roman" w:cs="Times New Roman"/>
          <w:color w:val="000000" w:themeColor="text1"/>
        </w:rPr>
        <w:t>,</w:t>
      </w:r>
      <w:r w:rsidR="005D5B3B" w:rsidRPr="00BC7BB5">
        <w:rPr>
          <w:rFonts w:ascii="Times New Roman" w:hAnsi="Times New Roman" w:cs="Times New Roman"/>
          <w:color w:val="000000" w:themeColor="text1"/>
        </w:rPr>
        <w:t xml:space="preserve"> as well as value</w:t>
      </w:r>
      <w:r w:rsidR="00C37AD2" w:rsidRPr="00BC7BB5">
        <w:rPr>
          <w:rFonts w:ascii="Times New Roman" w:hAnsi="Times New Roman" w:cs="Times New Roman"/>
          <w:color w:val="000000" w:themeColor="text1"/>
        </w:rPr>
        <w:t xml:space="preserve"> adding techniq</w:t>
      </w:r>
      <w:r w:rsidR="007119BF">
        <w:rPr>
          <w:rFonts w:ascii="Times New Roman" w:hAnsi="Times New Roman" w:cs="Times New Roman"/>
          <w:color w:val="000000" w:themeColor="text1"/>
        </w:rPr>
        <w:t xml:space="preserve">ues.  In addition, the </w:t>
      </w:r>
      <w:r w:rsidR="00C37AD2" w:rsidRPr="00BC7BB5">
        <w:rPr>
          <w:rFonts w:ascii="Times New Roman" w:hAnsi="Times New Roman" w:cs="Times New Roman"/>
          <w:color w:val="000000" w:themeColor="text1"/>
        </w:rPr>
        <w:t>P</w:t>
      </w:r>
      <w:r w:rsidR="007119BF">
        <w:rPr>
          <w:rFonts w:ascii="Times New Roman" w:hAnsi="Times New Roman" w:cs="Times New Roman"/>
          <w:color w:val="000000" w:themeColor="text1"/>
        </w:rPr>
        <w:t>rogram would</w:t>
      </w:r>
      <w:r w:rsidR="00C37AD2" w:rsidRPr="00BC7BB5">
        <w:rPr>
          <w:rFonts w:ascii="Times New Roman" w:hAnsi="Times New Roman" w:cs="Times New Roman"/>
          <w:color w:val="000000" w:themeColor="text1"/>
        </w:rPr>
        <w:t xml:space="preserve"> </w:t>
      </w:r>
      <w:r w:rsidR="005D51F8">
        <w:rPr>
          <w:rFonts w:ascii="Times New Roman" w:hAnsi="Times New Roman" w:cs="Times New Roman"/>
          <w:color w:val="000000" w:themeColor="text1"/>
        </w:rPr>
        <w:t>establish</w:t>
      </w:r>
      <w:r w:rsidR="005D5B3B" w:rsidRPr="00BC7BB5">
        <w:rPr>
          <w:rFonts w:ascii="Times New Roman" w:hAnsi="Times New Roman" w:cs="Times New Roman"/>
          <w:color w:val="000000" w:themeColor="text1"/>
        </w:rPr>
        <w:t xml:space="preserve"> FDA financial support to </w:t>
      </w:r>
      <w:r w:rsidR="005D51F8">
        <w:rPr>
          <w:rFonts w:ascii="Times New Roman" w:hAnsi="Times New Roman" w:cs="Times New Roman"/>
          <w:color w:val="000000" w:themeColor="text1"/>
        </w:rPr>
        <w:t>producers for the certification costs of</w:t>
      </w:r>
      <w:r w:rsidR="005D5B3B" w:rsidRPr="00BC7BB5">
        <w:rPr>
          <w:rFonts w:ascii="Times New Roman" w:hAnsi="Times New Roman" w:cs="Times New Roman"/>
          <w:color w:val="000000" w:themeColor="text1"/>
        </w:rPr>
        <w:t xml:space="preserve"> organic </w:t>
      </w:r>
      <w:r w:rsidR="005D51F8">
        <w:rPr>
          <w:rFonts w:ascii="Times New Roman" w:hAnsi="Times New Roman" w:cs="Times New Roman"/>
          <w:color w:val="000000" w:themeColor="text1"/>
        </w:rPr>
        <w:t xml:space="preserve">and SDOQ </w:t>
      </w:r>
      <w:r w:rsidR="005D5B3B" w:rsidRPr="00BC7BB5">
        <w:rPr>
          <w:rFonts w:ascii="Times New Roman" w:hAnsi="Times New Roman" w:cs="Times New Roman"/>
          <w:color w:val="000000" w:themeColor="text1"/>
        </w:rPr>
        <w:t xml:space="preserve">products. </w:t>
      </w:r>
      <w:r w:rsidR="00C37AD2" w:rsidRPr="00BC7BB5">
        <w:rPr>
          <w:rFonts w:ascii="Times New Roman" w:hAnsi="Times New Roman" w:cs="Times New Roman"/>
          <w:color w:val="000000" w:themeColor="text1"/>
        </w:rPr>
        <w:t>Finally</w:t>
      </w:r>
      <w:r w:rsidR="001A0E95" w:rsidRPr="00BC7BB5">
        <w:rPr>
          <w:rFonts w:ascii="Times New Roman" w:hAnsi="Times New Roman" w:cs="Times New Roman"/>
          <w:color w:val="000000" w:themeColor="text1"/>
        </w:rPr>
        <w:t xml:space="preserve">, the Program would support awareness raising campaigns to raise the knowledge of </w:t>
      </w:r>
      <w:r w:rsidR="00C37AD2" w:rsidRPr="00BC7BB5">
        <w:rPr>
          <w:rFonts w:ascii="Times New Roman" w:hAnsi="Times New Roman" w:cs="Times New Roman"/>
          <w:color w:val="000000" w:themeColor="text1"/>
        </w:rPr>
        <w:t>producers and consumers about quality standards and</w:t>
      </w:r>
      <w:r w:rsidR="001A0E95" w:rsidRPr="00BC7BB5">
        <w:rPr>
          <w:rFonts w:ascii="Times New Roman" w:hAnsi="Times New Roman" w:cs="Times New Roman"/>
          <w:color w:val="000000" w:themeColor="text1"/>
        </w:rPr>
        <w:t xml:space="preserve"> organic an</w:t>
      </w:r>
      <w:r w:rsidR="00C37AD2" w:rsidRPr="00BC7BB5">
        <w:rPr>
          <w:rFonts w:ascii="Times New Roman" w:hAnsi="Times New Roman" w:cs="Times New Roman"/>
          <w:color w:val="000000" w:themeColor="text1"/>
        </w:rPr>
        <w:t>d SDOQ certification systems</w:t>
      </w:r>
      <w:r w:rsidR="00A422D9">
        <w:rPr>
          <w:rFonts w:ascii="Times New Roman" w:hAnsi="Times New Roman" w:cs="Times New Roman"/>
          <w:color w:val="000000" w:themeColor="text1"/>
        </w:rPr>
        <w:t xml:space="preserve">, including </w:t>
      </w:r>
      <w:r w:rsidR="00596A53">
        <w:rPr>
          <w:rFonts w:ascii="Times New Roman" w:hAnsi="Times New Roman" w:cs="Times New Roman"/>
          <w:color w:val="000000" w:themeColor="text1"/>
        </w:rPr>
        <w:t xml:space="preserve">for </w:t>
      </w:r>
      <w:r w:rsidR="00A422D9">
        <w:rPr>
          <w:rFonts w:ascii="Times New Roman" w:hAnsi="Times New Roman" w:cs="Times New Roman"/>
          <w:color w:val="000000" w:themeColor="text1"/>
        </w:rPr>
        <w:t>olive oil</w:t>
      </w:r>
      <w:r w:rsidR="00F14D77" w:rsidRPr="00BC7BB5">
        <w:rPr>
          <w:rFonts w:ascii="Times New Roman" w:hAnsi="Times New Roman" w:cs="Times New Roman"/>
          <w:color w:val="000000" w:themeColor="text1"/>
        </w:rPr>
        <w:t>;</w:t>
      </w:r>
    </w:p>
    <w:p w14:paraId="3548A7A0" w14:textId="48D3062C" w:rsidR="00F07DE5" w:rsidRPr="00BC7BB5" w:rsidRDefault="000A1303" w:rsidP="00F561E8">
      <w:pPr>
        <w:pStyle w:val="NoSpacing"/>
        <w:numPr>
          <w:ilvl w:val="0"/>
          <w:numId w:val="23"/>
        </w:numPr>
        <w:ind w:left="1080"/>
        <w:jc w:val="both"/>
        <w:rPr>
          <w:rFonts w:ascii="Times New Roman" w:hAnsi="Times New Roman" w:cs="Times New Roman"/>
        </w:rPr>
      </w:pPr>
      <w:r w:rsidRPr="00BC7BB5">
        <w:rPr>
          <w:rFonts w:ascii="Times New Roman" w:hAnsi="Times New Roman" w:cs="Times New Roman"/>
          <w:bCs/>
          <w:i/>
          <w:color w:val="000000" w:themeColor="text1"/>
        </w:rPr>
        <w:t>Strengthening business development and technical support services for the agri-food sector.</w:t>
      </w:r>
      <w:r w:rsidR="00930DDC">
        <w:rPr>
          <w:rFonts w:ascii="Times New Roman" w:hAnsi="Times New Roman" w:cs="Times New Roman"/>
          <w:bCs/>
          <w:color w:val="000000" w:themeColor="text1"/>
        </w:rPr>
        <w:t xml:space="preserve"> The</w:t>
      </w:r>
      <w:r w:rsidRPr="00BC7BB5">
        <w:rPr>
          <w:rFonts w:ascii="Times New Roman" w:hAnsi="Times New Roman" w:cs="Times New Roman"/>
          <w:bCs/>
          <w:color w:val="000000" w:themeColor="text1"/>
        </w:rPr>
        <w:t xml:space="preserve"> Program would </w:t>
      </w:r>
      <w:r w:rsidR="00C3242E" w:rsidRPr="00BC7BB5">
        <w:rPr>
          <w:rFonts w:ascii="Times New Roman" w:hAnsi="Times New Roman" w:cs="Times New Roman"/>
          <w:bCs/>
          <w:color w:val="000000" w:themeColor="text1"/>
        </w:rPr>
        <w:t>finance the design, establishment and operation</w:t>
      </w:r>
      <w:r w:rsidRPr="00BC7BB5">
        <w:rPr>
          <w:rFonts w:ascii="Times New Roman" w:hAnsi="Times New Roman" w:cs="Times New Roman"/>
          <w:bCs/>
          <w:color w:val="000000" w:themeColor="text1"/>
        </w:rPr>
        <w:t xml:space="preserve"> of </w:t>
      </w:r>
      <w:r w:rsidR="00783730" w:rsidRPr="00BC7BB5">
        <w:rPr>
          <w:rFonts w:ascii="Times New Roman" w:hAnsi="Times New Roman" w:cs="Times New Roman"/>
          <w:bCs/>
          <w:color w:val="000000" w:themeColor="text1"/>
        </w:rPr>
        <w:t xml:space="preserve">two </w:t>
      </w:r>
      <w:r w:rsidRPr="00BC7BB5">
        <w:rPr>
          <w:rFonts w:ascii="Times New Roman" w:hAnsi="Times New Roman" w:cs="Times New Roman"/>
          <w:bCs/>
          <w:color w:val="000000" w:themeColor="text1"/>
        </w:rPr>
        <w:t>Agri-Food Innovation Centers (</w:t>
      </w:r>
      <w:r w:rsidRPr="00BC7BB5">
        <w:rPr>
          <w:rFonts w:ascii="Times New Roman" w:hAnsi="Times New Roman" w:cs="Times New Roman"/>
          <w:bCs/>
          <w:i/>
          <w:color w:val="000000" w:themeColor="text1"/>
        </w:rPr>
        <w:t>Centres d’Innovation Agro-Alimentaire</w:t>
      </w:r>
      <w:r w:rsidRPr="00BC7BB5">
        <w:rPr>
          <w:rFonts w:ascii="Times New Roman" w:hAnsi="Times New Roman" w:cs="Times New Roman"/>
          <w:bCs/>
          <w:color w:val="000000" w:themeColor="text1"/>
        </w:rPr>
        <w:t>, CIA</w:t>
      </w:r>
      <w:r w:rsidR="00730643" w:rsidRPr="00BC7BB5">
        <w:rPr>
          <w:rFonts w:ascii="Times New Roman" w:hAnsi="Times New Roman" w:cs="Times New Roman"/>
          <w:bCs/>
          <w:color w:val="000000" w:themeColor="text1"/>
        </w:rPr>
        <w:fldChar w:fldCharType="begin"/>
      </w:r>
      <w:r w:rsidR="00730643" w:rsidRPr="00BC7BB5">
        <w:instrText xml:space="preserve"> XE "</w:instrText>
      </w:r>
      <w:r w:rsidR="00730643" w:rsidRPr="00BC7BB5">
        <w:rPr>
          <w:rFonts w:ascii="Times New Roman" w:hAnsi="Times New Roman" w:cs="Times New Roman"/>
          <w:bCs/>
          <w:color w:val="000000" w:themeColor="text1"/>
        </w:rPr>
        <w:instrText>CIAA:</w:instrText>
      </w:r>
      <w:r w:rsidR="00730643" w:rsidRPr="00BC7BB5">
        <w:instrText xml:space="preserve">Centres d’Innovation Agro-Alimentaire" </w:instrText>
      </w:r>
      <w:r w:rsidR="00730643" w:rsidRPr="00BC7BB5">
        <w:rPr>
          <w:rFonts w:ascii="Times New Roman" w:hAnsi="Times New Roman" w:cs="Times New Roman"/>
          <w:bCs/>
          <w:color w:val="000000" w:themeColor="text1"/>
        </w:rPr>
        <w:fldChar w:fldCharType="end"/>
      </w:r>
      <w:r w:rsidRPr="00BC7BB5">
        <w:rPr>
          <w:rFonts w:ascii="Times New Roman" w:hAnsi="Times New Roman" w:cs="Times New Roman"/>
          <w:bCs/>
          <w:color w:val="000000" w:themeColor="text1"/>
        </w:rPr>
        <w:t>)</w:t>
      </w:r>
      <w:r w:rsidR="00807DB1" w:rsidRPr="00BC7BB5">
        <w:rPr>
          <w:rFonts w:ascii="Times New Roman" w:hAnsi="Times New Roman" w:cs="Times New Roman"/>
          <w:bCs/>
          <w:color w:val="000000" w:themeColor="text1"/>
        </w:rPr>
        <w:t xml:space="preserve"> providing a range </w:t>
      </w:r>
      <w:r w:rsidR="00F67B4F" w:rsidRPr="00BC7BB5">
        <w:rPr>
          <w:rFonts w:ascii="Times New Roman" w:hAnsi="Times New Roman" w:cs="Times New Roman"/>
          <w:bCs/>
          <w:color w:val="000000" w:themeColor="text1"/>
        </w:rPr>
        <w:t xml:space="preserve">of </w:t>
      </w:r>
      <w:r w:rsidR="00807DB1" w:rsidRPr="00BC7BB5">
        <w:rPr>
          <w:rFonts w:ascii="Times New Roman" w:hAnsi="Times New Roman" w:cs="Times New Roman"/>
          <w:bCs/>
          <w:color w:val="000000" w:themeColor="text1"/>
        </w:rPr>
        <w:t>technical</w:t>
      </w:r>
      <w:r w:rsidR="00346AEE" w:rsidRPr="00BC7BB5">
        <w:rPr>
          <w:rFonts w:ascii="Times New Roman" w:hAnsi="Times New Roman" w:cs="Times New Roman"/>
          <w:bCs/>
          <w:color w:val="000000" w:themeColor="text1"/>
        </w:rPr>
        <w:t>, training</w:t>
      </w:r>
      <w:r w:rsidR="00807DB1" w:rsidRPr="00BC7BB5">
        <w:rPr>
          <w:rFonts w:ascii="Times New Roman" w:hAnsi="Times New Roman" w:cs="Times New Roman"/>
          <w:bCs/>
          <w:color w:val="000000" w:themeColor="text1"/>
        </w:rPr>
        <w:t xml:space="preserve"> and business development services (including incubation</w:t>
      </w:r>
      <w:r w:rsidR="00131FF9" w:rsidRPr="00BC7BB5">
        <w:rPr>
          <w:rFonts w:ascii="Times New Roman" w:hAnsi="Times New Roman" w:cs="Times New Roman"/>
          <w:bCs/>
          <w:color w:val="000000" w:themeColor="text1"/>
        </w:rPr>
        <w:t xml:space="preserve"> services</w:t>
      </w:r>
      <w:r w:rsidR="00807DB1" w:rsidRPr="00BC7BB5">
        <w:rPr>
          <w:rFonts w:ascii="Times New Roman" w:hAnsi="Times New Roman" w:cs="Times New Roman"/>
          <w:bCs/>
          <w:color w:val="000000" w:themeColor="text1"/>
        </w:rPr>
        <w:t>)</w:t>
      </w:r>
      <w:r w:rsidR="00B641FA" w:rsidRPr="00BC7BB5">
        <w:rPr>
          <w:rFonts w:ascii="Times New Roman" w:hAnsi="Times New Roman" w:cs="Times New Roman"/>
          <w:bCs/>
          <w:color w:val="000000" w:themeColor="text1"/>
        </w:rPr>
        <w:t xml:space="preserve"> to </w:t>
      </w:r>
      <w:r w:rsidR="00B641FA" w:rsidRPr="00BC7BB5">
        <w:rPr>
          <w:rFonts w:ascii="Times New Roman" w:hAnsi="Times New Roman" w:cs="Times New Roman"/>
          <w:color w:val="000000" w:themeColor="text1"/>
        </w:rPr>
        <w:t>agribusiness SMEs, agribusiness start-ups and agricultural producer</w:t>
      </w:r>
      <w:r w:rsidR="00026402" w:rsidRPr="00BC7BB5">
        <w:rPr>
          <w:rFonts w:ascii="Times New Roman" w:hAnsi="Times New Roman" w:cs="Times New Roman"/>
          <w:color w:val="000000" w:themeColor="text1"/>
        </w:rPr>
        <w:t xml:space="preserve"> organization</w:t>
      </w:r>
      <w:r w:rsidR="00B641FA" w:rsidRPr="00BC7BB5">
        <w:rPr>
          <w:rFonts w:ascii="Times New Roman" w:hAnsi="Times New Roman" w:cs="Times New Roman"/>
          <w:color w:val="000000" w:themeColor="text1"/>
        </w:rPr>
        <w:t>s seeking to move towards first processing or value-addition</w:t>
      </w:r>
      <w:r w:rsidR="00F07DE5" w:rsidRPr="00BC7BB5">
        <w:rPr>
          <w:rFonts w:ascii="Times New Roman" w:hAnsi="Times New Roman" w:cs="Times New Roman"/>
          <w:bCs/>
          <w:color w:val="000000" w:themeColor="text1"/>
        </w:rPr>
        <w:t>;</w:t>
      </w:r>
    </w:p>
    <w:p w14:paraId="479028A7" w14:textId="7AD512DB" w:rsidR="00E71CEE" w:rsidRPr="00BC7BB5" w:rsidRDefault="00BF21EE" w:rsidP="00F561E8">
      <w:pPr>
        <w:pStyle w:val="NoSpacing"/>
        <w:numPr>
          <w:ilvl w:val="0"/>
          <w:numId w:val="23"/>
        </w:numPr>
        <w:ind w:left="1080"/>
        <w:jc w:val="both"/>
        <w:rPr>
          <w:rFonts w:ascii="Times New Roman" w:hAnsi="Times New Roman" w:cs="Times New Roman"/>
        </w:rPr>
      </w:pPr>
      <w:r w:rsidRPr="00BC7BB5">
        <w:rPr>
          <w:rFonts w:ascii="Times New Roman" w:hAnsi="Times New Roman" w:cs="Times New Roman"/>
          <w:bCs/>
          <w:i/>
          <w:color w:val="000000" w:themeColor="text1"/>
        </w:rPr>
        <w:t>Financing innovation</w:t>
      </w:r>
      <w:r w:rsidRPr="00BC7BB5">
        <w:rPr>
          <w:rFonts w:ascii="Times New Roman" w:hAnsi="Times New Roman" w:cs="Times New Roman"/>
          <w:bCs/>
          <w:color w:val="000000" w:themeColor="text1"/>
        </w:rPr>
        <w:t>. Complementing t</w:t>
      </w:r>
      <w:r w:rsidR="00930DDC">
        <w:rPr>
          <w:rFonts w:ascii="Times New Roman" w:hAnsi="Times New Roman" w:cs="Times New Roman"/>
          <w:bCs/>
          <w:color w:val="000000" w:themeColor="text1"/>
        </w:rPr>
        <w:t>he development of the CIAs, the</w:t>
      </w:r>
      <w:r w:rsidR="00603B13" w:rsidRPr="00BC7BB5">
        <w:rPr>
          <w:rFonts w:ascii="Times New Roman" w:hAnsi="Times New Roman" w:cs="Times New Roman"/>
          <w:bCs/>
          <w:color w:val="000000" w:themeColor="text1"/>
        </w:rPr>
        <w:t xml:space="preserve"> </w:t>
      </w:r>
      <w:r w:rsidRPr="00BC7BB5">
        <w:rPr>
          <w:rFonts w:ascii="Times New Roman" w:hAnsi="Times New Roman" w:cs="Times New Roman"/>
          <w:bCs/>
          <w:color w:val="000000" w:themeColor="text1"/>
        </w:rPr>
        <w:t xml:space="preserve">Program would </w:t>
      </w:r>
      <w:r w:rsidR="001A66F3" w:rsidRPr="00BC7BB5">
        <w:rPr>
          <w:rFonts w:ascii="Times New Roman" w:hAnsi="Times New Roman" w:cs="Times New Roman"/>
          <w:bCs/>
          <w:color w:val="000000" w:themeColor="text1"/>
        </w:rPr>
        <w:t>establish and finance</w:t>
      </w:r>
      <w:r w:rsidRPr="00BC7BB5">
        <w:rPr>
          <w:rFonts w:ascii="Times New Roman" w:hAnsi="Times New Roman" w:cs="Times New Roman"/>
          <w:bCs/>
          <w:color w:val="000000" w:themeColor="text1"/>
        </w:rPr>
        <w:t xml:space="preserve"> a </w:t>
      </w:r>
      <w:r w:rsidR="00346AEE" w:rsidRPr="00BC7BB5">
        <w:rPr>
          <w:rFonts w:ascii="Times New Roman" w:hAnsi="Times New Roman" w:cs="Times New Roman"/>
          <w:bCs/>
          <w:color w:val="000000" w:themeColor="text1"/>
        </w:rPr>
        <w:t xml:space="preserve">competitive innovation </w:t>
      </w:r>
      <w:r w:rsidRPr="00BC7BB5">
        <w:rPr>
          <w:rFonts w:ascii="Times New Roman" w:hAnsi="Times New Roman" w:cs="Times New Roman"/>
          <w:bCs/>
          <w:color w:val="000000" w:themeColor="text1"/>
        </w:rPr>
        <w:t xml:space="preserve">grant </w:t>
      </w:r>
      <w:r w:rsidR="00346AEE" w:rsidRPr="00BC7BB5">
        <w:rPr>
          <w:rFonts w:ascii="Times New Roman" w:hAnsi="Times New Roman" w:cs="Times New Roman"/>
          <w:bCs/>
          <w:color w:val="000000" w:themeColor="text1"/>
        </w:rPr>
        <w:t xml:space="preserve">mechanism </w:t>
      </w:r>
      <w:r w:rsidR="00A422D9">
        <w:rPr>
          <w:rFonts w:ascii="Times New Roman" w:hAnsi="Times New Roman" w:cs="Times New Roman"/>
          <w:bCs/>
          <w:color w:val="000000" w:themeColor="text1"/>
        </w:rPr>
        <w:t>in support of</w:t>
      </w:r>
      <w:r w:rsidRPr="00BC7BB5">
        <w:rPr>
          <w:rFonts w:ascii="Times New Roman" w:hAnsi="Times New Roman" w:cs="Times New Roman"/>
          <w:bCs/>
          <w:color w:val="000000" w:themeColor="text1"/>
        </w:rPr>
        <w:t xml:space="preserve"> innovation by SMEs </w:t>
      </w:r>
      <w:r w:rsidR="00C37AD2" w:rsidRPr="00BC7BB5">
        <w:rPr>
          <w:rFonts w:ascii="Times New Roman" w:hAnsi="Times New Roman" w:cs="Times New Roman"/>
          <w:bCs/>
          <w:color w:val="000000" w:themeColor="text1"/>
        </w:rPr>
        <w:t xml:space="preserve">and producer organizations </w:t>
      </w:r>
      <w:r w:rsidR="00B641FA" w:rsidRPr="00BC7BB5">
        <w:rPr>
          <w:rFonts w:ascii="Times New Roman" w:hAnsi="Times New Roman" w:cs="Times New Roman"/>
          <w:bCs/>
          <w:color w:val="000000" w:themeColor="text1"/>
        </w:rPr>
        <w:t xml:space="preserve">targeting the development and market introduction of new </w:t>
      </w:r>
      <w:r w:rsidR="00026402" w:rsidRPr="00BC7BB5">
        <w:rPr>
          <w:rFonts w:ascii="Times New Roman" w:hAnsi="Times New Roman" w:cs="Times New Roman"/>
          <w:bCs/>
          <w:color w:val="000000" w:themeColor="text1"/>
        </w:rPr>
        <w:t>agri-food products, services or</w:t>
      </w:r>
      <w:r w:rsidR="00B641FA" w:rsidRPr="00BC7BB5">
        <w:rPr>
          <w:rFonts w:ascii="Times New Roman" w:hAnsi="Times New Roman" w:cs="Times New Roman"/>
          <w:bCs/>
          <w:color w:val="000000" w:themeColor="text1"/>
        </w:rPr>
        <w:t xml:space="preserve"> technologies</w:t>
      </w:r>
      <w:r w:rsidR="00346AEE" w:rsidRPr="00BC7BB5">
        <w:rPr>
          <w:rFonts w:ascii="Times New Roman" w:hAnsi="Times New Roman" w:cs="Times New Roman"/>
          <w:bCs/>
          <w:color w:val="000000" w:themeColor="text1"/>
        </w:rPr>
        <w:t>.</w:t>
      </w:r>
    </w:p>
    <w:p w14:paraId="012067D4" w14:textId="7F0796AE" w:rsidR="00F76045" w:rsidRPr="00BC7BB5" w:rsidRDefault="00F76045" w:rsidP="00DF71CA">
      <w:pPr>
        <w:pStyle w:val="NoSpacing"/>
        <w:jc w:val="both"/>
        <w:rPr>
          <w:rFonts w:ascii="Times New Roman" w:hAnsi="Times New Roman" w:cs="Times New Roman"/>
        </w:rPr>
      </w:pPr>
    </w:p>
    <w:p w14:paraId="42235EF8" w14:textId="32D79BF2" w:rsidR="00CF70F9" w:rsidRPr="00BC7BB5" w:rsidRDefault="00CF70F9" w:rsidP="00B35A06">
      <w:pPr>
        <w:pStyle w:val="NoSpacing"/>
        <w:numPr>
          <w:ilvl w:val="0"/>
          <w:numId w:val="7"/>
        </w:numPr>
        <w:ind w:left="0" w:firstLine="0"/>
        <w:jc w:val="both"/>
        <w:rPr>
          <w:rFonts w:ascii="Times New Roman" w:hAnsi="Times New Roman" w:cs="Times New Roman"/>
        </w:rPr>
      </w:pPr>
      <w:r w:rsidRPr="00BC7BB5">
        <w:rPr>
          <w:rFonts w:ascii="Times New Roman" w:hAnsi="Times New Roman" w:cs="Times New Roman"/>
          <w:b/>
        </w:rPr>
        <w:t xml:space="preserve">In addition, the Program would support and finance improvements to implementing agencies’ capacity for </w:t>
      </w:r>
      <w:r w:rsidR="00A422D9">
        <w:rPr>
          <w:rFonts w:ascii="Times New Roman" w:hAnsi="Times New Roman" w:cs="Times New Roman"/>
          <w:b/>
        </w:rPr>
        <w:t>P</w:t>
      </w:r>
      <w:r w:rsidR="00C25F45">
        <w:rPr>
          <w:rFonts w:ascii="Times New Roman" w:hAnsi="Times New Roman" w:cs="Times New Roman"/>
          <w:b/>
        </w:rPr>
        <w:t xml:space="preserve">rogram </w:t>
      </w:r>
      <w:r w:rsidR="00A422D9">
        <w:rPr>
          <w:rFonts w:ascii="Times New Roman" w:hAnsi="Times New Roman" w:cs="Times New Roman"/>
          <w:b/>
        </w:rPr>
        <w:t>implementation</w:t>
      </w:r>
      <w:r w:rsidR="00A422D9" w:rsidRPr="00BC7BB5">
        <w:rPr>
          <w:rFonts w:ascii="Times New Roman" w:hAnsi="Times New Roman" w:cs="Times New Roman"/>
          <w:b/>
        </w:rPr>
        <w:t xml:space="preserve"> </w:t>
      </w:r>
      <w:r w:rsidR="00982E19" w:rsidRPr="00BC7BB5">
        <w:rPr>
          <w:rFonts w:ascii="Times New Roman" w:hAnsi="Times New Roman" w:cs="Times New Roman"/>
          <w:b/>
        </w:rPr>
        <w:t xml:space="preserve">and </w:t>
      </w:r>
      <w:r w:rsidRPr="00BC7BB5">
        <w:rPr>
          <w:rFonts w:ascii="Times New Roman" w:hAnsi="Times New Roman" w:cs="Times New Roman"/>
          <w:b/>
        </w:rPr>
        <w:t>monitoring and evaluation</w:t>
      </w:r>
      <w:r w:rsidR="00ED5974" w:rsidRPr="00BC7BB5">
        <w:rPr>
          <w:rFonts w:ascii="Times New Roman" w:hAnsi="Times New Roman" w:cs="Times New Roman"/>
          <w:b/>
        </w:rPr>
        <w:t xml:space="preserve"> (M&amp;E</w:t>
      </w:r>
      <w:r w:rsidR="0011149D">
        <w:rPr>
          <w:rFonts w:ascii="Times New Roman" w:hAnsi="Times New Roman" w:cs="Times New Roman"/>
          <w:b/>
        </w:rPr>
        <w:fldChar w:fldCharType="begin"/>
      </w:r>
      <w:r w:rsidR="0011149D">
        <w:instrText xml:space="preserve"> XE "</w:instrText>
      </w:r>
      <w:r w:rsidR="0011149D" w:rsidRPr="00593BBD">
        <w:rPr>
          <w:rFonts w:ascii="Times New Roman" w:hAnsi="Times New Roman" w:cs="Times New Roman"/>
          <w:b/>
        </w:rPr>
        <w:instrText>M&amp;E:</w:instrText>
      </w:r>
      <w:r w:rsidR="0011149D" w:rsidRPr="00593BBD">
        <w:instrText>monitoring and evaluation</w:instrText>
      </w:r>
      <w:r w:rsidR="0011149D">
        <w:instrText xml:space="preserve">" </w:instrText>
      </w:r>
      <w:r w:rsidR="0011149D">
        <w:rPr>
          <w:rFonts w:ascii="Times New Roman" w:hAnsi="Times New Roman" w:cs="Times New Roman"/>
          <w:b/>
        </w:rPr>
        <w:fldChar w:fldCharType="end"/>
      </w:r>
      <w:r w:rsidR="00C25F45">
        <w:rPr>
          <w:rFonts w:ascii="Times New Roman" w:hAnsi="Times New Roman" w:cs="Times New Roman"/>
          <w:b/>
        </w:rPr>
        <w:t>)</w:t>
      </w:r>
      <w:r w:rsidR="00ED5974" w:rsidRPr="00BC7BB5">
        <w:rPr>
          <w:rFonts w:ascii="Times New Roman" w:hAnsi="Times New Roman" w:cs="Times New Roman"/>
          <w:b/>
        </w:rPr>
        <w:t xml:space="preserve">. </w:t>
      </w:r>
      <w:r w:rsidR="00ED5974" w:rsidRPr="00BC7BB5">
        <w:rPr>
          <w:rFonts w:ascii="Times New Roman" w:hAnsi="Times New Roman" w:cs="Times New Roman"/>
        </w:rPr>
        <w:t xml:space="preserve">Specific activities have been included to that end in the Program </w:t>
      </w:r>
      <w:r w:rsidR="00D84F62" w:rsidRPr="00BC7BB5">
        <w:rPr>
          <w:rFonts w:ascii="Times New Roman" w:hAnsi="Times New Roman" w:cs="Times New Roman"/>
        </w:rPr>
        <w:t xml:space="preserve">Action Plan (PAP) </w:t>
      </w:r>
      <w:r w:rsidR="00ED5974" w:rsidRPr="00BC7BB5">
        <w:rPr>
          <w:rFonts w:ascii="Times New Roman" w:hAnsi="Times New Roman" w:cs="Times New Roman"/>
        </w:rPr>
        <w:t>as described in Section III</w:t>
      </w:r>
      <w:r w:rsidR="00A422D9">
        <w:rPr>
          <w:rFonts w:ascii="Times New Roman" w:hAnsi="Times New Roman" w:cs="Times New Roman"/>
        </w:rPr>
        <w:t xml:space="preserve"> of th</w:t>
      </w:r>
      <w:r w:rsidR="00D06FE4">
        <w:rPr>
          <w:rFonts w:ascii="Times New Roman" w:hAnsi="Times New Roman" w:cs="Times New Roman"/>
        </w:rPr>
        <w:t>e PAD</w:t>
      </w:r>
      <w:r w:rsidR="00ED5974" w:rsidRPr="00BC7BB5">
        <w:rPr>
          <w:rFonts w:ascii="Times New Roman" w:hAnsi="Times New Roman" w:cs="Times New Roman"/>
        </w:rPr>
        <w:t>.</w:t>
      </w:r>
    </w:p>
    <w:p w14:paraId="3F3C3ACB" w14:textId="77777777" w:rsidR="00CF70F9" w:rsidRPr="00BC7BB5" w:rsidRDefault="00CF70F9" w:rsidP="00CF70F9">
      <w:pPr>
        <w:pStyle w:val="NoSpacing"/>
        <w:jc w:val="both"/>
        <w:rPr>
          <w:rFonts w:ascii="Times New Roman" w:hAnsi="Times New Roman" w:cs="Times New Roman"/>
        </w:rPr>
      </w:pPr>
    </w:p>
    <w:p w14:paraId="6CFC03F2" w14:textId="2DFAB574" w:rsidR="00BE5258" w:rsidRPr="00BC7BB5" w:rsidRDefault="006508EA" w:rsidP="00B35A06">
      <w:pPr>
        <w:pStyle w:val="NoSpacing"/>
        <w:numPr>
          <w:ilvl w:val="0"/>
          <w:numId w:val="7"/>
        </w:numPr>
        <w:ind w:left="0" w:firstLine="0"/>
        <w:jc w:val="both"/>
        <w:rPr>
          <w:rFonts w:ascii="Times New Roman" w:hAnsi="Times New Roman" w:cs="Times New Roman"/>
        </w:rPr>
      </w:pPr>
      <w:r w:rsidRPr="00BC7BB5">
        <w:rPr>
          <w:rFonts w:ascii="Times New Roman" w:hAnsi="Times New Roman" w:cs="Times New Roman"/>
          <w:b/>
        </w:rPr>
        <w:t xml:space="preserve">Program beneficiaries. </w:t>
      </w:r>
      <w:r w:rsidR="00B7066B" w:rsidRPr="00BC7BB5">
        <w:rPr>
          <w:rFonts w:ascii="Times New Roman" w:hAnsi="Times New Roman" w:cs="Times New Roman"/>
          <w:b/>
        </w:rPr>
        <w:t xml:space="preserve"> </w:t>
      </w:r>
      <w:r w:rsidR="009C2536" w:rsidRPr="00BC7BB5">
        <w:rPr>
          <w:rFonts w:ascii="Times New Roman" w:hAnsi="Times New Roman" w:cs="Times New Roman"/>
        </w:rPr>
        <w:t>Direct Program beneficiaries would include</w:t>
      </w:r>
      <w:r w:rsidR="00EF7F67" w:rsidRPr="00BC7BB5">
        <w:rPr>
          <w:rFonts w:ascii="Times New Roman" w:hAnsi="Times New Roman" w:cs="Times New Roman"/>
        </w:rPr>
        <w:t xml:space="preserve"> </w:t>
      </w:r>
      <w:r w:rsidR="00C5208D" w:rsidRPr="00BC7BB5">
        <w:rPr>
          <w:rFonts w:ascii="Times New Roman" w:hAnsi="Times New Roman" w:cs="Times New Roman"/>
        </w:rPr>
        <w:t>s</w:t>
      </w:r>
      <w:r w:rsidR="0094608E" w:rsidRPr="00BC7BB5">
        <w:rPr>
          <w:rFonts w:ascii="Times New Roman" w:hAnsi="Times New Roman" w:cs="Times New Roman"/>
        </w:rPr>
        <w:t xml:space="preserve">mall and medium producers </w:t>
      </w:r>
      <w:r w:rsidR="005B0E38" w:rsidRPr="00BC7BB5">
        <w:rPr>
          <w:rFonts w:ascii="Times New Roman" w:hAnsi="Times New Roman" w:cs="Times New Roman"/>
        </w:rPr>
        <w:t xml:space="preserve">(including women and youth) </w:t>
      </w:r>
      <w:r w:rsidR="0094608E" w:rsidRPr="00BC7BB5">
        <w:rPr>
          <w:rFonts w:ascii="Times New Roman" w:hAnsi="Times New Roman" w:cs="Times New Roman"/>
        </w:rPr>
        <w:t>and enterprises engaged in the agri-food sector</w:t>
      </w:r>
      <w:r w:rsidR="00EF7F67" w:rsidRPr="00BC7BB5">
        <w:rPr>
          <w:rFonts w:ascii="Times New Roman" w:hAnsi="Times New Roman" w:cs="Times New Roman"/>
        </w:rPr>
        <w:t>.</w:t>
      </w:r>
      <w:r w:rsidR="00EF7F67" w:rsidRPr="00BC7BB5">
        <w:rPr>
          <w:rFonts w:ascii="Times New Roman" w:hAnsi="Times New Roman" w:cs="Times New Roman"/>
          <w:b/>
        </w:rPr>
        <w:t xml:space="preserve"> </w:t>
      </w:r>
      <w:r w:rsidR="00EF7F67" w:rsidRPr="00BC7BB5">
        <w:rPr>
          <w:rFonts w:ascii="Times New Roman" w:hAnsi="Times New Roman" w:cs="Times New Roman"/>
        </w:rPr>
        <w:t>The</w:t>
      </w:r>
      <w:r w:rsidR="00495F42">
        <w:rPr>
          <w:rFonts w:ascii="Times New Roman" w:hAnsi="Times New Roman" w:cs="Times New Roman"/>
        </w:rPr>
        <w:t xml:space="preserve"> beneficiaries</w:t>
      </w:r>
      <w:r w:rsidR="00EF7F67" w:rsidRPr="00BC7BB5">
        <w:rPr>
          <w:rFonts w:ascii="Times New Roman" w:hAnsi="Times New Roman" w:cs="Times New Roman"/>
        </w:rPr>
        <w:t xml:space="preserve"> and a broader range of</w:t>
      </w:r>
      <w:r w:rsidR="00EF7F67" w:rsidRPr="00BC7BB5">
        <w:rPr>
          <w:rFonts w:ascii="Times New Roman" w:hAnsi="Times New Roman" w:cs="Times New Roman"/>
          <w:b/>
        </w:rPr>
        <w:t xml:space="preserve"> </w:t>
      </w:r>
      <w:r w:rsidR="00EF7F67" w:rsidRPr="00BC7BB5">
        <w:rPr>
          <w:rFonts w:ascii="Times New Roman" w:hAnsi="Times New Roman" w:cs="Times New Roman"/>
        </w:rPr>
        <w:t xml:space="preserve">stakeholders would also benefit from improved food safety and quality, increased efficiency of wholesale markets and access to market information, and better coordination among value-chains. Those </w:t>
      </w:r>
      <w:r w:rsidR="0099586B" w:rsidRPr="00BC7BB5">
        <w:rPr>
          <w:rFonts w:ascii="Times New Roman" w:hAnsi="Times New Roman" w:cs="Times New Roman"/>
        </w:rPr>
        <w:t xml:space="preserve">beneficiaries </w:t>
      </w:r>
      <w:r w:rsidR="00EF7F67" w:rsidRPr="00BC7BB5">
        <w:rPr>
          <w:rFonts w:ascii="Times New Roman" w:hAnsi="Times New Roman" w:cs="Times New Roman"/>
        </w:rPr>
        <w:t xml:space="preserve">include enterprises in the agri-food sector, such as traders and exporters, as well as Moroccan consumers, who will benefit from safer and better quality products. </w:t>
      </w:r>
      <w:r w:rsidR="00AC7D2C" w:rsidRPr="00BC7BB5">
        <w:rPr>
          <w:rFonts w:ascii="Times New Roman" w:hAnsi="Times New Roman" w:cs="Times New Roman"/>
        </w:rPr>
        <w:t>It is estimated</w:t>
      </w:r>
      <w:r w:rsidR="00AC7D2C" w:rsidRPr="00BC7BB5">
        <w:rPr>
          <w:rFonts w:ascii="Times New Roman" w:hAnsi="Times New Roman" w:cs="Times New Roman"/>
          <w:b/>
        </w:rPr>
        <w:t xml:space="preserve"> </w:t>
      </w:r>
      <w:r w:rsidR="00AC7D2C" w:rsidRPr="00BC7BB5">
        <w:rPr>
          <w:rFonts w:ascii="Times New Roman" w:hAnsi="Times New Roman" w:cs="Times New Roman"/>
        </w:rPr>
        <w:t xml:space="preserve">that approximately 200,000 agri-food producers and enterprises would benefit from </w:t>
      </w:r>
      <w:r w:rsidR="001A7684" w:rsidRPr="00BC7BB5">
        <w:rPr>
          <w:rFonts w:ascii="Times New Roman" w:hAnsi="Times New Roman" w:cs="Times New Roman"/>
        </w:rPr>
        <w:t xml:space="preserve">one or more of the </w:t>
      </w:r>
      <w:r w:rsidR="00AC7D2C" w:rsidRPr="00BC7BB5">
        <w:rPr>
          <w:rFonts w:ascii="Times New Roman" w:hAnsi="Times New Roman" w:cs="Times New Roman"/>
        </w:rPr>
        <w:t xml:space="preserve">Program activities in the nine </w:t>
      </w:r>
      <w:r w:rsidR="00933600">
        <w:rPr>
          <w:rFonts w:ascii="Times New Roman" w:hAnsi="Times New Roman" w:cs="Times New Roman"/>
        </w:rPr>
        <w:t>regions</w:t>
      </w:r>
      <w:r w:rsidR="00AC7D2C" w:rsidRPr="00BC7BB5">
        <w:rPr>
          <w:rFonts w:ascii="Times New Roman" w:hAnsi="Times New Roman" w:cs="Times New Roman"/>
        </w:rPr>
        <w:t xml:space="preserve"> included in the Program area. </w:t>
      </w:r>
      <w:r w:rsidR="002767DC" w:rsidRPr="00BC7BB5">
        <w:rPr>
          <w:rFonts w:ascii="Times New Roman" w:hAnsi="Times New Roman" w:cs="Times New Roman"/>
        </w:rPr>
        <w:t xml:space="preserve">Finally, the Government agencies involved in </w:t>
      </w:r>
      <w:r w:rsidR="002767DC" w:rsidRPr="00BC7BB5">
        <w:rPr>
          <w:rFonts w:ascii="Times New Roman" w:hAnsi="Times New Roman" w:cs="Times New Roman"/>
        </w:rPr>
        <w:lastRenderedPageBreak/>
        <w:t xml:space="preserve">the Program (MAPMDREF, ONSSA, ADA) </w:t>
      </w:r>
      <w:r w:rsidR="0019181D" w:rsidRPr="00BC7BB5">
        <w:rPr>
          <w:rFonts w:ascii="Times New Roman" w:hAnsi="Times New Roman" w:cs="Times New Roman"/>
        </w:rPr>
        <w:t>and the selected i</w:t>
      </w:r>
      <w:r w:rsidR="003A44C0" w:rsidRPr="00BC7BB5">
        <w:rPr>
          <w:rFonts w:ascii="Times New Roman" w:hAnsi="Times New Roman" w:cs="Times New Roman"/>
        </w:rPr>
        <w:t xml:space="preserve">nterprofessions </w:t>
      </w:r>
      <w:r w:rsidR="002767DC" w:rsidRPr="00BC7BB5">
        <w:rPr>
          <w:rFonts w:ascii="Times New Roman" w:hAnsi="Times New Roman" w:cs="Times New Roman"/>
        </w:rPr>
        <w:t xml:space="preserve">would benefit from increased capacity to implement their mandates and to monitor and evaluate the results of their respective programs.  </w:t>
      </w:r>
    </w:p>
    <w:p w14:paraId="4B7C7FC8" w14:textId="77777777" w:rsidR="00BE5258" w:rsidRPr="00BC7BB5" w:rsidRDefault="00BE5258" w:rsidP="00657440">
      <w:pPr>
        <w:pStyle w:val="ListParagraph"/>
        <w:spacing w:after="0" w:line="240" w:lineRule="auto"/>
        <w:rPr>
          <w:rFonts w:ascii="Times New Roman" w:hAnsi="Times New Roman" w:cs="Times New Roman"/>
          <w:b/>
        </w:rPr>
      </w:pPr>
    </w:p>
    <w:p w14:paraId="3A9A94AA" w14:textId="1A85F549" w:rsidR="003F640B" w:rsidRPr="000A1436" w:rsidRDefault="00495F42" w:rsidP="003F640B">
      <w:pPr>
        <w:pStyle w:val="NoSpacing"/>
        <w:numPr>
          <w:ilvl w:val="0"/>
          <w:numId w:val="7"/>
        </w:numPr>
        <w:ind w:left="0" w:firstLine="0"/>
        <w:jc w:val="both"/>
        <w:rPr>
          <w:rFonts w:ascii="Times New Roman" w:hAnsi="Times New Roman" w:cs="Times New Roman"/>
        </w:rPr>
      </w:pPr>
      <w:r>
        <w:rPr>
          <w:rFonts w:ascii="Times New Roman" w:hAnsi="Times New Roman" w:cs="Times New Roman"/>
          <w:b/>
          <w:color w:val="000000" w:themeColor="text1"/>
        </w:rPr>
        <w:t>The</w:t>
      </w:r>
      <w:r w:rsidR="003F640B" w:rsidRPr="00BC7BB5">
        <w:rPr>
          <w:rFonts w:ascii="Times New Roman" w:hAnsi="Times New Roman" w:cs="Times New Roman"/>
          <w:b/>
          <w:color w:val="000000" w:themeColor="text1"/>
        </w:rPr>
        <w:t xml:space="preserve"> Program activities</w:t>
      </w:r>
      <w:r>
        <w:rPr>
          <w:rFonts w:ascii="Times New Roman" w:hAnsi="Times New Roman" w:cs="Times New Roman"/>
          <w:b/>
          <w:color w:val="000000" w:themeColor="text1"/>
        </w:rPr>
        <w:t xml:space="preserve"> will generate adaptation and mitigation climate co-benefits</w:t>
      </w:r>
      <w:r w:rsidR="003F640B" w:rsidRPr="00BC7BB5">
        <w:rPr>
          <w:rFonts w:ascii="Times New Roman" w:hAnsi="Times New Roman" w:cs="Times New Roman"/>
          <w:color w:val="000000" w:themeColor="text1"/>
        </w:rPr>
        <w:t>. Under Result area 1, s</w:t>
      </w:r>
      <w:r w:rsidR="003F640B" w:rsidRPr="00BC7BB5">
        <w:rPr>
          <w:rFonts w:ascii="Times New Roman" w:hAnsi="Times New Roman" w:cs="Times New Roman"/>
          <w:color w:val="000000"/>
        </w:rPr>
        <w:t xml:space="preserve">everal activities implemented by the interprofessions under their business plans would be geared towards increasing climate change co-benefits. This could include, </w:t>
      </w:r>
      <w:r>
        <w:rPr>
          <w:rFonts w:ascii="Times New Roman" w:hAnsi="Times New Roman" w:cs="Times New Roman"/>
          <w:color w:val="000000"/>
        </w:rPr>
        <w:t>for example,</w:t>
      </w:r>
      <w:r w:rsidR="003F640B" w:rsidRPr="00BC7BB5">
        <w:rPr>
          <w:rFonts w:ascii="Times New Roman" w:hAnsi="Times New Roman" w:cs="Times New Roman"/>
          <w:color w:val="000000"/>
        </w:rPr>
        <w:t xml:space="preserve"> spurring the diffusion of agrometeorological information to farmers—thus increasing their resilience to climate change— or promoting the use of renewable energy in agri-food processing units. Climate </w:t>
      </w:r>
      <w:r w:rsidR="003F640B" w:rsidRPr="00BC7BB5">
        <w:rPr>
          <w:rFonts w:ascii="Times New Roman" w:hAnsi="Times New Roman" w:cs="Times New Roman"/>
        </w:rPr>
        <w:t xml:space="preserve">change adaptation co-benefits would arise from </w:t>
      </w:r>
      <w:r w:rsidR="003F640B" w:rsidRPr="00BC7BB5">
        <w:rPr>
          <w:rFonts w:ascii="Times New Roman" w:hAnsi="Times New Roman" w:cs="Times New Roman"/>
          <w:color w:val="000000"/>
        </w:rPr>
        <w:t xml:space="preserve">the diffusion of improved irrigation technologies through the higher incentives for drip irrigation permitted by aggregation schemes, while mitigation co-benefits could derive from the inclusion of renewable energy in the newly created or modernized processing units </w:t>
      </w:r>
      <w:r w:rsidR="00933600">
        <w:rPr>
          <w:rFonts w:ascii="Times New Roman" w:hAnsi="Times New Roman" w:cs="Times New Roman"/>
          <w:color w:val="000000"/>
        </w:rPr>
        <w:t>incentivized by the Program. T</w:t>
      </w:r>
      <w:r w:rsidR="003F640B" w:rsidRPr="00BC7BB5">
        <w:rPr>
          <w:rFonts w:ascii="Times New Roman" w:hAnsi="Times New Roman" w:cs="Times New Roman"/>
        </w:rPr>
        <w:t xml:space="preserve">he modernization of wholesale markets </w:t>
      </w:r>
      <w:r w:rsidR="00D36B76">
        <w:rPr>
          <w:rFonts w:ascii="Times New Roman" w:hAnsi="Times New Roman" w:cs="Times New Roman"/>
          <w:color w:val="000000"/>
        </w:rPr>
        <w:t>would</w:t>
      </w:r>
      <w:r w:rsidR="003F640B" w:rsidRPr="00BC7BB5">
        <w:rPr>
          <w:rFonts w:ascii="Times New Roman" w:hAnsi="Times New Roman" w:cs="Times New Roman"/>
          <w:color w:val="000000"/>
        </w:rPr>
        <w:t xml:space="preserve"> bring about mitigation co-ben</w:t>
      </w:r>
      <w:r w:rsidR="00D36B76">
        <w:rPr>
          <w:rFonts w:ascii="Times New Roman" w:hAnsi="Times New Roman" w:cs="Times New Roman"/>
          <w:color w:val="000000"/>
        </w:rPr>
        <w:t xml:space="preserve">efits: the wholesale markets </w:t>
      </w:r>
      <w:r w:rsidR="005D51F8">
        <w:rPr>
          <w:rFonts w:ascii="Times New Roman" w:hAnsi="Times New Roman" w:cs="Times New Roman"/>
          <w:color w:val="000000"/>
        </w:rPr>
        <w:t>might</w:t>
      </w:r>
      <w:r w:rsidR="003F640B" w:rsidRPr="00BC7BB5">
        <w:rPr>
          <w:rFonts w:ascii="Times New Roman" w:hAnsi="Times New Roman" w:cs="Times New Roman"/>
          <w:color w:val="000000"/>
        </w:rPr>
        <w:t xml:space="preserve"> include renewable en</w:t>
      </w:r>
      <w:r w:rsidR="00D36B76">
        <w:rPr>
          <w:rFonts w:ascii="Times New Roman" w:hAnsi="Times New Roman" w:cs="Times New Roman"/>
          <w:color w:val="000000"/>
        </w:rPr>
        <w:t>ergy generation and would</w:t>
      </w:r>
      <w:r w:rsidR="003F640B" w:rsidRPr="00BC7BB5">
        <w:rPr>
          <w:rFonts w:ascii="Times New Roman" w:hAnsi="Times New Roman" w:cs="Times New Roman"/>
          <w:color w:val="000000"/>
        </w:rPr>
        <w:t xml:space="preserve"> spur better logistical efficiency overall, thus leading to better energy efficiency and decreased</w:t>
      </w:r>
      <w:r w:rsidR="00EC0349">
        <w:rPr>
          <w:rFonts w:ascii="Times New Roman" w:hAnsi="Times New Roman" w:cs="Times New Roman"/>
          <w:color w:val="000000"/>
        </w:rPr>
        <w:t xml:space="preserve"> greenhouse gas</w:t>
      </w:r>
      <w:r w:rsidR="003F640B" w:rsidRPr="00BC7BB5">
        <w:rPr>
          <w:rFonts w:ascii="Times New Roman" w:hAnsi="Times New Roman" w:cs="Times New Roman"/>
          <w:color w:val="000000"/>
        </w:rPr>
        <w:t xml:space="preserve"> </w:t>
      </w:r>
      <w:r w:rsidR="00EC0349">
        <w:rPr>
          <w:rFonts w:ascii="Times New Roman" w:hAnsi="Times New Roman" w:cs="Times New Roman"/>
          <w:color w:val="000000"/>
        </w:rPr>
        <w:t>(</w:t>
      </w:r>
      <w:r w:rsidR="003F640B" w:rsidRPr="00BC7BB5">
        <w:rPr>
          <w:rFonts w:ascii="Times New Roman" w:hAnsi="Times New Roman" w:cs="Times New Roman"/>
          <w:color w:val="000000"/>
        </w:rPr>
        <w:t>GHG</w:t>
      </w:r>
      <w:r w:rsidR="00EC0349">
        <w:rPr>
          <w:rFonts w:ascii="Times New Roman" w:hAnsi="Times New Roman" w:cs="Times New Roman"/>
          <w:color w:val="000000"/>
        </w:rPr>
        <w:fldChar w:fldCharType="begin"/>
      </w:r>
      <w:r w:rsidR="00EC0349">
        <w:instrText xml:space="preserve"> XE "</w:instrText>
      </w:r>
      <w:r w:rsidR="00EC0349" w:rsidRPr="00FB51AC">
        <w:rPr>
          <w:rFonts w:ascii="Times New Roman" w:hAnsi="Times New Roman" w:cs="Times New Roman"/>
          <w:color w:val="000000"/>
        </w:rPr>
        <w:instrText>GHG:</w:instrText>
      </w:r>
      <w:r w:rsidR="00EC0349" w:rsidRPr="00FB51AC">
        <w:instrText>greenhouse gas</w:instrText>
      </w:r>
      <w:r w:rsidR="00EC0349">
        <w:instrText xml:space="preserve">" </w:instrText>
      </w:r>
      <w:r w:rsidR="00EC0349">
        <w:rPr>
          <w:rFonts w:ascii="Times New Roman" w:hAnsi="Times New Roman" w:cs="Times New Roman"/>
          <w:color w:val="000000"/>
        </w:rPr>
        <w:fldChar w:fldCharType="end"/>
      </w:r>
      <w:r w:rsidR="00EC0349">
        <w:rPr>
          <w:rFonts w:ascii="Times New Roman" w:hAnsi="Times New Roman" w:cs="Times New Roman"/>
          <w:color w:val="000000"/>
        </w:rPr>
        <w:t>)</w:t>
      </w:r>
      <w:r w:rsidR="003F640B" w:rsidRPr="00BC7BB5">
        <w:rPr>
          <w:rFonts w:ascii="Times New Roman" w:hAnsi="Times New Roman" w:cs="Times New Roman"/>
          <w:color w:val="000000"/>
        </w:rPr>
        <w:t xml:space="preserve"> emissions. Improved market information will boost farmers’ adaptation to climate change, notably by helping them better time their harvests and thus decrease post-harvest losses. </w:t>
      </w:r>
      <w:r w:rsidR="00350B99" w:rsidRPr="00BC7BB5">
        <w:rPr>
          <w:rFonts w:ascii="Times New Roman" w:hAnsi="Times New Roman" w:cs="Times New Roman"/>
          <w:color w:val="000000"/>
        </w:rPr>
        <w:t xml:space="preserve">Under Result area 2, </w:t>
      </w:r>
      <w:r w:rsidR="003F640B" w:rsidRPr="00BC7BB5">
        <w:rPr>
          <w:rFonts w:ascii="Times New Roman" w:hAnsi="Times New Roman" w:cs="Times New Roman"/>
          <w:color w:val="000000"/>
        </w:rPr>
        <w:t xml:space="preserve">interventions </w:t>
      </w:r>
      <w:r w:rsidR="00350B99" w:rsidRPr="00BC7BB5">
        <w:rPr>
          <w:rFonts w:ascii="Times New Roman" w:hAnsi="Times New Roman" w:cs="Times New Roman"/>
          <w:color w:val="000000"/>
        </w:rPr>
        <w:t xml:space="preserve">supporting the adoption of quality schemes </w:t>
      </w:r>
      <w:r w:rsidR="004E2EBA">
        <w:rPr>
          <w:rFonts w:ascii="Times New Roman" w:hAnsi="Times New Roman" w:cs="Times New Roman"/>
          <w:color w:val="000000"/>
        </w:rPr>
        <w:t>would</w:t>
      </w:r>
      <w:r w:rsidR="003F640B" w:rsidRPr="00BC7BB5">
        <w:rPr>
          <w:rFonts w:ascii="Times New Roman" w:hAnsi="Times New Roman" w:cs="Times New Roman"/>
          <w:color w:val="000000"/>
        </w:rPr>
        <w:t xml:space="preserve"> bring about climate change co-benefits: certification sche</w:t>
      </w:r>
      <w:r w:rsidR="00350B99" w:rsidRPr="00BC7BB5">
        <w:rPr>
          <w:rFonts w:ascii="Times New Roman" w:hAnsi="Times New Roman" w:cs="Times New Roman"/>
          <w:color w:val="000000"/>
        </w:rPr>
        <w:t>mes contain provisions that</w:t>
      </w:r>
      <w:r w:rsidR="003F640B" w:rsidRPr="00BC7BB5">
        <w:rPr>
          <w:rFonts w:ascii="Times New Roman" w:hAnsi="Times New Roman" w:cs="Times New Roman"/>
          <w:color w:val="000000"/>
        </w:rPr>
        <w:t xml:space="preserve"> help farmers adopt new practices/techniques</w:t>
      </w:r>
      <w:r w:rsidR="00350B99" w:rsidRPr="00BC7BB5">
        <w:rPr>
          <w:rFonts w:ascii="Times New Roman" w:hAnsi="Times New Roman" w:cs="Times New Roman"/>
          <w:color w:val="000000"/>
        </w:rPr>
        <w:t xml:space="preserve"> and varieties that</w:t>
      </w:r>
      <w:r w:rsidR="003F640B" w:rsidRPr="00BC7BB5">
        <w:rPr>
          <w:rFonts w:ascii="Times New Roman" w:hAnsi="Times New Roman" w:cs="Times New Roman"/>
          <w:color w:val="000000"/>
        </w:rPr>
        <w:t xml:space="preserve"> increase their resilience to climate change and </w:t>
      </w:r>
      <w:r w:rsidR="00350B99" w:rsidRPr="00BC7BB5">
        <w:rPr>
          <w:rFonts w:ascii="Times New Roman" w:hAnsi="Times New Roman" w:cs="Times New Roman"/>
          <w:color w:val="000000"/>
        </w:rPr>
        <w:t xml:space="preserve">climate </w:t>
      </w:r>
      <w:r w:rsidR="003F640B" w:rsidRPr="00BC7BB5">
        <w:rPr>
          <w:rFonts w:ascii="Times New Roman" w:hAnsi="Times New Roman" w:cs="Times New Roman"/>
          <w:color w:val="000000"/>
        </w:rPr>
        <w:t>variability</w:t>
      </w:r>
      <w:r w:rsidR="00350B99" w:rsidRPr="00BC7BB5">
        <w:rPr>
          <w:rFonts w:ascii="Times New Roman" w:hAnsi="Times New Roman" w:cs="Times New Roman"/>
          <w:color w:val="000000"/>
        </w:rPr>
        <w:t>. Those sche</w:t>
      </w:r>
      <w:r w:rsidR="00D452F6">
        <w:rPr>
          <w:rFonts w:ascii="Times New Roman" w:hAnsi="Times New Roman" w:cs="Times New Roman"/>
          <w:color w:val="000000"/>
        </w:rPr>
        <w:t>mes would</w:t>
      </w:r>
      <w:r w:rsidR="00350B99" w:rsidRPr="00BC7BB5">
        <w:rPr>
          <w:rFonts w:ascii="Times New Roman" w:hAnsi="Times New Roman" w:cs="Times New Roman"/>
          <w:color w:val="000000"/>
        </w:rPr>
        <w:t xml:space="preserve"> also </w:t>
      </w:r>
      <w:r w:rsidR="003F640B" w:rsidRPr="00BC7BB5">
        <w:rPr>
          <w:rFonts w:ascii="Times New Roman" w:hAnsi="Times New Roman" w:cs="Times New Roman"/>
          <w:color w:val="000000"/>
        </w:rPr>
        <w:t xml:space="preserve">help tap the mitigation potential that can arise from improved agricultural practices and the ensuing increased carbon sequestration in soils. </w:t>
      </w:r>
      <w:r w:rsidR="00350B99" w:rsidRPr="00BC7BB5">
        <w:rPr>
          <w:rFonts w:ascii="Times New Roman" w:hAnsi="Times New Roman" w:cs="Times New Roman"/>
          <w:color w:val="000000"/>
        </w:rPr>
        <w:t>A</w:t>
      </w:r>
      <w:r w:rsidR="003F640B" w:rsidRPr="00BC7BB5">
        <w:rPr>
          <w:rFonts w:ascii="Times New Roman" w:hAnsi="Times New Roman" w:cs="Times New Roman"/>
          <w:color w:val="000000"/>
        </w:rPr>
        <w:t>ctivit</w:t>
      </w:r>
      <w:r w:rsidR="00D452F6">
        <w:rPr>
          <w:rFonts w:ascii="Times New Roman" w:hAnsi="Times New Roman" w:cs="Times New Roman"/>
          <w:color w:val="000000"/>
        </w:rPr>
        <w:t>ies carried out by the CIAs would</w:t>
      </w:r>
      <w:r w:rsidR="003F640B" w:rsidRPr="00BC7BB5">
        <w:rPr>
          <w:rFonts w:ascii="Times New Roman" w:hAnsi="Times New Roman" w:cs="Times New Roman"/>
          <w:color w:val="000000"/>
        </w:rPr>
        <w:t xml:space="preserve"> lea</w:t>
      </w:r>
      <w:r w:rsidR="00350B99" w:rsidRPr="00BC7BB5">
        <w:rPr>
          <w:rFonts w:ascii="Times New Roman" w:hAnsi="Times New Roman" w:cs="Times New Roman"/>
          <w:color w:val="000000"/>
        </w:rPr>
        <w:t>d to the increased adoption of climate-s</w:t>
      </w:r>
      <w:r w:rsidR="003F640B" w:rsidRPr="00BC7BB5">
        <w:rPr>
          <w:rFonts w:ascii="Times New Roman" w:hAnsi="Times New Roman" w:cs="Times New Roman"/>
          <w:color w:val="000000"/>
        </w:rPr>
        <w:t>mart technologie</w:t>
      </w:r>
      <w:r w:rsidR="00D452F6">
        <w:rPr>
          <w:rFonts w:ascii="Times New Roman" w:hAnsi="Times New Roman" w:cs="Times New Roman"/>
          <w:color w:val="000000"/>
        </w:rPr>
        <w:t>s and practices, which would</w:t>
      </w:r>
      <w:r w:rsidR="003F640B" w:rsidRPr="00BC7BB5">
        <w:rPr>
          <w:rFonts w:ascii="Times New Roman" w:hAnsi="Times New Roman" w:cs="Times New Roman"/>
          <w:color w:val="000000"/>
        </w:rPr>
        <w:t xml:space="preserve"> strengthen the </w:t>
      </w:r>
      <w:r w:rsidR="00350B99" w:rsidRPr="00BC7BB5">
        <w:rPr>
          <w:rFonts w:ascii="Times New Roman" w:hAnsi="Times New Roman" w:cs="Times New Roman"/>
          <w:color w:val="000000"/>
        </w:rPr>
        <w:t xml:space="preserve">agri-food </w:t>
      </w:r>
      <w:r w:rsidR="003F640B" w:rsidRPr="00BC7BB5">
        <w:rPr>
          <w:rFonts w:ascii="Times New Roman" w:hAnsi="Times New Roman" w:cs="Times New Roman"/>
          <w:color w:val="000000"/>
        </w:rPr>
        <w:t>sector’s overall climate resilience, at different leve</w:t>
      </w:r>
      <w:r w:rsidR="00D452F6">
        <w:rPr>
          <w:rFonts w:ascii="Times New Roman" w:hAnsi="Times New Roman" w:cs="Times New Roman"/>
          <w:color w:val="000000"/>
        </w:rPr>
        <w:t>ls of the value chain. They would</w:t>
      </w:r>
      <w:r w:rsidR="003F640B" w:rsidRPr="00BC7BB5">
        <w:rPr>
          <w:rFonts w:ascii="Times New Roman" w:hAnsi="Times New Roman" w:cs="Times New Roman"/>
          <w:color w:val="000000"/>
        </w:rPr>
        <w:t xml:space="preserve"> also bring about mitigation co-benefits </w:t>
      </w:r>
      <w:r>
        <w:rPr>
          <w:rFonts w:ascii="Times New Roman" w:hAnsi="Times New Roman" w:cs="Times New Roman"/>
          <w:color w:val="000000"/>
        </w:rPr>
        <w:t>due to</w:t>
      </w:r>
      <w:r w:rsidR="003F640B" w:rsidRPr="00BC7BB5">
        <w:rPr>
          <w:rFonts w:ascii="Times New Roman" w:hAnsi="Times New Roman" w:cs="Times New Roman"/>
          <w:color w:val="000000"/>
        </w:rPr>
        <w:t> renewa</w:t>
      </w:r>
      <w:r w:rsidR="00D452F6">
        <w:rPr>
          <w:rFonts w:ascii="Times New Roman" w:hAnsi="Times New Roman" w:cs="Times New Roman"/>
          <w:color w:val="000000"/>
        </w:rPr>
        <w:t>ble energy being adopted by CIA</w:t>
      </w:r>
      <w:r w:rsidR="003F640B" w:rsidRPr="00BC7BB5">
        <w:rPr>
          <w:rFonts w:ascii="Times New Roman" w:hAnsi="Times New Roman" w:cs="Times New Roman"/>
          <w:color w:val="000000"/>
        </w:rPr>
        <w:t xml:space="preserve"> beneficiaries in their production processes and waste materials being used to produce renewable ener</w:t>
      </w:r>
      <w:r w:rsidR="00350B99" w:rsidRPr="00BC7BB5">
        <w:rPr>
          <w:rFonts w:ascii="Times New Roman" w:hAnsi="Times New Roman" w:cs="Times New Roman"/>
          <w:color w:val="000000"/>
        </w:rPr>
        <w:t xml:space="preserve">gy (in the case of olive oil </w:t>
      </w:r>
      <w:r w:rsidR="00350B99" w:rsidRPr="000A1436">
        <w:rPr>
          <w:rFonts w:ascii="Times New Roman" w:hAnsi="Times New Roman" w:cs="Times New Roman"/>
          <w:color w:val="000000"/>
        </w:rPr>
        <w:t>mills</w:t>
      </w:r>
      <w:r w:rsidR="003F640B" w:rsidRPr="000A1436">
        <w:rPr>
          <w:rFonts w:ascii="Times New Roman" w:hAnsi="Times New Roman" w:cs="Times New Roman"/>
          <w:color w:val="000000"/>
        </w:rPr>
        <w:t>).</w:t>
      </w:r>
      <w:r w:rsidR="00B36398" w:rsidRPr="000A1436">
        <w:rPr>
          <w:rFonts w:ascii="Times New Roman" w:hAnsi="Times New Roman" w:cs="Times New Roman"/>
          <w:color w:val="000000"/>
        </w:rPr>
        <w:t xml:space="preserve"> </w:t>
      </w:r>
    </w:p>
    <w:p w14:paraId="45B35237" w14:textId="77777777" w:rsidR="003F640B" w:rsidRPr="00BC7BB5" w:rsidRDefault="003F640B" w:rsidP="00B73239">
      <w:pPr>
        <w:pStyle w:val="ListParagraph"/>
        <w:spacing w:after="0"/>
        <w:rPr>
          <w:rFonts w:ascii="Times New Roman" w:hAnsi="Times New Roman" w:cs="Times New Roman"/>
          <w:b/>
        </w:rPr>
      </w:pPr>
    </w:p>
    <w:p w14:paraId="1FFF23E7" w14:textId="5D87B794" w:rsidR="00B7066B" w:rsidRPr="00BC7BB5" w:rsidRDefault="00BE5258" w:rsidP="00B35A06">
      <w:pPr>
        <w:pStyle w:val="NoSpacing"/>
        <w:numPr>
          <w:ilvl w:val="0"/>
          <w:numId w:val="7"/>
        </w:numPr>
        <w:ind w:left="0" w:firstLine="0"/>
        <w:jc w:val="both"/>
        <w:rPr>
          <w:rFonts w:ascii="Times New Roman" w:hAnsi="Times New Roman" w:cs="Times New Roman"/>
        </w:rPr>
      </w:pPr>
      <w:r w:rsidRPr="00BC7BB5">
        <w:rPr>
          <w:rFonts w:ascii="Times New Roman" w:hAnsi="Times New Roman" w:cs="Times New Roman"/>
          <w:b/>
        </w:rPr>
        <w:t xml:space="preserve">Program financing. </w:t>
      </w:r>
      <w:r w:rsidR="00B7066B" w:rsidRPr="00BC7BB5">
        <w:rPr>
          <w:rFonts w:ascii="Times New Roman" w:hAnsi="Times New Roman" w:cs="Times New Roman"/>
          <w:b/>
        </w:rPr>
        <w:t xml:space="preserve"> </w:t>
      </w:r>
      <w:r w:rsidR="00E80E0E" w:rsidRPr="00BC7BB5">
        <w:rPr>
          <w:rFonts w:ascii="Times New Roman" w:hAnsi="Times New Roman" w:cs="Times New Roman"/>
        </w:rPr>
        <w:t>T</w:t>
      </w:r>
      <w:r w:rsidR="00B7066B" w:rsidRPr="00BC7BB5">
        <w:rPr>
          <w:rFonts w:ascii="Times New Roman" w:hAnsi="Times New Roman" w:cs="Times New Roman"/>
        </w:rPr>
        <w:t xml:space="preserve">he Program financing parameters </w:t>
      </w:r>
      <w:r w:rsidR="00E80E0E" w:rsidRPr="00BC7BB5">
        <w:rPr>
          <w:rFonts w:ascii="Times New Roman" w:hAnsi="Times New Roman" w:cs="Times New Roman"/>
        </w:rPr>
        <w:t>are provided in Table 2 below</w:t>
      </w:r>
      <w:r w:rsidR="00B7066B" w:rsidRPr="00BC7BB5">
        <w:rPr>
          <w:rFonts w:ascii="Times New Roman" w:hAnsi="Times New Roman" w:cs="Times New Roman"/>
        </w:rPr>
        <w:t>.</w:t>
      </w:r>
    </w:p>
    <w:p w14:paraId="68CF8F2A" w14:textId="327E8B12" w:rsidR="00CB512F" w:rsidRPr="00BC7BB5" w:rsidRDefault="00CB512F" w:rsidP="00B73239">
      <w:pPr>
        <w:pStyle w:val="NoSpacing"/>
        <w:rPr>
          <w:rFonts w:ascii="Times New Roman" w:hAnsi="Times New Roman" w:cs="Times New Roman"/>
          <w:b/>
        </w:rPr>
      </w:pPr>
    </w:p>
    <w:p w14:paraId="0E788FE0" w14:textId="56BABE32" w:rsidR="00B7066B" w:rsidRPr="00BC7BB5" w:rsidRDefault="00933B33" w:rsidP="00B7066B">
      <w:pPr>
        <w:pStyle w:val="NoSpacing"/>
        <w:ind w:left="360"/>
        <w:jc w:val="center"/>
        <w:rPr>
          <w:rFonts w:ascii="Times New Roman" w:hAnsi="Times New Roman" w:cs="Times New Roman"/>
          <w:b/>
        </w:rPr>
      </w:pPr>
      <w:r w:rsidRPr="00BC7BB5">
        <w:rPr>
          <w:rFonts w:ascii="Times New Roman" w:hAnsi="Times New Roman" w:cs="Times New Roman"/>
          <w:b/>
        </w:rPr>
        <w:t>Table 2</w:t>
      </w:r>
      <w:r w:rsidR="00495F42">
        <w:rPr>
          <w:rFonts w:ascii="Times New Roman" w:hAnsi="Times New Roman" w:cs="Times New Roman"/>
          <w:b/>
        </w:rPr>
        <w:t>.</w:t>
      </w:r>
      <w:r w:rsidRPr="00BC7BB5">
        <w:rPr>
          <w:rFonts w:ascii="Times New Roman" w:hAnsi="Times New Roman" w:cs="Times New Roman"/>
          <w:b/>
        </w:rPr>
        <w:t xml:space="preserve"> </w:t>
      </w:r>
      <w:r w:rsidR="00770A33" w:rsidRPr="00BC7BB5">
        <w:rPr>
          <w:rFonts w:ascii="Times New Roman" w:hAnsi="Times New Roman" w:cs="Times New Roman"/>
          <w:b/>
        </w:rPr>
        <w:t>Program Financing</w:t>
      </w:r>
    </w:p>
    <w:p w14:paraId="423443EA" w14:textId="551F7874" w:rsidR="00B7066B" w:rsidRPr="00BC7BB5" w:rsidRDefault="00B7066B" w:rsidP="00B7066B">
      <w:pPr>
        <w:pStyle w:val="NoSpacing"/>
        <w:ind w:left="360"/>
        <w:jc w:val="center"/>
        <w:rPr>
          <w:rFonts w:ascii="Times New Roman" w:hAnsi="Times New Roman" w:cs="Times New Roman"/>
          <w:b/>
        </w:rPr>
      </w:pPr>
      <w:r w:rsidRPr="00BC7BB5">
        <w:rPr>
          <w:rFonts w:ascii="Times New Roman" w:hAnsi="Times New Roman" w:cs="Times New Roman"/>
          <w:b/>
        </w:rPr>
        <w:t>(</w:t>
      </w:r>
      <w:r w:rsidR="006E60A7" w:rsidRPr="00BC7BB5">
        <w:rPr>
          <w:rFonts w:ascii="Times New Roman" w:hAnsi="Times New Roman" w:cs="Times New Roman"/>
          <w:b/>
        </w:rPr>
        <w:t>US</w:t>
      </w:r>
      <w:r w:rsidRPr="00BC7BB5">
        <w:rPr>
          <w:rFonts w:ascii="Times New Roman" w:hAnsi="Times New Roman" w:cs="Times New Roman"/>
          <w:b/>
        </w:rPr>
        <w:t xml:space="preserve">$ </w:t>
      </w:r>
      <w:r w:rsidR="00495F42">
        <w:rPr>
          <w:rFonts w:ascii="Times New Roman" w:hAnsi="Times New Roman" w:cs="Times New Roman"/>
          <w:b/>
        </w:rPr>
        <w:t>m</w:t>
      </w:r>
      <w:r w:rsidRPr="00BC7BB5">
        <w:rPr>
          <w:rFonts w:ascii="Times New Roman" w:hAnsi="Times New Roman" w:cs="Times New Roman"/>
          <w:b/>
        </w:rPr>
        <w:t>illion)</w:t>
      </w:r>
    </w:p>
    <w:tbl>
      <w:tblPr>
        <w:tblStyle w:val="TableGrid"/>
        <w:tblW w:w="0" w:type="auto"/>
        <w:tblInd w:w="360" w:type="dxa"/>
        <w:tblLook w:val="04A0" w:firstRow="1" w:lastRow="0" w:firstColumn="1" w:lastColumn="0" w:noHBand="0" w:noVBand="1"/>
      </w:tblPr>
      <w:tblGrid>
        <w:gridCol w:w="3061"/>
        <w:gridCol w:w="2978"/>
        <w:gridCol w:w="2951"/>
      </w:tblGrid>
      <w:tr w:rsidR="00B7066B" w:rsidRPr="00BC7BB5" w14:paraId="349C7567" w14:textId="77777777" w:rsidTr="00B65FDD">
        <w:tc>
          <w:tcPr>
            <w:tcW w:w="3061" w:type="dxa"/>
          </w:tcPr>
          <w:p w14:paraId="40811381" w14:textId="77777777" w:rsidR="00B7066B" w:rsidRPr="00BC7BB5" w:rsidRDefault="00B7066B" w:rsidP="006E60A7">
            <w:pPr>
              <w:pStyle w:val="NoSpacing"/>
              <w:spacing w:after="120"/>
              <w:jc w:val="center"/>
              <w:rPr>
                <w:rFonts w:ascii="Times New Roman" w:hAnsi="Times New Roman" w:cs="Times New Roman"/>
                <w:b/>
                <w:sz w:val="20"/>
                <w:szCs w:val="20"/>
              </w:rPr>
            </w:pPr>
            <w:r w:rsidRPr="00BC7BB5">
              <w:rPr>
                <w:rFonts w:ascii="Times New Roman" w:hAnsi="Times New Roman" w:cs="Times New Roman"/>
                <w:b/>
                <w:sz w:val="20"/>
                <w:szCs w:val="20"/>
              </w:rPr>
              <w:t>Source</w:t>
            </w:r>
            <w:r w:rsidRPr="00BC7BB5">
              <w:rPr>
                <w:rFonts w:ascii="Times New Roman" w:hAnsi="Times New Roman" w:cs="Times New Roman"/>
                <w:b/>
                <w:sz w:val="20"/>
                <w:szCs w:val="20"/>
              </w:rPr>
              <w:tab/>
            </w:r>
          </w:p>
        </w:tc>
        <w:tc>
          <w:tcPr>
            <w:tcW w:w="2978" w:type="dxa"/>
          </w:tcPr>
          <w:p w14:paraId="32D61015" w14:textId="77777777" w:rsidR="00B7066B" w:rsidRPr="00BC7BB5" w:rsidRDefault="00B7066B" w:rsidP="006E60A7">
            <w:pPr>
              <w:pStyle w:val="NoSpacing"/>
              <w:spacing w:after="120"/>
              <w:jc w:val="center"/>
              <w:rPr>
                <w:rFonts w:ascii="Times New Roman" w:hAnsi="Times New Roman" w:cs="Times New Roman"/>
                <w:b/>
                <w:sz w:val="20"/>
                <w:szCs w:val="20"/>
              </w:rPr>
            </w:pPr>
            <w:r w:rsidRPr="00BC7BB5">
              <w:rPr>
                <w:rFonts w:ascii="Times New Roman" w:hAnsi="Times New Roman" w:cs="Times New Roman"/>
                <w:b/>
                <w:sz w:val="20"/>
                <w:szCs w:val="20"/>
              </w:rPr>
              <w:t>Amount</w:t>
            </w:r>
          </w:p>
        </w:tc>
        <w:tc>
          <w:tcPr>
            <w:tcW w:w="2951" w:type="dxa"/>
          </w:tcPr>
          <w:p w14:paraId="5933D5C3" w14:textId="77777777" w:rsidR="00B7066B" w:rsidRPr="00BC7BB5" w:rsidRDefault="00B7066B" w:rsidP="006E60A7">
            <w:pPr>
              <w:pStyle w:val="NoSpacing"/>
              <w:spacing w:after="120"/>
              <w:jc w:val="center"/>
              <w:rPr>
                <w:rFonts w:ascii="Times New Roman" w:hAnsi="Times New Roman" w:cs="Times New Roman"/>
                <w:b/>
                <w:sz w:val="20"/>
                <w:szCs w:val="20"/>
              </w:rPr>
            </w:pPr>
            <w:r w:rsidRPr="00BC7BB5">
              <w:rPr>
                <w:rFonts w:ascii="Times New Roman" w:hAnsi="Times New Roman" w:cs="Times New Roman"/>
                <w:b/>
                <w:sz w:val="20"/>
                <w:szCs w:val="20"/>
              </w:rPr>
              <w:t>% of Total</w:t>
            </w:r>
          </w:p>
        </w:tc>
      </w:tr>
      <w:tr w:rsidR="00B7066B" w:rsidRPr="00BC7BB5" w14:paraId="3BCD1B3D" w14:textId="77777777" w:rsidTr="00B65FDD">
        <w:tc>
          <w:tcPr>
            <w:tcW w:w="3061" w:type="dxa"/>
          </w:tcPr>
          <w:p w14:paraId="7150C8E8" w14:textId="37F1DE70" w:rsidR="00B7066B" w:rsidRPr="00BC7BB5" w:rsidRDefault="00AC351E" w:rsidP="006E60A7">
            <w:pPr>
              <w:pStyle w:val="NoSpacing"/>
              <w:spacing w:after="120"/>
              <w:jc w:val="both"/>
              <w:rPr>
                <w:rFonts w:ascii="Times New Roman" w:hAnsi="Times New Roman" w:cs="Times New Roman"/>
                <w:sz w:val="20"/>
                <w:szCs w:val="20"/>
              </w:rPr>
            </w:pPr>
            <w:r>
              <w:rPr>
                <w:rFonts w:ascii="Times New Roman" w:hAnsi="Times New Roman" w:cs="Times New Roman"/>
                <w:sz w:val="20"/>
                <w:szCs w:val="20"/>
              </w:rPr>
              <w:t>Borrower</w:t>
            </w:r>
          </w:p>
        </w:tc>
        <w:tc>
          <w:tcPr>
            <w:tcW w:w="2978" w:type="dxa"/>
          </w:tcPr>
          <w:p w14:paraId="433859FA" w14:textId="0327CA8A" w:rsidR="00B7066B" w:rsidRPr="001555C1" w:rsidRDefault="008A76F3" w:rsidP="006E60A7">
            <w:pPr>
              <w:pStyle w:val="NoSpacing"/>
              <w:spacing w:after="120"/>
              <w:jc w:val="center"/>
              <w:rPr>
                <w:rFonts w:ascii="Times New Roman" w:hAnsi="Times New Roman" w:cs="Times New Roman"/>
                <w:sz w:val="20"/>
                <w:szCs w:val="20"/>
              </w:rPr>
            </w:pPr>
            <w:r w:rsidRPr="001555C1">
              <w:rPr>
                <w:rFonts w:ascii="Times New Roman" w:hAnsi="Times New Roman" w:cs="Times New Roman"/>
                <w:sz w:val="20"/>
                <w:szCs w:val="20"/>
              </w:rPr>
              <w:t>2</w:t>
            </w:r>
            <w:r w:rsidR="006C2280" w:rsidRPr="001555C1">
              <w:rPr>
                <w:rFonts w:ascii="Times New Roman" w:hAnsi="Times New Roman" w:cs="Times New Roman"/>
                <w:sz w:val="20"/>
                <w:szCs w:val="20"/>
              </w:rPr>
              <w:t>50</w:t>
            </w:r>
          </w:p>
        </w:tc>
        <w:tc>
          <w:tcPr>
            <w:tcW w:w="2951" w:type="dxa"/>
          </w:tcPr>
          <w:p w14:paraId="63E0A2A9" w14:textId="6D303D3C" w:rsidR="00B7066B" w:rsidRPr="001555C1" w:rsidRDefault="006C2280" w:rsidP="006E60A7">
            <w:pPr>
              <w:pStyle w:val="NoSpacing"/>
              <w:spacing w:after="120"/>
              <w:jc w:val="center"/>
              <w:rPr>
                <w:rFonts w:ascii="Times New Roman" w:hAnsi="Times New Roman" w:cs="Times New Roman"/>
                <w:sz w:val="20"/>
                <w:szCs w:val="20"/>
              </w:rPr>
            </w:pPr>
            <w:r w:rsidRPr="001555C1">
              <w:rPr>
                <w:rFonts w:ascii="Times New Roman" w:hAnsi="Times New Roman" w:cs="Times New Roman"/>
                <w:sz w:val="20"/>
                <w:szCs w:val="20"/>
              </w:rPr>
              <w:t>55</w:t>
            </w:r>
            <w:r w:rsidR="00C516C5" w:rsidRPr="001555C1">
              <w:rPr>
                <w:rFonts w:ascii="Times New Roman" w:hAnsi="Times New Roman" w:cs="Times New Roman"/>
                <w:sz w:val="20"/>
                <w:szCs w:val="20"/>
              </w:rPr>
              <w:t>%</w:t>
            </w:r>
          </w:p>
        </w:tc>
      </w:tr>
      <w:tr w:rsidR="00B7066B" w:rsidRPr="00BC7BB5" w14:paraId="481957BC" w14:textId="77777777" w:rsidTr="00B65FDD">
        <w:tc>
          <w:tcPr>
            <w:tcW w:w="3061" w:type="dxa"/>
          </w:tcPr>
          <w:p w14:paraId="0DEB7A01" w14:textId="77777777" w:rsidR="00B7066B" w:rsidRPr="00BC7BB5" w:rsidRDefault="00B7066B" w:rsidP="006E60A7">
            <w:pPr>
              <w:pStyle w:val="NoSpacing"/>
              <w:spacing w:after="120"/>
              <w:rPr>
                <w:rFonts w:ascii="Times New Roman" w:hAnsi="Times New Roman" w:cs="Times New Roman"/>
                <w:sz w:val="20"/>
                <w:szCs w:val="20"/>
              </w:rPr>
            </w:pPr>
            <w:r w:rsidRPr="00BC7BB5">
              <w:rPr>
                <w:rFonts w:ascii="Times New Roman" w:hAnsi="Times New Roman" w:cs="Times New Roman"/>
                <w:sz w:val="20"/>
                <w:szCs w:val="20"/>
              </w:rPr>
              <w:t>IBRD/IDA</w:t>
            </w:r>
          </w:p>
        </w:tc>
        <w:tc>
          <w:tcPr>
            <w:tcW w:w="2978" w:type="dxa"/>
          </w:tcPr>
          <w:p w14:paraId="1DB432A9" w14:textId="72C9B1B1" w:rsidR="00B7066B" w:rsidRPr="001555C1" w:rsidRDefault="0004589D" w:rsidP="006E60A7">
            <w:pPr>
              <w:pStyle w:val="NoSpacing"/>
              <w:spacing w:after="120"/>
              <w:jc w:val="center"/>
              <w:rPr>
                <w:rFonts w:ascii="Times New Roman" w:hAnsi="Times New Roman" w:cs="Times New Roman"/>
                <w:sz w:val="20"/>
                <w:szCs w:val="20"/>
              </w:rPr>
            </w:pPr>
            <w:r w:rsidRPr="001555C1">
              <w:rPr>
                <w:rFonts w:ascii="Times New Roman" w:hAnsi="Times New Roman" w:cs="Times New Roman"/>
                <w:sz w:val="20"/>
                <w:szCs w:val="20"/>
              </w:rPr>
              <w:t>200</w:t>
            </w:r>
          </w:p>
        </w:tc>
        <w:tc>
          <w:tcPr>
            <w:tcW w:w="2951" w:type="dxa"/>
          </w:tcPr>
          <w:p w14:paraId="25083D03" w14:textId="6596C9EB" w:rsidR="00B7066B" w:rsidRPr="001555C1" w:rsidRDefault="006C2280" w:rsidP="006E60A7">
            <w:pPr>
              <w:pStyle w:val="NoSpacing"/>
              <w:spacing w:after="120"/>
              <w:jc w:val="center"/>
              <w:rPr>
                <w:rFonts w:ascii="Times New Roman" w:hAnsi="Times New Roman" w:cs="Times New Roman"/>
                <w:sz w:val="20"/>
                <w:szCs w:val="20"/>
              </w:rPr>
            </w:pPr>
            <w:r w:rsidRPr="001555C1">
              <w:rPr>
                <w:rFonts w:ascii="Times New Roman" w:hAnsi="Times New Roman" w:cs="Times New Roman"/>
                <w:sz w:val="20"/>
                <w:szCs w:val="20"/>
              </w:rPr>
              <w:t>45</w:t>
            </w:r>
            <w:r w:rsidR="000728B5" w:rsidRPr="001555C1">
              <w:rPr>
                <w:rFonts w:ascii="Times New Roman" w:hAnsi="Times New Roman" w:cs="Times New Roman"/>
                <w:sz w:val="20"/>
                <w:szCs w:val="20"/>
              </w:rPr>
              <w:t>%</w:t>
            </w:r>
          </w:p>
        </w:tc>
      </w:tr>
      <w:tr w:rsidR="00B7066B" w:rsidRPr="00BC7BB5" w14:paraId="511D4E4C" w14:textId="77777777" w:rsidTr="00B65FDD">
        <w:tc>
          <w:tcPr>
            <w:tcW w:w="3061" w:type="dxa"/>
          </w:tcPr>
          <w:p w14:paraId="0F479141" w14:textId="77777777" w:rsidR="00B7066B" w:rsidRPr="00BC7BB5" w:rsidRDefault="00B7066B" w:rsidP="006E60A7">
            <w:pPr>
              <w:pStyle w:val="NoSpacing"/>
              <w:spacing w:after="120"/>
              <w:rPr>
                <w:rFonts w:ascii="Times New Roman" w:hAnsi="Times New Roman" w:cs="Times New Roman"/>
                <w:sz w:val="20"/>
                <w:szCs w:val="20"/>
              </w:rPr>
            </w:pPr>
            <w:r w:rsidRPr="00BC7BB5">
              <w:rPr>
                <w:rFonts w:ascii="Times New Roman" w:hAnsi="Times New Roman" w:cs="Times New Roman"/>
                <w:sz w:val="20"/>
                <w:szCs w:val="20"/>
              </w:rPr>
              <w:t>Other Development Partners</w:t>
            </w:r>
          </w:p>
        </w:tc>
        <w:tc>
          <w:tcPr>
            <w:tcW w:w="2978" w:type="dxa"/>
          </w:tcPr>
          <w:p w14:paraId="479C28CE" w14:textId="7E2DFD29" w:rsidR="00B7066B" w:rsidRPr="001555C1" w:rsidRDefault="007D0DE8" w:rsidP="006E60A7">
            <w:pPr>
              <w:pStyle w:val="NoSpacing"/>
              <w:spacing w:after="120"/>
              <w:jc w:val="center"/>
              <w:rPr>
                <w:rFonts w:ascii="Times New Roman" w:hAnsi="Times New Roman" w:cs="Times New Roman"/>
                <w:sz w:val="20"/>
                <w:szCs w:val="20"/>
              </w:rPr>
            </w:pPr>
            <w:r w:rsidRPr="001555C1">
              <w:rPr>
                <w:rFonts w:ascii="Times New Roman" w:hAnsi="Times New Roman" w:cs="Times New Roman"/>
                <w:sz w:val="20"/>
                <w:szCs w:val="20"/>
              </w:rPr>
              <w:t>-</w:t>
            </w:r>
          </w:p>
        </w:tc>
        <w:tc>
          <w:tcPr>
            <w:tcW w:w="2951" w:type="dxa"/>
          </w:tcPr>
          <w:p w14:paraId="4CD63789" w14:textId="56B2D382" w:rsidR="00B7066B" w:rsidRPr="00BC7BB5" w:rsidRDefault="000728B5" w:rsidP="006E60A7">
            <w:pPr>
              <w:pStyle w:val="NoSpacing"/>
              <w:spacing w:after="120"/>
              <w:jc w:val="center"/>
              <w:rPr>
                <w:rFonts w:ascii="Times New Roman" w:hAnsi="Times New Roman" w:cs="Times New Roman"/>
                <w:b/>
                <w:sz w:val="20"/>
                <w:szCs w:val="20"/>
              </w:rPr>
            </w:pPr>
            <w:r w:rsidRPr="00BC7BB5">
              <w:rPr>
                <w:rFonts w:ascii="Times New Roman" w:hAnsi="Times New Roman" w:cs="Times New Roman"/>
                <w:b/>
                <w:sz w:val="20"/>
                <w:szCs w:val="20"/>
              </w:rPr>
              <w:t>-</w:t>
            </w:r>
          </w:p>
        </w:tc>
      </w:tr>
      <w:tr w:rsidR="00B7066B" w:rsidRPr="00BC7BB5" w14:paraId="25385427" w14:textId="77777777" w:rsidTr="00B65FDD">
        <w:tc>
          <w:tcPr>
            <w:tcW w:w="3061" w:type="dxa"/>
          </w:tcPr>
          <w:p w14:paraId="19511E5B" w14:textId="77777777" w:rsidR="00B7066B" w:rsidRPr="00BC7BB5" w:rsidRDefault="00B7066B" w:rsidP="006E60A7">
            <w:pPr>
              <w:pStyle w:val="NoSpacing"/>
              <w:spacing w:after="120"/>
              <w:rPr>
                <w:rFonts w:ascii="Times New Roman" w:hAnsi="Times New Roman" w:cs="Times New Roman"/>
                <w:b/>
                <w:sz w:val="20"/>
                <w:szCs w:val="20"/>
              </w:rPr>
            </w:pPr>
            <w:r w:rsidRPr="00BC7BB5">
              <w:rPr>
                <w:rFonts w:ascii="Times New Roman" w:hAnsi="Times New Roman" w:cs="Times New Roman"/>
                <w:b/>
                <w:sz w:val="20"/>
                <w:szCs w:val="20"/>
              </w:rPr>
              <w:t>Total Program Financing</w:t>
            </w:r>
          </w:p>
        </w:tc>
        <w:tc>
          <w:tcPr>
            <w:tcW w:w="2978" w:type="dxa"/>
          </w:tcPr>
          <w:p w14:paraId="58064C7E" w14:textId="2B29BE74" w:rsidR="00B7066B" w:rsidRPr="001555C1" w:rsidRDefault="006C2280" w:rsidP="006E60A7">
            <w:pPr>
              <w:pStyle w:val="NoSpacing"/>
              <w:spacing w:after="120"/>
              <w:jc w:val="center"/>
              <w:rPr>
                <w:rFonts w:ascii="Times New Roman" w:hAnsi="Times New Roman" w:cs="Times New Roman"/>
                <w:b/>
                <w:sz w:val="20"/>
                <w:szCs w:val="20"/>
              </w:rPr>
            </w:pPr>
            <w:r w:rsidRPr="001555C1">
              <w:rPr>
                <w:rFonts w:ascii="Times New Roman" w:hAnsi="Times New Roman" w:cs="Times New Roman"/>
                <w:b/>
                <w:sz w:val="20"/>
                <w:szCs w:val="20"/>
              </w:rPr>
              <w:t>450</w:t>
            </w:r>
          </w:p>
        </w:tc>
        <w:tc>
          <w:tcPr>
            <w:tcW w:w="2951" w:type="dxa"/>
          </w:tcPr>
          <w:p w14:paraId="04B169E6" w14:textId="1B1B5651" w:rsidR="00B7066B" w:rsidRPr="00BC7BB5" w:rsidRDefault="000728B5" w:rsidP="006E60A7">
            <w:pPr>
              <w:pStyle w:val="NoSpacing"/>
              <w:spacing w:after="120"/>
              <w:jc w:val="center"/>
              <w:rPr>
                <w:rFonts w:ascii="Times New Roman" w:hAnsi="Times New Roman" w:cs="Times New Roman"/>
                <w:b/>
                <w:sz w:val="20"/>
                <w:szCs w:val="20"/>
              </w:rPr>
            </w:pPr>
            <w:r w:rsidRPr="00BC7BB5">
              <w:rPr>
                <w:rFonts w:ascii="Times New Roman" w:hAnsi="Times New Roman" w:cs="Times New Roman"/>
                <w:b/>
                <w:sz w:val="20"/>
                <w:szCs w:val="20"/>
              </w:rPr>
              <w:t>100%</w:t>
            </w:r>
          </w:p>
        </w:tc>
      </w:tr>
    </w:tbl>
    <w:p w14:paraId="7D012D76" w14:textId="77777777" w:rsidR="00B7066B" w:rsidRPr="00BC7BB5" w:rsidRDefault="00B7066B" w:rsidP="00B7066B">
      <w:pPr>
        <w:pStyle w:val="NoSpacing"/>
        <w:ind w:left="360"/>
        <w:jc w:val="center"/>
        <w:rPr>
          <w:rFonts w:ascii="Times New Roman" w:hAnsi="Times New Roman" w:cs="Times New Roman"/>
          <w:b/>
        </w:rPr>
      </w:pPr>
    </w:p>
    <w:p w14:paraId="313A0B25" w14:textId="77777777" w:rsidR="00B7066B" w:rsidRPr="00BC7BB5" w:rsidRDefault="00B7066B" w:rsidP="00B7066B">
      <w:pPr>
        <w:pStyle w:val="NoSpacing"/>
        <w:ind w:left="360"/>
        <w:jc w:val="center"/>
        <w:rPr>
          <w:rFonts w:ascii="Times New Roman" w:hAnsi="Times New Roman" w:cs="Times New Roman"/>
          <w:b/>
        </w:rPr>
      </w:pPr>
    </w:p>
    <w:p w14:paraId="5D468349" w14:textId="66C5D2EF" w:rsidR="00B7066B" w:rsidRPr="00BC7BB5" w:rsidRDefault="00B7066B" w:rsidP="00F561E8">
      <w:pPr>
        <w:pStyle w:val="NoSpacing"/>
        <w:numPr>
          <w:ilvl w:val="0"/>
          <w:numId w:val="27"/>
        </w:numPr>
        <w:ind w:left="0" w:firstLine="0"/>
        <w:outlineLvl w:val="1"/>
        <w:rPr>
          <w:rFonts w:ascii="Times New Roman Bold" w:hAnsi="Times New Roman Bold" w:cs="Times New Roman"/>
          <w:b/>
          <w:smallCaps/>
        </w:rPr>
      </w:pPr>
      <w:bookmarkStart w:id="10" w:name="_Toc499113399"/>
      <w:r w:rsidRPr="00BC7BB5">
        <w:rPr>
          <w:rFonts w:ascii="Times New Roman Bold" w:hAnsi="Times New Roman Bold" w:cs="Times New Roman"/>
          <w:b/>
          <w:smallCaps/>
        </w:rPr>
        <w:t>Disbursement Linked Indicators</w:t>
      </w:r>
      <w:r w:rsidR="00A11C17" w:rsidRPr="00BC7BB5">
        <w:rPr>
          <w:rFonts w:ascii="Times New Roman Bold" w:hAnsi="Times New Roman Bold" w:cs="Times New Roman"/>
          <w:b/>
          <w:smallCaps/>
        </w:rPr>
        <w:t xml:space="preserve"> </w:t>
      </w:r>
      <w:r w:rsidR="00F26CAA" w:rsidRPr="00BC7BB5">
        <w:rPr>
          <w:rFonts w:ascii="Times New Roman Bold" w:hAnsi="Times New Roman Bold" w:cs="Times New Roman"/>
          <w:b/>
          <w:smallCaps/>
        </w:rPr>
        <w:t>(DLI</w:t>
      </w:r>
      <w:r w:rsidR="0011149D">
        <w:rPr>
          <w:rFonts w:ascii="Times New Roman Bold" w:hAnsi="Times New Roman Bold" w:cs="Times New Roman"/>
          <w:b/>
          <w:smallCaps/>
        </w:rPr>
        <w:fldChar w:fldCharType="begin"/>
      </w:r>
      <w:r w:rsidR="0011149D">
        <w:instrText xml:space="preserve"> XE "</w:instrText>
      </w:r>
      <w:r w:rsidR="0011149D" w:rsidRPr="00844671">
        <w:rPr>
          <w:rFonts w:ascii="Times New Roman Bold" w:hAnsi="Times New Roman Bold" w:cs="Times New Roman"/>
          <w:b/>
          <w:smallCaps/>
        </w:rPr>
        <w:instrText>DLI:</w:instrText>
      </w:r>
      <w:r w:rsidR="0011149D" w:rsidRPr="00844671">
        <w:instrText>D.</w:instrText>
      </w:r>
      <w:r w:rsidR="0011149D" w:rsidRPr="00844671">
        <w:tab/>
        <w:instrText>DISBURSEMENT LINKED INDICATORS</w:instrText>
      </w:r>
      <w:r w:rsidR="0011149D">
        <w:instrText xml:space="preserve">" </w:instrText>
      </w:r>
      <w:r w:rsidR="0011149D">
        <w:rPr>
          <w:rFonts w:ascii="Times New Roman Bold" w:hAnsi="Times New Roman Bold" w:cs="Times New Roman"/>
          <w:b/>
          <w:smallCaps/>
        </w:rPr>
        <w:fldChar w:fldCharType="end"/>
      </w:r>
      <w:r w:rsidR="00F26CAA" w:rsidRPr="00BC7BB5">
        <w:rPr>
          <w:rFonts w:ascii="Times New Roman Bold" w:hAnsi="Times New Roman Bold" w:cs="Times New Roman"/>
          <w:b/>
          <w:smallCaps/>
        </w:rPr>
        <w:t xml:space="preserve">s) </w:t>
      </w:r>
      <w:r w:rsidR="00CD5FBB" w:rsidRPr="00BC7BB5">
        <w:rPr>
          <w:rFonts w:ascii="Times New Roman Bold" w:hAnsi="Times New Roman Bold" w:cs="Times New Roman"/>
          <w:b/>
          <w:smallCaps/>
        </w:rPr>
        <w:t>and Verification Protocols</w:t>
      </w:r>
      <w:bookmarkEnd w:id="10"/>
    </w:p>
    <w:p w14:paraId="42F382F9" w14:textId="77777777" w:rsidR="00B65FDD" w:rsidRPr="00BC7BB5" w:rsidRDefault="00B65FDD" w:rsidP="00B65FDD">
      <w:pPr>
        <w:pStyle w:val="NoSpacing"/>
        <w:ind w:left="720"/>
        <w:rPr>
          <w:rFonts w:ascii="Times New Roman" w:hAnsi="Times New Roman" w:cs="Times New Roman"/>
          <w:b/>
        </w:rPr>
      </w:pPr>
    </w:p>
    <w:p w14:paraId="22EB634D" w14:textId="4881052D" w:rsidR="000876F2" w:rsidRPr="00BC7BB5" w:rsidRDefault="000876F2" w:rsidP="00B35A06">
      <w:pPr>
        <w:pStyle w:val="NoSpacing"/>
        <w:numPr>
          <w:ilvl w:val="0"/>
          <w:numId w:val="7"/>
        </w:numPr>
        <w:ind w:left="0" w:firstLine="0"/>
        <w:jc w:val="both"/>
        <w:rPr>
          <w:rFonts w:ascii="Times New Roman" w:hAnsi="Times New Roman" w:cs="Times New Roman"/>
        </w:rPr>
      </w:pPr>
      <w:r w:rsidRPr="00BC7BB5">
        <w:rPr>
          <w:rFonts w:ascii="Times New Roman" w:hAnsi="Times New Roman" w:cs="Times New Roman"/>
          <w:b/>
        </w:rPr>
        <w:t xml:space="preserve">The following </w:t>
      </w:r>
      <w:r w:rsidR="003B0D79" w:rsidRPr="00BC7BB5">
        <w:rPr>
          <w:rFonts w:ascii="Times New Roman" w:hAnsi="Times New Roman" w:cs="Times New Roman"/>
          <w:b/>
        </w:rPr>
        <w:t>elements were considered</w:t>
      </w:r>
      <w:r w:rsidRPr="00BC7BB5">
        <w:rPr>
          <w:rFonts w:ascii="Times New Roman" w:hAnsi="Times New Roman" w:cs="Times New Roman"/>
          <w:b/>
        </w:rPr>
        <w:t xml:space="preserve"> to define the DLIs</w:t>
      </w:r>
      <w:r w:rsidRPr="00BC7BB5">
        <w:rPr>
          <w:rFonts w:ascii="Times New Roman" w:hAnsi="Times New Roman" w:cs="Times New Roman"/>
        </w:rPr>
        <w:t xml:space="preserve">: (a) </w:t>
      </w:r>
      <w:r w:rsidR="008145C7" w:rsidRPr="00BC7BB5">
        <w:rPr>
          <w:rFonts w:ascii="Times New Roman" w:hAnsi="Times New Roman" w:cs="Times New Roman"/>
        </w:rPr>
        <w:t>inclusion of</w:t>
      </w:r>
      <w:r w:rsidRPr="00BC7BB5">
        <w:rPr>
          <w:rFonts w:ascii="Times New Roman" w:hAnsi="Times New Roman" w:cs="Times New Roman"/>
        </w:rPr>
        <w:t xml:space="preserve"> the milestones toward achieving the key </w:t>
      </w:r>
      <w:r w:rsidR="008145C7" w:rsidRPr="00BC7BB5">
        <w:rPr>
          <w:rFonts w:ascii="Times New Roman" w:hAnsi="Times New Roman" w:cs="Times New Roman"/>
        </w:rPr>
        <w:t>Program</w:t>
      </w:r>
      <w:r w:rsidRPr="00BC7BB5">
        <w:rPr>
          <w:rFonts w:ascii="Times New Roman" w:hAnsi="Times New Roman" w:cs="Times New Roman"/>
        </w:rPr>
        <w:t xml:space="preserve"> outcomes and the PDO, in terms of activities, outputs and intermediate outcomes; (b) including scalable DLIs, allowing for disbursement against </w:t>
      </w:r>
      <w:r w:rsidR="00495F42">
        <w:rPr>
          <w:rFonts w:ascii="Times New Roman" w:hAnsi="Times New Roman" w:cs="Times New Roman"/>
        </w:rPr>
        <w:t xml:space="preserve">gradual </w:t>
      </w:r>
      <w:r w:rsidRPr="00BC7BB5">
        <w:rPr>
          <w:rFonts w:ascii="Times New Roman" w:hAnsi="Times New Roman" w:cs="Times New Roman"/>
        </w:rPr>
        <w:t xml:space="preserve">achievement of results; </w:t>
      </w:r>
      <w:r w:rsidR="00AF502A" w:rsidRPr="00BC7BB5">
        <w:rPr>
          <w:rFonts w:ascii="Times New Roman" w:hAnsi="Times New Roman" w:cs="Times New Roman"/>
        </w:rPr>
        <w:t xml:space="preserve">and </w:t>
      </w:r>
      <w:r w:rsidR="00FA4039" w:rsidRPr="00BC7BB5">
        <w:rPr>
          <w:rFonts w:ascii="Times New Roman" w:hAnsi="Times New Roman" w:cs="Times New Roman"/>
        </w:rPr>
        <w:t>(c)</w:t>
      </w:r>
      <w:r w:rsidRPr="00BC7BB5">
        <w:rPr>
          <w:rFonts w:ascii="Times New Roman" w:hAnsi="Times New Roman" w:cs="Times New Roman"/>
        </w:rPr>
        <w:t xml:space="preserve"> setting a balance between </w:t>
      </w:r>
      <w:r w:rsidR="008145C7" w:rsidRPr="00BC7BB5">
        <w:rPr>
          <w:rFonts w:ascii="Times New Roman" w:hAnsi="Times New Roman" w:cs="Times New Roman"/>
        </w:rPr>
        <w:t xml:space="preserve">process, </w:t>
      </w:r>
      <w:r w:rsidRPr="00BC7BB5">
        <w:rPr>
          <w:rFonts w:ascii="Times New Roman" w:hAnsi="Times New Roman" w:cs="Times New Roman"/>
        </w:rPr>
        <w:t xml:space="preserve">qualitative and quantitative types of measurement and reporting. Table </w:t>
      </w:r>
      <w:r w:rsidR="00E80E0E" w:rsidRPr="00BC7BB5">
        <w:rPr>
          <w:rFonts w:ascii="Times New Roman" w:hAnsi="Times New Roman" w:cs="Times New Roman"/>
        </w:rPr>
        <w:t>3</w:t>
      </w:r>
      <w:r w:rsidRPr="00BC7BB5">
        <w:rPr>
          <w:rFonts w:ascii="Times New Roman" w:hAnsi="Times New Roman" w:cs="Times New Roman"/>
        </w:rPr>
        <w:t xml:space="preserve"> </w:t>
      </w:r>
      <w:r w:rsidR="00B22D26" w:rsidRPr="00BC7BB5">
        <w:rPr>
          <w:rFonts w:ascii="Times New Roman" w:hAnsi="Times New Roman" w:cs="Times New Roman"/>
        </w:rPr>
        <w:t>summarizes the list of</w:t>
      </w:r>
      <w:r w:rsidRPr="00BC7BB5">
        <w:rPr>
          <w:rFonts w:ascii="Times New Roman" w:hAnsi="Times New Roman" w:cs="Times New Roman"/>
        </w:rPr>
        <w:t xml:space="preserve"> DLIs, with details presented in Annex 3. Disbursements against DLI</w:t>
      </w:r>
      <w:r w:rsidR="00730643" w:rsidRPr="00BC7BB5">
        <w:rPr>
          <w:rFonts w:ascii="Times New Roman" w:hAnsi="Times New Roman" w:cs="Times New Roman"/>
        </w:rPr>
        <w:fldChar w:fldCharType="begin"/>
      </w:r>
      <w:r w:rsidR="00730643" w:rsidRPr="00BC7BB5">
        <w:instrText xml:space="preserve"> XE "</w:instrText>
      </w:r>
      <w:r w:rsidR="00730643" w:rsidRPr="00BC7BB5">
        <w:rPr>
          <w:rFonts w:ascii="Times New Roman" w:hAnsi="Times New Roman" w:cs="Times New Roman"/>
        </w:rPr>
        <w:instrText>DLI</w:instrText>
      </w:r>
      <w:r w:rsidR="00730643" w:rsidRPr="00BC7BB5">
        <w:instrText xml:space="preserve">" </w:instrText>
      </w:r>
      <w:r w:rsidR="00730643" w:rsidRPr="00BC7BB5">
        <w:rPr>
          <w:rFonts w:ascii="Times New Roman" w:hAnsi="Times New Roman" w:cs="Times New Roman"/>
        </w:rPr>
        <w:fldChar w:fldCharType="end"/>
      </w:r>
      <w:r w:rsidRPr="00BC7BB5">
        <w:rPr>
          <w:rFonts w:ascii="Times New Roman" w:hAnsi="Times New Roman" w:cs="Times New Roman"/>
        </w:rPr>
        <w:t xml:space="preserve">s </w:t>
      </w:r>
      <w:r w:rsidR="00FA4039" w:rsidRPr="00BC7BB5">
        <w:rPr>
          <w:rFonts w:ascii="Times New Roman" w:hAnsi="Times New Roman" w:cs="Times New Roman"/>
        </w:rPr>
        <w:t>take into consideration</w:t>
      </w:r>
      <w:r w:rsidRPr="00BC7BB5">
        <w:rPr>
          <w:rFonts w:ascii="Times New Roman" w:hAnsi="Times New Roman" w:cs="Times New Roman"/>
        </w:rPr>
        <w:t xml:space="preserve"> </w:t>
      </w:r>
      <w:r w:rsidR="00FA4039" w:rsidRPr="00BC7BB5">
        <w:rPr>
          <w:rFonts w:ascii="Times New Roman" w:hAnsi="Times New Roman" w:cs="Times New Roman"/>
        </w:rPr>
        <w:t>their contribution to the objectives of the Program</w:t>
      </w:r>
      <w:r w:rsidRPr="00BC7BB5">
        <w:rPr>
          <w:rFonts w:ascii="Times New Roman" w:hAnsi="Times New Roman" w:cs="Times New Roman"/>
        </w:rPr>
        <w:t xml:space="preserve">. </w:t>
      </w:r>
      <w:r w:rsidR="00AF502A" w:rsidRPr="00BC7BB5">
        <w:rPr>
          <w:rFonts w:ascii="Times New Roman" w:hAnsi="Times New Roman" w:cs="Times New Roman"/>
        </w:rPr>
        <w:t>Several</w:t>
      </w:r>
      <w:r w:rsidRPr="00BC7BB5">
        <w:rPr>
          <w:rFonts w:ascii="Times New Roman" w:hAnsi="Times New Roman" w:cs="Times New Roman"/>
        </w:rPr>
        <w:t xml:space="preserve"> DLIs </w:t>
      </w:r>
      <w:r w:rsidR="00804310" w:rsidRPr="00BC7BB5">
        <w:rPr>
          <w:rFonts w:ascii="Times New Roman" w:hAnsi="Times New Roman" w:cs="Times New Roman"/>
        </w:rPr>
        <w:t>entail sub-</w:t>
      </w:r>
      <w:r w:rsidRPr="00BC7BB5">
        <w:rPr>
          <w:rFonts w:ascii="Times New Roman" w:hAnsi="Times New Roman" w:cs="Times New Roman"/>
        </w:rPr>
        <w:t>indicators, which increases scalability of disbursement</w:t>
      </w:r>
      <w:r w:rsidR="00AF502A" w:rsidRPr="00BC7BB5">
        <w:rPr>
          <w:rFonts w:ascii="Times New Roman" w:hAnsi="Times New Roman" w:cs="Times New Roman"/>
        </w:rPr>
        <w:t>s</w:t>
      </w:r>
      <w:r w:rsidRPr="00BC7BB5">
        <w:rPr>
          <w:rFonts w:ascii="Times New Roman" w:hAnsi="Times New Roman" w:cs="Times New Roman"/>
        </w:rPr>
        <w:t xml:space="preserve"> (Annex 3)</w:t>
      </w:r>
      <w:r w:rsidR="00804310" w:rsidRPr="00BC7BB5">
        <w:rPr>
          <w:rFonts w:ascii="Times New Roman" w:hAnsi="Times New Roman" w:cs="Times New Roman"/>
        </w:rPr>
        <w:t>.</w:t>
      </w:r>
      <w:r w:rsidRPr="00BC7BB5">
        <w:rPr>
          <w:rFonts w:ascii="Times New Roman" w:hAnsi="Times New Roman" w:cs="Times New Roman"/>
        </w:rPr>
        <w:t xml:space="preserve"> </w:t>
      </w:r>
    </w:p>
    <w:p w14:paraId="4363C99D" w14:textId="77777777" w:rsidR="00A9238B" w:rsidRDefault="00A9238B" w:rsidP="000876F2">
      <w:pPr>
        <w:jc w:val="center"/>
        <w:rPr>
          <w:rFonts w:ascii="Times New Roman" w:hAnsi="Times New Roman" w:cs="Times New Roman"/>
          <w:b/>
        </w:rPr>
      </w:pPr>
    </w:p>
    <w:p w14:paraId="3B4D4010" w14:textId="2FD3AFD2" w:rsidR="000876F2" w:rsidRPr="00BC7BB5" w:rsidRDefault="000876F2" w:rsidP="000876F2">
      <w:pPr>
        <w:jc w:val="center"/>
        <w:rPr>
          <w:rFonts w:ascii="Times New Roman" w:hAnsi="Times New Roman" w:cs="Times New Roman"/>
          <w:b/>
        </w:rPr>
      </w:pPr>
      <w:r w:rsidRPr="00BC7BB5">
        <w:rPr>
          <w:rFonts w:ascii="Times New Roman" w:hAnsi="Times New Roman" w:cs="Times New Roman"/>
          <w:b/>
        </w:rPr>
        <w:lastRenderedPageBreak/>
        <w:t xml:space="preserve">Table </w:t>
      </w:r>
      <w:r w:rsidR="00E80E0E" w:rsidRPr="00BC7BB5">
        <w:rPr>
          <w:rFonts w:ascii="Times New Roman" w:hAnsi="Times New Roman" w:cs="Times New Roman"/>
          <w:b/>
        </w:rPr>
        <w:t>3</w:t>
      </w:r>
      <w:r w:rsidR="00495F42">
        <w:rPr>
          <w:rFonts w:ascii="Times New Roman" w:hAnsi="Times New Roman" w:cs="Times New Roman"/>
          <w:b/>
        </w:rPr>
        <w:t>.</w:t>
      </w:r>
      <w:r w:rsidRPr="00BC7BB5">
        <w:rPr>
          <w:rFonts w:ascii="Times New Roman" w:hAnsi="Times New Roman" w:cs="Times New Roman"/>
          <w:b/>
        </w:rPr>
        <w:t xml:space="preserve"> Disbursement Linked Indicators (DLIs)</w:t>
      </w:r>
    </w:p>
    <w:tbl>
      <w:tblPr>
        <w:tblStyle w:val="TableGrid"/>
        <w:tblW w:w="0" w:type="auto"/>
        <w:tblLook w:val="04A0" w:firstRow="1" w:lastRow="0" w:firstColumn="1" w:lastColumn="0" w:noHBand="0" w:noVBand="1"/>
      </w:tblPr>
      <w:tblGrid>
        <w:gridCol w:w="7015"/>
        <w:gridCol w:w="1294"/>
        <w:gridCol w:w="1041"/>
      </w:tblGrid>
      <w:tr w:rsidR="000876F2" w:rsidRPr="00BC7BB5" w14:paraId="2DB8CBC8" w14:textId="77777777" w:rsidTr="000933CF">
        <w:tc>
          <w:tcPr>
            <w:tcW w:w="7015" w:type="dxa"/>
            <w:shd w:val="clear" w:color="auto" w:fill="D9D9D9" w:themeFill="background1" w:themeFillShade="D9"/>
            <w:vAlign w:val="center"/>
          </w:tcPr>
          <w:p w14:paraId="1D9F7D68" w14:textId="59BD0063" w:rsidR="000876F2" w:rsidRPr="00BC7BB5" w:rsidRDefault="000876F2" w:rsidP="000933CF">
            <w:pPr>
              <w:pStyle w:val="Attachmenttitle"/>
              <w:spacing w:after="0"/>
              <w:jc w:val="center"/>
              <w:rPr>
                <w:sz w:val="18"/>
                <w:szCs w:val="18"/>
              </w:rPr>
            </w:pPr>
            <w:r w:rsidRPr="00BC7BB5">
              <w:rPr>
                <w:sz w:val="18"/>
                <w:szCs w:val="18"/>
              </w:rPr>
              <w:t>Disbursement Linked Indicator</w:t>
            </w:r>
            <w:r w:rsidR="00730643" w:rsidRPr="00BC7BB5">
              <w:rPr>
                <w:sz w:val="18"/>
                <w:szCs w:val="18"/>
              </w:rPr>
              <w:fldChar w:fldCharType="begin"/>
            </w:r>
            <w:r w:rsidR="00730643" w:rsidRPr="00BC7BB5">
              <w:instrText xml:space="preserve"> XE "</w:instrText>
            </w:r>
            <w:r w:rsidR="00730643" w:rsidRPr="00BC7BB5">
              <w:rPr>
                <w:sz w:val="18"/>
                <w:szCs w:val="18"/>
              </w:rPr>
              <w:instrText>DLI:</w:instrText>
            </w:r>
            <w:r w:rsidR="00730643" w:rsidRPr="00BC7BB5">
              <w:instrText xml:space="preserve">Disbursement Linked Indicator" </w:instrText>
            </w:r>
            <w:r w:rsidR="00730643" w:rsidRPr="00BC7BB5">
              <w:rPr>
                <w:sz w:val="18"/>
                <w:szCs w:val="18"/>
              </w:rPr>
              <w:fldChar w:fldCharType="end"/>
            </w:r>
            <w:r w:rsidRPr="00BC7BB5">
              <w:rPr>
                <w:sz w:val="18"/>
                <w:szCs w:val="18"/>
              </w:rPr>
              <w:t xml:space="preserve"> (DLI)</w:t>
            </w:r>
          </w:p>
        </w:tc>
        <w:tc>
          <w:tcPr>
            <w:tcW w:w="1294" w:type="dxa"/>
            <w:shd w:val="clear" w:color="auto" w:fill="D9D9D9" w:themeFill="background1" w:themeFillShade="D9"/>
            <w:vAlign w:val="center"/>
          </w:tcPr>
          <w:p w14:paraId="5CB02A89" w14:textId="77777777" w:rsidR="00F56A37" w:rsidRPr="00BC7BB5" w:rsidRDefault="000876F2" w:rsidP="000933CF">
            <w:pPr>
              <w:pStyle w:val="Attachmenttitle"/>
              <w:spacing w:after="0"/>
              <w:jc w:val="center"/>
              <w:rPr>
                <w:sz w:val="18"/>
                <w:szCs w:val="18"/>
              </w:rPr>
            </w:pPr>
            <w:r w:rsidRPr="00BC7BB5">
              <w:rPr>
                <w:sz w:val="18"/>
                <w:szCs w:val="18"/>
              </w:rPr>
              <w:t xml:space="preserve">DLI </w:t>
            </w:r>
            <w:r w:rsidR="00F56A37" w:rsidRPr="00BC7BB5">
              <w:rPr>
                <w:sz w:val="18"/>
                <w:szCs w:val="18"/>
              </w:rPr>
              <w:t xml:space="preserve"> </w:t>
            </w:r>
          </w:p>
          <w:p w14:paraId="0A9ABF39" w14:textId="670CCECC" w:rsidR="000876F2" w:rsidRPr="00BC7BB5" w:rsidRDefault="000876F2" w:rsidP="000933CF">
            <w:pPr>
              <w:pStyle w:val="Attachmenttitle"/>
              <w:spacing w:after="0"/>
              <w:jc w:val="center"/>
              <w:rPr>
                <w:sz w:val="18"/>
                <w:szCs w:val="18"/>
              </w:rPr>
            </w:pPr>
            <w:r w:rsidRPr="00BC7BB5">
              <w:rPr>
                <w:sz w:val="18"/>
                <w:szCs w:val="18"/>
              </w:rPr>
              <w:t>(</w:t>
            </w:r>
            <w:r w:rsidR="00495F42">
              <w:rPr>
                <w:sz w:val="18"/>
                <w:szCs w:val="18"/>
              </w:rPr>
              <w:t xml:space="preserve">US$ </w:t>
            </w:r>
            <w:r w:rsidRPr="00BC7BB5">
              <w:rPr>
                <w:sz w:val="18"/>
                <w:szCs w:val="18"/>
              </w:rPr>
              <w:t>million)</w:t>
            </w:r>
          </w:p>
        </w:tc>
        <w:tc>
          <w:tcPr>
            <w:tcW w:w="1041" w:type="dxa"/>
            <w:shd w:val="clear" w:color="auto" w:fill="D9D9D9" w:themeFill="background1" w:themeFillShade="D9"/>
          </w:tcPr>
          <w:p w14:paraId="6DA6A946" w14:textId="77777777" w:rsidR="000876F2" w:rsidRPr="00BC7BB5" w:rsidRDefault="000876F2" w:rsidP="000933CF">
            <w:pPr>
              <w:pStyle w:val="Attachmenttitle"/>
              <w:spacing w:after="0"/>
              <w:jc w:val="center"/>
              <w:rPr>
                <w:sz w:val="18"/>
                <w:szCs w:val="18"/>
              </w:rPr>
            </w:pPr>
            <w:r w:rsidRPr="00BC7BB5">
              <w:rPr>
                <w:sz w:val="18"/>
                <w:szCs w:val="18"/>
              </w:rPr>
              <w:t>DLI scalability (yes/no)</w:t>
            </w:r>
          </w:p>
        </w:tc>
      </w:tr>
      <w:tr w:rsidR="000876F2" w:rsidRPr="00BC7BB5" w14:paraId="4DAC8BD1" w14:textId="77777777" w:rsidTr="000933CF">
        <w:tc>
          <w:tcPr>
            <w:tcW w:w="7015" w:type="dxa"/>
            <w:vAlign w:val="center"/>
          </w:tcPr>
          <w:p w14:paraId="256E7A1F" w14:textId="6B131AF9" w:rsidR="000876F2" w:rsidRPr="00BC7BB5" w:rsidRDefault="000876F2" w:rsidP="000933CF">
            <w:pPr>
              <w:pStyle w:val="Attachmenttitle"/>
              <w:spacing w:after="0"/>
              <w:rPr>
                <w:b w:val="0"/>
                <w:sz w:val="18"/>
                <w:szCs w:val="18"/>
              </w:rPr>
            </w:pPr>
            <w:r w:rsidRPr="00BC7BB5">
              <w:rPr>
                <w:sz w:val="18"/>
                <w:szCs w:val="18"/>
              </w:rPr>
              <w:t>DLI#1</w:t>
            </w:r>
            <w:r w:rsidRPr="00BC7BB5">
              <w:rPr>
                <w:b w:val="0"/>
                <w:sz w:val="18"/>
                <w:szCs w:val="18"/>
              </w:rPr>
              <w:t xml:space="preserve"> </w:t>
            </w:r>
            <w:r w:rsidRPr="00BC7BB5">
              <w:rPr>
                <w:sz w:val="18"/>
                <w:szCs w:val="18"/>
              </w:rPr>
              <w:t>–</w:t>
            </w:r>
            <w:r w:rsidR="00F56A37" w:rsidRPr="00BC7BB5">
              <w:rPr>
                <w:b w:val="0"/>
                <w:sz w:val="18"/>
                <w:szCs w:val="18"/>
              </w:rPr>
              <w:t xml:space="preserve"> </w:t>
            </w:r>
            <w:r w:rsidR="000E3EA7">
              <w:rPr>
                <w:b w:val="0"/>
                <w:sz w:val="18"/>
                <w:szCs w:val="18"/>
              </w:rPr>
              <w:t xml:space="preserve">Number of </w:t>
            </w:r>
            <w:r w:rsidR="001B6A9D" w:rsidRPr="00BC7BB5">
              <w:rPr>
                <w:b w:val="0"/>
                <w:i/>
                <w:sz w:val="18"/>
                <w:szCs w:val="18"/>
              </w:rPr>
              <w:t>Interprofessions</w:t>
            </w:r>
            <w:r w:rsidR="001B6A9D" w:rsidRPr="00BC7BB5">
              <w:rPr>
                <w:b w:val="0"/>
                <w:sz w:val="18"/>
                <w:szCs w:val="18"/>
              </w:rPr>
              <w:t xml:space="preserve"> with </w:t>
            </w:r>
            <w:r w:rsidR="002359D5" w:rsidRPr="00BC7BB5">
              <w:rPr>
                <w:b w:val="0"/>
                <w:sz w:val="18"/>
                <w:szCs w:val="18"/>
              </w:rPr>
              <w:t xml:space="preserve">business plans approved and </w:t>
            </w:r>
            <w:r w:rsidR="001B6A9D" w:rsidRPr="00BC7BB5">
              <w:rPr>
                <w:b w:val="0"/>
                <w:sz w:val="18"/>
                <w:szCs w:val="18"/>
              </w:rPr>
              <w:t>intra-br</w:t>
            </w:r>
            <w:r w:rsidR="0036742F" w:rsidRPr="00BC7BB5">
              <w:rPr>
                <w:b w:val="0"/>
                <w:sz w:val="18"/>
                <w:szCs w:val="18"/>
              </w:rPr>
              <w:t>anch agreements</w:t>
            </w:r>
            <w:r w:rsidR="006C2280">
              <w:rPr>
                <w:b w:val="0"/>
                <w:sz w:val="18"/>
                <w:szCs w:val="18"/>
              </w:rPr>
              <w:t xml:space="preserve"> (</w:t>
            </w:r>
            <w:r w:rsidR="006C2280" w:rsidRPr="006C2280">
              <w:rPr>
                <w:b w:val="0"/>
                <w:i/>
                <w:sz w:val="18"/>
                <w:szCs w:val="18"/>
              </w:rPr>
              <w:t>Accords Interprofessionnels</w:t>
            </w:r>
            <w:r w:rsidR="006C2280">
              <w:rPr>
                <w:b w:val="0"/>
                <w:sz w:val="18"/>
                <w:szCs w:val="18"/>
              </w:rPr>
              <w:t>)</w:t>
            </w:r>
            <w:r w:rsidR="0036742F" w:rsidRPr="00BC7BB5">
              <w:rPr>
                <w:b w:val="0"/>
                <w:sz w:val="18"/>
                <w:szCs w:val="18"/>
              </w:rPr>
              <w:t xml:space="preserve"> </w:t>
            </w:r>
            <w:r w:rsidR="006C2280">
              <w:rPr>
                <w:b w:val="0"/>
                <w:sz w:val="18"/>
                <w:szCs w:val="18"/>
              </w:rPr>
              <w:t>adopted</w:t>
            </w:r>
            <w:r w:rsidR="0036742F" w:rsidRPr="00BC7BB5">
              <w:rPr>
                <w:b w:val="0"/>
                <w:sz w:val="18"/>
                <w:szCs w:val="18"/>
              </w:rPr>
              <w:t xml:space="preserve"> to ensure</w:t>
            </w:r>
            <w:r w:rsidR="001B6A9D" w:rsidRPr="00BC7BB5">
              <w:rPr>
                <w:b w:val="0"/>
                <w:sz w:val="18"/>
                <w:szCs w:val="18"/>
              </w:rPr>
              <w:t xml:space="preserve"> sustainability</w:t>
            </w:r>
          </w:p>
        </w:tc>
        <w:tc>
          <w:tcPr>
            <w:tcW w:w="1294" w:type="dxa"/>
            <w:vAlign w:val="center"/>
          </w:tcPr>
          <w:p w14:paraId="1A4FAF29" w14:textId="77777777" w:rsidR="000876F2" w:rsidRPr="00BC7BB5" w:rsidRDefault="000876F2" w:rsidP="000933CF">
            <w:pPr>
              <w:pStyle w:val="Attachmenttitle"/>
              <w:spacing w:after="0"/>
              <w:ind w:right="-75"/>
              <w:jc w:val="center"/>
              <w:rPr>
                <w:b w:val="0"/>
                <w:sz w:val="18"/>
                <w:szCs w:val="18"/>
              </w:rPr>
            </w:pPr>
            <w:r w:rsidRPr="00BC7BB5">
              <w:rPr>
                <w:b w:val="0"/>
                <w:sz w:val="18"/>
                <w:szCs w:val="18"/>
              </w:rPr>
              <w:t>10.0</w:t>
            </w:r>
          </w:p>
        </w:tc>
        <w:tc>
          <w:tcPr>
            <w:tcW w:w="1041" w:type="dxa"/>
            <w:vAlign w:val="center"/>
          </w:tcPr>
          <w:p w14:paraId="7DFF7EB3" w14:textId="658398B9" w:rsidR="000876F2" w:rsidRPr="00BC7BB5" w:rsidRDefault="001B6A9D" w:rsidP="000933CF">
            <w:pPr>
              <w:pStyle w:val="Attachmenttitle"/>
              <w:spacing w:after="0"/>
              <w:jc w:val="center"/>
              <w:rPr>
                <w:b w:val="0"/>
                <w:sz w:val="18"/>
                <w:szCs w:val="18"/>
              </w:rPr>
            </w:pPr>
            <w:r w:rsidRPr="00BC7BB5">
              <w:rPr>
                <w:b w:val="0"/>
                <w:sz w:val="18"/>
                <w:szCs w:val="18"/>
              </w:rPr>
              <w:t>Y</w:t>
            </w:r>
            <w:r w:rsidR="000876F2" w:rsidRPr="00BC7BB5">
              <w:rPr>
                <w:b w:val="0"/>
                <w:sz w:val="18"/>
                <w:szCs w:val="18"/>
              </w:rPr>
              <w:t>es</w:t>
            </w:r>
          </w:p>
        </w:tc>
      </w:tr>
      <w:tr w:rsidR="001B6A9D" w:rsidRPr="00BC7BB5" w14:paraId="2F199DC7" w14:textId="77777777" w:rsidTr="000933CF">
        <w:trPr>
          <w:trHeight w:val="386"/>
        </w:trPr>
        <w:tc>
          <w:tcPr>
            <w:tcW w:w="7015" w:type="dxa"/>
            <w:vAlign w:val="center"/>
          </w:tcPr>
          <w:p w14:paraId="6E13DE89" w14:textId="0E2E8B97" w:rsidR="001B6A9D" w:rsidRPr="00BC7BB5" w:rsidRDefault="001B6A9D" w:rsidP="0036742F">
            <w:pPr>
              <w:rPr>
                <w:rFonts w:ascii="Times New Roman" w:hAnsi="Times New Roman" w:cs="Times New Roman"/>
                <w:b/>
                <w:sz w:val="18"/>
                <w:szCs w:val="18"/>
              </w:rPr>
            </w:pPr>
            <w:r w:rsidRPr="00BC7BB5">
              <w:rPr>
                <w:rFonts w:ascii="Times New Roman" w:hAnsi="Times New Roman" w:cs="Times New Roman"/>
                <w:b/>
                <w:sz w:val="18"/>
                <w:szCs w:val="18"/>
              </w:rPr>
              <w:t xml:space="preserve">DLI#2 </w:t>
            </w:r>
            <w:r w:rsidR="0036742F" w:rsidRPr="00BC7BB5">
              <w:rPr>
                <w:rFonts w:ascii="Times New Roman" w:hAnsi="Times New Roman" w:cs="Times New Roman"/>
                <w:b/>
                <w:sz w:val="18"/>
                <w:szCs w:val="18"/>
              </w:rPr>
              <w:t>–</w:t>
            </w:r>
            <w:r w:rsidRPr="00BC7BB5">
              <w:rPr>
                <w:rFonts w:ascii="Times New Roman" w:hAnsi="Times New Roman" w:cs="Times New Roman"/>
                <w:b/>
                <w:sz w:val="18"/>
                <w:szCs w:val="18"/>
              </w:rPr>
              <w:t xml:space="preserve"> </w:t>
            </w:r>
            <w:r w:rsidR="0036742F" w:rsidRPr="00BC7BB5">
              <w:rPr>
                <w:rFonts w:ascii="Times New Roman" w:hAnsi="Times New Roman" w:cs="Times New Roman"/>
                <w:sz w:val="18"/>
                <w:szCs w:val="18"/>
              </w:rPr>
              <w:t>Amended</w:t>
            </w:r>
            <w:r w:rsidR="0036742F" w:rsidRPr="00BC7BB5">
              <w:rPr>
                <w:rFonts w:ascii="Times New Roman" w:hAnsi="Times New Roman" w:cs="Times New Roman"/>
                <w:b/>
                <w:sz w:val="18"/>
                <w:szCs w:val="18"/>
              </w:rPr>
              <w:t xml:space="preserve"> </w:t>
            </w:r>
            <w:r w:rsidRPr="00BC7BB5">
              <w:rPr>
                <w:rFonts w:ascii="Times New Roman" w:hAnsi="Times New Roman" w:cs="Times New Roman"/>
                <w:sz w:val="18"/>
                <w:szCs w:val="18"/>
              </w:rPr>
              <w:t xml:space="preserve">Law </w:t>
            </w:r>
            <w:r w:rsidR="007E76A4">
              <w:rPr>
                <w:rFonts w:ascii="Times New Roman" w:hAnsi="Times New Roman" w:cs="Times New Roman"/>
                <w:sz w:val="18"/>
                <w:szCs w:val="18"/>
              </w:rPr>
              <w:t xml:space="preserve">no. 4-12 </w:t>
            </w:r>
            <w:r w:rsidRPr="00BC7BB5">
              <w:rPr>
                <w:rFonts w:ascii="Times New Roman" w:hAnsi="Times New Roman" w:cs="Times New Roman"/>
                <w:sz w:val="18"/>
                <w:szCs w:val="18"/>
              </w:rPr>
              <w:t xml:space="preserve">on </w:t>
            </w:r>
            <w:r w:rsidR="000E3EA7">
              <w:rPr>
                <w:rFonts w:ascii="Times New Roman" w:hAnsi="Times New Roman" w:cs="Times New Roman"/>
                <w:sz w:val="18"/>
                <w:szCs w:val="18"/>
              </w:rPr>
              <w:t xml:space="preserve">Agricultural </w:t>
            </w:r>
            <w:r w:rsidRPr="00BC7BB5">
              <w:rPr>
                <w:rFonts w:ascii="Times New Roman" w:hAnsi="Times New Roman" w:cs="Times New Roman"/>
                <w:sz w:val="18"/>
                <w:szCs w:val="18"/>
              </w:rPr>
              <w:t>Agg</w:t>
            </w:r>
            <w:r w:rsidR="0036742F" w:rsidRPr="00BC7BB5">
              <w:rPr>
                <w:rFonts w:ascii="Times New Roman" w:hAnsi="Times New Roman" w:cs="Times New Roman"/>
                <w:sz w:val="18"/>
                <w:szCs w:val="18"/>
              </w:rPr>
              <w:t>regation</w:t>
            </w:r>
            <w:r w:rsidRPr="00BC7BB5">
              <w:rPr>
                <w:rFonts w:ascii="Times New Roman" w:hAnsi="Times New Roman" w:cs="Times New Roman"/>
                <w:sz w:val="18"/>
                <w:szCs w:val="18"/>
              </w:rPr>
              <w:t xml:space="preserve"> </w:t>
            </w:r>
            <w:r w:rsidR="005B07E8">
              <w:rPr>
                <w:rFonts w:ascii="Times New Roman" w:hAnsi="Times New Roman" w:cs="Times New Roman"/>
                <w:sz w:val="18"/>
                <w:szCs w:val="18"/>
              </w:rPr>
              <w:t xml:space="preserve">dated 2012 </w:t>
            </w:r>
            <w:r w:rsidR="007E76A4">
              <w:rPr>
                <w:rFonts w:ascii="Times New Roman" w:hAnsi="Times New Roman" w:cs="Times New Roman"/>
                <w:sz w:val="18"/>
                <w:szCs w:val="18"/>
              </w:rPr>
              <w:t>is under implementation</w:t>
            </w:r>
            <w:r w:rsidRPr="00BC7BB5">
              <w:rPr>
                <w:rFonts w:ascii="Times New Roman" w:hAnsi="Times New Roman" w:cs="Times New Roman"/>
                <w:sz w:val="18"/>
                <w:szCs w:val="18"/>
              </w:rPr>
              <w:t xml:space="preserve"> </w:t>
            </w:r>
          </w:p>
        </w:tc>
        <w:tc>
          <w:tcPr>
            <w:tcW w:w="1294" w:type="dxa"/>
            <w:vAlign w:val="center"/>
          </w:tcPr>
          <w:p w14:paraId="0B4D2356" w14:textId="75B5681D" w:rsidR="001B6A9D" w:rsidRPr="00BC7BB5" w:rsidRDefault="001B6A9D" w:rsidP="000933CF">
            <w:pPr>
              <w:pStyle w:val="Attachmenttitle"/>
              <w:spacing w:after="0"/>
              <w:ind w:right="-75"/>
              <w:jc w:val="center"/>
              <w:rPr>
                <w:b w:val="0"/>
                <w:sz w:val="18"/>
                <w:szCs w:val="18"/>
              </w:rPr>
            </w:pPr>
            <w:r w:rsidRPr="00BC7BB5">
              <w:rPr>
                <w:b w:val="0"/>
                <w:sz w:val="18"/>
                <w:szCs w:val="18"/>
              </w:rPr>
              <w:t>10.0</w:t>
            </w:r>
          </w:p>
        </w:tc>
        <w:tc>
          <w:tcPr>
            <w:tcW w:w="1041" w:type="dxa"/>
            <w:vAlign w:val="center"/>
          </w:tcPr>
          <w:p w14:paraId="29514D92" w14:textId="0E1F240B" w:rsidR="001B6A9D" w:rsidRPr="00BC7BB5" w:rsidRDefault="001B6A9D" w:rsidP="000933CF">
            <w:pPr>
              <w:pStyle w:val="Attachmenttitle"/>
              <w:spacing w:after="0"/>
              <w:jc w:val="center"/>
              <w:rPr>
                <w:b w:val="0"/>
                <w:sz w:val="18"/>
                <w:szCs w:val="18"/>
              </w:rPr>
            </w:pPr>
            <w:r w:rsidRPr="00BC7BB5">
              <w:rPr>
                <w:b w:val="0"/>
                <w:sz w:val="18"/>
                <w:szCs w:val="18"/>
              </w:rPr>
              <w:t>No</w:t>
            </w:r>
          </w:p>
        </w:tc>
      </w:tr>
      <w:tr w:rsidR="000876F2" w:rsidRPr="00BC7BB5" w14:paraId="26534D8F" w14:textId="77777777" w:rsidTr="000933CF">
        <w:trPr>
          <w:trHeight w:val="386"/>
        </w:trPr>
        <w:tc>
          <w:tcPr>
            <w:tcW w:w="7015" w:type="dxa"/>
            <w:vAlign w:val="center"/>
          </w:tcPr>
          <w:p w14:paraId="6F7CB541" w14:textId="03982C76" w:rsidR="000876F2" w:rsidRPr="00BC7BB5" w:rsidRDefault="000876F2" w:rsidP="000933CF">
            <w:pPr>
              <w:pStyle w:val="ListParagraph"/>
              <w:ind w:left="0"/>
              <w:rPr>
                <w:sz w:val="18"/>
                <w:szCs w:val="18"/>
              </w:rPr>
            </w:pPr>
            <w:r w:rsidRPr="00BC7BB5">
              <w:rPr>
                <w:rFonts w:ascii="Times New Roman" w:hAnsi="Times New Roman" w:cs="Times New Roman"/>
                <w:b/>
                <w:sz w:val="18"/>
                <w:szCs w:val="18"/>
              </w:rPr>
              <w:t>DLI#</w:t>
            </w:r>
            <w:r w:rsidR="001B6A9D" w:rsidRPr="00BC7BB5">
              <w:rPr>
                <w:rFonts w:ascii="Times New Roman" w:hAnsi="Times New Roman" w:cs="Times New Roman"/>
                <w:b/>
                <w:sz w:val="18"/>
                <w:szCs w:val="18"/>
              </w:rPr>
              <w:t>3</w:t>
            </w:r>
            <w:r w:rsidRPr="00BC7BB5">
              <w:rPr>
                <w:rFonts w:ascii="Times New Roman" w:hAnsi="Times New Roman" w:cs="Times New Roman"/>
                <w:sz w:val="18"/>
                <w:szCs w:val="18"/>
              </w:rPr>
              <w:t xml:space="preserve"> </w:t>
            </w:r>
            <w:r w:rsidRPr="00BC7BB5">
              <w:rPr>
                <w:sz w:val="18"/>
                <w:szCs w:val="18"/>
              </w:rPr>
              <w:t>–</w:t>
            </w:r>
            <w:r w:rsidRPr="00BC7BB5">
              <w:rPr>
                <w:rFonts w:ascii="Times New Roman" w:hAnsi="Times New Roman" w:cs="Times New Roman"/>
                <w:sz w:val="18"/>
                <w:szCs w:val="18"/>
              </w:rPr>
              <w:t xml:space="preserve"> </w:t>
            </w:r>
            <w:r w:rsidR="007E76A4">
              <w:rPr>
                <w:rFonts w:ascii="Times New Roman" w:hAnsi="Times New Roman" w:cs="Times New Roman"/>
                <w:sz w:val="18"/>
                <w:szCs w:val="18"/>
              </w:rPr>
              <w:t>Number of new/</w:t>
            </w:r>
            <w:r w:rsidR="00E16A8E" w:rsidRPr="00BC7BB5">
              <w:rPr>
                <w:rFonts w:ascii="Times New Roman" w:hAnsi="Times New Roman" w:cs="Times New Roman"/>
                <w:sz w:val="18"/>
                <w:szCs w:val="18"/>
              </w:rPr>
              <w:t xml:space="preserve">upgraded conditioning, </w:t>
            </w:r>
            <w:r w:rsidR="007E76A4">
              <w:rPr>
                <w:rFonts w:ascii="Times New Roman" w:hAnsi="Times New Roman" w:cs="Times New Roman"/>
                <w:sz w:val="18"/>
                <w:szCs w:val="18"/>
              </w:rPr>
              <w:t xml:space="preserve">cold </w:t>
            </w:r>
            <w:r w:rsidR="00E16A8E" w:rsidRPr="00BC7BB5">
              <w:rPr>
                <w:rFonts w:ascii="Times New Roman" w:hAnsi="Times New Roman" w:cs="Times New Roman"/>
                <w:sz w:val="18"/>
                <w:szCs w:val="18"/>
              </w:rPr>
              <w:t>storage and</w:t>
            </w:r>
            <w:r w:rsidR="007E76A4">
              <w:rPr>
                <w:rFonts w:ascii="Times New Roman" w:hAnsi="Times New Roman" w:cs="Times New Roman"/>
                <w:sz w:val="18"/>
                <w:szCs w:val="18"/>
              </w:rPr>
              <w:t>/or</w:t>
            </w:r>
            <w:r w:rsidR="00E16A8E" w:rsidRPr="00BC7BB5">
              <w:rPr>
                <w:rFonts w:ascii="Times New Roman" w:hAnsi="Times New Roman" w:cs="Times New Roman"/>
                <w:sz w:val="18"/>
                <w:szCs w:val="18"/>
              </w:rPr>
              <w:t xml:space="preserve"> processing units </w:t>
            </w:r>
            <w:r w:rsidR="007E76A4">
              <w:rPr>
                <w:rFonts w:ascii="Times New Roman" w:hAnsi="Times New Roman" w:cs="Times New Roman"/>
                <w:sz w:val="18"/>
                <w:szCs w:val="18"/>
              </w:rPr>
              <w:t>in selected agri-food value chains under operation</w:t>
            </w:r>
          </w:p>
        </w:tc>
        <w:tc>
          <w:tcPr>
            <w:tcW w:w="1294" w:type="dxa"/>
            <w:vAlign w:val="center"/>
          </w:tcPr>
          <w:p w14:paraId="1E4260C6" w14:textId="44A99471" w:rsidR="000876F2" w:rsidRPr="00BC7BB5" w:rsidRDefault="007E76A4" w:rsidP="000933CF">
            <w:pPr>
              <w:pStyle w:val="Attachmenttitle"/>
              <w:spacing w:after="0"/>
              <w:ind w:right="-75"/>
              <w:jc w:val="center"/>
              <w:rPr>
                <w:b w:val="0"/>
                <w:sz w:val="18"/>
                <w:szCs w:val="18"/>
              </w:rPr>
            </w:pPr>
            <w:r>
              <w:rPr>
                <w:b w:val="0"/>
                <w:sz w:val="18"/>
                <w:szCs w:val="18"/>
              </w:rPr>
              <w:t>70</w:t>
            </w:r>
            <w:r w:rsidR="000876F2" w:rsidRPr="00BC7BB5">
              <w:rPr>
                <w:b w:val="0"/>
                <w:sz w:val="18"/>
                <w:szCs w:val="18"/>
              </w:rPr>
              <w:t>.0</w:t>
            </w:r>
          </w:p>
        </w:tc>
        <w:tc>
          <w:tcPr>
            <w:tcW w:w="1041" w:type="dxa"/>
            <w:vAlign w:val="center"/>
          </w:tcPr>
          <w:p w14:paraId="73873D9B" w14:textId="75789918" w:rsidR="000876F2" w:rsidRPr="00BC7BB5" w:rsidRDefault="001B6A9D" w:rsidP="000933CF">
            <w:pPr>
              <w:pStyle w:val="Attachmenttitle"/>
              <w:spacing w:after="0"/>
              <w:jc w:val="center"/>
              <w:rPr>
                <w:b w:val="0"/>
                <w:sz w:val="18"/>
                <w:szCs w:val="18"/>
              </w:rPr>
            </w:pPr>
            <w:r w:rsidRPr="00BC7BB5">
              <w:rPr>
                <w:b w:val="0"/>
                <w:sz w:val="18"/>
                <w:szCs w:val="18"/>
              </w:rPr>
              <w:t>Y</w:t>
            </w:r>
            <w:r w:rsidR="000876F2" w:rsidRPr="00BC7BB5">
              <w:rPr>
                <w:b w:val="0"/>
                <w:sz w:val="18"/>
                <w:szCs w:val="18"/>
              </w:rPr>
              <w:t>es</w:t>
            </w:r>
          </w:p>
        </w:tc>
      </w:tr>
      <w:tr w:rsidR="000876F2" w:rsidRPr="00BC7BB5" w14:paraId="61D462EF" w14:textId="77777777" w:rsidTr="000933CF">
        <w:tc>
          <w:tcPr>
            <w:tcW w:w="7015" w:type="dxa"/>
            <w:vAlign w:val="center"/>
          </w:tcPr>
          <w:p w14:paraId="64D3304D" w14:textId="0BDCEF0F" w:rsidR="000876F2" w:rsidRPr="00BC7BB5" w:rsidRDefault="000876F2" w:rsidP="000933CF">
            <w:pPr>
              <w:pStyle w:val="ListParagraph"/>
              <w:ind w:left="0"/>
              <w:rPr>
                <w:sz w:val="18"/>
                <w:szCs w:val="18"/>
              </w:rPr>
            </w:pPr>
            <w:r w:rsidRPr="00BC7BB5">
              <w:rPr>
                <w:rFonts w:ascii="Times New Roman" w:hAnsi="Times New Roman" w:cs="Times New Roman"/>
                <w:b/>
                <w:sz w:val="18"/>
                <w:szCs w:val="18"/>
              </w:rPr>
              <w:t>DLI#</w:t>
            </w:r>
            <w:r w:rsidR="001B6A9D" w:rsidRPr="00BC7BB5">
              <w:rPr>
                <w:rFonts w:ascii="Times New Roman" w:hAnsi="Times New Roman" w:cs="Times New Roman"/>
                <w:b/>
                <w:sz w:val="18"/>
                <w:szCs w:val="18"/>
              </w:rPr>
              <w:t>4</w:t>
            </w:r>
            <w:r w:rsidRPr="00BC7BB5">
              <w:rPr>
                <w:rFonts w:ascii="Times New Roman" w:hAnsi="Times New Roman" w:cs="Times New Roman"/>
                <w:sz w:val="18"/>
                <w:szCs w:val="18"/>
              </w:rPr>
              <w:t xml:space="preserve"> </w:t>
            </w:r>
            <w:r w:rsidRPr="00BC7BB5">
              <w:rPr>
                <w:sz w:val="18"/>
                <w:szCs w:val="18"/>
              </w:rPr>
              <w:t>–</w:t>
            </w:r>
            <w:r w:rsidR="000D237E" w:rsidRPr="00BC7BB5">
              <w:rPr>
                <w:rFonts w:ascii="Times New Roman" w:hAnsi="Times New Roman" w:cs="Times New Roman"/>
                <w:sz w:val="18"/>
                <w:szCs w:val="18"/>
              </w:rPr>
              <w:t xml:space="preserve"> </w:t>
            </w:r>
            <w:r w:rsidR="001B6A9D" w:rsidRPr="00BC7BB5">
              <w:rPr>
                <w:rFonts w:ascii="Times New Roman" w:hAnsi="Times New Roman" w:cs="Times New Roman"/>
                <w:sz w:val="18"/>
                <w:szCs w:val="18"/>
              </w:rPr>
              <w:t xml:space="preserve">At least one wholesale </w:t>
            </w:r>
            <w:r w:rsidR="0036742F" w:rsidRPr="00BC7BB5">
              <w:rPr>
                <w:rFonts w:ascii="Times New Roman" w:hAnsi="Times New Roman" w:cs="Times New Roman"/>
                <w:sz w:val="18"/>
                <w:szCs w:val="18"/>
              </w:rPr>
              <w:t>market operating</w:t>
            </w:r>
            <w:r w:rsidR="001B6A9D" w:rsidRPr="00BC7BB5">
              <w:rPr>
                <w:rFonts w:ascii="Times New Roman" w:hAnsi="Times New Roman" w:cs="Times New Roman"/>
                <w:sz w:val="18"/>
                <w:szCs w:val="18"/>
              </w:rPr>
              <w:t xml:space="preserve"> and applying the new management model</w:t>
            </w:r>
            <w:r w:rsidR="00D06FE4">
              <w:rPr>
                <w:rFonts w:ascii="Times New Roman" w:hAnsi="Times New Roman" w:cs="Times New Roman"/>
                <w:sz w:val="18"/>
                <w:szCs w:val="18"/>
              </w:rPr>
              <w:t xml:space="preserve"> as defined in the POM</w:t>
            </w:r>
            <w:r w:rsidR="001B6A9D" w:rsidRPr="00BC7BB5" w:rsidDel="001B6A9D">
              <w:rPr>
                <w:rFonts w:ascii="Times New Roman" w:hAnsi="Times New Roman" w:cs="Times New Roman"/>
                <w:sz w:val="18"/>
                <w:szCs w:val="18"/>
              </w:rPr>
              <w:t xml:space="preserve"> </w:t>
            </w:r>
          </w:p>
        </w:tc>
        <w:tc>
          <w:tcPr>
            <w:tcW w:w="1294" w:type="dxa"/>
            <w:vAlign w:val="center"/>
          </w:tcPr>
          <w:p w14:paraId="14F0F382" w14:textId="7C39B142" w:rsidR="000876F2" w:rsidRPr="00BC7BB5" w:rsidRDefault="003B3A6C" w:rsidP="000933CF">
            <w:pPr>
              <w:pStyle w:val="Attachmenttitle"/>
              <w:spacing w:after="0"/>
              <w:ind w:right="-75"/>
              <w:jc w:val="center"/>
              <w:rPr>
                <w:b w:val="0"/>
                <w:sz w:val="18"/>
                <w:szCs w:val="18"/>
              </w:rPr>
            </w:pPr>
            <w:r>
              <w:rPr>
                <w:b w:val="0"/>
                <w:sz w:val="18"/>
                <w:szCs w:val="18"/>
              </w:rPr>
              <w:t>34.5</w:t>
            </w:r>
          </w:p>
        </w:tc>
        <w:tc>
          <w:tcPr>
            <w:tcW w:w="1041" w:type="dxa"/>
            <w:vAlign w:val="center"/>
          </w:tcPr>
          <w:p w14:paraId="7ABA8D87" w14:textId="39EC9A0C" w:rsidR="000876F2" w:rsidRPr="00BC7BB5" w:rsidRDefault="001B6A9D" w:rsidP="000933CF">
            <w:pPr>
              <w:pStyle w:val="Attachmenttitle"/>
              <w:spacing w:after="0"/>
              <w:jc w:val="center"/>
              <w:rPr>
                <w:b w:val="0"/>
                <w:sz w:val="18"/>
                <w:szCs w:val="18"/>
              </w:rPr>
            </w:pPr>
            <w:r w:rsidRPr="00BC7BB5">
              <w:rPr>
                <w:b w:val="0"/>
                <w:sz w:val="18"/>
                <w:szCs w:val="18"/>
              </w:rPr>
              <w:t>Y</w:t>
            </w:r>
            <w:r w:rsidR="000876F2" w:rsidRPr="00BC7BB5">
              <w:rPr>
                <w:b w:val="0"/>
                <w:sz w:val="18"/>
                <w:szCs w:val="18"/>
              </w:rPr>
              <w:t>es</w:t>
            </w:r>
          </w:p>
        </w:tc>
      </w:tr>
      <w:tr w:rsidR="000876F2" w:rsidRPr="00BC7BB5" w14:paraId="4C71841E" w14:textId="77777777" w:rsidTr="000933CF">
        <w:tc>
          <w:tcPr>
            <w:tcW w:w="7015" w:type="dxa"/>
            <w:vAlign w:val="center"/>
          </w:tcPr>
          <w:p w14:paraId="21F857D0" w14:textId="7BCD20E4" w:rsidR="000876F2" w:rsidRPr="00BC7BB5" w:rsidRDefault="000876F2" w:rsidP="000933CF">
            <w:pPr>
              <w:rPr>
                <w:sz w:val="18"/>
                <w:szCs w:val="18"/>
              </w:rPr>
            </w:pPr>
            <w:r w:rsidRPr="00BC7BB5">
              <w:rPr>
                <w:rFonts w:ascii="Times New Roman" w:hAnsi="Times New Roman" w:cs="Times New Roman"/>
                <w:b/>
                <w:sz w:val="18"/>
                <w:szCs w:val="18"/>
              </w:rPr>
              <w:t>DLI#5</w:t>
            </w:r>
            <w:r w:rsidRPr="00BC7BB5">
              <w:rPr>
                <w:rFonts w:ascii="Times New Roman" w:hAnsi="Times New Roman" w:cs="Times New Roman"/>
                <w:sz w:val="18"/>
                <w:szCs w:val="18"/>
              </w:rPr>
              <w:t xml:space="preserve"> </w:t>
            </w:r>
            <w:r w:rsidRPr="00BC7BB5">
              <w:rPr>
                <w:sz w:val="18"/>
                <w:szCs w:val="18"/>
              </w:rPr>
              <w:t>–</w:t>
            </w:r>
            <w:r w:rsidRPr="00BC7BB5">
              <w:rPr>
                <w:rFonts w:ascii="Times New Roman" w:hAnsi="Times New Roman" w:cs="Times New Roman"/>
                <w:sz w:val="18"/>
                <w:szCs w:val="18"/>
              </w:rPr>
              <w:t xml:space="preserve"> </w:t>
            </w:r>
            <w:r w:rsidR="000E3EA7">
              <w:rPr>
                <w:rFonts w:ascii="Times New Roman" w:hAnsi="Times New Roman" w:cs="Times New Roman"/>
                <w:sz w:val="18"/>
                <w:szCs w:val="18"/>
              </w:rPr>
              <w:t xml:space="preserve">Number of </w:t>
            </w:r>
            <w:r w:rsidR="00D06FE4">
              <w:rPr>
                <w:rFonts w:ascii="Times New Roman" w:hAnsi="Times New Roman" w:cs="Times New Roman"/>
                <w:sz w:val="18"/>
                <w:szCs w:val="18"/>
              </w:rPr>
              <w:t>s</w:t>
            </w:r>
            <w:r w:rsidR="0036742F" w:rsidRPr="00BC7BB5">
              <w:rPr>
                <w:rFonts w:ascii="Times New Roman" w:hAnsi="Times New Roman" w:cs="Times New Roman"/>
                <w:sz w:val="18"/>
                <w:szCs w:val="18"/>
              </w:rPr>
              <w:t>mall and</w:t>
            </w:r>
            <w:r w:rsidR="007E76A4">
              <w:rPr>
                <w:rFonts w:ascii="Times New Roman" w:hAnsi="Times New Roman" w:cs="Times New Roman"/>
                <w:sz w:val="18"/>
                <w:szCs w:val="18"/>
              </w:rPr>
              <w:t>/or</w:t>
            </w:r>
            <w:r w:rsidR="0036742F" w:rsidRPr="00BC7BB5">
              <w:rPr>
                <w:rFonts w:ascii="Times New Roman" w:hAnsi="Times New Roman" w:cs="Times New Roman"/>
                <w:sz w:val="18"/>
                <w:szCs w:val="18"/>
              </w:rPr>
              <w:t xml:space="preserve"> medium</w:t>
            </w:r>
            <w:r w:rsidR="00D06FE4">
              <w:rPr>
                <w:rFonts w:ascii="Times New Roman" w:hAnsi="Times New Roman" w:cs="Times New Roman"/>
                <w:sz w:val="18"/>
                <w:szCs w:val="18"/>
              </w:rPr>
              <w:t xml:space="preserve"> </w:t>
            </w:r>
            <w:r w:rsidR="0036742F" w:rsidRPr="00BC7BB5">
              <w:rPr>
                <w:rFonts w:ascii="Times New Roman" w:hAnsi="Times New Roman" w:cs="Times New Roman"/>
                <w:sz w:val="18"/>
                <w:szCs w:val="18"/>
              </w:rPr>
              <w:t xml:space="preserve">size </w:t>
            </w:r>
            <w:r w:rsidR="007E76A4">
              <w:rPr>
                <w:rFonts w:ascii="Times New Roman" w:hAnsi="Times New Roman" w:cs="Times New Roman"/>
                <w:sz w:val="18"/>
                <w:szCs w:val="18"/>
              </w:rPr>
              <w:t>agri-food</w:t>
            </w:r>
            <w:r w:rsidR="0036742F" w:rsidRPr="00BC7BB5">
              <w:rPr>
                <w:rFonts w:ascii="Times New Roman" w:hAnsi="Times New Roman" w:cs="Times New Roman"/>
                <w:sz w:val="18"/>
                <w:szCs w:val="18"/>
              </w:rPr>
              <w:t xml:space="preserve"> enterpris</w:t>
            </w:r>
            <w:r w:rsidR="007E76A4">
              <w:rPr>
                <w:rFonts w:ascii="Times New Roman" w:hAnsi="Times New Roman" w:cs="Times New Roman"/>
                <w:sz w:val="18"/>
                <w:szCs w:val="18"/>
              </w:rPr>
              <w:t>es authorized by ONSSA</w:t>
            </w:r>
          </w:p>
        </w:tc>
        <w:tc>
          <w:tcPr>
            <w:tcW w:w="1294" w:type="dxa"/>
            <w:vAlign w:val="center"/>
          </w:tcPr>
          <w:p w14:paraId="4F4D989C" w14:textId="4AE00CF0" w:rsidR="000876F2" w:rsidRPr="00BC7BB5" w:rsidRDefault="007E76A4" w:rsidP="000933CF">
            <w:pPr>
              <w:pStyle w:val="Attachmenttitle"/>
              <w:spacing w:after="0"/>
              <w:ind w:right="-75"/>
              <w:jc w:val="center"/>
              <w:rPr>
                <w:b w:val="0"/>
                <w:sz w:val="18"/>
                <w:szCs w:val="18"/>
              </w:rPr>
            </w:pPr>
            <w:r>
              <w:rPr>
                <w:b w:val="0"/>
                <w:sz w:val="18"/>
                <w:szCs w:val="18"/>
              </w:rPr>
              <w:t>30</w:t>
            </w:r>
            <w:r w:rsidR="000876F2" w:rsidRPr="00BC7BB5">
              <w:rPr>
                <w:b w:val="0"/>
                <w:sz w:val="18"/>
                <w:szCs w:val="18"/>
              </w:rPr>
              <w:t>.0</w:t>
            </w:r>
          </w:p>
        </w:tc>
        <w:tc>
          <w:tcPr>
            <w:tcW w:w="1041" w:type="dxa"/>
            <w:vAlign w:val="center"/>
          </w:tcPr>
          <w:p w14:paraId="6EE46E8A" w14:textId="43E756FD" w:rsidR="000876F2" w:rsidRPr="00BC7BB5" w:rsidRDefault="001B6A9D" w:rsidP="000933CF">
            <w:pPr>
              <w:pStyle w:val="Attachmenttitle"/>
              <w:spacing w:after="0"/>
              <w:jc w:val="center"/>
              <w:rPr>
                <w:b w:val="0"/>
                <w:sz w:val="18"/>
                <w:szCs w:val="18"/>
              </w:rPr>
            </w:pPr>
            <w:r w:rsidRPr="00BC7BB5">
              <w:rPr>
                <w:b w:val="0"/>
                <w:sz w:val="18"/>
                <w:szCs w:val="18"/>
              </w:rPr>
              <w:t>Yes</w:t>
            </w:r>
          </w:p>
        </w:tc>
      </w:tr>
      <w:tr w:rsidR="000876F2" w:rsidRPr="00BC7BB5" w14:paraId="691CA271" w14:textId="77777777" w:rsidTr="000933CF">
        <w:tc>
          <w:tcPr>
            <w:tcW w:w="7015" w:type="dxa"/>
            <w:vAlign w:val="center"/>
          </w:tcPr>
          <w:p w14:paraId="39E6409A" w14:textId="0773D1A1" w:rsidR="000876F2" w:rsidRPr="00BC7BB5" w:rsidRDefault="000876F2" w:rsidP="000933CF">
            <w:pPr>
              <w:pStyle w:val="Attachmenttitle"/>
              <w:spacing w:after="0"/>
              <w:rPr>
                <w:b w:val="0"/>
                <w:sz w:val="18"/>
                <w:szCs w:val="18"/>
              </w:rPr>
            </w:pPr>
            <w:r w:rsidRPr="00BC7BB5">
              <w:rPr>
                <w:sz w:val="18"/>
                <w:szCs w:val="18"/>
              </w:rPr>
              <w:t>DLI#6</w:t>
            </w:r>
            <w:r w:rsidRPr="00BC7BB5">
              <w:rPr>
                <w:b w:val="0"/>
                <w:sz w:val="18"/>
                <w:szCs w:val="18"/>
              </w:rPr>
              <w:t xml:space="preserve"> </w:t>
            </w:r>
            <w:r w:rsidRPr="00BC7BB5">
              <w:rPr>
                <w:sz w:val="18"/>
                <w:szCs w:val="18"/>
              </w:rPr>
              <w:t>–</w:t>
            </w:r>
            <w:r w:rsidRPr="00BC7BB5">
              <w:rPr>
                <w:b w:val="0"/>
                <w:sz w:val="18"/>
                <w:szCs w:val="18"/>
              </w:rPr>
              <w:t xml:space="preserve"> </w:t>
            </w:r>
            <w:r w:rsidR="000E3EA7">
              <w:rPr>
                <w:b w:val="0"/>
                <w:sz w:val="18"/>
                <w:szCs w:val="18"/>
              </w:rPr>
              <w:t xml:space="preserve">The Borrower’s </w:t>
            </w:r>
            <w:r w:rsidR="00D06FE4">
              <w:rPr>
                <w:b w:val="0"/>
                <w:sz w:val="18"/>
                <w:szCs w:val="18"/>
              </w:rPr>
              <w:t>c</w:t>
            </w:r>
            <w:r w:rsidR="004C61EC" w:rsidRPr="00BC7BB5">
              <w:rPr>
                <w:b w:val="0"/>
                <w:sz w:val="18"/>
                <w:szCs w:val="18"/>
              </w:rPr>
              <w:t xml:space="preserve">enter for </w:t>
            </w:r>
            <w:r w:rsidR="007E76A4">
              <w:rPr>
                <w:b w:val="0"/>
                <w:sz w:val="18"/>
                <w:szCs w:val="18"/>
              </w:rPr>
              <w:t xml:space="preserve">the production of sterile </w:t>
            </w:r>
            <w:r w:rsidR="007E76A4" w:rsidRPr="007E76A4">
              <w:rPr>
                <w:b w:val="0"/>
                <w:i/>
                <w:sz w:val="18"/>
                <w:szCs w:val="18"/>
              </w:rPr>
              <w:t>ceratitis</w:t>
            </w:r>
            <w:r w:rsidR="007E76A4">
              <w:rPr>
                <w:b w:val="0"/>
                <w:sz w:val="18"/>
                <w:szCs w:val="18"/>
              </w:rPr>
              <w:t xml:space="preserve"> males </w:t>
            </w:r>
            <w:r w:rsidR="004C61EC" w:rsidRPr="00BC7BB5">
              <w:rPr>
                <w:b w:val="0"/>
                <w:sz w:val="18"/>
                <w:szCs w:val="18"/>
              </w:rPr>
              <w:t>providing</w:t>
            </w:r>
            <w:r w:rsidR="00E16A8E" w:rsidRPr="00BC7BB5">
              <w:rPr>
                <w:b w:val="0"/>
                <w:sz w:val="18"/>
                <w:szCs w:val="18"/>
              </w:rPr>
              <w:t xml:space="preserve"> farm treatment</w:t>
            </w:r>
            <w:r w:rsidR="004C61EC" w:rsidRPr="00BC7BB5">
              <w:rPr>
                <w:b w:val="0"/>
                <w:sz w:val="18"/>
                <w:szCs w:val="18"/>
              </w:rPr>
              <w:t xml:space="preserve"> services to </w:t>
            </w:r>
            <w:r w:rsidR="00E16A8E" w:rsidRPr="00BC7BB5">
              <w:rPr>
                <w:b w:val="0"/>
                <w:sz w:val="18"/>
                <w:szCs w:val="18"/>
              </w:rPr>
              <w:t xml:space="preserve">citrus </w:t>
            </w:r>
            <w:r w:rsidR="004C61EC" w:rsidRPr="00BC7BB5">
              <w:rPr>
                <w:b w:val="0"/>
                <w:sz w:val="18"/>
                <w:szCs w:val="18"/>
              </w:rPr>
              <w:t>producers</w:t>
            </w:r>
          </w:p>
        </w:tc>
        <w:tc>
          <w:tcPr>
            <w:tcW w:w="1294" w:type="dxa"/>
            <w:vAlign w:val="center"/>
          </w:tcPr>
          <w:p w14:paraId="51491548" w14:textId="79ECAF32" w:rsidR="000876F2" w:rsidRPr="00BC7BB5" w:rsidRDefault="007E76A4" w:rsidP="000933CF">
            <w:pPr>
              <w:pStyle w:val="Attachmenttitle"/>
              <w:spacing w:after="0"/>
              <w:ind w:right="-75"/>
              <w:jc w:val="center"/>
              <w:rPr>
                <w:b w:val="0"/>
                <w:sz w:val="18"/>
                <w:szCs w:val="18"/>
              </w:rPr>
            </w:pPr>
            <w:r>
              <w:rPr>
                <w:b w:val="0"/>
                <w:sz w:val="18"/>
                <w:szCs w:val="18"/>
              </w:rPr>
              <w:t>15</w:t>
            </w:r>
            <w:r w:rsidR="000876F2" w:rsidRPr="00BC7BB5">
              <w:rPr>
                <w:b w:val="0"/>
                <w:sz w:val="18"/>
                <w:szCs w:val="18"/>
              </w:rPr>
              <w:t>.0</w:t>
            </w:r>
          </w:p>
        </w:tc>
        <w:tc>
          <w:tcPr>
            <w:tcW w:w="1041" w:type="dxa"/>
            <w:vAlign w:val="center"/>
          </w:tcPr>
          <w:p w14:paraId="7BC253FA" w14:textId="5A2860B1" w:rsidR="000876F2" w:rsidRPr="00BC7BB5" w:rsidRDefault="004C61EC" w:rsidP="000933CF">
            <w:pPr>
              <w:pStyle w:val="Attachmenttitle"/>
              <w:spacing w:after="0"/>
              <w:jc w:val="center"/>
              <w:rPr>
                <w:b w:val="0"/>
                <w:sz w:val="18"/>
                <w:szCs w:val="18"/>
              </w:rPr>
            </w:pPr>
            <w:r w:rsidRPr="00BC7BB5">
              <w:rPr>
                <w:b w:val="0"/>
                <w:sz w:val="18"/>
                <w:szCs w:val="18"/>
              </w:rPr>
              <w:t>No</w:t>
            </w:r>
          </w:p>
        </w:tc>
      </w:tr>
      <w:tr w:rsidR="000876F2" w:rsidRPr="00BC7BB5" w14:paraId="129E5DA3" w14:textId="77777777" w:rsidTr="000933CF">
        <w:tc>
          <w:tcPr>
            <w:tcW w:w="7015" w:type="dxa"/>
            <w:vAlign w:val="center"/>
          </w:tcPr>
          <w:p w14:paraId="5BD0A2A6" w14:textId="3A286E7E" w:rsidR="000876F2" w:rsidRPr="00BC7BB5" w:rsidRDefault="004C61EC" w:rsidP="000933CF">
            <w:pPr>
              <w:rPr>
                <w:rFonts w:ascii="Times New Roman" w:hAnsi="Times New Roman" w:cs="Times New Roman"/>
                <w:sz w:val="18"/>
                <w:szCs w:val="18"/>
              </w:rPr>
            </w:pPr>
            <w:r w:rsidRPr="00BC7BB5">
              <w:rPr>
                <w:rFonts w:ascii="Times New Roman" w:hAnsi="Times New Roman" w:cs="Times New Roman"/>
                <w:b/>
                <w:sz w:val="18"/>
                <w:szCs w:val="18"/>
              </w:rPr>
              <w:t>DLI#7</w:t>
            </w:r>
            <w:r w:rsidR="000876F2" w:rsidRPr="00BC7BB5">
              <w:rPr>
                <w:rFonts w:ascii="Times New Roman" w:hAnsi="Times New Roman" w:cs="Times New Roman"/>
                <w:sz w:val="18"/>
                <w:szCs w:val="18"/>
              </w:rPr>
              <w:t xml:space="preserve"> </w:t>
            </w:r>
            <w:r w:rsidR="000876F2" w:rsidRPr="00BC7BB5">
              <w:rPr>
                <w:sz w:val="18"/>
                <w:szCs w:val="18"/>
              </w:rPr>
              <w:t>–</w:t>
            </w:r>
            <w:r w:rsidR="000876F2" w:rsidRPr="00BC7BB5">
              <w:rPr>
                <w:rFonts w:ascii="Times New Roman" w:hAnsi="Times New Roman" w:cs="Times New Roman"/>
                <w:sz w:val="18"/>
                <w:szCs w:val="18"/>
              </w:rPr>
              <w:t xml:space="preserve"> </w:t>
            </w:r>
            <w:r w:rsidR="000E3EA7">
              <w:rPr>
                <w:rFonts w:ascii="Times New Roman" w:hAnsi="Times New Roman" w:cs="Times New Roman"/>
                <w:sz w:val="18"/>
                <w:szCs w:val="18"/>
              </w:rPr>
              <w:t xml:space="preserve">Number of </w:t>
            </w:r>
            <w:r w:rsidR="00D06FE4">
              <w:rPr>
                <w:rFonts w:ascii="Times New Roman" w:hAnsi="Times New Roman" w:cs="Times New Roman"/>
                <w:sz w:val="18"/>
                <w:szCs w:val="18"/>
              </w:rPr>
              <w:t>s</w:t>
            </w:r>
            <w:r w:rsidRPr="00BC7BB5">
              <w:rPr>
                <w:rFonts w:ascii="Times New Roman" w:hAnsi="Times New Roman" w:cs="Times New Roman"/>
                <w:sz w:val="18"/>
                <w:szCs w:val="18"/>
              </w:rPr>
              <w:t>mall and medium</w:t>
            </w:r>
            <w:r w:rsidR="00D06FE4">
              <w:rPr>
                <w:rFonts w:ascii="Times New Roman" w:hAnsi="Times New Roman" w:cs="Times New Roman"/>
                <w:sz w:val="18"/>
                <w:szCs w:val="18"/>
              </w:rPr>
              <w:t xml:space="preserve"> </w:t>
            </w:r>
            <w:r w:rsidRPr="00BC7BB5">
              <w:rPr>
                <w:rFonts w:ascii="Times New Roman" w:hAnsi="Times New Roman" w:cs="Times New Roman"/>
                <w:sz w:val="18"/>
                <w:szCs w:val="18"/>
              </w:rPr>
              <w:t>size producers and</w:t>
            </w:r>
            <w:r w:rsidR="007E76A4">
              <w:rPr>
                <w:rFonts w:ascii="Times New Roman" w:hAnsi="Times New Roman" w:cs="Times New Roman"/>
                <w:sz w:val="18"/>
                <w:szCs w:val="18"/>
              </w:rPr>
              <w:t>/or</w:t>
            </w:r>
            <w:r w:rsidRPr="00BC7BB5">
              <w:rPr>
                <w:rFonts w:ascii="Times New Roman" w:hAnsi="Times New Roman" w:cs="Times New Roman"/>
                <w:sz w:val="18"/>
                <w:szCs w:val="18"/>
              </w:rPr>
              <w:t xml:space="preserve"> enterprises assisted by the Agri-food Innovation Centers (CIAs)</w:t>
            </w:r>
          </w:p>
        </w:tc>
        <w:tc>
          <w:tcPr>
            <w:tcW w:w="1294" w:type="dxa"/>
            <w:vAlign w:val="center"/>
          </w:tcPr>
          <w:p w14:paraId="6DFC8FA5" w14:textId="6AEE1E9F" w:rsidR="000876F2" w:rsidRPr="00BC7BB5" w:rsidRDefault="00156322" w:rsidP="000933CF">
            <w:pPr>
              <w:pStyle w:val="Attachmenttitle"/>
              <w:spacing w:after="0"/>
              <w:ind w:right="-75"/>
              <w:jc w:val="center"/>
              <w:rPr>
                <w:b w:val="0"/>
                <w:sz w:val="18"/>
                <w:szCs w:val="18"/>
              </w:rPr>
            </w:pPr>
            <w:r>
              <w:rPr>
                <w:b w:val="0"/>
                <w:sz w:val="18"/>
                <w:szCs w:val="18"/>
              </w:rPr>
              <w:t>20</w:t>
            </w:r>
            <w:r w:rsidR="000876F2" w:rsidRPr="00BC7BB5">
              <w:rPr>
                <w:b w:val="0"/>
                <w:sz w:val="18"/>
                <w:szCs w:val="18"/>
              </w:rPr>
              <w:t>.0</w:t>
            </w:r>
          </w:p>
        </w:tc>
        <w:tc>
          <w:tcPr>
            <w:tcW w:w="1041" w:type="dxa"/>
            <w:vAlign w:val="center"/>
          </w:tcPr>
          <w:p w14:paraId="0D1FA8E0" w14:textId="41E438B4" w:rsidR="000876F2" w:rsidRPr="00BC7BB5" w:rsidRDefault="008B6E70" w:rsidP="000933CF">
            <w:pPr>
              <w:pStyle w:val="Attachmenttitle"/>
              <w:spacing w:after="0"/>
              <w:jc w:val="center"/>
              <w:rPr>
                <w:b w:val="0"/>
                <w:sz w:val="18"/>
                <w:szCs w:val="18"/>
              </w:rPr>
            </w:pPr>
            <w:r w:rsidRPr="00BC7BB5">
              <w:rPr>
                <w:b w:val="0"/>
                <w:sz w:val="18"/>
                <w:szCs w:val="18"/>
              </w:rPr>
              <w:t>Yes</w:t>
            </w:r>
          </w:p>
        </w:tc>
      </w:tr>
      <w:tr w:rsidR="000876F2" w:rsidRPr="00BC7BB5" w14:paraId="49793554" w14:textId="77777777" w:rsidTr="000933CF">
        <w:tc>
          <w:tcPr>
            <w:tcW w:w="7015" w:type="dxa"/>
            <w:vAlign w:val="center"/>
          </w:tcPr>
          <w:p w14:paraId="607AFBE6" w14:textId="55DDF5CC" w:rsidR="000876F2" w:rsidRPr="00BC7BB5" w:rsidRDefault="004C61EC" w:rsidP="000933CF">
            <w:pPr>
              <w:rPr>
                <w:rFonts w:ascii="Times New Roman" w:hAnsi="Times New Roman" w:cs="Times New Roman"/>
                <w:sz w:val="18"/>
                <w:szCs w:val="18"/>
              </w:rPr>
            </w:pPr>
            <w:r w:rsidRPr="00BC7BB5">
              <w:rPr>
                <w:rFonts w:ascii="Times New Roman" w:hAnsi="Times New Roman" w:cs="Times New Roman"/>
                <w:b/>
                <w:sz w:val="18"/>
                <w:szCs w:val="18"/>
              </w:rPr>
              <w:t>DLI#8</w:t>
            </w:r>
            <w:r w:rsidR="000876F2" w:rsidRPr="00BC7BB5">
              <w:rPr>
                <w:rFonts w:ascii="Times New Roman" w:hAnsi="Times New Roman" w:cs="Times New Roman"/>
                <w:sz w:val="18"/>
                <w:szCs w:val="18"/>
              </w:rPr>
              <w:t xml:space="preserve"> </w:t>
            </w:r>
            <w:r w:rsidR="000876F2" w:rsidRPr="00BC7BB5">
              <w:rPr>
                <w:sz w:val="18"/>
                <w:szCs w:val="18"/>
              </w:rPr>
              <w:t>–</w:t>
            </w:r>
            <w:r w:rsidR="000876F2" w:rsidRPr="00BC7BB5">
              <w:rPr>
                <w:rFonts w:ascii="Times New Roman" w:hAnsi="Times New Roman" w:cs="Times New Roman"/>
                <w:sz w:val="18"/>
                <w:szCs w:val="18"/>
              </w:rPr>
              <w:t xml:space="preserve"> </w:t>
            </w:r>
            <w:r w:rsidR="007E76A4">
              <w:rPr>
                <w:rFonts w:ascii="Times New Roman" w:hAnsi="Times New Roman" w:cs="Times New Roman"/>
                <w:sz w:val="18"/>
                <w:szCs w:val="18"/>
              </w:rPr>
              <w:t>Establishment of an i</w:t>
            </w:r>
            <w:r w:rsidRPr="00BC7BB5">
              <w:rPr>
                <w:rFonts w:ascii="Times New Roman" w:hAnsi="Times New Roman" w:cs="Times New Roman"/>
                <w:sz w:val="18"/>
                <w:szCs w:val="18"/>
              </w:rPr>
              <w:t xml:space="preserve">ntegrated </w:t>
            </w:r>
            <w:r w:rsidR="00D06FE4">
              <w:rPr>
                <w:rFonts w:ascii="Times New Roman" w:hAnsi="Times New Roman" w:cs="Times New Roman"/>
                <w:sz w:val="18"/>
                <w:szCs w:val="18"/>
              </w:rPr>
              <w:t>f</w:t>
            </w:r>
            <w:r w:rsidRPr="00BC7BB5">
              <w:rPr>
                <w:rFonts w:ascii="Times New Roman" w:hAnsi="Times New Roman" w:cs="Times New Roman"/>
                <w:sz w:val="18"/>
                <w:szCs w:val="18"/>
              </w:rPr>
              <w:t>ina</w:t>
            </w:r>
            <w:r w:rsidR="00156322">
              <w:rPr>
                <w:rFonts w:ascii="Times New Roman" w:hAnsi="Times New Roman" w:cs="Times New Roman"/>
                <w:sz w:val="18"/>
                <w:szCs w:val="18"/>
              </w:rPr>
              <w:t xml:space="preserve">ncial </w:t>
            </w:r>
            <w:r w:rsidR="00D06FE4">
              <w:rPr>
                <w:rFonts w:ascii="Times New Roman" w:hAnsi="Times New Roman" w:cs="Times New Roman"/>
                <w:sz w:val="18"/>
                <w:szCs w:val="18"/>
              </w:rPr>
              <w:t>m</w:t>
            </w:r>
            <w:r w:rsidR="00156322">
              <w:rPr>
                <w:rFonts w:ascii="Times New Roman" w:hAnsi="Times New Roman" w:cs="Times New Roman"/>
                <w:sz w:val="18"/>
                <w:szCs w:val="18"/>
              </w:rPr>
              <w:t xml:space="preserve">anagement system to improve </w:t>
            </w:r>
            <w:r w:rsidR="00D06FE4">
              <w:rPr>
                <w:rFonts w:ascii="Times New Roman" w:hAnsi="Times New Roman" w:cs="Times New Roman"/>
                <w:sz w:val="18"/>
                <w:szCs w:val="18"/>
              </w:rPr>
              <w:t>P</w:t>
            </w:r>
            <w:r w:rsidR="009F1FCE">
              <w:rPr>
                <w:rFonts w:ascii="Times New Roman" w:hAnsi="Times New Roman" w:cs="Times New Roman"/>
                <w:sz w:val="18"/>
                <w:szCs w:val="18"/>
              </w:rPr>
              <w:t>rogram management</w:t>
            </w:r>
          </w:p>
        </w:tc>
        <w:tc>
          <w:tcPr>
            <w:tcW w:w="1294" w:type="dxa"/>
            <w:vAlign w:val="center"/>
          </w:tcPr>
          <w:p w14:paraId="691E7D8B" w14:textId="4F9CD7B9" w:rsidR="000876F2" w:rsidRPr="00BC7BB5" w:rsidRDefault="0059609E" w:rsidP="000933CF">
            <w:pPr>
              <w:pStyle w:val="Attachmenttitle"/>
              <w:spacing w:after="0"/>
              <w:ind w:right="-75"/>
              <w:jc w:val="center"/>
              <w:rPr>
                <w:b w:val="0"/>
                <w:sz w:val="18"/>
                <w:szCs w:val="18"/>
              </w:rPr>
            </w:pPr>
            <w:r w:rsidRPr="00BC7BB5">
              <w:rPr>
                <w:b w:val="0"/>
                <w:sz w:val="18"/>
                <w:szCs w:val="18"/>
              </w:rPr>
              <w:t>1</w:t>
            </w:r>
            <w:r w:rsidR="000876F2" w:rsidRPr="00BC7BB5">
              <w:rPr>
                <w:b w:val="0"/>
                <w:sz w:val="18"/>
                <w:szCs w:val="18"/>
              </w:rPr>
              <w:t>0.0</w:t>
            </w:r>
          </w:p>
        </w:tc>
        <w:tc>
          <w:tcPr>
            <w:tcW w:w="1041" w:type="dxa"/>
            <w:vAlign w:val="center"/>
          </w:tcPr>
          <w:p w14:paraId="51C33947" w14:textId="4AE2A183" w:rsidR="000876F2" w:rsidRPr="00BC7BB5" w:rsidRDefault="0059609E" w:rsidP="000933CF">
            <w:pPr>
              <w:pStyle w:val="Attachmenttitle"/>
              <w:spacing w:after="0"/>
              <w:jc w:val="center"/>
              <w:rPr>
                <w:b w:val="0"/>
                <w:sz w:val="18"/>
                <w:szCs w:val="18"/>
              </w:rPr>
            </w:pPr>
            <w:r w:rsidRPr="00BC7BB5">
              <w:rPr>
                <w:b w:val="0"/>
                <w:sz w:val="18"/>
                <w:szCs w:val="18"/>
              </w:rPr>
              <w:t>No</w:t>
            </w:r>
          </w:p>
        </w:tc>
      </w:tr>
      <w:tr w:rsidR="003B3A6C" w:rsidRPr="00BC7BB5" w14:paraId="5D211FE7" w14:textId="77777777" w:rsidTr="000933CF">
        <w:tc>
          <w:tcPr>
            <w:tcW w:w="7015" w:type="dxa"/>
            <w:vAlign w:val="center"/>
          </w:tcPr>
          <w:p w14:paraId="59BC91EE" w14:textId="3A5B0395" w:rsidR="003B3A6C" w:rsidRPr="00BC7BB5" w:rsidRDefault="003B3A6C" w:rsidP="000933CF">
            <w:pPr>
              <w:rPr>
                <w:rFonts w:ascii="Times New Roman" w:hAnsi="Times New Roman" w:cs="Times New Roman"/>
                <w:b/>
                <w:sz w:val="18"/>
                <w:szCs w:val="18"/>
              </w:rPr>
            </w:pPr>
            <w:r>
              <w:rPr>
                <w:rFonts w:ascii="Times New Roman" w:hAnsi="Times New Roman" w:cs="Times New Roman"/>
                <w:b/>
                <w:sz w:val="18"/>
                <w:szCs w:val="18"/>
              </w:rPr>
              <w:t>Front end fee</w:t>
            </w:r>
          </w:p>
        </w:tc>
        <w:tc>
          <w:tcPr>
            <w:tcW w:w="1294" w:type="dxa"/>
            <w:vAlign w:val="center"/>
          </w:tcPr>
          <w:p w14:paraId="32374994" w14:textId="74D700AF" w:rsidR="003B3A6C" w:rsidRPr="00BC7BB5" w:rsidRDefault="003B3A6C" w:rsidP="000933CF">
            <w:pPr>
              <w:pStyle w:val="Attachmenttitle"/>
              <w:spacing w:after="0"/>
              <w:ind w:right="-75"/>
              <w:jc w:val="center"/>
              <w:rPr>
                <w:b w:val="0"/>
                <w:sz w:val="18"/>
                <w:szCs w:val="18"/>
              </w:rPr>
            </w:pPr>
            <w:r>
              <w:rPr>
                <w:b w:val="0"/>
                <w:sz w:val="18"/>
                <w:szCs w:val="18"/>
              </w:rPr>
              <w:t>0.5</w:t>
            </w:r>
          </w:p>
        </w:tc>
        <w:tc>
          <w:tcPr>
            <w:tcW w:w="1041" w:type="dxa"/>
            <w:vAlign w:val="center"/>
          </w:tcPr>
          <w:p w14:paraId="0E0E7EBF" w14:textId="77777777" w:rsidR="003B3A6C" w:rsidRPr="00BC7BB5" w:rsidRDefault="003B3A6C" w:rsidP="000933CF">
            <w:pPr>
              <w:pStyle w:val="Attachmenttitle"/>
              <w:spacing w:after="0"/>
              <w:jc w:val="center"/>
              <w:rPr>
                <w:b w:val="0"/>
                <w:sz w:val="18"/>
                <w:szCs w:val="18"/>
              </w:rPr>
            </w:pPr>
          </w:p>
        </w:tc>
      </w:tr>
      <w:tr w:rsidR="000876F2" w:rsidRPr="00BC7BB5" w14:paraId="0B5E9D08" w14:textId="77777777" w:rsidTr="000933CF">
        <w:tc>
          <w:tcPr>
            <w:tcW w:w="7015" w:type="dxa"/>
            <w:vAlign w:val="center"/>
          </w:tcPr>
          <w:p w14:paraId="1E3C359E" w14:textId="3F2B6D79" w:rsidR="000876F2" w:rsidRPr="00BC7BB5" w:rsidRDefault="000876F2" w:rsidP="000933CF">
            <w:pPr>
              <w:pStyle w:val="Attachmenttitle"/>
              <w:spacing w:after="0"/>
              <w:jc w:val="center"/>
              <w:rPr>
                <w:sz w:val="18"/>
                <w:szCs w:val="18"/>
              </w:rPr>
            </w:pPr>
            <w:r w:rsidRPr="00BC7BB5">
              <w:rPr>
                <w:sz w:val="18"/>
                <w:szCs w:val="18"/>
              </w:rPr>
              <w:t xml:space="preserve">TOTAL </w:t>
            </w:r>
          </w:p>
        </w:tc>
        <w:tc>
          <w:tcPr>
            <w:tcW w:w="1294" w:type="dxa"/>
            <w:vAlign w:val="center"/>
          </w:tcPr>
          <w:p w14:paraId="06E19FA1" w14:textId="77777777" w:rsidR="000876F2" w:rsidRPr="00BC7BB5" w:rsidRDefault="000876F2" w:rsidP="000933CF">
            <w:pPr>
              <w:pStyle w:val="Attachmenttitle"/>
              <w:spacing w:after="0"/>
              <w:ind w:right="-75"/>
              <w:jc w:val="center"/>
              <w:rPr>
                <w:b w:val="0"/>
                <w:sz w:val="18"/>
                <w:szCs w:val="18"/>
              </w:rPr>
            </w:pPr>
            <w:r w:rsidRPr="00BC7BB5">
              <w:rPr>
                <w:b w:val="0"/>
                <w:sz w:val="18"/>
                <w:szCs w:val="18"/>
              </w:rPr>
              <w:t>200.0</w:t>
            </w:r>
          </w:p>
        </w:tc>
        <w:tc>
          <w:tcPr>
            <w:tcW w:w="1041" w:type="dxa"/>
            <w:vAlign w:val="center"/>
          </w:tcPr>
          <w:p w14:paraId="18B5A3EE" w14:textId="483A2226" w:rsidR="000876F2" w:rsidRPr="00BC7BB5" w:rsidRDefault="000876F2" w:rsidP="000933CF">
            <w:pPr>
              <w:pStyle w:val="Attachmenttitle"/>
              <w:spacing w:after="0"/>
              <w:jc w:val="center"/>
              <w:rPr>
                <w:b w:val="0"/>
                <w:sz w:val="18"/>
                <w:szCs w:val="18"/>
              </w:rPr>
            </w:pPr>
          </w:p>
        </w:tc>
      </w:tr>
    </w:tbl>
    <w:p w14:paraId="7D20A24E" w14:textId="77777777" w:rsidR="003A67FC" w:rsidRPr="00BC7BB5" w:rsidRDefault="003A67FC" w:rsidP="003A67FC">
      <w:pPr>
        <w:pStyle w:val="NoSpacing"/>
        <w:jc w:val="both"/>
        <w:rPr>
          <w:rFonts w:ascii="Times New Roman" w:hAnsi="Times New Roman" w:cs="Times New Roman"/>
        </w:rPr>
      </w:pPr>
    </w:p>
    <w:p w14:paraId="568AB24D" w14:textId="492A2F9A" w:rsidR="0008035D" w:rsidRPr="00710EBD" w:rsidRDefault="000876F2" w:rsidP="00B35A06">
      <w:pPr>
        <w:pStyle w:val="NoSpacing"/>
        <w:numPr>
          <w:ilvl w:val="0"/>
          <w:numId w:val="7"/>
        </w:numPr>
        <w:ind w:left="0" w:firstLine="0"/>
        <w:jc w:val="both"/>
        <w:rPr>
          <w:rFonts w:ascii="Times New Roman" w:hAnsi="Times New Roman" w:cs="Times New Roman"/>
        </w:rPr>
      </w:pPr>
      <w:r w:rsidRPr="00710EBD">
        <w:rPr>
          <w:rFonts w:ascii="Times New Roman" w:hAnsi="Times New Roman" w:cs="Times New Roman"/>
          <w:b/>
        </w:rPr>
        <w:t>Verifying the achievement of the DLIs annually will provide the basis for disbursement</w:t>
      </w:r>
      <w:r w:rsidR="00AF502A" w:rsidRPr="00710EBD">
        <w:rPr>
          <w:rFonts w:ascii="Times New Roman" w:hAnsi="Times New Roman" w:cs="Times New Roman"/>
        </w:rPr>
        <w:t xml:space="preserve">. The Program envisages </w:t>
      </w:r>
      <w:r w:rsidRPr="00710EBD">
        <w:rPr>
          <w:rFonts w:ascii="Times New Roman" w:hAnsi="Times New Roman" w:cs="Times New Roman"/>
        </w:rPr>
        <w:t xml:space="preserve">disbursement </w:t>
      </w:r>
      <w:r w:rsidR="00A27CA2">
        <w:rPr>
          <w:rFonts w:ascii="Times New Roman" w:hAnsi="Times New Roman" w:cs="Times New Roman"/>
        </w:rPr>
        <w:t>throughout the Program implementation period based on the verification of achieved disbursement linked results</w:t>
      </w:r>
      <w:r w:rsidRPr="00710EBD">
        <w:rPr>
          <w:rFonts w:ascii="Times New Roman" w:hAnsi="Times New Roman" w:cs="Times New Roman"/>
        </w:rPr>
        <w:t xml:space="preserve">. </w:t>
      </w:r>
      <w:r w:rsidR="00325573" w:rsidRPr="00710EBD">
        <w:rPr>
          <w:rFonts w:ascii="Times New Roman" w:hAnsi="Times New Roman" w:cs="Times New Roman"/>
        </w:rPr>
        <w:t>For scalable DLIs,</w:t>
      </w:r>
      <w:r w:rsidR="00F32DF7" w:rsidRPr="00710EBD">
        <w:rPr>
          <w:rFonts w:ascii="Times New Roman" w:hAnsi="Times New Roman" w:cs="Times New Roman"/>
        </w:rPr>
        <w:t xml:space="preserve"> payment would</w:t>
      </w:r>
      <w:r w:rsidRPr="00710EBD">
        <w:rPr>
          <w:rFonts w:ascii="Times New Roman" w:hAnsi="Times New Roman" w:cs="Times New Roman"/>
        </w:rPr>
        <w:t xml:space="preserve"> be made in proportion to the achieved results for each period after verifying the DLIs. </w:t>
      </w:r>
      <w:r w:rsidR="004C61EC" w:rsidRPr="00710EBD">
        <w:rPr>
          <w:rFonts w:ascii="Times New Roman" w:hAnsi="Times New Roman" w:cs="Times New Roman"/>
        </w:rPr>
        <w:t>Three</w:t>
      </w:r>
      <w:r w:rsidR="00F32DF7" w:rsidRPr="00710EBD">
        <w:rPr>
          <w:rFonts w:ascii="Times New Roman" w:hAnsi="Times New Roman" w:cs="Times New Roman"/>
        </w:rPr>
        <w:t xml:space="preserve"> DLIs would</w:t>
      </w:r>
      <w:r w:rsidRPr="00710EBD">
        <w:rPr>
          <w:rFonts w:ascii="Times New Roman" w:hAnsi="Times New Roman" w:cs="Times New Roman"/>
        </w:rPr>
        <w:t xml:space="preserve"> be non-scalable and, thus, only achieving the target in full </w:t>
      </w:r>
      <w:r w:rsidR="00F32DF7" w:rsidRPr="00710EBD">
        <w:rPr>
          <w:rFonts w:ascii="Times New Roman" w:hAnsi="Times New Roman" w:cs="Times New Roman"/>
        </w:rPr>
        <w:t>would</w:t>
      </w:r>
      <w:r w:rsidRPr="00710EBD">
        <w:rPr>
          <w:rFonts w:ascii="Times New Roman" w:hAnsi="Times New Roman" w:cs="Times New Roman"/>
        </w:rPr>
        <w:t xml:space="preserve"> trigger the corresponding payment. Verification protocols are </w:t>
      </w:r>
      <w:r w:rsidR="00325573" w:rsidRPr="00710EBD">
        <w:rPr>
          <w:rFonts w:ascii="Times New Roman" w:hAnsi="Times New Roman" w:cs="Times New Roman"/>
        </w:rPr>
        <w:t>summarized as follows</w:t>
      </w:r>
      <w:r w:rsidRPr="00710EBD">
        <w:rPr>
          <w:rFonts w:ascii="Times New Roman" w:hAnsi="Times New Roman" w:cs="Times New Roman"/>
        </w:rPr>
        <w:t>:</w:t>
      </w:r>
    </w:p>
    <w:p w14:paraId="7B746C3C" w14:textId="77777777" w:rsidR="003A67FC" w:rsidRPr="00710EBD" w:rsidRDefault="003A67FC" w:rsidP="003A67FC">
      <w:pPr>
        <w:pStyle w:val="NoSpacing"/>
        <w:jc w:val="both"/>
        <w:rPr>
          <w:rFonts w:ascii="Times New Roman" w:hAnsi="Times New Roman" w:cs="Times New Roman"/>
        </w:rPr>
      </w:pPr>
    </w:p>
    <w:p w14:paraId="3B3D0101" w14:textId="5909B4F0" w:rsidR="0008035D" w:rsidRPr="00710EBD" w:rsidRDefault="000876F2" w:rsidP="00B35A06">
      <w:pPr>
        <w:pStyle w:val="ListParagraph"/>
        <w:numPr>
          <w:ilvl w:val="1"/>
          <w:numId w:val="7"/>
        </w:numPr>
        <w:spacing w:after="0" w:line="240" w:lineRule="auto"/>
        <w:ind w:left="720"/>
        <w:jc w:val="both"/>
        <w:rPr>
          <w:rFonts w:ascii="Times New Roman" w:hAnsi="Times New Roman" w:cs="Times New Roman"/>
        </w:rPr>
      </w:pPr>
      <w:r w:rsidRPr="00710EBD">
        <w:rPr>
          <w:rFonts w:ascii="Times New Roman" w:hAnsi="Times New Roman" w:cs="Times New Roman"/>
          <w:u w:val="single"/>
        </w:rPr>
        <w:t>Data source/agency</w:t>
      </w:r>
      <w:r w:rsidRPr="00710EBD">
        <w:rPr>
          <w:rFonts w:ascii="Times New Roman" w:hAnsi="Times New Roman" w:cs="Times New Roman"/>
        </w:rPr>
        <w:t>:</w:t>
      </w:r>
      <w:r w:rsidR="0008035D" w:rsidRPr="00710EBD">
        <w:rPr>
          <w:rFonts w:ascii="Times New Roman" w:hAnsi="Times New Roman" w:cs="Times New Roman"/>
        </w:rPr>
        <w:t xml:space="preserve"> </w:t>
      </w:r>
      <w:r w:rsidRPr="00710EBD">
        <w:rPr>
          <w:rFonts w:ascii="Times New Roman" w:hAnsi="Times New Roman" w:cs="Times New Roman"/>
        </w:rPr>
        <w:t xml:space="preserve">MAPMDREF, </w:t>
      </w:r>
      <w:r w:rsidR="00AF502A" w:rsidRPr="00710EBD">
        <w:rPr>
          <w:rFonts w:ascii="Times New Roman" w:hAnsi="Times New Roman" w:cs="Times New Roman"/>
        </w:rPr>
        <w:t xml:space="preserve">the </w:t>
      </w:r>
      <w:r w:rsidRPr="00710EBD">
        <w:rPr>
          <w:rFonts w:ascii="Times New Roman" w:hAnsi="Times New Roman" w:cs="Times New Roman"/>
        </w:rPr>
        <w:t>lead imple</w:t>
      </w:r>
      <w:r w:rsidR="006B1DEF" w:rsidRPr="00710EBD">
        <w:rPr>
          <w:rFonts w:ascii="Times New Roman" w:hAnsi="Times New Roman" w:cs="Times New Roman"/>
        </w:rPr>
        <w:t xml:space="preserve">menting agency, </w:t>
      </w:r>
      <w:r w:rsidR="009C4A2D" w:rsidRPr="00710EBD">
        <w:rPr>
          <w:rFonts w:ascii="Times New Roman" w:hAnsi="Times New Roman" w:cs="Times New Roman"/>
        </w:rPr>
        <w:t>through</w:t>
      </w:r>
      <w:r w:rsidRPr="00710EBD">
        <w:rPr>
          <w:rFonts w:ascii="Times New Roman" w:hAnsi="Times New Roman" w:cs="Times New Roman"/>
        </w:rPr>
        <w:t xml:space="preserve"> </w:t>
      </w:r>
      <w:r w:rsidR="009C4A2D" w:rsidRPr="00710EBD">
        <w:rPr>
          <w:rFonts w:ascii="Times New Roman" w:hAnsi="Times New Roman" w:cs="Times New Roman"/>
        </w:rPr>
        <w:t xml:space="preserve">its </w:t>
      </w:r>
      <w:r w:rsidR="00AF502A" w:rsidRPr="00710EBD">
        <w:rPr>
          <w:rFonts w:ascii="Times New Roman" w:hAnsi="Times New Roman" w:cs="Times New Roman"/>
        </w:rPr>
        <w:t>Directorate for the Development of Value</w:t>
      </w:r>
      <w:r w:rsidR="00D016E3">
        <w:rPr>
          <w:rFonts w:ascii="Times New Roman" w:hAnsi="Times New Roman" w:cs="Times New Roman"/>
        </w:rPr>
        <w:t xml:space="preserve"> C</w:t>
      </w:r>
      <w:r w:rsidR="00AF502A" w:rsidRPr="00710EBD">
        <w:rPr>
          <w:rFonts w:ascii="Times New Roman" w:hAnsi="Times New Roman" w:cs="Times New Roman"/>
        </w:rPr>
        <w:t>hains (</w:t>
      </w:r>
      <w:r w:rsidRPr="00710EBD">
        <w:rPr>
          <w:rFonts w:ascii="Times New Roman" w:hAnsi="Times New Roman" w:cs="Times New Roman"/>
        </w:rPr>
        <w:t>DDFP</w:t>
      </w:r>
      <w:r w:rsidR="00AF502A" w:rsidRPr="00710EBD">
        <w:rPr>
          <w:rFonts w:ascii="Times New Roman" w:hAnsi="Times New Roman" w:cs="Times New Roman"/>
        </w:rPr>
        <w:t>)</w:t>
      </w:r>
      <w:r w:rsidR="009C4A2D" w:rsidRPr="00710EBD">
        <w:rPr>
          <w:rFonts w:ascii="Times New Roman" w:hAnsi="Times New Roman" w:cs="Times New Roman"/>
        </w:rPr>
        <w:t>, w</w:t>
      </w:r>
      <w:r w:rsidR="00A27CA2">
        <w:rPr>
          <w:rFonts w:ascii="Times New Roman" w:hAnsi="Times New Roman" w:cs="Times New Roman"/>
        </w:rPr>
        <w:t>ill</w:t>
      </w:r>
      <w:r w:rsidRPr="00710EBD">
        <w:rPr>
          <w:rFonts w:ascii="Times New Roman" w:hAnsi="Times New Roman" w:cs="Times New Roman"/>
        </w:rPr>
        <w:t xml:space="preserve"> collect and consolidate data and report on the achievement of the DLIs. </w:t>
      </w:r>
      <w:r w:rsidR="00105842" w:rsidRPr="00710EBD">
        <w:rPr>
          <w:rFonts w:ascii="Times New Roman" w:hAnsi="Times New Roman" w:cs="Times New Roman"/>
        </w:rPr>
        <w:t>Data providers would</w:t>
      </w:r>
      <w:r w:rsidRPr="00710EBD">
        <w:rPr>
          <w:rFonts w:ascii="Times New Roman" w:hAnsi="Times New Roman" w:cs="Times New Roman"/>
        </w:rPr>
        <w:t xml:space="preserve"> be the DDFP, the</w:t>
      </w:r>
      <w:r w:rsidR="00105842" w:rsidRPr="00710EBD">
        <w:rPr>
          <w:rFonts w:ascii="Times New Roman" w:hAnsi="Times New Roman" w:cs="Times New Roman"/>
        </w:rPr>
        <w:t xml:space="preserve"> </w:t>
      </w:r>
      <w:r w:rsidR="000F4E46" w:rsidRPr="00710EBD">
        <w:rPr>
          <w:rFonts w:ascii="Times New Roman" w:hAnsi="Times New Roman" w:cs="Times New Roman"/>
        </w:rPr>
        <w:t>Directorate for Strategy and Statistics (</w:t>
      </w:r>
      <w:r w:rsidR="00105842" w:rsidRPr="00710EBD">
        <w:rPr>
          <w:rFonts w:ascii="Times New Roman" w:hAnsi="Times New Roman" w:cs="Times New Roman"/>
        </w:rPr>
        <w:t>DSS</w:t>
      </w:r>
      <w:r w:rsidR="000F4E46" w:rsidRPr="00710EBD">
        <w:rPr>
          <w:rFonts w:ascii="Times New Roman" w:hAnsi="Times New Roman" w:cs="Times New Roman"/>
        </w:rPr>
        <w:t>)</w:t>
      </w:r>
      <w:r w:rsidR="00105842" w:rsidRPr="00710EBD">
        <w:rPr>
          <w:rFonts w:ascii="Times New Roman" w:hAnsi="Times New Roman" w:cs="Times New Roman"/>
        </w:rPr>
        <w:t xml:space="preserve">, </w:t>
      </w:r>
      <w:r w:rsidR="008000D5" w:rsidRPr="00710EBD">
        <w:rPr>
          <w:rFonts w:ascii="Times New Roman" w:hAnsi="Times New Roman" w:cs="Times New Roman"/>
        </w:rPr>
        <w:t>the Directorate of Finance</w:t>
      </w:r>
      <w:r w:rsidR="00D016E3">
        <w:rPr>
          <w:rFonts w:ascii="Times New Roman" w:hAnsi="Times New Roman" w:cs="Times New Roman"/>
        </w:rPr>
        <w:t>s</w:t>
      </w:r>
      <w:r w:rsidR="008000D5" w:rsidRPr="00710EBD">
        <w:rPr>
          <w:rFonts w:ascii="Times New Roman" w:hAnsi="Times New Roman" w:cs="Times New Roman"/>
        </w:rPr>
        <w:t xml:space="preserve"> (DF), </w:t>
      </w:r>
      <w:r w:rsidR="00105842" w:rsidRPr="00710EBD">
        <w:rPr>
          <w:rFonts w:ascii="Times New Roman" w:hAnsi="Times New Roman" w:cs="Times New Roman"/>
        </w:rPr>
        <w:t>ONSSA</w:t>
      </w:r>
      <w:r w:rsidR="004C61EC" w:rsidRPr="00710EBD">
        <w:rPr>
          <w:rFonts w:ascii="Times New Roman" w:hAnsi="Times New Roman" w:cs="Times New Roman"/>
        </w:rPr>
        <w:t xml:space="preserve">, </w:t>
      </w:r>
      <w:r w:rsidR="00860E8D" w:rsidRPr="00710EBD">
        <w:rPr>
          <w:rFonts w:ascii="Times New Roman" w:hAnsi="Times New Roman" w:cs="Times New Roman"/>
        </w:rPr>
        <w:t>ADA</w:t>
      </w:r>
      <w:r w:rsidR="00C66A02" w:rsidRPr="00710EBD">
        <w:rPr>
          <w:rFonts w:ascii="Times New Roman" w:hAnsi="Times New Roman" w:cs="Times New Roman"/>
        </w:rPr>
        <w:t>,</w:t>
      </w:r>
      <w:r w:rsidR="004C61EC" w:rsidRPr="00710EBD">
        <w:rPr>
          <w:rFonts w:ascii="Times New Roman" w:hAnsi="Times New Roman" w:cs="Times New Roman"/>
        </w:rPr>
        <w:t xml:space="preserve"> the Wilaya</w:t>
      </w:r>
      <w:r w:rsidR="002A4F14">
        <w:rPr>
          <w:rFonts w:ascii="Times New Roman" w:hAnsi="Times New Roman" w:cs="Times New Roman"/>
        </w:rPr>
        <w:t xml:space="preserve"> of Rabat-Salé-Kénitra</w:t>
      </w:r>
      <w:r w:rsidR="00C66A02" w:rsidRPr="00710EBD">
        <w:rPr>
          <w:rFonts w:ascii="Times New Roman" w:hAnsi="Times New Roman" w:cs="Times New Roman"/>
        </w:rPr>
        <w:t>, Rabat Région Aménagement and the interprofessions</w:t>
      </w:r>
      <w:r w:rsidR="00710EBD" w:rsidRPr="00710EBD">
        <w:rPr>
          <w:rFonts w:ascii="Times New Roman" w:hAnsi="Times New Roman" w:cs="Times New Roman"/>
        </w:rPr>
        <w:t>;</w:t>
      </w:r>
      <w:r w:rsidR="00AF502A" w:rsidRPr="00710EBD">
        <w:rPr>
          <w:rFonts w:ascii="Times New Roman" w:hAnsi="Times New Roman" w:cs="Times New Roman"/>
        </w:rPr>
        <w:t xml:space="preserve"> </w:t>
      </w:r>
    </w:p>
    <w:p w14:paraId="583E4402" w14:textId="30FE42A4" w:rsidR="007462FF" w:rsidRPr="00BC7BB5" w:rsidRDefault="000876F2" w:rsidP="00B35A06">
      <w:pPr>
        <w:pStyle w:val="ListParagraph"/>
        <w:numPr>
          <w:ilvl w:val="1"/>
          <w:numId w:val="7"/>
        </w:numPr>
        <w:spacing w:after="0" w:line="240" w:lineRule="auto"/>
        <w:ind w:left="720"/>
        <w:jc w:val="both"/>
        <w:rPr>
          <w:rFonts w:ascii="Times New Roman" w:hAnsi="Times New Roman" w:cs="Times New Roman"/>
        </w:rPr>
      </w:pPr>
      <w:r w:rsidRPr="00710EBD">
        <w:rPr>
          <w:rFonts w:ascii="Times New Roman" w:hAnsi="Times New Roman" w:cs="Times New Roman"/>
          <w:u w:val="single"/>
        </w:rPr>
        <w:t>Verification entity</w:t>
      </w:r>
      <w:r w:rsidRPr="00710EBD">
        <w:rPr>
          <w:rFonts w:ascii="Times New Roman" w:hAnsi="Times New Roman" w:cs="Times New Roman"/>
        </w:rPr>
        <w:t xml:space="preserve">: The </w:t>
      </w:r>
      <w:r w:rsidR="005B440D" w:rsidRPr="00710EBD">
        <w:rPr>
          <w:rFonts w:ascii="Times New Roman" w:hAnsi="Times New Roman" w:cs="Times New Roman"/>
        </w:rPr>
        <w:t>General Inspectorate of</w:t>
      </w:r>
      <w:r w:rsidRPr="00710EBD">
        <w:rPr>
          <w:rFonts w:ascii="Times New Roman" w:hAnsi="Times New Roman" w:cs="Times New Roman"/>
        </w:rPr>
        <w:t xml:space="preserve"> MAPMDREF</w:t>
      </w:r>
      <w:r w:rsidR="00B81820" w:rsidRPr="00710EBD">
        <w:rPr>
          <w:rFonts w:ascii="Times New Roman" w:hAnsi="Times New Roman" w:cs="Times New Roman"/>
        </w:rPr>
        <w:t xml:space="preserve"> (IGA</w:t>
      </w:r>
      <w:r w:rsidR="00346EAB" w:rsidRPr="00710EBD">
        <w:rPr>
          <w:rFonts w:ascii="Times New Roman" w:hAnsi="Times New Roman" w:cs="Times New Roman"/>
        </w:rPr>
        <w:fldChar w:fldCharType="begin"/>
      </w:r>
      <w:r w:rsidR="00346EAB" w:rsidRPr="00710EBD">
        <w:instrText xml:space="preserve"> XE "</w:instrText>
      </w:r>
      <w:r w:rsidR="00346EAB" w:rsidRPr="00710EBD">
        <w:rPr>
          <w:rFonts w:ascii="Times New Roman" w:hAnsi="Times New Roman" w:cs="Times New Roman"/>
        </w:rPr>
        <w:instrText>IGA:</w:instrText>
      </w:r>
      <w:r w:rsidR="00346EAB" w:rsidRPr="00710EBD">
        <w:instrText xml:space="preserve">General Inspectorate of MAPMDREF" </w:instrText>
      </w:r>
      <w:r w:rsidR="00346EAB" w:rsidRPr="00710EBD">
        <w:rPr>
          <w:rFonts w:ascii="Times New Roman" w:hAnsi="Times New Roman" w:cs="Times New Roman"/>
        </w:rPr>
        <w:fldChar w:fldCharType="end"/>
      </w:r>
      <w:r w:rsidR="00B81820" w:rsidRPr="00710EBD">
        <w:rPr>
          <w:rFonts w:ascii="Times New Roman" w:hAnsi="Times New Roman" w:cs="Times New Roman"/>
        </w:rPr>
        <w:t>)</w:t>
      </w:r>
      <w:r w:rsidRPr="00710EBD">
        <w:rPr>
          <w:rFonts w:ascii="Times New Roman" w:hAnsi="Times New Roman" w:cs="Times New Roman"/>
        </w:rPr>
        <w:t xml:space="preserve"> </w:t>
      </w:r>
      <w:r w:rsidR="00EC2409" w:rsidRPr="00710EBD">
        <w:rPr>
          <w:rFonts w:ascii="Times New Roman" w:hAnsi="Times New Roman" w:cs="Times New Roman"/>
        </w:rPr>
        <w:t>w</w:t>
      </w:r>
      <w:r w:rsidR="00A27CA2">
        <w:rPr>
          <w:rFonts w:ascii="Times New Roman" w:hAnsi="Times New Roman" w:cs="Times New Roman"/>
        </w:rPr>
        <w:t>ill</w:t>
      </w:r>
      <w:r w:rsidRPr="00710EBD">
        <w:rPr>
          <w:rFonts w:ascii="Times New Roman" w:hAnsi="Times New Roman" w:cs="Times New Roman"/>
        </w:rPr>
        <w:t xml:space="preserve"> be tasked with verifying the achievement of the DLIs as per the defined </w:t>
      </w:r>
      <w:r w:rsidR="00D06FE4">
        <w:rPr>
          <w:rFonts w:ascii="Times New Roman" w:hAnsi="Times New Roman" w:cs="Times New Roman"/>
        </w:rPr>
        <w:t>v</w:t>
      </w:r>
      <w:r w:rsidRPr="00710EBD">
        <w:rPr>
          <w:rFonts w:ascii="Times New Roman" w:hAnsi="Times New Roman" w:cs="Times New Roman"/>
        </w:rPr>
        <w:t xml:space="preserve">erification </w:t>
      </w:r>
      <w:r w:rsidR="00D06FE4">
        <w:rPr>
          <w:rFonts w:ascii="Times New Roman" w:hAnsi="Times New Roman" w:cs="Times New Roman"/>
        </w:rPr>
        <w:t>p</w:t>
      </w:r>
      <w:r w:rsidRPr="00710EBD">
        <w:rPr>
          <w:rFonts w:ascii="Times New Roman" w:hAnsi="Times New Roman" w:cs="Times New Roman"/>
        </w:rPr>
        <w:t>rotocols for each DLI</w:t>
      </w:r>
      <w:r w:rsidR="007462FF" w:rsidRPr="00BC7BB5">
        <w:rPr>
          <w:rFonts w:ascii="Times New Roman" w:hAnsi="Times New Roman" w:cs="Times New Roman"/>
        </w:rPr>
        <w:t>;</w:t>
      </w:r>
    </w:p>
    <w:p w14:paraId="4392BED5" w14:textId="33A6A9ED" w:rsidR="0008035D" w:rsidRPr="00BC7BB5" w:rsidRDefault="000876F2" w:rsidP="00B35A06">
      <w:pPr>
        <w:pStyle w:val="ListParagraph"/>
        <w:numPr>
          <w:ilvl w:val="1"/>
          <w:numId w:val="7"/>
        </w:numPr>
        <w:spacing w:after="0" w:line="240" w:lineRule="auto"/>
        <w:ind w:left="720"/>
        <w:jc w:val="both"/>
        <w:rPr>
          <w:rFonts w:ascii="Times New Roman" w:hAnsi="Times New Roman" w:cs="Times New Roman"/>
        </w:rPr>
      </w:pPr>
      <w:r w:rsidRPr="00BC7BB5">
        <w:rPr>
          <w:rFonts w:ascii="Times New Roman" w:hAnsi="Times New Roman" w:cs="Times New Roman"/>
          <w:u w:val="single"/>
        </w:rPr>
        <w:t>Verification procedures</w:t>
      </w:r>
      <w:r w:rsidRPr="00BC7BB5">
        <w:rPr>
          <w:rFonts w:ascii="Times New Roman" w:hAnsi="Times New Roman" w:cs="Times New Roman"/>
        </w:rPr>
        <w:t>:</w:t>
      </w:r>
      <w:r w:rsidR="00E212F5" w:rsidRPr="00BC7BB5">
        <w:rPr>
          <w:rFonts w:ascii="Times New Roman" w:hAnsi="Times New Roman" w:cs="Times New Roman"/>
        </w:rPr>
        <w:t xml:space="preserve"> The IG</w:t>
      </w:r>
      <w:r w:rsidR="00246AE1" w:rsidRPr="00BC7BB5">
        <w:rPr>
          <w:rFonts w:ascii="Times New Roman" w:hAnsi="Times New Roman" w:cs="Times New Roman"/>
        </w:rPr>
        <w:t>A w</w:t>
      </w:r>
      <w:r w:rsidR="00A27CA2">
        <w:rPr>
          <w:rFonts w:ascii="Times New Roman" w:hAnsi="Times New Roman" w:cs="Times New Roman"/>
        </w:rPr>
        <w:t>ill</w:t>
      </w:r>
      <w:r w:rsidRPr="00BC7BB5">
        <w:rPr>
          <w:rFonts w:ascii="Times New Roman" w:hAnsi="Times New Roman" w:cs="Times New Roman"/>
        </w:rPr>
        <w:t xml:space="preserve"> review </w:t>
      </w:r>
      <w:r w:rsidR="00710EBD">
        <w:rPr>
          <w:rFonts w:ascii="Times New Roman" w:hAnsi="Times New Roman" w:cs="Times New Roman"/>
        </w:rPr>
        <w:t xml:space="preserve">and approve </w:t>
      </w:r>
      <w:r w:rsidRPr="00BC7BB5">
        <w:rPr>
          <w:rFonts w:ascii="Times New Roman" w:hAnsi="Times New Roman" w:cs="Times New Roman"/>
        </w:rPr>
        <w:t xml:space="preserve">the reports </w:t>
      </w:r>
      <w:r w:rsidR="00710EBD">
        <w:rPr>
          <w:rFonts w:ascii="Times New Roman" w:hAnsi="Times New Roman" w:cs="Times New Roman"/>
        </w:rPr>
        <w:t>prepared by the P</w:t>
      </w:r>
      <w:r w:rsidR="009403AF">
        <w:rPr>
          <w:rFonts w:ascii="Times New Roman" w:hAnsi="Times New Roman" w:cs="Times New Roman"/>
        </w:rPr>
        <w:t xml:space="preserve">rogram </w:t>
      </w:r>
      <w:r w:rsidR="00710EBD">
        <w:rPr>
          <w:rFonts w:ascii="Times New Roman" w:hAnsi="Times New Roman" w:cs="Times New Roman"/>
        </w:rPr>
        <w:t>M</w:t>
      </w:r>
      <w:r w:rsidR="009403AF">
        <w:rPr>
          <w:rFonts w:ascii="Times New Roman" w:hAnsi="Times New Roman" w:cs="Times New Roman"/>
        </w:rPr>
        <w:t xml:space="preserve">anagement </w:t>
      </w:r>
      <w:r w:rsidR="00710EBD">
        <w:rPr>
          <w:rFonts w:ascii="Times New Roman" w:hAnsi="Times New Roman" w:cs="Times New Roman"/>
        </w:rPr>
        <w:t>U</w:t>
      </w:r>
      <w:r w:rsidR="00BD0FE0">
        <w:rPr>
          <w:rFonts w:ascii="Times New Roman" w:hAnsi="Times New Roman" w:cs="Times New Roman"/>
        </w:rPr>
        <w:t>nit of the</w:t>
      </w:r>
      <w:r w:rsidR="009403AF">
        <w:rPr>
          <w:rFonts w:ascii="Times New Roman" w:hAnsi="Times New Roman" w:cs="Times New Roman"/>
        </w:rPr>
        <w:t xml:space="preserve"> DDFP</w:t>
      </w:r>
      <w:r w:rsidR="00EB05D6" w:rsidRPr="00BC7BB5">
        <w:rPr>
          <w:rFonts w:ascii="Times New Roman" w:hAnsi="Times New Roman" w:cs="Times New Roman"/>
        </w:rPr>
        <w:t xml:space="preserve"> and submit them</w:t>
      </w:r>
      <w:r w:rsidR="00710EBD">
        <w:rPr>
          <w:rFonts w:ascii="Times New Roman" w:hAnsi="Times New Roman" w:cs="Times New Roman"/>
        </w:rPr>
        <w:t xml:space="preserve"> to MEF, for submission to the Bank</w:t>
      </w:r>
      <w:r w:rsidRPr="00BC7BB5">
        <w:rPr>
          <w:rFonts w:ascii="Times New Roman" w:hAnsi="Times New Roman" w:cs="Times New Roman"/>
        </w:rPr>
        <w:t>, along with the accompanying evi</w:t>
      </w:r>
      <w:r w:rsidR="00FC4CAD" w:rsidRPr="00BC7BB5">
        <w:rPr>
          <w:rFonts w:ascii="Times New Roman" w:hAnsi="Times New Roman" w:cs="Times New Roman"/>
        </w:rPr>
        <w:t>dence. In addition, the IG</w:t>
      </w:r>
      <w:r w:rsidR="00EB05D6" w:rsidRPr="00BC7BB5">
        <w:rPr>
          <w:rFonts w:ascii="Times New Roman" w:hAnsi="Times New Roman" w:cs="Times New Roman"/>
        </w:rPr>
        <w:t>A w</w:t>
      </w:r>
      <w:r w:rsidR="00A27CA2">
        <w:rPr>
          <w:rFonts w:ascii="Times New Roman" w:hAnsi="Times New Roman" w:cs="Times New Roman"/>
        </w:rPr>
        <w:t>ill</w:t>
      </w:r>
      <w:r w:rsidRPr="00BC7BB5">
        <w:rPr>
          <w:rFonts w:ascii="Times New Roman" w:hAnsi="Times New Roman" w:cs="Times New Roman"/>
        </w:rPr>
        <w:t xml:space="preserve"> carry out site inspections and in-depth reviews of specific items, such as investment projects</w:t>
      </w:r>
      <w:r w:rsidR="00C41784" w:rsidRPr="00BC7BB5">
        <w:rPr>
          <w:rFonts w:ascii="Times New Roman" w:hAnsi="Times New Roman" w:cs="Times New Roman"/>
        </w:rPr>
        <w:t xml:space="preserve"> and</w:t>
      </w:r>
      <w:r w:rsidRPr="00BC7BB5">
        <w:rPr>
          <w:rFonts w:ascii="Times New Roman" w:hAnsi="Times New Roman" w:cs="Times New Roman"/>
        </w:rPr>
        <w:t xml:space="preserve"> benefi</w:t>
      </w:r>
      <w:r w:rsidR="001E437D" w:rsidRPr="00BC7BB5">
        <w:rPr>
          <w:rFonts w:ascii="Times New Roman" w:hAnsi="Times New Roman" w:cs="Times New Roman"/>
        </w:rPr>
        <w:t>ciary</w:t>
      </w:r>
      <w:r w:rsidRPr="00BC7BB5">
        <w:rPr>
          <w:rFonts w:ascii="Times New Roman" w:hAnsi="Times New Roman" w:cs="Times New Roman"/>
        </w:rPr>
        <w:t xml:space="preserve"> SMEs, on a random</w:t>
      </w:r>
      <w:r w:rsidR="00D06FE4">
        <w:rPr>
          <w:rFonts w:ascii="Times New Roman" w:hAnsi="Times New Roman" w:cs="Times New Roman"/>
        </w:rPr>
        <w:t xml:space="preserve"> </w:t>
      </w:r>
      <w:r w:rsidRPr="00BC7BB5">
        <w:rPr>
          <w:rFonts w:ascii="Times New Roman" w:hAnsi="Times New Roman" w:cs="Times New Roman"/>
        </w:rPr>
        <w:t xml:space="preserve">sample basis. </w:t>
      </w:r>
    </w:p>
    <w:p w14:paraId="2E83A45E" w14:textId="1BEABDB0" w:rsidR="000876F2" w:rsidRPr="00BC7BB5" w:rsidRDefault="000876F2" w:rsidP="00710EBD">
      <w:pPr>
        <w:pStyle w:val="ListParagraph"/>
        <w:spacing w:after="0" w:line="240" w:lineRule="auto"/>
        <w:jc w:val="both"/>
        <w:rPr>
          <w:rFonts w:ascii="Times New Roman" w:hAnsi="Times New Roman" w:cs="Times New Roman"/>
        </w:rPr>
      </w:pPr>
      <w:r w:rsidRPr="00BC7BB5">
        <w:rPr>
          <w:rFonts w:ascii="Times New Roman" w:hAnsi="Times New Roman" w:cs="Times New Roman"/>
        </w:rPr>
        <w:t xml:space="preserve"> </w:t>
      </w:r>
    </w:p>
    <w:p w14:paraId="53B2A191" w14:textId="26B9046C" w:rsidR="004E4895" w:rsidRPr="00BC7BB5" w:rsidRDefault="004E4895" w:rsidP="004E4895">
      <w:pPr>
        <w:pStyle w:val="NoSpacing"/>
        <w:ind w:left="360"/>
        <w:rPr>
          <w:rFonts w:ascii="Times New Roman" w:hAnsi="Times New Roman" w:cs="Times New Roman"/>
        </w:rPr>
      </w:pPr>
    </w:p>
    <w:p w14:paraId="7C187C64" w14:textId="588DED50" w:rsidR="00085177" w:rsidRPr="00BC7BB5" w:rsidRDefault="00085177" w:rsidP="00F561E8">
      <w:pPr>
        <w:pStyle w:val="NoSpacing"/>
        <w:numPr>
          <w:ilvl w:val="0"/>
          <w:numId w:val="27"/>
        </w:numPr>
        <w:ind w:left="0" w:firstLine="0"/>
        <w:outlineLvl w:val="1"/>
        <w:rPr>
          <w:rFonts w:ascii="Times New Roman Bold" w:hAnsi="Times New Roman Bold" w:cs="Times New Roman"/>
          <w:b/>
          <w:smallCaps/>
        </w:rPr>
      </w:pPr>
      <w:bookmarkStart w:id="11" w:name="_Toc499113400"/>
      <w:r w:rsidRPr="00BC7BB5">
        <w:rPr>
          <w:rFonts w:ascii="Times New Roman Bold" w:hAnsi="Times New Roman Bold" w:cs="Times New Roman"/>
          <w:b/>
          <w:smallCaps/>
        </w:rPr>
        <w:t>Capacity Building and Inst</w:t>
      </w:r>
      <w:r w:rsidR="00250608" w:rsidRPr="00BC7BB5">
        <w:rPr>
          <w:rFonts w:ascii="Times New Roman Bold" w:hAnsi="Times New Roman Bold" w:cs="Times New Roman"/>
          <w:b/>
          <w:smallCaps/>
        </w:rPr>
        <w:t>itutional Strengthening</w:t>
      </w:r>
      <w:bookmarkEnd w:id="11"/>
    </w:p>
    <w:p w14:paraId="5268FF8A" w14:textId="77777777" w:rsidR="00085177" w:rsidRPr="00BC7BB5" w:rsidRDefault="00085177" w:rsidP="00085177">
      <w:pPr>
        <w:pStyle w:val="NoSpacing"/>
        <w:rPr>
          <w:rFonts w:ascii="Times New Roman" w:hAnsi="Times New Roman" w:cs="Times New Roman"/>
        </w:rPr>
      </w:pPr>
    </w:p>
    <w:p w14:paraId="0B33DA13" w14:textId="6C8DF857" w:rsidR="002A2FB6" w:rsidRPr="00BC7BB5" w:rsidRDefault="00820659" w:rsidP="00B35A06">
      <w:pPr>
        <w:pStyle w:val="NoSpacing"/>
        <w:numPr>
          <w:ilvl w:val="0"/>
          <w:numId w:val="7"/>
        </w:numPr>
        <w:ind w:left="0" w:firstLine="0"/>
        <w:jc w:val="both"/>
        <w:rPr>
          <w:rFonts w:ascii="Times New Roman" w:hAnsi="Times New Roman" w:cs="Times New Roman"/>
        </w:rPr>
      </w:pPr>
      <w:r w:rsidRPr="00BC7BB5">
        <w:rPr>
          <w:rFonts w:ascii="Times New Roman" w:hAnsi="Times New Roman" w:cs="Times New Roman"/>
          <w:b/>
        </w:rPr>
        <w:t xml:space="preserve">The need for capacity building and institutional strengthening </w:t>
      </w:r>
      <w:r w:rsidR="009366F6" w:rsidRPr="00BC7BB5">
        <w:rPr>
          <w:rFonts w:ascii="Times New Roman" w:hAnsi="Times New Roman" w:cs="Times New Roman"/>
          <w:b/>
        </w:rPr>
        <w:t xml:space="preserve">to accelerate the implementation of key reforms </w:t>
      </w:r>
      <w:r w:rsidR="00AF502A" w:rsidRPr="00BC7BB5">
        <w:rPr>
          <w:rFonts w:ascii="Times New Roman" w:hAnsi="Times New Roman" w:cs="Times New Roman"/>
          <w:b/>
        </w:rPr>
        <w:t xml:space="preserve">and investments </w:t>
      </w:r>
      <w:r w:rsidR="009366F6" w:rsidRPr="00BC7BB5">
        <w:rPr>
          <w:rFonts w:ascii="Times New Roman" w:hAnsi="Times New Roman" w:cs="Times New Roman"/>
          <w:b/>
        </w:rPr>
        <w:t>supported by the proposed Program are substantial</w:t>
      </w:r>
      <w:r w:rsidR="009366F6" w:rsidRPr="00BC7BB5">
        <w:rPr>
          <w:rFonts w:ascii="Times New Roman" w:hAnsi="Times New Roman" w:cs="Times New Roman"/>
        </w:rPr>
        <w:t xml:space="preserve">. </w:t>
      </w:r>
      <w:r w:rsidR="00AC4404" w:rsidRPr="00BC7BB5">
        <w:rPr>
          <w:rFonts w:ascii="Times New Roman" w:hAnsi="Times New Roman" w:cs="Times New Roman"/>
        </w:rPr>
        <w:t>The approach taken has been to in</w:t>
      </w:r>
      <w:r w:rsidR="00F476A3" w:rsidRPr="00BC7BB5">
        <w:rPr>
          <w:rFonts w:ascii="Times New Roman" w:hAnsi="Times New Roman" w:cs="Times New Roman"/>
        </w:rPr>
        <w:t>corporate</w:t>
      </w:r>
      <w:r w:rsidR="00AC4404" w:rsidRPr="00BC7BB5">
        <w:rPr>
          <w:rFonts w:ascii="Times New Roman" w:hAnsi="Times New Roman" w:cs="Times New Roman"/>
        </w:rPr>
        <w:t xml:space="preserve"> the related capacity building and institutional strengthening activities into the design of the proposed Program. </w:t>
      </w:r>
      <w:r w:rsidR="001877F5" w:rsidRPr="00BC7BB5">
        <w:rPr>
          <w:rFonts w:ascii="Times New Roman" w:hAnsi="Times New Roman" w:cs="Times New Roman"/>
        </w:rPr>
        <w:t>Key institutional strengthening efforts under the Program would be directed at MAPMDREF (</w:t>
      </w:r>
      <w:r w:rsidR="007626BD" w:rsidRPr="00BC7BB5">
        <w:rPr>
          <w:rFonts w:ascii="Times New Roman" w:hAnsi="Times New Roman" w:cs="Times New Roman"/>
        </w:rPr>
        <w:t>building</w:t>
      </w:r>
      <w:r w:rsidR="001877F5" w:rsidRPr="00BC7BB5">
        <w:rPr>
          <w:rFonts w:ascii="Times New Roman" w:hAnsi="Times New Roman" w:cs="Times New Roman"/>
        </w:rPr>
        <w:t xml:space="preserve"> its capacity to coordinate, </w:t>
      </w:r>
      <w:r w:rsidR="007626BD" w:rsidRPr="00BC7BB5">
        <w:rPr>
          <w:rFonts w:ascii="Times New Roman" w:hAnsi="Times New Roman" w:cs="Times New Roman"/>
        </w:rPr>
        <w:t xml:space="preserve">manage, </w:t>
      </w:r>
      <w:r w:rsidR="001877F5" w:rsidRPr="00BC7BB5">
        <w:rPr>
          <w:rFonts w:ascii="Times New Roman" w:hAnsi="Times New Roman" w:cs="Times New Roman"/>
        </w:rPr>
        <w:t>monitor and evaluate the implementation of the Program</w:t>
      </w:r>
      <w:r w:rsidR="005C2A38" w:rsidRPr="00BC7BB5">
        <w:rPr>
          <w:rFonts w:ascii="Times New Roman" w:hAnsi="Times New Roman" w:cs="Times New Roman"/>
        </w:rPr>
        <w:t xml:space="preserve">; strengthening systems for the appraisal </w:t>
      </w:r>
      <w:r w:rsidR="003F68A1">
        <w:rPr>
          <w:rFonts w:ascii="Times New Roman" w:hAnsi="Times New Roman" w:cs="Times New Roman"/>
        </w:rPr>
        <w:t xml:space="preserve">and monitoring </w:t>
      </w:r>
      <w:r w:rsidR="005C2A38" w:rsidRPr="00BC7BB5">
        <w:rPr>
          <w:rFonts w:ascii="Times New Roman" w:hAnsi="Times New Roman" w:cs="Times New Roman"/>
        </w:rPr>
        <w:t>of FDA-supported projects</w:t>
      </w:r>
      <w:r w:rsidR="001877F5" w:rsidRPr="00BC7BB5">
        <w:rPr>
          <w:rFonts w:ascii="Times New Roman" w:hAnsi="Times New Roman" w:cs="Times New Roman"/>
        </w:rPr>
        <w:t>), ONSSA</w:t>
      </w:r>
      <w:r w:rsidR="0097372A" w:rsidRPr="00BC7BB5">
        <w:rPr>
          <w:rFonts w:ascii="Times New Roman" w:hAnsi="Times New Roman" w:cs="Times New Roman"/>
        </w:rPr>
        <w:t xml:space="preserve"> and</w:t>
      </w:r>
      <w:r w:rsidR="007626BD" w:rsidRPr="00BC7BB5">
        <w:rPr>
          <w:rFonts w:ascii="Times New Roman" w:hAnsi="Times New Roman" w:cs="Times New Roman"/>
        </w:rPr>
        <w:t xml:space="preserve"> the selected interprofessions (strengthening their capacity to carry out their mandate under the law).</w:t>
      </w:r>
      <w:r w:rsidR="00A571B0" w:rsidRPr="00BC7BB5">
        <w:rPr>
          <w:rFonts w:ascii="Times New Roman" w:hAnsi="Times New Roman" w:cs="Times New Roman"/>
        </w:rPr>
        <w:t xml:space="preserve"> </w:t>
      </w:r>
      <w:r w:rsidR="002A2FB6" w:rsidRPr="00BC7BB5">
        <w:rPr>
          <w:rFonts w:ascii="Times New Roman" w:hAnsi="Times New Roman" w:cs="Times New Roman"/>
        </w:rPr>
        <w:t xml:space="preserve">In addition, the establishment of an integrated financial management system by the </w:t>
      </w:r>
      <w:r w:rsidR="002A30B1" w:rsidRPr="00BC7BB5">
        <w:rPr>
          <w:rFonts w:ascii="Times New Roman" w:hAnsi="Times New Roman" w:cs="Times New Roman"/>
        </w:rPr>
        <w:lastRenderedPageBreak/>
        <w:t>Directorate of Finance (</w:t>
      </w:r>
      <w:r w:rsidR="002A2FB6" w:rsidRPr="00BC7BB5">
        <w:rPr>
          <w:rFonts w:ascii="Times New Roman" w:hAnsi="Times New Roman" w:cs="Times New Roman"/>
        </w:rPr>
        <w:t>DF</w:t>
      </w:r>
      <w:r w:rsidR="00346EAB">
        <w:rPr>
          <w:rFonts w:ascii="Times New Roman" w:hAnsi="Times New Roman" w:cs="Times New Roman"/>
        </w:rPr>
        <w:fldChar w:fldCharType="begin"/>
      </w:r>
      <w:r w:rsidR="00346EAB">
        <w:instrText xml:space="preserve"> XE "</w:instrText>
      </w:r>
      <w:r w:rsidR="00346EAB" w:rsidRPr="006E4CB0">
        <w:rPr>
          <w:rFonts w:ascii="Times New Roman" w:hAnsi="Times New Roman" w:cs="Times New Roman"/>
        </w:rPr>
        <w:instrText>DF:</w:instrText>
      </w:r>
      <w:r w:rsidR="00346EAB" w:rsidRPr="006E4CB0">
        <w:instrText>Directorate of Finance</w:instrText>
      </w:r>
      <w:r w:rsidR="00346EAB">
        <w:instrText xml:space="preserve">" </w:instrText>
      </w:r>
      <w:r w:rsidR="00346EAB">
        <w:rPr>
          <w:rFonts w:ascii="Times New Roman" w:hAnsi="Times New Roman" w:cs="Times New Roman"/>
        </w:rPr>
        <w:fldChar w:fldCharType="end"/>
      </w:r>
      <w:r w:rsidR="002A30B1" w:rsidRPr="00BC7BB5">
        <w:rPr>
          <w:rFonts w:ascii="Times New Roman" w:hAnsi="Times New Roman" w:cs="Times New Roman"/>
        </w:rPr>
        <w:t>)</w:t>
      </w:r>
      <w:r w:rsidR="0097372A" w:rsidRPr="00BC7BB5">
        <w:rPr>
          <w:rFonts w:ascii="Times New Roman" w:hAnsi="Times New Roman" w:cs="Times New Roman"/>
        </w:rPr>
        <w:t xml:space="preserve"> of MAPMDREF</w:t>
      </w:r>
      <w:r w:rsidR="002A2FB6" w:rsidRPr="00BC7BB5">
        <w:rPr>
          <w:rFonts w:ascii="Times New Roman" w:hAnsi="Times New Roman" w:cs="Times New Roman"/>
        </w:rPr>
        <w:t xml:space="preserve"> will be a critical activity to strengthen the Ministry’s </w:t>
      </w:r>
      <w:r w:rsidR="00E97D29" w:rsidRPr="00BC7BB5">
        <w:rPr>
          <w:rFonts w:ascii="Times New Roman" w:hAnsi="Times New Roman" w:cs="Times New Roman"/>
        </w:rPr>
        <w:t xml:space="preserve">overall </w:t>
      </w:r>
      <w:r w:rsidR="002A2FB6" w:rsidRPr="00BC7BB5">
        <w:rPr>
          <w:rFonts w:ascii="Times New Roman" w:hAnsi="Times New Roman" w:cs="Times New Roman"/>
        </w:rPr>
        <w:t xml:space="preserve">financial management capacity and </w:t>
      </w:r>
      <w:r w:rsidR="00E97D29" w:rsidRPr="00BC7BB5">
        <w:rPr>
          <w:rFonts w:ascii="Times New Roman" w:hAnsi="Times New Roman" w:cs="Times New Roman"/>
        </w:rPr>
        <w:t xml:space="preserve">its </w:t>
      </w:r>
      <w:r w:rsidR="002A2FB6" w:rsidRPr="00BC7BB5">
        <w:rPr>
          <w:rFonts w:ascii="Times New Roman" w:hAnsi="Times New Roman" w:cs="Times New Roman"/>
        </w:rPr>
        <w:t xml:space="preserve">ability to monitor and report on Program activities. </w:t>
      </w:r>
      <w:r w:rsidR="007A7520" w:rsidRPr="00BC7BB5">
        <w:rPr>
          <w:rFonts w:ascii="Times New Roman" w:hAnsi="Times New Roman" w:cs="Times New Roman"/>
        </w:rPr>
        <w:t>Actions to strengthen ONSSA’s capacity</w:t>
      </w:r>
      <w:r w:rsidR="0097372A" w:rsidRPr="00BC7BB5">
        <w:rPr>
          <w:rFonts w:ascii="Times New Roman" w:hAnsi="Times New Roman" w:cs="Times New Roman"/>
        </w:rPr>
        <w:t xml:space="preserve"> to carry out its mandate</w:t>
      </w:r>
      <w:r w:rsidR="007A7520" w:rsidRPr="00BC7BB5">
        <w:rPr>
          <w:rFonts w:ascii="Times New Roman" w:hAnsi="Times New Roman" w:cs="Times New Roman"/>
        </w:rPr>
        <w:t xml:space="preserve"> include </w:t>
      </w:r>
      <w:r w:rsidR="00C77DB3" w:rsidRPr="00BC7BB5">
        <w:rPr>
          <w:rFonts w:ascii="Times New Roman" w:hAnsi="Times New Roman" w:cs="Times New Roman"/>
        </w:rPr>
        <w:t xml:space="preserve">specialized training, improved management systems (e.g. expanded register of agri-food enterprises) and upgrades to its facilities (such as laboratories). </w:t>
      </w:r>
      <w:r w:rsidR="00A571B0" w:rsidRPr="00BC7BB5">
        <w:rPr>
          <w:rFonts w:ascii="Times New Roman" w:hAnsi="Times New Roman" w:cs="Times New Roman"/>
        </w:rPr>
        <w:t xml:space="preserve">The Program would further support and strengthen the </w:t>
      </w:r>
      <w:r w:rsidR="0097372A" w:rsidRPr="00BC7BB5">
        <w:rPr>
          <w:rFonts w:ascii="Times New Roman" w:hAnsi="Times New Roman" w:cs="Times New Roman"/>
        </w:rPr>
        <w:t>management entity (</w:t>
      </w:r>
      <w:r w:rsidR="0097372A" w:rsidRPr="00BC7BB5">
        <w:rPr>
          <w:rFonts w:ascii="Times New Roman" w:hAnsi="Times New Roman" w:cs="Times New Roman"/>
          <w:i/>
        </w:rPr>
        <w:t>Société de Développement Local</w:t>
      </w:r>
      <w:r w:rsidR="00015CCC">
        <w:rPr>
          <w:rFonts w:ascii="Times New Roman" w:hAnsi="Times New Roman" w:cs="Times New Roman"/>
          <w:i/>
        </w:rPr>
        <w:t xml:space="preserve"> </w:t>
      </w:r>
      <w:r w:rsidR="00015CCC" w:rsidRPr="00015CCC">
        <w:rPr>
          <w:rFonts w:ascii="Times New Roman" w:hAnsi="Times New Roman" w:cs="Times New Roman"/>
        </w:rPr>
        <w:t xml:space="preserve">or </w:t>
      </w:r>
      <w:r w:rsidR="00015CCC">
        <w:rPr>
          <w:rFonts w:ascii="Times New Roman" w:hAnsi="Times New Roman" w:cs="Times New Roman"/>
          <w:i/>
        </w:rPr>
        <w:t>Société de Développment Régional</w:t>
      </w:r>
      <w:r w:rsidR="00D06FE4">
        <w:rPr>
          <w:rFonts w:ascii="Times New Roman" w:hAnsi="Times New Roman" w:cs="Times New Roman"/>
          <w:i/>
        </w:rPr>
        <w:t>, SDL/SDR</w:t>
      </w:r>
      <w:r w:rsidR="0097372A" w:rsidRPr="00BC7BB5">
        <w:rPr>
          <w:rFonts w:ascii="Times New Roman" w:hAnsi="Times New Roman" w:cs="Times New Roman"/>
        </w:rPr>
        <w:t xml:space="preserve">) </w:t>
      </w:r>
      <w:r w:rsidR="00A571B0" w:rsidRPr="00BC7BB5">
        <w:rPr>
          <w:rFonts w:ascii="Times New Roman" w:hAnsi="Times New Roman" w:cs="Times New Roman"/>
        </w:rPr>
        <w:t>to be created for the management of the</w:t>
      </w:r>
      <w:r w:rsidR="0097372A" w:rsidRPr="00BC7BB5">
        <w:rPr>
          <w:rFonts w:ascii="Times New Roman" w:hAnsi="Times New Roman" w:cs="Times New Roman"/>
        </w:rPr>
        <w:t xml:space="preserve"> new wholesale market</w:t>
      </w:r>
      <w:r w:rsidR="00250608" w:rsidRPr="00BC7BB5">
        <w:rPr>
          <w:rFonts w:ascii="Times New Roman" w:hAnsi="Times New Roman" w:cs="Times New Roman"/>
        </w:rPr>
        <w:t xml:space="preserve">. </w:t>
      </w:r>
      <w:r w:rsidR="00A571B0" w:rsidRPr="00BC7BB5">
        <w:rPr>
          <w:rFonts w:ascii="Times New Roman" w:hAnsi="Times New Roman" w:cs="Times New Roman"/>
        </w:rPr>
        <w:t xml:space="preserve">When relevant, related indicators have been included in the </w:t>
      </w:r>
      <w:r w:rsidR="00D06FE4">
        <w:rPr>
          <w:rFonts w:ascii="Times New Roman" w:hAnsi="Times New Roman" w:cs="Times New Roman"/>
        </w:rPr>
        <w:t>PforR r</w:t>
      </w:r>
      <w:r w:rsidR="00A571B0" w:rsidRPr="00BC7BB5">
        <w:rPr>
          <w:rFonts w:ascii="Times New Roman" w:hAnsi="Times New Roman" w:cs="Times New Roman"/>
        </w:rPr>
        <w:t xml:space="preserve">esults </w:t>
      </w:r>
      <w:r w:rsidR="00D06FE4">
        <w:rPr>
          <w:rFonts w:ascii="Times New Roman" w:hAnsi="Times New Roman" w:cs="Times New Roman"/>
        </w:rPr>
        <w:t>f</w:t>
      </w:r>
      <w:r w:rsidR="00A571B0" w:rsidRPr="00BC7BB5">
        <w:rPr>
          <w:rFonts w:ascii="Times New Roman" w:hAnsi="Times New Roman" w:cs="Times New Roman"/>
        </w:rPr>
        <w:t>ramework, DLIs</w:t>
      </w:r>
      <w:r w:rsidR="00D06FE4">
        <w:rPr>
          <w:rFonts w:ascii="Times New Roman" w:hAnsi="Times New Roman" w:cs="Times New Roman"/>
        </w:rPr>
        <w:t>,</w:t>
      </w:r>
      <w:r w:rsidR="00A571B0" w:rsidRPr="00BC7BB5">
        <w:rPr>
          <w:rFonts w:ascii="Times New Roman" w:hAnsi="Times New Roman" w:cs="Times New Roman"/>
        </w:rPr>
        <w:t xml:space="preserve"> and Program Action Plan (refer to the related sections of the PAD).</w:t>
      </w:r>
    </w:p>
    <w:p w14:paraId="37728235" w14:textId="714F5319" w:rsidR="001877F5" w:rsidRPr="00BC7BB5" w:rsidRDefault="00A571B0" w:rsidP="002A2FB6">
      <w:pPr>
        <w:pStyle w:val="NoSpacing"/>
        <w:ind w:left="420"/>
        <w:jc w:val="both"/>
        <w:rPr>
          <w:rFonts w:ascii="Times New Roman" w:hAnsi="Times New Roman" w:cs="Times New Roman"/>
        </w:rPr>
      </w:pPr>
      <w:r w:rsidRPr="00BC7BB5">
        <w:rPr>
          <w:rFonts w:ascii="Times New Roman" w:hAnsi="Times New Roman" w:cs="Times New Roman"/>
        </w:rPr>
        <w:t xml:space="preserve"> </w:t>
      </w:r>
    </w:p>
    <w:p w14:paraId="21202AAD" w14:textId="5BB6D82D" w:rsidR="00085177" w:rsidRPr="00BC7BB5" w:rsidRDefault="009C4A2D" w:rsidP="00346EAB">
      <w:pPr>
        <w:pStyle w:val="NoSpacing"/>
        <w:numPr>
          <w:ilvl w:val="0"/>
          <w:numId w:val="7"/>
        </w:numPr>
        <w:ind w:left="0" w:firstLine="0"/>
        <w:jc w:val="both"/>
        <w:rPr>
          <w:rFonts w:ascii="Times New Roman" w:hAnsi="Times New Roman" w:cs="Times New Roman"/>
        </w:rPr>
      </w:pPr>
      <w:r w:rsidRPr="00BC7BB5">
        <w:rPr>
          <w:rFonts w:ascii="Times New Roman" w:hAnsi="Times New Roman" w:cs="Times New Roman"/>
          <w:b/>
        </w:rPr>
        <w:t>In addition to the technical assistance built in and financed under the Program, external sources of technical assistance would also be sought</w:t>
      </w:r>
      <w:r w:rsidRPr="00BC7BB5">
        <w:rPr>
          <w:rFonts w:ascii="Times New Roman" w:hAnsi="Times New Roman" w:cs="Times New Roman"/>
        </w:rPr>
        <w:t xml:space="preserve">. </w:t>
      </w:r>
      <w:r w:rsidR="002A2FB6" w:rsidRPr="00BC7BB5">
        <w:rPr>
          <w:rFonts w:ascii="Times New Roman" w:hAnsi="Times New Roman" w:cs="Times New Roman"/>
        </w:rPr>
        <w:t>With regards to</w:t>
      </w:r>
      <w:r w:rsidR="00085177" w:rsidRPr="00BC7BB5">
        <w:rPr>
          <w:rFonts w:ascii="Times New Roman" w:hAnsi="Times New Roman" w:cs="Times New Roman"/>
        </w:rPr>
        <w:t xml:space="preserve"> </w:t>
      </w:r>
      <w:r w:rsidR="008B7B4D" w:rsidRPr="00BC7BB5">
        <w:rPr>
          <w:rFonts w:ascii="Times New Roman" w:hAnsi="Times New Roman" w:cs="Times New Roman"/>
        </w:rPr>
        <w:t xml:space="preserve">technical assistance </w:t>
      </w:r>
      <w:r w:rsidRPr="00BC7BB5">
        <w:rPr>
          <w:rFonts w:ascii="Times New Roman" w:hAnsi="Times New Roman" w:cs="Times New Roman"/>
        </w:rPr>
        <w:t>incorporated into</w:t>
      </w:r>
      <w:r w:rsidR="002A2FB6" w:rsidRPr="00BC7BB5">
        <w:rPr>
          <w:rFonts w:ascii="Times New Roman" w:hAnsi="Times New Roman" w:cs="Times New Roman"/>
        </w:rPr>
        <w:t xml:space="preserve"> the Program</w:t>
      </w:r>
      <w:r w:rsidRPr="00BC7BB5">
        <w:rPr>
          <w:rFonts w:ascii="Times New Roman" w:hAnsi="Times New Roman" w:cs="Times New Roman"/>
        </w:rPr>
        <w:t xml:space="preserve"> to</w:t>
      </w:r>
      <w:r w:rsidR="0097372A" w:rsidRPr="00BC7BB5">
        <w:rPr>
          <w:rFonts w:ascii="Times New Roman" w:hAnsi="Times New Roman" w:cs="Times New Roman"/>
        </w:rPr>
        <w:t xml:space="preserve"> </w:t>
      </w:r>
      <w:r w:rsidR="008B7B4D" w:rsidRPr="00BC7BB5">
        <w:rPr>
          <w:rFonts w:ascii="Times New Roman" w:hAnsi="Times New Roman" w:cs="Times New Roman"/>
        </w:rPr>
        <w:t xml:space="preserve">support DDFP </w:t>
      </w:r>
      <w:r w:rsidRPr="00BC7BB5">
        <w:rPr>
          <w:rFonts w:ascii="Times New Roman" w:hAnsi="Times New Roman" w:cs="Times New Roman"/>
        </w:rPr>
        <w:t xml:space="preserve">in the overall coordination of Program implementation, </w:t>
      </w:r>
      <w:r w:rsidR="008B7B4D" w:rsidRPr="00BC7BB5">
        <w:rPr>
          <w:rFonts w:ascii="Times New Roman" w:hAnsi="Times New Roman" w:cs="Times New Roman"/>
        </w:rPr>
        <w:t xml:space="preserve">MAPMDREF has prepared terms of reference for the related expertise, which would be mobilized </w:t>
      </w:r>
      <w:r w:rsidRPr="00BC7BB5">
        <w:rPr>
          <w:rFonts w:ascii="Times New Roman" w:hAnsi="Times New Roman" w:cs="Times New Roman"/>
        </w:rPr>
        <w:t>in the first year of Program implementation</w:t>
      </w:r>
      <w:r w:rsidR="00086636" w:rsidRPr="00BC7BB5">
        <w:rPr>
          <w:rFonts w:ascii="Times New Roman" w:hAnsi="Times New Roman" w:cs="Times New Roman"/>
        </w:rPr>
        <w:t xml:space="preserve"> (see </w:t>
      </w:r>
      <w:r w:rsidR="00D06FE4">
        <w:rPr>
          <w:rFonts w:ascii="Times New Roman" w:hAnsi="Times New Roman" w:cs="Times New Roman"/>
        </w:rPr>
        <w:t>Section III of the PAD</w:t>
      </w:r>
      <w:r w:rsidR="00086636" w:rsidRPr="00BC7BB5">
        <w:rPr>
          <w:rFonts w:ascii="Times New Roman" w:hAnsi="Times New Roman" w:cs="Times New Roman"/>
        </w:rPr>
        <w:t>)</w:t>
      </w:r>
      <w:r w:rsidR="008B7B4D" w:rsidRPr="00BC7BB5">
        <w:rPr>
          <w:rFonts w:ascii="Times New Roman" w:hAnsi="Times New Roman" w:cs="Times New Roman"/>
        </w:rPr>
        <w:t xml:space="preserve">. </w:t>
      </w:r>
      <w:r w:rsidR="00F95089" w:rsidRPr="00BC7BB5">
        <w:rPr>
          <w:rFonts w:ascii="Times New Roman" w:hAnsi="Times New Roman" w:cs="Times New Roman"/>
        </w:rPr>
        <w:t xml:space="preserve">In addition, a proposal has been submitted for technical assistance under the </w:t>
      </w:r>
      <w:r w:rsidR="00185D7D" w:rsidRPr="00BC7BB5">
        <w:rPr>
          <w:rFonts w:ascii="Times New Roman" w:hAnsi="Times New Roman" w:cs="Times New Roman"/>
        </w:rPr>
        <w:t>SECO</w:t>
      </w:r>
      <w:r w:rsidR="00730643" w:rsidRPr="00BC7BB5">
        <w:rPr>
          <w:rFonts w:ascii="Times New Roman" w:hAnsi="Times New Roman" w:cs="Times New Roman"/>
        </w:rPr>
        <w:fldChar w:fldCharType="begin"/>
      </w:r>
      <w:r w:rsidR="00730643" w:rsidRPr="00BC7BB5">
        <w:instrText xml:space="preserve"> XE "</w:instrText>
      </w:r>
      <w:r w:rsidR="00730643" w:rsidRPr="00BC7BB5">
        <w:rPr>
          <w:rFonts w:ascii="Times New Roman" w:hAnsi="Times New Roman" w:cs="Times New Roman"/>
        </w:rPr>
        <w:instrText>SECO</w:instrText>
      </w:r>
      <w:r w:rsidR="00730643" w:rsidRPr="00BC7BB5">
        <w:instrText xml:space="preserve">" </w:instrText>
      </w:r>
      <w:r w:rsidR="00730643" w:rsidRPr="00BC7BB5">
        <w:rPr>
          <w:rFonts w:ascii="Times New Roman" w:hAnsi="Times New Roman" w:cs="Times New Roman"/>
        </w:rPr>
        <w:fldChar w:fldCharType="end"/>
      </w:r>
      <w:r w:rsidR="00185D7D" w:rsidRPr="00BC7BB5">
        <w:rPr>
          <w:rFonts w:ascii="Times New Roman" w:hAnsi="Times New Roman" w:cs="Times New Roman"/>
        </w:rPr>
        <w:t xml:space="preserve"> facility for </w:t>
      </w:r>
      <w:r w:rsidR="00D06FE4">
        <w:rPr>
          <w:rFonts w:ascii="Times New Roman" w:hAnsi="Times New Roman" w:cs="Times New Roman"/>
        </w:rPr>
        <w:t xml:space="preserve">the </w:t>
      </w:r>
      <w:r w:rsidR="00535722">
        <w:rPr>
          <w:rFonts w:ascii="Times New Roman" w:hAnsi="Times New Roman" w:cs="Times New Roman"/>
        </w:rPr>
        <w:t>International Finance Corporation</w:t>
      </w:r>
      <w:r w:rsidR="00535722" w:rsidRPr="00BC7BB5">
        <w:rPr>
          <w:rFonts w:ascii="Times New Roman" w:hAnsi="Times New Roman" w:cs="Times New Roman"/>
        </w:rPr>
        <w:t xml:space="preserve"> </w:t>
      </w:r>
      <w:r w:rsidR="00535722">
        <w:rPr>
          <w:rFonts w:ascii="Times New Roman" w:hAnsi="Times New Roman" w:cs="Times New Roman"/>
        </w:rPr>
        <w:t>(</w:t>
      </w:r>
      <w:r w:rsidR="00535722" w:rsidRPr="00BC7BB5">
        <w:rPr>
          <w:rFonts w:ascii="Times New Roman" w:hAnsi="Times New Roman" w:cs="Times New Roman"/>
        </w:rPr>
        <w:t>IFC</w:t>
      </w:r>
      <w:r w:rsidR="00535722">
        <w:rPr>
          <w:rFonts w:ascii="Times New Roman" w:hAnsi="Times New Roman" w:cs="Times New Roman"/>
        </w:rPr>
        <w:t>)</w:t>
      </w:r>
      <w:r w:rsidR="00185D7D" w:rsidRPr="00BC7BB5">
        <w:rPr>
          <w:rFonts w:ascii="Times New Roman" w:hAnsi="Times New Roman" w:cs="Times New Roman"/>
        </w:rPr>
        <w:t xml:space="preserve"> advisory services. </w:t>
      </w:r>
      <w:r w:rsidR="00736E81" w:rsidRPr="00BC7BB5">
        <w:rPr>
          <w:rFonts w:ascii="Times New Roman" w:hAnsi="Times New Roman" w:cs="Times New Roman"/>
        </w:rPr>
        <w:t>That additional support (if approved) would cover managerial and technical support for</w:t>
      </w:r>
      <w:r w:rsidR="0056065E" w:rsidRPr="00BC7BB5">
        <w:rPr>
          <w:rFonts w:ascii="Times New Roman" w:hAnsi="Times New Roman" w:cs="Times New Roman"/>
        </w:rPr>
        <w:t xml:space="preserve"> the selected interprofessions, </w:t>
      </w:r>
      <w:r w:rsidRPr="00BC7BB5">
        <w:rPr>
          <w:rFonts w:ascii="Times New Roman" w:hAnsi="Times New Roman" w:cs="Times New Roman"/>
        </w:rPr>
        <w:t xml:space="preserve">additional </w:t>
      </w:r>
      <w:r w:rsidR="0056065E" w:rsidRPr="00BC7BB5">
        <w:rPr>
          <w:rFonts w:ascii="Times New Roman" w:hAnsi="Times New Roman" w:cs="Times New Roman"/>
        </w:rPr>
        <w:t xml:space="preserve">technical assistance for agri-food sector enterprises working on </w:t>
      </w:r>
      <w:r w:rsidR="00D06FE4" w:rsidRPr="00BC7BB5">
        <w:rPr>
          <w:rFonts w:ascii="Times New Roman" w:hAnsi="Times New Roman" w:cs="Times New Roman"/>
        </w:rPr>
        <w:t>compl</w:t>
      </w:r>
      <w:r w:rsidR="00D06FE4">
        <w:rPr>
          <w:rFonts w:ascii="Times New Roman" w:hAnsi="Times New Roman" w:cs="Times New Roman"/>
        </w:rPr>
        <w:t>iance</w:t>
      </w:r>
      <w:r w:rsidR="00D06FE4" w:rsidRPr="00BC7BB5">
        <w:rPr>
          <w:rFonts w:ascii="Times New Roman" w:hAnsi="Times New Roman" w:cs="Times New Roman"/>
        </w:rPr>
        <w:t xml:space="preserve"> </w:t>
      </w:r>
      <w:r w:rsidR="0056065E" w:rsidRPr="00BC7BB5">
        <w:rPr>
          <w:rFonts w:ascii="Times New Roman" w:hAnsi="Times New Roman" w:cs="Times New Roman"/>
        </w:rPr>
        <w:t>with food safety standards and technical advice for the establishment and ope</w:t>
      </w:r>
      <w:r w:rsidR="00E97D29" w:rsidRPr="00BC7BB5">
        <w:rPr>
          <w:rFonts w:ascii="Times New Roman" w:hAnsi="Times New Roman" w:cs="Times New Roman"/>
        </w:rPr>
        <w:t>ration of the CIAs</w:t>
      </w:r>
      <w:r w:rsidR="0056065E" w:rsidRPr="00BC7BB5">
        <w:rPr>
          <w:rFonts w:ascii="Times New Roman" w:hAnsi="Times New Roman" w:cs="Times New Roman"/>
        </w:rPr>
        <w:t>.</w:t>
      </w:r>
      <w:r w:rsidR="00760B71" w:rsidRPr="00BC7BB5">
        <w:rPr>
          <w:rFonts w:ascii="Times New Roman" w:hAnsi="Times New Roman" w:cs="Times New Roman"/>
        </w:rPr>
        <w:t xml:space="preserve"> Finally, complem</w:t>
      </w:r>
      <w:r w:rsidR="0097372A" w:rsidRPr="00BC7BB5">
        <w:rPr>
          <w:rFonts w:ascii="Times New Roman" w:hAnsi="Times New Roman" w:cs="Times New Roman"/>
        </w:rPr>
        <w:t>entary technical support is being</w:t>
      </w:r>
      <w:r w:rsidR="00760B71" w:rsidRPr="00BC7BB5">
        <w:rPr>
          <w:rFonts w:ascii="Times New Roman" w:hAnsi="Times New Roman" w:cs="Times New Roman"/>
        </w:rPr>
        <w:t xml:space="preserve"> provided by</w:t>
      </w:r>
      <w:r w:rsidR="00346EAB">
        <w:rPr>
          <w:rFonts w:ascii="Times New Roman" w:hAnsi="Times New Roman" w:cs="Times New Roman"/>
        </w:rPr>
        <w:t xml:space="preserve"> </w:t>
      </w:r>
      <w:r w:rsidR="00346EAB" w:rsidRPr="00346EAB">
        <w:rPr>
          <w:rFonts w:ascii="Times New Roman" w:hAnsi="Times New Roman" w:cs="Times New Roman"/>
        </w:rPr>
        <w:t>Food and Agriculture Organization of the United Nations</w:t>
      </w:r>
      <w:r w:rsidR="00760B71" w:rsidRPr="00BC7BB5">
        <w:rPr>
          <w:rFonts w:ascii="Times New Roman" w:hAnsi="Times New Roman" w:cs="Times New Roman"/>
        </w:rPr>
        <w:t xml:space="preserve"> </w:t>
      </w:r>
      <w:r w:rsidR="00346EAB">
        <w:rPr>
          <w:rFonts w:ascii="Times New Roman" w:hAnsi="Times New Roman" w:cs="Times New Roman"/>
        </w:rPr>
        <w:t>(</w:t>
      </w:r>
      <w:r w:rsidR="00760B71" w:rsidRPr="00BC7BB5">
        <w:rPr>
          <w:rFonts w:ascii="Times New Roman" w:hAnsi="Times New Roman" w:cs="Times New Roman"/>
        </w:rPr>
        <w:t>FAO</w:t>
      </w:r>
      <w:r w:rsidR="00346EAB">
        <w:rPr>
          <w:rFonts w:ascii="Times New Roman" w:hAnsi="Times New Roman" w:cs="Times New Roman"/>
        </w:rPr>
        <w:t>)</w:t>
      </w:r>
      <w:r w:rsidR="00730643" w:rsidRPr="00BC7BB5">
        <w:rPr>
          <w:rFonts w:ascii="Times New Roman" w:hAnsi="Times New Roman" w:cs="Times New Roman"/>
        </w:rPr>
        <w:fldChar w:fldCharType="begin"/>
      </w:r>
      <w:r w:rsidR="00730643" w:rsidRPr="00BC7BB5">
        <w:instrText xml:space="preserve"> XE "</w:instrText>
      </w:r>
      <w:r w:rsidR="00730643" w:rsidRPr="00BC7BB5">
        <w:rPr>
          <w:rFonts w:ascii="Times New Roman" w:hAnsi="Times New Roman" w:cs="Times New Roman"/>
        </w:rPr>
        <w:instrText>EBRD</w:instrText>
      </w:r>
      <w:r w:rsidR="00730643" w:rsidRPr="00BC7BB5">
        <w:instrText xml:space="preserve">" </w:instrText>
      </w:r>
      <w:r w:rsidR="00730643" w:rsidRPr="00BC7BB5">
        <w:rPr>
          <w:rFonts w:ascii="Times New Roman" w:hAnsi="Times New Roman" w:cs="Times New Roman"/>
        </w:rPr>
        <w:fldChar w:fldCharType="end"/>
      </w:r>
      <w:r w:rsidR="00760B71" w:rsidRPr="00BC7BB5">
        <w:rPr>
          <w:rFonts w:ascii="Times New Roman" w:hAnsi="Times New Roman" w:cs="Times New Roman"/>
        </w:rPr>
        <w:t>, in the form of advice to Interprolive on olive oil</w:t>
      </w:r>
      <w:r w:rsidR="0097372A" w:rsidRPr="00BC7BB5">
        <w:rPr>
          <w:rFonts w:ascii="Times New Roman" w:hAnsi="Times New Roman" w:cs="Times New Roman"/>
        </w:rPr>
        <w:t xml:space="preserve"> quality improvement initiative</w:t>
      </w:r>
      <w:r w:rsidRPr="00BC7BB5">
        <w:rPr>
          <w:rFonts w:ascii="Times New Roman" w:hAnsi="Times New Roman" w:cs="Times New Roman"/>
        </w:rPr>
        <w:t>s</w:t>
      </w:r>
      <w:r w:rsidR="00760B71" w:rsidRPr="00BC7BB5">
        <w:rPr>
          <w:rFonts w:ascii="Times New Roman" w:hAnsi="Times New Roman" w:cs="Times New Roman"/>
        </w:rPr>
        <w:t xml:space="preserve"> and</w:t>
      </w:r>
      <w:r w:rsidR="000F4E46" w:rsidRPr="00BC7BB5">
        <w:rPr>
          <w:rFonts w:ascii="Times New Roman" w:hAnsi="Times New Roman" w:cs="Times New Roman"/>
        </w:rPr>
        <w:t xml:space="preserve"> advice</w:t>
      </w:r>
      <w:r w:rsidR="00760B71" w:rsidRPr="00BC7BB5">
        <w:rPr>
          <w:rFonts w:ascii="Times New Roman" w:hAnsi="Times New Roman" w:cs="Times New Roman"/>
        </w:rPr>
        <w:t xml:space="preserve"> to MAPMDREF with regards to its data collection and statistical analysis systems.</w:t>
      </w:r>
    </w:p>
    <w:p w14:paraId="5506CC22" w14:textId="77777777" w:rsidR="00642E13" w:rsidRPr="00BC7BB5" w:rsidRDefault="00642E13" w:rsidP="000F4E46">
      <w:pPr>
        <w:pStyle w:val="ListParagraph"/>
        <w:spacing w:after="0" w:line="240" w:lineRule="auto"/>
        <w:rPr>
          <w:rFonts w:ascii="Times New Roman" w:hAnsi="Times New Roman" w:cs="Times New Roman"/>
        </w:rPr>
      </w:pPr>
    </w:p>
    <w:p w14:paraId="53B2A1DA" w14:textId="77777777" w:rsidR="000635E9" w:rsidRPr="00BC7BB5" w:rsidRDefault="000635E9" w:rsidP="000C4985">
      <w:pPr>
        <w:pStyle w:val="NoSpacing"/>
        <w:ind w:left="360"/>
        <w:rPr>
          <w:rFonts w:ascii="Times New Roman" w:hAnsi="Times New Roman" w:cs="Times New Roman"/>
        </w:rPr>
      </w:pPr>
    </w:p>
    <w:p w14:paraId="53B2A1DB" w14:textId="2B9FA554" w:rsidR="001F10A3" w:rsidRPr="00BC7BB5" w:rsidRDefault="00BB74E8" w:rsidP="00B35A06">
      <w:pPr>
        <w:pStyle w:val="ListParagraph"/>
        <w:numPr>
          <w:ilvl w:val="0"/>
          <w:numId w:val="3"/>
        </w:numPr>
        <w:ind w:left="0" w:firstLine="0"/>
        <w:outlineLvl w:val="0"/>
        <w:rPr>
          <w:rFonts w:ascii="Times New Roman" w:hAnsi="Times New Roman" w:cs="Times New Roman"/>
          <w:b/>
        </w:rPr>
      </w:pPr>
      <w:bookmarkStart w:id="12" w:name="_Toc499113401"/>
      <w:r w:rsidRPr="00BC7BB5">
        <w:rPr>
          <w:rFonts w:ascii="Times New Roman" w:hAnsi="Times New Roman" w:cs="Times New Roman"/>
          <w:b/>
        </w:rPr>
        <w:t>PROGRAM IMPLEMENTATION</w:t>
      </w:r>
      <w:bookmarkEnd w:id="12"/>
    </w:p>
    <w:p w14:paraId="53B2A1DD" w14:textId="5466BC75" w:rsidR="00D51A17" w:rsidRPr="00BC7BB5" w:rsidRDefault="001D2940" w:rsidP="00F561E8">
      <w:pPr>
        <w:pStyle w:val="NoSpacing"/>
        <w:numPr>
          <w:ilvl w:val="0"/>
          <w:numId w:val="28"/>
        </w:numPr>
        <w:ind w:left="0" w:firstLine="0"/>
        <w:outlineLvl w:val="1"/>
        <w:rPr>
          <w:rFonts w:ascii="Times New Roman Bold" w:hAnsi="Times New Roman Bold" w:cs="Times New Roman"/>
          <w:b/>
          <w:smallCaps/>
        </w:rPr>
      </w:pPr>
      <w:r w:rsidRPr="00BC7BB5">
        <w:rPr>
          <w:rFonts w:ascii="Times New Roman Bold" w:hAnsi="Times New Roman Bold" w:cs="Times New Roman"/>
          <w:b/>
          <w:smallCaps/>
        </w:rPr>
        <w:t xml:space="preserve"> </w:t>
      </w:r>
      <w:bookmarkStart w:id="13" w:name="_Toc499113402"/>
      <w:r w:rsidRPr="00BC7BB5">
        <w:rPr>
          <w:rFonts w:ascii="Times New Roman Bold" w:hAnsi="Times New Roman Bold" w:cs="Times New Roman"/>
          <w:b/>
          <w:smallCaps/>
        </w:rPr>
        <w:t xml:space="preserve">Institutional </w:t>
      </w:r>
      <w:r w:rsidR="00D7255B" w:rsidRPr="00BC7BB5">
        <w:rPr>
          <w:rFonts w:ascii="Times New Roman Bold" w:hAnsi="Times New Roman Bold" w:cs="Times New Roman"/>
          <w:b/>
          <w:smallCaps/>
        </w:rPr>
        <w:t>and Implementation Arrangements</w:t>
      </w:r>
      <w:bookmarkEnd w:id="13"/>
    </w:p>
    <w:p w14:paraId="53B2A1DE" w14:textId="77777777" w:rsidR="00691D22" w:rsidRPr="00BC7BB5" w:rsidRDefault="00691D22" w:rsidP="00D51A17">
      <w:pPr>
        <w:pStyle w:val="NoSpacing"/>
        <w:ind w:left="360"/>
        <w:rPr>
          <w:rFonts w:ascii="Times New Roman" w:hAnsi="Times New Roman" w:cs="Times New Roman"/>
        </w:rPr>
      </w:pPr>
    </w:p>
    <w:p w14:paraId="026B1436" w14:textId="302138C0" w:rsidR="00D7255B" w:rsidRPr="00BC7BB5" w:rsidRDefault="00D7255B" w:rsidP="00B35A06">
      <w:pPr>
        <w:pStyle w:val="NoSpacing"/>
        <w:numPr>
          <w:ilvl w:val="0"/>
          <w:numId w:val="7"/>
        </w:numPr>
        <w:ind w:left="0" w:firstLine="0"/>
        <w:jc w:val="both"/>
        <w:rPr>
          <w:rFonts w:ascii="Times New Roman" w:hAnsi="Times New Roman" w:cs="Times New Roman"/>
        </w:rPr>
      </w:pPr>
      <w:r w:rsidRPr="00BC7BB5">
        <w:rPr>
          <w:rFonts w:ascii="Times New Roman" w:hAnsi="Times New Roman" w:cs="Times New Roman"/>
          <w:b/>
          <w:color w:val="000000" w:themeColor="text1"/>
        </w:rPr>
        <w:t>T</w:t>
      </w:r>
      <w:r w:rsidRPr="00BC7BB5">
        <w:rPr>
          <w:rFonts w:ascii="Times New Roman" w:hAnsi="Times New Roman" w:cs="Times New Roman"/>
          <w:b/>
        </w:rPr>
        <w:t>he Program’s institutional architecture relies on multiple stakeholders with clear roles and accountability lines.</w:t>
      </w:r>
      <w:r w:rsidRPr="00BC7BB5">
        <w:rPr>
          <w:rFonts w:ascii="Times New Roman" w:hAnsi="Times New Roman" w:cs="Times New Roman"/>
        </w:rPr>
        <w:t xml:space="preserve"> </w:t>
      </w:r>
      <w:r w:rsidRPr="00BC7BB5">
        <w:rPr>
          <w:rFonts w:ascii="Times New Roman" w:hAnsi="Times New Roman" w:cs="Times New Roman"/>
          <w:color w:val="222222"/>
        </w:rPr>
        <w:t>Given the nature of the Program, its</w:t>
      </w:r>
      <w:r w:rsidRPr="00BC7BB5">
        <w:rPr>
          <w:rFonts w:ascii="Times New Roman" w:hAnsi="Times New Roman" w:cs="Times New Roman"/>
        </w:rPr>
        <w:t xml:space="preserve"> implementation would be based on the combined intervention of key stakeholders comprising MAPMDREF departments, agencies under the supervision of MAPMDREF, and partner institutions linked to MAPMD</w:t>
      </w:r>
      <w:r w:rsidR="00EC5B72" w:rsidRPr="00BC7BB5">
        <w:rPr>
          <w:rFonts w:ascii="Times New Roman" w:hAnsi="Times New Roman" w:cs="Times New Roman"/>
        </w:rPr>
        <w:t>REF through specific agreements. The main institutional risk for Program implementation relate</w:t>
      </w:r>
      <w:r w:rsidR="005842A7" w:rsidRPr="00BC7BB5">
        <w:rPr>
          <w:rFonts w:ascii="Times New Roman" w:hAnsi="Times New Roman" w:cs="Times New Roman"/>
        </w:rPr>
        <w:t>s</w:t>
      </w:r>
      <w:r w:rsidR="00EC5B72" w:rsidRPr="00BC7BB5">
        <w:rPr>
          <w:rFonts w:ascii="Times New Roman" w:hAnsi="Times New Roman" w:cs="Times New Roman"/>
        </w:rPr>
        <w:t xml:space="preserve"> to the quality of the coordination </w:t>
      </w:r>
      <w:r w:rsidR="00D06FE4">
        <w:rPr>
          <w:rFonts w:ascii="Times New Roman" w:hAnsi="Times New Roman" w:cs="Times New Roman"/>
        </w:rPr>
        <w:t>among</w:t>
      </w:r>
      <w:r w:rsidR="00D06FE4" w:rsidRPr="00BC7BB5">
        <w:rPr>
          <w:rFonts w:ascii="Times New Roman" w:hAnsi="Times New Roman" w:cs="Times New Roman"/>
        </w:rPr>
        <w:t xml:space="preserve"> </w:t>
      </w:r>
      <w:r w:rsidR="00EC5B72" w:rsidRPr="00BC7BB5">
        <w:rPr>
          <w:rFonts w:ascii="Times New Roman" w:hAnsi="Times New Roman" w:cs="Times New Roman"/>
        </w:rPr>
        <w:t xml:space="preserve">those entities. </w:t>
      </w:r>
    </w:p>
    <w:p w14:paraId="60F30979" w14:textId="77777777" w:rsidR="00D7255B" w:rsidRPr="00BC7BB5" w:rsidRDefault="00D7255B" w:rsidP="00D7255B">
      <w:pPr>
        <w:spacing w:after="0" w:line="240" w:lineRule="auto"/>
        <w:jc w:val="both"/>
        <w:rPr>
          <w:rFonts w:ascii="Times New Roman" w:hAnsi="Times New Roman" w:cs="Times New Roman"/>
        </w:rPr>
      </w:pPr>
    </w:p>
    <w:p w14:paraId="66BF4717" w14:textId="05BA319F" w:rsidR="00D7255B" w:rsidRPr="00BC7BB5" w:rsidRDefault="00D7255B" w:rsidP="00B35A06">
      <w:pPr>
        <w:pStyle w:val="ListParagraph"/>
        <w:numPr>
          <w:ilvl w:val="1"/>
          <w:numId w:val="8"/>
        </w:numPr>
        <w:spacing w:after="0" w:line="240" w:lineRule="auto"/>
        <w:ind w:left="720"/>
        <w:jc w:val="both"/>
        <w:rPr>
          <w:rFonts w:ascii="Times New Roman" w:hAnsi="Times New Roman" w:cs="Times New Roman"/>
        </w:rPr>
      </w:pPr>
      <w:r w:rsidRPr="00BC7BB5">
        <w:rPr>
          <w:rFonts w:ascii="Times New Roman" w:hAnsi="Times New Roman" w:cs="Times New Roman"/>
          <w:i/>
        </w:rPr>
        <w:t>MAPMDREF Departments and deconcentrated services</w:t>
      </w:r>
      <w:r w:rsidR="00DD6C4F" w:rsidRPr="00BC7BB5">
        <w:rPr>
          <w:rFonts w:ascii="Times New Roman" w:hAnsi="Times New Roman" w:cs="Times New Roman"/>
          <w:i/>
        </w:rPr>
        <w:t>.</w:t>
      </w:r>
      <w:r w:rsidRPr="00BC7BB5">
        <w:rPr>
          <w:rFonts w:ascii="Times New Roman" w:hAnsi="Times New Roman" w:cs="Times New Roman"/>
          <w:b/>
          <w:i/>
        </w:rPr>
        <w:t xml:space="preserve"> </w:t>
      </w:r>
      <w:r w:rsidR="00C24B4A">
        <w:rPr>
          <w:rFonts w:ascii="Times New Roman" w:hAnsi="Times New Roman" w:cs="Times New Roman"/>
        </w:rPr>
        <w:t>Three</w:t>
      </w:r>
      <w:r w:rsidRPr="00BC7BB5">
        <w:rPr>
          <w:rFonts w:ascii="Times New Roman" w:hAnsi="Times New Roman" w:cs="Times New Roman"/>
        </w:rPr>
        <w:t xml:space="preserve"> out of nine </w:t>
      </w:r>
      <w:r w:rsidR="00D06FE4" w:rsidRPr="00BC7BB5">
        <w:rPr>
          <w:rFonts w:ascii="Times New Roman" w:hAnsi="Times New Roman" w:cs="Times New Roman"/>
        </w:rPr>
        <w:t xml:space="preserve">departments </w:t>
      </w:r>
      <w:r w:rsidRPr="00BC7BB5">
        <w:rPr>
          <w:rFonts w:ascii="Times New Roman" w:hAnsi="Times New Roman" w:cs="Times New Roman"/>
        </w:rPr>
        <w:t xml:space="preserve">would be involved in Program implementation: the </w:t>
      </w:r>
      <w:r w:rsidRPr="00BC7BB5">
        <w:rPr>
          <w:rFonts w:ascii="Times New Roman" w:hAnsi="Times New Roman" w:cs="Times New Roman"/>
          <w:color w:val="000000" w:themeColor="text1"/>
        </w:rPr>
        <w:t xml:space="preserve">Directorate </w:t>
      </w:r>
      <w:r w:rsidR="00D95F9B" w:rsidRPr="00BC7BB5">
        <w:rPr>
          <w:rFonts w:ascii="Times New Roman" w:hAnsi="Times New Roman" w:cs="Times New Roman"/>
          <w:color w:val="000000" w:themeColor="text1"/>
        </w:rPr>
        <w:t>for</w:t>
      </w:r>
      <w:r w:rsidRPr="00BC7BB5">
        <w:rPr>
          <w:rFonts w:ascii="Times New Roman" w:hAnsi="Times New Roman" w:cs="Times New Roman"/>
          <w:color w:val="000000" w:themeColor="text1"/>
        </w:rPr>
        <w:t xml:space="preserve"> the Development of Value-Chains</w:t>
      </w:r>
      <w:r w:rsidRPr="00BC7BB5">
        <w:rPr>
          <w:rFonts w:ascii="Times New Roman" w:hAnsi="Times New Roman" w:cs="Times New Roman"/>
        </w:rPr>
        <w:t xml:space="preserve"> (DDFP), the Directorate of Finance (DF</w:t>
      </w:r>
      <w:r w:rsidR="00730643" w:rsidRPr="00BC7BB5">
        <w:rPr>
          <w:rFonts w:ascii="Times New Roman" w:hAnsi="Times New Roman" w:cs="Times New Roman"/>
        </w:rPr>
        <w:fldChar w:fldCharType="begin"/>
      </w:r>
      <w:r w:rsidR="00730643" w:rsidRPr="00BC7BB5">
        <w:instrText xml:space="preserve"> XE "</w:instrText>
      </w:r>
      <w:r w:rsidR="00730643" w:rsidRPr="00BC7BB5">
        <w:rPr>
          <w:rFonts w:ascii="Times New Roman" w:hAnsi="Times New Roman" w:cs="Times New Roman"/>
        </w:rPr>
        <w:instrText>DF:</w:instrText>
      </w:r>
      <w:r w:rsidR="00730643" w:rsidRPr="00BC7BB5">
        <w:instrText xml:space="preserve">Directorate of Finance" </w:instrText>
      </w:r>
      <w:r w:rsidR="00730643" w:rsidRPr="00BC7BB5">
        <w:rPr>
          <w:rFonts w:ascii="Times New Roman" w:hAnsi="Times New Roman" w:cs="Times New Roman"/>
        </w:rPr>
        <w:fldChar w:fldCharType="end"/>
      </w:r>
      <w:r w:rsidR="00C24B4A">
        <w:rPr>
          <w:rFonts w:ascii="Times New Roman" w:hAnsi="Times New Roman" w:cs="Times New Roman"/>
        </w:rPr>
        <w:t>)</w:t>
      </w:r>
      <w:r w:rsidR="00D06FE4">
        <w:rPr>
          <w:rFonts w:ascii="Times New Roman" w:hAnsi="Times New Roman" w:cs="Times New Roman"/>
        </w:rPr>
        <w:t>,</w:t>
      </w:r>
      <w:r w:rsidR="00C24B4A">
        <w:rPr>
          <w:rFonts w:ascii="Times New Roman" w:hAnsi="Times New Roman" w:cs="Times New Roman"/>
        </w:rPr>
        <w:t xml:space="preserve"> and</w:t>
      </w:r>
      <w:r w:rsidRPr="00BC7BB5">
        <w:rPr>
          <w:rFonts w:ascii="Times New Roman" w:hAnsi="Times New Roman" w:cs="Times New Roman"/>
        </w:rPr>
        <w:t xml:space="preserve"> the Directorate of Strategy and Statistics</w:t>
      </w:r>
      <w:r w:rsidRPr="00BC7BB5">
        <w:rPr>
          <w:rFonts w:ascii="Times New Roman" w:hAnsi="Times New Roman" w:cs="Times New Roman"/>
          <w:i/>
        </w:rPr>
        <w:t xml:space="preserve"> </w:t>
      </w:r>
      <w:r w:rsidRPr="00BC7BB5">
        <w:rPr>
          <w:rFonts w:ascii="Times New Roman" w:hAnsi="Times New Roman" w:cs="Times New Roman"/>
        </w:rPr>
        <w:t>(DSS</w:t>
      </w:r>
      <w:r w:rsidR="00730643" w:rsidRPr="00BC7BB5">
        <w:rPr>
          <w:rFonts w:ascii="Times New Roman" w:hAnsi="Times New Roman" w:cs="Times New Roman"/>
        </w:rPr>
        <w:fldChar w:fldCharType="begin"/>
      </w:r>
      <w:r w:rsidR="00730643" w:rsidRPr="00BC7BB5">
        <w:instrText xml:space="preserve"> XE "</w:instrText>
      </w:r>
      <w:r w:rsidR="00730643" w:rsidRPr="00BC7BB5">
        <w:rPr>
          <w:rFonts w:ascii="Times New Roman" w:hAnsi="Times New Roman" w:cs="Times New Roman"/>
        </w:rPr>
        <w:instrText>DSS:</w:instrText>
      </w:r>
      <w:r w:rsidR="00730643" w:rsidRPr="00BC7BB5">
        <w:instrText xml:space="preserve">Directorate of Strategy and Statistics" </w:instrText>
      </w:r>
      <w:r w:rsidR="00730643" w:rsidRPr="00BC7BB5">
        <w:rPr>
          <w:rFonts w:ascii="Times New Roman" w:hAnsi="Times New Roman" w:cs="Times New Roman"/>
        </w:rPr>
        <w:fldChar w:fldCharType="end"/>
      </w:r>
      <w:r w:rsidR="00C24B4A">
        <w:rPr>
          <w:rFonts w:ascii="Times New Roman" w:hAnsi="Times New Roman" w:cs="Times New Roman"/>
        </w:rPr>
        <w:t>)</w:t>
      </w:r>
      <w:r w:rsidR="00730643" w:rsidRPr="00BC7BB5">
        <w:rPr>
          <w:rFonts w:ascii="Times New Roman" w:hAnsi="Times New Roman" w:cs="Times New Roman"/>
        </w:rPr>
        <w:fldChar w:fldCharType="begin"/>
      </w:r>
      <w:r w:rsidR="00730643" w:rsidRPr="00BC7BB5">
        <w:instrText xml:space="preserve"> XE "</w:instrText>
      </w:r>
      <w:r w:rsidR="00730643" w:rsidRPr="00BC7BB5">
        <w:rPr>
          <w:rFonts w:ascii="Times New Roman" w:hAnsi="Times New Roman" w:cs="Times New Roman"/>
        </w:rPr>
        <w:instrText>DEFR:</w:instrText>
      </w:r>
      <w:r w:rsidR="00730643" w:rsidRPr="00BC7BB5">
        <w:instrText xml:space="preserve">Directorate for Education, Training and Research" </w:instrText>
      </w:r>
      <w:r w:rsidR="00730643" w:rsidRPr="00BC7BB5">
        <w:rPr>
          <w:rFonts w:ascii="Times New Roman" w:hAnsi="Times New Roman" w:cs="Times New Roman"/>
        </w:rPr>
        <w:fldChar w:fldCharType="end"/>
      </w:r>
      <w:r w:rsidRPr="00BC7BB5">
        <w:rPr>
          <w:rFonts w:ascii="Times New Roman" w:hAnsi="Times New Roman" w:cs="Times New Roman"/>
        </w:rPr>
        <w:t>.</w:t>
      </w:r>
      <w:r w:rsidRPr="00BC7BB5">
        <w:rPr>
          <w:rFonts w:ascii="Times New Roman" w:hAnsi="Times New Roman" w:cs="Times New Roman"/>
          <w:i/>
        </w:rPr>
        <w:t xml:space="preserve">  </w:t>
      </w:r>
      <w:r w:rsidRPr="00BC7BB5">
        <w:rPr>
          <w:rFonts w:ascii="Times New Roman" w:eastAsia="Times New Roman" w:hAnsi="Times New Roman" w:cs="Times New Roman"/>
          <w:color w:val="222222"/>
        </w:rPr>
        <w:t>At subnational level, MAPMDREF relies on its network of deconcentrated offices in regions and provinces</w:t>
      </w:r>
      <w:r w:rsidR="00DD6C4F" w:rsidRPr="00BC7BB5">
        <w:rPr>
          <w:rFonts w:ascii="Times New Roman" w:eastAsia="Times New Roman" w:hAnsi="Times New Roman" w:cs="Times New Roman"/>
          <w:color w:val="222222"/>
        </w:rPr>
        <w:t>, the</w:t>
      </w:r>
      <w:r w:rsidRPr="00BC7BB5">
        <w:rPr>
          <w:rFonts w:ascii="Times New Roman" w:eastAsia="Times New Roman" w:hAnsi="Times New Roman" w:cs="Times New Roman"/>
          <w:color w:val="222222"/>
        </w:rPr>
        <w:t xml:space="preserve"> Regional Directions for Agriculture (DRA</w:t>
      </w:r>
      <w:r w:rsidR="00730643" w:rsidRPr="00BC7BB5">
        <w:rPr>
          <w:rFonts w:ascii="Times New Roman" w:eastAsia="Times New Roman" w:hAnsi="Times New Roman" w:cs="Times New Roman"/>
          <w:color w:val="222222"/>
        </w:rPr>
        <w:fldChar w:fldCharType="begin"/>
      </w:r>
      <w:r w:rsidR="00730643" w:rsidRPr="00BC7BB5">
        <w:instrText xml:space="preserve"> XE "</w:instrText>
      </w:r>
      <w:r w:rsidR="00730643" w:rsidRPr="00BC7BB5">
        <w:rPr>
          <w:rFonts w:ascii="Times New Roman" w:eastAsia="Times New Roman" w:hAnsi="Times New Roman" w:cs="Times New Roman"/>
          <w:color w:val="222222"/>
        </w:rPr>
        <w:instrText>DRA:</w:instrText>
      </w:r>
      <w:r w:rsidR="00730643" w:rsidRPr="00BC7BB5">
        <w:instrText xml:space="preserve">Regional Directions for Agriculture" </w:instrText>
      </w:r>
      <w:r w:rsidR="00730643" w:rsidRPr="00BC7BB5">
        <w:rPr>
          <w:rFonts w:ascii="Times New Roman" w:eastAsia="Times New Roman" w:hAnsi="Times New Roman" w:cs="Times New Roman"/>
          <w:color w:val="222222"/>
        </w:rPr>
        <w:fldChar w:fldCharType="end"/>
      </w:r>
      <w:r w:rsidRPr="00BC7BB5">
        <w:rPr>
          <w:rFonts w:ascii="Times New Roman" w:eastAsia="Times New Roman" w:hAnsi="Times New Roman" w:cs="Times New Roman"/>
          <w:color w:val="222222"/>
        </w:rPr>
        <w:t xml:space="preserve">) </w:t>
      </w:r>
      <w:r w:rsidRPr="00BC7BB5">
        <w:rPr>
          <w:rFonts w:ascii="Times New Roman" w:hAnsi="Times New Roman" w:cs="Times New Roman"/>
          <w:color w:val="222222"/>
        </w:rPr>
        <w:t xml:space="preserve">supported </w:t>
      </w:r>
      <w:r w:rsidR="00DD6C4F" w:rsidRPr="00BC7BB5">
        <w:rPr>
          <w:rFonts w:ascii="Times New Roman" w:hAnsi="Times New Roman" w:cs="Times New Roman"/>
          <w:color w:val="222222"/>
        </w:rPr>
        <w:t>by the Provincial Directorates of A</w:t>
      </w:r>
      <w:r w:rsidRPr="00BC7BB5">
        <w:rPr>
          <w:rFonts w:ascii="Times New Roman" w:hAnsi="Times New Roman" w:cs="Times New Roman"/>
          <w:color w:val="222222"/>
        </w:rPr>
        <w:t>griculture (DPA</w:t>
      </w:r>
      <w:r w:rsidR="00730643" w:rsidRPr="00BC7BB5">
        <w:rPr>
          <w:rFonts w:ascii="Times New Roman" w:hAnsi="Times New Roman" w:cs="Times New Roman"/>
          <w:color w:val="222222"/>
        </w:rPr>
        <w:fldChar w:fldCharType="begin"/>
      </w:r>
      <w:r w:rsidR="00730643" w:rsidRPr="00BC7BB5">
        <w:instrText xml:space="preserve"> XE "</w:instrText>
      </w:r>
      <w:r w:rsidR="00730643" w:rsidRPr="00BC7BB5">
        <w:rPr>
          <w:rFonts w:ascii="Times New Roman" w:hAnsi="Times New Roman" w:cs="Times New Roman"/>
          <w:color w:val="222222"/>
        </w:rPr>
        <w:instrText>DPA:</w:instrText>
      </w:r>
      <w:r w:rsidR="00730643" w:rsidRPr="00BC7BB5">
        <w:instrText xml:space="preserve">Directorates of Agriculture" </w:instrText>
      </w:r>
      <w:r w:rsidR="00730643" w:rsidRPr="00BC7BB5">
        <w:rPr>
          <w:rFonts w:ascii="Times New Roman" w:hAnsi="Times New Roman" w:cs="Times New Roman"/>
          <w:color w:val="222222"/>
        </w:rPr>
        <w:fldChar w:fldCharType="end"/>
      </w:r>
      <w:r w:rsidRPr="00BC7BB5">
        <w:rPr>
          <w:rFonts w:ascii="Times New Roman" w:hAnsi="Times New Roman" w:cs="Times New Roman"/>
          <w:color w:val="222222"/>
        </w:rPr>
        <w:t>) under their authority. The DRAs and DPAs play a central role in identifying Pillar I and Pillar II projects that are in line</w:t>
      </w:r>
      <w:r w:rsidRPr="00BC7BB5">
        <w:rPr>
          <w:rFonts w:ascii="Times New Roman" w:eastAsia="Times New Roman" w:hAnsi="Times New Roman" w:cs="Times New Roman"/>
          <w:color w:val="222222"/>
        </w:rPr>
        <w:t xml:space="preserve"> with the regional agriculture strategy and </w:t>
      </w:r>
      <w:r w:rsidR="0097372A" w:rsidRPr="00BC7BB5">
        <w:rPr>
          <w:rFonts w:ascii="Times New Roman" w:eastAsia="Times New Roman" w:hAnsi="Times New Roman" w:cs="Times New Roman"/>
          <w:color w:val="222222"/>
        </w:rPr>
        <w:t>in appraising and implementing P</w:t>
      </w:r>
      <w:r w:rsidRPr="00BC7BB5">
        <w:rPr>
          <w:rFonts w:ascii="Times New Roman" w:eastAsia="Times New Roman" w:hAnsi="Times New Roman" w:cs="Times New Roman"/>
          <w:color w:val="222222"/>
        </w:rPr>
        <w:t xml:space="preserve">illar II projects. They also host the </w:t>
      </w:r>
      <w:r w:rsidR="0097372A" w:rsidRPr="00BC7BB5">
        <w:rPr>
          <w:rFonts w:ascii="Times New Roman" w:hAnsi="Times New Roman" w:cs="Times New Roman"/>
          <w:color w:val="000000"/>
        </w:rPr>
        <w:t>FDA one-stop-</w:t>
      </w:r>
      <w:r w:rsidR="00D016E3">
        <w:rPr>
          <w:rFonts w:ascii="Times New Roman" w:hAnsi="Times New Roman" w:cs="Times New Roman"/>
          <w:color w:val="000000"/>
        </w:rPr>
        <w:t>shop</w:t>
      </w:r>
      <w:r w:rsidR="00D016E3" w:rsidRPr="00BC7BB5">
        <w:rPr>
          <w:rFonts w:ascii="Times New Roman" w:hAnsi="Times New Roman" w:cs="Times New Roman"/>
          <w:color w:val="000000"/>
        </w:rPr>
        <w:t xml:space="preserve"> </w:t>
      </w:r>
      <w:r w:rsidRPr="00BC7BB5">
        <w:rPr>
          <w:rFonts w:ascii="Times New Roman" w:hAnsi="Times New Roman" w:cs="Times New Roman"/>
          <w:i/>
          <w:color w:val="000000"/>
        </w:rPr>
        <w:t>(guichet unique</w:t>
      </w:r>
      <w:r w:rsidRPr="00BC7BB5">
        <w:rPr>
          <w:rFonts w:ascii="Times New Roman" w:hAnsi="Times New Roman" w:cs="Times New Roman"/>
          <w:color w:val="000000"/>
        </w:rPr>
        <w:t xml:space="preserve">), </w:t>
      </w:r>
      <w:r w:rsidRPr="00BC7BB5">
        <w:rPr>
          <w:rFonts w:ascii="Times New Roman" w:hAnsi="Times New Roman" w:cs="Times New Roman"/>
          <w:color w:val="222222"/>
        </w:rPr>
        <w:t xml:space="preserve">which is the point of contact for </w:t>
      </w:r>
      <w:r w:rsidR="0097372A" w:rsidRPr="00BC7BB5">
        <w:rPr>
          <w:rFonts w:ascii="Times New Roman" w:hAnsi="Times New Roman" w:cs="Times New Roman"/>
          <w:color w:val="222222"/>
        </w:rPr>
        <w:t>producers</w:t>
      </w:r>
      <w:r w:rsidR="00DD6C4F" w:rsidRPr="00BC7BB5">
        <w:rPr>
          <w:rFonts w:ascii="Times New Roman" w:hAnsi="Times New Roman" w:cs="Times New Roman"/>
          <w:color w:val="222222"/>
        </w:rPr>
        <w:t xml:space="preserve"> applying for financial incentives</w:t>
      </w:r>
      <w:r w:rsidRPr="00BC7BB5">
        <w:rPr>
          <w:rFonts w:ascii="Times New Roman" w:hAnsi="Times New Roman" w:cs="Times New Roman"/>
          <w:color w:val="222222"/>
        </w:rPr>
        <w:t xml:space="preserve"> granted by the FDA</w:t>
      </w:r>
      <w:r w:rsidR="00935BC9" w:rsidRPr="00BC7BB5">
        <w:rPr>
          <w:rFonts w:ascii="Times New Roman" w:hAnsi="Times New Roman" w:cs="Times New Roman"/>
          <w:color w:val="222222"/>
        </w:rPr>
        <w:t>;</w:t>
      </w:r>
    </w:p>
    <w:p w14:paraId="53172FEC" w14:textId="533ECF72" w:rsidR="00D7255B" w:rsidRPr="00BC7BB5" w:rsidRDefault="00F96D64" w:rsidP="00B35A06">
      <w:pPr>
        <w:pStyle w:val="ListParagraph"/>
        <w:numPr>
          <w:ilvl w:val="1"/>
          <w:numId w:val="8"/>
        </w:numPr>
        <w:spacing w:after="0" w:line="240" w:lineRule="auto"/>
        <w:ind w:left="720"/>
        <w:jc w:val="both"/>
        <w:rPr>
          <w:rFonts w:ascii="Times New Roman" w:hAnsi="Times New Roman" w:cs="Times New Roman"/>
        </w:rPr>
      </w:pPr>
      <w:r w:rsidRPr="00BC7BB5">
        <w:rPr>
          <w:rFonts w:ascii="Times New Roman" w:hAnsi="Times New Roman" w:cs="Times New Roman"/>
          <w:i/>
        </w:rPr>
        <w:t>ONSSA.</w:t>
      </w:r>
      <w:r w:rsidR="00D7255B" w:rsidRPr="00BC7BB5">
        <w:rPr>
          <w:rFonts w:ascii="Times New Roman" w:hAnsi="Times New Roman" w:cs="Times New Roman"/>
          <w:b/>
          <w:i/>
        </w:rPr>
        <w:t xml:space="preserve"> </w:t>
      </w:r>
      <w:r w:rsidR="00D7255B" w:rsidRPr="00BC7BB5">
        <w:rPr>
          <w:rFonts w:ascii="Times New Roman" w:hAnsi="Times New Roman" w:cs="Times New Roman"/>
          <w:color w:val="222222"/>
        </w:rPr>
        <w:t xml:space="preserve">The Office is administered by a board of directors composed of </w:t>
      </w:r>
      <w:r w:rsidR="0097372A" w:rsidRPr="00BC7BB5">
        <w:rPr>
          <w:rFonts w:ascii="Times New Roman" w:hAnsi="Times New Roman" w:cs="Times New Roman"/>
          <w:color w:val="222222"/>
        </w:rPr>
        <w:t xml:space="preserve">government </w:t>
      </w:r>
      <w:r w:rsidR="00D7255B" w:rsidRPr="00BC7BB5">
        <w:rPr>
          <w:rFonts w:ascii="Times New Roman" w:hAnsi="Times New Roman" w:cs="Times New Roman"/>
          <w:color w:val="222222"/>
        </w:rPr>
        <w:t>representatives and managed by a Director General. ONSSA is organized around four</w:t>
      </w:r>
      <w:r w:rsidR="00DD6C4F" w:rsidRPr="00BC7BB5">
        <w:rPr>
          <w:rFonts w:ascii="Times New Roman" w:hAnsi="Times New Roman" w:cs="Times New Roman"/>
          <w:color w:val="222222"/>
        </w:rPr>
        <w:t xml:space="preserve"> c</w:t>
      </w:r>
      <w:r w:rsidR="00D7255B" w:rsidRPr="00BC7BB5">
        <w:rPr>
          <w:rFonts w:ascii="Times New Roman" w:hAnsi="Times New Roman" w:cs="Times New Roman"/>
          <w:color w:val="222222"/>
        </w:rPr>
        <w:t xml:space="preserve">entral directorates, with </w:t>
      </w:r>
      <w:r w:rsidR="00D06FE4">
        <w:rPr>
          <w:rFonts w:ascii="Times New Roman" w:hAnsi="Times New Roman" w:cs="Times New Roman"/>
          <w:color w:val="222222"/>
        </w:rPr>
        <w:t>about</w:t>
      </w:r>
      <w:r w:rsidR="00D06FE4" w:rsidRPr="00BC7BB5">
        <w:rPr>
          <w:rFonts w:ascii="Times New Roman" w:hAnsi="Times New Roman" w:cs="Times New Roman"/>
          <w:color w:val="222222"/>
        </w:rPr>
        <w:t xml:space="preserve"> </w:t>
      </w:r>
      <w:r w:rsidR="00D7255B" w:rsidRPr="00BC7BB5">
        <w:rPr>
          <w:rFonts w:ascii="Times New Roman" w:hAnsi="Times New Roman" w:cs="Times New Roman"/>
          <w:color w:val="222222"/>
        </w:rPr>
        <w:t>350 staff, as well as regional and provincial structures covering the entire territory with 1,446 staff</w:t>
      </w:r>
      <w:r w:rsidR="00935BC9" w:rsidRPr="00BC7BB5">
        <w:rPr>
          <w:rFonts w:ascii="Times New Roman" w:hAnsi="Times New Roman" w:cs="Times New Roman"/>
          <w:color w:val="222222"/>
        </w:rPr>
        <w:t>;</w:t>
      </w:r>
      <w:r w:rsidR="00D7255B" w:rsidRPr="00BC7BB5">
        <w:rPr>
          <w:rFonts w:ascii="Times New Roman" w:hAnsi="Times New Roman" w:cs="Times New Roman"/>
          <w:color w:val="222222"/>
        </w:rPr>
        <w:t xml:space="preserve"> </w:t>
      </w:r>
    </w:p>
    <w:p w14:paraId="3B964029" w14:textId="03ED4578" w:rsidR="00D7255B" w:rsidRPr="00BC7BB5" w:rsidRDefault="00F96D64" w:rsidP="00B35A06">
      <w:pPr>
        <w:pStyle w:val="ListParagraph"/>
        <w:numPr>
          <w:ilvl w:val="1"/>
          <w:numId w:val="8"/>
        </w:numPr>
        <w:spacing w:after="0" w:line="240" w:lineRule="auto"/>
        <w:ind w:left="720"/>
        <w:jc w:val="both"/>
        <w:rPr>
          <w:rFonts w:ascii="Times New Roman" w:hAnsi="Times New Roman" w:cs="Times New Roman"/>
        </w:rPr>
      </w:pPr>
      <w:r w:rsidRPr="004D563E">
        <w:rPr>
          <w:rFonts w:ascii="Times New Roman" w:hAnsi="Times New Roman" w:cs="Times New Roman"/>
          <w:i/>
          <w:lang w:val="fr-FR"/>
        </w:rPr>
        <w:t xml:space="preserve">ADA </w:t>
      </w:r>
      <w:r w:rsidR="00D7255B" w:rsidRPr="004D563E">
        <w:rPr>
          <w:rFonts w:ascii="Times New Roman" w:hAnsi="Times New Roman" w:cs="Times New Roman"/>
          <w:color w:val="000000"/>
          <w:lang w:val="fr-FR"/>
        </w:rPr>
        <w:t>(</w:t>
      </w:r>
      <w:r w:rsidR="00C24B4A">
        <w:rPr>
          <w:rFonts w:ascii="Times New Roman" w:hAnsi="Times New Roman" w:cs="Times New Roman"/>
          <w:i/>
          <w:iCs/>
          <w:color w:val="000000"/>
          <w:lang w:val="fr-FR"/>
        </w:rPr>
        <w:t>Agence pour le</w:t>
      </w:r>
      <w:r w:rsidR="00D7255B" w:rsidRPr="004D563E">
        <w:rPr>
          <w:rFonts w:ascii="Times New Roman" w:hAnsi="Times New Roman" w:cs="Times New Roman"/>
          <w:i/>
          <w:iCs/>
          <w:color w:val="000000"/>
          <w:lang w:val="fr-FR"/>
        </w:rPr>
        <w:t xml:space="preserve"> Développement Agricole</w:t>
      </w:r>
      <w:r w:rsidRPr="004D563E">
        <w:rPr>
          <w:rFonts w:ascii="Times New Roman" w:hAnsi="Times New Roman" w:cs="Times New Roman"/>
          <w:color w:val="000000"/>
          <w:lang w:val="fr-FR"/>
        </w:rPr>
        <w:t>)</w:t>
      </w:r>
      <w:r w:rsidR="00D7255B" w:rsidRPr="004D563E">
        <w:rPr>
          <w:rFonts w:ascii="Times New Roman" w:hAnsi="Times New Roman" w:cs="Times New Roman"/>
          <w:color w:val="000000"/>
          <w:lang w:val="fr-FR"/>
        </w:rPr>
        <w:t xml:space="preserve">. </w:t>
      </w:r>
      <w:r w:rsidR="00150D27" w:rsidRPr="00BC7BB5">
        <w:rPr>
          <w:rFonts w:ascii="Times New Roman" w:hAnsi="Times New Roman" w:cs="Times New Roman"/>
          <w:color w:val="222222"/>
        </w:rPr>
        <w:t>ADA</w:t>
      </w:r>
      <w:r w:rsidR="00D7255B" w:rsidRPr="00BC7BB5">
        <w:rPr>
          <w:rFonts w:ascii="Times New Roman" w:hAnsi="Times New Roman" w:cs="Times New Roman"/>
          <w:color w:val="222222"/>
        </w:rPr>
        <w:t xml:space="preserve"> is re</w:t>
      </w:r>
      <w:r w:rsidR="009B769D">
        <w:rPr>
          <w:rFonts w:ascii="Times New Roman" w:hAnsi="Times New Roman" w:cs="Times New Roman"/>
          <w:color w:val="222222"/>
        </w:rPr>
        <w:t>sponsible for proposing to the G</w:t>
      </w:r>
      <w:r w:rsidR="00D7255B" w:rsidRPr="00BC7BB5">
        <w:rPr>
          <w:rFonts w:ascii="Times New Roman" w:hAnsi="Times New Roman" w:cs="Times New Roman"/>
          <w:color w:val="222222"/>
        </w:rPr>
        <w:t>overnment action plans to support the development of high-potential value chains with a view to improving productivity.</w:t>
      </w:r>
      <w:r w:rsidRPr="00BC7BB5">
        <w:rPr>
          <w:rFonts w:ascii="Times New Roman" w:hAnsi="Times New Roman" w:cs="Times New Roman"/>
          <w:color w:val="222222"/>
        </w:rPr>
        <w:t xml:space="preserve"> It oversees the implementation of Pillar I and Pillar II projects under the PMV</w:t>
      </w:r>
      <w:r w:rsidR="00935BC9" w:rsidRPr="00BC7BB5">
        <w:rPr>
          <w:rFonts w:ascii="Times New Roman" w:hAnsi="Times New Roman" w:cs="Times New Roman"/>
          <w:color w:val="222222"/>
        </w:rPr>
        <w:t>;</w:t>
      </w:r>
    </w:p>
    <w:p w14:paraId="49AE7128" w14:textId="306F1157" w:rsidR="00935BC9" w:rsidRPr="00BC7BB5" w:rsidRDefault="00666BFA" w:rsidP="00B35A06">
      <w:pPr>
        <w:pStyle w:val="ListParagraph"/>
        <w:numPr>
          <w:ilvl w:val="1"/>
          <w:numId w:val="8"/>
        </w:numPr>
        <w:spacing w:after="0" w:line="240" w:lineRule="auto"/>
        <w:ind w:left="720"/>
        <w:jc w:val="both"/>
        <w:rPr>
          <w:rFonts w:ascii="Times New Roman" w:hAnsi="Times New Roman" w:cs="Times New Roman"/>
        </w:rPr>
      </w:pPr>
      <w:r w:rsidRPr="00BC7BB5">
        <w:rPr>
          <w:rFonts w:ascii="Times New Roman" w:hAnsi="Times New Roman" w:cs="Times New Roman"/>
          <w:i/>
        </w:rPr>
        <w:lastRenderedPageBreak/>
        <w:t>Interprofessions.</w:t>
      </w:r>
      <w:r w:rsidR="00D7255B" w:rsidRPr="00BC7BB5">
        <w:rPr>
          <w:rFonts w:ascii="Times New Roman" w:hAnsi="Times New Roman" w:cs="Times New Roman"/>
          <w:color w:val="222222"/>
        </w:rPr>
        <w:t xml:space="preserve"> Seven interprofessi</w:t>
      </w:r>
      <w:r w:rsidRPr="00BC7BB5">
        <w:rPr>
          <w:rFonts w:ascii="Times New Roman" w:hAnsi="Times New Roman" w:cs="Times New Roman"/>
          <w:color w:val="222222"/>
        </w:rPr>
        <w:t>ons have been approved</w:t>
      </w:r>
      <w:r w:rsidR="00C24B4A">
        <w:rPr>
          <w:rFonts w:ascii="Times New Roman" w:hAnsi="Times New Roman" w:cs="Times New Roman"/>
          <w:color w:val="222222"/>
        </w:rPr>
        <w:t xml:space="preserve"> (recognized by MAPMDREF)</w:t>
      </w:r>
      <w:r w:rsidRPr="00BC7BB5">
        <w:rPr>
          <w:rFonts w:ascii="Times New Roman" w:hAnsi="Times New Roman" w:cs="Times New Roman"/>
          <w:color w:val="222222"/>
        </w:rPr>
        <w:t xml:space="preserve"> by </w:t>
      </w:r>
      <w:r w:rsidR="007A56B5" w:rsidRPr="00BC7BB5">
        <w:rPr>
          <w:rFonts w:ascii="Times New Roman" w:hAnsi="Times New Roman" w:cs="Times New Roman"/>
          <w:color w:val="222222"/>
        </w:rPr>
        <w:t>October</w:t>
      </w:r>
      <w:r w:rsidRPr="00BC7BB5">
        <w:rPr>
          <w:rFonts w:ascii="Times New Roman" w:hAnsi="Times New Roman" w:cs="Times New Roman"/>
          <w:color w:val="222222"/>
        </w:rPr>
        <w:t xml:space="preserve"> </w:t>
      </w:r>
      <w:r w:rsidR="00D7255B" w:rsidRPr="00BC7BB5">
        <w:rPr>
          <w:rFonts w:ascii="Times New Roman" w:hAnsi="Times New Roman" w:cs="Times New Roman"/>
          <w:color w:val="222222"/>
        </w:rPr>
        <w:t xml:space="preserve">2017, among them </w:t>
      </w:r>
      <w:r w:rsidR="007A56B5" w:rsidRPr="00BC7BB5">
        <w:rPr>
          <w:rFonts w:ascii="Times New Roman" w:hAnsi="Times New Roman" w:cs="Times New Roman"/>
          <w:i/>
          <w:color w:val="222222"/>
        </w:rPr>
        <w:t xml:space="preserve">Maroc Citrus </w:t>
      </w:r>
      <w:r w:rsidR="007A56B5" w:rsidRPr="00BC7BB5">
        <w:rPr>
          <w:rFonts w:ascii="Times New Roman" w:hAnsi="Times New Roman" w:cs="Times New Roman"/>
          <w:color w:val="222222"/>
        </w:rPr>
        <w:t xml:space="preserve">representing the citrus sub-sector and </w:t>
      </w:r>
      <w:r w:rsidR="00D7255B" w:rsidRPr="00BC7BB5">
        <w:rPr>
          <w:rFonts w:ascii="Times New Roman" w:hAnsi="Times New Roman" w:cs="Times New Roman"/>
          <w:i/>
          <w:color w:val="222222"/>
        </w:rPr>
        <w:t>Interprolive</w:t>
      </w:r>
      <w:r w:rsidR="00D7255B" w:rsidRPr="00BC7BB5">
        <w:rPr>
          <w:rFonts w:ascii="Times New Roman" w:hAnsi="Times New Roman" w:cs="Times New Roman"/>
          <w:color w:val="222222"/>
        </w:rPr>
        <w:t xml:space="preserve"> representing the olive sub-sector. Most interprofessions are newly created and have limited in-house capacities and resources</w:t>
      </w:r>
      <w:r w:rsidR="00935BC9" w:rsidRPr="00BC7BB5">
        <w:rPr>
          <w:rFonts w:ascii="Times New Roman" w:hAnsi="Times New Roman" w:cs="Times New Roman"/>
          <w:color w:val="222222"/>
        </w:rPr>
        <w:t>;</w:t>
      </w:r>
    </w:p>
    <w:p w14:paraId="4B92719E" w14:textId="08737973" w:rsidR="00935BC9" w:rsidRPr="00BC7BB5" w:rsidRDefault="00935BC9" w:rsidP="00B35A06">
      <w:pPr>
        <w:pStyle w:val="ListParagraph"/>
        <w:numPr>
          <w:ilvl w:val="1"/>
          <w:numId w:val="8"/>
        </w:numPr>
        <w:spacing w:after="0" w:line="240" w:lineRule="auto"/>
        <w:ind w:left="720"/>
        <w:jc w:val="both"/>
        <w:rPr>
          <w:rFonts w:ascii="Times New Roman" w:hAnsi="Times New Roman" w:cs="Times New Roman"/>
          <w:color w:val="222222"/>
        </w:rPr>
      </w:pPr>
      <w:r w:rsidRPr="00BC7BB5">
        <w:rPr>
          <w:rFonts w:ascii="Times New Roman" w:hAnsi="Times New Roman" w:cs="Times New Roman"/>
          <w:color w:val="222222"/>
        </w:rPr>
        <w:t>The</w:t>
      </w:r>
      <w:r w:rsidRPr="00BC7BB5">
        <w:rPr>
          <w:rFonts w:ascii="Times New Roman" w:hAnsi="Times New Roman" w:cs="Times New Roman"/>
          <w:i/>
          <w:color w:val="222222"/>
        </w:rPr>
        <w:t xml:space="preserve"> Wilaya</w:t>
      </w:r>
      <w:r w:rsidRPr="00BC7BB5">
        <w:rPr>
          <w:rFonts w:ascii="Times New Roman" w:hAnsi="Times New Roman" w:cs="Times New Roman"/>
          <w:color w:val="222222"/>
        </w:rPr>
        <w:t xml:space="preserve"> is the </w:t>
      </w:r>
      <w:r w:rsidR="003C3B4C">
        <w:rPr>
          <w:rFonts w:ascii="Times New Roman" w:hAnsi="Times New Roman" w:cs="Times New Roman"/>
          <w:color w:val="222222"/>
        </w:rPr>
        <w:t>r</w:t>
      </w:r>
      <w:r w:rsidRPr="00BC7BB5">
        <w:rPr>
          <w:rFonts w:ascii="Times New Roman" w:hAnsi="Times New Roman" w:cs="Times New Roman"/>
          <w:color w:val="222222"/>
        </w:rPr>
        <w:t>egional governorate</w:t>
      </w:r>
      <w:r w:rsidR="00B67994">
        <w:rPr>
          <w:rFonts w:ascii="Times New Roman" w:hAnsi="Times New Roman" w:cs="Times New Roman"/>
          <w:color w:val="222222"/>
        </w:rPr>
        <w:t xml:space="preserve"> under the Ministry of I</w:t>
      </w:r>
      <w:r w:rsidR="00E17356">
        <w:rPr>
          <w:rFonts w:ascii="Times New Roman" w:hAnsi="Times New Roman" w:cs="Times New Roman"/>
          <w:color w:val="222222"/>
        </w:rPr>
        <w:t xml:space="preserve">nterior (MI). </w:t>
      </w:r>
      <w:r w:rsidR="00E17356" w:rsidRPr="00E17356">
        <w:rPr>
          <w:rFonts w:ascii="Times New Roman" w:hAnsi="Times New Roman" w:cs="Times New Roman"/>
          <w:i/>
          <w:color w:val="222222"/>
        </w:rPr>
        <w:t>Walis</w:t>
      </w:r>
      <w:r w:rsidR="00E17356">
        <w:rPr>
          <w:rFonts w:ascii="Times New Roman" w:hAnsi="Times New Roman" w:cs="Times New Roman"/>
          <w:color w:val="222222"/>
        </w:rPr>
        <w:t xml:space="preserve"> represent</w:t>
      </w:r>
      <w:r w:rsidRPr="00BC7BB5">
        <w:rPr>
          <w:rFonts w:ascii="Times New Roman" w:hAnsi="Times New Roman" w:cs="Times New Roman"/>
          <w:color w:val="222222"/>
        </w:rPr>
        <w:t xml:space="preserve"> the central Government at the regional level. </w:t>
      </w:r>
      <w:r w:rsidRPr="00BC7BB5">
        <w:rPr>
          <w:rFonts w:ascii="Times New Roman" w:hAnsi="Times New Roman" w:cs="Times New Roman"/>
          <w:i/>
          <w:color w:val="222222"/>
        </w:rPr>
        <w:t>Walis</w:t>
      </w:r>
      <w:r w:rsidRPr="00BC7BB5">
        <w:rPr>
          <w:rFonts w:ascii="Times New Roman" w:hAnsi="Times New Roman" w:cs="Times New Roman"/>
          <w:color w:val="222222"/>
        </w:rPr>
        <w:t xml:space="preserve"> (region governors) are ap</w:t>
      </w:r>
      <w:r w:rsidR="00E17356">
        <w:rPr>
          <w:rFonts w:ascii="Times New Roman" w:hAnsi="Times New Roman" w:cs="Times New Roman"/>
          <w:color w:val="222222"/>
        </w:rPr>
        <w:t>pointed by His Majesty the King</w:t>
      </w:r>
      <w:r w:rsidR="003C3B4C">
        <w:rPr>
          <w:rFonts w:ascii="Times New Roman" w:hAnsi="Times New Roman" w:cs="Times New Roman"/>
          <w:color w:val="222222"/>
        </w:rPr>
        <w:t>.</w:t>
      </w:r>
      <w:r w:rsidRPr="00BC7BB5">
        <w:rPr>
          <w:rFonts w:ascii="Times New Roman" w:hAnsi="Times New Roman" w:cs="Times New Roman"/>
          <w:color w:val="222222"/>
        </w:rPr>
        <w:t xml:space="preserve"> </w:t>
      </w:r>
      <w:r w:rsidR="003C3B4C">
        <w:rPr>
          <w:rFonts w:ascii="Times New Roman" w:hAnsi="Times New Roman" w:cs="Times New Roman"/>
          <w:color w:val="222222"/>
        </w:rPr>
        <w:t>T</w:t>
      </w:r>
      <w:r w:rsidR="00E17356">
        <w:rPr>
          <w:rFonts w:ascii="Times New Roman" w:hAnsi="Times New Roman" w:cs="Times New Roman"/>
          <w:color w:val="222222"/>
        </w:rPr>
        <w:t xml:space="preserve">hey </w:t>
      </w:r>
      <w:r w:rsidRPr="00BC7BB5">
        <w:rPr>
          <w:rFonts w:ascii="Times New Roman" w:hAnsi="Times New Roman" w:cs="Times New Roman"/>
          <w:color w:val="222222"/>
        </w:rPr>
        <w:t xml:space="preserve">have a coordination role </w:t>
      </w:r>
      <w:r w:rsidR="003C3B4C">
        <w:rPr>
          <w:rFonts w:ascii="Times New Roman" w:hAnsi="Times New Roman" w:cs="Times New Roman"/>
          <w:color w:val="222222"/>
        </w:rPr>
        <w:t>across</w:t>
      </w:r>
      <w:r w:rsidR="003C3B4C" w:rsidRPr="00BC7BB5">
        <w:rPr>
          <w:rFonts w:ascii="Times New Roman" w:hAnsi="Times New Roman" w:cs="Times New Roman"/>
          <w:color w:val="222222"/>
        </w:rPr>
        <w:t xml:space="preserve"> </w:t>
      </w:r>
      <w:r w:rsidRPr="00BC7BB5">
        <w:rPr>
          <w:rFonts w:ascii="Times New Roman" w:hAnsi="Times New Roman" w:cs="Times New Roman"/>
          <w:color w:val="222222"/>
        </w:rPr>
        <w:t xml:space="preserve">deconcentrated services at regional level. The Wilaya oversees multi-stakeholder projects such as wholesale markets;  </w:t>
      </w:r>
    </w:p>
    <w:p w14:paraId="3655227E" w14:textId="2F3DED56" w:rsidR="00D7255B" w:rsidRPr="00BC7BB5" w:rsidRDefault="00D7255B" w:rsidP="00B35A06">
      <w:pPr>
        <w:pStyle w:val="ListParagraph"/>
        <w:numPr>
          <w:ilvl w:val="1"/>
          <w:numId w:val="8"/>
        </w:numPr>
        <w:spacing w:after="0" w:line="240" w:lineRule="auto"/>
        <w:ind w:left="720"/>
        <w:jc w:val="both"/>
        <w:rPr>
          <w:rFonts w:ascii="Times New Roman" w:hAnsi="Times New Roman" w:cs="Times New Roman"/>
        </w:rPr>
      </w:pPr>
      <w:r w:rsidRPr="00BC7BB5">
        <w:rPr>
          <w:rFonts w:ascii="Times New Roman" w:hAnsi="Times New Roman" w:cs="Times New Roman"/>
          <w:i/>
          <w:color w:val="222222"/>
        </w:rPr>
        <w:t xml:space="preserve">Rabat </w:t>
      </w:r>
      <w:r w:rsidR="006B565C" w:rsidRPr="00BC7BB5">
        <w:rPr>
          <w:rFonts w:ascii="Times New Roman" w:hAnsi="Times New Roman" w:cs="Times New Roman"/>
          <w:i/>
          <w:color w:val="222222"/>
        </w:rPr>
        <w:t xml:space="preserve">Région </w:t>
      </w:r>
      <w:r w:rsidRPr="00BC7BB5">
        <w:rPr>
          <w:rFonts w:ascii="Times New Roman" w:hAnsi="Times New Roman" w:cs="Times New Roman"/>
          <w:i/>
          <w:color w:val="222222"/>
        </w:rPr>
        <w:t>Aménagement</w:t>
      </w:r>
      <w:r w:rsidRPr="00BC7BB5">
        <w:rPr>
          <w:rFonts w:ascii="Times New Roman" w:hAnsi="Times New Roman" w:cs="Times New Roman"/>
          <w:color w:val="222222"/>
        </w:rPr>
        <w:t xml:space="preserve"> is a state-owned enterprise created in 2014 for the execution of structuring projects in the region of Rabat-</w:t>
      </w:r>
      <w:r w:rsidR="00416C04">
        <w:rPr>
          <w:rFonts w:ascii="Times New Roman" w:hAnsi="Times New Roman" w:cs="Times New Roman"/>
          <w:color w:val="222222"/>
        </w:rPr>
        <w:t>Salé-Ké</w:t>
      </w:r>
      <w:r w:rsidRPr="00BC7BB5">
        <w:rPr>
          <w:rFonts w:ascii="Times New Roman" w:hAnsi="Times New Roman" w:cs="Times New Roman"/>
          <w:color w:val="222222"/>
        </w:rPr>
        <w:t xml:space="preserve">nitra. </w:t>
      </w:r>
      <w:r w:rsidR="00150D27" w:rsidRPr="00BC7BB5">
        <w:rPr>
          <w:rFonts w:ascii="Times New Roman" w:hAnsi="Times New Roman" w:cs="Times New Roman"/>
          <w:color w:val="222222"/>
        </w:rPr>
        <w:t>It</w:t>
      </w:r>
      <w:r w:rsidRPr="00BC7BB5">
        <w:rPr>
          <w:rFonts w:ascii="Times New Roman" w:hAnsi="Times New Roman" w:cs="Times New Roman"/>
          <w:color w:val="222222"/>
        </w:rPr>
        <w:t xml:space="preserve"> would oversee the construction of the </w:t>
      </w:r>
      <w:r w:rsidR="00416C04">
        <w:rPr>
          <w:rFonts w:ascii="Times New Roman" w:hAnsi="Times New Roman" w:cs="Times New Roman"/>
          <w:color w:val="222222"/>
        </w:rPr>
        <w:t>proposed wholesale market for</w:t>
      </w:r>
      <w:r w:rsidRPr="00BC7BB5">
        <w:rPr>
          <w:rFonts w:ascii="Times New Roman" w:hAnsi="Times New Roman" w:cs="Times New Roman"/>
          <w:color w:val="222222"/>
        </w:rPr>
        <w:t xml:space="preserve"> Rabat, under the draft agreement (</w:t>
      </w:r>
      <w:r w:rsidR="00B67994">
        <w:rPr>
          <w:rFonts w:ascii="Times New Roman" w:hAnsi="Times New Roman" w:cs="Times New Roman"/>
          <w:i/>
          <w:color w:val="222222"/>
        </w:rPr>
        <w:t>C</w:t>
      </w:r>
      <w:r w:rsidRPr="00BC7BB5">
        <w:rPr>
          <w:rFonts w:ascii="Times New Roman" w:hAnsi="Times New Roman" w:cs="Times New Roman"/>
          <w:i/>
          <w:color w:val="222222"/>
        </w:rPr>
        <w:t>onvention</w:t>
      </w:r>
      <w:r w:rsidR="00B67994">
        <w:rPr>
          <w:rFonts w:ascii="Times New Roman" w:hAnsi="Times New Roman" w:cs="Times New Roman"/>
          <w:i/>
          <w:color w:val="222222"/>
        </w:rPr>
        <w:t xml:space="preserve"> de Partenariat</w:t>
      </w:r>
      <w:r w:rsidRPr="00BC7BB5">
        <w:rPr>
          <w:rFonts w:ascii="Times New Roman" w:hAnsi="Times New Roman" w:cs="Times New Roman"/>
          <w:color w:val="222222"/>
        </w:rPr>
        <w:t xml:space="preserve">) </w:t>
      </w:r>
      <w:r w:rsidR="003C3B4C">
        <w:rPr>
          <w:rFonts w:ascii="Times New Roman" w:hAnsi="Times New Roman" w:cs="Times New Roman"/>
          <w:color w:val="222222"/>
        </w:rPr>
        <w:t>to be signed by</w:t>
      </w:r>
      <w:r w:rsidR="00FA3792" w:rsidRPr="00BC7BB5">
        <w:rPr>
          <w:rFonts w:ascii="Times New Roman" w:hAnsi="Times New Roman" w:cs="Times New Roman"/>
          <w:color w:val="222222"/>
        </w:rPr>
        <w:t xml:space="preserve"> MAPMDREF, </w:t>
      </w:r>
      <w:r w:rsidR="00470786" w:rsidRPr="00BC7BB5">
        <w:rPr>
          <w:rFonts w:ascii="Times New Roman" w:hAnsi="Times New Roman" w:cs="Times New Roman"/>
          <w:color w:val="000000" w:themeColor="text1"/>
        </w:rPr>
        <w:t>the Ministry of Economy and Finance (MEF</w:t>
      </w:r>
      <w:r w:rsidR="00346EAB">
        <w:rPr>
          <w:rFonts w:ascii="Times New Roman" w:hAnsi="Times New Roman" w:cs="Times New Roman"/>
          <w:color w:val="000000" w:themeColor="text1"/>
        </w:rPr>
        <w:fldChar w:fldCharType="begin"/>
      </w:r>
      <w:r w:rsidR="00346EAB">
        <w:instrText xml:space="preserve"> XE "</w:instrText>
      </w:r>
      <w:r w:rsidR="00346EAB" w:rsidRPr="007F3CFC">
        <w:rPr>
          <w:rFonts w:ascii="Times New Roman" w:hAnsi="Times New Roman" w:cs="Times New Roman"/>
          <w:color w:val="000000" w:themeColor="text1"/>
        </w:rPr>
        <w:instrText>MEF:</w:instrText>
      </w:r>
      <w:r w:rsidR="00346EAB" w:rsidRPr="007F3CFC">
        <w:instrText>Ministry of Economy and Finance</w:instrText>
      </w:r>
      <w:r w:rsidR="00346EAB">
        <w:instrText xml:space="preserve">" </w:instrText>
      </w:r>
      <w:r w:rsidR="00346EAB">
        <w:rPr>
          <w:rFonts w:ascii="Times New Roman" w:hAnsi="Times New Roman" w:cs="Times New Roman"/>
          <w:color w:val="000000" w:themeColor="text1"/>
        </w:rPr>
        <w:fldChar w:fldCharType="end"/>
      </w:r>
      <w:r w:rsidR="00470786" w:rsidRPr="00BC7BB5">
        <w:rPr>
          <w:rFonts w:ascii="Times New Roman" w:hAnsi="Times New Roman" w:cs="Times New Roman"/>
          <w:color w:val="000000" w:themeColor="text1"/>
        </w:rPr>
        <w:t xml:space="preserve">), </w:t>
      </w:r>
      <w:r w:rsidR="008F5799" w:rsidRPr="00BC7BB5">
        <w:rPr>
          <w:rFonts w:ascii="Times New Roman" w:hAnsi="Times New Roman" w:cs="Times New Roman"/>
          <w:color w:val="222222"/>
        </w:rPr>
        <w:t>MIICEN</w:t>
      </w:r>
      <w:r w:rsidR="009060C5" w:rsidRPr="00BC7BB5">
        <w:rPr>
          <w:rFonts w:ascii="Times New Roman" w:hAnsi="Times New Roman" w:cs="Times New Roman"/>
          <w:color w:val="222222"/>
        </w:rPr>
        <w:t>, MI,</w:t>
      </w:r>
      <w:r w:rsidR="000C0BA8" w:rsidRPr="00BC7BB5">
        <w:rPr>
          <w:rFonts w:ascii="Times New Roman" w:hAnsi="Times New Roman" w:cs="Times New Roman"/>
          <w:color w:val="222222"/>
        </w:rPr>
        <w:t xml:space="preserve"> the </w:t>
      </w:r>
      <w:r w:rsidR="009060C5" w:rsidRPr="00BC7BB5">
        <w:rPr>
          <w:rFonts w:ascii="Times New Roman" w:hAnsi="Times New Roman" w:cs="Times New Roman"/>
          <w:color w:val="222222"/>
        </w:rPr>
        <w:t>Regional Council</w:t>
      </w:r>
      <w:r w:rsidR="000C0BA8" w:rsidRPr="00BC7BB5">
        <w:rPr>
          <w:rFonts w:ascii="Times New Roman" w:hAnsi="Times New Roman" w:cs="Times New Roman"/>
          <w:color w:val="222222"/>
        </w:rPr>
        <w:t xml:space="preserve"> of </w:t>
      </w:r>
      <w:r w:rsidR="00E0463E" w:rsidRPr="00BC7BB5">
        <w:rPr>
          <w:rFonts w:ascii="Times New Roman" w:hAnsi="Times New Roman" w:cs="Times New Roman"/>
          <w:color w:val="222222"/>
        </w:rPr>
        <w:t xml:space="preserve">the </w:t>
      </w:r>
      <w:r w:rsidR="000C0BA8" w:rsidRPr="00BC7BB5">
        <w:rPr>
          <w:rFonts w:ascii="Times New Roman" w:hAnsi="Times New Roman" w:cs="Times New Roman"/>
          <w:color w:val="222222"/>
        </w:rPr>
        <w:t>R</w:t>
      </w:r>
      <w:r w:rsidRPr="00BC7BB5">
        <w:rPr>
          <w:rFonts w:ascii="Times New Roman" w:hAnsi="Times New Roman" w:cs="Times New Roman"/>
          <w:color w:val="222222"/>
        </w:rPr>
        <w:t>abat-</w:t>
      </w:r>
      <w:r w:rsidR="009060C5" w:rsidRPr="00BC7BB5">
        <w:rPr>
          <w:rFonts w:ascii="Times New Roman" w:hAnsi="Times New Roman" w:cs="Times New Roman"/>
          <w:color w:val="222222"/>
        </w:rPr>
        <w:t>Salé-Ké</w:t>
      </w:r>
      <w:r w:rsidRPr="00BC7BB5">
        <w:rPr>
          <w:rFonts w:ascii="Times New Roman" w:hAnsi="Times New Roman" w:cs="Times New Roman"/>
          <w:color w:val="222222"/>
        </w:rPr>
        <w:t>nitra region</w:t>
      </w:r>
      <w:r w:rsidR="009060C5" w:rsidRPr="00BC7BB5">
        <w:rPr>
          <w:rFonts w:ascii="Times New Roman" w:hAnsi="Times New Roman" w:cs="Times New Roman"/>
          <w:color w:val="222222"/>
        </w:rPr>
        <w:t xml:space="preserve"> and the Wilaya of the Rabat-Salé-Kénitra region</w:t>
      </w:r>
      <w:r w:rsidRPr="00BC7BB5">
        <w:rPr>
          <w:rFonts w:ascii="Times New Roman" w:hAnsi="Times New Roman" w:cs="Times New Roman"/>
          <w:color w:val="222222"/>
        </w:rPr>
        <w:t xml:space="preserve">. Once built, the new market would be managed by a </w:t>
      </w:r>
      <w:r w:rsidRPr="00BC7BB5">
        <w:rPr>
          <w:rFonts w:ascii="Times New Roman" w:hAnsi="Times New Roman" w:cs="Times New Roman"/>
          <w:i/>
          <w:color w:val="222222"/>
        </w:rPr>
        <w:t>Société de Dévelopment Local</w:t>
      </w:r>
      <w:r w:rsidR="00C24B4A">
        <w:rPr>
          <w:rFonts w:ascii="Times New Roman" w:hAnsi="Times New Roman" w:cs="Times New Roman"/>
          <w:i/>
          <w:color w:val="222222"/>
        </w:rPr>
        <w:t>/Régional</w:t>
      </w:r>
      <w:r w:rsidRPr="00BC7BB5">
        <w:rPr>
          <w:rFonts w:ascii="Times New Roman" w:hAnsi="Times New Roman" w:cs="Times New Roman"/>
          <w:color w:val="222222"/>
        </w:rPr>
        <w:t xml:space="preserve"> (SDL</w:t>
      </w:r>
      <w:r w:rsidR="00C24B4A">
        <w:rPr>
          <w:rFonts w:ascii="Times New Roman" w:hAnsi="Times New Roman" w:cs="Times New Roman"/>
          <w:color w:val="222222"/>
        </w:rPr>
        <w:t>/SDR</w:t>
      </w:r>
      <w:r w:rsidR="00730643" w:rsidRPr="00BC7BB5">
        <w:rPr>
          <w:rFonts w:ascii="Times New Roman" w:hAnsi="Times New Roman" w:cs="Times New Roman"/>
          <w:color w:val="222222"/>
        </w:rPr>
        <w:fldChar w:fldCharType="begin"/>
      </w:r>
      <w:r w:rsidR="00730643" w:rsidRPr="00BC7BB5">
        <w:instrText xml:space="preserve"> XE "</w:instrText>
      </w:r>
      <w:r w:rsidR="00730643" w:rsidRPr="00BC7BB5">
        <w:rPr>
          <w:rFonts w:ascii="Times New Roman" w:hAnsi="Times New Roman" w:cs="Times New Roman"/>
          <w:color w:val="222222"/>
        </w:rPr>
        <w:instrText>SDL:</w:instrText>
      </w:r>
      <w:r w:rsidR="00730643" w:rsidRPr="00BC7BB5">
        <w:instrText xml:space="preserve">Société de Dévelopment Local" </w:instrText>
      </w:r>
      <w:r w:rsidR="00730643" w:rsidRPr="00BC7BB5">
        <w:rPr>
          <w:rFonts w:ascii="Times New Roman" w:hAnsi="Times New Roman" w:cs="Times New Roman"/>
          <w:color w:val="222222"/>
        </w:rPr>
        <w:fldChar w:fldCharType="end"/>
      </w:r>
      <w:r w:rsidRPr="00BC7BB5">
        <w:rPr>
          <w:rFonts w:ascii="Times New Roman" w:hAnsi="Times New Roman" w:cs="Times New Roman"/>
          <w:color w:val="222222"/>
        </w:rPr>
        <w:t>) which would also be part of the implementing arrangement</w:t>
      </w:r>
      <w:r w:rsidR="003C3B4C">
        <w:rPr>
          <w:rFonts w:ascii="Times New Roman" w:hAnsi="Times New Roman" w:cs="Times New Roman"/>
          <w:color w:val="222222"/>
        </w:rPr>
        <w:t>s</w:t>
      </w:r>
      <w:r w:rsidRPr="00BC7BB5">
        <w:rPr>
          <w:rFonts w:ascii="Times New Roman" w:hAnsi="Times New Roman" w:cs="Times New Roman"/>
          <w:color w:val="222222"/>
        </w:rPr>
        <w:t xml:space="preserve"> of the Program once </w:t>
      </w:r>
      <w:r w:rsidR="00E0463E" w:rsidRPr="00BC7BB5">
        <w:rPr>
          <w:rFonts w:ascii="Times New Roman" w:hAnsi="Times New Roman" w:cs="Times New Roman"/>
          <w:color w:val="222222"/>
        </w:rPr>
        <w:t>it is created</w:t>
      </w:r>
      <w:r w:rsidRPr="00BC7BB5">
        <w:rPr>
          <w:rFonts w:ascii="Times New Roman" w:hAnsi="Times New Roman" w:cs="Times New Roman"/>
          <w:color w:val="222222"/>
        </w:rPr>
        <w:t xml:space="preserve">. </w:t>
      </w:r>
    </w:p>
    <w:p w14:paraId="7B18FC49" w14:textId="77777777" w:rsidR="00D7255B" w:rsidRPr="00BC7BB5" w:rsidRDefault="00D7255B" w:rsidP="00D7255B">
      <w:pPr>
        <w:spacing w:after="0" w:line="240" w:lineRule="auto"/>
        <w:jc w:val="both"/>
        <w:rPr>
          <w:rFonts w:ascii="Times New Roman" w:hAnsi="Times New Roman" w:cs="Times New Roman"/>
          <w:color w:val="000000" w:themeColor="text1"/>
        </w:rPr>
      </w:pPr>
    </w:p>
    <w:p w14:paraId="28326B22" w14:textId="7E99E1EA" w:rsidR="00D7255B" w:rsidRPr="00BC7BB5" w:rsidRDefault="00C65D7D" w:rsidP="00642E13">
      <w:pPr>
        <w:spacing w:after="0" w:line="240" w:lineRule="auto"/>
        <w:jc w:val="both"/>
        <w:rPr>
          <w:rFonts w:ascii="Times New Roman" w:hAnsi="Times New Roman" w:cs="Times New Roman"/>
          <w:b/>
          <w:i/>
          <w:color w:val="000000"/>
        </w:rPr>
      </w:pPr>
      <w:r w:rsidRPr="00BC7BB5">
        <w:rPr>
          <w:rFonts w:ascii="Times New Roman" w:hAnsi="Times New Roman" w:cs="Times New Roman"/>
          <w:b/>
          <w:i/>
          <w:color w:val="000000"/>
        </w:rPr>
        <w:t>Program strategic oversight</w:t>
      </w:r>
    </w:p>
    <w:p w14:paraId="638F9F1B" w14:textId="77777777" w:rsidR="00642E13" w:rsidRPr="00BC7BB5" w:rsidRDefault="00642E13" w:rsidP="00642E13">
      <w:pPr>
        <w:pStyle w:val="NoSpacing"/>
        <w:jc w:val="both"/>
        <w:rPr>
          <w:rFonts w:ascii="Times New Roman" w:hAnsi="Times New Roman" w:cs="Times New Roman"/>
          <w:b/>
          <w:color w:val="000000"/>
        </w:rPr>
      </w:pPr>
    </w:p>
    <w:p w14:paraId="3625ECFA" w14:textId="6E5E71FE" w:rsidR="00D7255B" w:rsidRPr="00BC7BB5" w:rsidRDefault="00D7255B" w:rsidP="00B35A06">
      <w:pPr>
        <w:pStyle w:val="NoSpacing"/>
        <w:numPr>
          <w:ilvl w:val="0"/>
          <w:numId w:val="7"/>
        </w:numPr>
        <w:ind w:left="0" w:firstLine="0"/>
        <w:jc w:val="both"/>
        <w:rPr>
          <w:rFonts w:ascii="Times New Roman" w:hAnsi="Times New Roman" w:cs="Times New Roman"/>
          <w:b/>
          <w:color w:val="000000"/>
        </w:rPr>
      </w:pPr>
      <w:r w:rsidRPr="00BC7BB5">
        <w:rPr>
          <w:rFonts w:ascii="Times New Roman" w:hAnsi="Times New Roman" w:cs="Times New Roman"/>
          <w:b/>
          <w:color w:val="000000" w:themeColor="text1"/>
        </w:rPr>
        <w:t>Steering Committee (</w:t>
      </w:r>
      <w:r w:rsidRPr="00BC7BB5">
        <w:rPr>
          <w:rFonts w:ascii="Times New Roman" w:hAnsi="Times New Roman" w:cs="Times New Roman"/>
          <w:b/>
          <w:i/>
          <w:color w:val="000000" w:themeColor="text1"/>
        </w:rPr>
        <w:t>Comité de Pilotage</w:t>
      </w:r>
      <w:r w:rsidR="0097372A" w:rsidRPr="00BC7BB5">
        <w:rPr>
          <w:rFonts w:ascii="Times New Roman" w:hAnsi="Times New Roman" w:cs="Times New Roman"/>
          <w:b/>
          <w:i/>
          <w:color w:val="000000" w:themeColor="text1"/>
        </w:rPr>
        <w:t>, COPIL</w:t>
      </w:r>
      <w:r w:rsidR="00346EAB">
        <w:rPr>
          <w:rFonts w:ascii="Times New Roman" w:hAnsi="Times New Roman" w:cs="Times New Roman"/>
          <w:b/>
          <w:i/>
          <w:color w:val="000000" w:themeColor="text1"/>
        </w:rPr>
        <w:fldChar w:fldCharType="begin"/>
      </w:r>
      <w:r w:rsidR="00346EAB">
        <w:instrText xml:space="preserve"> XE "</w:instrText>
      </w:r>
      <w:r w:rsidR="00346EAB" w:rsidRPr="00C856F9">
        <w:rPr>
          <w:rFonts w:ascii="Times New Roman" w:hAnsi="Times New Roman" w:cs="Times New Roman"/>
          <w:b/>
          <w:i/>
          <w:color w:val="000000" w:themeColor="text1"/>
        </w:rPr>
        <w:instrText>COPIL:</w:instrText>
      </w:r>
      <w:r w:rsidR="00346EAB" w:rsidRPr="00C856F9">
        <w:instrText>Comité de Pilotage</w:instrText>
      </w:r>
      <w:r w:rsidR="00346EAB">
        <w:instrText xml:space="preserve">" </w:instrText>
      </w:r>
      <w:r w:rsidR="00346EAB">
        <w:rPr>
          <w:rFonts w:ascii="Times New Roman" w:hAnsi="Times New Roman" w:cs="Times New Roman"/>
          <w:b/>
          <w:i/>
          <w:color w:val="000000" w:themeColor="text1"/>
        </w:rPr>
        <w:fldChar w:fldCharType="end"/>
      </w:r>
      <w:r w:rsidRPr="00BC7BB5">
        <w:rPr>
          <w:rFonts w:ascii="Times New Roman" w:hAnsi="Times New Roman" w:cs="Times New Roman"/>
          <w:b/>
          <w:color w:val="000000" w:themeColor="text1"/>
        </w:rPr>
        <w:t>).</w:t>
      </w:r>
      <w:r w:rsidRPr="00BC7BB5">
        <w:rPr>
          <w:rFonts w:ascii="Times New Roman" w:hAnsi="Times New Roman" w:cs="Times New Roman"/>
          <w:color w:val="000000" w:themeColor="text1"/>
        </w:rPr>
        <w:t xml:space="preserve"> Strategic decision-making responsibilities w</w:t>
      </w:r>
      <w:r w:rsidR="00B67994">
        <w:rPr>
          <w:rFonts w:ascii="Times New Roman" w:hAnsi="Times New Roman" w:cs="Times New Roman"/>
          <w:color w:val="000000" w:themeColor="text1"/>
        </w:rPr>
        <w:t>ill</w:t>
      </w:r>
      <w:r w:rsidRPr="00BC7BB5">
        <w:rPr>
          <w:rFonts w:ascii="Times New Roman" w:hAnsi="Times New Roman" w:cs="Times New Roman"/>
          <w:color w:val="000000" w:themeColor="text1"/>
        </w:rPr>
        <w:t xml:space="preserve"> rest with a Steering Committee c</w:t>
      </w:r>
      <w:r w:rsidR="00150D27" w:rsidRPr="00BC7BB5">
        <w:rPr>
          <w:rFonts w:ascii="Times New Roman" w:hAnsi="Times New Roman" w:cs="Times New Roman"/>
          <w:color w:val="000000" w:themeColor="text1"/>
        </w:rPr>
        <w:t>omprising representatives of</w:t>
      </w:r>
      <w:r w:rsidRPr="00BC7BB5">
        <w:rPr>
          <w:rFonts w:ascii="Times New Roman" w:hAnsi="Times New Roman" w:cs="Times New Roman"/>
          <w:color w:val="000000" w:themeColor="text1"/>
        </w:rPr>
        <w:t xml:space="preserve"> </w:t>
      </w:r>
      <w:r w:rsidR="00150D27" w:rsidRPr="00BC7BB5">
        <w:rPr>
          <w:rFonts w:ascii="Times New Roman" w:hAnsi="Times New Roman" w:cs="Times New Roman"/>
          <w:color w:val="000000" w:themeColor="text1"/>
        </w:rPr>
        <w:t>MAPMDREF (</w:t>
      </w:r>
      <w:r w:rsidRPr="00BC7BB5">
        <w:rPr>
          <w:rFonts w:ascii="Times New Roman" w:hAnsi="Times New Roman" w:cs="Times New Roman"/>
          <w:color w:val="000000" w:themeColor="text1"/>
        </w:rPr>
        <w:t>relevant directorates</w:t>
      </w:r>
      <w:r w:rsidR="00C24B4A">
        <w:rPr>
          <w:rFonts w:ascii="Times New Roman" w:hAnsi="Times New Roman" w:cs="Times New Roman"/>
          <w:color w:val="000000" w:themeColor="text1"/>
        </w:rPr>
        <w:t xml:space="preserve"> and autonomous agencies under the ministry</w:t>
      </w:r>
      <w:r w:rsidRPr="00BC7BB5">
        <w:rPr>
          <w:rFonts w:ascii="Times New Roman" w:hAnsi="Times New Roman" w:cs="Times New Roman"/>
          <w:color w:val="000000" w:themeColor="text1"/>
        </w:rPr>
        <w:t xml:space="preserve">), </w:t>
      </w:r>
      <w:r w:rsidR="00470786" w:rsidRPr="00BC7BB5">
        <w:rPr>
          <w:rFonts w:ascii="Times New Roman" w:hAnsi="Times New Roman" w:cs="Times New Roman"/>
          <w:color w:val="000000" w:themeColor="text1"/>
        </w:rPr>
        <w:t>MEF</w:t>
      </w:r>
      <w:r w:rsidRPr="00BC7BB5">
        <w:rPr>
          <w:rFonts w:ascii="Times New Roman" w:hAnsi="Times New Roman" w:cs="Times New Roman"/>
          <w:color w:val="000000" w:themeColor="text1"/>
        </w:rPr>
        <w:t xml:space="preserve">, </w:t>
      </w:r>
      <w:r w:rsidR="00860E8D" w:rsidRPr="00BC7BB5">
        <w:rPr>
          <w:rFonts w:ascii="Times New Roman" w:hAnsi="Times New Roman" w:cs="Times New Roman"/>
          <w:color w:val="000000" w:themeColor="text1"/>
        </w:rPr>
        <w:t>MIICEN</w:t>
      </w:r>
      <w:r w:rsidRPr="00BC7BB5">
        <w:rPr>
          <w:rFonts w:ascii="Times New Roman" w:hAnsi="Times New Roman" w:cs="Times New Roman"/>
          <w:color w:val="000000" w:themeColor="text1"/>
        </w:rPr>
        <w:t xml:space="preserve">, </w:t>
      </w:r>
      <w:r w:rsidR="001F7FC9" w:rsidRPr="00BC7BB5">
        <w:rPr>
          <w:rFonts w:ascii="Times New Roman" w:hAnsi="Times New Roman" w:cs="Times New Roman"/>
          <w:color w:val="000000" w:themeColor="text1"/>
        </w:rPr>
        <w:t>MI</w:t>
      </w:r>
      <w:r w:rsidR="0097372A" w:rsidRPr="00BC7BB5">
        <w:rPr>
          <w:rFonts w:ascii="Times New Roman" w:hAnsi="Times New Roman" w:cs="Times New Roman"/>
          <w:color w:val="000000" w:themeColor="text1"/>
        </w:rPr>
        <w:t xml:space="preserve">, </w:t>
      </w:r>
      <w:r w:rsidR="00C24B4A">
        <w:rPr>
          <w:rFonts w:ascii="Times New Roman" w:hAnsi="Times New Roman" w:cs="Times New Roman"/>
          <w:color w:val="000000" w:themeColor="text1"/>
        </w:rPr>
        <w:t xml:space="preserve">the State Secretariat </w:t>
      </w:r>
      <w:r w:rsidR="00CB7F87">
        <w:rPr>
          <w:rFonts w:ascii="Times New Roman" w:hAnsi="Times New Roman" w:cs="Times New Roman"/>
          <w:color w:val="000000" w:themeColor="text1"/>
        </w:rPr>
        <w:t xml:space="preserve">for Sustainable Development, </w:t>
      </w:r>
      <w:r w:rsidR="0097372A" w:rsidRPr="00BC7BB5">
        <w:rPr>
          <w:rFonts w:ascii="Times New Roman" w:hAnsi="Times New Roman" w:cs="Times New Roman"/>
          <w:color w:val="000000" w:themeColor="text1"/>
        </w:rPr>
        <w:t>the Wilaya</w:t>
      </w:r>
      <w:r w:rsidR="00C24B4A">
        <w:rPr>
          <w:rFonts w:ascii="Times New Roman" w:hAnsi="Times New Roman" w:cs="Times New Roman"/>
          <w:color w:val="000000" w:themeColor="text1"/>
        </w:rPr>
        <w:t>, Rabat Région Aménagement</w:t>
      </w:r>
      <w:r w:rsidR="003C3B4C">
        <w:rPr>
          <w:rFonts w:ascii="Times New Roman" w:hAnsi="Times New Roman" w:cs="Times New Roman"/>
          <w:color w:val="000000" w:themeColor="text1"/>
        </w:rPr>
        <w:t>,</w:t>
      </w:r>
      <w:r w:rsidRPr="00BC7BB5">
        <w:rPr>
          <w:rFonts w:ascii="Times New Roman" w:hAnsi="Times New Roman" w:cs="Times New Roman"/>
          <w:color w:val="000000" w:themeColor="text1"/>
        </w:rPr>
        <w:t xml:space="preserve"> and </w:t>
      </w:r>
      <w:r w:rsidR="0097372A" w:rsidRPr="00BC7BB5">
        <w:rPr>
          <w:rFonts w:ascii="Times New Roman" w:hAnsi="Times New Roman" w:cs="Times New Roman"/>
          <w:color w:val="000000" w:themeColor="text1"/>
        </w:rPr>
        <w:t>the i</w:t>
      </w:r>
      <w:r w:rsidR="00150D27" w:rsidRPr="00BC7BB5">
        <w:rPr>
          <w:rFonts w:ascii="Times New Roman" w:hAnsi="Times New Roman" w:cs="Times New Roman"/>
          <w:color w:val="000000" w:themeColor="text1"/>
        </w:rPr>
        <w:t>nterprofessions</w:t>
      </w:r>
      <w:r w:rsidRPr="00BC7BB5">
        <w:rPr>
          <w:rFonts w:ascii="Times New Roman" w:hAnsi="Times New Roman" w:cs="Times New Roman"/>
          <w:color w:val="000000" w:themeColor="text1"/>
        </w:rPr>
        <w:t xml:space="preserve">. </w:t>
      </w:r>
      <w:r w:rsidR="003C3B4C" w:rsidRPr="00BC7BB5">
        <w:rPr>
          <w:rFonts w:ascii="Times New Roman" w:hAnsi="Times New Roman" w:cs="Times New Roman"/>
          <w:color w:val="000000" w:themeColor="text1"/>
        </w:rPr>
        <w:t>Th</w:t>
      </w:r>
      <w:r w:rsidR="003C3B4C">
        <w:rPr>
          <w:rFonts w:ascii="Times New Roman" w:hAnsi="Times New Roman" w:cs="Times New Roman"/>
          <w:color w:val="000000" w:themeColor="text1"/>
        </w:rPr>
        <w:t>e</w:t>
      </w:r>
      <w:r w:rsidR="003C3B4C" w:rsidRPr="00BC7BB5">
        <w:rPr>
          <w:rFonts w:ascii="Times New Roman" w:hAnsi="Times New Roman" w:cs="Times New Roman"/>
          <w:color w:val="000000" w:themeColor="text1"/>
        </w:rPr>
        <w:t xml:space="preserve"> </w:t>
      </w:r>
      <w:r w:rsidRPr="00BC7BB5">
        <w:rPr>
          <w:rFonts w:ascii="Times New Roman" w:hAnsi="Times New Roman" w:cs="Times New Roman"/>
          <w:color w:val="000000" w:themeColor="text1"/>
        </w:rPr>
        <w:t xml:space="preserve">Steering Committee </w:t>
      </w:r>
      <w:r w:rsidR="007C2445">
        <w:rPr>
          <w:rFonts w:ascii="Times New Roman" w:hAnsi="Times New Roman" w:cs="Times New Roman"/>
          <w:color w:val="000000" w:themeColor="text1"/>
        </w:rPr>
        <w:t xml:space="preserve">has been established. It </w:t>
      </w:r>
      <w:r w:rsidRPr="00BC7BB5">
        <w:rPr>
          <w:rFonts w:ascii="Times New Roman" w:hAnsi="Times New Roman" w:cs="Times New Roman"/>
          <w:color w:val="000000" w:themeColor="text1"/>
        </w:rPr>
        <w:t>w</w:t>
      </w:r>
      <w:r w:rsidR="00B67994">
        <w:rPr>
          <w:rFonts w:ascii="Times New Roman" w:hAnsi="Times New Roman" w:cs="Times New Roman"/>
          <w:color w:val="000000" w:themeColor="text1"/>
        </w:rPr>
        <w:t>ill</w:t>
      </w:r>
      <w:r w:rsidRPr="00BC7BB5">
        <w:rPr>
          <w:rFonts w:ascii="Times New Roman" w:hAnsi="Times New Roman" w:cs="Times New Roman"/>
          <w:color w:val="000000" w:themeColor="text1"/>
        </w:rPr>
        <w:t xml:space="preserve"> be chaired</w:t>
      </w:r>
      <w:r w:rsidR="00A169E1" w:rsidRPr="00BC7BB5">
        <w:rPr>
          <w:rFonts w:ascii="Times New Roman" w:hAnsi="Times New Roman" w:cs="Times New Roman"/>
          <w:color w:val="000000" w:themeColor="text1"/>
        </w:rPr>
        <w:t xml:space="preserve"> by the Secretary General of</w:t>
      </w:r>
      <w:r w:rsidRPr="00BC7BB5">
        <w:rPr>
          <w:rFonts w:ascii="Times New Roman" w:hAnsi="Times New Roman" w:cs="Times New Roman"/>
          <w:color w:val="000000" w:themeColor="text1"/>
        </w:rPr>
        <w:t xml:space="preserve"> MAPMDREF (or his/her representative) and </w:t>
      </w:r>
      <w:r w:rsidR="00A169E1" w:rsidRPr="00BC7BB5">
        <w:rPr>
          <w:rFonts w:ascii="Times New Roman" w:hAnsi="Times New Roman" w:cs="Times New Roman"/>
          <w:color w:val="000000" w:themeColor="text1"/>
        </w:rPr>
        <w:t xml:space="preserve">it </w:t>
      </w:r>
      <w:r w:rsidRPr="00BC7BB5">
        <w:rPr>
          <w:rFonts w:ascii="Times New Roman" w:hAnsi="Times New Roman" w:cs="Times New Roman"/>
          <w:color w:val="000000" w:themeColor="text1"/>
        </w:rPr>
        <w:t>w</w:t>
      </w:r>
      <w:r w:rsidR="00B67994">
        <w:rPr>
          <w:rFonts w:ascii="Times New Roman" w:hAnsi="Times New Roman" w:cs="Times New Roman"/>
          <w:color w:val="000000" w:themeColor="text1"/>
        </w:rPr>
        <w:t>ill</w:t>
      </w:r>
      <w:r w:rsidRPr="00BC7BB5">
        <w:rPr>
          <w:rFonts w:ascii="Times New Roman" w:hAnsi="Times New Roman" w:cs="Times New Roman"/>
          <w:color w:val="000000" w:themeColor="text1"/>
        </w:rPr>
        <w:t xml:space="preserve"> meet every six months to review progress and make decisions required for effective Program implementation.</w:t>
      </w:r>
    </w:p>
    <w:p w14:paraId="6801005E" w14:textId="77777777" w:rsidR="00D7255B" w:rsidRPr="00BC7BB5" w:rsidRDefault="00D7255B" w:rsidP="00D7255B">
      <w:pPr>
        <w:spacing w:after="0" w:line="240" w:lineRule="auto"/>
        <w:jc w:val="both"/>
        <w:rPr>
          <w:rFonts w:ascii="Times New Roman" w:hAnsi="Times New Roman" w:cs="Times New Roman"/>
          <w:b/>
          <w:color w:val="000000" w:themeColor="text1"/>
        </w:rPr>
      </w:pPr>
    </w:p>
    <w:p w14:paraId="09781648" w14:textId="5C03D9BA" w:rsidR="00D7255B" w:rsidRPr="00BC7BB5" w:rsidRDefault="009175A4" w:rsidP="00642E13">
      <w:pPr>
        <w:spacing w:after="0" w:line="240" w:lineRule="auto"/>
        <w:jc w:val="both"/>
        <w:rPr>
          <w:rFonts w:ascii="Times New Roman" w:hAnsi="Times New Roman" w:cs="Times New Roman"/>
          <w:b/>
          <w:i/>
          <w:color w:val="000000" w:themeColor="text1"/>
        </w:rPr>
      </w:pPr>
      <w:r w:rsidRPr="00BC7BB5">
        <w:rPr>
          <w:rFonts w:ascii="Times New Roman" w:hAnsi="Times New Roman" w:cs="Times New Roman"/>
          <w:b/>
          <w:i/>
          <w:color w:val="000000" w:themeColor="text1"/>
        </w:rPr>
        <w:t>C</w:t>
      </w:r>
      <w:r w:rsidR="00D7255B" w:rsidRPr="00BC7BB5">
        <w:rPr>
          <w:rFonts w:ascii="Times New Roman" w:hAnsi="Times New Roman" w:cs="Times New Roman"/>
          <w:b/>
          <w:i/>
          <w:color w:val="000000" w:themeColor="text1"/>
        </w:rPr>
        <w:t>oordination of Program implementation</w:t>
      </w:r>
    </w:p>
    <w:p w14:paraId="5EFB6C7F" w14:textId="77777777" w:rsidR="00D7255B" w:rsidRPr="00BC7BB5" w:rsidRDefault="00D7255B" w:rsidP="00D7255B">
      <w:pPr>
        <w:spacing w:after="0" w:line="240" w:lineRule="auto"/>
        <w:jc w:val="both"/>
        <w:rPr>
          <w:rFonts w:ascii="Times New Roman" w:hAnsi="Times New Roman" w:cs="Times New Roman"/>
          <w:b/>
          <w:color w:val="000000"/>
        </w:rPr>
      </w:pPr>
    </w:p>
    <w:p w14:paraId="6E7E21A5" w14:textId="39FB73C3" w:rsidR="00D7255B" w:rsidRPr="00BC7BB5" w:rsidRDefault="00D7255B" w:rsidP="00B35A06">
      <w:pPr>
        <w:pStyle w:val="NoSpacing"/>
        <w:numPr>
          <w:ilvl w:val="0"/>
          <w:numId w:val="7"/>
        </w:numPr>
        <w:ind w:left="0" w:firstLine="0"/>
        <w:jc w:val="both"/>
        <w:rPr>
          <w:rFonts w:ascii="Times New Roman" w:hAnsi="Times New Roman" w:cs="Times New Roman"/>
          <w:color w:val="000000" w:themeColor="text1"/>
        </w:rPr>
      </w:pPr>
      <w:r w:rsidRPr="00BC7BB5">
        <w:rPr>
          <w:rFonts w:ascii="Times New Roman" w:hAnsi="Times New Roman" w:cs="Times New Roman"/>
          <w:b/>
          <w:color w:val="000000" w:themeColor="text1"/>
        </w:rPr>
        <w:t xml:space="preserve">Overall coordination of Program implementation. </w:t>
      </w:r>
      <w:r w:rsidR="009851A3" w:rsidRPr="00BC7BB5">
        <w:rPr>
          <w:rFonts w:ascii="Times New Roman" w:hAnsi="Times New Roman" w:cs="Times New Roman"/>
          <w:color w:val="000000" w:themeColor="text1"/>
        </w:rPr>
        <w:t>MAPMDREF</w:t>
      </w:r>
      <w:r w:rsidR="00DD7544">
        <w:rPr>
          <w:rFonts w:ascii="Times New Roman" w:hAnsi="Times New Roman" w:cs="Times New Roman"/>
          <w:color w:val="000000" w:themeColor="text1"/>
        </w:rPr>
        <w:t xml:space="preserve"> will</w:t>
      </w:r>
      <w:r w:rsidRPr="00BC7BB5">
        <w:rPr>
          <w:rFonts w:ascii="Times New Roman" w:hAnsi="Times New Roman" w:cs="Times New Roman"/>
          <w:color w:val="000000" w:themeColor="text1"/>
        </w:rPr>
        <w:t xml:space="preserve"> be responsible for the coordination of </w:t>
      </w:r>
      <w:r w:rsidR="003C3B4C">
        <w:rPr>
          <w:rFonts w:ascii="Times New Roman" w:hAnsi="Times New Roman" w:cs="Times New Roman"/>
          <w:color w:val="000000" w:themeColor="text1"/>
        </w:rPr>
        <w:t xml:space="preserve">the </w:t>
      </w:r>
      <w:r w:rsidRPr="00BC7BB5">
        <w:rPr>
          <w:rFonts w:ascii="Times New Roman" w:hAnsi="Times New Roman" w:cs="Times New Roman"/>
          <w:color w:val="000000" w:themeColor="text1"/>
        </w:rPr>
        <w:t xml:space="preserve">overall Program implementation, through </w:t>
      </w:r>
      <w:r w:rsidR="009851A3" w:rsidRPr="00BC7BB5">
        <w:rPr>
          <w:rFonts w:ascii="Times New Roman" w:hAnsi="Times New Roman" w:cs="Times New Roman"/>
          <w:color w:val="000000" w:themeColor="text1"/>
        </w:rPr>
        <w:t>its</w:t>
      </w:r>
      <w:r w:rsidRPr="00BC7BB5">
        <w:rPr>
          <w:rFonts w:ascii="Times New Roman" w:hAnsi="Times New Roman" w:cs="Times New Roman"/>
          <w:color w:val="000000" w:themeColor="text1"/>
        </w:rPr>
        <w:t xml:space="preserve"> DDFP, and more specifically its Agribusiness Division. </w:t>
      </w:r>
      <w:r w:rsidRPr="00BC7BB5">
        <w:rPr>
          <w:rFonts w:ascii="Times New Roman" w:hAnsi="Times New Roman" w:cs="Times New Roman"/>
          <w:color w:val="222222"/>
        </w:rPr>
        <w:t>DDFP is organized into five divisions and is responsible for</w:t>
      </w:r>
      <w:r w:rsidR="003C3B4C">
        <w:rPr>
          <w:rFonts w:ascii="Times New Roman" w:hAnsi="Times New Roman" w:cs="Times New Roman"/>
          <w:color w:val="222222"/>
        </w:rPr>
        <w:t>:</w:t>
      </w:r>
      <w:r w:rsidRPr="00BC7BB5">
        <w:rPr>
          <w:rFonts w:ascii="Times New Roman" w:hAnsi="Times New Roman" w:cs="Times New Roman"/>
          <w:color w:val="222222"/>
        </w:rPr>
        <w:t xml:space="preserve"> (i) </w:t>
      </w:r>
      <w:r w:rsidRPr="00BC7BB5">
        <w:rPr>
          <w:rFonts w:ascii="Times New Roman" w:eastAsia="Times New Roman" w:hAnsi="Times New Roman" w:cs="Times New Roman"/>
          <w:color w:val="222222"/>
        </w:rPr>
        <w:t>the approval and coordination of t</w:t>
      </w:r>
      <w:r w:rsidR="00E200E1" w:rsidRPr="00BC7BB5">
        <w:rPr>
          <w:rFonts w:ascii="Times New Roman" w:eastAsia="Times New Roman" w:hAnsi="Times New Roman" w:cs="Times New Roman"/>
          <w:color w:val="222222"/>
        </w:rPr>
        <w:t>he regional development plans for</w:t>
      </w:r>
      <w:r w:rsidRPr="00BC7BB5">
        <w:rPr>
          <w:rFonts w:ascii="Times New Roman" w:eastAsia="Times New Roman" w:hAnsi="Times New Roman" w:cs="Times New Roman"/>
          <w:color w:val="222222"/>
        </w:rPr>
        <w:t xml:space="preserve"> ag</w:t>
      </w:r>
      <w:r w:rsidR="00E200E1" w:rsidRPr="00BC7BB5">
        <w:rPr>
          <w:rFonts w:ascii="Times New Roman" w:eastAsia="Times New Roman" w:hAnsi="Times New Roman" w:cs="Times New Roman"/>
          <w:color w:val="222222"/>
        </w:rPr>
        <w:t>riculture</w:t>
      </w:r>
      <w:r w:rsidRPr="00BC7BB5">
        <w:rPr>
          <w:rFonts w:ascii="Times New Roman" w:eastAsia="Times New Roman" w:hAnsi="Times New Roman" w:cs="Times New Roman"/>
          <w:color w:val="222222"/>
        </w:rPr>
        <w:t xml:space="preserve"> and agribusiness, (ii) monitoring the supply of agricultural inputs, (iii) monitoring and regulation of markets for agricultural products, (iv) support to private actors and professional agricultural organizations in the framework of </w:t>
      </w:r>
      <w:r w:rsidR="00E200E1" w:rsidRPr="00BC7BB5">
        <w:rPr>
          <w:rFonts w:ascii="Times New Roman" w:eastAsia="Times New Roman" w:hAnsi="Times New Roman" w:cs="Times New Roman"/>
          <w:color w:val="222222"/>
        </w:rPr>
        <w:t>CP</w:t>
      </w:r>
      <w:r w:rsidR="00730643" w:rsidRPr="00BC7BB5">
        <w:rPr>
          <w:rFonts w:ascii="Times New Roman" w:eastAsia="Times New Roman" w:hAnsi="Times New Roman" w:cs="Times New Roman"/>
          <w:color w:val="222222"/>
        </w:rPr>
        <w:fldChar w:fldCharType="begin"/>
      </w:r>
      <w:r w:rsidR="00730643" w:rsidRPr="00BC7BB5">
        <w:instrText xml:space="preserve"> XE "</w:instrText>
      </w:r>
      <w:r w:rsidR="00730643" w:rsidRPr="00BC7BB5">
        <w:rPr>
          <w:rFonts w:ascii="Times New Roman" w:eastAsia="Times New Roman" w:hAnsi="Times New Roman" w:cs="Times New Roman"/>
          <w:color w:val="222222"/>
        </w:rPr>
        <w:instrText>CP</w:instrText>
      </w:r>
      <w:r w:rsidR="00730643" w:rsidRPr="00BC7BB5">
        <w:instrText xml:space="preserve">" </w:instrText>
      </w:r>
      <w:r w:rsidR="00730643" w:rsidRPr="00BC7BB5">
        <w:rPr>
          <w:rFonts w:ascii="Times New Roman" w:eastAsia="Times New Roman" w:hAnsi="Times New Roman" w:cs="Times New Roman"/>
          <w:color w:val="222222"/>
        </w:rPr>
        <w:fldChar w:fldCharType="end"/>
      </w:r>
      <w:r w:rsidR="00E200E1" w:rsidRPr="00BC7BB5">
        <w:rPr>
          <w:rFonts w:ascii="Times New Roman" w:eastAsia="Times New Roman" w:hAnsi="Times New Roman" w:cs="Times New Roman"/>
          <w:color w:val="222222"/>
        </w:rPr>
        <w:t>s</w:t>
      </w:r>
      <w:r w:rsidR="007402DD" w:rsidRPr="00BC7BB5">
        <w:rPr>
          <w:rFonts w:ascii="Times New Roman" w:eastAsia="Times New Roman" w:hAnsi="Times New Roman" w:cs="Times New Roman"/>
          <w:color w:val="222222"/>
        </w:rPr>
        <w:t>, and</w:t>
      </w:r>
      <w:r w:rsidRPr="00BC7BB5">
        <w:rPr>
          <w:rFonts w:ascii="Times New Roman" w:eastAsia="Times New Roman" w:hAnsi="Times New Roman" w:cs="Times New Roman"/>
          <w:color w:val="222222"/>
        </w:rPr>
        <w:t xml:space="preserve"> (v) the devel</w:t>
      </w:r>
      <w:r w:rsidR="00E200E1" w:rsidRPr="00BC7BB5">
        <w:rPr>
          <w:rFonts w:ascii="Times New Roman" w:eastAsia="Times New Roman" w:hAnsi="Times New Roman" w:cs="Times New Roman"/>
          <w:color w:val="222222"/>
        </w:rPr>
        <w:t>opment and promotion of</w:t>
      </w:r>
      <w:r w:rsidRPr="00BC7BB5">
        <w:rPr>
          <w:rFonts w:ascii="Times New Roman" w:eastAsia="Times New Roman" w:hAnsi="Times New Roman" w:cs="Times New Roman"/>
          <w:color w:val="222222"/>
        </w:rPr>
        <w:t xml:space="preserve"> q</w:t>
      </w:r>
      <w:r w:rsidR="00E200E1" w:rsidRPr="00BC7BB5">
        <w:rPr>
          <w:rFonts w:ascii="Times New Roman" w:eastAsia="Times New Roman" w:hAnsi="Times New Roman" w:cs="Times New Roman"/>
          <w:color w:val="222222"/>
        </w:rPr>
        <w:t>uality labels</w:t>
      </w:r>
      <w:r w:rsidRPr="00BC7BB5">
        <w:rPr>
          <w:rFonts w:ascii="Times New Roman" w:eastAsia="Times New Roman" w:hAnsi="Times New Roman" w:cs="Times New Roman"/>
          <w:color w:val="222222"/>
        </w:rPr>
        <w:t>.</w:t>
      </w:r>
    </w:p>
    <w:p w14:paraId="77DDAB27" w14:textId="77777777" w:rsidR="00D7255B" w:rsidRPr="00BC7BB5" w:rsidRDefault="00D7255B" w:rsidP="00D7255B">
      <w:pPr>
        <w:spacing w:after="0" w:line="240" w:lineRule="auto"/>
        <w:jc w:val="both"/>
        <w:rPr>
          <w:rFonts w:ascii="Times New Roman" w:hAnsi="Times New Roman" w:cs="Times New Roman"/>
          <w:color w:val="000000" w:themeColor="text1"/>
        </w:rPr>
      </w:pPr>
      <w:r w:rsidRPr="00BC7BB5">
        <w:rPr>
          <w:rFonts w:ascii="Times New Roman" w:eastAsia="Times New Roman" w:hAnsi="Times New Roman" w:cs="Times New Roman"/>
          <w:color w:val="222222"/>
        </w:rPr>
        <w:t xml:space="preserve"> </w:t>
      </w:r>
    </w:p>
    <w:p w14:paraId="0DFBECE2" w14:textId="489F0153" w:rsidR="00D7255B" w:rsidRPr="00BC7BB5" w:rsidRDefault="006B0550" w:rsidP="00B35A06">
      <w:pPr>
        <w:pStyle w:val="NoSpacing"/>
        <w:numPr>
          <w:ilvl w:val="0"/>
          <w:numId w:val="7"/>
        </w:numPr>
        <w:ind w:left="0" w:firstLine="0"/>
        <w:jc w:val="both"/>
        <w:rPr>
          <w:rFonts w:ascii="Times New Roman" w:hAnsi="Times New Roman" w:cs="Times New Roman"/>
          <w:color w:val="000000" w:themeColor="text1"/>
        </w:rPr>
      </w:pPr>
      <w:r w:rsidRPr="00BC7BB5">
        <w:rPr>
          <w:rFonts w:ascii="Times New Roman" w:hAnsi="Times New Roman" w:cs="Times New Roman"/>
          <w:b/>
          <w:color w:val="000000" w:themeColor="text1"/>
        </w:rPr>
        <w:t xml:space="preserve">MAPMDREF </w:t>
      </w:r>
      <w:r w:rsidR="007C2445">
        <w:rPr>
          <w:rFonts w:ascii="Times New Roman" w:hAnsi="Times New Roman" w:cs="Times New Roman"/>
          <w:b/>
          <w:color w:val="000000" w:themeColor="text1"/>
        </w:rPr>
        <w:t>has</w:t>
      </w:r>
      <w:r w:rsidR="001F7A2F" w:rsidRPr="00BC7BB5">
        <w:rPr>
          <w:rFonts w:ascii="Times New Roman" w:hAnsi="Times New Roman" w:cs="Times New Roman"/>
          <w:b/>
          <w:color w:val="000000" w:themeColor="text1"/>
        </w:rPr>
        <w:t xml:space="preserve"> </w:t>
      </w:r>
      <w:r w:rsidR="00DD7544">
        <w:rPr>
          <w:rFonts w:ascii="Times New Roman" w:hAnsi="Times New Roman" w:cs="Times New Roman"/>
          <w:b/>
          <w:color w:val="000000" w:themeColor="text1"/>
        </w:rPr>
        <w:t>establish</w:t>
      </w:r>
      <w:r w:rsidR="007C2445">
        <w:rPr>
          <w:rFonts w:ascii="Times New Roman" w:hAnsi="Times New Roman" w:cs="Times New Roman"/>
          <w:b/>
          <w:color w:val="000000" w:themeColor="text1"/>
        </w:rPr>
        <w:t>ed</w:t>
      </w:r>
      <w:r w:rsidR="001F7A2F">
        <w:rPr>
          <w:rFonts w:ascii="Times New Roman" w:hAnsi="Times New Roman" w:cs="Times New Roman"/>
          <w:b/>
          <w:color w:val="000000" w:themeColor="text1"/>
        </w:rPr>
        <w:t xml:space="preserve"> </w:t>
      </w:r>
      <w:r w:rsidRPr="00BC7BB5">
        <w:rPr>
          <w:rFonts w:ascii="Times New Roman" w:hAnsi="Times New Roman" w:cs="Times New Roman"/>
          <w:b/>
          <w:color w:val="000000" w:themeColor="text1"/>
        </w:rPr>
        <w:t xml:space="preserve">a dedicated </w:t>
      </w:r>
      <w:r w:rsidR="00D7255B" w:rsidRPr="00BC7BB5">
        <w:rPr>
          <w:rFonts w:ascii="Times New Roman" w:hAnsi="Times New Roman" w:cs="Times New Roman"/>
          <w:b/>
          <w:color w:val="000000" w:themeColor="text1"/>
        </w:rPr>
        <w:t xml:space="preserve">Program </w:t>
      </w:r>
      <w:r w:rsidRPr="00BC7BB5">
        <w:rPr>
          <w:rFonts w:ascii="Times New Roman" w:hAnsi="Times New Roman" w:cs="Times New Roman"/>
          <w:b/>
          <w:color w:val="000000" w:themeColor="text1"/>
        </w:rPr>
        <w:t>M</w:t>
      </w:r>
      <w:r w:rsidR="00D7255B" w:rsidRPr="00BC7BB5">
        <w:rPr>
          <w:rFonts w:ascii="Times New Roman" w:hAnsi="Times New Roman" w:cs="Times New Roman"/>
          <w:b/>
          <w:color w:val="000000" w:themeColor="text1"/>
        </w:rPr>
        <w:t xml:space="preserve">anagement </w:t>
      </w:r>
      <w:r w:rsidR="001F7A2F">
        <w:rPr>
          <w:rFonts w:ascii="Times New Roman" w:hAnsi="Times New Roman" w:cs="Times New Roman"/>
          <w:b/>
          <w:color w:val="000000" w:themeColor="text1"/>
        </w:rPr>
        <w:t>U</w:t>
      </w:r>
      <w:r w:rsidR="00D7255B" w:rsidRPr="00BC7BB5">
        <w:rPr>
          <w:rFonts w:ascii="Times New Roman" w:hAnsi="Times New Roman" w:cs="Times New Roman"/>
          <w:b/>
          <w:color w:val="000000" w:themeColor="text1"/>
        </w:rPr>
        <w:t>nit (PMU</w:t>
      </w:r>
      <w:r w:rsidR="009E5140">
        <w:rPr>
          <w:rFonts w:ascii="Times New Roman" w:hAnsi="Times New Roman" w:cs="Times New Roman"/>
          <w:b/>
          <w:color w:val="000000" w:themeColor="text1"/>
        </w:rPr>
        <w:fldChar w:fldCharType="begin"/>
      </w:r>
      <w:r w:rsidR="009E5140">
        <w:instrText xml:space="preserve"> XE "</w:instrText>
      </w:r>
      <w:r w:rsidR="009E5140" w:rsidRPr="00BE23E2">
        <w:rPr>
          <w:rFonts w:ascii="Times New Roman" w:hAnsi="Times New Roman" w:cs="Times New Roman"/>
          <w:b/>
          <w:color w:val="000000" w:themeColor="text1"/>
        </w:rPr>
        <w:instrText>PMU:</w:instrText>
      </w:r>
      <w:r w:rsidR="009E5140" w:rsidRPr="00BE23E2">
        <w:instrText>Program Management unit</w:instrText>
      </w:r>
      <w:r w:rsidR="009E5140">
        <w:instrText xml:space="preserve">" </w:instrText>
      </w:r>
      <w:r w:rsidR="009E5140">
        <w:rPr>
          <w:rFonts w:ascii="Times New Roman" w:hAnsi="Times New Roman" w:cs="Times New Roman"/>
          <w:b/>
          <w:color w:val="000000" w:themeColor="text1"/>
        </w:rPr>
        <w:fldChar w:fldCharType="end"/>
      </w:r>
      <w:r w:rsidR="00D7255B" w:rsidRPr="00BC7BB5">
        <w:rPr>
          <w:rFonts w:ascii="Times New Roman" w:hAnsi="Times New Roman" w:cs="Times New Roman"/>
          <w:b/>
          <w:color w:val="000000" w:themeColor="text1"/>
        </w:rPr>
        <w:t>)</w:t>
      </w:r>
      <w:r w:rsidRPr="00BC7BB5">
        <w:rPr>
          <w:rFonts w:ascii="Times New Roman" w:hAnsi="Times New Roman" w:cs="Times New Roman"/>
          <w:b/>
          <w:color w:val="000000" w:themeColor="text1"/>
        </w:rPr>
        <w:t xml:space="preserve"> under its DDFP</w:t>
      </w:r>
      <w:r w:rsidR="00E8136B" w:rsidRPr="00BC7BB5">
        <w:rPr>
          <w:rFonts w:ascii="Times New Roman" w:hAnsi="Times New Roman" w:cs="Times New Roman"/>
          <w:color w:val="000000" w:themeColor="text1"/>
        </w:rPr>
        <w:t xml:space="preserve">. </w:t>
      </w:r>
      <w:r w:rsidR="00C05D57" w:rsidRPr="00BC7BB5">
        <w:rPr>
          <w:rFonts w:ascii="Times New Roman" w:hAnsi="Times New Roman" w:cs="Times New Roman"/>
        </w:rPr>
        <w:t>MAPMDREF has experience with large donor-funded programs</w:t>
      </w:r>
      <w:r w:rsidR="00860E8D" w:rsidRPr="00BC7BB5">
        <w:rPr>
          <w:rFonts w:ascii="Times New Roman" w:hAnsi="Times New Roman" w:cs="Times New Roman"/>
        </w:rPr>
        <w:t>. Considering the need for close coordination of the various entities involved in Program implementation</w:t>
      </w:r>
      <w:r w:rsidR="00C05D57" w:rsidRPr="00BC7BB5">
        <w:rPr>
          <w:rFonts w:ascii="Times New Roman" w:hAnsi="Times New Roman" w:cs="Times New Roman"/>
        </w:rPr>
        <w:t xml:space="preserve">, the Ministry </w:t>
      </w:r>
      <w:r w:rsidR="00247481">
        <w:rPr>
          <w:rFonts w:ascii="Times New Roman" w:hAnsi="Times New Roman" w:cs="Times New Roman"/>
        </w:rPr>
        <w:t>has</w:t>
      </w:r>
      <w:r w:rsidR="00860E8D" w:rsidRPr="00BC7BB5">
        <w:rPr>
          <w:rFonts w:ascii="Times New Roman" w:hAnsi="Times New Roman" w:cs="Times New Roman"/>
        </w:rPr>
        <w:t xml:space="preserve"> establish</w:t>
      </w:r>
      <w:r w:rsidR="00247481">
        <w:rPr>
          <w:rFonts w:ascii="Times New Roman" w:hAnsi="Times New Roman" w:cs="Times New Roman"/>
        </w:rPr>
        <w:t>ed</w:t>
      </w:r>
      <w:r w:rsidR="00C05D57" w:rsidRPr="00BC7BB5">
        <w:rPr>
          <w:rFonts w:ascii="Times New Roman" w:hAnsi="Times New Roman" w:cs="Times New Roman"/>
        </w:rPr>
        <w:t xml:space="preserve"> a dedicated PMU</w:t>
      </w:r>
      <w:r w:rsidR="00934252" w:rsidRPr="00BC7BB5">
        <w:rPr>
          <w:rFonts w:ascii="Times New Roman" w:hAnsi="Times New Roman" w:cs="Times New Roman"/>
        </w:rPr>
        <w:t xml:space="preserve"> </w:t>
      </w:r>
      <w:r w:rsidR="00D7255B" w:rsidRPr="00BC7BB5">
        <w:rPr>
          <w:rFonts w:ascii="Times New Roman" w:hAnsi="Times New Roman" w:cs="Times New Roman"/>
          <w:color w:val="000000" w:themeColor="text1"/>
        </w:rPr>
        <w:t xml:space="preserve">within </w:t>
      </w:r>
      <w:r w:rsidR="00D016E3">
        <w:rPr>
          <w:rFonts w:ascii="Times New Roman" w:hAnsi="Times New Roman" w:cs="Times New Roman"/>
          <w:color w:val="000000" w:themeColor="text1"/>
        </w:rPr>
        <w:t xml:space="preserve">the </w:t>
      </w:r>
      <w:r w:rsidR="00D7255B" w:rsidRPr="00BC7BB5">
        <w:rPr>
          <w:rFonts w:ascii="Times New Roman" w:hAnsi="Times New Roman" w:cs="Times New Roman"/>
          <w:color w:val="000000" w:themeColor="text1"/>
        </w:rPr>
        <w:t>DDFP</w:t>
      </w:r>
      <w:r w:rsidR="00934252" w:rsidRPr="00BC7BB5">
        <w:rPr>
          <w:rFonts w:ascii="Times New Roman" w:hAnsi="Times New Roman" w:cs="Times New Roman"/>
          <w:color w:val="000000" w:themeColor="text1"/>
        </w:rPr>
        <w:t>. The PMU w</w:t>
      </w:r>
      <w:r w:rsidR="00B67994">
        <w:rPr>
          <w:rFonts w:ascii="Times New Roman" w:hAnsi="Times New Roman" w:cs="Times New Roman"/>
          <w:color w:val="000000" w:themeColor="text1"/>
        </w:rPr>
        <w:t>ill</w:t>
      </w:r>
      <w:r w:rsidR="00934252" w:rsidRPr="00BC7BB5">
        <w:rPr>
          <w:rFonts w:ascii="Times New Roman" w:hAnsi="Times New Roman" w:cs="Times New Roman"/>
          <w:color w:val="000000" w:themeColor="text1"/>
        </w:rPr>
        <w:t xml:space="preserve"> be</w:t>
      </w:r>
      <w:r w:rsidR="00860E8D" w:rsidRPr="00BC7BB5">
        <w:rPr>
          <w:rFonts w:ascii="Times New Roman" w:hAnsi="Times New Roman" w:cs="Times New Roman"/>
          <w:color w:val="000000" w:themeColor="text1"/>
        </w:rPr>
        <w:t xml:space="preserve"> responsible for</w:t>
      </w:r>
      <w:r w:rsidR="00D7255B" w:rsidRPr="00BC7BB5">
        <w:rPr>
          <w:rFonts w:ascii="Times New Roman" w:hAnsi="Times New Roman" w:cs="Times New Roman"/>
          <w:color w:val="000000" w:themeColor="text1"/>
        </w:rPr>
        <w:t xml:space="preserve"> day-to-day program coordination, management, and monitoring and evaluation. It w</w:t>
      </w:r>
      <w:r w:rsidR="00B67994">
        <w:rPr>
          <w:rFonts w:ascii="Times New Roman" w:hAnsi="Times New Roman" w:cs="Times New Roman"/>
          <w:color w:val="000000" w:themeColor="text1"/>
        </w:rPr>
        <w:t>ill</w:t>
      </w:r>
      <w:r w:rsidR="00D7255B" w:rsidRPr="00BC7BB5">
        <w:rPr>
          <w:rFonts w:ascii="Times New Roman" w:hAnsi="Times New Roman" w:cs="Times New Roman"/>
          <w:color w:val="000000" w:themeColor="text1"/>
        </w:rPr>
        <w:t xml:space="preserve"> include technical, social and environmental, and monitoring and evaluation specialists. Its roles w</w:t>
      </w:r>
      <w:r w:rsidR="00B67994">
        <w:rPr>
          <w:rFonts w:ascii="Times New Roman" w:hAnsi="Times New Roman" w:cs="Times New Roman"/>
          <w:color w:val="000000" w:themeColor="text1"/>
        </w:rPr>
        <w:t>ill</w:t>
      </w:r>
      <w:r w:rsidR="00D7255B" w:rsidRPr="00BC7BB5">
        <w:rPr>
          <w:rFonts w:ascii="Times New Roman" w:hAnsi="Times New Roman" w:cs="Times New Roman"/>
          <w:color w:val="000000" w:themeColor="text1"/>
        </w:rPr>
        <w:t xml:space="preserve"> include: (i) Program monitoring and evaluation, (ii) </w:t>
      </w:r>
      <w:r w:rsidR="003C3B4C">
        <w:rPr>
          <w:rFonts w:ascii="Times New Roman" w:hAnsi="Times New Roman" w:cs="Times New Roman"/>
          <w:color w:val="000000" w:themeColor="text1"/>
        </w:rPr>
        <w:t>c</w:t>
      </w:r>
      <w:r w:rsidR="00D7255B" w:rsidRPr="00BC7BB5">
        <w:rPr>
          <w:rFonts w:ascii="Times New Roman" w:hAnsi="Times New Roman" w:cs="Times New Roman"/>
          <w:color w:val="000000" w:themeColor="text1"/>
        </w:rPr>
        <w:t xml:space="preserve">oordination of the Program’s stakeholders at the operational level, within the extended </w:t>
      </w:r>
      <w:r w:rsidR="00DD5CA6" w:rsidRPr="00BC7BB5">
        <w:rPr>
          <w:rFonts w:ascii="Times New Roman" w:hAnsi="Times New Roman" w:cs="Times New Roman"/>
          <w:color w:val="000000" w:themeColor="text1"/>
        </w:rPr>
        <w:t>PMU</w:t>
      </w:r>
      <w:r w:rsidR="00D7255B" w:rsidRPr="00BC7BB5">
        <w:rPr>
          <w:rFonts w:ascii="Times New Roman" w:hAnsi="Times New Roman" w:cs="Times New Roman"/>
          <w:color w:val="000000" w:themeColor="text1"/>
        </w:rPr>
        <w:t xml:space="preserve">, and (iii) </w:t>
      </w:r>
      <w:r w:rsidR="003C3B4C">
        <w:rPr>
          <w:rFonts w:ascii="Times New Roman" w:hAnsi="Times New Roman" w:cs="Times New Roman"/>
          <w:color w:val="000000" w:themeColor="text1"/>
        </w:rPr>
        <w:t>s</w:t>
      </w:r>
      <w:r w:rsidR="00D7255B" w:rsidRPr="00BC7BB5">
        <w:rPr>
          <w:rFonts w:ascii="Times New Roman" w:hAnsi="Times New Roman" w:cs="Times New Roman"/>
          <w:color w:val="000000" w:themeColor="text1"/>
        </w:rPr>
        <w:t xml:space="preserve">ecretariat of the Steering Committee.  The extended </w:t>
      </w:r>
      <w:r w:rsidR="00DD5CA6" w:rsidRPr="00BC7BB5">
        <w:rPr>
          <w:rFonts w:ascii="Times New Roman" w:hAnsi="Times New Roman" w:cs="Times New Roman"/>
          <w:color w:val="000000" w:themeColor="text1"/>
        </w:rPr>
        <w:t>PMU</w:t>
      </w:r>
      <w:r w:rsidR="00D7255B" w:rsidRPr="00BC7BB5">
        <w:rPr>
          <w:rFonts w:ascii="Times New Roman" w:hAnsi="Times New Roman" w:cs="Times New Roman"/>
          <w:color w:val="000000" w:themeColor="text1"/>
        </w:rPr>
        <w:t xml:space="preserve"> include</w:t>
      </w:r>
      <w:r w:rsidR="00247481">
        <w:rPr>
          <w:rFonts w:ascii="Times New Roman" w:hAnsi="Times New Roman" w:cs="Times New Roman"/>
          <w:color w:val="000000" w:themeColor="text1"/>
        </w:rPr>
        <w:t>s</w:t>
      </w:r>
      <w:r w:rsidR="00D7255B" w:rsidRPr="00BC7BB5">
        <w:rPr>
          <w:rFonts w:ascii="Times New Roman" w:hAnsi="Times New Roman" w:cs="Times New Roman"/>
          <w:color w:val="000000" w:themeColor="text1"/>
        </w:rPr>
        <w:t xml:space="preserve"> representatives of all departments and institutions involved in Program implem</w:t>
      </w:r>
      <w:r w:rsidR="00DD7544">
        <w:rPr>
          <w:rFonts w:ascii="Times New Roman" w:hAnsi="Times New Roman" w:cs="Times New Roman"/>
          <w:color w:val="000000" w:themeColor="text1"/>
        </w:rPr>
        <w:t xml:space="preserve">entation, namely DF, DSS, </w:t>
      </w:r>
      <w:r w:rsidR="00D7255B" w:rsidRPr="00BC7BB5">
        <w:rPr>
          <w:rFonts w:ascii="Times New Roman" w:hAnsi="Times New Roman" w:cs="Times New Roman"/>
          <w:color w:val="000000" w:themeColor="text1"/>
        </w:rPr>
        <w:t xml:space="preserve">ONSSA, ADA, </w:t>
      </w:r>
      <w:r w:rsidR="003B7498" w:rsidRPr="00BC7BB5">
        <w:rPr>
          <w:rFonts w:ascii="Times New Roman" w:hAnsi="Times New Roman" w:cs="Times New Roman"/>
          <w:color w:val="000000" w:themeColor="text1"/>
        </w:rPr>
        <w:t>the Wilaya</w:t>
      </w:r>
      <w:r w:rsidR="00B5598E" w:rsidRPr="00BC7BB5">
        <w:rPr>
          <w:rFonts w:ascii="Times New Roman" w:hAnsi="Times New Roman" w:cs="Times New Roman"/>
          <w:color w:val="000000" w:themeColor="text1"/>
        </w:rPr>
        <w:t xml:space="preserve"> of Rabat</w:t>
      </w:r>
      <w:r w:rsidR="00AF1D58">
        <w:rPr>
          <w:rFonts w:ascii="Times New Roman" w:hAnsi="Times New Roman" w:cs="Times New Roman"/>
          <w:color w:val="000000" w:themeColor="text1"/>
        </w:rPr>
        <w:t>-Salé-Kénitra</w:t>
      </w:r>
      <w:r w:rsidR="003B7498" w:rsidRPr="00BC7BB5">
        <w:rPr>
          <w:rFonts w:ascii="Times New Roman" w:hAnsi="Times New Roman" w:cs="Times New Roman"/>
          <w:color w:val="000000" w:themeColor="text1"/>
        </w:rPr>
        <w:t xml:space="preserve">, </w:t>
      </w:r>
      <w:r w:rsidR="00D7255B" w:rsidRPr="00BC7BB5">
        <w:rPr>
          <w:rFonts w:ascii="Times New Roman" w:hAnsi="Times New Roman" w:cs="Times New Roman"/>
          <w:color w:val="000000" w:themeColor="text1"/>
        </w:rPr>
        <w:t xml:space="preserve">Rabat </w:t>
      </w:r>
      <w:r w:rsidR="009060C5" w:rsidRPr="00BC7BB5">
        <w:rPr>
          <w:rFonts w:ascii="Times New Roman" w:hAnsi="Times New Roman" w:cs="Times New Roman"/>
          <w:color w:val="000000" w:themeColor="text1"/>
        </w:rPr>
        <w:t xml:space="preserve">Région </w:t>
      </w:r>
      <w:r w:rsidR="00D7255B" w:rsidRPr="00BC7BB5">
        <w:rPr>
          <w:rFonts w:ascii="Times New Roman" w:hAnsi="Times New Roman" w:cs="Times New Roman"/>
          <w:color w:val="000000" w:themeColor="text1"/>
        </w:rPr>
        <w:t>Am</w:t>
      </w:r>
      <w:r w:rsidR="003B7498" w:rsidRPr="00BC7BB5">
        <w:rPr>
          <w:rFonts w:ascii="Times New Roman" w:hAnsi="Times New Roman" w:cs="Times New Roman"/>
          <w:color w:val="000000" w:themeColor="text1"/>
        </w:rPr>
        <w:t>é</w:t>
      </w:r>
      <w:r w:rsidR="00DD7544">
        <w:rPr>
          <w:rFonts w:ascii="Times New Roman" w:hAnsi="Times New Roman" w:cs="Times New Roman"/>
          <w:color w:val="000000" w:themeColor="text1"/>
        </w:rPr>
        <w:t>nagement</w:t>
      </w:r>
      <w:r w:rsidR="003C3B4C">
        <w:rPr>
          <w:rFonts w:ascii="Times New Roman" w:hAnsi="Times New Roman" w:cs="Times New Roman"/>
          <w:color w:val="000000" w:themeColor="text1"/>
        </w:rPr>
        <w:t>,</w:t>
      </w:r>
      <w:r w:rsidR="00DD7544">
        <w:rPr>
          <w:rFonts w:ascii="Times New Roman" w:hAnsi="Times New Roman" w:cs="Times New Roman"/>
          <w:color w:val="000000" w:themeColor="text1"/>
        </w:rPr>
        <w:t xml:space="preserve"> </w:t>
      </w:r>
      <w:r w:rsidR="00D7255B" w:rsidRPr="00BC7BB5">
        <w:rPr>
          <w:rFonts w:ascii="Times New Roman" w:hAnsi="Times New Roman" w:cs="Times New Roman"/>
          <w:color w:val="000000" w:themeColor="text1"/>
        </w:rPr>
        <w:t xml:space="preserve">and </w:t>
      </w:r>
      <w:r w:rsidR="0097372A" w:rsidRPr="00BC7BB5">
        <w:rPr>
          <w:rFonts w:ascii="Times New Roman" w:hAnsi="Times New Roman" w:cs="Times New Roman"/>
          <w:color w:val="000000" w:themeColor="text1"/>
        </w:rPr>
        <w:t>the i</w:t>
      </w:r>
      <w:r w:rsidR="00D7255B" w:rsidRPr="00BC7BB5">
        <w:rPr>
          <w:rFonts w:ascii="Times New Roman" w:hAnsi="Times New Roman" w:cs="Times New Roman"/>
          <w:color w:val="000000" w:themeColor="text1"/>
        </w:rPr>
        <w:t>nterprofessions (Int</w:t>
      </w:r>
      <w:r w:rsidR="00DD5CA6" w:rsidRPr="00BC7BB5">
        <w:rPr>
          <w:rFonts w:ascii="Times New Roman" w:hAnsi="Times New Roman" w:cs="Times New Roman"/>
          <w:color w:val="000000" w:themeColor="text1"/>
        </w:rPr>
        <w:t xml:space="preserve">erprolive and Maroc Citrus). </w:t>
      </w:r>
      <w:r w:rsidR="003C3B4C" w:rsidRPr="00BC7BB5">
        <w:rPr>
          <w:rFonts w:ascii="Times New Roman" w:hAnsi="Times New Roman" w:cs="Times New Roman"/>
          <w:color w:val="000000" w:themeColor="text1"/>
        </w:rPr>
        <w:t>Th</w:t>
      </w:r>
      <w:r w:rsidR="00D016E3">
        <w:rPr>
          <w:rFonts w:ascii="Times New Roman" w:hAnsi="Times New Roman" w:cs="Times New Roman"/>
          <w:color w:val="000000" w:themeColor="text1"/>
        </w:rPr>
        <w:t>o</w:t>
      </w:r>
      <w:r w:rsidR="003C3B4C" w:rsidRPr="00BC7BB5">
        <w:rPr>
          <w:rFonts w:ascii="Times New Roman" w:hAnsi="Times New Roman" w:cs="Times New Roman"/>
          <w:color w:val="000000" w:themeColor="text1"/>
        </w:rPr>
        <w:t xml:space="preserve">se </w:t>
      </w:r>
      <w:r w:rsidR="00DD5CA6" w:rsidRPr="00BC7BB5">
        <w:rPr>
          <w:rFonts w:ascii="Times New Roman" w:hAnsi="Times New Roman" w:cs="Times New Roman"/>
          <w:color w:val="000000" w:themeColor="text1"/>
        </w:rPr>
        <w:t>representatives</w:t>
      </w:r>
      <w:r w:rsidR="00D7255B" w:rsidRPr="00BC7BB5">
        <w:rPr>
          <w:rFonts w:ascii="Times New Roman" w:hAnsi="Times New Roman" w:cs="Times New Roman"/>
          <w:color w:val="000000" w:themeColor="text1"/>
        </w:rPr>
        <w:t xml:space="preserve"> </w:t>
      </w:r>
      <w:r w:rsidR="003C3B4C">
        <w:rPr>
          <w:rFonts w:ascii="Times New Roman" w:hAnsi="Times New Roman" w:cs="Times New Roman"/>
          <w:color w:val="000000" w:themeColor="text1"/>
        </w:rPr>
        <w:t>are</w:t>
      </w:r>
      <w:r w:rsidR="00D7255B" w:rsidRPr="00BC7BB5">
        <w:rPr>
          <w:rFonts w:ascii="Times New Roman" w:hAnsi="Times New Roman" w:cs="Times New Roman"/>
          <w:color w:val="000000" w:themeColor="text1"/>
        </w:rPr>
        <w:t xml:space="preserve"> designated by their </w:t>
      </w:r>
      <w:r w:rsidR="003C3B4C">
        <w:rPr>
          <w:rFonts w:ascii="Times New Roman" w:hAnsi="Times New Roman" w:cs="Times New Roman"/>
          <w:color w:val="000000" w:themeColor="text1"/>
        </w:rPr>
        <w:t xml:space="preserve">respective </w:t>
      </w:r>
      <w:r w:rsidR="00D7255B" w:rsidRPr="00BC7BB5">
        <w:rPr>
          <w:rFonts w:ascii="Times New Roman" w:hAnsi="Times New Roman" w:cs="Times New Roman"/>
          <w:color w:val="000000" w:themeColor="text1"/>
        </w:rPr>
        <w:t>departments.</w:t>
      </w:r>
    </w:p>
    <w:p w14:paraId="57D89C5C" w14:textId="77777777" w:rsidR="003B7498" w:rsidRPr="00BC7BB5" w:rsidRDefault="003B7498" w:rsidP="003B7498">
      <w:pPr>
        <w:pStyle w:val="NoSpacing"/>
        <w:jc w:val="both"/>
        <w:rPr>
          <w:rFonts w:ascii="Times New Roman" w:hAnsi="Times New Roman" w:cs="Times New Roman"/>
          <w:color w:val="000000" w:themeColor="text1"/>
        </w:rPr>
      </w:pPr>
    </w:p>
    <w:p w14:paraId="6D32D5F5" w14:textId="500F1A7A" w:rsidR="00D7255B" w:rsidRPr="00BC7BB5" w:rsidRDefault="00D7255B" w:rsidP="00B35A06">
      <w:pPr>
        <w:pStyle w:val="NoSpacing"/>
        <w:numPr>
          <w:ilvl w:val="0"/>
          <w:numId w:val="7"/>
        </w:numPr>
        <w:ind w:left="0" w:firstLine="0"/>
        <w:jc w:val="both"/>
        <w:rPr>
          <w:rFonts w:ascii="Times New Roman" w:eastAsia="ヒラギノ角ゴ Pro W3" w:hAnsi="Times New Roman" w:cs="Times New Roman"/>
        </w:rPr>
      </w:pPr>
      <w:r w:rsidRPr="00BC7BB5">
        <w:rPr>
          <w:rFonts w:ascii="Times New Roman" w:hAnsi="Times New Roman" w:cs="Times New Roman"/>
          <w:b/>
          <w:color w:val="000000" w:themeColor="text1"/>
        </w:rPr>
        <w:t>The PMU w</w:t>
      </w:r>
      <w:r w:rsidR="00B67994">
        <w:rPr>
          <w:rFonts w:ascii="Times New Roman" w:hAnsi="Times New Roman" w:cs="Times New Roman"/>
          <w:b/>
          <w:color w:val="000000" w:themeColor="text1"/>
        </w:rPr>
        <w:t>ill</w:t>
      </w:r>
      <w:r w:rsidRPr="00BC7BB5">
        <w:rPr>
          <w:rFonts w:ascii="Times New Roman" w:hAnsi="Times New Roman" w:cs="Times New Roman"/>
          <w:b/>
          <w:color w:val="000000" w:themeColor="text1"/>
        </w:rPr>
        <w:t xml:space="preserve"> be supported throughout Program implementation by technical assistance.</w:t>
      </w:r>
      <w:r w:rsidRPr="00BC7BB5">
        <w:rPr>
          <w:rFonts w:ascii="Times New Roman" w:hAnsi="Times New Roman" w:cs="Times New Roman"/>
          <w:color w:val="000000" w:themeColor="text1"/>
        </w:rPr>
        <w:t xml:space="preserve"> </w:t>
      </w:r>
      <w:r w:rsidR="00D016E3">
        <w:rPr>
          <w:rFonts w:ascii="Times New Roman" w:hAnsi="Times New Roman" w:cs="Times New Roman"/>
          <w:color w:val="000000" w:themeColor="text1"/>
        </w:rPr>
        <w:t xml:space="preserve">The </w:t>
      </w:r>
      <w:r w:rsidRPr="00BC7BB5">
        <w:rPr>
          <w:rFonts w:ascii="Times New Roman" w:hAnsi="Times New Roman" w:cs="Times New Roman"/>
          <w:color w:val="000000" w:themeColor="text1"/>
        </w:rPr>
        <w:t>DDFP has good technical capacities, has experien</w:t>
      </w:r>
      <w:r w:rsidR="00144F78" w:rsidRPr="00BC7BB5">
        <w:rPr>
          <w:rFonts w:ascii="Times New Roman" w:hAnsi="Times New Roman" w:cs="Times New Roman"/>
          <w:color w:val="000000" w:themeColor="text1"/>
        </w:rPr>
        <w:t>ce in managing complex programs</w:t>
      </w:r>
      <w:r w:rsidRPr="00BC7BB5">
        <w:rPr>
          <w:rFonts w:ascii="Times New Roman" w:hAnsi="Times New Roman" w:cs="Times New Roman"/>
          <w:color w:val="000000" w:themeColor="text1"/>
        </w:rPr>
        <w:t xml:space="preserve"> and substantial </w:t>
      </w:r>
      <w:r w:rsidR="00D016E3">
        <w:rPr>
          <w:rFonts w:ascii="Times New Roman" w:hAnsi="Times New Roman" w:cs="Times New Roman"/>
          <w:color w:val="000000" w:themeColor="text1"/>
        </w:rPr>
        <w:t>presence</w:t>
      </w:r>
      <w:r w:rsidR="00D016E3" w:rsidRPr="00BC7BB5">
        <w:rPr>
          <w:rFonts w:ascii="Times New Roman" w:hAnsi="Times New Roman" w:cs="Times New Roman"/>
          <w:color w:val="000000" w:themeColor="text1"/>
        </w:rPr>
        <w:t xml:space="preserve"> </w:t>
      </w:r>
      <w:r w:rsidRPr="00BC7BB5">
        <w:rPr>
          <w:rFonts w:ascii="Times New Roman" w:hAnsi="Times New Roman" w:cs="Times New Roman"/>
          <w:color w:val="000000" w:themeColor="text1"/>
        </w:rPr>
        <w:t>in the field through the DRAs</w:t>
      </w:r>
      <w:r w:rsidR="009229C8" w:rsidRPr="00BC7BB5">
        <w:rPr>
          <w:rFonts w:ascii="Times New Roman" w:hAnsi="Times New Roman" w:cs="Times New Roman"/>
          <w:color w:val="000000" w:themeColor="text1"/>
        </w:rPr>
        <w:t>/DPAs</w:t>
      </w:r>
      <w:r w:rsidRPr="00BC7BB5">
        <w:rPr>
          <w:rFonts w:ascii="Times New Roman" w:hAnsi="Times New Roman" w:cs="Times New Roman"/>
          <w:color w:val="000000" w:themeColor="text1"/>
        </w:rPr>
        <w:t xml:space="preserve">. However, the capacity of DDFP </w:t>
      </w:r>
      <w:r w:rsidR="009229C8" w:rsidRPr="00BC7BB5">
        <w:rPr>
          <w:rFonts w:ascii="Times New Roman" w:hAnsi="Times New Roman" w:cs="Times New Roman"/>
          <w:color w:val="000000" w:themeColor="text1"/>
        </w:rPr>
        <w:t xml:space="preserve">is constrained </w:t>
      </w:r>
      <w:r w:rsidRPr="00BC7BB5">
        <w:rPr>
          <w:rFonts w:ascii="Times New Roman" w:hAnsi="Times New Roman" w:cs="Times New Roman"/>
          <w:color w:val="000000" w:themeColor="text1"/>
        </w:rPr>
        <w:t xml:space="preserve">by limited </w:t>
      </w:r>
      <w:r w:rsidRPr="00BC7BB5">
        <w:rPr>
          <w:rFonts w:ascii="Times New Roman" w:hAnsi="Times New Roman" w:cs="Times New Roman"/>
          <w:color w:val="000000" w:themeColor="text1"/>
        </w:rPr>
        <w:lastRenderedPageBreak/>
        <w:t xml:space="preserve">staff resources and </w:t>
      </w:r>
      <w:r w:rsidR="001A1EAC" w:rsidRPr="00BC7BB5">
        <w:rPr>
          <w:rFonts w:ascii="Times New Roman" w:hAnsi="Times New Roman" w:cs="Times New Roman"/>
          <w:color w:val="000000" w:themeColor="text1"/>
        </w:rPr>
        <w:t xml:space="preserve">its monitoring </w:t>
      </w:r>
      <w:r w:rsidRPr="00BC7BB5">
        <w:rPr>
          <w:rFonts w:ascii="Times New Roman" w:hAnsi="Times New Roman" w:cs="Times New Roman"/>
          <w:color w:val="000000" w:themeColor="text1"/>
        </w:rPr>
        <w:t>systems</w:t>
      </w:r>
      <w:r w:rsidR="001A1EAC" w:rsidRPr="00BC7BB5">
        <w:rPr>
          <w:rFonts w:ascii="Times New Roman" w:hAnsi="Times New Roman" w:cs="Times New Roman"/>
          <w:color w:val="000000" w:themeColor="text1"/>
        </w:rPr>
        <w:t xml:space="preserve"> need to be upgraded</w:t>
      </w:r>
      <w:r w:rsidRPr="00BC7BB5">
        <w:rPr>
          <w:rFonts w:ascii="Times New Roman" w:hAnsi="Times New Roman" w:cs="Times New Roman"/>
          <w:color w:val="000000" w:themeColor="text1"/>
        </w:rPr>
        <w:t xml:space="preserve">. </w:t>
      </w:r>
      <w:r w:rsidRPr="00BC7BB5">
        <w:rPr>
          <w:rFonts w:ascii="Times New Roman" w:hAnsi="Times New Roman" w:cs="Times New Roman"/>
          <w:color w:val="222222"/>
        </w:rPr>
        <w:t>Technical assistance w</w:t>
      </w:r>
      <w:r w:rsidR="00B67994">
        <w:rPr>
          <w:rFonts w:ascii="Times New Roman" w:hAnsi="Times New Roman" w:cs="Times New Roman"/>
          <w:color w:val="222222"/>
        </w:rPr>
        <w:t>ill</w:t>
      </w:r>
      <w:r w:rsidRPr="00BC7BB5">
        <w:rPr>
          <w:rFonts w:ascii="Times New Roman" w:hAnsi="Times New Roman" w:cs="Times New Roman"/>
          <w:color w:val="222222"/>
        </w:rPr>
        <w:t xml:space="preserve"> be mobilized to strengthen the DDFP </w:t>
      </w:r>
      <w:r w:rsidR="009229C8" w:rsidRPr="00BC7BB5">
        <w:rPr>
          <w:rFonts w:ascii="Times New Roman" w:hAnsi="Times New Roman" w:cs="Times New Roman"/>
          <w:color w:val="222222"/>
        </w:rPr>
        <w:t>(</w:t>
      </w:r>
      <w:r w:rsidRPr="00BC7BB5">
        <w:rPr>
          <w:rFonts w:ascii="Times New Roman" w:hAnsi="Times New Roman" w:cs="Times New Roman"/>
          <w:color w:val="222222"/>
        </w:rPr>
        <w:t>and PMU</w:t>
      </w:r>
      <w:r w:rsidR="009229C8" w:rsidRPr="00BC7BB5">
        <w:rPr>
          <w:rFonts w:ascii="Times New Roman" w:hAnsi="Times New Roman" w:cs="Times New Roman"/>
          <w:color w:val="222222"/>
        </w:rPr>
        <w:t>)</w:t>
      </w:r>
      <w:r w:rsidRPr="00BC7BB5">
        <w:rPr>
          <w:rFonts w:ascii="Times New Roman" w:hAnsi="Times New Roman" w:cs="Times New Roman"/>
          <w:color w:val="222222"/>
        </w:rPr>
        <w:t xml:space="preserve"> for the monitoring and implementation of activities at central and field level, monitoring the financial management of the Program, preparing </w:t>
      </w:r>
      <w:r w:rsidR="003C3B4C">
        <w:rPr>
          <w:rFonts w:ascii="Times New Roman" w:hAnsi="Times New Roman" w:cs="Times New Roman"/>
          <w:color w:val="222222"/>
        </w:rPr>
        <w:t xml:space="preserve">annual </w:t>
      </w:r>
      <w:r w:rsidRPr="00BC7BB5">
        <w:rPr>
          <w:rFonts w:ascii="Times New Roman" w:hAnsi="Times New Roman" w:cs="Times New Roman"/>
          <w:color w:val="222222"/>
        </w:rPr>
        <w:t>prog</w:t>
      </w:r>
      <w:r w:rsidR="009229C8" w:rsidRPr="00BC7BB5">
        <w:rPr>
          <w:rFonts w:ascii="Times New Roman" w:hAnsi="Times New Roman" w:cs="Times New Roman"/>
          <w:color w:val="222222"/>
        </w:rPr>
        <w:t>ress reports</w:t>
      </w:r>
      <w:r w:rsidRPr="00BC7BB5">
        <w:rPr>
          <w:rFonts w:ascii="Times New Roman" w:hAnsi="Times New Roman" w:cs="Times New Roman"/>
          <w:color w:val="222222"/>
        </w:rPr>
        <w:t xml:space="preserve">, and the </w:t>
      </w:r>
      <w:r w:rsidR="003C3B4C">
        <w:rPr>
          <w:rFonts w:ascii="Times New Roman" w:hAnsi="Times New Roman" w:cs="Times New Roman"/>
          <w:color w:val="222222"/>
        </w:rPr>
        <w:t>monitoring</w:t>
      </w:r>
      <w:r w:rsidR="003C3B4C" w:rsidRPr="00BC7BB5">
        <w:rPr>
          <w:rFonts w:ascii="Times New Roman" w:hAnsi="Times New Roman" w:cs="Times New Roman"/>
          <w:color w:val="222222"/>
        </w:rPr>
        <w:t xml:space="preserve"> </w:t>
      </w:r>
      <w:r w:rsidRPr="00BC7BB5">
        <w:rPr>
          <w:rFonts w:ascii="Times New Roman" w:hAnsi="Times New Roman" w:cs="Times New Roman"/>
          <w:color w:val="222222"/>
        </w:rPr>
        <w:t xml:space="preserve">and reporting of </w:t>
      </w:r>
      <w:r w:rsidR="009229C8" w:rsidRPr="00BC7BB5">
        <w:rPr>
          <w:rFonts w:ascii="Times New Roman" w:hAnsi="Times New Roman" w:cs="Times New Roman"/>
          <w:color w:val="222222"/>
        </w:rPr>
        <w:t>DLIs</w:t>
      </w:r>
      <w:r w:rsidRPr="00BC7BB5">
        <w:rPr>
          <w:rFonts w:ascii="Times New Roman" w:hAnsi="Times New Roman" w:cs="Times New Roman"/>
          <w:color w:val="222222"/>
        </w:rPr>
        <w:t>. Terms of reference for the technical assistance to th</w:t>
      </w:r>
      <w:r w:rsidR="009229C8" w:rsidRPr="00BC7BB5">
        <w:rPr>
          <w:rFonts w:ascii="Times New Roman" w:hAnsi="Times New Roman" w:cs="Times New Roman"/>
          <w:color w:val="222222"/>
        </w:rPr>
        <w:t xml:space="preserve">e PMU have been prepared by </w:t>
      </w:r>
      <w:r w:rsidRPr="00BC7BB5">
        <w:rPr>
          <w:rFonts w:ascii="Times New Roman" w:hAnsi="Times New Roman" w:cs="Times New Roman"/>
          <w:color w:val="222222"/>
        </w:rPr>
        <w:t>MAPMDREF</w:t>
      </w:r>
      <w:r w:rsidR="001F7A2F">
        <w:rPr>
          <w:rFonts w:ascii="Times New Roman" w:hAnsi="Times New Roman" w:cs="Times New Roman"/>
          <w:color w:val="222222"/>
        </w:rPr>
        <w:t xml:space="preserve"> and </w:t>
      </w:r>
      <w:r w:rsidR="000A1436">
        <w:rPr>
          <w:rFonts w:ascii="Times New Roman" w:hAnsi="Times New Roman" w:cs="Times New Roman"/>
          <w:color w:val="222222"/>
        </w:rPr>
        <w:t xml:space="preserve">the </w:t>
      </w:r>
      <w:r w:rsidR="001F7A2F">
        <w:rPr>
          <w:rFonts w:ascii="Times New Roman" w:hAnsi="Times New Roman" w:cs="Times New Roman"/>
          <w:color w:val="222222"/>
        </w:rPr>
        <w:t>associated cost</w:t>
      </w:r>
      <w:r w:rsidR="000A1436">
        <w:rPr>
          <w:rFonts w:ascii="Times New Roman" w:hAnsi="Times New Roman" w:cs="Times New Roman"/>
          <w:color w:val="222222"/>
        </w:rPr>
        <w:t>s</w:t>
      </w:r>
      <w:r w:rsidR="001F7A2F">
        <w:rPr>
          <w:rFonts w:ascii="Times New Roman" w:hAnsi="Times New Roman" w:cs="Times New Roman"/>
          <w:color w:val="222222"/>
        </w:rPr>
        <w:t xml:space="preserve"> </w:t>
      </w:r>
      <w:r w:rsidR="000A1436">
        <w:rPr>
          <w:rFonts w:ascii="Times New Roman" w:hAnsi="Times New Roman" w:cs="Times New Roman"/>
          <w:color w:val="222222"/>
        </w:rPr>
        <w:t>are</w:t>
      </w:r>
      <w:r w:rsidR="001F7A2F">
        <w:rPr>
          <w:rFonts w:ascii="Times New Roman" w:hAnsi="Times New Roman" w:cs="Times New Roman"/>
          <w:color w:val="222222"/>
        </w:rPr>
        <w:t xml:space="preserve"> budgeted </w:t>
      </w:r>
      <w:r w:rsidR="000A1436">
        <w:rPr>
          <w:rFonts w:ascii="Times New Roman" w:hAnsi="Times New Roman" w:cs="Times New Roman"/>
          <w:color w:val="222222"/>
        </w:rPr>
        <w:t>under</w:t>
      </w:r>
      <w:r w:rsidR="001F7A2F">
        <w:rPr>
          <w:rFonts w:ascii="Times New Roman" w:hAnsi="Times New Roman" w:cs="Times New Roman"/>
          <w:color w:val="222222"/>
        </w:rPr>
        <w:t xml:space="preserve"> the Program</w:t>
      </w:r>
      <w:r w:rsidRPr="00BC7BB5">
        <w:rPr>
          <w:rFonts w:ascii="Times New Roman" w:hAnsi="Times New Roman" w:cs="Times New Roman"/>
          <w:color w:val="222222"/>
        </w:rPr>
        <w:t>.</w:t>
      </w:r>
    </w:p>
    <w:p w14:paraId="54106DF8" w14:textId="3E8BE0A3" w:rsidR="009A1383" w:rsidRPr="00BC7BB5" w:rsidRDefault="009A1383" w:rsidP="00FF3EF9">
      <w:pPr>
        <w:spacing w:after="0" w:line="240" w:lineRule="auto"/>
        <w:rPr>
          <w:rFonts w:ascii="Times New Roman" w:hAnsi="Times New Roman" w:cs="Times New Roman"/>
          <w:color w:val="000000" w:themeColor="text1"/>
        </w:rPr>
      </w:pPr>
    </w:p>
    <w:p w14:paraId="1557B80F" w14:textId="2473F41D" w:rsidR="009A1383" w:rsidRPr="006F6FF3" w:rsidRDefault="009A1383" w:rsidP="00B35A06">
      <w:pPr>
        <w:pStyle w:val="NoSpacing"/>
        <w:numPr>
          <w:ilvl w:val="0"/>
          <w:numId w:val="7"/>
        </w:numPr>
        <w:ind w:left="0" w:firstLine="0"/>
        <w:jc w:val="both"/>
        <w:rPr>
          <w:rFonts w:ascii="Times New Roman" w:hAnsi="Times New Roman" w:cs="Times New Roman"/>
        </w:rPr>
      </w:pPr>
      <w:r w:rsidRPr="00BC7BB5">
        <w:rPr>
          <w:rFonts w:ascii="Times New Roman" w:hAnsi="Times New Roman" w:cs="Times New Roman"/>
          <w:b/>
          <w:color w:val="000000" w:themeColor="text1"/>
        </w:rPr>
        <w:t>Fiduciary and audit responsibilities</w:t>
      </w:r>
      <w:r w:rsidRPr="00BC7BB5">
        <w:rPr>
          <w:rFonts w:ascii="Times New Roman" w:hAnsi="Times New Roman" w:cs="Times New Roman"/>
          <w:color w:val="000000" w:themeColor="text1"/>
        </w:rPr>
        <w:t>. MAPM</w:t>
      </w:r>
      <w:r w:rsidR="00905260" w:rsidRPr="00BC7BB5">
        <w:rPr>
          <w:rFonts w:ascii="Times New Roman" w:hAnsi="Times New Roman" w:cs="Times New Roman"/>
          <w:color w:val="000000" w:themeColor="text1"/>
        </w:rPr>
        <w:t>DREF w</w:t>
      </w:r>
      <w:r w:rsidR="00B67994">
        <w:rPr>
          <w:rFonts w:ascii="Times New Roman" w:hAnsi="Times New Roman" w:cs="Times New Roman"/>
          <w:color w:val="000000" w:themeColor="text1"/>
        </w:rPr>
        <w:t>ill</w:t>
      </w:r>
      <w:r w:rsidRPr="00BC7BB5">
        <w:rPr>
          <w:rFonts w:ascii="Times New Roman" w:hAnsi="Times New Roman" w:cs="Times New Roman"/>
          <w:color w:val="000000" w:themeColor="text1"/>
        </w:rPr>
        <w:t xml:space="preserve"> be responsible for overall coord</w:t>
      </w:r>
      <w:r w:rsidR="00DA218F">
        <w:rPr>
          <w:rFonts w:ascii="Times New Roman" w:hAnsi="Times New Roman" w:cs="Times New Roman"/>
          <w:color w:val="000000" w:themeColor="text1"/>
        </w:rPr>
        <w:t>ination of financial management and</w:t>
      </w:r>
      <w:r w:rsidRPr="00BC7BB5">
        <w:rPr>
          <w:rFonts w:ascii="Times New Roman" w:hAnsi="Times New Roman" w:cs="Times New Roman"/>
          <w:color w:val="000000" w:themeColor="text1"/>
        </w:rPr>
        <w:t xml:space="preserve"> procurement under the Program. The General Inspectorate of Finance (IGF</w:t>
      </w:r>
      <w:r w:rsidR="00C57B01">
        <w:rPr>
          <w:rFonts w:ascii="Times New Roman" w:hAnsi="Times New Roman" w:cs="Times New Roman"/>
          <w:color w:val="000000" w:themeColor="text1"/>
        </w:rPr>
        <w:fldChar w:fldCharType="begin"/>
      </w:r>
      <w:r w:rsidR="00C57B01">
        <w:instrText xml:space="preserve"> XE "</w:instrText>
      </w:r>
      <w:r w:rsidR="00C57B01" w:rsidRPr="005A5E26">
        <w:rPr>
          <w:rFonts w:ascii="Times New Roman" w:hAnsi="Times New Roman" w:cs="Times New Roman"/>
          <w:color w:val="000000" w:themeColor="text1"/>
        </w:rPr>
        <w:instrText>IGF:</w:instrText>
      </w:r>
      <w:r w:rsidR="00C57B01" w:rsidRPr="005A5E26">
        <w:instrText>General Inspectorate of Finance</w:instrText>
      </w:r>
      <w:r w:rsidR="00C57B01">
        <w:instrText xml:space="preserve">" </w:instrText>
      </w:r>
      <w:r w:rsidR="00C57B01">
        <w:rPr>
          <w:rFonts w:ascii="Times New Roman" w:hAnsi="Times New Roman" w:cs="Times New Roman"/>
          <w:color w:val="000000" w:themeColor="text1"/>
        </w:rPr>
        <w:fldChar w:fldCharType="end"/>
      </w:r>
      <w:r w:rsidRPr="00BC7BB5">
        <w:rPr>
          <w:rFonts w:ascii="Times New Roman" w:hAnsi="Times New Roman" w:cs="Times New Roman"/>
          <w:color w:val="000000" w:themeColor="text1"/>
        </w:rPr>
        <w:t xml:space="preserve">) </w:t>
      </w:r>
      <w:r w:rsidR="00012758" w:rsidRPr="00BC7BB5">
        <w:rPr>
          <w:rFonts w:ascii="Times New Roman" w:hAnsi="Times New Roman" w:cs="Times New Roman"/>
          <w:color w:val="000000" w:themeColor="text1"/>
        </w:rPr>
        <w:t>would</w:t>
      </w:r>
      <w:r w:rsidRPr="00BC7BB5">
        <w:rPr>
          <w:rFonts w:ascii="Times New Roman" w:hAnsi="Times New Roman" w:cs="Times New Roman"/>
          <w:color w:val="000000" w:themeColor="text1"/>
        </w:rPr>
        <w:t xml:space="preserve"> carry out the financial audits of Program expenditures incurred by MAPM</w:t>
      </w:r>
      <w:r w:rsidR="00402031" w:rsidRPr="00BC7BB5">
        <w:rPr>
          <w:rFonts w:ascii="Times New Roman" w:hAnsi="Times New Roman" w:cs="Times New Roman"/>
          <w:color w:val="000000" w:themeColor="text1"/>
        </w:rPr>
        <w:t>DREF</w:t>
      </w:r>
      <w:r w:rsidR="00806DE8" w:rsidRPr="00BC7BB5">
        <w:rPr>
          <w:rFonts w:ascii="Times New Roman" w:hAnsi="Times New Roman" w:cs="Times New Roman"/>
          <w:color w:val="000000" w:themeColor="text1"/>
        </w:rPr>
        <w:t>, ONSSA</w:t>
      </w:r>
      <w:r w:rsidRPr="00BC7BB5">
        <w:rPr>
          <w:rFonts w:ascii="Times New Roman" w:hAnsi="Times New Roman" w:cs="Times New Roman"/>
          <w:color w:val="000000" w:themeColor="text1"/>
        </w:rPr>
        <w:t xml:space="preserve"> and Rabat </w:t>
      </w:r>
      <w:r w:rsidR="009060C5" w:rsidRPr="00BC7BB5">
        <w:rPr>
          <w:rFonts w:ascii="Times New Roman" w:hAnsi="Times New Roman" w:cs="Times New Roman"/>
          <w:color w:val="000000" w:themeColor="text1"/>
        </w:rPr>
        <w:t xml:space="preserve">Région </w:t>
      </w:r>
      <w:r w:rsidR="00806DE8" w:rsidRPr="006F6FF3">
        <w:rPr>
          <w:rFonts w:ascii="Times New Roman" w:hAnsi="Times New Roman" w:cs="Times New Roman"/>
        </w:rPr>
        <w:t>Aménagement</w:t>
      </w:r>
      <w:r w:rsidRPr="006F6FF3">
        <w:rPr>
          <w:rFonts w:ascii="Times New Roman" w:hAnsi="Times New Roman" w:cs="Times New Roman"/>
        </w:rPr>
        <w:t xml:space="preserve">. </w:t>
      </w:r>
      <w:r w:rsidR="0053577D" w:rsidRPr="006F6FF3">
        <w:rPr>
          <w:rFonts w:ascii="Times New Roman" w:hAnsi="Times New Roman" w:cs="Times New Roman"/>
          <w:lang w:val="en"/>
        </w:rPr>
        <w:t>Two</w:t>
      </w:r>
      <w:r w:rsidR="006F6FF3" w:rsidRPr="006F6FF3">
        <w:rPr>
          <w:rFonts w:ascii="Times New Roman" w:hAnsi="Times New Roman" w:cs="Times New Roman"/>
          <w:lang w:val="en"/>
        </w:rPr>
        <w:t xml:space="preserve"> audit reports will be produced</w:t>
      </w:r>
      <w:r w:rsidR="003C3B4C">
        <w:rPr>
          <w:rFonts w:ascii="Times New Roman" w:hAnsi="Times New Roman" w:cs="Times New Roman"/>
          <w:lang w:val="en"/>
        </w:rPr>
        <w:t>:</w:t>
      </w:r>
      <w:r w:rsidR="003C3B4C" w:rsidRPr="006F6FF3">
        <w:rPr>
          <w:rFonts w:ascii="Times New Roman" w:hAnsi="Times New Roman" w:cs="Times New Roman"/>
          <w:lang w:val="en"/>
        </w:rPr>
        <w:t xml:space="preserve"> </w:t>
      </w:r>
      <w:r w:rsidR="003C3B4C">
        <w:rPr>
          <w:rFonts w:ascii="Times New Roman" w:hAnsi="Times New Roman" w:cs="Times New Roman"/>
          <w:lang w:val="en"/>
        </w:rPr>
        <w:t>an</w:t>
      </w:r>
      <w:r w:rsidR="0053577D" w:rsidRPr="006F6FF3">
        <w:rPr>
          <w:rFonts w:ascii="Times New Roman" w:hAnsi="Times New Roman" w:cs="Times New Roman"/>
          <w:lang w:val="en"/>
        </w:rPr>
        <w:t xml:space="preserve"> audit on the financial statements presented by the MAPMDREF, including ONSSA</w:t>
      </w:r>
      <w:r w:rsidR="006F6FF3" w:rsidRPr="006F6FF3">
        <w:rPr>
          <w:rFonts w:ascii="Times New Roman" w:hAnsi="Times New Roman" w:cs="Times New Roman"/>
          <w:lang w:val="en"/>
        </w:rPr>
        <w:t xml:space="preserve">, and </w:t>
      </w:r>
      <w:r w:rsidR="003C3B4C">
        <w:rPr>
          <w:rFonts w:ascii="Times New Roman" w:hAnsi="Times New Roman" w:cs="Times New Roman"/>
          <w:lang w:val="en"/>
        </w:rPr>
        <w:t>an audit</w:t>
      </w:r>
      <w:r w:rsidR="0053577D" w:rsidRPr="006F6FF3">
        <w:rPr>
          <w:rFonts w:ascii="Times New Roman" w:hAnsi="Times New Roman" w:cs="Times New Roman"/>
          <w:lang w:val="en"/>
        </w:rPr>
        <w:t xml:space="preserve"> on the financial statement</w:t>
      </w:r>
      <w:r w:rsidR="006F6FF3" w:rsidRPr="006F6FF3">
        <w:rPr>
          <w:rFonts w:ascii="Times New Roman" w:hAnsi="Times New Roman" w:cs="Times New Roman"/>
          <w:lang w:val="en"/>
        </w:rPr>
        <w:t>s produced by Rabat Ré</w:t>
      </w:r>
      <w:r w:rsidR="0053577D" w:rsidRPr="006F6FF3">
        <w:rPr>
          <w:rFonts w:ascii="Times New Roman" w:hAnsi="Times New Roman" w:cs="Times New Roman"/>
          <w:lang w:val="en"/>
        </w:rPr>
        <w:t xml:space="preserve">gion Aménagement </w:t>
      </w:r>
      <w:r w:rsidR="006F6FF3" w:rsidRPr="006F6FF3">
        <w:rPr>
          <w:rFonts w:ascii="Times New Roman" w:hAnsi="Times New Roman" w:cs="Times New Roman"/>
          <w:lang w:val="en"/>
        </w:rPr>
        <w:t>(</w:t>
      </w:r>
      <w:r w:rsidR="0053577D" w:rsidRPr="006F6FF3">
        <w:rPr>
          <w:rFonts w:ascii="Times New Roman" w:hAnsi="Times New Roman" w:cs="Times New Roman"/>
          <w:lang w:val="en"/>
        </w:rPr>
        <w:t>on the wholesale market</w:t>
      </w:r>
      <w:r w:rsidR="006F6FF3" w:rsidRPr="006F6FF3">
        <w:rPr>
          <w:rFonts w:ascii="Times New Roman" w:hAnsi="Times New Roman" w:cs="Times New Roman"/>
          <w:lang w:val="en"/>
        </w:rPr>
        <w:t>)</w:t>
      </w:r>
      <w:r w:rsidR="0053577D" w:rsidRPr="006F6FF3">
        <w:rPr>
          <w:rFonts w:ascii="Times New Roman" w:hAnsi="Times New Roman" w:cs="Times New Roman"/>
          <w:lang w:val="en"/>
        </w:rPr>
        <w:t xml:space="preserve">. </w:t>
      </w:r>
      <w:r w:rsidR="00066247" w:rsidRPr="006F6FF3">
        <w:rPr>
          <w:rFonts w:ascii="Times New Roman" w:hAnsi="Times New Roman" w:cs="Times New Roman"/>
        </w:rPr>
        <w:t xml:space="preserve"> </w:t>
      </w:r>
    </w:p>
    <w:p w14:paraId="17BE95F7" w14:textId="77777777" w:rsidR="00642E13" w:rsidRPr="00BC7BB5" w:rsidRDefault="00642E13" w:rsidP="00642E13">
      <w:pPr>
        <w:pStyle w:val="NoSpacing"/>
        <w:jc w:val="both"/>
        <w:rPr>
          <w:rFonts w:ascii="Times New Roman" w:hAnsi="Times New Roman" w:cs="Times New Roman"/>
          <w:color w:val="000000" w:themeColor="text1"/>
        </w:rPr>
      </w:pPr>
    </w:p>
    <w:p w14:paraId="1F3750C2" w14:textId="28C67B79" w:rsidR="002E6948" w:rsidRPr="00BC7BB5" w:rsidRDefault="003C3B4C" w:rsidP="00B35A06">
      <w:pPr>
        <w:pStyle w:val="NoSpacing"/>
        <w:numPr>
          <w:ilvl w:val="0"/>
          <w:numId w:val="7"/>
        </w:numPr>
        <w:ind w:left="0" w:firstLine="0"/>
        <w:jc w:val="both"/>
        <w:rPr>
          <w:rFonts w:ascii="Times New Roman" w:hAnsi="Times New Roman" w:cs="Times New Roman"/>
          <w:color w:val="000000" w:themeColor="text1"/>
        </w:rPr>
      </w:pPr>
      <w:r>
        <w:rPr>
          <w:rFonts w:ascii="Times New Roman" w:hAnsi="Times New Roman" w:cs="Times New Roman"/>
          <w:b/>
          <w:color w:val="000000" w:themeColor="text1"/>
        </w:rPr>
        <w:t>E</w:t>
      </w:r>
      <w:r w:rsidR="00106D44">
        <w:rPr>
          <w:rFonts w:ascii="Times New Roman" w:hAnsi="Times New Roman" w:cs="Times New Roman"/>
          <w:b/>
          <w:color w:val="000000" w:themeColor="text1"/>
        </w:rPr>
        <w:t xml:space="preserve">nvironmental </w:t>
      </w:r>
      <w:r>
        <w:rPr>
          <w:rFonts w:ascii="Times New Roman" w:hAnsi="Times New Roman" w:cs="Times New Roman"/>
          <w:b/>
          <w:color w:val="000000" w:themeColor="text1"/>
        </w:rPr>
        <w:t xml:space="preserve">and social </w:t>
      </w:r>
      <w:r w:rsidR="009A1383" w:rsidRPr="00BC7BB5">
        <w:rPr>
          <w:rFonts w:ascii="Times New Roman" w:hAnsi="Times New Roman" w:cs="Times New Roman"/>
          <w:b/>
          <w:color w:val="000000" w:themeColor="text1"/>
        </w:rPr>
        <w:t>responsibilities</w:t>
      </w:r>
      <w:r w:rsidR="009A1383" w:rsidRPr="00BC7BB5">
        <w:rPr>
          <w:rFonts w:ascii="Times New Roman" w:hAnsi="Times New Roman" w:cs="Times New Roman"/>
        </w:rPr>
        <w:t>.</w:t>
      </w:r>
      <w:r w:rsidR="00E84BB6" w:rsidRPr="00BC7BB5">
        <w:rPr>
          <w:rFonts w:ascii="Times New Roman" w:hAnsi="Times New Roman" w:cs="Times New Roman"/>
        </w:rPr>
        <w:t xml:space="preserve"> The DDFP </w:t>
      </w:r>
      <w:r w:rsidR="00950EB5" w:rsidRPr="00BC7BB5">
        <w:rPr>
          <w:rFonts w:ascii="Times New Roman" w:hAnsi="Times New Roman" w:cs="Times New Roman"/>
        </w:rPr>
        <w:t>(with support from the PMU</w:t>
      </w:r>
      <w:r w:rsidR="000458CB" w:rsidRPr="00BC7BB5">
        <w:rPr>
          <w:rFonts w:ascii="Times New Roman" w:hAnsi="Times New Roman" w:cs="Times New Roman"/>
        </w:rPr>
        <w:t>, which w</w:t>
      </w:r>
      <w:r w:rsidR="00B67994">
        <w:rPr>
          <w:rFonts w:ascii="Times New Roman" w:hAnsi="Times New Roman" w:cs="Times New Roman"/>
        </w:rPr>
        <w:t>ill</w:t>
      </w:r>
      <w:r w:rsidR="000458CB" w:rsidRPr="00BC7BB5">
        <w:rPr>
          <w:rFonts w:ascii="Times New Roman" w:hAnsi="Times New Roman" w:cs="Times New Roman"/>
        </w:rPr>
        <w:t xml:space="preserve"> be staffed with social and environmental specialists</w:t>
      </w:r>
      <w:r w:rsidR="00950EB5" w:rsidRPr="00BC7BB5">
        <w:rPr>
          <w:rFonts w:ascii="Times New Roman" w:hAnsi="Times New Roman" w:cs="Times New Roman"/>
        </w:rPr>
        <w:t xml:space="preserve">) </w:t>
      </w:r>
      <w:r w:rsidR="00E84BB6" w:rsidRPr="00BC7BB5">
        <w:rPr>
          <w:rFonts w:ascii="Times New Roman" w:hAnsi="Times New Roman" w:cs="Times New Roman"/>
        </w:rPr>
        <w:t>w</w:t>
      </w:r>
      <w:r w:rsidR="00B67994">
        <w:rPr>
          <w:rFonts w:ascii="Times New Roman" w:hAnsi="Times New Roman" w:cs="Times New Roman"/>
        </w:rPr>
        <w:t>ill</w:t>
      </w:r>
      <w:r w:rsidR="009A1383" w:rsidRPr="00BC7BB5">
        <w:rPr>
          <w:rFonts w:ascii="Times New Roman" w:hAnsi="Times New Roman" w:cs="Times New Roman"/>
        </w:rPr>
        <w:t xml:space="preserve"> be responsible </w:t>
      </w:r>
      <w:r w:rsidR="001344A8">
        <w:rPr>
          <w:rFonts w:ascii="Times New Roman" w:hAnsi="Times New Roman" w:cs="Times New Roman"/>
        </w:rPr>
        <w:t>to ensure</w:t>
      </w:r>
      <w:r w:rsidR="009A1383" w:rsidRPr="00BC7BB5">
        <w:rPr>
          <w:rFonts w:ascii="Times New Roman" w:hAnsi="Times New Roman" w:cs="Times New Roman"/>
        </w:rPr>
        <w:t xml:space="preserve"> </w:t>
      </w:r>
      <w:r w:rsidR="0097372A" w:rsidRPr="00BC7BB5">
        <w:rPr>
          <w:rFonts w:ascii="Times New Roman" w:hAnsi="Times New Roman" w:cs="Times New Roman"/>
        </w:rPr>
        <w:t>compliance with</w:t>
      </w:r>
      <w:r w:rsidR="009A1383" w:rsidRPr="00BC7BB5">
        <w:rPr>
          <w:rFonts w:ascii="Times New Roman" w:hAnsi="Times New Roman" w:cs="Times New Roman"/>
        </w:rPr>
        <w:t xml:space="preserve"> </w:t>
      </w:r>
      <w:r w:rsidR="007D3165">
        <w:rPr>
          <w:rFonts w:ascii="Times New Roman" w:hAnsi="Times New Roman" w:cs="Times New Roman"/>
        </w:rPr>
        <w:t xml:space="preserve">and monitoring of </w:t>
      </w:r>
      <w:r w:rsidR="009A1383" w:rsidRPr="00BC7BB5">
        <w:rPr>
          <w:rFonts w:ascii="Times New Roman" w:hAnsi="Times New Roman" w:cs="Times New Roman"/>
        </w:rPr>
        <w:t>social and environmental requireme</w:t>
      </w:r>
      <w:r w:rsidR="00E84BB6" w:rsidRPr="00BC7BB5">
        <w:rPr>
          <w:rFonts w:ascii="Times New Roman" w:hAnsi="Times New Roman" w:cs="Times New Roman"/>
        </w:rPr>
        <w:t>nts across Program activities.</w:t>
      </w:r>
    </w:p>
    <w:p w14:paraId="29DE0764" w14:textId="77777777" w:rsidR="00642E13" w:rsidRPr="00BC7BB5" w:rsidRDefault="00642E13" w:rsidP="00642E13">
      <w:pPr>
        <w:pStyle w:val="ListParagraph"/>
        <w:rPr>
          <w:rFonts w:ascii="Times New Roman" w:hAnsi="Times New Roman" w:cs="Times New Roman"/>
          <w:color w:val="000000" w:themeColor="text1"/>
        </w:rPr>
      </w:pPr>
    </w:p>
    <w:p w14:paraId="53B2A1E1" w14:textId="5B1143C5" w:rsidR="00D51A17" w:rsidRPr="00BC7BB5" w:rsidRDefault="001D2940" w:rsidP="00F561E8">
      <w:pPr>
        <w:pStyle w:val="NoSpacing"/>
        <w:numPr>
          <w:ilvl w:val="0"/>
          <w:numId w:val="28"/>
        </w:numPr>
        <w:ind w:left="0" w:firstLine="0"/>
        <w:outlineLvl w:val="1"/>
        <w:rPr>
          <w:rFonts w:ascii="Times New Roman Bold" w:hAnsi="Times New Roman Bold" w:cs="Times New Roman"/>
          <w:b/>
          <w:smallCaps/>
        </w:rPr>
      </w:pPr>
      <w:r w:rsidRPr="00BC7BB5">
        <w:rPr>
          <w:rFonts w:ascii="Times New Roman Bold" w:hAnsi="Times New Roman Bold" w:cs="Times New Roman"/>
          <w:b/>
          <w:smallCaps/>
        </w:rPr>
        <w:t xml:space="preserve"> </w:t>
      </w:r>
      <w:bookmarkStart w:id="14" w:name="_Toc499113403"/>
      <w:r w:rsidRPr="00BC7BB5">
        <w:rPr>
          <w:rFonts w:ascii="Times New Roman Bold" w:hAnsi="Times New Roman Bold" w:cs="Times New Roman"/>
          <w:b/>
          <w:smallCaps/>
        </w:rPr>
        <w:t>Re</w:t>
      </w:r>
      <w:r w:rsidR="002E6948" w:rsidRPr="00BC7BB5">
        <w:rPr>
          <w:rFonts w:ascii="Times New Roman Bold" w:hAnsi="Times New Roman Bold" w:cs="Times New Roman"/>
          <w:b/>
          <w:smallCaps/>
        </w:rPr>
        <w:t>sults Monitoring and Evaluation</w:t>
      </w:r>
      <w:bookmarkEnd w:id="14"/>
    </w:p>
    <w:p w14:paraId="53B2A1E2" w14:textId="77777777" w:rsidR="00D51A17" w:rsidRPr="00BC7BB5" w:rsidRDefault="00D51A17" w:rsidP="00D51A17">
      <w:pPr>
        <w:pStyle w:val="NoSpacing"/>
        <w:ind w:left="360"/>
        <w:rPr>
          <w:rFonts w:ascii="Times New Roman" w:hAnsi="Times New Roman" w:cs="Times New Roman"/>
        </w:rPr>
      </w:pPr>
    </w:p>
    <w:p w14:paraId="3704FC23" w14:textId="6F7B7DF8" w:rsidR="00C2526E" w:rsidRPr="00BC7BB5" w:rsidRDefault="00F8415F" w:rsidP="00B35A06">
      <w:pPr>
        <w:pStyle w:val="NoSpacing"/>
        <w:numPr>
          <w:ilvl w:val="0"/>
          <w:numId w:val="7"/>
        </w:numPr>
        <w:ind w:left="0" w:firstLine="0"/>
        <w:jc w:val="both"/>
        <w:rPr>
          <w:rFonts w:ascii="Times New Roman" w:hAnsi="Times New Roman" w:cs="Times New Roman"/>
          <w:b/>
        </w:rPr>
      </w:pPr>
      <w:r w:rsidRPr="00BC7BB5">
        <w:rPr>
          <w:rFonts w:ascii="Times New Roman" w:hAnsi="Times New Roman" w:cs="Times New Roman"/>
          <w:b/>
        </w:rPr>
        <w:t>MAPMDREF, through the DDFP, would</w:t>
      </w:r>
      <w:r w:rsidR="0042126D" w:rsidRPr="00BC7BB5">
        <w:rPr>
          <w:rFonts w:ascii="Times New Roman" w:hAnsi="Times New Roman" w:cs="Times New Roman"/>
          <w:b/>
        </w:rPr>
        <w:t xml:space="preserve"> coordinate </w:t>
      </w:r>
      <w:r w:rsidR="00EC29C4" w:rsidRPr="00BC7BB5">
        <w:rPr>
          <w:rFonts w:ascii="Times New Roman" w:hAnsi="Times New Roman" w:cs="Times New Roman"/>
          <w:b/>
        </w:rPr>
        <w:t>the</w:t>
      </w:r>
      <w:r w:rsidR="0042126D" w:rsidRPr="00BC7BB5">
        <w:rPr>
          <w:rFonts w:ascii="Times New Roman" w:hAnsi="Times New Roman" w:cs="Times New Roman"/>
          <w:b/>
        </w:rPr>
        <w:t xml:space="preserve"> monitoring and evaluation (M&amp;E)</w:t>
      </w:r>
      <w:r w:rsidR="00EC29C4" w:rsidRPr="00BC7BB5">
        <w:rPr>
          <w:rFonts w:ascii="Times New Roman" w:hAnsi="Times New Roman" w:cs="Times New Roman"/>
          <w:b/>
        </w:rPr>
        <w:t xml:space="preserve"> of the Program</w:t>
      </w:r>
      <w:r w:rsidR="0042126D" w:rsidRPr="00BC7BB5">
        <w:rPr>
          <w:rFonts w:ascii="Times New Roman" w:hAnsi="Times New Roman" w:cs="Times New Roman"/>
          <w:b/>
        </w:rPr>
        <w:t xml:space="preserve">. </w:t>
      </w:r>
      <w:r w:rsidR="0042126D" w:rsidRPr="00BC7BB5">
        <w:rPr>
          <w:rFonts w:ascii="Times New Roman" w:hAnsi="Times New Roman" w:cs="Times New Roman"/>
        </w:rPr>
        <w:t xml:space="preserve">The </w:t>
      </w:r>
      <w:r w:rsidR="00C77867" w:rsidRPr="00BC7BB5">
        <w:rPr>
          <w:rFonts w:ascii="Times New Roman" w:hAnsi="Times New Roman" w:cs="Times New Roman"/>
        </w:rPr>
        <w:t>DDFP would</w:t>
      </w:r>
      <w:r w:rsidR="0042126D" w:rsidRPr="00BC7BB5">
        <w:rPr>
          <w:rFonts w:ascii="Times New Roman" w:hAnsi="Times New Roman" w:cs="Times New Roman"/>
        </w:rPr>
        <w:t xml:space="preserve"> compile and consolidate data and </w:t>
      </w:r>
      <w:r w:rsidR="00796521" w:rsidRPr="00BC7BB5">
        <w:rPr>
          <w:rFonts w:ascii="Times New Roman" w:hAnsi="Times New Roman" w:cs="Times New Roman"/>
        </w:rPr>
        <w:t>supporting</w:t>
      </w:r>
      <w:r w:rsidR="0042126D" w:rsidRPr="00BC7BB5">
        <w:rPr>
          <w:rFonts w:ascii="Times New Roman" w:hAnsi="Times New Roman" w:cs="Times New Roman"/>
        </w:rPr>
        <w:t xml:space="preserve"> documents, ensure data quality, and prepare and submit the reports to the Bank on a timely basis. The DDFP, along with the DSS, </w:t>
      </w:r>
      <w:r w:rsidR="00D1530F" w:rsidRPr="00BC7BB5">
        <w:rPr>
          <w:rFonts w:ascii="Times New Roman" w:hAnsi="Times New Roman" w:cs="Times New Roman"/>
        </w:rPr>
        <w:t xml:space="preserve">DF, </w:t>
      </w:r>
      <w:r w:rsidR="0042126D" w:rsidRPr="00BC7BB5">
        <w:rPr>
          <w:rFonts w:ascii="Times New Roman" w:hAnsi="Times New Roman" w:cs="Times New Roman"/>
        </w:rPr>
        <w:t xml:space="preserve">ADA, </w:t>
      </w:r>
      <w:r w:rsidR="009C0E5D" w:rsidRPr="00BC7BB5">
        <w:rPr>
          <w:rFonts w:ascii="Times New Roman" w:hAnsi="Times New Roman" w:cs="Times New Roman"/>
        </w:rPr>
        <w:t xml:space="preserve">ONSSA, and the </w:t>
      </w:r>
      <w:r w:rsidR="00796521" w:rsidRPr="00BC7BB5">
        <w:rPr>
          <w:rFonts w:ascii="Times New Roman" w:hAnsi="Times New Roman" w:cs="Times New Roman"/>
        </w:rPr>
        <w:t>Wilaya</w:t>
      </w:r>
      <w:r w:rsidR="009C0E5D" w:rsidRPr="00BC7BB5">
        <w:rPr>
          <w:rFonts w:ascii="Times New Roman" w:hAnsi="Times New Roman" w:cs="Times New Roman"/>
        </w:rPr>
        <w:t>, would</w:t>
      </w:r>
      <w:r w:rsidR="0042126D" w:rsidRPr="00BC7BB5">
        <w:rPr>
          <w:rFonts w:ascii="Times New Roman" w:hAnsi="Times New Roman" w:cs="Times New Roman"/>
        </w:rPr>
        <w:t xml:space="preserve"> collect data about physical progress, achievement of results in each program area, and the flow of financial funds. </w:t>
      </w:r>
      <w:r w:rsidR="00793B83" w:rsidRPr="00BC7BB5">
        <w:rPr>
          <w:rFonts w:ascii="Times New Roman" w:hAnsi="Times New Roman" w:cs="Times New Roman"/>
        </w:rPr>
        <w:t>DRAs</w:t>
      </w:r>
      <w:r w:rsidR="0042126D" w:rsidRPr="00BC7BB5">
        <w:rPr>
          <w:rFonts w:ascii="Times New Roman" w:hAnsi="Times New Roman" w:cs="Times New Roman"/>
        </w:rPr>
        <w:t>, the interprofessions</w:t>
      </w:r>
      <w:r w:rsidR="00EC1AB7">
        <w:rPr>
          <w:rFonts w:ascii="Times New Roman" w:hAnsi="Times New Roman" w:cs="Times New Roman"/>
        </w:rPr>
        <w:t>,</w:t>
      </w:r>
      <w:r w:rsidR="0042126D" w:rsidRPr="00BC7BB5">
        <w:rPr>
          <w:rFonts w:ascii="Times New Roman" w:hAnsi="Times New Roman" w:cs="Times New Roman"/>
        </w:rPr>
        <w:t xml:space="preserve"> and the </w:t>
      </w:r>
      <w:r w:rsidR="00793B83" w:rsidRPr="00BC7BB5">
        <w:rPr>
          <w:rFonts w:ascii="Times New Roman" w:hAnsi="Times New Roman" w:cs="Times New Roman"/>
        </w:rPr>
        <w:t>CIAs would</w:t>
      </w:r>
      <w:r w:rsidR="0042126D" w:rsidRPr="00BC7BB5">
        <w:rPr>
          <w:rFonts w:ascii="Times New Roman" w:hAnsi="Times New Roman" w:cs="Times New Roman"/>
        </w:rPr>
        <w:t xml:space="preserve"> support data collection efforts (refer to Annex 3 for further </w:t>
      </w:r>
      <w:r w:rsidR="00793B83" w:rsidRPr="00BC7BB5">
        <w:rPr>
          <w:rFonts w:ascii="Times New Roman" w:hAnsi="Times New Roman" w:cs="Times New Roman"/>
        </w:rPr>
        <w:t>details</w:t>
      </w:r>
      <w:r w:rsidR="0042126D" w:rsidRPr="00BC7BB5">
        <w:rPr>
          <w:rFonts w:ascii="Times New Roman" w:hAnsi="Times New Roman" w:cs="Times New Roman"/>
        </w:rPr>
        <w:t xml:space="preserve">). </w:t>
      </w:r>
      <w:r w:rsidR="00022CB0" w:rsidRPr="00BC7BB5">
        <w:rPr>
          <w:rFonts w:ascii="Times New Roman" w:hAnsi="Times New Roman" w:cs="Times New Roman"/>
        </w:rPr>
        <w:t>The DDFP would</w:t>
      </w:r>
      <w:r w:rsidR="0042126D" w:rsidRPr="00BC7BB5">
        <w:rPr>
          <w:rFonts w:ascii="Times New Roman" w:hAnsi="Times New Roman" w:cs="Times New Roman"/>
        </w:rPr>
        <w:t xml:space="preserve"> report to the Bank on a semiannual basis, covering the following items: (i) expenditures; (ii) physical progress; (iii) results framework indicators; (iv) disbursement linked indicators (DLIs); (v) compliance with social and environmental </w:t>
      </w:r>
      <w:r w:rsidR="00106D44">
        <w:rPr>
          <w:rFonts w:ascii="Times New Roman" w:hAnsi="Times New Roman" w:cs="Times New Roman"/>
        </w:rPr>
        <w:t>requirements</w:t>
      </w:r>
      <w:r w:rsidR="0042126D" w:rsidRPr="00BC7BB5">
        <w:rPr>
          <w:rFonts w:ascii="Times New Roman" w:hAnsi="Times New Roman" w:cs="Times New Roman"/>
        </w:rPr>
        <w:t xml:space="preserve">; and (vi) grievances and any allegations on fraud and corruption. </w:t>
      </w:r>
      <w:r w:rsidR="00D1530F" w:rsidRPr="00BC7BB5">
        <w:rPr>
          <w:rFonts w:ascii="Times New Roman" w:hAnsi="Times New Roman" w:cs="Times New Roman"/>
        </w:rPr>
        <w:t>Reports would b</w:t>
      </w:r>
      <w:r w:rsidR="003E6FF5" w:rsidRPr="00BC7BB5">
        <w:rPr>
          <w:rFonts w:ascii="Times New Roman" w:hAnsi="Times New Roman" w:cs="Times New Roman"/>
        </w:rPr>
        <w:t>e endorsed by the Steering Committee</w:t>
      </w:r>
      <w:r w:rsidR="0042126D" w:rsidRPr="00BC7BB5">
        <w:rPr>
          <w:rFonts w:ascii="Times New Roman" w:hAnsi="Times New Roman" w:cs="Times New Roman"/>
        </w:rPr>
        <w:t xml:space="preserve"> and submitted on a semiannual basis. A</w:t>
      </w:r>
      <w:r w:rsidR="00D1530F" w:rsidRPr="00BC7BB5">
        <w:rPr>
          <w:rFonts w:ascii="Times New Roman" w:hAnsi="Times New Roman" w:cs="Times New Roman"/>
        </w:rPr>
        <w:t xml:space="preserve"> mid-term review would assess progress with implementation and towards the development objective of the Program and, at</w:t>
      </w:r>
      <w:r w:rsidR="00B6159D" w:rsidRPr="00BC7BB5">
        <w:rPr>
          <w:rFonts w:ascii="Times New Roman" w:hAnsi="Times New Roman" w:cs="Times New Roman"/>
        </w:rPr>
        <w:t xml:space="preserve"> the end of P</w:t>
      </w:r>
      <w:r w:rsidR="0042126D" w:rsidRPr="00BC7BB5">
        <w:rPr>
          <w:rFonts w:ascii="Times New Roman" w:hAnsi="Times New Roman" w:cs="Times New Roman"/>
        </w:rPr>
        <w:t>rogram</w:t>
      </w:r>
      <w:r w:rsidR="00B6159D" w:rsidRPr="00BC7BB5">
        <w:rPr>
          <w:rFonts w:ascii="Times New Roman" w:hAnsi="Times New Roman" w:cs="Times New Roman"/>
        </w:rPr>
        <w:t xml:space="preserve"> implementation</w:t>
      </w:r>
      <w:r w:rsidR="0042126D" w:rsidRPr="00BC7BB5">
        <w:rPr>
          <w:rFonts w:ascii="Times New Roman" w:hAnsi="Times New Roman" w:cs="Times New Roman"/>
        </w:rPr>
        <w:t>, a</w:t>
      </w:r>
      <w:r w:rsidR="00B6159D" w:rsidRPr="00BC7BB5">
        <w:rPr>
          <w:rFonts w:ascii="Times New Roman" w:hAnsi="Times New Roman" w:cs="Times New Roman"/>
        </w:rPr>
        <w:t>n independent evaluation would</w:t>
      </w:r>
      <w:r w:rsidR="0042126D" w:rsidRPr="00BC7BB5">
        <w:rPr>
          <w:rFonts w:ascii="Times New Roman" w:hAnsi="Times New Roman" w:cs="Times New Roman"/>
        </w:rPr>
        <w:t xml:space="preserve"> assess </w:t>
      </w:r>
      <w:r w:rsidR="00101E9E" w:rsidRPr="00BC7BB5">
        <w:rPr>
          <w:rFonts w:ascii="Times New Roman" w:hAnsi="Times New Roman" w:cs="Times New Roman"/>
        </w:rPr>
        <w:t>the P</w:t>
      </w:r>
      <w:r w:rsidR="0042126D" w:rsidRPr="00BC7BB5">
        <w:rPr>
          <w:rFonts w:ascii="Times New Roman" w:hAnsi="Times New Roman" w:cs="Times New Roman"/>
        </w:rPr>
        <w:t>rogram</w:t>
      </w:r>
      <w:r w:rsidR="00101E9E" w:rsidRPr="00BC7BB5">
        <w:rPr>
          <w:rFonts w:ascii="Times New Roman" w:hAnsi="Times New Roman" w:cs="Times New Roman"/>
        </w:rPr>
        <w:t>’s</w:t>
      </w:r>
      <w:r w:rsidR="0042126D" w:rsidRPr="00BC7BB5">
        <w:rPr>
          <w:rFonts w:ascii="Times New Roman" w:hAnsi="Times New Roman" w:cs="Times New Roman"/>
        </w:rPr>
        <w:t xml:space="preserve"> results and impacts.</w:t>
      </w:r>
    </w:p>
    <w:p w14:paraId="1FD6EF5B" w14:textId="77777777" w:rsidR="009B33C6" w:rsidRPr="00BC7BB5" w:rsidRDefault="009B33C6" w:rsidP="009B33C6">
      <w:pPr>
        <w:pStyle w:val="NoSpacing"/>
        <w:jc w:val="both"/>
        <w:rPr>
          <w:rFonts w:ascii="Times New Roman" w:hAnsi="Times New Roman" w:cs="Times New Roman"/>
          <w:b/>
        </w:rPr>
      </w:pPr>
    </w:p>
    <w:p w14:paraId="13AF872C" w14:textId="56CA3088" w:rsidR="0042126D" w:rsidRPr="00BC7BB5" w:rsidRDefault="00C2526E" w:rsidP="00B35A06">
      <w:pPr>
        <w:pStyle w:val="NoSpacing"/>
        <w:numPr>
          <w:ilvl w:val="0"/>
          <w:numId w:val="7"/>
        </w:numPr>
        <w:ind w:left="0" w:firstLine="0"/>
        <w:jc w:val="both"/>
        <w:rPr>
          <w:rFonts w:ascii="Times New Roman" w:hAnsi="Times New Roman" w:cs="Times New Roman"/>
        </w:rPr>
      </w:pPr>
      <w:r w:rsidRPr="00BC7BB5">
        <w:rPr>
          <w:rFonts w:ascii="Times New Roman" w:hAnsi="Times New Roman" w:cs="Times New Roman"/>
          <w:b/>
        </w:rPr>
        <w:t>The Program’s</w:t>
      </w:r>
      <w:r w:rsidRPr="00BC7BB5">
        <w:rPr>
          <w:rFonts w:ascii="Times New Roman" w:hAnsi="Times New Roman" w:cs="Times New Roman"/>
        </w:rPr>
        <w:t xml:space="preserve"> </w:t>
      </w:r>
      <w:r w:rsidR="0042126D" w:rsidRPr="00BC7BB5">
        <w:rPr>
          <w:rFonts w:ascii="Times New Roman" w:hAnsi="Times New Roman" w:cs="Times New Roman"/>
          <w:b/>
        </w:rPr>
        <w:t xml:space="preserve">M&amp;E </w:t>
      </w:r>
      <w:r w:rsidRPr="00BC7BB5">
        <w:rPr>
          <w:rFonts w:ascii="Times New Roman" w:hAnsi="Times New Roman" w:cs="Times New Roman"/>
          <w:b/>
        </w:rPr>
        <w:t xml:space="preserve">system </w:t>
      </w:r>
      <w:r w:rsidR="00B45F21" w:rsidRPr="00BC7BB5">
        <w:rPr>
          <w:rFonts w:ascii="Times New Roman" w:hAnsi="Times New Roman" w:cs="Times New Roman"/>
          <w:b/>
        </w:rPr>
        <w:t xml:space="preserve">would draw </w:t>
      </w:r>
      <w:r w:rsidR="00EC1AB7">
        <w:rPr>
          <w:rFonts w:ascii="Times New Roman" w:hAnsi="Times New Roman" w:cs="Times New Roman"/>
          <w:b/>
        </w:rPr>
        <w:t>on</w:t>
      </w:r>
      <w:r w:rsidR="00EC1AB7" w:rsidRPr="00BC7BB5">
        <w:rPr>
          <w:rFonts w:ascii="Times New Roman" w:hAnsi="Times New Roman" w:cs="Times New Roman"/>
          <w:b/>
        </w:rPr>
        <w:t xml:space="preserve"> </w:t>
      </w:r>
      <w:r w:rsidR="0042126D" w:rsidRPr="00BC7BB5">
        <w:rPr>
          <w:rFonts w:ascii="Times New Roman" w:hAnsi="Times New Roman" w:cs="Times New Roman"/>
          <w:b/>
        </w:rPr>
        <w:t xml:space="preserve">the existing Government’s systems used to track the implementation of the PMV. </w:t>
      </w:r>
      <w:r w:rsidR="0042126D" w:rsidRPr="00BC7BB5">
        <w:rPr>
          <w:rFonts w:ascii="Times New Roman" w:hAnsi="Times New Roman" w:cs="Times New Roman"/>
        </w:rPr>
        <w:t>To collect, consolidate and report achievement of r</w:t>
      </w:r>
      <w:r w:rsidR="00B554B2" w:rsidRPr="00BC7BB5">
        <w:rPr>
          <w:rFonts w:ascii="Times New Roman" w:hAnsi="Times New Roman" w:cs="Times New Roman"/>
        </w:rPr>
        <w:t>esults and DLIs, the Program would take advantage of existing</w:t>
      </w:r>
      <w:r w:rsidR="0042126D" w:rsidRPr="00BC7BB5">
        <w:rPr>
          <w:rFonts w:ascii="Times New Roman" w:hAnsi="Times New Roman" w:cs="Times New Roman"/>
        </w:rPr>
        <w:t xml:space="preserve"> tracking mechanisms and types of records put in place for the activities and investments under the PMV. </w:t>
      </w:r>
      <w:r w:rsidR="009B33C6" w:rsidRPr="00BC7BB5">
        <w:rPr>
          <w:rFonts w:ascii="Times New Roman" w:hAnsi="Times New Roman" w:cs="Times New Roman"/>
        </w:rPr>
        <w:t>I</w:t>
      </w:r>
      <w:r w:rsidR="0042126D" w:rsidRPr="00BC7BB5">
        <w:rPr>
          <w:rFonts w:ascii="Times New Roman" w:hAnsi="Times New Roman" w:cs="Times New Roman"/>
        </w:rPr>
        <w:t xml:space="preserve">nvestments under </w:t>
      </w:r>
      <w:r w:rsidR="00B554B2" w:rsidRPr="00BC7BB5">
        <w:rPr>
          <w:rFonts w:ascii="Times New Roman" w:hAnsi="Times New Roman" w:cs="Times New Roman"/>
        </w:rPr>
        <w:t xml:space="preserve">the </w:t>
      </w:r>
      <w:r w:rsidR="0042126D" w:rsidRPr="00BC7BB5">
        <w:rPr>
          <w:rFonts w:ascii="Times New Roman" w:hAnsi="Times New Roman" w:cs="Times New Roman"/>
        </w:rPr>
        <w:t>FDA are monitored</w:t>
      </w:r>
      <w:r w:rsidR="00B554B2" w:rsidRPr="00BC7BB5">
        <w:rPr>
          <w:rFonts w:ascii="Times New Roman" w:hAnsi="Times New Roman" w:cs="Times New Roman"/>
        </w:rPr>
        <w:t xml:space="preserve"> by </w:t>
      </w:r>
      <w:r w:rsidR="00101E9E" w:rsidRPr="00BC7BB5">
        <w:rPr>
          <w:rFonts w:ascii="Times New Roman" w:hAnsi="Times New Roman" w:cs="Times New Roman"/>
        </w:rPr>
        <w:t xml:space="preserve">the </w:t>
      </w:r>
      <w:r w:rsidR="00B554B2" w:rsidRPr="00BC7BB5">
        <w:rPr>
          <w:rFonts w:ascii="Times New Roman" w:hAnsi="Times New Roman" w:cs="Times New Roman"/>
        </w:rPr>
        <w:t>DF</w:t>
      </w:r>
      <w:r w:rsidR="0042126D" w:rsidRPr="00BC7BB5">
        <w:rPr>
          <w:rFonts w:ascii="Times New Roman" w:hAnsi="Times New Roman" w:cs="Times New Roman"/>
        </w:rPr>
        <w:t xml:space="preserve"> through a Microsoft-based database that manages the information on applicants, proposals, and awarded </w:t>
      </w:r>
      <w:r w:rsidR="00101E9E" w:rsidRPr="00BC7BB5">
        <w:rPr>
          <w:rFonts w:ascii="Times New Roman" w:hAnsi="Times New Roman" w:cs="Times New Roman"/>
        </w:rPr>
        <w:t>incentives</w:t>
      </w:r>
      <w:r w:rsidR="0042126D" w:rsidRPr="00BC7BB5">
        <w:rPr>
          <w:rFonts w:ascii="Times New Roman" w:hAnsi="Times New Roman" w:cs="Times New Roman"/>
        </w:rPr>
        <w:t xml:space="preserve">. </w:t>
      </w:r>
      <w:r w:rsidR="00B554B2" w:rsidRPr="00BC7BB5">
        <w:rPr>
          <w:rFonts w:ascii="Times New Roman" w:hAnsi="Times New Roman" w:cs="Times New Roman"/>
        </w:rPr>
        <w:t>T</w:t>
      </w:r>
      <w:r w:rsidR="0042126D" w:rsidRPr="00BC7BB5">
        <w:rPr>
          <w:rFonts w:ascii="Times New Roman" w:hAnsi="Times New Roman" w:cs="Times New Roman"/>
        </w:rPr>
        <w:t>he D</w:t>
      </w:r>
      <w:r w:rsidR="00482152">
        <w:rPr>
          <w:rFonts w:ascii="Times New Roman" w:hAnsi="Times New Roman" w:cs="Times New Roman"/>
        </w:rPr>
        <w:t>D</w:t>
      </w:r>
      <w:r w:rsidR="0042126D" w:rsidRPr="00BC7BB5">
        <w:rPr>
          <w:rFonts w:ascii="Times New Roman" w:hAnsi="Times New Roman" w:cs="Times New Roman"/>
        </w:rPr>
        <w:t>FP</w:t>
      </w:r>
      <w:r w:rsidR="00730643" w:rsidRPr="00BC7BB5">
        <w:rPr>
          <w:rFonts w:ascii="Times New Roman" w:hAnsi="Times New Roman" w:cs="Times New Roman"/>
        </w:rPr>
        <w:fldChar w:fldCharType="begin"/>
      </w:r>
      <w:r w:rsidR="00730643" w:rsidRPr="00BC7BB5">
        <w:instrText xml:space="preserve"> XE "</w:instrText>
      </w:r>
      <w:r w:rsidR="00730643" w:rsidRPr="00BC7BB5">
        <w:rPr>
          <w:rFonts w:ascii="Times New Roman" w:hAnsi="Times New Roman" w:cs="Times New Roman"/>
        </w:rPr>
        <w:instrText>DFFP</w:instrText>
      </w:r>
      <w:r w:rsidR="00730643" w:rsidRPr="00BC7BB5">
        <w:instrText xml:space="preserve">" </w:instrText>
      </w:r>
      <w:r w:rsidR="00730643" w:rsidRPr="00BC7BB5">
        <w:rPr>
          <w:rFonts w:ascii="Times New Roman" w:hAnsi="Times New Roman" w:cs="Times New Roman"/>
        </w:rPr>
        <w:fldChar w:fldCharType="end"/>
      </w:r>
      <w:r w:rsidR="0042126D" w:rsidRPr="00BC7BB5">
        <w:rPr>
          <w:rFonts w:ascii="Times New Roman" w:hAnsi="Times New Roman" w:cs="Times New Roman"/>
        </w:rPr>
        <w:t xml:space="preserve"> tracks the implementation of the </w:t>
      </w:r>
      <w:r w:rsidR="00B554B2" w:rsidRPr="00BC7BB5">
        <w:rPr>
          <w:rFonts w:ascii="Times New Roman" w:hAnsi="Times New Roman" w:cs="Times New Roman"/>
        </w:rPr>
        <w:t>CPs</w:t>
      </w:r>
      <w:r w:rsidR="0042126D" w:rsidRPr="00BC7BB5">
        <w:rPr>
          <w:rFonts w:ascii="Times New Roman" w:hAnsi="Times New Roman" w:cs="Times New Roman"/>
        </w:rPr>
        <w:t xml:space="preserve"> with </w:t>
      </w:r>
      <w:r w:rsidR="00101E9E" w:rsidRPr="00BC7BB5">
        <w:rPr>
          <w:rFonts w:ascii="Times New Roman" w:hAnsi="Times New Roman" w:cs="Times New Roman"/>
        </w:rPr>
        <w:t xml:space="preserve">the </w:t>
      </w:r>
      <w:r w:rsidR="00B554B2" w:rsidRPr="00BC7BB5">
        <w:rPr>
          <w:rFonts w:ascii="Times New Roman" w:hAnsi="Times New Roman" w:cs="Times New Roman"/>
        </w:rPr>
        <w:t>interprofessions</w:t>
      </w:r>
      <w:r w:rsidR="0042126D" w:rsidRPr="00BC7BB5">
        <w:rPr>
          <w:rFonts w:ascii="Times New Roman" w:hAnsi="Times New Roman" w:cs="Times New Roman"/>
        </w:rPr>
        <w:t xml:space="preserve">. </w:t>
      </w:r>
      <w:r w:rsidR="005C7034" w:rsidRPr="00BC7BB5">
        <w:rPr>
          <w:rFonts w:ascii="Times New Roman" w:hAnsi="Times New Roman" w:cs="Times New Roman"/>
        </w:rPr>
        <w:t>A</w:t>
      </w:r>
      <w:r w:rsidR="0042126D" w:rsidRPr="00BC7BB5">
        <w:rPr>
          <w:rFonts w:ascii="Times New Roman" w:hAnsi="Times New Roman" w:cs="Times New Roman"/>
        </w:rPr>
        <w:t xml:space="preserve"> more sophisticated online-based platform (STATAGRI), administered at central level by the DSS, helps manage data </w:t>
      </w:r>
      <w:r w:rsidR="005C7034" w:rsidRPr="00BC7BB5">
        <w:rPr>
          <w:rFonts w:ascii="Times New Roman" w:hAnsi="Times New Roman" w:cs="Times New Roman"/>
        </w:rPr>
        <w:t>on agricultural production</w:t>
      </w:r>
      <w:r w:rsidR="0042126D" w:rsidRPr="00BC7BB5">
        <w:rPr>
          <w:rFonts w:ascii="Times New Roman" w:hAnsi="Times New Roman" w:cs="Times New Roman"/>
        </w:rPr>
        <w:t>, collected by</w:t>
      </w:r>
      <w:r w:rsidR="00723939" w:rsidRPr="00BC7BB5">
        <w:rPr>
          <w:rFonts w:ascii="Times New Roman" w:hAnsi="Times New Roman" w:cs="Times New Roman"/>
        </w:rPr>
        <w:t xml:space="preserve"> </w:t>
      </w:r>
      <w:r w:rsidR="00DE6890" w:rsidRPr="00BC7BB5">
        <w:rPr>
          <w:rFonts w:ascii="Times New Roman" w:hAnsi="Times New Roman" w:cs="Times New Roman"/>
        </w:rPr>
        <w:t>DRAs</w:t>
      </w:r>
      <w:r w:rsidR="0042126D" w:rsidRPr="00BC7BB5">
        <w:rPr>
          <w:rFonts w:ascii="Times New Roman" w:hAnsi="Times New Roman" w:cs="Times New Roman"/>
        </w:rPr>
        <w:t xml:space="preserve"> by means of surveys and administrative records. Regarding aggregation </w:t>
      </w:r>
      <w:r w:rsidR="00DE6890" w:rsidRPr="00BC7BB5">
        <w:rPr>
          <w:rFonts w:ascii="Times New Roman" w:hAnsi="Times New Roman" w:cs="Times New Roman"/>
        </w:rPr>
        <w:t>projects</w:t>
      </w:r>
      <w:r w:rsidR="0042126D" w:rsidRPr="00BC7BB5">
        <w:rPr>
          <w:rFonts w:ascii="Times New Roman" w:hAnsi="Times New Roman" w:cs="Times New Roman"/>
        </w:rPr>
        <w:t>, ADA uses</w:t>
      </w:r>
      <w:r w:rsidR="0098284F">
        <w:rPr>
          <w:rFonts w:ascii="Times New Roman" w:hAnsi="Times New Roman" w:cs="Times New Roman"/>
        </w:rPr>
        <w:t xml:space="preserve"> an information system</w:t>
      </w:r>
      <w:r w:rsidR="0042126D" w:rsidRPr="00BC7BB5">
        <w:rPr>
          <w:rFonts w:ascii="Times New Roman" w:hAnsi="Times New Roman" w:cs="Times New Roman"/>
        </w:rPr>
        <w:t xml:space="preserve"> to coll</w:t>
      </w:r>
      <w:r w:rsidR="00DE6890" w:rsidRPr="00BC7BB5">
        <w:rPr>
          <w:rFonts w:ascii="Times New Roman" w:hAnsi="Times New Roman" w:cs="Times New Roman"/>
        </w:rPr>
        <w:t>ect field data</w:t>
      </w:r>
      <w:r w:rsidR="0042126D" w:rsidRPr="00BC7BB5">
        <w:rPr>
          <w:rFonts w:ascii="Times New Roman" w:hAnsi="Times New Roman" w:cs="Times New Roman"/>
        </w:rPr>
        <w:t xml:space="preserve"> (e.g.</w:t>
      </w:r>
      <w:r w:rsidR="00EC1AB7">
        <w:rPr>
          <w:rFonts w:ascii="Times New Roman" w:hAnsi="Times New Roman" w:cs="Times New Roman"/>
        </w:rPr>
        <w:t>,</w:t>
      </w:r>
      <w:r w:rsidR="0042126D" w:rsidRPr="00BC7BB5">
        <w:rPr>
          <w:rFonts w:ascii="Times New Roman" w:hAnsi="Times New Roman" w:cs="Times New Roman"/>
        </w:rPr>
        <w:t xml:space="preserve"> number of producers participating in the aggregation scheme</w:t>
      </w:r>
      <w:r w:rsidR="0098284F">
        <w:rPr>
          <w:rFonts w:ascii="Times New Roman" w:hAnsi="Times New Roman" w:cs="Times New Roman"/>
        </w:rPr>
        <w:t>s</w:t>
      </w:r>
      <w:r w:rsidR="0042126D" w:rsidRPr="00BC7BB5">
        <w:rPr>
          <w:rFonts w:ascii="Times New Roman" w:hAnsi="Times New Roman" w:cs="Times New Roman"/>
        </w:rPr>
        <w:t xml:space="preserve">, </w:t>
      </w:r>
      <w:r w:rsidR="0098284F">
        <w:rPr>
          <w:rFonts w:ascii="Times New Roman" w:hAnsi="Times New Roman" w:cs="Times New Roman"/>
        </w:rPr>
        <w:t>aggregated surface</w:t>
      </w:r>
      <w:r w:rsidR="0042126D" w:rsidRPr="00BC7BB5">
        <w:rPr>
          <w:rFonts w:ascii="Times New Roman" w:hAnsi="Times New Roman" w:cs="Times New Roman"/>
        </w:rPr>
        <w:t xml:space="preserve">, </w:t>
      </w:r>
      <w:r w:rsidR="00101E9E" w:rsidRPr="00BC7BB5">
        <w:rPr>
          <w:rFonts w:ascii="Times New Roman" w:hAnsi="Times New Roman" w:cs="Times New Roman"/>
        </w:rPr>
        <w:t>etc.</w:t>
      </w:r>
      <w:r w:rsidR="0042126D" w:rsidRPr="00BC7BB5">
        <w:rPr>
          <w:rFonts w:ascii="Times New Roman" w:hAnsi="Times New Roman" w:cs="Times New Roman"/>
        </w:rPr>
        <w:t>) and consolidate</w:t>
      </w:r>
      <w:r w:rsidR="00DE6890" w:rsidRPr="00BC7BB5">
        <w:rPr>
          <w:rFonts w:ascii="Times New Roman" w:hAnsi="Times New Roman" w:cs="Times New Roman"/>
        </w:rPr>
        <w:t>s</w:t>
      </w:r>
      <w:r w:rsidR="0042126D" w:rsidRPr="00BC7BB5">
        <w:rPr>
          <w:rFonts w:ascii="Times New Roman" w:hAnsi="Times New Roman" w:cs="Times New Roman"/>
        </w:rPr>
        <w:t xml:space="preserve"> them at central level.</w:t>
      </w:r>
      <w:r w:rsidR="009B33C6" w:rsidRPr="00BC7BB5">
        <w:rPr>
          <w:rFonts w:ascii="Times New Roman" w:hAnsi="Times New Roman" w:cs="Times New Roman"/>
        </w:rPr>
        <w:t xml:space="preserve"> </w:t>
      </w:r>
      <w:r w:rsidR="00101E9E" w:rsidRPr="00BC7BB5">
        <w:rPr>
          <w:rFonts w:ascii="Times New Roman" w:hAnsi="Times New Roman" w:cs="Times New Roman"/>
        </w:rPr>
        <w:t>Although tho</w:t>
      </w:r>
      <w:r w:rsidR="0042126D" w:rsidRPr="00BC7BB5">
        <w:rPr>
          <w:rFonts w:ascii="Times New Roman" w:hAnsi="Times New Roman" w:cs="Times New Roman"/>
        </w:rPr>
        <w:t xml:space="preserve">se systems have been extensively used, they </w:t>
      </w:r>
      <w:r w:rsidR="00EC1AB7">
        <w:rPr>
          <w:rFonts w:ascii="Times New Roman" w:hAnsi="Times New Roman" w:cs="Times New Roman"/>
        </w:rPr>
        <w:t>have</w:t>
      </w:r>
      <w:r w:rsidR="00EC1AB7" w:rsidRPr="00BC7BB5">
        <w:rPr>
          <w:rFonts w:ascii="Times New Roman" w:hAnsi="Times New Roman" w:cs="Times New Roman"/>
        </w:rPr>
        <w:t xml:space="preserve"> </w:t>
      </w:r>
      <w:r w:rsidR="000C6C8D" w:rsidRPr="00BC7BB5">
        <w:rPr>
          <w:rFonts w:ascii="Times New Roman" w:hAnsi="Times New Roman" w:cs="Times New Roman"/>
        </w:rPr>
        <w:t>substantial</w:t>
      </w:r>
      <w:r w:rsidR="0042126D" w:rsidRPr="00BC7BB5">
        <w:rPr>
          <w:rFonts w:ascii="Times New Roman" w:hAnsi="Times New Roman" w:cs="Times New Roman"/>
        </w:rPr>
        <w:t xml:space="preserve"> </w:t>
      </w:r>
      <w:r w:rsidR="001E1317" w:rsidRPr="00BC7BB5">
        <w:rPr>
          <w:rFonts w:ascii="Times New Roman" w:hAnsi="Times New Roman" w:cs="Times New Roman"/>
        </w:rPr>
        <w:t>weaknesses</w:t>
      </w:r>
      <w:r w:rsidR="0042126D" w:rsidRPr="00BC7BB5">
        <w:rPr>
          <w:rFonts w:ascii="Times New Roman" w:hAnsi="Times New Roman" w:cs="Times New Roman"/>
        </w:rPr>
        <w:t xml:space="preserve">. </w:t>
      </w:r>
      <w:r w:rsidR="009B33C6" w:rsidRPr="00BC7BB5">
        <w:rPr>
          <w:rFonts w:ascii="Times New Roman" w:hAnsi="Times New Roman" w:cs="Times New Roman"/>
        </w:rPr>
        <w:t>S</w:t>
      </w:r>
      <w:r w:rsidR="0042126D" w:rsidRPr="00BC7BB5">
        <w:rPr>
          <w:rFonts w:ascii="Times New Roman" w:hAnsi="Times New Roman" w:cs="Times New Roman"/>
        </w:rPr>
        <w:t xml:space="preserve">ome are paper-based (spreadsheets) and limited in depth and scope, whereas others use more advanced methods and </w:t>
      </w:r>
      <w:r w:rsidR="000C6C8D" w:rsidRPr="00BC7BB5">
        <w:rPr>
          <w:rFonts w:ascii="Times New Roman" w:hAnsi="Times New Roman" w:cs="Times New Roman"/>
        </w:rPr>
        <w:t>technologies</w:t>
      </w:r>
      <w:r w:rsidR="0042126D" w:rsidRPr="00BC7BB5">
        <w:rPr>
          <w:rFonts w:ascii="Times New Roman" w:hAnsi="Times New Roman" w:cs="Times New Roman"/>
        </w:rPr>
        <w:t xml:space="preserve">; </w:t>
      </w:r>
      <w:r w:rsidR="000C6C8D" w:rsidRPr="00BC7BB5">
        <w:rPr>
          <w:rFonts w:ascii="Times New Roman" w:hAnsi="Times New Roman" w:cs="Times New Roman"/>
        </w:rPr>
        <w:t>several databases</w:t>
      </w:r>
      <w:r w:rsidR="0042126D" w:rsidRPr="00BC7BB5">
        <w:rPr>
          <w:rFonts w:ascii="Times New Roman" w:hAnsi="Times New Roman" w:cs="Times New Roman"/>
        </w:rPr>
        <w:t xml:space="preserve"> are subject to internal inconsistencies, while others are inherently more robust. </w:t>
      </w:r>
      <w:r w:rsidR="009B33C6" w:rsidRPr="00BC7BB5">
        <w:rPr>
          <w:rFonts w:ascii="Times New Roman" w:hAnsi="Times New Roman" w:cs="Times New Roman"/>
        </w:rPr>
        <w:t>T</w:t>
      </w:r>
      <w:r w:rsidR="0042126D" w:rsidRPr="00BC7BB5">
        <w:rPr>
          <w:rFonts w:ascii="Times New Roman" w:hAnsi="Times New Roman" w:cs="Times New Roman"/>
        </w:rPr>
        <w:t xml:space="preserve">he systems in place do not </w:t>
      </w:r>
      <w:r w:rsidR="009B33C6" w:rsidRPr="00BC7BB5">
        <w:rPr>
          <w:rFonts w:ascii="Times New Roman" w:hAnsi="Times New Roman" w:cs="Times New Roman"/>
        </w:rPr>
        <w:t>constitute an integrated</w:t>
      </w:r>
      <w:r w:rsidR="007214FB">
        <w:rPr>
          <w:rFonts w:ascii="Times New Roman" w:hAnsi="Times New Roman" w:cs="Times New Roman"/>
        </w:rPr>
        <w:t xml:space="preserve"> M&amp;E system and are not </w:t>
      </w:r>
      <w:r w:rsidR="0042126D" w:rsidRPr="00BC7BB5">
        <w:rPr>
          <w:rFonts w:ascii="Times New Roman" w:hAnsi="Times New Roman" w:cs="Times New Roman"/>
        </w:rPr>
        <w:t>interop</w:t>
      </w:r>
      <w:r w:rsidR="007214FB">
        <w:rPr>
          <w:rFonts w:ascii="Times New Roman" w:hAnsi="Times New Roman" w:cs="Times New Roman"/>
        </w:rPr>
        <w:t>erable. In addition, most of tho</w:t>
      </w:r>
      <w:r w:rsidR="0042126D" w:rsidRPr="00BC7BB5">
        <w:rPr>
          <w:rFonts w:ascii="Times New Roman" w:hAnsi="Times New Roman" w:cs="Times New Roman"/>
        </w:rPr>
        <w:t>se systems are not georeferenced and lack public accessibility.</w:t>
      </w:r>
    </w:p>
    <w:p w14:paraId="7E25C9AB" w14:textId="77777777" w:rsidR="005D30EF" w:rsidRPr="00BC7BB5" w:rsidRDefault="005D30EF" w:rsidP="005D30EF">
      <w:pPr>
        <w:pStyle w:val="NoSpacing"/>
        <w:jc w:val="both"/>
        <w:rPr>
          <w:rFonts w:ascii="Times New Roman" w:hAnsi="Times New Roman" w:cs="Times New Roman"/>
        </w:rPr>
      </w:pPr>
    </w:p>
    <w:p w14:paraId="4FE16FA3" w14:textId="2D578D51" w:rsidR="0042126D" w:rsidRPr="00BC7BB5" w:rsidRDefault="00907252" w:rsidP="00B35A06">
      <w:pPr>
        <w:pStyle w:val="NoSpacing"/>
        <w:numPr>
          <w:ilvl w:val="0"/>
          <w:numId w:val="7"/>
        </w:numPr>
        <w:ind w:left="0" w:firstLine="0"/>
        <w:jc w:val="both"/>
        <w:rPr>
          <w:rFonts w:ascii="Times New Roman" w:hAnsi="Times New Roman" w:cs="Times New Roman"/>
        </w:rPr>
      </w:pPr>
      <w:r w:rsidRPr="00BC7BB5">
        <w:rPr>
          <w:rFonts w:ascii="Times New Roman" w:hAnsi="Times New Roman" w:cs="Times New Roman"/>
          <w:b/>
        </w:rPr>
        <w:lastRenderedPageBreak/>
        <w:t>Addressing those weaknesses</w:t>
      </w:r>
      <w:r w:rsidR="0042126D" w:rsidRPr="00BC7BB5">
        <w:rPr>
          <w:rFonts w:ascii="Times New Roman" w:hAnsi="Times New Roman" w:cs="Times New Roman"/>
          <w:b/>
        </w:rPr>
        <w:t xml:space="preserve"> and building M&amp;E</w:t>
      </w:r>
      <w:r w:rsidR="00730643" w:rsidRPr="00BC7BB5">
        <w:rPr>
          <w:rFonts w:ascii="Times New Roman" w:hAnsi="Times New Roman" w:cs="Times New Roman"/>
          <w:b/>
        </w:rPr>
        <w:fldChar w:fldCharType="begin"/>
      </w:r>
      <w:r w:rsidR="00730643" w:rsidRPr="00BC7BB5">
        <w:instrText xml:space="preserve"> XE "</w:instrText>
      </w:r>
      <w:r w:rsidR="00730643" w:rsidRPr="00BC7BB5">
        <w:rPr>
          <w:rFonts w:ascii="Times New Roman" w:hAnsi="Times New Roman" w:cs="Times New Roman"/>
          <w:b/>
        </w:rPr>
        <w:instrText>M&amp;E:</w:instrText>
      </w:r>
      <w:r w:rsidR="00730643" w:rsidRPr="00BC7BB5">
        <w:instrText xml:space="preserve">Monitoring and Evaluation" </w:instrText>
      </w:r>
      <w:r w:rsidR="00730643" w:rsidRPr="00BC7BB5">
        <w:rPr>
          <w:rFonts w:ascii="Times New Roman" w:hAnsi="Times New Roman" w:cs="Times New Roman"/>
          <w:b/>
        </w:rPr>
        <w:fldChar w:fldCharType="end"/>
      </w:r>
      <w:r w:rsidR="0042126D" w:rsidRPr="00BC7BB5">
        <w:rPr>
          <w:rFonts w:ascii="Times New Roman" w:hAnsi="Times New Roman" w:cs="Times New Roman"/>
          <w:b/>
        </w:rPr>
        <w:t xml:space="preserve"> capacity </w:t>
      </w:r>
      <w:r w:rsidRPr="00BC7BB5">
        <w:rPr>
          <w:rFonts w:ascii="Times New Roman" w:hAnsi="Times New Roman" w:cs="Times New Roman"/>
          <w:b/>
        </w:rPr>
        <w:t>w</w:t>
      </w:r>
      <w:r w:rsidR="00B67994">
        <w:rPr>
          <w:rFonts w:ascii="Times New Roman" w:hAnsi="Times New Roman" w:cs="Times New Roman"/>
          <w:b/>
        </w:rPr>
        <w:t>ill</w:t>
      </w:r>
      <w:r w:rsidRPr="00BC7BB5">
        <w:rPr>
          <w:rFonts w:ascii="Times New Roman" w:hAnsi="Times New Roman" w:cs="Times New Roman"/>
          <w:b/>
        </w:rPr>
        <w:t xml:space="preserve"> be part of the Program’s activities</w:t>
      </w:r>
      <w:r w:rsidR="0042126D" w:rsidRPr="00BC7BB5">
        <w:rPr>
          <w:rFonts w:ascii="Times New Roman" w:hAnsi="Times New Roman" w:cs="Times New Roman"/>
        </w:rPr>
        <w:t xml:space="preserve">. </w:t>
      </w:r>
      <w:r w:rsidR="00D016E3">
        <w:rPr>
          <w:rFonts w:ascii="Times New Roman" w:hAnsi="Times New Roman" w:cs="Times New Roman"/>
        </w:rPr>
        <w:t>Through t</w:t>
      </w:r>
      <w:r w:rsidRPr="00BC7BB5">
        <w:rPr>
          <w:rFonts w:ascii="Times New Roman" w:hAnsi="Times New Roman" w:cs="Times New Roman"/>
        </w:rPr>
        <w:t>he Program</w:t>
      </w:r>
      <w:r w:rsidR="00D016E3">
        <w:rPr>
          <w:rFonts w:ascii="Times New Roman" w:hAnsi="Times New Roman" w:cs="Times New Roman"/>
        </w:rPr>
        <w:t>, MAPMDREF</w:t>
      </w:r>
      <w:r w:rsidRPr="00BC7BB5">
        <w:rPr>
          <w:rFonts w:ascii="Times New Roman" w:hAnsi="Times New Roman" w:cs="Times New Roman"/>
        </w:rPr>
        <w:t xml:space="preserve"> w</w:t>
      </w:r>
      <w:r w:rsidR="00B67994">
        <w:rPr>
          <w:rFonts w:ascii="Times New Roman" w:hAnsi="Times New Roman" w:cs="Times New Roman"/>
        </w:rPr>
        <w:t>ill</w:t>
      </w:r>
      <w:r w:rsidR="00831CD3">
        <w:rPr>
          <w:rFonts w:ascii="Times New Roman" w:hAnsi="Times New Roman" w:cs="Times New Roman"/>
        </w:rPr>
        <w:t xml:space="preserve"> put in place a simple,</w:t>
      </w:r>
      <w:r w:rsidR="0042126D" w:rsidRPr="00BC7BB5">
        <w:rPr>
          <w:rFonts w:ascii="Times New Roman" w:hAnsi="Times New Roman" w:cs="Times New Roman"/>
        </w:rPr>
        <w:t xml:space="preserve"> integrated web-based data administration </w:t>
      </w:r>
      <w:r w:rsidR="0098284F">
        <w:rPr>
          <w:rFonts w:ascii="Times New Roman" w:hAnsi="Times New Roman" w:cs="Times New Roman"/>
        </w:rPr>
        <w:t>system</w:t>
      </w:r>
      <w:r w:rsidR="00101E9E" w:rsidRPr="00BC7BB5">
        <w:rPr>
          <w:rFonts w:ascii="Times New Roman" w:hAnsi="Times New Roman" w:cs="Times New Roman"/>
        </w:rPr>
        <w:t xml:space="preserve"> (</w:t>
      </w:r>
      <w:r w:rsidR="006B0550" w:rsidRPr="00BC7BB5">
        <w:rPr>
          <w:rFonts w:ascii="Times New Roman" w:hAnsi="Times New Roman" w:cs="Times New Roman"/>
        </w:rPr>
        <w:t>M</w:t>
      </w:r>
      <w:r w:rsidR="00101E9E" w:rsidRPr="00BC7BB5">
        <w:rPr>
          <w:rFonts w:ascii="Times New Roman" w:hAnsi="Times New Roman" w:cs="Times New Roman"/>
        </w:rPr>
        <w:t xml:space="preserve">anagement </w:t>
      </w:r>
      <w:r w:rsidR="006B0550" w:rsidRPr="00BC7BB5">
        <w:rPr>
          <w:rFonts w:ascii="Times New Roman" w:hAnsi="Times New Roman" w:cs="Times New Roman"/>
        </w:rPr>
        <w:t>I</w:t>
      </w:r>
      <w:r w:rsidR="00101E9E" w:rsidRPr="00BC7BB5">
        <w:rPr>
          <w:rFonts w:ascii="Times New Roman" w:hAnsi="Times New Roman" w:cs="Times New Roman"/>
        </w:rPr>
        <w:t xml:space="preserve">nformation </w:t>
      </w:r>
      <w:r w:rsidR="006B0550" w:rsidRPr="00BC7BB5">
        <w:rPr>
          <w:rFonts w:ascii="Times New Roman" w:hAnsi="Times New Roman" w:cs="Times New Roman"/>
        </w:rPr>
        <w:t>S</w:t>
      </w:r>
      <w:r w:rsidR="00101E9E" w:rsidRPr="00BC7BB5">
        <w:rPr>
          <w:rFonts w:ascii="Times New Roman" w:hAnsi="Times New Roman" w:cs="Times New Roman"/>
        </w:rPr>
        <w:t>ystem)</w:t>
      </w:r>
      <w:r w:rsidR="0042126D" w:rsidRPr="00BC7BB5">
        <w:rPr>
          <w:rFonts w:ascii="Times New Roman" w:hAnsi="Times New Roman" w:cs="Times New Roman"/>
        </w:rPr>
        <w:t xml:space="preserve"> </w:t>
      </w:r>
      <w:r w:rsidRPr="00BC7BB5">
        <w:rPr>
          <w:rFonts w:ascii="Times New Roman" w:hAnsi="Times New Roman" w:cs="Times New Roman"/>
        </w:rPr>
        <w:t>that w</w:t>
      </w:r>
      <w:r w:rsidR="00B67994">
        <w:rPr>
          <w:rFonts w:ascii="Times New Roman" w:hAnsi="Times New Roman" w:cs="Times New Roman"/>
        </w:rPr>
        <w:t>ill</w:t>
      </w:r>
      <w:r w:rsidR="0042126D" w:rsidRPr="00BC7BB5">
        <w:rPr>
          <w:rFonts w:ascii="Times New Roman" w:hAnsi="Times New Roman" w:cs="Times New Roman"/>
        </w:rPr>
        <w:t xml:space="preserve"> allow better data management and periodic reporting, including specific requirements such as gender</w:t>
      </w:r>
      <w:r w:rsidR="00236B79">
        <w:rPr>
          <w:rFonts w:ascii="Times New Roman" w:hAnsi="Times New Roman" w:cs="Times New Roman"/>
        </w:rPr>
        <w:t>-</w:t>
      </w:r>
      <w:r w:rsidR="0042126D" w:rsidRPr="00BC7BB5">
        <w:rPr>
          <w:rFonts w:ascii="Times New Roman" w:hAnsi="Times New Roman" w:cs="Times New Roman"/>
        </w:rPr>
        <w:t xml:space="preserve">disaggregated data. </w:t>
      </w:r>
      <w:r w:rsidR="0065554D" w:rsidRPr="00AD6058">
        <w:rPr>
          <w:rFonts w:ascii="Times New Roman" w:hAnsi="Times New Roman" w:cs="Times New Roman"/>
        </w:rPr>
        <w:t xml:space="preserve">To ensure transparency and strengthen citizen engagement, </w:t>
      </w:r>
      <w:r w:rsidR="00D016E3">
        <w:rPr>
          <w:rFonts w:ascii="Times New Roman" w:hAnsi="Times New Roman" w:cs="Times New Roman"/>
        </w:rPr>
        <w:t xml:space="preserve">MAPMDREF </w:t>
      </w:r>
      <w:r w:rsidR="0065554D" w:rsidRPr="00AD6058">
        <w:rPr>
          <w:rFonts w:ascii="Times New Roman" w:hAnsi="Times New Roman" w:cs="Times New Roman"/>
        </w:rPr>
        <w:t>will</w:t>
      </w:r>
      <w:r w:rsidR="0065554D" w:rsidRPr="00AD6058">
        <w:t xml:space="preserve"> </w:t>
      </w:r>
      <w:r w:rsidR="0065554D" w:rsidRPr="00AD6058">
        <w:rPr>
          <w:rFonts w:ascii="Times New Roman" w:hAnsi="Times New Roman" w:cs="Times New Roman"/>
        </w:rPr>
        <w:t>conduct at least one public consultation per year on the Program</w:t>
      </w:r>
      <w:r w:rsidR="00236B79">
        <w:rPr>
          <w:rFonts w:ascii="Times New Roman" w:hAnsi="Times New Roman" w:cs="Times New Roman"/>
        </w:rPr>
        <w:t xml:space="preserve"> throughout the implementation period</w:t>
      </w:r>
      <w:r w:rsidR="0065554D" w:rsidRPr="00AD6058">
        <w:rPr>
          <w:rFonts w:ascii="Times New Roman" w:hAnsi="Times New Roman" w:cs="Times New Roman"/>
        </w:rPr>
        <w:t>.</w:t>
      </w:r>
      <w:r w:rsidR="00236B79">
        <w:rPr>
          <w:rFonts w:ascii="Times New Roman" w:hAnsi="Times New Roman" w:cs="Times New Roman"/>
        </w:rPr>
        <w:t xml:space="preserve"> This will be monitored as an indicator in the PforR results framework.</w:t>
      </w:r>
    </w:p>
    <w:p w14:paraId="53B2A1E3" w14:textId="5D8922E3" w:rsidR="00D51A17" w:rsidRPr="00BC7BB5" w:rsidRDefault="00D51A17" w:rsidP="00B65FDD">
      <w:pPr>
        <w:pStyle w:val="NoSpacing"/>
        <w:ind w:left="360"/>
        <w:jc w:val="both"/>
        <w:rPr>
          <w:rFonts w:ascii="Times New Roman" w:hAnsi="Times New Roman" w:cs="Times New Roman"/>
        </w:rPr>
      </w:pPr>
    </w:p>
    <w:p w14:paraId="53B2A1E6" w14:textId="0CD1EF49" w:rsidR="00D51A17" w:rsidRPr="00BC7BB5" w:rsidRDefault="001D2940" w:rsidP="00F561E8">
      <w:pPr>
        <w:pStyle w:val="NoSpacing"/>
        <w:numPr>
          <w:ilvl w:val="0"/>
          <w:numId w:val="28"/>
        </w:numPr>
        <w:ind w:left="0" w:firstLine="0"/>
        <w:outlineLvl w:val="1"/>
        <w:rPr>
          <w:rFonts w:ascii="Times New Roman Bold" w:hAnsi="Times New Roman Bold" w:cs="Times New Roman"/>
          <w:b/>
          <w:smallCaps/>
        </w:rPr>
      </w:pPr>
      <w:bookmarkStart w:id="15" w:name="_Toc499113404"/>
      <w:r w:rsidRPr="00BC7BB5">
        <w:rPr>
          <w:rFonts w:ascii="Times New Roman Bold" w:hAnsi="Times New Roman Bold" w:cs="Times New Roman"/>
          <w:b/>
          <w:smallCaps/>
        </w:rPr>
        <w:t xml:space="preserve">Disbursement </w:t>
      </w:r>
      <w:r w:rsidR="00D93430" w:rsidRPr="00BC7BB5">
        <w:rPr>
          <w:rFonts w:ascii="Times New Roman Bold" w:hAnsi="Times New Roman Bold" w:cs="Times New Roman"/>
          <w:b/>
          <w:smallCaps/>
        </w:rPr>
        <w:t>A</w:t>
      </w:r>
      <w:r w:rsidRPr="00BC7BB5">
        <w:rPr>
          <w:rFonts w:ascii="Times New Roman Bold" w:hAnsi="Times New Roman Bold" w:cs="Times New Roman"/>
          <w:b/>
          <w:smallCaps/>
        </w:rPr>
        <w:t>rrangements</w:t>
      </w:r>
      <w:bookmarkEnd w:id="15"/>
      <w:r w:rsidRPr="00BC7BB5">
        <w:rPr>
          <w:rFonts w:ascii="Times New Roman Bold" w:hAnsi="Times New Roman Bold" w:cs="Times New Roman"/>
          <w:b/>
          <w:smallCaps/>
        </w:rPr>
        <w:t xml:space="preserve"> </w:t>
      </w:r>
    </w:p>
    <w:p w14:paraId="15E8F17B" w14:textId="1943A7F8" w:rsidR="00E93DB4" w:rsidRPr="00BC7BB5" w:rsidRDefault="00E93DB4" w:rsidP="00B35A06">
      <w:pPr>
        <w:pStyle w:val="ListParagraph"/>
        <w:numPr>
          <w:ilvl w:val="0"/>
          <w:numId w:val="7"/>
        </w:numPr>
        <w:spacing w:before="240" w:after="240" w:line="240" w:lineRule="auto"/>
        <w:ind w:left="0" w:firstLine="0"/>
        <w:jc w:val="both"/>
        <w:rPr>
          <w:rFonts w:ascii="Times New Roman" w:hAnsi="Times New Roman" w:cs="Times New Roman"/>
          <w:color w:val="000000"/>
        </w:rPr>
      </w:pPr>
      <w:r w:rsidRPr="00BC7BB5">
        <w:rPr>
          <w:rFonts w:ascii="Times New Roman" w:hAnsi="Times New Roman" w:cs="Times New Roman"/>
          <w:b/>
          <w:color w:val="000000"/>
        </w:rPr>
        <w:t>Disbursement arrangements</w:t>
      </w:r>
      <w:r w:rsidRPr="00BC7BB5">
        <w:rPr>
          <w:rFonts w:ascii="Times New Roman" w:hAnsi="Times New Roman" w:cs="Times New Roman"/>
          <w:i/>
          <w:color w:val="000000"/>
        </w:rPr>
        <w:t>.</w:t>
      </w:r>
      <w:r w:rsidRPr="00BC7BB5">
        <w:rPr>
          <w:rFonts w:ascii="Times New Roman" w:hAnsi="Times New Roman" w:cs="Times New Roman"/>
          <w:color w:val="000000"/>
        </w:rPr>
        <w:t xml:space="preserve"> Disbursement of </w:t>
      </w:r>
      <w:r w:rsidR="00236B79">
        <w:rPr>
          <w:rFonts w:ascii="Times New Roman" w:hAnsi="Times New Roman" w:cs="Times New Roman"/>
          <w:color w:val="000000"/>
        </w:rPr>
        <w:t xml:space="preserve">the </w:t>
      </w:r>
      <w:r w:rsidRPr="00BC7BB5">
        <w:rPr>
          <w:rFonts w:ascii="Times New Roman" w:hAnsi="Times New Roman" w:cs="Times New Roman"/>
          <w:color w:val="000000"/>
        </w:rPr>
        <w:t>Bank loan proceeds would be made at the request of the Borrower upon achievement of Disbursement-Linked Indicators (DLIs). Disbursements for DLI#1, DLI#</w:t>
      </w:r>
      <w:r w:rsidR="006E684D" w:rsidRPr="00BC7BB5">
        <w:rPr>
          <w:rFonts w:ascii="Times New Roman" w:hAnsi="Times New Roman" w:cs="Times New Roman"/>
          <w:color w:val="000000"/>
        </w:rPr>
        <w:t>3</w:t>
      </w:r>
      <w:r w:rsidRPr="00BC7BB5">
        <w:rPr>
          <w:rFonts w:ascii="Times New Roman" w:hAnsi="Times New Roman" w:cs="Times New Roman"/>
          <w:color w:val="000000"/>
        </w:rPr>
        <w:t>, DLI#</w:t>
      </w:r>
      <w:r w:rsidR="006E684D" w:rsidRPr="00BC7BB5">
        <w:rPr>
          <w:rFonts w:ascii="Times New Roman" w:hAnsi="Times New Roman" w:cs="Times New Roman"/>
          <w:color w:val="000000"/>
        </w:rPr>
        <w:t>4</w:t>
      </w:r>
      <w:r w:rsidRPr="00BC7BB5">
        <w:rPr>
          <w:rFonts w:ascii="Times New Roman" w:hAnsi="Times New Roman" w:cs="Times New Roman"/>
          <w:color w:val="000000"/>
        </w:rPr>
        <w:t>, DLI#</w:t>
      </w:r>
      <w:r w:rsidR="006E684D" w:rsidRPr="00BC7BB5">
        <w:rPr>
          <w:rFonts w:ascii="Times New Roman" w:hAnsi="Times New Roman" w:cs="Times New Roman"/>
          <w:color w:val="000000"/>
        </w:rPr>
        <w:t xml:space="preserve">5 </w:t>
      </w:r>
      <w:r w:rsidRPr="00BC7BB5">
        <w:rPr>
          <w:rFonts w:ascii="Times New Roman" w:hAnsi="Times New Roman" w:cs="Times New Roman"/>
          <w:color w:val="000000"/>
        </w:rPr>
        <w:t>and DLI#</w:t>
      </w:r>
      <w:r w:rsidR="008E0F24" w:rsidRPr="00BC7BB5">
        <w:rPr>
          <w:rFonts w:ascii="Times New Roman" w:hAnsi="Times New Roman" w:cs="Times New Roman"/>
          <w:color w:val="000000"/>
        </w:rPr>
        <w:t>7</w:t>
      </w:r>
      <w:r w:rsidRPr="00BC7BB5">
        <w:rPr>
          <w:rFonts w:ascii="Times New Roman" w:hAnsi="Times New Roman" w:cs="Times New Roman"/>
          <w:color w:val="000000"/>
        </w:rPr>
        <w:t xml:space="preserve"> are scalable, thus allowing for disbursements to be proportional to the progress towards achieving the targeted DLI value. Disbursements </w:t>
      </w:r>
      <w:r w:rsidRPr="000A1436">
        <w:rPr>
          <w:rFonts w:ascii="Times New Roman" w:hAnsi="Times New Roman" w:cs="Times New Roman"/>
          <w:color w:val="000000"/>
        </w:rPr>
        <w:t xml:space="preserve">under </w:t>
      </w:r>
      <w:r w:rsidR="001075E2" w:rsidRPr="000A1436">
        <w:rPr>
          <w:rFonts w:ascii="Times New Roman" w:hAnsi="Times New Roman" w:cs="Times New Roman"/>
          <w:color w:val="000000"/>
        </w:rPr>
        <w:t>DLI#</w:t>
      </w:r>
      <w:r w:rsidR="001F7A2F" w:rsidRPr="000A1436">
        <w:rPr>
          <w:rFonts w:ascii="Times New Roman" w:hAnsi="Times New Roman" w:cs="Times New Roman"/>
          <w:color w:val="000000"/>
        </w:rPr>
        <w:t>2</w:t>
      </w:r>
      <w:r w:rsidR="001075E2" w:rsidRPr="00BC7BB5">
        <w:rPr>
          <w:rFonts w:ascii="Times New Roman" w:hAnsi="Times New Roman" w:cs="Times New Roman"/>
          <w:color w:val="000000"/>
        </w:rPr>
        <w:t>, DLI#6 and DLI#8</w:t>
      </w:r>
      <w:r w:rsidRPr="00BC7BB5">
        <w:rPr>
          <w:rFonts w:ascii="Times New Roman" w:hAnsi="Times New Roman" w:cs="Times New Roman"/>
          <w:color w:val="000000"/>
        </w:rPr>
        <w:t xml:space="preserve"> are not scalable as the indicator relates to actions that are either achieved or not. For results not achieved, or partially achieved, by the due date </w:t>
      </w:r>
      <w:r w:rsidR="00236B79">
        <w:rPr>
          <w:rFonts w:ascii="Times New Roman" w:hAnsi="Times New Roman" w:cs="Times New Roman"/>
          <w:color w:val="000000"/>
        </w:rPr>
        <w:t>in</w:t>
      </w:r>
      <w:r w:rsidR="00236B79" w:rsidRPr="00BC7BB5">
        <w:rPr>
          <w:rFonts w:ascii="Times New Roman" w:hAnsi="Times New Roman" w:cs="Times New Roman"/>
          <w:color w:val="000000"/>
        </w:rPr>
        <w:t xml:space="preserve"> </w:t>
      </w:r>
      <w:r w:rsidRPr="00BC7BB5">
        <w:rPr>
          <w:rFonts w:ascii="Times New Roman" w:hAnsi="Times New Roman" w:cs="Times New Roman"/>
          <w:color w:val="000000"/>
        </w:rPr>
        <w:t xml:space="preserve">a given year, the allocated amount outstanding would be carried over to subsequent years. The specific amounts to be disbursed against achieved and verified results is determined in accordance with the formulas provided in Annex </w:t>
      </w:r>
      <w:r w:rsidR="006E4122" w:rsidRPr="00BC7BB5">
        <w:rPr>
          <w:rFonts w:ascii="Times New Roman" w:hAnsi="Times New Roman" w:cs="Times New Roman"/>
          <w:color w:val="000000"/>
        </w:rPr>
        <w:t>3</w:t>
      </w:r>
      <w:r w:rsidRPr="00BC7BB5">
        <w:rPr>
          <w:rFonts w:ascii="Times New Roman" w:hAnsi="Times New Roman" w:cs="Times New Roman"/>
          <w:color w:val="000000"/>
        </w:rPr>
        <w:t xml:space="preserve">. </w:t>
      </w:r>
    </w:p>
    <w:p w14:paraId="2484B096" w14:textId="77777777" w:rsidR="00E93DB4" w:rsidRPr="00BC7BB5" w:rsidRDefault="00E93DB4" w:rsidP="00E93DB4">
      <w:pPr>
        <w:pStyle w:val="ListParagraph"/>
        <w:spacing w:before="240" w:after="240" w:line="240" w:lineRule="auto"/>
        <w:ind w:left="0"/>
        <w:jc w:val="both"/>
        <w:rPr>
          <w:rFonts w:ascii="Times New Roman" w:hAnsi="Times New Roman" w:cs="Times New Roman"/>
          <w:color w:val="000000"/>
        </w:rPr>
      </w:pPr>
    </w:p>
    <w:p w14:paraId="1177271D" w14:textId="2F9CC07A" w:rsidR="00E93DB4" w:rsidRPr="00BC7BB5" w:rsidRDefault="00E93DB4" w:rsidP="00B35A06">
      <w:pPr>
        <w:pStyle w:val="ListParagraph"/>
        <w:numPr>
          <w:ilvl w:val="0"/>
          <w:numId w:val="7"/>
        </w:numPr>
        <w:spacing w:before="240" w:after="240" w:line="240" w:lineRule="auto"/>
        <w:ind w:left="0" w:firstLine="0"/>
        <w:jc w:val="both"/>
        <w:rPr>
          <w:rFonts w:ascii="Times New Roman" w:hAnsi="Times New Roman" w:cs="Times New Roman"/>
          <w:color w:val="000000"/>
        </w:rPr>
      </w:pPr>
      <w:r w:rsidRPr="00BC7BB5">
        <w:rPr>
          <w:rFonts w:ascii="Times New Roman" w:hAnsi="Times New Roman" w:cs="Times New Roman"/>
          <w:b/>
          <w:color w:val="000000"/>
        </w:rPr>
        <w:t xml:space="preserve">Advances and </w:t>
      </w:r>
      <w:r w:rsidR="00236B79">
        <w:rPr>
          <w:rFonts w:ascii="Times New Roman" w:hAnsi="Times New Roman" w:cs="Times New Roman"/>
          <w:b/>
          <w:color w:val="000000"/>
        </w:rPr>
        <w:t>p</w:t>
      </w:r>
      <w:r w:rsidRPr="00BC7BB5">
        <w:rPr>
          <w:rFonts w:ascii="Times New Roman" w:hAnsi="Times New Roman" w:cs="Times New Roman"/>
          <w:b/>
          <w:color w:val="000000"/>
        </w:rPr>
        <w:t xml:space="preserve">rior </w:t>
      </w:r>
      <w:r w:rsidR="00236B79">
        <w:rPr>
          <w:rFonts w:ascii="Times New Roman" w:hAnsi="Times New Roman" w:cs="Times New Roman"/>
          <w:b/>
          <w:color w:val="000000"/>
        </w:rPr>
        <w:t>r</w:t>
      </w:r>
      <w:r w:rsidRPr="00BC7BB5">
        <w:rPr>
          <w:rFonts w:ascii="Times New Roman" w:hAnsi="Times New Roman" w:cs="Times New Roman"/>
          <w:b/>
          <w:color w:val="000000"/>
        </w:rPr>
        <w:t xml:space="preserve">esults </w:t>
      </w:r>
      <w:r w:rsidR="00236B79">
        <w:rPr>
          <w:rFonts w:ascii="Times New Roman" w:hAnsi="Times New Roman" w:cs="Times New Roman"/>
          <w:b/>
          <w:color w:val="000000"/>
        </w:rPr>
        <w:t>f</w:t>
      </w:r>
      <w:r w:rsidRPr="00BC7BB5">
        <w:rPr>
          <w:rFonts w:ascii="Times New Roman" w:hAnsi="Times New Roman" w:cs="Times New Roman"/>
          <w:b/>
          <w:color w:val="000000"/>
        </w:rPr>
        <w:t>inancing</w:t>
      </w:r>
      <w:r w:rsidRPr="00BC7BB5">
        <w:rPr>
          <w:rFonts w:ascii="Times New Roman" w:hAnsi="Times New Roman" w:cs="Times New Roman"/>
          <w:i/>
          <w:color w:val="000000"/>
        </w:rPr>
        <w:t xml:space="preserve">. </w:t>
      </w:r>
      <w:r w:rsidRPr="00BC7BB5">
        <w:rPr>
          <w:rFonts w:ascii="Times New Roman" w:hAnsi="Times New Roman" w:cs="Times New Roman"/>
          <w:color w:val="000000"/>
        </w:rPr>
        <w:t xml:space="preserve">An advance </w:t>
      </w:r>
      <w:r w:rsidR="00DF1403">
        <w:rPr>
          <w:rFonts w:ascii="Times New Roman" w:hAnsi="Times New Roman" w:cs="Times New Roman"/>
          <w:color w:val="000000"/>
        </w:rPr>
        <w:t xml:space="preserve">up to </w:t>
      </w:r>
      <w:r w:rsidRPr="00BC7BB5">
        <w:rPr>
          <w:rFonts w:ascii="Times New Roman" w:hAnsi="Times New Roman" w:cs="Times New Roman"/>
          <w:color w:val="000000"/>
        </w:rPr>
        <w:t>US$50 million (</w:t>
      </w:r>
      <w:r w:rsidR="00236B79">
        <w:rPr>
          <w:rFonts w:ascii="Times New Roman" w:hAnsi="Times New Roman" w:cs="Times New Roman"/>
          <w:color w:val="000000"/>
        </w:rPr>
        <w:t xml:space="preserve">representing </w:t>
      </w:r>
      <w:r w:rsidR="00DF1403">
        <w:rPr>
          <w:rFonts w:ascii="Times New Roman" w:hAnsi="Times New Roman" w:cs="Times New Roman"/>
          <w:color w:val="000000"/>
        </w:rPr>
        <w:t xml:space="preserve">up to </w:t>
      </w:r>
      <w:r w:rsidRPr="00BC7BB5">
        <w:rPr>
          <w:rFonts w:ascii="Times New Roman" w:hAnsi="Times New Roman" w:cs="Times New Roman"/>
          <w:color w:val="000000"/>
        </w:rPr>
        <w:t xml:space="preserve">25 percent of the loan amount) may be </w:t>
      </w:r>
      <w:r w:rsidR="00DF1403">
        <w:rPr>
          <w:rFonts w:ascii="Times New Roman" w:hAnsi="Times New Roman" w:cs="Times New Roman"/>
          <w:color w:val="000000"/>
        </w:rPr>
        <w:t>requested by the Borrower</w:t>
      </w:r>
      <w:r w:rsidRPr="00BC7BB5">
        <w:rPr>
          <w:rFonts w:ascii="Times New Roman" w:hAnsi="Times New Roman" w:cs="Times New Roman"/>
          <w:color w:val="000000"/>
        </w:rPr>
        <w:t xml:space="preserve"> once the Program becomes effective to facilitate the achievement of DLI results. </w:t>
      </w:r>
      <w:r w:rsidR="007234EF">
        <w:rPr>
          <w:rFonts w:ascii="Times New Roman" w:hAnsi="Times New Roman" w:cs="Times New Roman"/>
          <w:color w:val="000000"/>
        </w:rPr>
        <w:t xml:space="preserve">The advance would be necessary </w:t>
      </w:r>
      <w:r w:rsidR="00D22168">
        <w:rPr>
          <w:rFonts w:ascii="Times New Roman" w:hAnsi="Times New Roman" w:cs="Times New Roman"/>
          <w:color w:val="000000"/>
        </w:rPr>
        <w:t>to enable the construction of public infrastructure under the Program (Mediterranean fruit fly control center and wholesale market for Rabat), to support the first batch of investment projects in conditioning, storage and processing units under Result area 1, to scale</w:t>
      </w:r>
      <w:r w:rsidR="00236B79">
        <w:rPr>
          <w:rFonts w:ascii="Times New Roman" w:hAnsi="Times New Roman" w:cs="Times New Roman"/>
          <w:color w:val="000000"/>
        </w:rPr>
        <w:t xml:space="preserve"> </w:t>
      </w:r>
      <w:r w:rsidR="00D22168">
        <w:rPr>
          <w:rFonts w:ascii="Times New Roman" w:hAnsi="Times New Roman" w:cs="Times New Roman"/>
          <w:color w:val="000000"/>
        </w:rPr>
        <w:t>up ONSSA’s support to private operators for complia</w:t>
      </w:r>
      <w:r w:rsidR="001372FF">
        <w:rPr>
          <w:rFonts w:ascii="Times New Roman" w:hAnsi="Times New Roman" w:cs="Times New Roman"/>
          <w:color w:val="000000"/>
        </w:rPr>
        <w:t>nce with the food safety law, to contract technical assistance under the Program</w:t>
      </w:r>
      <w:r w:rsidR="00236B79">
        <w:rPr>
          <w:rFonts w:ascii="Times New Roman" w:hAnsi="Times New Roman" w:cs="Times New Roman"/>
          <w:color w:val="000000"/>
        </w:rPr>
        <w:t>,</w:t>
      </w:r>
      <w:r w:rsidR="001372FF">
        <w:rPr>
          <w:rFonts w:ascii="Times New Roman" w:hAnsi="Times New Roman" w:cs="Times New Roman"/>
          <w:color w:val="000000"/>
        </w:rPr>
        <w:t xml:space="preserve"> and</w:t>
      </w:r>
      <w:r w:rsidR="00D22168">
        <w:rPr>
          <w:rFonts w:ascii="Times New Roman" w:hAnsi="Times New Roman" w:cs="Times New Roman"/>
          <w:color w:val="000000"/>
        </w:rPr>
        <w:t xml:space="preserve"> to launch the development of the integrated financial management system. </w:t>
      </w:r>
      <w:r w:rsidR="001372FF" w:rsidRPr="00BC7BB5">
        <w:rPr>
          <w:rFonts w:ascii="Times New Roman" w:hAnsi="Times New Roman" w:cs="Times New Roman"/>
          <w:color w:val="000000"/>
        </w:rPr>
        <w:t>This advance wo</w:t>
      </w:r>
      <w:r w:rsidR="001372FF">
        <w:rPr>
          <w:rFonts w:ascii="Times New Roman" w:hAnsi="Times New Roman" w:cs="Times New Roman"/>
          <w:color w:val="000000"/>
        </w:rPr>
        <w:t xml:space="preserve">uld be available throughout </w:t>
      </w:r>
      <w:r w:rsidR="001372FF" w:rsidRPr="00BC7BB5">
        <w:rPr>
          <w:rFonts w:ascii="Times New Roman" w:hAnsi="Times New Roman" w:cs="Times New Roman"/>
          <w:color w:val="000000"/>
        </w:rPr>
        <w:t xml:space="preserve">Program implementation on a revolving basis. </w:t>
      </w:r>
      <w:r w:rsidR="001372FF">
        <w:rPr>
          <w:rFonts w:ascii="Times New Roman" w:hAnsi="Times New Roman" w:cs="Times New Roman"/>
          <w:color w:val="000000"/>
        </w:rPr>
        <w:t xml:space="preserve">In addition, a disbursement of up to a maximum amount of US$50 million </w:t>
      </w:r>
      <w:r w:rsidR="00236B79">
        <w:rPr>
          <w:rFonts w:ascii="Times New Roman" w:hAnsi="Times New Roman" w:cs="Times New Roman"/>
          <w:color w:val="000000"/>
        </w:rPr>
        <w:t xml:space="preserve">may be made upon effectiveness for such DLRs </w:t>
      </w:r>
      <w:r w:rsidR="001372FF">
        <w:rPr>
          <w:rFonts w:ascii="Times New Roman" w:hAnsi="Times New Roman" w:cs="Times New Roman"/>
          <w:color w:val="000000"/>
        </w:rPr>
        <w:t xml:space="preserve">achieved </w:t>
      </w:r>
      <w:r w:rsidR="00236B79">
        <w:rPr>
          <w:rFonts w:ascii="Times New Roman" w:hAnsi="Times New Roman" w:cs="Times New Roman"/>
          <w:color w:val="000000"/>
        </w:rPr>
        <w:t xml:space="preserve">prior to the date of the loan agreement but on or after </w:t>
      </w:r>
      <w:r w:rsidR="003D2049">
        <w:rPr>
          <w:rFonts w:ascii="Times New Roman" w:hAnsi="Times New Roman" w:cs="Times New Roman"/>
          <w:color w:val="000000"/>
        </w:rPr>
        <w:t>November 22, 2016</w:t>
      </w:r>
      <w:r w:rsidR="00D22168">
        <w:rPr>
          <w:rFonts w:ascii="Times New Roman" w:hAnsi="Times New Roman" w:cs="Times New Roman"/>
          <w:color w:val="000000"/>
        </w:rPr>
        <w:t xml:space="preserve">. </w:t>
      </w:r>
      <w:r w:rsidR="001372FF" w:rsidRPr="00BC7BB5">
        <w:rPr>
          <w:rFonts w:ascii="Times New Roman" w:hAnsi="Times New Roman" w:cs="Times New Roman"/>
          <w:color w:val="000000"/>
        </w:rPr>
        <w:t>The Borrower has indicated its intention to avail itself of the full advance upon effectiveness</w:t>
      </w:r>
      <w:r w:rsidR="00236B79">
        <w:rPr>
          <w:rFonts w:ascii="Times New Roman" w:hAnsi="Times New Roman" w:cs="Times New Roman"/>
          <w:color w:val="000000"/>
        </w:rPr>
        <w:t>,</w:t>
      </w:r>
      <w:r w:rsidR="001372FF">
        <w:rPr>
          <w:rFonts w:ascii="Times New Roman" w:hAnsi="Times New Roman" w:cs="Times New Roman"/>
          <w:color w:val="000000"/>
        </w:rPr>
        <w:t xml:space="preserve"> as well as a possible request for prior result achievements for DLI</w:t>
      </w:r>
      <w:r w:rsidR="00755989">
        <w:rPr>
          <w:rFonts w:ascii="Times New Roman" w:hAnsi="Times New Roman" w:cs="Times New Roman"/>
          <w:color w:val="000000"/>
        </w:rPr>
        <w:t>#3</w:t>
      </w:r>
      <w:r w:rsidR="0098284F">
        <w:rPr>
          <w:rFonts w:ascii="Times New Roman" w:hAnsi="Times New Roman" w:cs="Times New Roman"/>
          <w:color w:val="000000"/>
        </w:rPr>
        <w:t xml:space="preserve"> and DLI#5</w:t>
      </w:r>
      <w:r w:rsidR="001372FF" w:rsidRPr="00BC7BB5">
        <w:rPr>
          <w:rFonts w:ascii="Times New Roman" w:hAnsi="Times New Roman" w:cs="Times New Roman"/>
          <w:color w:val="000000"/>
        </w:rPr>
        <w:t xml:space="preserve">. </w:t>
      </w:r>
    </w:p>
    <w:p w14:paraId="232434FD" w14:textId="77777777" w:rsidR="00E93DB4" w:rsidRPr="00BC7BB5" w:rsidRDefault="00E93DB4" w:rsidP="00E93DB4">
      <w:pPr>
        <w:pStyle w:val="ListParagraph"/>
        <w:spacing w:before="240" w:after="240" w:line="240" w:lineRule="auto"/>
        <w:ind w:left="0"/>
        <w:jc w:val="both"/>
        <w:rPr>
          <w:rFonts w:ascii="Times New Roman" w:hAnsi="Times New Roman" w:cs="Times New Roman"/>
          <w:color w:val="000000"/>
        </w:rPr>
      </w:pPr>
    </w:p>
    <w:p w14:paraId="3F11A341" w14:textId="7A096BBD" w:rsidR="00E93DB4" w:rsidRPr="00BC7BB5" w:rsidRDefault="00E93DB4" w:rsidP="00B35A06">
      <w:pPr>
        <w:pStyle w:val="ListParagraph"/>
        <w:numPr>
          <w:ilvl w:val="0"/>
          <w:numId w:val="7"/>
        </w:numPr>
        <w:spacing w:before="240" w:after="240" w:line="240" w:lineRule="auto"/>
        <w:ind w:left="0" w:firstLine="0"/>
        <w:jc w:val="both"/>
        <w:rPr>
          <w:rFonts w:ascii="Times New Roman" w:hAnsi="Times New Roman" w:cs="Times New Roman"/>
          <w:color w:val="000000"/>
        </w:rPr>
      </w:pPr>
      <w:r w:rsidRPr="00BC7BB5">
        <w:rPr>
          <w:rFonts w:ascii="Times New Roman" w:hAnsi="Times New Roman" w:cs="Times New Roman"/>
          <w:b/>
          <w:color w:val="000000"/>
        </w:rPr>
        <w:t>Verification protocols</w:t>
      </w:r>
      <w:r w:rsidRPr="00BC7BB5">
        <w:rPr>
          <w:rFonts w:ascii="Times New Roman" w:hAnsi="Times New Roman" w:cs="Times New Roman"/>
          <w:color w:val="000000"/>
        </w:rPr>
        <w:t xml:space="preserve">. The verification of progress towards the achievement of the Program's objectives </w:t>
      </w:r>
      <w:r w:rsidR="00FD5039">
        <w:rPr>
          <w:rFonts w:ascii="Times New Roman" w:hAnsi="Times New Roman" w:cs="Times New Roman"/>
          <w:color w:val="000000"/>
        </w:rPr>
        <w:t>will</w:t>
      </w:r>
      <w:r w:rsidR="007076C3" w:rsidRPr="00BC7BB5">
        <w:rPr>
          <w:rFonts w:ascii="Times New Roman" w:hAnsi="Times New Roman" w:cs="Times New Roman"/>
          <w:color w:val="000000"/>
        </w:rPr>
        <w:t xml:space="preserve"> be </w:t>
      </w:r>
      <w:r w:rsidR="000D7060" w:rsidRPr="00BC7BB5">
        <w:rPr>
          <w:rFonts w:ascii="Times New Roman" w:hAnsi="Times New Roman" w:cs="Times New Roman"/>
          <w:color w:val="000000"/>
        </w:rPr>
        <w:t>carried out by the General Inspectorate of MAP</w:t>
      </w:r>
      <w:r w:rsidR="0060781A">
        <w:rPr>
          <w:rFonts w:ascii="Times New Roman" w:hAnsi="Times New Roman" w:cs="Times New Roman"/>
          <w:color w:val="000000"/>
        </w:rPr>
        <w:t>M</w:t>
      </w:r>
      <w:r w:rsidR="000D7060" w:rsidRPr="00BC7BB5">
        <w:rPr>
          <w:rFonts w:ascii="Times New Roman" w:hAnsi="Times New Roman" w:cs="Times New Roman"/>
          <w:color w:val="000000"/>
        </w:rPr>
        <w:t>DREF (IGA)</w:t>
      </w:r>
      <w:r w:rsidRPr="00BC7BB5">
        <w:rPr>
          <w:rFonts w:ascii="Times New Roman" w:hAnsi="Times New Roman" w:cs="Times New Roman"/>
          <w:color w:val="000000"/>
        </w:rPr>
        <w:t xml:space="preserve">. </w:t>
      </w:r>
      <w:r w:rsidR="00326508">
        <w:rPr>
          <w:rFonts w:ascii="Times New Roman" w:hAnsi="Times New Roman" w:cs="Times New Roman"/>
          <w:color w:val="000000"/>
        </w:rPr>
        <w:t xml:space="preserve">The verification missions will be carried out at least annually, in accordance with the terms of reference set forth in the POM. </w:t>
      </w:r>
      <w:r w:rsidRPr="00BC7BB5">
        <w:rPr>
          <w:rFonts w:ascii="Times New Roman" w:hAnsi="Times New Roman" w:cs="Times New Roman"/>
          <w:color w:val="000000"/>
        </w:rPr>
        <w:t xml:space="preserve">The verification of achievement of Disbursement-Linked </w:t>
      </w:r>
      <w:r w:rsidR="00C850D8" w:rsidRPr="00BC7BB5">
        <w:rPr>
          <w:rFonts w:ascii="Times New Roman" w:hAnsi="Times New Roman" w:cs="Times New Roman"/>
          <w:color w:val="000000"/>
        </w:rPr>
        <w:t xml:space="preserve">Indicators </w:t>
      </w:r>
      <w:r w:rsidRPr="00BC7BB5">
        <w:rPr>
          <w:rFonts w:ascii="Times New Roman" w:hAnsi="Times New Roman" w:cs="Times New Roman"/>
          <w:color w:val="000000"/>
        </w:rPr>
        <w:t xml:space="preserve">by </w:t>
      </w:r>
      <w:r w:rsidR="000D7060" w:rsidRPr="00BC7BB5">
        <w:rPr>
          <w:rFonts w:ascii="Times New Roman" w:hAnsi="Times New Roman" w:cs="Times New Roman"/>
          <w:color w:val="000000"/>
        </w:rPr>
        <w:t>IGA</w:t>
      </w:r>
      <w:r w:rsidRPr="00BC7BB5">
        <w:rPr>
          <w:rFonts w:ascii="Times New Roman" w:hAnsi="Times New Roman" w:cs="Times New Roman"/>
          <w:color w:val="000000"/>
        </w:rPr>
        <w:t xml:space="preserve"> will be supported by the PMU who </w:t>
      </w:r>
      <w:r w:rsidR="00C850D8" w:rsidRPr="00BC7BB5">
        <w:rPr>
          <w:rFonts w:ascii="Times New Roman" w:hAnsi="Times New Roman" w:cs="Times New Roman"/>
          <w:color w:val="000000"/>
        </w:rPr>
        <w:t xml:space="preserve">will </w:t>
      </w:r>
      <w:r w:rsidRPr="00BC7BB5">
        <w:rPr>
          <w:rFonts w:ascii="Times New Roman" w:hAnsi="Times New Roman" w:cs="Times New Roman"/>
          <w:color w:val="000000"/>
        </w:rPr>
        <w:t>compile and make available th</w:t>
      </w:r>
      <w:r w:rsidR="001631B6" w:rsidRPr="00BC7BB5">
        <w:rPr>
          <w:rFonts w:ascii="Times New Roman" w:hAnsi="Times New Roman" w:cs="Times New Roman"/>
          <w:color w:val="000000"/>
        </w:rPr>
        <w:t>e documentation required for</w:t>
      </w:r>
      <w:r w:rsidRPr="00BC7BB5">
        <w:rPr>
          <w:rFonts w:ascii="Times New Roman" w:hAnsi="Times New Roman" w:cs="Times New Roman"/>
          <w:color w:val="000000"/>
        </w:rPr>
        <w:t xml:space="preserve"> verification. Based on its validation, MAPMDREF</w:t>
      </w:r>
      <w:r w:rsidR="00DD6897">
        <w:rPr>
          <w:rFonts w:ascii="Times New Roman" w:hAnsi="Times New Roman" w:cs="Times New Roman"/>
          <w:color w:val="000000"/>
        </w:rPr>
        <w:t>, through MEF,</w:t>
      </w:r>
      <w:r w:rsidRPr="00BC7BB5">
        <w:rPr>
          <w:rFonts w:ascii="Times New Roman" w:hAnsi="Times New Roman" w:cs="Times New Roman"/>
          <w:color w:val="000000"/>
        </w:rPr>
        <w:t xml:space="preserve"> will notify the World Bank of DLI achievement, supported by the relevant evidence and documentation. Following the World Bank's review of the complete documentation, including any additional information considered necessary, the World Bank </w:t>
      </w:r>
      <w:r w:rsidR="00C850D8" w:rsidRPr="00BC7BB5">
        <w:rPr>
          <w:rFonts w:ascii="Times New Roman" w:hAnsi="Times New Roman" w:cs="Times New Roman"/>
          <w:color w:val="000000"/>
        </w:rPr>
        <w:t xml:space="preserve">will </w:t>
      </w:r>
      <w:r w:rsidRPr="00BC7BB5">
        <w:rPr>
          <w:rFonts w:ascii="Times New Roman" w:hAnsi="Times New Roman" w:cs="Times New Roman"/>
          <w:color w:val="000000"/>
        </w:rPr>
        <w:t xml:space="preserve">confirm the achievement of the DLI(s) and the level of Program financing proceeds available for disbursement against each DLI, including any incremental disbursement. </w:t>
      </w:r>
    </w:p>
    <w:p w14:paraId="22B0CA2F" w14:textId="77777777" w:rsidR="00E93DB4" w:rsidRPr="00BC7BB5" w:rsidRDefault="00E93DB4" w:rsidP="00E93DB4">
      <w:pPr>
        <w:pStyle w:val="ListParagraph"/>
        <w:spacing w:before="240" w:after="240" w:line="240" w:lineRule="auto"/>
        <w:ind w:left="0"/>
        <w:jc w:val="both"/>
        <w:rPr>
          <w:rFonts w:ascii="Times New Roman" w:hAnsi="Times New Roman" w:cs="Times New Roman"/>
          <w:color w:val="000000"/>
        </w:rPr>
      </w:pPr>
    </w:p>
    <w:p w14:paraId="7349312E" w14:textId="6FFBE9BF" w:rsidR="00E93DB4" w:rsidRPr="00BC7BB5" w:rsidRDefault="00E93DB4" w:rsidP="00B35A06">
      <w:pPr>
        <w:pStyle w:val="ListParagraph"/>
        <w:numPr>
          <w:ilvl w:val="0"/>
          <w:numId w:val="7"/>
        </w:numPr>
        <w:spacing w:before="240" w:after="240" w:line="240" w:lineRule="auto"/>
        <w:ind w:left="0" w:firstLine="0"/>
        <w:jc w:val="both"/>
        <w:rPr>
          <w:rFonts w:ascii="Times New Roman" w:hAnsi="Times New Roman" w:cs="Times New Roman"/>
          <w:color w:val="000000"/>
        </w:rPr>
      </w:pPr>
      <w:r w:rsidRPr="00BC7BB5">
        <w:rPr>
          <w:rFonts w:ascii="Times New Roman" w:hAnsi="Times New Roman" w:cs="Times New Roman"/>
          <w:b/>
          <w:color w:val="000000"/>
        </w:rPr>
        <w:t>Disbursement requests</w:t>
      </w:r>
      <w:r w:rsidR="00176017">
        <w:rPr>
          <w:rFonts w:ascii="Times New Roman" w:hAnsi="Times New Roman" w:cs="Times New Roman"/>
          <w:b/>
          <w:color w:val="000000"/>
        </w:rPr>
        <w:t xml:space="preserve">. </w:t>
      </w:r>
      <w:r w:rsidR="00176017" w:rsidRPr="00176017">
        <w:rPr>
          <w:rFonts w:ascii="Times New Roman" w:hAnsi="Times New Roman" w:cs="Times New Roman"/>
          <w:color w:val="000000"/>
        </w:rPr>
        <w:t xml:space="preserve">MEF will submit to the </w:t>
      </w:r>
      <w:r w:rsidR="00176017">
        <w:rPr>
          <w:rFonts w:ascii="Times New Roman" w:hAnsi="Times New Roman" w:cs="Times New Roman"/>
          <w:color w:val="000000"/>
        </w:rPr>
        <w:t xml:space="preserve">World </w:t>
      </w:r>
      <w:r w:rsidR="00176017" w:rsidRPr="00176017">
        <w:rPr>
          <w:rFonts w:ascii="Times New Roman" w:hAnsi="Times New Roman" w:cs="Times New Roman"/>
          <w:color w:val="000000"/>
        </w:rPr>
        <w:t>Bank the relevant evidence of the total or partial achievement of DLIs.</w:t>
      </w:r>
      <w:r w:rsidR="00176017">
        <w:rPr>
          <w:rFonts w:ascii="Times New Roman" w:hAnsi="Times New Roman" w:cs="Times New Roman"/>
          <w:b/>
          <w:color w:val="000000"/>
        </w:rPr>
        <w:t xml:space="preserve"> </w:t>
      </w:r>
      <w:r w:rsidR="00176017">
        <w:rPr>
          <w:rFonts w:ascii="Times New Roman" w:hAnsi="Times New Roman" w:cs="Times New Roman"/>
          <w:color w:val="000000"/>
        </w:rPr>
        <w:t xml:space="preserve">After analysis of that evidence, the World Bank </w:t>
      </w:r>
      <w:r w:rsidRPr="00BC7BB5">
        <w:rPr>
          <w:rFonts w:ascii="Times New Roman" w:hAnsi="Times New Roman" w:cs="Times New Roman"/>
          <w:color w:val="000000"/>
        </w:rPr>
        <w:t>w</w:t>
      </w:r>
      <w:r w:rsidR="003B500E">
        <w:rPr>
          <w:rFonts w:ascii="Times New Roman" w:hAnsi="Times New Roman" w:cs="Times New Roman"/>
          <w:color w:val="000000"/>
        </w:rPr>
        <w:t>ill</w:t>
      </w:r>
      <w:r w:rsidRPr="00BC7BB5">
        <w:rPr>
          <w:rFonts w:ascii="Times New Roman" w:hAnsi="Times New Roman" w:cs="Times New Roman"/>
          <w:color w:val="000000"/>
        </w:rPr>
        <w:t xml:space="preserve"> </w:t>
      </w:r>
      <w:r w:rsidR="00176017">
        <w:rPr>
          <w:rFonts w:ascii="Times New Roman" w:hAnsi="Times New Roman" w:cs="Times New Roman"/>
          <w:color w:val="000000"/>
        </w:rPr>
        <w:t xml:space="preserve">communicate to MEF and MAPMDREF the results of its analysis with regards to </w:t>
      </w:r>
      <w:r w:rsidR="004D3AC8">
        <w:rPr>
          <w:rFonts w:ascii="Times New Roman" w:hAnsi="Times New Roman" w:cs="Times New Roman"/>
          <w:color w:val="000000"/>
        </w:rPr>
        <w:t xml:space="preserve">the </w:t>
      </w:r>
      <w:r w:rsidR="00176017">
        <w:rPr>
          <w:rFonts w:ascii="Times New Roman" w:hAnsi="Times New Roman" w:cs="Times New Roman"/>
          <w:color w:val="000000"/>
        </w:rPr>
        <w:t xml:space="preserve">fulfillment of DLIs and the corresponding level of disbursement for each DLI.  On that basis, </w:t>
      </w:r>
      <w:r w:rsidR="00B171CD">
        <w:rPr>
          <w:rFonts w:ascii="Times New Roman" w:hAnsi="Times New Roman" w:cs="Times New Roman"/>
          <w:color w:val="000000"/>
        </w:rPr>
        <w:t>disbursement requests</w:t>
      </w:r>
      <w:r w:rsidR="00176017">
        <w:rPr>
          <w:rFonts w:ascii="Times New Roman" w:hAnsi="Times New Roman" w:cs="Times New Roman"/>
          <w:color w:val="000000"/>
        </w:rPr>
        <w:t xml:space="preserve"> will </w:t>
      </w:r>
      <w:r w:rsidRPr="00BC7BB5">
        <w:rPr>
          <w:rFonts w:ascii="Times New Roman" w:hAnsi="Times New Roman" w:cs="Times New Roman"/>
          <w:color w:val="000000"/>
        </w:rPr>
        <w:t>be submitted to the World Bank</w:t>
      </w:r>
      <w:r w:rsidR="000302AE">
        <w:rPr>
          <w:rFonts w:ascii="Times New Roman" w:hAnsi="Times New Roman" w:cs="Times New Roman"/>
          <w:color w:val="000000"/>
        </w:rPr>
        <w:t xml:space="preserve"> by MEF</w:t>
      </w:r>
      <w:r w:rsidR="00176017">
        <w:rPr>
          <w:rFonts w:ascii="Times New Roman" w:hAnsi="Times New Roman" w:cs="Times New Roman"/>
          <w:color w:val="000000"/>
        </w:rPr>
        <w:t>.</w:t>
      </w:r>
      <w:r w:rsidRPr="00BC7BB5">
        <w:rPr>
          <w:rFonts w:ascii="Times New Roman" w:hAnsi="Times New Roman" w:cs="Times New Roman"/>
          <w:color w:val="000000"/>
        </w:rPr>
        <w:t xml:space="preserve"> A copy of the World Bank's officia</w:t>
      </w:r>
      <w:r w:rsidR="00B171CD">
        <w:rPr>
          <w:rFonts w:ascii="Times New Roman" w:hAnsi="Times New Roman" w:cs="Times New Roman"/>
          <w:color w:val="000000"/>
        </w:rPr>
        <w:t xml:space="preserve">l communications confirming </w:t>
      </w:r>
      <w:r w:rsidRPr="00BC7BB5">
        <w:rPr>
          <w:rFonts w:ascii="Times New Roman" w:hAnsi="Times New Roman" w:cs="Times New Roman"/>
          <w:color w:val="000000"/>
        </w:rPr>
        <w:t>DLI achievement</w:t>
      </w:r>
      <w:r w:rsidR="00B171CD">
        <w:rPr>
          <w:rFonts w:ascii="Times New Roman" w:hAnsi="Times New Roman" w:cs="Times New Roman"/>
          <w:color w:val="000000"/>
        </w:rPr>
        <w:t>s</w:t>
      </w:r>
      <w:r w:rsidRPr="00BC7BB5">
        <w:rPr>
          <w:rFonts w:ascii="Times New Roman" w:hAnsi="Times New Roman" w:cs="Times New Roman"/>
          <w:color w:val="000000"/>
        </w:rPr>
        <w:t xml:space="preserve"> will be attached to the disbursement requests.</w:t>
      </w:r>
    </w:p>
    <w:p w14:paraId="165BE4E1" w14:textId="77777777" w:rsidR="00CA341A" w:rsidRPr="00BC7BB5" w:rsidRDefault="00CA341A" w:rsidP="00D51A17">
      <w:pPr>
        <w:pStyle w:val="NoSpacing"/>
        <w:ind w:left="360"/>
        <w:rPr>
          <w:rFonts w:ascii="Times New Roman" w:hAnsi="Times New Roman" w:cs="Times New Roman"/>
        </w:rPr>
      </w:pPr>
    </w:p>
    <w:p w14:paraId="53B2A1E9" w14:textId="1C87947D" w:rsidR="003D39E3" w:rsidRPr="00BC7BB5" w:rsidRDefault="00356319" w:rsidP="00B35A06">
      <w:pPr>
        <w:pStyle w:val="ListParagraph"/>
        <w:numPr>
          <w:ilvl w:val="0"/>
          <w:numId w:val="3"/>
        </w:numPr>
        <w:ind w:left="0" w:firstLine="0"/>
        <w:outlineLvl w:val="0"/>
        <w:rPr>
          <w:rFonts w:ascii="Times New Roman" w:hAnsi="Times New Roman" w:cs="Times New Roman"/>
          <w:b/>
        </w:rPr>
      </w:pPr>
      <w:bookmarkStart w:id="16" w:name="_Toc499113405"/>
      <w:r w:rsidRPr="00BC7BB5">
        <w:rPr>
          <w:rFonts w:ascii="Times New Roman" w:hAnsi="Times New Roman" w:cs="Times New Roman"/>
          <w:b/>
        </w:rPr>
        <w:lastRenderedPageBreak/>
        <w:t>ASSESSMENT SUMMARY</w:t>
      </w:r>
      <w:bookmarkEnd w:id="16"/>
    </w:p>
    <w:p w14:paraId="53B2A1EB" w14:textId="31A66BD2" w:rsidR="003D39E3" w:rsidRPr="00EE0015" w:rsidRDefault="001D2940" w:rsidP="00F561E8">
      <w:pPr>
        <w:pStyle w:val="NoSpacing"/>
        <w:numPr>
          <w:ilvl w:val="0"/>
          <w:numId w:val="29"/>
        </w:numPr>
        <w:ind w:left="0" w:firstLine="0"/>
        <w:outlineLvl w:val="1"/>
        <w:rPr>
          <w:rFonts w:ascii="Times New Roman Bold" w:hAnsi="Times New Roman Bold" w:cs="Times New Roman"/>
          <w:b/>
          <w:smallCaps/>
        </w:rPr>
      </w:pPr>
      <w:bookmarkStart w:id="17" w:name="_Toc499113406"/>
      <w:r w:rsidRPr="00EE0015">
        <w:rPr>
          <w:rFonts w:ascii="Times New Roman Bold" w:hAnsi="Times New Roman Bold" w:cs="Times New Roman"/>
          <w:b/>
          <w:smallCaps/>
        </w:rPr>
        <w:t>Technical</w:t>
      </w:r>
      <w:bookmarkEnd w:id="17"/>
      <w:r w:rsidRPr="00EE0015">
        <w:rPr>
          <w:rFonts w:ascii="Times New Roman Bold" w:hAnsi="Times New Roman Bold" w:cs="Times New Roman"/>
          <w:b/>
          <w:smallCaps/>
        </w:rPr>
        <w:t xml:space="preserve"> </w:t>
      </w:r>
    </w:p>
    <w:p w14:paraId="53B2A1EC" w14:textId="77777777" w:rsidR="003D39E3" w:rsidRPr="00BC7BB5" w:rsidRDefault="003D39E3" w:rsidP="003D39E3">
      <w:pPr>
        <w:pStyle w:val="NoSpacing"/>
        <w:ind w:left="360"/>
        <w:rPr>
          <w:rFonts w:ascii="Times New Roman" w:hAnsi="Times New Roman" w:cs="Times New Roman"/>
        </w:rPr>
      </w:pPr>
    </w:p>
    <w:p w14:paraId="455DF7F6" w14:textId="1157FB1E" w:rsidR="00256658" w:rsidRPr="00BC7BB5" w:rsidRDefault="00E34096" w:rsidP="00B35A06">
      <w:pPr>
        <w:pStyle w:val="NoSpacing"/>
        <w:numPr>
          <w:ilvl w:val="0"/>
          <w:numId w:val="7"/>
        </w:numPr>
        <w:ind w:left="0" w:firstLine="0"/>
        <w:jc w:val="both"/>
        <w:rPr>
          <w:rFonts w:ascii="Times New Roman" w:hAnsi="Times New Roman" w:cs="Times New Roman"/>
        </w:rPr>
      </w:pPr>
      <w:r w:rsidRPr="00BC7BB5">
        <w:rPr>
          <w:rFonts w:ascii="Times New Roman" w:hAnsi="Times New Roman" w:cs="Times New Roman"/>
          <w:b/>
        </w:rPr>
        <w:t xml:space="preserve">The proposed Program is underpinned by the </w:t>
      </w:r>
      <w:r w:rsidR="000D51ED" w:rsidRPr="00BC7BB5">
        <w:rPr>
          <w:rFonts w:ascii="Times New Roman" w:hAnsi="Times New Roman" w:cs="Times New Roman"/>
          <w:b/>
        </w:rPr>
        <w:t xml:space="preserve">strategic relevance of the PMV and the </w:t>
      </w:r>
      <w:r w:rsidRPr="00BC7BB5">
        <w:rPr>
          <w:rFonts w:ascii="Times New Roman" w:hAnsi="Times New Roman" w:cs="Times New Roman"/>
          <w:b/>
        </w:rPr>
        <w:t>strong commitment of the Government o</w:t>
      </w:r>
      <w:r w:rsidR="000D51ED" w:rsidRPr="00BC7BB5">
        <w:rPr>
          <w:rFonts w:ascii="Times New Roman" w:hAnsi="Times New Roman" w:cs="Times New Roman"/>
          <w:b/>
        </w:rPr>
        <w:t>f Morocco</w:t>
      </w:r>
      <w:r w:rsidRPr="00BC7BB5">
        <w:rPr>
          <w:rFonts w:ascii="Times New Roman" w:hAnsi="Times New Roman" w:cs="Times New Roman"/>
        </w:rPr>
        <w:t xml:space="preserve">. </w:t>
      </w:r>
      <w:r w:rsidR="00256658" w:rsidRPr="00BC7BB5">
        <w:rPr>
          <w:rFonts w:ascii="Times New Roman" w:hAnsi="Times New Roman" w:cs="Times New Roman"/>
        </w:rPr>
        <w:t>The pace, quality and sustainability of transformation of the agri-food sector continue to have a direct impact on the country’s key socio-economic development challenges.</w:t>
      </w:r>
      <w:r w:rsidR="00433923" w:rsidRPr="00BC7BB5">
        <w:rPr>
          <w:rFonts w:ascii="Times New Roman" w:hAnsi="Times New Roman" w:cs="Times New Roman"/>
        </w:rPr>
        <w:t xml:space="preserve"> The </w:t>
      </w:r>
      <w:r w:rsidR="005A4CD6" w:rsidRPr="00BC7BB5">
        <w:rPr>
          <w:rFonts w:ascii="Times New Roman" w:hAnsi="Times New Roman" w:cs="Times New Roman"/>
        </w:rPr>
        <w:t xml:space="preserve">Government’s </w:t>
      </w:r>
      <w:r w:rsidR="00433923" w:rsidRPr="00BC7BB5">
        <w:rPr>
          <w:rFonts w:ascii="Times New Roman" w:hAnsi="Times New Roman" w:cs="Times New Roman"/>
        </w:rPr>
        <w:t>program</w:t>
      </w:r>
      <w:r w:rsidR="005A4CD6" w:rsidRPr="00BC7BB5">
        <w:rPr>
          <w:rFonts w:ascii="Times New Roman" w:hAnsi="Times New Roman" w:cs="Times New Roman"/>
        </w:rPr>
        <w:t xml:space="preserve"> (PMV), in its </w:t>
      </w:r>
      <w:r w:rsidR="00366115" w:rsidRPr="00BC7BB5">
        <w:rPr>
          <w:rFonts w:ascii="Times New Roman" w:hAnsi="Times New Roman" w:cs="Times New Roman"/>
        </w:rPr>
        <w:t>second phase</w:t>
      </w:r>
      <w:r w:rsidR="005A4CD6" w:rsidRPr="00BC7BB5">
        <w:rPr>
          <w:rFonts w:ascii="Times New Roman" w:hAnsi="Times New Roman" w:cs="Times New Roman"/>
        </w:rPr>
        <w:t>,</w:t>
      </w:r>
      <w:r w:rsidR="00433923" w:rsidRPr="00BC7BB5">
        <w:rPr>
          <w:rFonts w:ascii="Times New Roman" w:hAnsi="Times New Roman" w:cs="Times New Roman"/>
        </w:rPr>
        <w:t xml:space="preserve"> aims at improving the efficiency, impact and sustainability of the instruments put in place under the PMV, while accelerating key institutional reforms, based on the findings of the mid-term review carried out in 2014.</w:t>
      </w:r>
      <w:r w:rsidR="00366115" w:rsidRPr="00BC7BB5">
        <w:rPr>
          <w:rFonts w:ascii="Times New Roman" w:hAnsi="Times New Roman" w:cs="Times New Roman"/>
        </w:rPr>
        <w:t xml:space="preserve"> The mid-term review, as well as</w:t>
      </w:r>
      <w:r w:rsidR="00363745" w:rsidRPr="00BC7BB5">
        <w:rPr>
          <w:rFonts w:ascii="Times New Roman" w:hAnsi="Times New Roman" w:cs="Times New Roman"/>
        </w:rPr>
        <w:t xml:space="preserve"> the s</w:t>
      </w:r>
      <w:r w:rsidR="00366115" w:rsidRPr="00BC7BB5">
        <w:rPr>
          <w:rFonts w:ascii="Times New Roman" w:hAnsi="Times New Roman" w:cs="Times New Roman"/>
        </w:rPr>
        <w:t xml:space="preserve">ubsequent </w:t>
      </w:r>
      <w:r w:rsidR="006B0550" w:rsidRPr="00BC7BB5">
        <w:rPr>
          <w:rFonts w:ascii="Times New Roman" w:hAnsi="Times New Roman" w:cs="Times New Roman"/>
        </w:rPr>
        <w:t>adjustments to the</w:t>
      </w:r>
      <w:r w:rsidR="00363745" w:rsidRPr="00BC7BB5">
        <w:rPr>
          <w:rFonts w:ascii="Times New Roman" w:hAnsi="Times New Roman" w:cs="Times New Roman"/>
        </w:rPr>
        <w:t xml:space="preserve"> </w:t>
      </w:r>
      <w:r w:rsidR="003A1BC0">
        <w:rPr>
          <w:rFonts w:ascii="Times New Roman" w:hAnsi="Times New Roman" w:cs="Times New Roman"/>
        </w:rPr>
        <w:t>PMV</w:t>
      </w:r>
      <w:r w:rsidR="00366115" w:rsidRPr="00BC7BB5">
        <w:rPr>
          <w:rFonts w:ascii="Times New Roman" w:hAnsi="Times New Roman" w:cs="Times New Roman"/>
        </w:rPr>
        <w:t xml:space="preserve">, are indications of the Government’s continued commitment to the objectives of the PMV. </w:t>
      </w:r>
    </w:p>
    <w:p w14:paraId="7EDB3165" w14:textId="77777777" w:rsidR="00EA3DCC" w:rsidRPr="00BC7BB5" w:rsidRDefault="00EA3DCC" w:rsidP="00EA3DCC">
      <w:pPr>
        <w:pStyle w:val="NoSpacing"/>
        <w:ind w:left="780"/>
        <w:jc w:val="both"/>
        <w:rPr>
          <w:rFonts w:ascii="Times New Roman" w:hAnsi="Times New Roman" w:cs="Times New Roman"/>
        </w:rPr>
      </w:pPr>
    </w:p>
    <w:p w14:paraId="19863F6D" w14:textId="5D6AE553" w:rsidR="00EA3DCC" w:rsidRPr="00BC7BB5" w:rsidRDefault="00B11A04" w:rsidP="00B35A06">
      <w:pPr>
        <w:pStyle w:val="NoSpacing"/>
        <w:numPr>
          <w:ilvl w:val="0"/>
          <w:numId w:val="7"/>
        </w:numPr>
        <w:ind w:left="0" w:firstLine="0"/>
        <w:jc w:val="both"/>
        <w:rPr>
          <w:rFonts w:ascii="Times New Roman" w:hAnsi="Times New Roman" w:cs="Times New Roman"/>
        </w:rPr>
      </w:pPr>
      <w:r w:rsidRPr="00BC7BB5">
        <w:rPr>
          <w:rFonts w:ascii="Times New Roman" w:hAnsi="Times New Roman" w:cs="Times New Roman"/>
          <w:b/>
        </w:rPr>
        <w:t>The design of the Program aims at accelerating progress towards the objectives of the PMV</w:t>
      </w:r>
      <w:r w:rsidRPr="00BC7BB5">
        <w:rPr>
          <w:rFonts w:ascii="Times New Roman" w:hAnsi="Times New Roman" w:cs="Times New Roman"/>
        </w:rPr>
        <w:t xml:space="preserve">. </w:t>
      </w:r>
      <w:r w:rsidR="00EA3DCC" w:rsidRPr="00BC7BB5">
        <w:rPr>
          <w:rFonts w:ascii="Times New Roman" w:hAnsi="Times New Roman" w:cs="Times New Roman"/>
        </w:rPr>
        <w:t xml:space="preserve">The design of the Program recognizes that reaching the objectives of the PMV with regards to the overall transformation of the Moroccan agri-food sector and, specifically, value-addition in the agri-food sector, agricultural exports, increased private sector investments and job creation will require progress in three areas: (a) first, the capacity of the institutions and entities responsible for PMV implementation, including several of them still relatively recent, would need to be strengthened to enable them to fully implement their mandate, (b) second, some of the key institutional reforms initiated under the PMV are not yet fully implemented (such as reforms of the management of market infrastructure, a cornerstone of the strategy to improve market efficiency and transparency), and (c) </w:t>
      </w:r>
      <w:r w:rsidR="00363745" w:rsidRPr="00BC7BB5">
        <w:rPr>
          <w:rFonts w:ascii="Times New Roman" w:hAnsi="Times New Roman" w:cs="Times New Roman"/>
        </w:rPr>
        <w:t>enhancements</w:t>
      </w:r>
      <w:r w:rsidR="00EA3DCC" w:rsidRPr="00BC7BB5">
        <w:rPr>
          <w:rFonts w:ascii="Times New Roman" w:hAnsi="Times New Roman" w:cs="Times New Roman"/>
        </w:rPr>
        <w:t xml:space="preserve"> can be made to the instruments </w:t>
      </w:r>
      <w:r w:rsidRPr="00BC7BB5">
        <w:rPr>
          <w:rFonts w:ascii="Times New Roman" w:hAnsi="Times New Roman" w:cs="Times New Roman"/>
        </w:rPr>
        <w:t xml:space="preserve">(targeted incentives) </w:t>
      </w:r>
      <w:r w:rsidR="00EA3DCC" w:rsidRPr="00BC7BB5">
        <w:rPr>
          <w:rFonts w:ascii="Times New Roman" w:hAnsi="Times New Roman" w:cs="Times New Roman"/>
        </w:rPr>
        <w:t>introduced under the PMV to support investment in the agri-food sector, innovation and value-addition, as well as small and medium produc</w:t>
      </w:r>
      <w:r w:rsidR="003A1BC0">
        <w:rPr>
          <w:rFonts w:ascii="Times New Roman" w:hAnsi="Times New Roman" w:cs="Times New Roman"/>
        </w:rPr>
        <w:t xml:space="preserve">ers’ linkages with modern value </w:t>
      </w:r>
      <w:r w:rsidR="00EA3DCC" w:rsidRPr="00BC7BB5">
        <w:rPr>
          <w:rFonts w:ascii="Times New Roman" w:hAnsi="Times New Roman" w:cs="Times New Roman"/>
        </w:rPr>
        <w:t>chains.</w:t>
      </w:r>
    </w:p>
    <w:p w14:paraId="4AE08C23" w14:textId="77777777" w:rsidR="00366115" w:rsidRPr="00BC7BB5" w:rsidRDefault="00366115" w:rsidP="00366115">
      <w:pPr>
        <w:pStyle w:val="NoSpacing"/>
        <w:ind w:left="420"/>
        <w:jc w:val="both"/>
        <w:rPr>
          <w:rFonts w:ascii="Times New Roman" w:hAnsi="Times New Roman" w:cs="Times New Roman"/>
        </w:rPr>
      </w:pPr>
    </w:p>
    <w:p w14:paraId="70E16C31" w14:textId="7C69F951" w:rsidR="00366115" w:rsidRPr="00BC7BB5" w:rsidRDefault="00366115" w:rsidP="00B35A06">
      <w:pPr>
        <w:pStyle w:val="NoSpacing"/>
        <w:numPr>
          <w:ilvl w:val="0"/>
          <w:numId w:val="7"/>
        </w:numPr>
        <w:ind w:left="0" w:firstLine="0"/>
        <w:jc w:val="both"/>
        <w:rPr>
          <w:rFonts w:ascii="Times New Roman" w:hAnsi="Times New Roman" w:cs="Times New Roman"/>
        </w:rPr>
      </w:pPr>
      <w:r w:rsidRPr="00BC7BB5">
        <w:rPr>
          <w:rFonts w:ascii="Times New Roman" w:hAnsi="Times New Roman" w:cs="Times New Roman"/>
          <w:b/>
        </w:rPr>
        <w:t xml:space="preserve">The Program contributions focus on strategic areas to accelerate reform efforts, to improve the impact and inclusiveness of investments and to </w:t>
      </w:r>
      <w:r w:rsidR="00BB505B" w:rsidRPr="00BC7BB5">
        <w:rPr>
          <w:rFonts w:ascii="Times New Roman" w:hAnsi="Times New Roman" w:cs="Times New Roman"/>
          <w:b/>
        </w:rPr>
        <w:t>strengthen</w:t>
      </w:r>
      <w:r w:rsidRPr="00BC7BB5">
        <w:rPr>
          <w:rFonts w:ascii="Times New Roman" w:hAnsi="Times New Roman" w:cs="Times New Roman"/>
          <w:b/>
        </w:rPr>
        <w:t xml:space="preserve"> the PMV’s focus on results</w:t>
      </w:r>
      <w:r w:rsidRPr="00BC7BB5">
        <w:rPr>
          <w:rFonts w:ascii="Times New Roman" w:hAnsi="Times New Roman" w:cs="Times New Roman"/>
        </w:rPr>
        <w:t xml:space="preserve">. At the </w:t>
      </w:r>
      <w:r w:rsidRPr="00BC7BB5">
        <w:rPr>
          <w:rFonts w:ascii="Times New Roman" w:hAnsi="Times New Roman" w:cs="Times New Roman"/>
          <w:u w:val="single"/>
        </w:rPr>
        <w:t>institutional level</w:t>
      </w:r>
      <w:r w:rsidR="0060781A">
        <w:rPr>
          <w:rFonts w:ascii="Times New Roman" w:hAnsi="Times New Roman" w:cs="Times New Roman"/>
        </w:rPr>
        <w:t>, the proposed Program will</w:t>
      </w:r>
      <w:r w:rsidRPr="00BC7BB5">
        <w:rPr>
          <w:rFonts w:ascii="Times New Roman" w:hAnsi="Times New Roman" w:cs="Times New Roman"/>
        </w:rPr>
        <w:t xml:space="preserve"> help strengthen some of the key entities involved in the implementation of the PMV in its second phase. With regards to MAPMDREF, the Program will strengthen </w:t>
      </w:r>
      <w:r w:rsidR="00B11A04" w:rsidRPr="00BC7BB5">
        <w:rPr>
          <w:rFonts w:ascii="Times New Roman" w:hAnsi="Times New Roman" w:cs="Times New Roman"/>
        </w:rPr>
        <w:t xml:space="preserve">the Ministry’s </w:t>
      </w:r>
      <w:r w:rsidRPr="00BC7BB5">
        <w:rPr>
          <w:rFonts w:ascii="Times New Roman" w:hAnsi="Times New Roman" w:cs="Times New Roman"/>
        </w:rPr>
        <w:t xml:space="preserve">capacity for overall coordination, monitoring and evaluation of key activities under the PMV while also assisting in </w:t>
      </w:r>
      <w:r w:rsidR="00F56D8A" w:rsidRPr="00BC7BB5">
        <w:rPr>
          <w:rFonts w:ascii="Times New Roman" w:hAnsi="Times New Roman" w:cs="Times New Roman"/>
        </w:rPr>
        <w:t xml:space="preserve">improving </w:t>
      </w:r>
      <w:r w:rsidRPr="00BC7BB5">
        <w:rPr>
          <w:rFonts w:ascii="Times New Roman" w:hAnsi="Times New Roman" w:cs="Times New Roman"/>
        </w:rPr>
        <w:t>existing instruments</w:t>
      </w:r>
      <w:r w:rsidR="00BB505B" w:rsidRPr="00BC7BB5">
        <w:rPr>
          <w:rFonts w:ascii="Times New Roman" w:hAnsi="Times New Roman" w:cs="Times New Roman"/>
        </w:rPr>
        <w:t>,</w:t>
      </w:r>
      <w:r w:rsidRPr="00BC7BB5">
        <w:rPr>
          <w:rFonts w:ascii="Times New Roman" w:hAnsi="Times New Roman" w:cs="Times New Roman"/>
        </w:rPr>
        <w:t xml:space="preserve"> </w:t>
      </w:r>
      <w:r w:rsidR="00823934">
        <w:rPr>
          <w:rFonts w:ascii="Times New Roman" w:hAnsi="Times New Roman" w:cs="Times New Roman"/>
        </w:rPr>
        <w:t>and</w:t>
      </w:r>
      <w:r w:rsidR="00101E9E" w:rsidRPr="00BC7BB5">
        <w:rPr>
          <w:rFonts w:ascii="Times New Roman" w:hAnsi="Times New Roman" w:cs="Times New Roman"/>
        </w:rPr>
        <w:t xml:space="preserve"> supporting</w:t>
      </w:r>
      <w:r w:rsidRPr="00BC7BB5">
        <w:rPr>
          <w:rFonts w:ascii="Times New Roman" w:hAnsi="Times New Roman" w:cs="Times New Roman"/>
        </w:rPr>
        <w:t xml:space="preserve"> </w:t>
      </w:r>
      <w:r w:rsidR="00B11A04" w:rsidRPr="00BC7BB5">
        <w:rPr>
          <w:rFonts w:ascii="Times New Roman" w:hAnsi="Times New Roman" w:cs="Times New Roman"/>
        </w:rPr>
        <w:t>its</w:t>
      </w:r>
      <w:r w:rsidRPr="00BC7BB5">
        <w:rPr>
          <w:rFonts w:ascii="Times New Roman" w:hAnsi="Times New Roman" w:cs="Times New Roman"/>
        </w:rPr>
        <w:t xml:space="preserve"> efforts to </w:t>
      </w:r>
      <w:r w:rsidR="00823934">
        <w:rPr>
          <w:rFonts w:ascii="Times New Roman" w:hAnsi="Times New Roman" w:cs="Times New Roman"/>
        </w:rPr>
        <w:t>strengthen</w:t>
      </w:r>
      <w:r w:rsidRPr="00BC7BB5">
        <w:rPr>
          <w:rFonts w:ascii="Times New Roman" w:hAnsi="Times New Roman" w:cs="Times New Roman"/>
        </w:rPr>
        <w:t xml:space="preserve"> core public functions </w:t>
      </w:r>
      <w:r w:rsidR="00B11A04" w:rsidRPr="00BC7BB5">
        <w:rPr>
          <w:rFonts w:ascii="Times New Roman" w:hAnsi="Times New Roman" w:cs="Times New Roman"/>
        </w:rPr>
        <w:t>(such as ensuring market efficiency and transparency; improving the legal and regulatory framework for private investments in the agri-food sector – “enabling the business of agriculture”; ensuring the food safety of agri-food products; etc.)</w:t>
      </w:r>
      <w:r w:rsidRPr="00BC7BB5">
        <w:rPr>
          <w:rFonts w:ascii="Times New Roman" w:hAnsi="Times New Roman" w:cs="Times New Roman"/>
        </w:rPr>
        <w:t xml:space="preserve">. With regards to ONSSA, the Program would strengthen its capacity to implement the </w:t>
      </w:r>
      <w:r w:rsidR="00326508">
        <w:rPr>
          <w:rFonts w:ascii="Times New Roman" w:hAnsi="Times New Roman" w:cs="Times New Roman"/>
        </w:rPr>
        <w:t>20</w:t>
      </w:r>
      <w:r w:rsidR="00013303">
        <w:rPr>
          <w:rFonts w:ascii="Times New Roman" w:hAnsi="Times New Roman" w:cs="Times New Roman"/>
        </w:rPr>
        <w:t>08</w:t>
      </w:r>
      <w:r w:rsidR="00326508" w:rsidRPr="00BC7BB5">
        <w:rPr>
          <w:rFonts w:ascii="Times New Roman" w:hAnsi="Times New Roman" w:cs="Times New Roman"/>
        </w:rPr>
        <w:t xml:space="preserve"> </w:t>
      </w:r>
      <w:r w:rsidRPr="00BC7BB5">
        <w:rPr>
          <w:rFonts w:ascii="Times New Roman" w:hAnsi="Times New Roman" w:cs="Times New Roman"/>
        </w:rPr>
        <w:t>food safety law. Finally, the Program wou</w:t>
      </w:r>
      <w:r w:rsidR="00BB505B" w:rsidRPr="00BC7BB5">
        <w:rPr>
          <w:rFonts w:ascii="Times New Roman" w:hAnsi="Times New Roman" w:cs="Times New Roman"/>
        </w:rPr>
        <w:t>ld also build</w:t>
      </w:r>
      <w:r w:rsidRPr="00BC7BB5">
        <w:rPr>
          <w:rFonts w:ascii="Times New Roman" w:hAnsi="Times New Roman" w:cs="Times New Roman"/>
        </w:rPr>
        <w:t xml:space="preserve"> the capacity of the interprofessions to </w:t>
      </w:r>
      <w:r w:rsidR="00326508">
        <w:rPr>
          <w:rFonts w:ascii="Times New Roman" w:hAnsi="Times New Roman" w:cs="Times New Roman"/>
        </w:rPr>
        <w:t xml:space="preserve">help them </w:t>
      </w:r>
      <w:r w:rsidRPr="00BC7BB5">
        <w:rPr>
          <w:rFonts w:ascii="Times New Roman" w:hAnsi="Times New Roman" w:cs="Times New Roman"/>
        </w:rPr>
        <w:t>fully carry out their mandate under the law.</w:t>
      </w:r>
    </w:p>
    <w:p w14:paraId="13008E50" w14:textId="77777777" w:rsidR="00366115" w:rsidRPr="00BC7BB5" w:rsidRDefault="00366115" w:rsidP="00366115">
      <w:pPr>
        <w:pStyle w:val="ListParagraph"/>
        <w:spacing w:after="0" w:line="240" w:lineRule="auto"/>
        <w:rPr>
          <w:rFonts w:ascii="Times New Roman" w:hAnsi="Times New Roman" w:cs="Times New Roman"/>
        </w:rPr>
      </w:pPr>
    </w:p>
    <w:p w14:paraId="176045F1" w14:textId="6235BE5A" w:rsidR="00366115" w:rsidRPr="00BC7BB5" w:rsidRDefault="00366115" w:rsidP="00B35A06">
      <w:pPr>
        <w:pStyle w:val="NoSpacing"/>
        <w:numPr>
          <w:ilvl w:val="0"/>
          <w:numId w:val="7"/>
        </w:numPr>
        <w:ind w:left="0" w:firstLine="0"/>
        <w:jc w:val="both"/>
        <w:rPr>
          <w:rFonts w:ascii="Times New Roman" w:hAnsi="Times New Roman" w:cs="Times New Roman"/>
        </w:rPr>
      </w:pPr>
      <w:r w:rsidRPr="00BC7BB5">
        <w:rPr>
          <w:rFonts w:ascii="Times New Roman" w:hAnsi="Times New Roman" w:cs="Times New Roman"/>
        </w:rPr>
        <w:t xml:space="preserve">With regards to the </w:t>
      </w:r>
      <w:r w:rsidRPr="00BC7BB5">
        <w:rPr>
          <w:rFonts w:ascii="Times New Roman" w:hAnsi="Times New Roman" w:cs="Times New Roman"/>
          <w:u w:val="single"/>
        </w:rPr>
        <w:t xml:space="preserve">instruments </w:t>
      </w:r>
      <w:r w:rsidRPr="00BC7BB5">
        <w:rPr>
          <w:rFonts w:ascii="Times New Roman" w:hAnsi="Times New Roman" w:cs="Times New Roman"/>
        </w:rPr>
        <w:t>put in place under the PMV to facilitate value-chain coordination, ma</w:t>
      </w:r>
      <w:r w:rsidR="00F07470" w:rsidRPr="00BC7BB5">
        <w:rPr>
          <w:rFonts w:ascii="Times New Roman" w:hAnsi="Times New Roman" w:cs="Times New Roman"/>
        </w:rPr>
        <w:t>rket efficiency,</w:t>
      </w:r>
      <w:r w:rsidRPr="00BC7BB5">
        <w:rPr>
          <w:rFonts w:ascii="Times New Roman" w:hAnsi="Times New Roman" w:cs="Times New Roman"/>
        </w:rPr>
        <w:t xml:space="preserve"> producers’ linkages with market</w:t>
      </w:r>
      <w:r w:rsidR="0058137D" w:rsidRPr="00BC7BB5">
        <w:rPr>
          <w:rFonts w:ascii="Times New Roman" w:hAnsi="Times New Roman" w:cs="Times New Roman"/>
        </w:rPr>
        <w:t>s</w:t>
      </w:r>
      <w:r w:rsidRPr="00BC7BB5">
        <w:rPr>
          <w:rFonts w:ascii="Times New Roman" w:hAnsi="Times New Roman" w:cs="Times New Roman"/>
        </w:rPr>
        <w:t xml:space="preserve"> and investments in value-addition, the Program would contribute to the</w:t>
      </w:r>
      <w:r w:rsidR="0058137D" w:rsidRPr="00BC7BB5">
        <w:rPr>
          <w:rFonts w:ascii="Times New Roman" w:hAnsi="Times New Roman" w:cs="Times New Roman"/>
        </w:rPr>
        <w:t>ir</w:t>
      </w:r>
      <w:r w:rsidRPr="00BC7BB5">
        <w:rPr>
          <w:rFonts w:ascii="Times New Roman" w:hAnsi="Times New Roman" w:cs="Times New Roman"/>
        </w:rPr>
        <w:t xml:space="preserve"> improvement based on lessons from early implementation </w:t>
      </w:r>
      <w:r w:rsidR="0058137D" w:rsidRPr="00BC7BB5">
        <w:rPr>
          <w:rFonts w:ascii="Times New Roman" w:hAnsi="Times New Roman" w:cs="Times New Roman"/>
        </w:rPr>
        <w:t xml:space="preserve">of the PMV </w:t>
      </w:r>
      <w:r w:rsidRPr="00BC7BB5">
        <w:rPr>
          <w:rFonts w:ascii="Times New Roman" w:hAnsi="Times New Roman" w:cs="Times New Roman"/>
        </w:rPr>
        <w:t>and international exp</w:t>
      </w:r>
      <w:r w:rsidR="00F07470" w:rsidRPr="00BC7BB5">
        <w:rPr>
          <w:rFonts w:ascii="Times New Roman" w:hAnsi="Times New Roman" w:cs="Times New Roman"/>
        </w:rPr>
        <w:t xml:space="preserve">erience. This would involve </w:t>
      </w:r>
      <w:r w:rsidR="00101E9E" w:rsidRPr="00BC7BB5">
        <w:rPr>
          <w:rFonts w:ascii="Times New Roman" w:hAnsi="Times New Roman" w:cs="Times New Roman"/>
        </w:rPr>
        <w:t>enhancements</w:t>
      </w:r>
      <w:r w:rsidRPr="00BC7BB5">
        <w:rPr>
          <w:rFonts w:ascii="Times New Roman" w:hAnsi="Times New Roman" w:cs="Times New Roman"/>
        </w:rPr>
        <w:t xml:space="preserve"> to the processes used for </w:t>
      </w:r>
      <w:r w:rsidR="00101E9E" w:rsidRPr="00BC7BB5">
        <w:rPr>
          <w:rFonts w:ascii="Times New Roman" w:hAnsi="Times New Roman" w:cs="Times New Roman"/>
        </w:rPr>
        <w:t>Pillar I of the PMV</w:t>
      </w:r>
      <w:r w:rsidR="0058137D" w:rsidRPr="00BC7BB5">
        <w:rPr>
          <w:rFonts w:ascii="Times New Roman" w:hAnsi="Times New Roman" w:cs="Times New Roman"/>
        </w:rPr>
        <w:t xml:space="preserve"> and piloting of new modalities for horizontal and vertical integration of producers</w:t>
      </w:r>
      <w:r w:rsidR="009C69ED" w:rsidRPr="00BC7BB5">
        <w:rPr>
          <w:rFonts w:ascii="Times New Roman" w:hAnsi="Times New Roman" w:cs="Times New Roman"/>
        </w:rPr>
        <w:t xml:space="preserve"> through commercial partnerships with buyers</w:t>
      </w:r>
      <w:r w:rsidR="002D218E">
        <w:rPr>
          <w:rFonts w:ascii="Times New Roman" w:hAnsi="Times New Roman" w:cs="Times New Roman"/>
        </w:rPr>
        <w:t xml:space="preserve"> (productive alliances)</w:t>
      </w:r>
      <w:r w:rsidRPr="00BC7BB5">
        <w:rPr>
          <w:rFonts w:ascii="Times New Roman" w:hAnsi="Times New Roman" w:cs="Times New Roman"/>
        </w:rPr>
        <w:t xml:space="preserve">; improvements </w:t>
      </w:r>
      <w:r w:rsidR="0058137D" w:rsidRPr="00BC7BB5">
        <w:rPr>
          <w:rFonts w:ascii="Times New Roman" w:hAnsi="Times New Roman" w:cs="Times New Roman"/>
        </w:rPr>
        <w:t xml:space="preserve">of the appraisal </w:t>
      </w:r>
      <w:r w:rsidR="00670465">
        <w:rPr>
          <w:rFonts w:ascii="Times New Roman" w:hAnsi="Times New Roman" w:cs="Times New Roman"/>
        </w:rPr>
        <w:t xml:space="preserve">and monitoring </w:t>
      </w:r>
      <w:r w:rsidR="0058137D" w:rsidRPr="00BC7BB5">
        <w:rPr>
          <w:rFonts w:ascii="Times New Roman" w:hAnsi="Times New Roman" w:cs="Times New Roman"/>
        </w:rPr>
        <w:t>of</w:t>
      </w:r>
      <w:r w:rsidRPr="00BC7BB5">
        <w:rPr>
          <w:rFonts w:ascii="Times New Roman" w:hAnsi="Times New Roman" w:cs="Times New Roman"/>
        </w:rPr>
        <w:t xml:space="preserve"> investments in value-adding and processing under the FDA</w:t>
      </w:r>
      <w:r w:rsidR="0058137D" w:rsidRPr="00BC7BB5">
        <w:rPr>
          <w:rFonts w:ascii="Times New Roman" w:hAnsi="Times New Roman" w:cs="Times New Roman"/>
        </w:rPr>
        <w:t xml:space="preserve"> (with a specific focus on their economic viability and </w:t>
      </w:r>
      <w:r w:rsidR="00106D44">
        <w:rPr>
          <w:rFonts w:ascii="Times New Roman" w:hAnsi="Times New Roman" w:cs="Times New Roman"/>
        </w:rPr>
        <w:t>environmental and social</w:t>
      </w:r>
      <w:r w:rsidR="00106D44" w:rsidRPr="00BC7BB5">
        <w:rPr>
          <w:rFonts w:ascii="Times New Roman" w:hAnsi="Times New Roman" w:cs="Times New Roman"/>
        </w:rPr>
        <w:t xml:space="preserve"> </w:t>
      </w:r>
      <w:r w:rsidR="0058137D" w:rsidRPr="00BC7BB5">
        <w:rPr>
          <w:rFonts w:ascii="Times New Roman" w:hAnsi="Times New Roman" w:cs="Times New Roman"/>
        </w:rPr>
        <w:t>aspects)</w:t>
      </w:r>
      <w:r w:rsidRPr="00BC7BB5">
        <w:rPr>
          <w:rFonts w:ascii="Times New Roman" w:hAnsi="Times New Roman" w:cs="Times New Roman"/>
        </w:rPr>
        <w:t xml:space="preserve">; </w:t>
      </w:r>
      <w:r w:rsidR="00F07470" w:rsidRPr="00BC7BB5">
        <w:rPr>
          <w:rFonts w:ascii="Times New Roman" w:hAnsi="Times New Roman" w:cs="Times New Roman"/>
        </w:rPr>
        <w:t xml:space="preserve">and </w:t>
      </w:r>
      <w:r w:rsidRPr="00BC7BB5">
        <w:rPr>
          <w:rFonts w:ascii="Times New Roman" w:hAnsi="Times New Roman" w:cs="Times New Roman"/>
        </w:rPr>
        <w:t xml:space="preserve">upgrading and expanding MAPMDREF’s </w:t>
      </w:r>
      <w:r w:rsidR="00F07470" w:rsidRPr="00BC7BB5">
        <w:rPr>
          <w:rFonts w:ascii="Times New Roman" w:hAnsi="Times New Roman" w:cs="Times New Roman"/>
        </w:rPr>
        <w:t>market information services. New activities would also be introduced</w:t>
      </w:r>
      <w:r w:rsidRPr="00BC7BB5">
        <w:rPr>
          <w:rFonts w:ascii="Times New Roman" w:hAnsi="Times New Roman" w:cs="Times New Roman"/>
        </w:rPr>
        <w:t xml:space="preserve"> through public-private partnerships</w:t>
      </w:r>
      <w:r w:rsidR="005C7A2A" w:rsidRPr="00BC7BB5">
        <w:rPr>
          <w:rFonts w:ascii="Times New Roman" w:hAnsi="Times New Roman" w:cs="Times New Roman"/>
        </w:rPr>
        <w:t xml:space="preserve"> (the CIAs)</w:t>
      </w:r>
      <w:r w:rsidR="00AF46E7" w:rsidRPr="00BC7BB5">
        <w:rPr>
          <w:rFonts w:ascii="Times New Roman" w:hAnsi="Times New Roman" w:cs="Times New Roman"/>
        </w:rPr>
        <w:t xml:space="preserve"> to address the critical gap identified in the availability of business development services for agri-food sector SMEs</w:t>
      </w:r>
      <w:r w:rsidRPr="00BC7BB5">
        <w:rPr>
          <w:rFonts w:ascii="Times New Roman" w:hAnsi="Times New Roman" w:cs="Times New Roman"/>
        </w:rPr>
        <w:t xml:space="preserve">. </w:t>
      </w:r>
    </w:p>
    <w:p w14:paraId="6367EED6" w14:textId="77777777" w:rsidR="00366115" w:rsidRPr="00BC7BB5" w:rsidRDefault="00366115" w:rsidP="00366115">
      <w:pPr>
        <w:pStyle w:val="ListParagraph"/>
        <w:spacing w:after="0" w:line="240" w:lineRule="auto"/>
        <w:rPr>
          <w:rFonts w:ascii="Times New Roman" w:hAnsi="Times New Roman" w:cs="Times New Roman"/>
        </w:rPr>
      </w:pPr>
    </w:p>
    <w:p w14:paraId="42B7F379" w14:textId="5BEBF142" w:rsidR="00C86C4E" w:rsidRPr="00BC7BB5" w:rsidRDefault="00366115" w:rsidP="00B35A06">
      <w:pPr>
        <w:pStyle w:val="NoSpacing"/>
        <w:numPr>
          <w:ilvl w:val="0"/>
          <w:numId w:val="7"/>
        </w:numPr>
        <w:ind w:left="0" w:firstLine="0"/>
        <w:jc w:val="both"/>
        <w:rPr>
          <w:rFonts w:ascii="Times New Roman" w:hAnsi="Times New Roman" w:cs="Times New Roman"/>
        </w:rPr>
      </w:pPr>
      <w:r w:rsidRPr="00BC7BB5">
        <w:rPr>
          <w:rFonts w:ascii="Times New Roman" w:hAnsi="Times New Roman" w:cs="Times New Roman"/>
        </w:rPr>
        <w:t xml:space="preserve">Finally, with regards to key </w:t>
      </w:r>
      <w:r w:rsidRPr="00BC7BB5">
        <w:rPr>
          <w:rFonts w:ascii="Times New Roman" w:hAnsi="Times New Roman" w:cs="Times New Roman"/>
          <w:u w:val="single"/>
        </w:rPr>
        <w:t>market reforms</w:t>
      </w:r>
      <w:r w:rsidRPr="00BC7BB5">
        <w:rPr>
          <w:rFonts w:ascii="Times New Roman" w:hAnsi="Times New Roman" w:cs="Times New Roman"/>
        </w:rPr>
        <w:t xml:space="preserve"> initiated under the PMV, the Program would also support the Government of Morocco as it transitions from the strategic planning and regulatory phase to ac</w:t>
      </w:r>
      <w:r w:rsidR="00E16A86">
        <w:rPr>
          <w:rFonts w:ascii="Times New Roman" w:hAnsi="Times New Roman" w:cs="Times New Roman"/>
        </w:rPr>
        <w:t>tual implementation of a</w:t>
      </w:r>
      <w:r w:rsidRPr="00BC7BB5">
        <w:rPr>
          <w:rFonts w:ascii="Times New Roman" w:hAnsi="Times New Roman" w:cs="Times New Roman"/>
        </w:rPr>
        <w:t xml:space="preserve"> pilot wholesale market under the proposed new management model.</w:t>
      </w:r>
      <w:r w:rsidR="005C2384" w:rsidRPr="00BC7BB5">
        <w:rPr>
          <w:rFonts w:ascii="Times New Roman" w:hAnsi="Times New Roman" w:cs="Times New Roman"/>
        </w:rPr>
        <w:t xml:space="preserve"> The </w:t>
      </w:r>
      <w:r w:rsidR="005C2384" w:rsidRPr="00BC7BB5">
        <w:rPr>
          <w:rFonts w:ascii="Times New Roman" w:hAnsi="Times New Roman" w:cs="Times New Roman"/>
        </w:rPr>
        <w:lastRenderedPageBreak/>
        <w:t>Program incorporates the lessons from the DPL series with regards to wholesale markets reforms</w:t>
      </w:r>
      <w:r w:rsidR="00326508">
        <w:rPr>
          <w:rFonts w:ascii="Times New Roman" w:hAnsi="Times New Roman" w:cs="Times New Roman"/>
        </w:rPr>
        <w:t>,</w:t>
      </w:r>
      <w:r w:rsidR="005C2384" w:rsidRPr="00BC7BB5">
        <w:rPr>
          <w:rFonts w:ascii="Times New Roman" w:hAnsi="Times New Roman" w:cs="Times New Roman"/>
        </w:rPr>
        <w:t xml:space="preserve"> including</w:t>
      </w:r>
      <w:r w:rsidR="00326508">
        <w:rPr>
          <w:rFonts w:ascii="Times New Roman" w:hAnsi="Times New Roman" w:cs="Times New Roman"/>
        </w:rPr>
        <w:t>:</w:t>
      </w:r>
      <w:r w:rsidR="005C2384" w:rsidRPr="00BC7BB5">
        <w:rPr>
          <w:rFonts w:ascii="Times New Roman" w:hAnsi="Times New Roman" w:cs="Times New Roman"/>
        </w:rPr>
        <w:t xml:space="preserve"> (a) the need to ensure broad and continued stakeholder support for the proposed reforms at all levels, and (b) the need for the Bank’s convening power and international experience to accompany the implementation of the reform.</w:t>
      </w:r>
    </w:p>
    <w:p w14:paraId="2542821A" w14:textId="79B59586" w:rsidR="00366115" w:rsidRPr="00BC7BB5" w:rsidRDefault="00366115" w:rsidP="00C86C4E">
      <w:pPr>
        <w:spacing w:after="0" w:line="240" w:lineRule="auto"/>
        <w:jc w:val="both"/>
        <w:rPr>
          <w:rFonts w:ascii="Times New Roman" w:hAnsi="Times New Roman" w:cs="Times New Roman"/>
        </w:rPr>
      </w:pPr>
      <w:r w:rsidRPr="00BC7BB5">
        <w:rPr>
          <w:rFonts w:ascii="Times New Roman" w:hAnsi="Times New Roman" w:cs="Times New Roman"/>
        </w:rPr>
        <w:t xml:space="preserve"> </w:t>
      </w:r>
    </w:p>
    <w:p w14:paraId="1CD39D8D" w14:textId="20DBD62F" w:rsidR="00762FF7" w:rsidRPr="00BC7BB5" w:rsidRDefault="00C86C4E" w:rsidP="00DB7E5E">
      <w:pPr>
        <w:pStyle w:val="NoSpacing"/>
        <w:numPr>
          <w:ilvl w:val="0"/>
          <w:numId w:val="7"/>
        </w:numPr>
        <w:ind w:left="0" w:firstLine="0"/>
        <w:jc w:val="both"/>
        <w:rPr>
          <w:rFonts w:ascii="Times New Roman" w:hAnsi="Times New Roman" w:cs="Times New Roman"/>
        </w:rPr>
      </w:pPr>
      <w:r w:rsidRPr="00BC7BB5">
        <w:rPr>
          <w:rFonts w:ascii="Times New Roman" w:hAnsi="Times New Roman" w:cs="Times New Roman"/>
          <w:b/>
        </w:rPr>
        <w:t xml:space="preserve">The design of the Program was informed by recent reviews and sector work. </w:t>
      </w:r>
      <w:r w:rsidR="00326508" w:rsidRPr="00BC7BB5">
        <w:rPr>
          <w:rFonts w:ascii="Times New Roman" w:hAnsi="Times New Roman" w:cs="Times New Roman"/>
        </w:rPr>
        <w:t>Th</w:t>
      </w:r>
      <w:r w:rsidR="00326508">
        <w:rPr>
          <w:rFonts w:ascii="Times New Roman" w:hAnsi="Times New Roman" w:cs="Times New Roman"/>
        </w:rPr>
        <w:t>e</w:t>
      </w:r>
      <w:r w:rsidR="004827C7">
        <w:rPr>
          <w:rFonts w:ascii="Times New Roman" w:hAnsi="Times New Roman" w:cs="Times New Roman"/>
        </w:rPr>
        <w:t>y</w:t>
      </w:r>
      <w:r w:rsidR="00326508" w:rsidRPr="00BC7BB5">
        <w:rPr>
          <w:rFonts w:ascii="Times New Roman" w:hAnsi="Times New Roman" w:cs="Times New Roman"/>
        </w:rPr>
        <w:t xml:space="preserve"> </w:t>
      </w:r>
      <w:r w:rsidR="000C1244" w:rsidRPr="00BC7BB5">
        <w:rPr>
          <w:rFonts w:ascii="Times New Roman" w:hAnsi="Times New Roman" w:cs="Times New Roman"/>
        </w:rPr>
        <w:t>include</w:t>
      </w:r>
      <w:r w:rsidRPr="00BC7BB5">
        <w:rPr>
          <w:rFonts w:ascii="Times New Roman" w:hAnsi="Times New Roman" w:cs="Times New Roman"/>
          <w:b/>
        </w:rPr>
        <w:t xml:space="preserve"> </w:t>
      </w:r>
      <w:r w:rsidRPr="00BC7BB5">
        <w:rPr>
          <w:rFonts w:ascii="Times New Roman" w:hAnsi="Times New Roman" w:cs="Times New Roman"/>
        </w:rPr>
        <w:t>the findings and recommendations of the mid-term review of the PMV, as well as ex-post reviews and evaluations of earlier operations in sup</w:t>
      </w:r>
      <w:r w:rsidR="000C1244" w:rsidRPr="00BC7BB5">
        <w:rPr>
          <w:rFonts w:ascii="Times New Roman" w:hAnsi="Times New Roman" w:cs="Times New Roman"/>
        </w:rPr>
        <w:t>port of the PMV (</w:t>
      </w:r>
      <w:r w:rsidRPr="00BC7BB5">
        <w:rPr>
          <w:rFonts w:ascii="Times New Roman" w:hAnsi="Times New Roman" w:cs="Times New Roman"/>
        </w:rPr>
        <w:t>on the Bank side, the I</w:t>
      </w:r>
      <w:r w:rsidR="00326508">
        <w:rPr>
          <w:rFonts w:ascii="Times New Roman" w:hAnsi="Times New Roman" w:cs="Times New Roman"/>
        </w:rPr>
        <w:t xml:space="preserve">mplementation </w:t>
      </w:r>
      <w:r w:rsidRPr="00BC7BB5">
        <w:rPr>
          <w:rFonts w:ascii="Times New Roman" w:hAnsi="Times New Roman" w:cs="Times New Roman"/>
        </w:rPr>
        <w:t>C</w:t>
      </w:r>
      <w:r w:rsidR="00326508">
        <w:rPr>
          <w:rFonts w:ascii="Times New Roman" w:hAnsi="Times New Roman" w:cs="Times New Roman"/>
        </w:rPr>
        <w:t xml:space="preserve">ompletion and </w:t>
      </w:r>
      <w:r w:rsidRPr="00BC7BB5">
        <w:rPr>
          <w:rFonts w:ascii="Times New Roman" w:hAnsi="Times New Roman" w:cs="Times New Roman"/>
        </w:rPr>
        <w:t>R</w:t>
      </w:r>
      <w:r w:rsidR="00326508">
        <w:rPr>
          <w:rFonts w:ascii="Times New Roman" w:hAnsi="Times New Roman" w:cs="Times New Roman"/>
        </w:rPr>
        <w:t>esults report</w:t>
      </w:r>
      <w:r w:rsidRPr="00BC7BB5">
        <w:rPr>
          <w:rFonts w:ascii="Times New Roman" w:hAnsi="Times New Roman" w:cs="Times New Roman"/>
        </w:rPr>
        <w:t xml:space="preserve">s of the two DPLs as well as those of Bank- and GEF-financed operations; </w:t>
      </w:r>
      <w:r w:rsidR="00DB7E5E" w:rsidRPr="00DB7E5E">
        <w:rPr>
          <w:rFonts w:ascii="Times New Roman" w:hAnsi="Times New Roman" w:cs="Times New Roman"/>
        </w:rPr>
        <w:t xml:space="preserve">Millennium Challenge Corporation </w:t>
      </w:r>
      <w:r w:rsidR="00DB7E5E">
        <w:rPr>
          <w:rFonts w:ascii="Times New Roman" w:hAnsi="Times New Roman" w:cs="Times New Roman"/>
        </w:rPr>
        <w:t>(</w:t>
      </w:r>
      <w:r w:rsidR="000C1244" w:rsidRPr="00BC7BB5">
        <w:rPr>
          <w:rFonts w:ascii="Times New Roman" w:hAnsi="Times New Roman" w:cs="Times New Roman"/>
        </w:rPr>
        <w:t>MCC</w:t>
      </w:r>
      <w:r w:rsidR="00DB7E5E">
        <w:rPr>
          <w:rFonts w:ascii="Times New Roman" w:hAnsi="Times New Roman" w:cs="Times New Roman"/>
        </w:rPr>
        <w:t>)</w:t>
      </w:r>
      <w:r w:rsidR="000C1244" w:rsidRPr="00BC7BB5">
        <w:rPr>
          <w:rFonts w:ascii="Times New Roman" w:hAnsi="Times New Roman" w:cs="Times New Roman"/>
        </w:rPr>
        <w:t xml:space="preserve"> and </w:t>
      </w:r>
      <w:r w:rsidR="00DB7E5E" w:rsidRPr="00DB7E5E">
        <w:rPr>
          <w:rFonts w:ascii="Times New Roman" w:hAnsi="Times New Roman" w:cs="Times New Roman"/>
        </w:rPr>
        <w:t xml:space="preserve">Agence Française de Développement </w:t>
      </w:r>
      <w:r w:rsidR="00DB7E5E">
        <w:rPr>
          <w:rFonts w:ascii="Times New Roman" w:hAnsi="Times New Roman" w:cs="Times New Roman"/>
        </w:rPr>
        <w:t>(</w:t>
      </w:r>
      <w:r w:rsidR="000C1244" w:rsidRPr="00BC7BB5">
        <w:rPr>
          <w:rFonts w:ascii="Times New Roman" w:hAnsi="Times New Roman" w:cs="Times New Roman"/>
        </w:rPr>
        <w:t>AFD</w:t>
      </w:r>
      <w:r w:rsidR="00DB7E5E">
        <w:rPr>
          <w:rFonts w:ascii="Times New Roman" w:hAnsi="Times New Roman" w:cs="Times New Roman"/>
        </w:rPr>
        <w:t>)</w:t>
      </w:r>
      <w:r w:rsidR="000C1244" w:rsidRPr="00BC7BB5">
        <w:rPr>
          <w:rFonts w:ascii="Times New Roman" w:hAnsi="Times New Roman" w:cs="Times New Roman"/>
        </w:rPr>
        <w:t xml:space="preserve"> </w:t>
      </w:r>
      <w:r w:rsidRPr="00BC7BB5">
        <w:rPr>
          <w:rFonts w:ascii="Times New Roman" w:hAnsi="Times New Roman" w:cs="Times New Roman"/>
        </w:rPr>
        <w:t xml:space="preserve">evaluations of their respective programs, and </w:t>
      </w:r>
      <w:r w:rsidR="000C1244" w:rsidRPr="00BC7BB5">
        <w:rPr>
          <w:rFonts w:ascii="Times New Roman" w:hAnsi="Times New Roman" w:cs="Times New Roman"/>
        </w:rPr>
        <w:t>information shared by</w:t>
      </w:r>
      <w:r w:rsidRPr="00BC7BB5">
        <w:rPr>
          <w:rFonts w:ascii="Times New Roman" w:hAnsi="Times New Roman" w:cs="Times New Roman"/>
        </w:rPr>
        <w:t xml:space="preserve"> the EC</w:t>
      </w:r>
      <w:r w:rsidR="00730643" w:rsidRPr="00BC7BB5">
        <w:rPr>
          <w:rFonts w:ascii="Times New Roman" w:hAnsi="Times New Roman" w:cs="Times New Roman"/>
        </w:rPr>
        <w:fldChar w:fldCharType="begin"/>
      </w:r>
      <w:r w:rsidR="00730643" w:rsidRPr="00BC7BB5">
        <w:instrText xml:space="preserve"> XE "</w:instrText>
      </w:r>
      <w:r w:rsidR="00730643" w:rsidRPr="00BC7BB5">
        <w:rPr>
          <w:rFonts w:ascii="Times New Roman" w:hAnsi="Times New Roman" w:cs="Times New Roman"/>
        </w:rPr>
        <w:instrText>EC</w:instrText>
      </w:r>
      <w:r w:rsidR="00730643" w:rsidRPr="00BC7BB5">
        <w:instrText xml:space="preserve">" </w:instrText>
      </w:r>
      <w:r w:rsidR="00730643" w:rsidRPr="00BC7BB5">
        <w:rPr>
          <w:rFonts w:ascii="Times New Roman" w:hAnsi="Times New Roman" w:cs="Times New Roman"/>
        </w:rPr>
        <w:fldChar w:fldCharType="end"/>
      </w:r>
      <w:r w:rsidRPr="00BC7BB5">
        <w:rPr>
          <w:rFonts w:ascii="Times New Roman" w:hAnsi="Times New Roman" w:cs="Times New Roman"/>
        </w:rPr>
        <w:t>, FAO and the Belgian Cooperation Agency)</w:t>
      </w:r>
      <w:r w:rsidR="00EA299A" w:rsidRPr="00BC7BB5">
        <w:rPr>
          <w:rFonts w:ascii="Times New Roman" w:hAnsi="Times New Roman" w:cs="Times New Roman"/>
        </w:rPr>
        <w:t>; and recent sector work</w:t>
      </w:r>
      <w:r w:rsidR="00E9039E" w:rsidRPr="00BC7BB5">
        <w:rPr>
          <w:rStyle w:val="FootnoteReference"/>
          <w:rFonts w:ascii="Times New Roman" w:hAnsi="Times New Roman" w:cs="Times New Roman"/>
        </w:rPr>
        <w:footnoteReference w:id="15"/>
      </w:r>
      <w:r w:rsidRPr="00BC7BB5">
        <w:rPr>
          <w:rFonts w:ascii="Times New Roman" w:hAnsi="Times New Roman" w:cs="Times New Roman"/>
        </w:rPr>
        <w:t>. Finally, the design of the Program also incorporate</w:t>
      </w:r>
      <w:r w:rsidR="00F56D8A" w:rsidRPr="00BC7BB5">
        <w:rPr>
          <w:rFonts w:ascii="Times New Roman" w:hAnsi="Times New Roman" w:cs="Times New Roman"/>
        </w:rPr>
        <w:t>s</w:t>
      </w:r>
      <w:r w:rsidRPr="00BC7BB5">
        <w:rPr>
          <w:rFonts w:ascii="Times New Roman" w:hAnsi="Times New Roman" w:cs="Times New Roman"/>
        </w:rPr>
        <w:t xml:space="preserve"> the lessons from other Bank</w:t>
      </w:r>
      <w:r w:rsidR="00326508">
        <w:rPr>
          <w:rFonts w:ascii="Times New Roman" w:hAnsi="Times New Roman" w:cs="Times New Roman"/>
        </w:rPr>
        <w:t>-financed</w:t>
      </w:r>
      <w:r w:rsidRPr="00BC7BB5">
        <w:rPr>
          <w:rFonts w:ascii="Times New Roman" w:hAnsi="Times New Roman" w:cs="Times New Roman"/>
        </w:rPr>
        <w:t xml:space="preserve"> operations which have supported agribusiness development and value-chain development</w:t>
      </w:r>
      <w:r w:rsidR="00EA299A" w:rsidRPr="00BC7BB5">
        <w:rPr>
          <w:rFonts w:ascii="Times New Roman" w:hAnsi="Times New Roman" w:cs="Times New Roman"/>
        </w:rPr>
        <w:t>.</w:t>
      </w:r>
      <w:r w:rsidR="00B44927" w:rsidRPr="00BC7BB5">
        <w:rPr>
          <w:rFonts w:ascii="Times New Roman" w:hAnsi="Times New Roman" w:cs="Times New Roman"/>
        </w:rPr>
        <w:t xml:space="preserve"> Annex 4 details how </w:t>
      </w:r>
      <w:r w:rsidR="00326508" w:rsidRPr="00BC7BB5">
        <w:rPr>
          <w:rFonts w:ascii="Times New Roman" w:hAnsi="Times New Roman" w:cs="Times New Roman"/>
        </w:rPr>
        <w:t>th</w:t>
      </w:r>
      <w:r w:rsidR="00326508">
        <w:rPr>
          <w:rFonts w:ascii="Times New Roman" w:hAnsi="Times New Roman" w:cs="Times New Roman"/>
        </w:rPr>
        <w:t>e</w:t>
      </w:r>
      <w:r w:rsidR="00326508" w:rsidRPr="00BC7BB5">
        <w:rPr>
          <w:rFonts w:ascii="Times New Roman" w:hAnsi="Times New Roman" w:cs="Times New Roman"/>
        </w:rPr>
        <w:t xml:space="preserve">se </w:t>
      </w:r>
      <w:r w:rsidR="00B44927" w:rsidRPr="00BC7BB5">
        <w:rPr>
          <w:rFonts w:ascii="Times New Roman" w:hAnsi="Times New Roman" w:cs="Times New Roman"/>
        </w:rPr>
        <w:t>lessons and international experience have informed the design of the Program.</w:t>
      </w:r>
    </w:p>
    <w:p w14:paraId="40057A38" w14:textId="77777777" w:rsidR="00101E9E" w:rsidRPr="00BC7BB5" w:rsidRDefault="00101E9E" w:rsidP="00101E9E">
      <w:pPr>
        <w:pStyle w:val="ListParagraph"/>
        <w:spacing w:after="0" w:line="240" w:lineRule="auto"/>
        <w:rPr>
          <w:rFonts w:ascii="Times New Roman" w:hAnsi="Times New Roman" w:cs="Times New Roman"/>
        </w:rPr>
      </w:pPr>
    </w:p>
    <w:p w14:paraId="6847E2FF" w14:textId="37EDEB91" w:rsidR="00101E9E" w:rsidRPr="00BC7BB5" w:rsidRDefault="00101E9E" w:rsidP="00B35A06">
      <w:pPr>
        <w:pStyle w:val="NoSpacing"/>
        <w:numPr>
          <w:ilvl w:val="0"/>
          <w:numId w:val="7"/>
        </w:numPr>
        <w:ind w:left="0" w:firstLine="0"/>
        <w:jc w:val="both"/>
        <w:rPr>
          <w:rFonts w:ascii="Times New Roman" w:hAnsi="Times New Roman" w:cs="Times New Roman"/>
        </w:rPr>
      </w:pPr>
      <w:r w:rsidRPr="00BC7BB5">
        <w:rPr>
          <w:rFonts w:ascii="Times New Roman" w:hAnsi="Times New Roman" w:cs="Times New Roman"/>
          <w:b/>
        </w:rPr>
        <w:t>Leveraging private investment for development</w:t>
      </w:r>
      <w:r w:rsidRPr="00BC7BB5">
        <w:rPr>
          <w:rFonts w:ascii="Times New Roman" w:hAnsi="Times New Roman" w:cs="Times New Roman"/>
        </w:rPr>
        <w:t xml:space="preserve">. The design of the Program incorporates the </w:t>
      </w:r>
      <w:r w:rsidR="009C69ED" w:rsidRPr="00BC7BB5">
        <w:rPr>
          <w:rFonts w:ascii="Times New Roman" w:hAnsi="Times New Roman" w:cs="Times New Roman"/>
        </w:rPr>
        <w:t>maximizing finance for development</w:t>
      </w:r>
      <w:r w:rsidR="00326508">
        <w:rPr>
          <w:rFonts w:ascii="Times New Roman" w:hAnsi="Times New Roman" w:cs="Times New Roman"/>
        </w:rPr>
        <w:t>/</w:t>
      </w:r>
      <w:r w:rsidR="00013303">
        <w:rPr>
          <w:rFonts w:ascii="Times New Roman" w:hAnsi="Times New Roman" w:cs="Times New Roman"/>
        </w:rPr>
        <w:t xml:space="preserve"> “</w:t>
      </w:r>
      <w:r w:rsidR="00326508">
        <w:rPr>
          <w:rFonts w:ascii="Times New Roman" w:hAnsi="Times New Roman" w:cs="Times New Roman"/>
        </w:rPr>
        <w:t>cascade</w:t>
      </w:r>
      <w:r w:rsidRPr="00BC7BB5">
        <w:rPr>
          <w:rFonts w:ascii="Times New Roman" w:hAnsi="Times New Roman" w:cs="Times New Roman"/>
        </w:rPr>
        <w:t xml:space="preserve">” approach aiming at scaling up private investment and facilitating access to commercial financing for private investments. In that respect, the Program includes support for regulatory reforms and the improvement of targeted incentives aimed at accelerating private investment in the agri-food sector, and facilitating SMEs’ readiness for access to finance. </w:t>
      </w:r>
    </w:p>
    <w:p w14:paraId="1837E263" w14:textId="77777777" w:rsidR="006652A5" w:rsidRPr="00BC7BB5" w:rsidRDefault="006652A5" w:rsidP="006652A5">
      <w:pPr>
        <w:pStyle w:val="ListParagraph"/>
        <w:spacing w:after="0" w:line="240" w:lineRule="auto"/>
        <w:rPr>
          <w:rFonts w:ascii="Times New Roman" w:hAnsi="Times New Roman" w:cs="Times New Roman"/>
        </w:rPr>
      </w:pPr>
    </w:p>
    <w:p w14:paraId="377B0676" w14:textId="1957CC12" w:rsidR="006652A5" w:rsidRPr="00BC7BB5" w:rsidRDefault="006652A5" w:rsidP="00B35A06">
      <w:pPr>
        <w:pStyle w:val="NoSpacing"/>
        <w:numPr>
          <w:ilvl w:val="0"/>
          <w:numId w:val="7"/>
        </w:numPr>
        <w:ind w:left="0" w:firstLine="0"/>
        <w:jc w:val="both"/>
        <w:rPr>
          <w:rFonts w:ascii="Times New Roman" w:hAnsi="Times New Roman" w:cs="Times New Roman"/>
        </w:rPr>
      </w:pPr>
      <w:r w:rsidRPr="00BC7BB5">
        <w:rPr>
          <w:rFonts w:ascii="Times New Roman" w:hAnsi="Times New Roman" w:cs="Times New Roman"/>
        </w:rPr>
        <w:t xml:space="preserve">The </w:t>
      </w:r>
      <w:r w:rsidRPr="00BC7BB5">
        <w:rPr>
          <w:rFonts w:ascii="Times New Roman" w:hAnsi="Times New Roman" w:cs="Times New Roman"/>
          <w:b/>
        </w:rPr>
        <w:t>main technical risks</w:t>
      </w:r>
      <w:r w:rsidRPr="00BC7BB5">
        <w:rPr>
          <w:rFonts w:ascii="Times New Roman" w:hAnsi="Times New Roman" w:cs="Times New Roman"/>
        </w:rPr>
        <w:t xml:space="preserve"> associated with the implementation of the Program</w:t>
      </w:r>
      <w:r w:rsidR="000B2E1F" w:rsidRPr="00BC7BB5">
        <w:rPr>
          <w:rFonts w:ascii="Times New Roman" w:hAnsi="Times New Roman" w:cs="Times New Roman"/>
        </w:rPr>
        <w:t xml:space="preserve"> lie with</w:t>
      </w:r>
      <w:r w:rsidR="00326508">
        <w:rPr>
          <w:rFonts w:ascii="Times New Roman" w:hAnsi="Times New Roman" w:cs="Times New Roman"/>
        </w:rPr>
        <w:t>:</w:t>
      </w:r>
      <w:r w:rsidR="000B2E1F" w:rsidRPr="00BC7BB5">
        <w:rPr>
          <w:rFonts w:ascii="Times New Roman" w:hAnsi="Times New Roman" w:cs="Times New Roman"/>
        </w:rPr>
        <w:t xml:space="preserve"> (a) the need for strong collaboration between the various entities involved in its implementation, and (b) </w:t>
      </w:r>
      <w:r w:rsidR="00631F32" w:rsidRPr="00BC7BB5">
        <w:rPr>
          <w:rFonts w:ascii="Times New Roman" w:hAnsi="Times New Roman" w:cs="Times New Roman"/>
        </w:rPr>
        <w:t>spec</w:t>
      </w:r>
      <w:r w:rsidR="00FE030A" w:rsidRPr="00BC7BB5">
        <w:rPr>
          <w:rFonts w:ascii="Times New Roman" w:hAnsi="Times New Roman" w:cs="Times New Roman"/>
        </w:rPr>
        <w:t xml:space="preserve">ific </w:t>
      </w:r>
      <w:r w:rsidR="0058137D" w:rsidRPr="00BC7BB5">
        <w:rPr>
          <w:rFonts w:ascii="Times New Roman" w:hAnsi="Times New Roman" w:cs="Times New Roman"/>
        </w:rPr>
        <w:t xml:space="preserve">staffing and capacity </w:t>
      </w:r>
      <w:r w:rsidR="00FE030A" w:rsidRPr="00BC7BB5">
        <w:rPr>
          <w:rFonts w:ascii="Times New Roman" w:hAnsi="Times New Roman" w:cs="Times New Roman"/>
        </w:rPr>
        <w:t>constraints of</w:t>
      </w:r>
      <w:r w:rsidR="00631F32" w:rsidRPr="00BC7BB5">
        <w:rPr>
          <w:rFonts w:ascii="Times New Roman" w:hAnsi="Times New Roman" w:cs="Times New Roman"/>
        </w:rPr>
        <w:t xml:space="preserve"> those entities. </w:t>
      </w:r>
      <w:r w:rsidR="00D21EDA" w:rsidRPr="00BC7BB5">
        <w:rPr>
          <w:rFonts w:ascii="Times New Roman" w:hAnsi="Times New Roman" w:cs="Times New Roman"/>
        </w:rPr>
        <w:t>With regards to collaboration between implementing entities, st</w:t>
      </w:r>
      <w:r w:rsidR="0069060D" w:rsidRPr="00BC7BB5">
        <w:rPr>
          <w:rFonts w:ascii="Times New Roman" w:hAnsi="Times New Roman" w:cs="Times New Roman"/>
        </w:rPr>
        <w:t>rong leadership at g</w:t>
      </w:r>
      <w:r w:rsidR="00D21EDA" w:rsidRPr="00BC7BB5">
        <w:rPr>
          <w:rFonts w:ascii="Times New Roman" w:hAnsi="Times New Roman" w:cs="Times New Roman"/>
        </w:rPr>
        <w:t xml:space="preserve">overnment level will be needed to ensure, specifically, the quality of inter-ministerial coordination. </w:t>
      </w:r>
      <w:r w:rsidR="004B6C07" w:rsidRPr="00BC7BB5">
        <w:rPr>
          <w:rFonts w:ascii="Times New Roman" w:hAnsi="Times New Roman" w:cs="Times New Roman"/>
        </w:rPr>
        <w:t xml:space="preserve">Capacity </w:t>
      </w:r>
      <w:r w:rsidR="0058137D" w:rsidRPr="00BC7BB5">
        <w:rPr>
          <w:rFonts w:ascii="Times New Roman" w:hAnsi="Times New Roman" w:cs="Times New Roman"/>
        </w:rPr>
        <w:t xml:space="preserve">and staffing </w:t>
      </w:r>
      <w:r w:rsidR="004B6C07" w:rsidRPr="00BC7BB5">
        <w:rPr>
          <w:rFonts w:ascii="Times New Roman" w:hAnsi="Times New Roman" w:cs="Times New Roman"/>
        </w:rPr>
        <w:t xml:space="preserve">constraints </w:t>
      </w:r>
      <w:r w:rsidR="0058137D" w:rsidRPr="00BC7BB5">
        <w:rPr>
          <w:rFonts w:ascii="Times New Roman" w:hAnsi="Times New Roman" w:cs="Times New Roman"/>
        </w:rPr>
        <w:t>have been</w:t>
      </w:r>
      <w:r w:rsidR="004B6C07" w:rsidRPr="00BC7BB5">
        <w:rPr>
          <w:rFonts w:ascii="Times New Roman" w:hAnsi="Times New Roman" w:cs="Times New Roman"/>
        </w:rPr>
        <w:t xml:space="preserve"> mitigated through the design of the Program. The technical assessment has also identified some specific risks associated with the following activities</w:t>
      </w:r>
      <w:r w:rsidR="0069060D" w:rsidRPr="00BC7BB5">
        <w:rPr>
          <w:rFonts w:ascii="Times New Roman" w:hAnsi="Times New Roman" w:cs="Times New Roman"/>
        </w:rPr>
        <w:t xml:space="preserve"> and specific mitigation measures,</w:t>
      </w:r>
      <w:r w:rsidR="00095C92" w:rsidRPr="00BC7BB5">
        <w:rPr>
          <w:rFonts w:ascii="Times New Roman" w:hAnsi="Times New Roman" w:cs="Times New Roman"/>
        </w:rPr>
        <w:t xml:space="preserve"> which will need to be </w:t>
      </w:r>
      <w:r w:rsidR="0069060D" w:rsidRPr="00BC7BB5">
        <w:rPr>
          <w:rFonts w:ascii="Times New Roman" w:hAnsi="Times New Roman" w:cs="Times New Roman"/>
        </w:rPr>
        <w:t>monitored</w:t>
      </w:r>
      <w:r w:rsidR="004B6C07" w:rsidRPr="00BC7BB5">
        <w:rPr>
          <w:rFonts w:ascii="Times New Roman" w:hAnsi="Times New Roman" w:cs="Times New Roman"/>
        </w:rPr>
        <w:t>:</w:t>
      </w:r>
    </w:p>
    <w:p w14:paraId="0D7D14D3" w14:textId="77777777" w:rsidR="005D30EF" w:rsidRPr="00BC7BB5" w:rsidRDefault="005D30EF" w:rsidP="005D30EF">
      <w:pPr>
        <w:pStyle w:val="NoSpacing"/>
        <w:jc w:val="both"/>
        <w:rPr>
          <w:rFonts w:ascii="Times New Roman" w:hAnsi="Times New Roman" w:cs="Times New Roman"/>
        </w:rPr>
      </w:pPr>
    </w:p>
    <w:p w14:paraId="50A76E79" w14:textId="55E39255" w:rsidR="00D21EDA" w:rsidRPr="00BC7BB5" w:rsidRDefault="00832355" w:rsidP="00B35A06">
      <w:pPr>
        <w:pStyle w:val="NoSpacing"/>
        <w:numPr>
          <w:ilvl w:val="0"/>
          <w:numId w:val="7"/>
        </w:numPr>
        <w:ind w:left="0" w:firstLine="0"/>
        <w:jc w:val="both"/>
        <w:rPr>
          <w:rFonts w:ascii="Times New Roman" w:hAnsi="Times New Roman" w:cs="Times New Roman"/>
        </w:rPr>
      </w:pPr>
      <w:r w:rsidRPr="00BC7BB5">
        <w:rPr>
          <w:rFonts w:ascii="Times New Roman" w:hAnsi="Times New Roman" w:cs="Times New Roman"/>
          <w:i/>
        </w:rPr>
        <w:t>W</w:t>
      </w:r>
      <w:r w:rsidR="00D21EDA" w:rsidRPr="00BC7BB5">
        <w:rPr>
          <w:rFonts w:ascii="Times New Roman" w:hAnsi="Times New Roman" w:cs="Times New Roman"/>
          <w:i/>
        </w:rPr>
        <w:t>holesale market</w:t>
      </w:r>
      <w:r w:rsidRPr="00BC7BB5">
        <w:rPr>
          <w:rFonts w:ascii="Times New Roman" w:hAnsi="Times New Roman" w:cs="Times New Roman"/>
          <w:i/>
        </w:rPr>
        <w:t xml:space="preserve"> </w:t>
      </w:r>
      <w:r w:rsidR="0058137D" w:rsidRPr="00BC7BB5">
        <w:rPr>
          <w:rFonts w:ascii="Times New Roman" w:hAnsi="Times New Roman" w:cs="Times New Roman"/>
          <w:i/>
        </w:rPr>
        <w:t>reforms</w:t>
      </w:r>
      <w:r w:rsidR="00D21EDA" w:rsidRPr="00BC7BB5">
        <w:rPr>
          <w:rFonts w:ascii="Times New Roman" w:hAnsi="Times New Roman" w:cs="Times New Roman"/>
          <w:i/>
        </w:rPr>
        <w:t>.</w:t>
      </w:r>
      <w:r w:rsidR="00D21EDA" w:rsidRPr="00BC7BB5">
        <w:rPr>
          <w:rFonts w:ascii="Times New Roman" w:hAnsi="Times New Roman" w:cs="Times New Roman"/>
          <w:b/>
        </w:rPr>
        <w:t xml:space="preserve"> </w:t>
      </w:r>
      <w:r w:rsidR="00D21EDA" w:rsidRPr="00BC7BB5">
        <w:rPr>
          <w:rFonts w:ascii="Times New Roman" w:hAnsi="Times New Roman" w:cs="Times New Roman"/>
        </w:rPr>
        <w:t xml:space="preserve">First, the closure of existing wholesale markets and their transfer to new </w:t>
      </w:r>
      <w:r w:rsidR="00973F04">
        <w:rPr>
          <w:rFonts w:ascii="Times New Roman" w:hAnsi="Times New Roman" w:cs="Times New Roman"/>
        </w:rPr>
        <w:t>markets under improved management</w:t>
      </w:r>
      <w:r w:rsidR="00D21EDA" w:rsidRPr="00BC7BB5">
        <w:rPr>
          <w:rFonts w:ascii="Times New Roman" w:hAnsi="Times New Roman" w:cs="Times New Roman"/>
        </w:rPr>
        <w:t xml:space="preserve"> are delicate operations because they lead to a profound change in the interactions between market users. </w:t>
      </w:r>
      <w:r w:rsidR="00754ADB" w:rsidRPr="00BC7BB5">
        <w:rPr>
          <w:rFonts w:ascii="Times New Roman" w:hAnsi="Times New Roman" w:cs="Times New Roman"/>
        </w:rPr>
        <w:t>I</w:t>
      </w:r>
      <w:r w:rsidR="00D21EDA" w:rsidRPr="00BC7BB5">
        <w:rPr>
          <w:rFonts w:ascii="Times New Roman" w:hAnsi="Times New Roman" w:cs="Times New Roman"/>
        </w:rPr>
        <w:t xml:space="preserve">t is critical that the municipalities </w:t>
      </w:r>
      <w:r w:rsidR="004827C7">
        <w:rPr>
          <w:rFonts w:ascii="Times New Roman" w:hAnsi="Times New Roman" w:cs="Times New Roman"/>
        </w:rPr>
        <w:t xml:space="preserve">where </w:t>
      </w:r>
      <w:r w:rsidR="00D21EDA" w:rsidRPr="00BC7BB5">
        <w:rPr>
          <w:rFonts w:ascii="Times New Roman" w:hAnsi="Times New Roman" w:cs="Times New Roman"/>
        </w:rPr>
        <w:t xml:space="preserve">the </w:t>
      </w:r>
      <w:r w:rsidR="00CF5384" w:rsidRPr="00BC7BB5">
        <w:rPr>
          <w:rFonts w:ascii="Times New Roman" w:hAnsi="Times New Roman" w:cs="Times New Roman"/>
        </w:rPr>
        <w:t xml:space="preserve">existing wholesale markets </w:t>
      </w:r>
      <w:r w:rsidR="004827C7">
        <w:rPr>
          <w:rFonts w:ascii="Times New Roman" w:hAnsi="Times New Roman" w:cs="Times New Roman"/>
        </w:rPr>
        <w:t xml:space="preserve">are located </w:t>
      </w:r>
      <w:r w:rsidR="00CF5384" w:rsidRPr="00BC7BB5">
        <w:rPr>
          <w:rFonts w:ascii="Times New Roman" w:hAnsi="Times New Roman" w:cs="Times New Roman"/>
        </w:rPr>
        <w:t>(e.g.</w:t>
      </w:r>
      <w:r w:rsidR="004827C7">
        <w:rPr>
          <w:rFonts w:ascii="Times New Roman" w:hAnsi="Times New Roman" w:cs="Times New Roman"/>
        </w:rPr>
        <w:t>,</w:t>
      </w:r>
      <w:r w:rsidR="00D21EDA" w:rsidRPr="00BC7BB5">
        <w:rPr>
          <w:rFonts w:ascii="Times New Roman" w:hAnsi="Times New Roman" w:cs="Times New Roman"/>
        </w:rPr>
        <w:t xml:space="preserve"> Rabat, Salé and </w:t>
      </w:r>
      <w:r w:rsidR="009060C5" w:rsidRPr="00BC7BB5">
        <w:rPr>
          <w:rFonts w:ascii="Times New Roman" w:hAnsi="Times New Roman" w:cs="Times New Roman"/>
        </w:rPr>
        <w:t>Kénitra</w:t>
      </w:r>
      <w:r w:rsidR="00D21EDA" w:rsidRPr="00BC7BB5">
        <w:rPr>
          <w:rFonts w:ascii="Times New Roman" w:hAnsi="Times New Roman" w:cs="Times New Roman"/>
        </w:rPr>
        <w:t>) have</w:t>
      </w:r>
      <w:r w:rsidR="009A53E1" w:rsidRPr="00BC7BB5">
        <w:rPr>
          <w:rFonts w:ascii="Times New Roman" w:hAnsi="Times New Roman" w:cs="Times New Roman"/>
        </w:rPr>
        <w:t xml:space="preserve"> a clear commitment to close tho</w:t>
      </w:r>
      <w:r w:rsidR="00D21EDA" w:rsidRPr="00BC7BB5">
        <w:rPr>
          <w:rFonts w:ascii="Times New Roman" w:hAnsi="Times New Roman" w:cs="Times New Roman"/>
        </w:rPr>
        <w:t xml:space="preserve">se markets as soon as the </w:t>
      </w:r>
      <w:r w:rsidR="009A53E1" w:rsidRPr="00BC7BB5">
        <w:rPr>
          <w:rFonts w:ascii="Times New Roman" w:hAnsi="Times New Roman" w:cs="Times New Roman"/>
        </w:rPr>
        <w:t>new market becomes operational</w:t>
      </w:r>
      <w:r w:rsidR="004827C7">
        <w:rPr>
          <w:rFonts w:ascii="Times New Roman" w:hAnsi="Times New Roman" w:cs="Times New Roman"/>
        </w:rPr>
        <w:t>,</w:t>
      </w:r>
      <w:r w:rsidR="009A53E1" w:rsidRPr="00BC7BB5">
        <w:rPr>
          <w:rFonts w:ascii="Times New Roman" w:hAnsi="Times New Roman" w:cs="Times New Roman"/>
        </w:rPr>
        <w:t xml:space="preserve"> </w:t>
      </w:r>
      <w:r w:rsidR="00D21EDA" w:rsidRPr="00BC7BB5">
        <w:rPr>
          <w:rFonts w:ascii="Times New Roman" w:hAnsi="Times New Roman" w:cs="Times New Roman"/>
        </w:rPr>
        <w:t>and</w:t>
      </w:r>
      <w:r w:rsidR="00085D9C" w:rsidRPr="00BC7BB5">
        <w:rPr>
          <w:rFonts w:ascii="Times New Roman" w:hAnsi="Times New Roman" w:cs="Times New Roman"/>
        </w:rPr>
        <w:t xml:space="preserve"> that the Wilaya does not allow the opening of any competing wholesale markets on its territory</w:t>
      </w:r>
      <w:r w:rsidR="00D21EDA" w:rsidRPr="00BC7BB5">
        <w:rPr>
          <w:rFonts w:ascii="Times New Roman" w:hAnsi="Times New Roman" w:cs="Times New Roman"/>
        </w:rPr>
        <w:t xml:space="preserve">. Second, the existing commission system and </w:t>
      </w:r>
      <w:r w:rsidR="009724BE">
        <w:rPr>
          <w:rFonts w:ascii="Times New Roman" w:hAnsi="Times New Roman" w:cs="Times New Roman"/>
        </w:rPr>
        <w:t>lack of</w:t>
      </w:r>
      <w:r w:rsidR="00D21EDA" w:rsidRPr="00BC7BB5">
        <w:rPr>
          <w:rFonts w:ascii="Times New Roman" w:hAnsi="Times New Roman" w:cs="Times New Roman"/>
        </w:rPr>
        <w:t xml:space="preserve"> expertise</w:t>
      </w:r>
      <w:r w:rsidR="009724BE">
        <w:rPr>
          <w:rFonts w:ascii="Times New Roman" w:hAnsi="Times New Roman" w:cs="Times New Roman"/>
        </w:rPr>
        <w:t xml:space="preserve"> with wholesale markets</w:t>
      </w:r>
      <w:r w:rsidR="00D21EDA" w:rsidRPr="00BC7BB5">
        <w:rPr>
          <w:rFonts w:ascii="Times New Roman" w:hAnsi="Times New Roman" w:cs="Times New Roman"/>
        </w:rPr>
        <w:t xml:space="preserve"> at the level of </w:t>
      </w:r>
      <w:r w:rsidR="009724BE">
        <w:rPr>
          <w:rFonts w:ascii="Times New Roman" w:hAnsi="Times New Roman" w:cs="Times New Roman"/>
        </w:rPr>
        <w:t>the recently</w:t>
      </w:r>
      <w:r w:rsidR="004827C7">
        <w:rPr>
          <w:rFonts w:ascii="Times New Roman" w:hAnsi="Times New Roman" w:cs="Times New Roman"/>
        </w:rPr>
        <w:t xml:space="preserve"> </w:t>
      </w:r>
      <w:r w:rsidR="009724BE">
        <w:rPr>
          <w:rFonts w:ascii="Times New Roman" w:hAnsi="Times New Roman" w:cs="Times New Roman"/>
        </w:rPr>
        <w:t xml:space="preserve">created </w:t>
      </w:r>
      <w:r w:rsidR="00780B13" w:rsidRPr="00BC7BB5">
        <w:rPr>
          <w:rFonts w:ascii="Times New Roman" w:hAnsi="Times New Roman" w:cs="Times New Roman"/>
          <w:i/>
        </w:rPr>
        <w:t xml:space="preserve">Rabat </w:t>
      </w:r>
      <w:r w:rsidR="009724BE">
        <w:rPr>
          <w:rFonts w:ascii="Times New Roman" w:hAnsi="Times New Roman" w:cs="Times New Roman"/>
          <w:i/>
        </w:rPr>
        <w:t xml:space="preserve">Région </w:t>
      </w:r>
      <w:r w:rsidR="00780B13" w:rsidRPr="00BC7BB5">
        <w:rPr>
          <w:rFonts w:ascii="Times New Roman" w:hAnsi="Times New Roman" w:cs="Times New Roman"/>
          <w:i/>
        </w:rPr>
        <w:t>Aménagement</w:t>
      </w:r>
      <w:r w:rsidR="00D21EDA" w:rsidRPr="00BC7BB5">
        <w:rPr>
          <w:rFonts w:ascii="Times New Roman" w:hAnsi="Times New Roman" w:cs="Times New Roman"/>
        </w:rPr>
        <w:t xml:space="preserve"> could result in misalignments between the design of the wholesale market infrastructure and the needs of the fu</w:t>
      </w:r>
      <w:r w:rsidR="0033291E">
        <w:rPr>
          <w:rFonts w:ascii="Times New Roman" w:hAnsi="Times New Roman" w:cs="Times New Roman"/>
        </w:rPr>
        <w:t>ture operators and market users</w:t>
      </w:r>
      <w:r w:rsidR="00D21EDA" w:rsidRPr="00BC7BB5">
        <w:rPr>
          <w:rStyle w:val="FootnoteReference"/>
        </w:rPr>
        <w:footnoteReference w:id="16"/>
      </w:r>
      <w:r w:rsidR="0033291E">
        <w:rPr>
          <w:rFonts w:ascii="Times New Roman" w:hAnsi="Times New Roman" w:cs="Times New Roman"/>
        </w:rPr>
        <w:t xml:space="preserve">. </w:t>
      </w:r>
      <w:r w:rsidR="00D21EDA" w:rsidRPr="00BC7BB5">
        <w:rPr>
          <w:rFonts w:ascii="Times New Roman" w:hAnsi="Times New Roman" w:cs="Times New Roman"/>
        </w:rPr>
        <w:t>It is therefore essential that the SDL</w:t>
      </w:r>
      <w:r w:rsidR="009724BE">
        <w:rPr>
          <w:rFonts w:ascii="Times New Roman" w:hAnsi="Times New Roman" w:cs="Times New Roman"/>
        </w:rPr>
        <w:t>/SDR</w:t>
      </w:r>
      <w:r w:rsidR="00D21EDA" w:rsidRPr="00BC7BB5">
        <w:rPr>
          <w:rFonts w:ascii="Times New Roman" w:hAnsi="Times New Roman" w:cs="Times New Roman"/>
        </w:rPr>
        <w:t xml:space="preserve"> be created as soon as possible and a "project team" be established and trained to form the nucleus of the SDL</w:t>
      </w:r>
      <w:r w:rsidR="009724BE">
        <w:rPr>
          <w:rFonts w:ascii="Times New Roman" w:hAnsi="Times New Roman" w:cs="Times New Roman"/>
        </w:rPr>
        <w:t>/SDR</w:t>
      </w:r>
      <w:r w:rsidR="00D21EDA" w:rsidRPr="00BC7BB5">
        <w:rPr>
          <w:rFonts w:ascii="Times New Roman" w:hAnsi="Times New Roman" w:cs="Times New Roman"/>
        </w:rPr>
        <w:t>’s future market management team. Third, the newly established SDL</w:t>
      </w:r>
      <w:r w:rsidR="0060781A">
        <w:rPr>
          <w:rFonts w:ascii="Times New Roman" w:hAnsi="Times New Roman" w:cs="Times New Roman"/>
        </w:rPr>
        <w:t>/SDR</w:t>
      </w:r>
      <w:r w:rsidR="00D21EDA" w:rsidRPr="00BC7BB5">
        <w:rPr>
          <w:rFonts w:ascii="Times New Roman" w:hAnsi="Times New Roman" w:cs="Times New Roman"/>
        </w:rPr>
        <w:t xml:space="preserve"> must be actively involved in the design phase of the project and in all the phases preceding the launch of the new market. Finally, </w:t>
      </w:r>
      <w:r w:rsidR="004827C7">
        <w:rPr>
          <w:rFonts w:ascii="Times New Roman" w:hAnsi="Times New Roman" w:cs="Times New Roman"/>
        </w:rPr>
        <w:t xml:space="preserve">the </w:t>
      </w:r>
      <w:r w:rsidR="00D21EDA" w:rsidRPr="00BC7BB5">
        <w:rPr>
          <w:rFonts w:ascii="Times New Roman" w:hAnsi="Times New Roman" w:cs="Times New Roman"/>
        </w:rPr>
        <w:t>government authorities must ensure the construction of required off-site infrastructure (access roads, etc.), connectivity to utility networks (water, electricity, etc.), and the development of an environmental management plan that would render the market a model structure from an energy use and waste management perspective.</w:t>
      </w:r>
      <w:r w:rsidR="00B44927" w:rsidRPr="00BC7BB5">
        <w:rPr>
          <w:rFonts w:ascii="Times New Roman" w:hAnsi="Times New Roman" w:cs="Times New Roman"/>
        </w:rPr>
        <w:t xml:space="preserve"> The Bank’s engagement in supporting </w:t>
      </w:r>
      <w:r w:rsidR="004827C7" w:rsidRPr="00BC7BB5">
        <w:rPr>
          <w:rFonts w:ascii="Times New Roman" w:hAnsi="Times New Roman" w:cs="Times New Roman"/>
        </w:rPr>
        <w:t>th</w:t>
      </w:r>
      <w:r w:rsidR="004827C7">
        <w:rPr>
          <w:rFonts w:ascii="Times New Roman" w:hAnsi="Times New Roman" w:cs="Times New Roman"/>
        </w:rPr>
        <w:t>e</w:t>
      </w:r>
      <w:r w:rsidR="004827C7" w:rsidRPr="00BC7BB5">
        <w:rPr>
          <w:rFonts w:ascii="Times New Roman" w:hAnsi="Times New Roman" w:cs="Times New Roman"/>
        </w:rPr>
        <w:t xml:space="preserve">se </w:t>
      </w:r>
      <w:r w:rsidR="00B44927" w:rsidRPr="00BC7BB5">
        <w:rPr>
          <w:rFonts w:ascii="Times New Roman" w:hAnsi="Times New Roman" w:cs="Times New Roman"/>
        </w:rPr>
        <w:t xml:space="preserve">processes continues to be essential to foster continued cooperation between all parties involved and to enable Morocco to integrate international best practice with regards to </w:t>
      </w:r>
      <w:r w:rsidR="00B44927" w:rsidRPr="00BC7BB5">
        <w:rPr>
          <w:rFonts w:ascii="Times New Roman" w:hAnsi="Times New Roman" w:cs="Times New Roman"/>
        </w:rPr>
        <w:lastRenderedPageBreak/>
        <w:t xml:space="preserve">the technical, operational, social and environmental dimensions of the new wholesale </w:t>
      </w:r>
      <w:r w:rsidR="002E2390" w:rsidRPr="00BC7BB5">
        <w:rPr>
          <w:rFonts w:ascii="Times New Roman" w:hAnsi="Times New Roman" w:cs="Times New Roman"/>
        </w:rPr>
        <w:t xml:space="preserve">market </w:t>
      </w:r>
      <w:r w:rsidR="00B44927" w:rsidRPr="00BC7BB5">
        <w:rPr>
          <w:rFonts w:ascii="Times New Roman" w:hAnsi="Times New Roman" w:cs="Times New Roman"/>
        </w:rPr>
        <w:t>management model.</w:t>
      </w:r>
    </w:p>
    <w:p w14:paraId="6C4848F2" w14:textId="77777777" w:rsidR="00642364" w:rsidRPr="00BC7BB5" w:rsidRDefault="00642364" w:rsidP="00642364">
      <w:pPr>
        <w:spacing w:after="0" w:line="240" w:lineRule="auto"/>
        <w:ind w:left="420"/>
        <w:jc w:val="both"/>
        <w:rPr>
          <w:rFonts w:ascii="Times New Roman" w:hAnsi="Times New Roman" w:cs="Times New Roman"/>
        </w:rPr>
      </w:pPr>
    </w:p>
    <w:p w14:paraId="539EC2B7" w14:textId="05BBB575" w:rsidR="00063DC8" w:rsidRPr="00BC7BB5" w:rsidRDefault="00063DC8" w:rsidP="00B35A06">
      <w:pPr>
        <w:pStyle w:val="NoSpacing"/>
        <w:numPr>
          <w:ilvl w:val="0"/>
          <w:numId w:val="7"/>
        </w:numPr>
        <w:ind w:left="0" w:firstLine="0"/>
        <w:jc w:val="both"/>
        <w:rPr>
          <w:rFonts w:ascii="Times New Roman" w:hAnsi="Times New Roman" w:cs="Times New Roman"/>
        </w:rPr>
      </w:pPr>
      <w:r w:rsidRPr="00BC7BB5">
        <w:rPr>
          <w:rFonts w:ascii="Times New Roman" w:hAnsi="Times New Roman" w:cs="Times New Roman"/>
          <w:i/>
        </w:rPr>
        <w:t>CIAs</w:t>
      </w:r>
      <w:r w:rsidRPr="00BC7BB5">
        <w:rPr>
          <w:rFonts w:ascii="Times New Roman" w:hAnsi="Times New Roman" w:cs="Times New Roman"/>
        </w:rPr>
        <w:t>. The proposal prese</w:t>
      </w:r>
      <w:r w:rsidR="00642364" w:rsidRPr="00BC7BB5">
        <w:rPr>
          <w:rFonts w:ascii="Times New Roman" w:hAnsi="Times New Roman" w:cs="Times New Roman"/>
        </w:rPr>
        <w:t>nts some risks that would</w:t>
      </w:r>
      <w:r w:rsidRPr="00BC7BB5">
        <w:rPr>
          <w:rFonts w:ascii="Times New Roman" w:hAnsi="Times New Roman" w:cs="Times New Roman"/>
        </w:rPr>
        <w:t xml:space="preserve"> be mitigated in the final design and implementation plan:</w:t>
      </w:r>
      <w:r w:rsidR="009C593B" w:rsidRPr="00BC7BB5">
        <w:rPr>
          <w:rFonts w:ascii="Times New Roman" w:hAnsi="Times New Roman" w:cs="Times New Roman"/>
        </w:rPr>
        <w:t xml:space="preserve"> (a) the e</w:t>
      </w:r>
      <w:r w:rsidRPr="00BC7BB5">
        <w:rPr>
          <w:rFonts w:ascii="Times New Roman" w:hAnsi="Times New Roman" w:cs="Times New Roman"/>
        </w:rPr>
        <w:t xml:space="preserve">xtent of market demand for support services and beneficiaries’ willingness to pay. A survey of a representative sample of target firms </w:t>
      </w:r>
      <w:r w:rsidR="00CF5384" w:rsidRPr="00BC7BB5">
        <w:rPr>
          <w:rFonts w:ascii="Times New Roman" w:hAnsi="Times New Roman" w:cs="Times New Roman"/>
        </w:rPr>
        <w:t>has been carried out</w:t>
      </w:r>
      <w:r w:rsidRPr="00BC7BB5">
        <w:rPr>
          <w:rFonts w:ascii="Times New Roman" w:hAnsi="Times New Roman" w:cs="Times New Roman"/>
        </w:rPr>
        <w:t xml:space="preserve"> for a more precise appr</w:t>
      </w:r>
      <w:r w:rsidR="00CD2331" w:rsidRPr="00BC7BB5">
        <w:rPr>
          <w:rFonts w:ascii="Times New Roman" w:hAnsi="Times New Roman" w:cs="Times New Roman"/>
        </w:rPr>
        <w:t>eciation of demand for services</w:t>
      </w:r>
      <w:r w:rsidRPr="00BC7BB5">
        <w:rPr>
          <w:rFonts w:ascii="Times New Roman" w:hAnsi="Times New Roman" w:cs="Times New Roman"/>
        </w:rPr>
        <w:t>;</w:t>
      </w:r>
      <w:r w:rsidR="00CD2331" w:rsidRPr="00BC7BB5">
        <w:rPr>
          <w:rFonts w:ascii="Times New Roman" w:hAnsi="Times New Roman" w:cs="Times New Roman"/>
        </w:rPr>
        <w:t xml:space="preserve"> (b) </w:t>
      </w:r>
      <w:r w:rsidR="00F56D8A" w:rsidRPr="00BC7BB5">
        <w:rPr>
          <w:rFonts w:ascii="Times New Roman" w:hAnsi="Times New Roman" w:cs="Times New Roman"/>
        </w:rPr>
        <w:t xml:space="preserve">the </w:t>
      </w:r>
      <w:r w:rsidR="00CD2331" w:rsidRPr="00BC7BB5">
        <w:rPr>
          <w:rFonts w:ascii="Times New Roman" w:hAnsi="Times New Roman" w:cs="Times New Roman"/>
        </w:rPr>
        <w:t>h</w:t>
      </w:r>
      <w:r w:rsidRPr="00BC7BB5">
        <w:rPr>
          <w:rFonts w:ascii="Times New Roman" w:hAnsi="Times New Roman" w:cs="Times New Roman"/>
        </w:rPr>
        <w:t>eterogeneity of potential beneficiaries’ capacities and needs (SMEs’ start-ups, cooperatives) highlighting the need to develop tailored support programs based on specific sub-groups. The centers will need to focus on specific services in</w:t>
      </w:r>
      <w:r w:rsidR="00CD2331" w:rsidRPr="00BC7BB5">
        <w:rPr>
          <w:rFonts w:ascii="Times New Roman" w:hAnsi="Times New Roman" w:cs="Times New Roman"/>
        </w:rPr>
        <w:t>i</w:t>
      </w:r>
      <w:r w:rsidRPr="00BC7BB5">
        <w:rPr>
          <w:rFonts w:ascii="Times New Roman" w:hAnsi="Times New Roman" w:cs="Times New Roman"/>
        </w:rPr>
        <w:t>tially and exten</w:t>
      </w:r>
      <w:r w:rsidR="00F56D8A" w:rsidRPr="00BC7BB5">
        <w:rPr>
          <w:rFonts w:ascii="Times New Roman" w:hAnsi="Times New Roman" w:cs="Times New Roman"/>
        </w:rPr>
        <w:t>d</w:t>
      </w:r>
      <w:r w:rsidRPr="00BC7BB5">
        <w:rPr>
          <w:rFonts w:ascii="Times New Roman" w:hAnsi="Times New Roman" w:cs="Times New Roman"/>
        </w:rPr>
        <w:t xml:space="preserve"> gradually their offer;</w:t>
      </w:r>
      <w:r w:rsidR="00CD2331" w:rsidRPr="00BC7BB5">
        <w:rPr>
          <w:rFonts w:ascii="Times New Roman" w:hAnsi="Times New Roman" w:cs="Times New Roman"/>
        </w:rPr>
        <w:t xml:space="preserve"> (c) l</w:t>
      </w:r>
      <w:r w:rsidRPr="00BC7BB5">
        <w:rPr>
          <w:rFonts w:ascii="Times New Roman" w:hAnsi="Times New Roman" w:cs="Times New Roman"/>
        </w:rPr>
        <w:t>imitations coming from the low offer of private providers with required capacity to support implementation, in some areas; and</w:t>
      </w:r>
      <w:r w:rsidR="00CD2331" w:rsidRPr="00BC7BB5">
        <w:rPr>
          <w:rFonts w:ascii="Times New Roman" w:hAnsi="Times New Roman" w:cs="Times New Roman"/>
        </w:rPr>
        <w:t xml:space="preserve"> (d) </w:t>
      </w:r>
      <w:r w:rsidR="00F56D8A" w:rsidRPr="00BC7BB5">
        <w:rPr>
          <w:rFonts w:ascii="Times New Roman" w:hAnsi="Times New Roman" w:cs="Times New Roman"/>
        </w:rPr>
        <w:t xml:space="preserve">the </w:t>
      </w:r>
      <w:r w:rsidR="00CD2331" w:rsidRPr="00BC7BB5">
        <w:rPr>
          <w:rFonts w:ascii="Times New Roman" w:hAnsi="Times New Roman" w:cs="Times New Roman"/>
        </w:rPr>
        <w:t>need to</w:t>
      </w:r>
      <w:r w:rsidRPr="00BC7BB5">
        <w:rPr>
          <w:rFonts w:ascii="Times New Roman" w:hAnsi="Times New Roman" w:cs="Times New Roman"/>
        </w:rPr>
        <w:t xml:space="preserve"> pay utmost attention to the CIA positioning and value proposition, coming to fill gaps (both in terms of servic</w:t>
      </w:r>
      <w:r w:rsidR="00CD2331" w:rsidRPr="00BC7BB5">
        <w:rPr>
          <w:rFonts w:ascii="Times New Roman" w:hAnsi="Times New Roman" w:cs="Times New Roman"/>
        </w:rPr>
        <w:t>es and geographic reach) and</w:t>
      </w:r>
      <w:r w:rsidRPr="00BC7BB5">
        <w:rPr>
          <w:rFonts w:ascii="Times New Roman" w:hAnsi="Times New Roman" w:cs="Times New Roman"/>
        </w:rPr>
        <w:t xml:space="preserve"> build ties with the existing private and public players</w:t>
      </w:r>
      <w:r w:rsidR="00CD2331" w:rsidRPr="00BC7BB5">
        <w:rPr>
          <w:rFonts w:ascii="Times New Roman" w:hAnsi="Times New Roman" w:cs="Times New Roman"/>
        </w:rPr>
        <w:t>.</w:t>
      </w:r>
    </w:p>
    <w:p w14:paraId="4944A074" w14:textId="77777777" w:rsidR="00762FF7" w:rsidRPr="00BC7BB5" w:rsidRDefault="00762FF7" w:rsidP="00B65FDD">
      <w:pPr>
        <w:pStyle w:val="NoSpacing"/>
        <w:ind w:left="360"/>
        <w:jc w:val="both"/>
        <w:rPr>
          <w:rFonts w:ascii="Times New Roman" w:hAnsi="Times New Roman" w:cs="Times New Roman"/>
        </w:rPr>
      </w:pPr>
    </w:p>
    <w:p w14:paraId="559A9852" w14:textId="6CE3883C" w:rsidR="00762FF7" w:rsidRPr="00BC7BB5" w:rsidRDefault="00762FF7" w:rsidP="00642E13">
      <w:pPr>
        <w:pStyle w:val="NoSpacing"/>
        <w:jc w:val="both"/>
        <w:rPr>
          <w:rFonts w:ascii="Times New Roman" w:hAnsi="Times New Roman" w:cs="Times New Roman"/>
          <w:b/>
          <w:i/>
        </w:rPr>
      </w:pPr>
      <w:r w:rsidRPr="00BC7BB5">
        <w:rPr>
          <w:rFonts w:ascii="Times New Roman" w:hAnsi="Times New Roman" w:cs="Times New Roman"/>
          <w:b/>
          <w:i/>
        </w:rPr>
        <w:t>Program Economic Rationale</w:t>
      </w:r>
    </w:p>
    <w:p w14:paraId="6A66FD13" w14:textId="0B807DEA" w:rsidR="001E61DF" w:rsidRPr="00BC7BB5" w:rsidRDefault="00BA65CC" w:rsidP="006A2243">
      <w:pPr>
        <w:pStyle w:val="NoSpacing"/>
        <w:jc w:val="both"/>
        <w:rPr>
          <w:rFonts w:ascii="Times New Roman" w:hAnsi="Times New Roman" w:cs="Times New Roman"/>
          <w:b/>
          <w:color w:val="000000" w:themeColor="text1"/>
        </w:rPr>
      </w:pPr>
      <w:r w:rsidRPr="00BC7BB5">
        <w:rPr>
          <w:rFonts w:ascii="Times New Roman" w:hAnsi="Times New Roman" w:cs="Times New Roman"/>
          <w:color w:val="000000" w:themeColor="text1"/>
        </w:rPr>
        <w:t xml:space="preserve"> </w:t>
      </w:r>
    </w:p>
    <w:p w14:paraId="1C5D1A49" w14:textId="367056AF" w:rsidR="001E61DF" w:rsidRPr="00BC7BB5" w:rsidRDefault="001E61DF" w:rsidP="00B35A06">
      <w:pPr>
        <w:pStyle w:val="NoSpacing"/>
        <w:numPr>
          <w:ilvl w:val="0"/>
          <w:numId w:val="7"/>
        </w:numPr>
        <w:ind w:left="0" w:firstLine="0"/>
        <w:jc w:val="both"/>
        <w:rPr>
          <w:rFonts w:ascii="Times New Roman" w:hAnsi="Times New Roman" w:cs="Times New Roman"/>
        </w:rPr>
      </w:pPr>
      <w:r w:rsidRPr="00BC7BB5">
        <w:rPr>
          <w:rFonts w:ascii="Times New Roman" w:hAnsi="Times New Roman" w:cs="Times New Roman"/>
          <w:b/>
          <w:color w:val="000000" w:themeColor="text1"/>
        </w:rPr>
        <w:t xml:space="preserve">Rationale for </w:t>
      </w:r>
      <w:r w:rsidR="004827C7">
        <w:rPr>
          <w:rFonts w:ascii="Times New Roman" w:hAnsi="Times New Roman" w:cs="Times New Roman"/>
          <w:b/>
          <w:color w:val="000000" w:themeColor="text1"/>
        </w:rPr>
        <w:t>p</w:t>
      </w:r>
      <w:r w:rsidRPr="00BC7BB5">
        <w:rPr>
          <w:rFonts w:ascii="Times New Roman" w:hAnsi="Times New Roman" w:cs="Times New Roman"/>
          <w:b/>
          <w:color w:val="000000" w:themeColor="text1"/>
        </w:rPr>
        <w:t xml:space="preserve">ublic </w:t>
      </w:r>
      <w:r w:rsidR="004827C7">
        <w:rPr>
          <w:rFonts w:ascii="Times New Roman" w:hAnsi="Times New Roman" w:cs="Times New Roman"/>
          <w:b/>
          <w:color w:val="000000" w:themeColor="text1"/>
        </w:rPr>
        <w:t>i</w:t>
      </w:r>
      <w:r w:rsidRPr="00BC7BB5">
        <w:rPr>
          <w:rFonts w:ascii="Times New Roman" w:hAnsi="Times New Roman" w:cs="Times New Roman"/>
          <w:b/>
          <w:color w:val="000000" w:themeColor="text1"/>
        </w:rPr>
        <w:t>ntervention.</w:t>
      </w:r>
      <w:r w:rsidRPr="00BC7BB5">
        <w:rPr>
          <w:rFonts w:ascii="Times New Roman" w:hAnsi="Times New Roman" w:cs="Times New Roman"/>
          <w:color w:val="000000" w:themeColor="text1"/>
        </w:rPr>
        <w:t xml:space="preserve"> </w:t>
      </w:r>
      <w:r w:rsidRPr="00BC7BB5">
        <w:rPr>
          <w:rFonts w:ascii="Times New Roman" w:hAnsi="Times New Roman" w:cs="Times New Roman"/>
        </w:rPr>
        <w:t>The Program aims at strengthening the provision of key public goods in the agri-food sector such as food safety, while also addressing a number of other market failures affecting the performance of sector</w:t>
      </w:r>
      <w:r w:rsidRPr="00BC7BB5">
        <w:rPr>
          <w:rFonts w:ascii="Times New Roman" w:hAnsi="Times New Roman" w:cs="Times New Roman"/>
          <w:color w:val="000000" w:themeColor="text1"/>
        </w:rPr>
        <w:t>—</w:t>
      </w:r>
      <w:r w:rsidRPr="00BC7BB5">
        <w:rPr>
          <w:rFonts w:ascii="Times New Roman" w:hAnsi="Times New Roman" w:cs="Times New Roman"/>
        </w:rPr>
        <w:t xml:space="preserve">such as lack of access to market information for small producers and asymmetries in access to information between small and larger operators; high risks associated with the adoption of innovative technologies and practices; lack of incentives for the adoption of improved and more sustainable practices; and lack of access to finance. </w:t>
      </w:r>
    </w:p>
    <w:p w14:paraId="3AC626EE" w14:textId="77777777" w:rsidR="001E61DF" w:rsidRPr="00BC7BB5" w:rsidRDefault="001E61DF" w:rsidP="001E61DF">
      <w:pPr>
        <w:pStyle w:val="NoSpacing"/>
        <w:ind w:left="360"/>
        <w:rPr>
          <w:rFonts w:ascii="Times New Roman" w:hAnsi="Times New Roman" w:cs="Times New Roman"/>
        </w:rPr>
      </w:pPr>
    </w:p>
    <w:p w14:paraId="5ED04C14" w14:textId="1E16F291" w:rsidR="001E61DF" w:rsidRPr="00BC7BB5" w:rsidRDefault="001E61DF" w:rsidP="00B35A06">
      <w:pPr>
        <w:pStyle w:val="NoSpacing"/>
        <w:numPr>
          <w:ilvl w:val="0"/>
          <w:numId w:val="7"/>
        </w:numPr>
        <w:ind w:left="0" w:firstLine="0"/>
        <w:jc w:val="both"/>
        <w:rPr>
          <w:rFonts w:ascii="Times New Roman" w:hAnsi="Times New Roman" w:cs="Times New Roman"/>
          <w:color w:val="000000" w:themeColor="text1"/>
        </w:rPr>
      </w:pPr>
      <w:r w:rsidRPr="00BC7BB5">
        <w:rPr>
          <w:rFonts w:ascii="Times New Roman" w:hAnsi="Times New Roman" w:cs="Times New Roman"/>
          <w:b/>
          <w:color w:val="000000" w:themeColor="text1"/>
        </w:rPr>
        <w:t xml:space="preserve">World Bank </w:t>
      </w:r>
      <w:r w:rsidR="004827C7">
        <w:rPr>
          <w:rFonts w:ascii="Times New Roman" w:hAnsi="Times New Roman" w:cs="Times New Roman"/>
          <w:b/>
          <w:color w:val="000000" w:themeColor="text1"/>
        </w:rPr>
        <w:t>v</w:t>
      </w:r>
      <w:r w:rsidRPr="00BC7BB5">
        <w:rPr>
          <w:rFonts w:ascii="Times New Roman" w:hAnsi="Times New Roman" w:cs="Times New Roman"/>
          <w:b/>
          <w:color w:val="000000" w:themeColor="text1"/>
        </w:rPr>
        <w:t xml:space="preserve">alue </w:t>
      </w:r>
      <w:r w:rsidR="004827C7">
        <w:rPr>
          <w:rFonts w:ascii="Times New Roman" w:hAnsi="Times New Roman" w:cs="Times New Roman"/>
          <w:b/>
          <w:color w:val="000000" w:themeColor="text1"/>
        </w:rPr>
        <w:t>a</w:t>
      </w:r>
      <w:r w:rsidRPr="00BC7BB5">
        <w:rPr>
          <w:rFonts w:ascii="Times New Roman" w:hAnsi="Times New Roman" w:cs="Times New Roman"/>
          <w:b/>
          <w:color w:val="000000" w:themeColor="text1"/>
        </w:rPr>
        <w:t>dded.</w:t>
      </w:r>
      <w:r w:rsidRPr="00BC7BB5">
        <w:rPr>
          <w:rFonts w:ascii="Times New Roman" w:hAnsi="Times New Roman" w:cs="Times New Roman"/>
          <w:color w:val="000000" w:themeColor="text1"/>
        </w:rPr>
        <w:t xml:space="preserve"> Bank support is expected to improve the efficiency and targeting of the various activities supported under the Program, thereby increasing both its economic benefits and inclusiveness. The World Bank has global expertise in the design and implementation of innovative projects and programs in the agri-food sector. In addition, the World Bank has been deeply involved with the </w:t>
      </w:r>
      <w:r w:rsidR="004827C7">
        <w:rPr>
          <w:rFonts w:ascii="Times New Roman" w:hAnsi="Times New Roman" w:cs="Times New Roman"/>
          <w:color w:val="000000" w:themeColor="text1"/>
        </w:rPr>
        <w:t>Government of Morocco (</w:t>
      </w:r>
      <w:r w:rsidRPr="00BC7BB5">
        <w:rPr>
          <w:rFonts w:ascii="Times New Roman" w:hAnsi="Times New Roman" w:cs="Times New Roman"/>
          <w:color w:val="000000" w:themeColor="text1"/>
        </w:rPr>
        <w:t>GoM</w:t>
      </w:r>
      <w:r w:rsidR="004827C7">
        <w:rPr>
          <w:rFonts w:ascii="Times New Roman" w:hAnsi="Times New Roman" w:cs="Times New Roman"/>
          <w:color w:val="000000" w:themeColor="text1"/>
        </w:rPr>
        <w:t>)</w:t>
      </w:r>
      <w:r w:rsidRPr="00BC7BB5">
        <w:rPr>
          <w:rFonts w:ascii="Times New Roman" w:hAnsi="Times New Roman" w:cs="Times New Roman"/>
          <w:color w:val="000000" w:themeColor="text1"/>
        </w:rPr>
        <w:t xml:space="preserve"> since the inception of the PMV, notably through the DPL series and is thus in a unique position to support the GoM in designing and implementing the Program in order to maximize economic, social and environmental benefits.  </w:t>
      </w:r>
    </w:p>
    <w:p w14:paraId="78039060" w14:textId="77777777" w:rsidR="001E61DF" w:rsidRPr="00BC7BB5" w:rsidRDefault="001E61DF" w:rsidP="001E61DF">
      <w:pPr>
        <w:pStyle w:val="NoSpacing"/>
        <w:ind w:left="360"/>
        <w:rPr>
          <w:rFonts w:ascii="Times New Roman" w:hAnsi="Times New Roman" w:cs="Times New Roman"/>
        </w:rPr>
      </w:pPr>
    </w:p>
    <w:p w14:paraId="3BC6AF68" w14:textId="5C717D02" w:rsidR="001E61DF" w:rsidRPr="00BC7BB5" w:rsidRDefault="001E61DF" w:rsidP="00B35A06">
      <w:pPr>
        <w:pStyle w:val="NoSpacing"/>
        <w:numPr>
          <w:ilvl w:val="0"/>
          <w:numId w:val="7"/>
        </w:numPr>
        <w:ind w:left="0" w:firstLine="0"/>
        <w:jc w:val="both"/>
        <w:rPr>
          <w:rFonts w:ascii="Times New Roman" w:hAnsi="Times New Roman" w:cs="Times New Roman"/>
          <w:color w:val="000000" w:themeColor="text1"/>
        </w:rPr>
      </w:pPr>
      <w:r w:rsidRPr="00BC7BB5">
        <w:rPr>
          <w:rFonts w:ascii="Times New Roman" w:hAnsi="Times New Roman" w:cs="Times New Roman"/>
          <w:b/>
          <w:color w:val="000000" w:themeColor="text1"/>
        </w:rPr>
        <w:t xml:space="preserve">Economic </w:t>
      </w:r>
      <w:r w:rsidR="004827C7">
        <w:rPr>
          <w:rFonts w:ascii="Times New Roman" w:hAnsi="Times New Roman" w:cs="Times New Roman"/>
          <w:b/>
          <w:color w:val="000000" w:themeColor="text1"/>
        </w:rPr>
        <w:t>i</w:t>
      </w:r>
      <w:r w:rsidRPr="00BC7BB5">
        <w:rPr>
          <w:rFonts w:ascii="Times New Roman" w:hAnsi="Times New Roman" w:cs="Times New Roman"/>
          <w:b/>
          <w:color w:val="000000" w:themeColor="text1"/>
        </w:rPr>
        <w:t xml:space="preserve">mpact of the Program. </w:t>
      </w:r>
      <w:r w:rsidRPr="00BC7BB5">
        <w:rPr>
          <w:rFonts w:ascii="Times New Roman" w:hAnsi="Times New Roman" w:cs="Times New Roman"/>
          <w:color w:val="000000" w:themeColor="text1"/>
        </w:rPr>
        <w:t xml:space="preserve">The Program would be instrumental in accelerating the </w:t>
      </w:r>
      <w:r w:rsidRPr="00BC7BB5">
        <w:rPr>
          <w:rFonts w:ascii="Times New Roman" w:hAnsi="Times New Roman" w:cs="Times New Roman"/>
        </w:rPr>
        <w:t xml:space="preserve">gradual structural transformation of the Moroccan agri-food sector and strengthening the value chains that require public sector support to mitigate the impact of market failures (mostly public goods, externalities, and information asymmetries). More precisely, </w:t>
      </w:r>
      <w:r w:rsidRPr="00BC7BB5">
        <w:rPr>
          <w:rFonts w:ascii="Times New Roman" w:hAnsi="Times New Roman" w:cs="Times New Roman"/>
          <w:color w:val="000000" w:themeColor="text1"/>
        </w:rPr>
        <w:t xml:space="preserve">the Program aims at addressing the </w:t>
      </w:r>
      <w:r w:rsidR="0069060D" w:rsidRPr="00BC7BB5">
        <w:rPr>
          <w:rFonts w:ascii="Times New Roman" w:hAnsi="Times New Roman" w:cs="Times New Roman"/>
          <w:color w:val="000000" w:themeColor="text1"/>
        </w:rPr>
        <w:t>key</w:t>
      </w:r>
      <w:r w:rsidRPr="00BC7BB5">
        <w:rPr>
          <w:rFonts w:ascii="Times New Roman" w:hAnsi="Times New Roman" w:cs="Times New Roman"/>
          <w:color w:val="000000" w:themeColor="text1"/>
        </w:rPr>
        <w:t xml:space="preserve"> constraints that are holding back the development of the agri-food sector. </w:t>
      </w:r>
      <w:r w:rsidR="004827C7" w:rsidRPr="00BC7BB5">
        <w:rPr>
          <w:rFonts w:ascii="Times New Roman" w:hAnsi="Times New Roman" w:cs="Times New Roman"/>
          <w:color w:val="000000" w:themeColor="text1"/>
        </w:rPr>
        <w:t>Th</w:t>
      </w:r>
      <w:r w:rsidR="004827C7">
        <w:rPr>
          <w:rFonts w:ascii="Times New Roman" w:hAnsi="Times New Roman" w:cs="Times New Roman"/>
          <w:color w:val="000000" w:themeColor="text1"/>
        </w:rPr>
        <w:t>e</w:t>
      </w:r>
      <w:r w:rsidR="004827C7" w:rsidRPr="00BC7BB5">
        <w:rPr>
          <w:rFonts w:ascii="Times New Roman" w:hAnsi="Times New Roman" w:cs="Times New Roman"/>
          <w:color w:val="000000" w:themeColor="text1"/>
        </w:rPr>
        <w:t xml:space="preserve">se </w:t>
      </w:r>
      <w:r w:rsidRPr="00BC7BB5">
        <w:rPr>
          <w:rFonts w:ascii="Times New Roman" w:hAnsi="Times New Roman" w:cs="Times New Roman"/>
          <w:color w:val="000000" w:themeColor="text1"/>
        </w:rPr>
        <w:t xml:space="preserve">constraints originate in the existence of different types of market failures that occur at several points of the value chains, and across the whole sector. </w:t>
      </w:r>
      <w:r w:rsidR="004827C7" w:rsidRPr="00BC7BB5">
        <w:rPr>
          <w:rFonts w:ascii="Times New Roman" w:hAnsi="Times New Roman" w:cs="Times New Roman"/>
          <w:color w:val="000000" w:themeColor="text1"/>
        </w:rPr>
        <w:t>Th</w:t>
      </w:r>
      <w:r w:rsidR="004827C7">
        <w:rPr>
          <w:rFonts w:ascii="Times New Roman" w:hAnsi="Times New Roman" w:cs="Times New Roman"/>
          <w:color w:val="000000" w:themeColor="text1"/>
        </w:rPr>
        <w:t>ey</w:t>
      </w:r>
      <w:r w:rsidR="004827C7" w:rsidRPr="00BC7BB5">
        <w:rPr>
          <w:rFonts w:ascii="Times New Roman" w:hAnsi="Times New Roman" w:cs="Times New Roman"/>
          <w:color w:val="000000" w:themeColor="text1"/>
        </w:rPr>
        <w:t xml:space="preserve"> </w:t>
      </w:r>
      <w:r w:rsidR="001145B5" w:rsidRPr="00BC7BB5">
        <w:rPr>
          <w:rFonts w:ascii="Times New Roman" w:hAnsi="Times New Roman" w:cs="Times New Roman"/>
          <w:color w:val="000000" w:themeColor="text1"/>
        </w:rPr>
        <w:t>include: the lack of traceability (information asymmetry); unreliable access to quality raw materials that support value addition (productive and allocative inefficiency); inefficient inspections and certification processes for food safety and food export (public good); the lack of quality infrastructure (public good), including post-harvest facilities; the need to upgrade informal processing to improve quality and market access (information asymmetry/ productive and allocative inefficiency); and the limited access to finance for medium- and long-term investments (missing markets).</w:t>
      </w:r>
      <w:r w:rsidRPr="00BC7BB5">
        <w:rPr>
          <w:rFonts w:ascii="Times New Roman" w:hAnsi="Times New Roman" w:cs="Times New Roman"/>
          <w:color w:val="000000" w:themeColor="text1"/>
        </w:rPr>
        <w:t xml:space="preserve"> In addition, agribusiness SMEs are constrained by lack of skills, finance and access to Business Development Services (BDS</w:t>
      </w:r>
      <w:r w:rsidR="00FC6950">
        <w:rPr>
          <w:rFonts w:ascii="Times New Roman" w:hAnsi="Times New Roman" w:cs="Times New Roman"/>
          <w:color w:val="000000" w:themeColor="text1"/>
        </w:rPr>
        <w:fldChar w:fldCharType="begin"/>
      </w:r>
      <w:r w:rsidR="00FC6950">
        <w:instrText xml:space="preserve"> XE "</w:instrText>
      </w:r>
      <w:r w:rsidR="00FC6950" w:rsidRPr="006967D8">
        <w:rPr>
          <w:rFonts w:ascii="Times New Roman" w:hAnsi="Times New Roman" w:cs="Times New Roman"/>
          <w:color w:val="000000" w:themeColor="text1"/>
        </w:rPr>
        <w:instrText>BDS:</w:instrText>
      </w:r>
      <w:r w:rsidR="00FC6950" w:rsidRPr="006967D8">
        <w:instrText>Business Development Services</w:instrText>
      </w:r>
      <w:r w:rsidR="00FC6950">
        <w:instrText xml:space="preserve">" </w:instrText>
      </w:r>
      <w:r w:rsidR="00FC6950">
        <w:rPr>
          <w:rFonts w:ascii="Times New Roman" w:hAnsi="Times New Roman" w:cs="Times New Roman"/>
          <w:color w:val="000000" w:themeColor="text1"/>
        </w:rPr>
        <w:fldChar w:fldCharType="end"/>
      </w:r>
      <w:r w:rsidRPr="00BC7BB5">
        <w:rPr>
          <w:rFonts w:ascii="Times New Roman" w:hAnsi="Times New Roman" w:cs="Times New Roman"/>
          <w:color w:val="000000" w:themeColor="text1"/>
        </w:rPr>
        <w:t xml:space="preserve">). </w:t>
      </w:r>
    </w:p>
    <w:p w14:paraId="5043FE6C" w14:textId="77777777" w:rsidR="001E61DF" w:rsidRPr="00BC7BB5" w:rsidRDefault="001E61DF" w:rsidP="001E61DF">
      <w:pPr>
        <w:pStyle w:val="ListParagraph"/>
        <w:spacing w:after="0" w:line="240" w:lineRule="auto"/>
        <w:ind w:left="360"/>
        <w:jc w:val="both"/>
        <w:rPr>
          <w:rFonts w:ascii="Times New Roman" w:hAnsi="Times New Roman" w:cs="Times New Roman"/>
          <w:color w:val="000000" w:themeColor="text1"/>
        </w:rPr>
      </w:pPr>
    </w:p>
    <w:p w14:paraId="5B8466AD" w14:textId="449E7D4C" w:rsidR="001E61DF" w:rsidRPr="00BC7BB5" w:rsidRDefault="001E61DF" w:rsidP="00B35A06">
      <w:pPr>
        <w:pStyle w:val="NoSpacing"/>
        <w:numPr>
          <w:ilvl w:val="0"/>
          <w:numId w:val="7"/>
        </w:numPr>
        <w:ind w:left="0" w:firstLine="0"/>
        <w:jc w:val="both"/>
        <w:rPr>
          <w:rFonts w:ascii="Times New Roman" w:hAnsi="Times New Roman" w:cs="Times New Roman"/>
          <w:color w:val="000000" w:themeColor="text1"/>
        </w:rPr>
      </w:pPr>
      <w:r w:rsidRPr="00BC7BB5">
        <w:rPr>
          <w:rFonts w:ascii="Times New Roman" w:hAnsi="Times New Roman" w:cs="Times New Roman"/>
          <w:b/>
          <w:color w:val="000000" w:themeColor="text1"/>
        </w:rPr>
        <w:t>Economic evaluation of the Program.</w:t>
      </w:r>
      <w:r w:rsidRPr="00BC7BB5">
        <w:rPr>
          <w:rFonts w:ascii="Times New Roman" w:hAnsi="Times New Roman" w:cs="Times New Roman"/>
          <w:color w:val="000000" w:themeColor="text1"/>
        </w:rPr>
        <w:t xml:space="preserve"> The economic evaluation of the proposed Program was carried out through the analysis of the individual </w:t>
      </w:r>
      <w:r w:rsidR="004827C7">
        <w:rPr>
          <w:rFonts w:ascii="Times New Roman" w:hAnsi="Times New Roman" w:cs="Times New Roman"/>
          <w:color w:val="000000" w:themeColor="text1"/>
        </w:rPr>
        <w:t xml:space="preserve">Program </w:t>
      </w:r>
      <w:r w:rsidRPr="00BC7BB5">
        <w:rPr>
          <w:rFonts w:ascii="Times New Roman" w:hAnsi="Times New Roman" w:cs="Times New Roman"/>
          <w:color w:val="000000" w:themeColor="text1"/>
        </w:rPr>
        <w:t>interventions underpinned by</w:t>
      </w:r>
      <w:r w:rsidR="004827C7">
        <w:rPr>
          <w:rFonts w:ascii="Times New Roman" w:hAnsi="Times New Roman" w:cs="Times New Roman"/>
          <w:color w:val="000000" w:themeColor="text1"/>
        </w:rPr>
        <w:t>:</w:t>
      </w:r>
      <w:r w:rsidRPr="00BC7BB5">
        <w:rPr>
          <w:rFonts w:ascii="Times New Roman" w:hAnsi="Times New Roman" w:cs="Times New Roman"/>
          <w:color w:val="000000" w:themeColor="text1"/>
        </w:rPr>
        <w:t xml:space="preserve"> (a) a financial </w:t>
      </w:r>
      <w:r w:rsidRPr="00BC7BB5">
        <w:rPr>
          <w:rFonts w:ascii="Times New Roman" w:hAnsi="Times New Roman" w:cs="Times New Roman"/>
          <w:color w:val="000000" w:themeColor="text1"/>
        </w:rPr>
        <w:lastRenderedPageBreak/>
        <w:t xml:space="preserve">analysis of the main physical investments included under the </w:t>
      </w:r>
      <w:r w:rsidR="004827C7">
        <w:rPr>
          <w:rFonts w:ascii="Times New Roman" w:hAnsi="Times New Roman" w:cs="Times New Roman"/>
          <w:color w:val="000000" w:themeColor="text1"/>
        </w:rPr>
        <w:t>P</w:t>
      </w:r>
      <w:r w:rsidR="004827C7" w:rsidRPr="00BC7BB5">
        <w:rPr>
          <w:rFonts w:ascii="Times New Roman" w:hAnsi="Times New Roman" w:cs="Times New Roman"/>
          <w:color w:val="000000" w:themeColor="text1"/>
        </w:rPr>
        <w:t xml:space="preserve">rogram </w:t>
      </w:r>
      <w:r w:rsidRPr="00BC7BB5">
        <w:rPr>
          <w:rFonts w:ascii="Times New Roman" w:hAnsi="Times New Roman" w:cs="Times New Roman"/>
          <w:color w:val="000000" w:themeColor="text1"/>
        </w:rPr>
        <w:t>(i.e. the wholesale market</w:t>
      </w:r>
      <w:r w:rsidRPr="00BC7BB5">
        <w:rPr>
          <w:rStyle w:val="FootnoteReference"/>
          <w:rFonts w:ascii="Times New Roman" w:hAnsi="Times New Roman" w:cs="Times New Roman"/>
          <w:color w:val="000000" w:themeColor="text1"/>
        </w:rPr>
        <w:footnoteReference w:id="17"/>
      </w:r>
      <w:r w:rsidRPr="00BC7BB5">
        <w:rPr>
          <w:rFonts w:ascii="Times New Roman" w:hAnsi="Times New Roman" w:cs="Times New Roman"/>
          <w:color w:val="000000" w:themeColor="text1"/>
        </w:rPr>
        <w:t xml:space="preserve"> and the processing</w:t>
      </w:r>
      <w:r w:rsidR="009724BE">
        <w:rPr>
          <w:rFonts w:ascii="Times New Roman" w:hAnsi="Times New Roman" w:cs="Times New Roman"/>
          <w:color w:val="000000" w:themeColor="text1"/>
        </w:rPr>
        <w:t>/storage/conditioning</w:t>
      </w:r>
      <w:r w:rsidRPr="00BC7BB5">
        <w:rPr>
          <w:rFonts w:ascii="Times New Roman" w:hAnsi="Times New Roman" w:cs="Times New Roman"/>
          <w:color w:val="000000" w:themeColor="text1"/>
        </w:rPr>
        <w:t xml:space="preserve"> units supported under the FDA</w:t>
      </w:r>
      <w:r w:rsidRPr="00BC7BB5">
        <w:rPr>
          <w:rStyle w:val="FootnoteReference"/>
          <w:rFonts w:ascii="Times New Roman" w:hAnsi="Times New Roman" w:cs="Times New Roman"/>
          <w:color w:val="000000" w:themeColor="text1"/>
        </w:rPr>
        <w:footnoteReference w:id="18"/>
      </w:r>
      <w:r w:rsidRPr="00BC7BB5">
        <w:rPr>
          <w:rFonts w:ascii="Times New Roman" w:hAnsi="Times New Roman" w:cs="Times New Roman"/>
          <w:color w:val="000000" w:themeColor="text1"/>
        </w:rPr>
        <w:t>)</w:t>
      </w:r>
      <w:r w:rsidR="004827C7">
        <w:rPr>
          <w:rFonts w:ascii="Times New Roman" w:hAnsi="Times New Roman" w:cs="Times New Roman"/>
          <w:color w:val="000000" w:themeColor="text1"/>
        </w:rPr>
        <w:t>,</w:t>
      </w:r>
      <w:r w:rsidRPr="00BC7BB5">
        <w:rPr>
          <w:rFonts w:ascii="Times New Roman" w:hAnsi="Times New Roman" w:cs="Times New Roman"/>
          <w:color w:val="000000" w:themeColor="text1"/>
        </w:rPr>
        <w:t xml:space="preserve"> and (b) an international benchmarking</w:t>
      </w:r>
      <w:r w:rsidR="004827C7">
        <w:rPr>
          <w:rFonts w:ascii="Times New Roman" w:hAnsi="Times New Roman" w:cs="Times New Roman"/>
          <w:color w:val="000000" w:themeColor="text1"/>
        </w:rPr>
        <w:t xml:space="preserve"> </w:t>
      </w:r>
      <w:r w:rsidRPr="00BC7BB5">
        <w:rPr>
          <w:rFonts w:ascii="Times New Roman" w:hAnsi="Times New Roman" w:cs="Times New Roman"/>
          <w:color w:val="000000" w:themeColor="text1"/>
        </w:rPr>
        <w:t xml:space="preserve">done by analyzing similar activities in past projects/programs in countries that present strong similarities with Morocco as far as their agri-food sectors are concerned. </w:t>
      </w:r>
      <w:r w:rsidR="00651503">
        <w:rPr>
          <w:rFonts w:ascii="Times New Roman" w:hAnsi="Times New Roman" w:cs="Times New Roman"/>
          <w:color w:val="000000" w:themeColor="text1"/>
        </w:rPr>
        <w:t>The analysis confirmed the economic soundness of the interventions supported by the Program.</w:t>
      </w:r>
    </w:p>
    <w:p w14:paraId="6A8D154F" w14:textId="7F8ADADF" w:rsidR="00642E13" w:rsidRDefault="00642E13" w:rsidP="0006325B">
      <w:pPr>
        <w:pStyle w:val="NoSpacing"/>
        <w:rPr>
          <w:rFonts w:ascii="Times New Roman Bold" w:hAnsi="Times New Roman Bold" w:cs="Times New Roman"/>
          <w:b/>
          <w:smallCaps/>
        </w:rPr>
      </w:pPr>
    </w:p>
    <w:p w14:paraId="5FAD69AF" w14:textId="77777777" w:rsidR="00A9238B" w:rsidRPr="00BC7BB5" w:rsidRDefault="00A9238B" w:rsidP="0006325B">
      <w:pPr>
        <w:pStyle w:val="NoSpacing"/>
        <w:rPr>
          <w:rFonts w:ascii="Times New Roman Bold" w:hAnsi="Times New Roman Bold" w:cs="Times New Roman"/>
          <w:b/>
          <w:smallCaps/>
        </w:rPr>
      </w:pPr>
    </w:p>
    <w:p w14:paraId="7421BF17" w14:textId="73A05FEE" w:rsidR="00A00A9D" w:rsidRPr="00BC7BB5" w:rsidRDefault="00A00A9D" w:rsidP="00F561E8">
      <w:pPr>
        <w:pStyle w:val="NoSpacing"/>
        <w:numPr>
          <w:ilvl w:val="0"/>
          <w:numId w:val="29"/>
        </w:numPr>
        <w:ind w:left="0" w:firstLine="0"/>
        <w:outlineLvl w:val="1"/>
        <w:rPr>
          <w:rFonts w:ascii="Times New Roman Bold" w:hAnsi="Times New Roman Bold" w:cs="Times New Roman"/>
          <w:b/>
          <w:smallCaps/>
        </w:rPr>
      </w:pPr>
      <w:bookmarkStart w:id="18" w:name="_Toc499113407"/>
      <w:r w:rsidRPr="00BC7BB5">
        <w:rPr>
          <w:rFonts w:ascii="Times New Roman Bold" w:hAnsi="Times New Roman Bold" w:cs="Times New Roman"/>
          <w:b/>
          <w:smallCaps/>
        </w:rPr>
        <w:t>Fiduciary</w:t>
      </w:r>
      <w:bookmarkEnd w:id="18"/>
    </w:p>
    <w:p w14:paraId="1581C569" w14:textId="6C8C2AC6" w:rsidR="00A00A9D" w:rsidRPr="00BC7BB5" w:rsidRDefault="00A00A9D" w:rsidP="00A00A9D">
      <w:pPr>
        <w:pStyle w:val="ListParagraph"/>
        <w:spacing w:after="0" w:line="240" w:lineRule="auto"/>
        <w:ind w:left="780"/>
        <w:jc w:val="both"/>
        <w:rPr>
          <w:rFonts w:ascii="Times New Roman" w:hAnsi="Times New Roman" w:cs="Times New Roman"/>
          <w:color w:val="000000" w:themeColor="text1"/>
        </w:rPr>
      </w:pPr>
    </w:p>
    <w:p w14:paraId="18538F92" w14:textId="5F627DF8" w:rsidR="005C4F61" w:rsidRPr="00BC7BB5" w:rsidRDefault="005C4F61" w:rsidP="00B35A06">
      <w:pPr>
        <w:pStyle w:val="NoSpacing"/>
        <w:numPr>
          <w:ilvl w:val="0"/>
          <w:numId w:val="7"/>
        </w:numPr>
        <w:ind w:left="0" w:firstLine="0"/>
        <w:jc w:val="both"/>
        <w:rPr>
          <w:rFonts w:ascii="Times New Roman" w:hAnsi="Times New Roman" w:cs="Times New Roman"/>
          <w:color w:val="000000" w:themeColor="text1"/>
        </w:rPr>
      </w:pPr>
      <w:r w:rsidRPr="00BC7BB5">
        <w:rPr>
          <w:rFonts w:ascii="Times New Roman" w:hAnsi="Times New Roman" w:cs="Times New Roman"/>
          <w:b/>
        </w:rPr>
        <w:t>A Fiduciary Systems Assessment (FSA</w:t>
      </w:r>
      <w:r w:rsidR="00730643" w:rsidRPr="00BC7BB5">
        <w:rPr>
          <w:rFonts w:ascii="Times New Roman" w:hAnsi="Times New Roman" w:cs="Times New Roman"/>
          <w:b/>
        </w:rPr>
        <w:fldChar w:fldCharType="begin"/>
      </w:r>
      <w:r w:rsidR="00730643" w:rsidRPr="00BC7BB5">
        <w:instrText xml:space="preserve"> XE "</w:instrText>
      </w:r>
      <w:r w:rsidR="00730643" w:rsidRPr="00BC7BB5">
        <w:rPr>
          <w:rFonts w:ascii="Times New Roman" w:hAnsi="Times New Roman" w:cs="Times New Roman"/>
          <w:b/>
        </w:rPr>
        <w:instrText>FSA:</w:instrText>
      </w:r>
      <w:r w:rsidR="00730643" w:rsidRPr="00BC7BB5">
        <w:instrText xml:space="preserve">Fiduciary Systems Assessment" </w:instrText>
      </w:r>
      <w:r w:rsidR="00730643" w:rsidRPr="00BC7BB5">
        <w:rPr>
          <w:rFonts w:ascii="Times New Roman" w:hAnsi="Times New Roman" w:cs="Times New Roman"/>
          <w:b/>
        </w:rPr>
        <w:fldChar w:fldCharType="end"/>
      </w:r>
      <w:r w:rsidRPr="00BC7BB5">
        <w:rPr>
          <w:rFonts w:ascii="Times New Roman" w:hAnsi="Times New Roman" w:cs="Times New Roman"/>
          <w:b/>
        </w:rPr>
        <w:t xml:space="preserve">) was conducted, building on the results of the recent Public Expenditure </w:t>
      </w:r>
      <w:r w:rsidR="00FC2CC9">
        <w:rPr>
          <w:rFonts w:ascii="Times New Roman" w:hAnsi="Times New Roman" w:cs="Times New Roman"/>
          <w:b/>
        </w:rPr>
        <w:t xml:space="preserve">and </w:t>
      </w:r>
      <w:r w:rsidRPr="00BC7BB5">
        <w:rPr>
          <w:rFonts w:ascii="Times New Roman" w:hAnsi="Times New Roman" w:cs="Times New Roman"/>
          <w:b/>
        </w:rPr>
        <w:t>Financial Accountability (PEFA</w:t>
      </w:r>
      <w:r w:rsidR="00730643" w:rsidRPr="00BC7BB5">
        <w:rPr>
          <w:rFonts w:ascii="Times New Roman" w:hAnsi="Times New Roman" w:cs="Times New Roman"/>
          <w:b/>
        </w:rPr>
        <w:fldChar w:fldCharType="begin"/>
      </w:r>
      <w:r w:rsidR="00730643" w:rsidRPr="00BC7BB5">
        <w:instrText xml:space="preserve"> XE "</w:instrText>
      </w:r>
      <w:r w:rsidR="00730643" w:rsidRPr="00BC7BB5">
        <w:rPr>
          <w:rFonts w:ascii="Times New Roman" w:hAnsi="Times New Roman" w:cs="Times New Roman"/>
          <w:b/>
        </w:rPr>
        <w:instrText>PEFA:</w:instrText>
      </w:r>
      <w:r w:rsidR="00730643" w:rsidRPr="00BC7BB5">
        <w:instrText xml:space="preserve">Public Expenditure Financial Accountability" </w:instrText>
      </w:r>
      <w:r w:rsidR="00730643" w:rsidRPr="00BC7BB5">
        <w:rPr>
          <w:rFonts w:ascii="Times New Roman" w:hAnsi="Times New Roman" w:cs="Times New Roman"/>
          <w:b/>
        </w:rPr>
        <w:fldChar w:fldCharType="end"/>
      </w:r>
      <w:r w:rsidRPr="00BC7BB5">
        <w:rPr>
          <w:rFonts w:ascii="Times New Roman" w:hAnsi="Times New Roman" w:cs="Times New Roman"/>
          <w:b/>
        </w:rPr>
        <w:t>) diagnostic and the financial management and procurement review of the entities involved in the proposed Program</w:t>
      </w:r>
      <w:r w:rsidRPr="00BC7BB5">
        <w:rPr>
          <w:rFonts w:ascii="Times New Roman" w:hAnsi="Times New Roman" w:cs="Times New Roman"/>
        </w:rPr>
        <w:t xml:space="preserve">. The objectives of the FSA were to ascertain whether the </w:t>
      </w:r>
      <w:r w:rsidR="00FC2CC9">
        <w:rPr>
          <w:rFonts w:ascii="Times New Roman" w:hAnsi="Times New Roman" w:cs="Times New Roman"/>
        </w:rPr>
        <w:t>p</w:t>
      </w:r>
      <w:r w:rsidRPr="00BC7BB5">
        <w:rPr>
          <w:rFonts w:ascii="Times New Roman" w:hAnsi="Times New Roman" w:cs="Times New Roman"/>
        </w:rPr>
        <w:t xml:space="preserve">rocurement and </w:t>
      </w:r>
      <w:r w:rsidR="00FC2CC9">
        <w:rPr>
          <w:rFonts w:ascii="Times New Roman" w:hAnsi="Times New Roman" w:cs="Times New Roman"/>
        </w:rPr>
        <w:t>financial management (</w:t>
      </w:r>
      <w:r w:rsidRPr="00BC7BB5">
        <w:rPr>
          <w:rFonts w:ascii="Times New Roman" w:hAnsi="Times New Roman" w:cs="Times New Roman"/>
        </w:rPr>
        <w:t>FM</w:t>
      </w:r>
      <w:r w:rsidR="00FC2CC9">
        <w:rPr>
          <w:rFonts w:ascii="Times New Roman" w:hAnsi="Times New Roman" w:cs="Times New Roman"/>
        </w:rPr>
        <w:t>)</w:t>
      </w:r>
      <w:r w:rsidRPr="00BC7BB5">
        <w:rPr>
          <w:rFonts w:ascii="Times New Roman" w:hAnsi="Times New Roman" w:cs="Times New Roman"/>
        </w:rPr>
        <w:t xml:space="preserve"> system capacity and performance of </w:t>
      </w:r>
      <w:r w:rsidR="00FC2CC9" w:rsidRPr="00BC7BB5">
        <w:rPr>
          <w:rFonts w:ascii="Times New Roman" w:hAnsi="Times New Roman" w:cs="Times New Roman"/>
        </w:rPr>
        <w:t>th</w:t>
      </w:r>
      <w:r w:rsidR="00FC2CC9">
        <w:rPr>
          <w:rFonts w:ascii="Times New Roman" w:hAnsi="Times New Roman" w:cs="Times New Roman"/>
        </w:rPr>
        <w:t>e</w:t>
      </w:r>
      <w:r w:rsidR="00FC2CC9" w:rsidRPr="00BC7BB5">
        <w:rPr>
          <w:rFonts w:ascii="Times New Roman" w:hAnsi="Times New Roman" w:cs="Times New Roman"/>
        </w:rPr>
        <w:t xml:space="preserve">se </w:t>
      </w:r>
      <w:r w:rsidRPr="00BC7BB5">
        <w:rPr>
          <w:rFonts w:ascii="Times New Roman" w:hAnsi="Times New Roman" w:cs="Times New Roman"/>
        </w:rPr>
        <w:t>entities are adequate to provide reasonable assurance that the funds will be used for the intended purposes with due attention to the principles of economy, efficiency, effectiveness, transparency, and accountability. The assessment was conducted based on</w:t>
      </w:r>
      <w:r w:rsidR="00FC2CC9">
        <w:rPr>
          <w:rFonts w:ascii="Times New Roman" w:hAnsi="Times New Roman" w:cs="Times New Roman"/>
        </w:rPr>
        <w:t>:</w:t>
      </w:r>
      <w:r w:rsidRPr="00BC7BB5">
        <w:rPr>
          <w:rFonts w:ascii="Times New Roman" w:hAnsi="Times New Roman" w:cs="Times New Roman"/>
        </w:rPr>
        <w:t xml:space="preserve"> (i) the knowledge of the financial management and procurement systems in force in Morocco, (ii) the recent national PEFA</w:t>
      </w:r>
      <w:r w:rsidR="00730643" w:rsidRPr="00BC7BB5">
        <w:rPr>
          <w:rFonts w:ascii="Times New Roman" w:hAnsi="Times New Roman" w:cs="Times New Roman"/>
        </w:rPr>
        <w:fldChar w:fldCharType="begin"/>
      </w:r>
      <w:r w:rsidR="00730643" w:rsidRPr="00BC7BB5">
        <w:instrText xml:space="preserve"> XE "</w:instrText>
      </w:r>
      <w:r w:rsidR="00730643" w:rsidRPr="00BC7BB5">
        <w:rPr>
          <w:rFonts w:ascii="Times New Roman" w:hAnsi="Times New Roman" w:cs="Times New Roman"/>
        </w:rPr>
        <w:instrText>PEFA:</w:instrText>
      </w:r>
      <w:r w:rsidR="00730643" w:rsidRPr="00BC7BB5">
        <w:instrText xml:space="preserve">Public Expenditure and Financial Accountability" </w:instrText>
      </w:r>
      <w:r w:rsidR="00730643" w:rsidRPr="00BC7BB5">
        <w:rPr>
          <w:rFonts w:ascii="Times New Roman" w:hAnsi="Times New Roman" w:cs="Times New Roman"/>
        </w:rPr>
        <w:fldChar w:fldCharType="end"/>
      </w:r>
      <w:r w:rsidRPr="00BC7BB5">
        <w:rPr>
          <w:rFonts w:ascii="Times New Roman" w:hAnsi="Times New Roman" w:cs="Times New Roman"/>
        </w:rPr>
        <w:t xml:space="preserve"> diagnostic completed in 2017, (iii) those entities’ track record in implementing World </w:t>
      </w:r>
      <w:r w:rsidR="00FC2CC9" w:rsidRPr="00BC7BB5">
        <w:rPr>
          <w:rFonts w:ascii="Times New Roman" w:hAnsi="Times New Roman" w:cs="Times New Roman"/>
        </w:rPr>
        <w:t>Bank</w:t>
      </w:r>
      <w:r w:rsidR="00FC2CC9">
        <w:rPr>
          <w:rFonts w:ascii="Times New Roman" w:hAnsi="Times New Roman" w:cs="Times New Roman"/>
        </w:rPr>
        <w:t>-</w:t>
      </w:r>
      <w:r w:rsidRPr="00BC7BB5">
        <w:rPr>
          <w:rFonts w:ascii="Times New Roman" w:hAnsi="Times New Roman" w:cs="Times New Roman"/>
        </w:rPr>
        <w:t xml:space="preserve">funded operations, and (iv) the annual audit reports of those entities. </w:t>
      </w:r>
    </w:p>
    <w:p w14:paraId="449C7D81" w14:textId="77777777" w:rsidR="00A00A9D" w:rsidRPr="00BC7BB5" w:rsidRDefault="00A00A9D" w:rsidP="00A00A9D">
      <w:pPr>
        <w:spacing w:after="0" w:line="240" w:lineRule="auto"/>
        <w:ind w:left="420"/>
        <w:jc w:val="both"/>
        <w:rPr>
          <w:rFonts w:ascii="Times New Roman" w:hAnsi="Times New Roman" w:cs="Times New Roman"/>
          <w:color w:val="000000" w:themeColor="text1"/>
        </w:rPr>
      </w:pPr>
    </w:p>
    <w:p w14:paraId="1612AAE4" w14:textId="2D4DE35E" w:rsidR="005C4F61" w:rsidRPr="00BC7BB5" w:rsidRDefault="005C4F61" w:rsidP="00B35A06">
      <w:pPr>
        <w:pStyle w:val="NoSpacing"/>
        <w:numPr>
          <w:ilvl w:val="0"/>
          <w:numId w:val="7"/>
        </w:numPr>
        <w:ind w:left="0" w:firstLine="0"/>
        <w:jc w:val="both"/>
        <w:rPr>
          <w:rFonts w:ascii="Times New Roman" w:hAnsi="Times New Roman" w:cs="Times New Roman"/>
          <w:color w:val="000000" w:themeColor="text1"/>
        </w:rPr>
      </w:pPr>
      <w:r w:rsidRPr="00BC7BB5">
        <w:rPr>
          <w:rFonts w:ascii="Times New Roman" w:hAnsi="Times New Roman" w:cs="Times New Roman"/>
          <w:b/>
        </w:rPr>
        <w:t xml:space="preserve">Risk assessment. </w:t>
      </w:r>
      <w:r w:rsidRPr="00BC7BB5">
        <w:rPr>
          <w:rFonts w:ascii="Times New Roman" w:hAnsi="Times New Roman" w:cs="Times New Roman"/>
        </w:rPr>
        <w:t xml:space="preserve">The Program's fiduciary systems are acceptable and they will provide reasonable assurance on the use of the Program's resources for the intended purposes. The fiduciary risk is </w:t>
      </w:r>
      <w:r w:rsidR="00FC2CC9">
        <w:rPr>
          <w:rFonts w:ascii="Times New Roman" w:hAnsi="Times New Roman" w:cs="Times New Roman"/>
        </w:rPr>
        <w:t>rated</w:t>
      </w:r>
      <w:r w:rsidRPr="00BC7BB5">
        <w:rPr>
          <w:rFonts w:ascii="Times New Roman" w:hAnsi="Times New Roman" w:cs="Times New Roman"/>
        </w:rPr>
        <w:t xml:space="preserve"> </w:t>
      </w:r>
      <w:r w:rsidR="00FC2CC9" w:rsidRPr="006D4C59">
        <w:rPr>
          <w:rFonts w:ascii="Times New Roman" w:hAnsi="Times New Roman" w:cs="Times New Roman"/>
        </w:rPr>
        <w:t>substantial</w:t>
      </w:r>
      <w:r w:rsidRPr="00BC7BB5">
        <w:rPr>
          <w:rFonts w:ascii="Times New Roman" w:hAnsi="Times New Roman" w:cs="Times New Roman"/>
          <w:b/>
        </w:rPr>
        <w:t xml:space="preserve">. </w:t>
      </w:r>
      <w:r w:rsidRPr="00BC7BB5">
        <w:rPr>
          <w:rFonts w:ascii="Times New Roman" w:hAnsi="Times New Roman" w:cs="Times New Roman"/>
        </w:rPr>
        <w:t xml:space="preserve">The main risk identified relates to the overall monitoring of the financial management system (planning, budgeting, reporting) as a result of the multiplicity of the entities (central directorates, provincial directorates, and agencies) under the responsibility of MAPMDREF. </w:t>
      </w:r>
    </w:p>
    <w:p w14:paraId="52866A74" w14:textId="77777777" w:rsidR="005D30EF" w:rsidRPr="00BC7BB5" w:rsidRDefault="005D30EF" w:rsidP="005D30EF">
      <w:pPr>
        <w:pStyle w:val="NoSpacing"/>
        <w:jc w:val="both"/>
        <w:rPr>
          <w:rFonts w:ascii="Times New Roman" w:hAnsi="Times New Roman" w:cs="Times New Roman"/>
          <w:color w:val="000000" w:themeColor="text1"/>
        </w:rPr>
      </w:pPr>
    </w:p>
    <w:p w14:paraId="65C05987" w14:textId="0C25534F" w:rsidR="005C4F61" w:rsidRPr="00BC7BB5" w:rsidRDefault="005C4F61" w:rsidP="00B35A06">
      <w:pPr>
        <w:pStyle w:val="NoSpacing"/>
        <w:numPr>
          <w:ilvl w:val="0"/>
          <w:numId w:val="7"/>
        </w:numPr>
        <w:ind w:left="0" w:firstLine="0"/>
        <w:jc w:val="both"/>
        <w:rPr>
          <w:rFonts w:ascii="Times New Roman" w:hAnsi="Times New Roman" w:cs="Times New Roman"/>
          <w:color w:val="000000" w:themeColor="text1"/>
        </w:rPr>
      </w:pPr>
      <w:r w:rsidRPr="00BC7BB5">
        <w:rPr>
          <w:rFonts w:ascii="Times New Roman" w:hAnsi="Times New Roman" w:cs="Times New Roman"/>
          <w:b/>
        </w:rPr>
        <w:t>Mitigation measures</w:t>
      </w:r>
      <w:r w:rsidRPr="00BC7BB5">
        <w:rPr>
          <w:rFonts w:ascii="Times New Roman" w:hAnsi="Times New Roman" w:cs="Times New Roman"/>
        </w:rPr>
        <w:t xml:space="preserve">. To mitigate the abovementioned risks, MAPMDREF has anticipated the need for and intends to acquire and deploy an integrated financial management system. This major initiative would also increase the efficiency in the monitoring and the oversight of MAPMDREF’s work program and accountability. The Program’s </w:t>
      </w:r>
      <w:r w:rsidR="00021EAF" w:rsidRPr="00BC7BB5">
        <w:rPr>
          <w:rFonts w:ascii="Times New Roman" w:hAnsi="Times New Roman" w:cs="Times New Roman"/>
        </w:rPr>
        <w:t>DLIs</w:t>
      </w:r>
      <w:r w:rsidRPr="00BC7BB5">
        <w:rPr>
          <w:rFonts w:ascii="Times New Roman" w:hAnsi="Times New Roman" w:cs="Times New Roman"/>
        </w:rPr>
        <w:t xml:space="preserve"> include</w:t>
      </w:r>
      <w:r w:rsidR="0069060D" w:rsidRPr="00BC7BB5">
        <w:rPr>
          <w:rFonts w:ascii="Times New Roman" w:hAnsi="Times New Roman" w:cs="Times New Roman"/>
        </w:rPr>
        <w:t>s</w:t>
      </w:r>
      <w:r w:rsidRPr="00BC7BB5">
        <w:rPr>
          <w:rFonts w:ascii="Times New Roman" w:hAnsi="Times New Roman" w:cs="Times New Roman"/>
        </w:rPr>
        <w:t xml:space="preserve"> an indicator </w:t>
      </w:r>
      <w:r w:rsidR="00021EAF" w:rsidRPr="00BC7BB5">
        <w:rPr>
          <w:rFonts w:ascii="Times New Roman" w:hAnsi="Times New Roman" w:cs="Times New Roman"/>
        </w:rPr>
        <w:t xml:space="preserve">(DLI#8) </w:t>
      </w:r>
      <w:r w:rsidRPr="00BC7BB5">
        <w:rPr>
          <w:rFonts w:ascii="Times New Roman" w:hAnsi="Times New Roman" w:cs="Times New Roman"/>
        </w:rPr>
        <w:t xml:space="preserve">related to this important activity. </w:t>
      </w:r>
      <w:r w:rsidR="001F01A0">
        <w:rPr>
          <w:rFonts w:ascii="Times New Roman" w:hAnsi="Times New Roman" w:cs="Times New Roman"/>
        </w:rPr>
        <w:t>The system will</w:t>
      </w:r>
      <w:r w:rsidR="00B10D02" w:rsidRPr="000E1C53">
        <w:rPr>
          <w:rFonts w:ascii="Times New Roman" w:hAnsi="Times New Roman" w:cs="Times New Roman"/>
        </w:rPr>
        <w:t xml:space="preserve"> help reconcile the financial execution of the Program and the expected results. </w:t>
      </w:r>
      <w:r w:rsidR="00B10D02" w:rsidRPr="000E1C53">
        <w:rPr>
          <w:rFonts w:ascii="Times New Roman" w:hAnsi="Times New Roman" w:cs="Times New Roman"/>
          <w:color w:val="000000" w:themeColor="text1"/>
        </w:rPr>
        <w:t xml:space="preserve">It is a core mitigation measure of the Program itself </w:t>
      </w:r>
      <w:r w:rsidR="00B10D02">
        <w:rPr>
          <w:rFonts w:ascii="Times New Roman" w:hAnsi="Times New Roman" w:cs="Times New Roman"/>
          <w:color w:val="000000" w:themeColor="text1"/>
        </w:rPr>
        <w:t>and</w:t>
      </w:r>
      <w:r w:rsidR="00B10D02" w:rsidRPr="000E1C53">
        <w:rPr>
          <w:rFonts w:ascii="Times New Roman" w:hAnsi="Times New Roman" w:cs="Times New Roman"/>
          <w:color w:val="000000" w:themeColor="text1"/>
        </w:rPr>
        <w:t xml:space="preserve"> will increase efficiency of the </w:t>
      </w:r>
      <w:r w:rsidR="00091058">
        <w:rPr>
          <w:rFonts w:ascii="Times New Roman" w:hAnsi="Times New Roman" w:cs="Times New Roman"/>
          <w:color w:val="000000" w:themeColor="text1"/>
        </w:rPr>
        <w:t>Programs</w:t>
      </w:r>
      <w:r w:rsidR="001F01A0">
        <w:rPr>
          <w:rFonts w:ascii="Times New Roman" w:hAnsi="Times New Roman" w:cs="Times New Roman"/>
          <w:color w:val="000000" w:themeColor="text1"/>
        </w:rPr>
        <w:t xml:space="preserve"> through</w:t>
      </w:r>
      <w:r w:rsidR="00444ED5">
        <w:rPr>
          <w:rFonts w:ascii="Times New Roman" w:hAnsi="Times New Roman" w:cs="Times New Roman"/>
          <w:color w:val="000000" w:themeColor="text1"/>
        </w:rPr>
        <w:t>:</w:t>
      </w:r>
      <w:r w:rsidR="00B10D02" w:rsidRPr="000E1C53">
        <w:rPr>
          <w:rFonts w:ascii="Times New Roman" w:hAnsi="Times New Roman" w:cs="Times New Roman"/>
          <w:color w:val="000000" w:themeColor="text1"/>
        </w:rPr>
        <w:t xml:space="preserve"> (i) the timely release of the budget appropriations </w:t>
      </w:r>
      <w:r w:rsidR="001F01A0">
        <w:rPr>
          <w:rFonts w:ascii="Times New Roman" w:hAnsi="Times New Roman" w:cs="Times New Roman"/>
          <w:color w:val="000000" w:themeColor="text1"/>
        </w:rPr>
        <w:t>for Program activities</w:t>
      </w:r>
      <w:r w:rsidR="00444ED5">
        <w:rPr>
          <w:rFonts w:ascii="Times New Roman" w:hAnsi="Times New Roman" w:cs="Times New Roman"/>
          <w:color w:val="000000" w:themeColor="text1"/>
        </w:rPr>
        <w:t>,</w:t>
      </w:r>
      <w:r w:rsidR="001F01A0">
        <w:rPr>
          <w:rFonts w:ascii="Times New Roman" w:hAnsi="Times New Roman" w:cs="Times New Roman"/>
          <w:color w:val="000000" w:themeColor="text1"/>
        </w:rPr>
        <w:t xml:space="preserve"> and</w:t>
      </w:r>
      <w:r w:rsidR="00B10D02" w:rsidRPr="000E1C53">
        <w:rPr>
          <w:rFonts w:ascii="Times New Roman" w:hAnsi="Times New Roman" w:cs="Times New Roman"/>
          <w:color w:val="000000" w:themeColor="text1"/>
        </w:rPr>
        <w:t xml:space="preserve"> (ii) the early identification of any procurement issues related to the Program</w:t>
      </w:r>
      <w:r w:rsidR="00B10D02">
        <w:rPr>
          <w:rFonts w:ascii="Times New Roman" w:hAnsi="Times New Roman" w:cs="Times New Roman"/>
          <w:color w:val="000000" w:themeColor="text1"/>
        </w:rPr>
        <w:t xml:space="preserve"> </w:t>
      </w:r>
      <w:r w:rsidR="00B10D02" w:rsidRPr="000E1C53">
        <w:rPr>
          <w:rFonts w:ascii="Times New Roman" w:hAnsi="Times New Roman" w:cs="Times New Roman"/>
          <w:color w:val="000000" w:themeColor="text1"/>
        </w:rPr>
        <w:t>to take appropriate corrective measures</w:t>
      </w:r>
      <w:r w:rsidR="00B10D02">
        <w:rPr>
          <w:rFonts w:ascii="Times New Roman" w:hAnsi="Times New Roman" w:cs="Times New Roman"/>
          <w:color w:val="000000" w:themeColor="text1"/>
        </w:rPr>
        <w:t xml:space="preserve">. </w:t>
      </w:r>
      <w:r w:rsidRPr="00BC7BB5">
        <w:rPr>
          <w:rFonts w:ascii="Times New Roman" w:hAnsi="Times New Roman" w:cs="Times New Roman"/>
        </w:rPr>
        <w:t xml:space="preserve">Change management associated with this initiative will need to be managed with due care. </w:t>
      </w:r>
      <w:r w:rsidR="00444ED5">
        <w:rPr>
          <w:rFonts w:ascii="Times New Roman" w:hAnsi="Times New Roman" w:cs="Times New Roman"/>
        </w:rPr>
        <w:t>L</w:t>
      </w:r>
      <w:r w:rsidRPr="00BC7BB5">
        <w:rPr>
          <w:rFonts w:ascii="Times New Roman" w:hAnsi="Times New Roman" w:cs="Times New Roman"/>
        </w:rPr>
        <w:t>ike for all information management systems, the risk of slippages in the installation of the new system will need to be properly managed, in addition to the need for interfaces with the existing systems.</w:t>
      </w:r>
    </w:p>
    <w:p w14:paraId="22CA99D5" w14:textId="77777777" w:rsidR="005D30EF" w:rsidRPr="00BC7BB5" w:rsidRDefault="005D30EF" w:rsidP="005D30EF">
      <w:pPr>
        <w:pStyle w:val="NoSpacing"/>
        <w:jc w:val="both"/>
        <w:rPr>
          <w:rFonts w:ascii="Times New Roman" w:hAnsi="Times New Roman" w:cs="Times New Roman"/>
        </w:rPr>
      </w:pPr>
    </w:p>
    <w:p w14:paraId="2DFF5C97" w14:textId="385D591D" w:rsidR="005C4F61" w:rsidRPr="00BC7BB5" w:rsidRDefault="005C4F61" w:rsidP="00B35A06">
      <w:pPr>
        <w:pStyle w:val="NoSpacing"/>
        <w:numPr>
          <w:ilvl w:val="0"/>
          <w:numId w:val="7"/>
        </w:numPr>
        <w:ind w:left="0" w:firstLine="0"/>
        <w:jc w:val="both"/>
        <w:rPr>
          <w:rFonts w:ascii="Times New Roman" w:hAnsi="Times New Roman" w:cs="Times New Roman"/>
        </w:rPr>
      </w:pPr>
      <w:r w:rsidRPr="00BC7BB5">
        <w:rPr>
          <w:rFonts w:ascii="Times New Roman" w:hAnsi="Times New Roman" w:cs="Times New Roman"/>
          <w:b/>
          <w:color w:val="000000" w:themeColor="text1"/>
          <w:lang w:eastAsia="fr-FR"/>
        </w:rPr>
        <w:t>Exclusions.</w:t>
      </w:r>
      <w:r w:rsidRPr="00BC7BB5">
        <w:rPr>
          <w:rFonts w:ascii="Times New Roman" w:hAnsi="Times New Roman" w:cs="Times New Roman"/>
          <w:color w:val="000000" w:themeColor="text1"/>
          <w:lang w:eastAsia="fr-FR"/>
        </w:rPr>
        <w:t xml:space="preserve"> </w:t>
      </w:r>
      <w:r w:rsidR="00773E48" w:rsidRPr="00BC7BB5">
        <w:rPr>
          <w:rFonts w:ascii="Times New Roman" w:hAnsi="Times New Roman" w:cs="Times New Roman"/>
          <w:color w:val="000000" w:themeColor="text1"/>
          <w:lang w:eastAsia="fr-FR"/>
        </w:rPr>
        <w:t>There are no</w:t>
      </w:r>
      <w:r w:rsidRPr="00BC7BB5">
        <w:rPr>
          <w:rFonts w:ascii="Times New Roman" w:hAnsi="Times New Roman" w:cs="Times New Roman"/>
          <w:color w:val="000000" w:themeColor="text1"/>
          <w:lang w:eastAsia="fr-FR"/>
        </w:rPr>
        <w:t xml:space="preserve"> </w:t>
      </w:r>
      <w:r w:rsidR="003C2358">
        <w:rPr>
          <w:rFonts w:ascii="Times New Roman" w:hAnsi="Times New Roman" w:cs="Times New Roman"/>
          <w:color w:val="000000" w:themeColor="text1"/>
          <w:lang w:eastAsia="fr-FR"/>
        </w:rPr>
        <w:t xml:space="preserve">contracts with a value expected to exceed the </w:t>
      </w:r>
      <w:r w:rsidRPr="00BC7BB5">
        <w:rPr>
          <w:rFonts w:ascii="Times New Roman" w:hAnsi="Times New Roman" w:cs="Times New Roman"/>
          <w:color w:val="000000" w:themeColor="text1"/>
          <w:lang w:eastAsia="fr-FR"/>
        </w:rPr>
        <w:t>ex</w:t>
      </w:r>
      <w:r w:rsidR="00773E48" w:rsidRPr="00BC7BB5">
        <w:rPr>
          <w:rFonts w:ascii="Times New Roman" w:hAnsi="Times New Roman" w:cs="Times New Roman"/>
          <w:color w:val="000000" w:themeColor="text1"/>
          <w:lang w:eastAsia="fr-FR"/>
        </w:rPr>
        <w:t>clusion</w:t>
      </w:r>
      <w:r w:rsidR="003C2358">
        <w:rPr>
          <w:rFonts w:ascii="Times New Roman" w:hAnsi="Times New Roman" w:cs="Times New Roman"/>
          <w:color w:val="000000" w:themeColor="text1"/>
          <w:lang w:eastAsia="fr-FR"/>
        </w:rPr>
        <w:t xml:space="preserve"> threshold</w:t>
      </w:r>
      <w:r w:rsidR="00773E48" w:rsidRPr="00BC7BB5">
        <w:rPr>
          <w:rFonts w:ascii="Times New Roman" w:hAnsi="Times New Roman" w:cs="Times New Roman"/>
          <w:color w:val="000000" w:themeColor="text1"/>
          <w:lang w:eastAsia="fr-FR"/>
        </w:rPr>
        <w:t xml:space="preserve">s under the </w:t>
      </w:r>
      <w:r w:rsidR="00444ED5">
        <w:rPr>
          <w:rFonts w:ascii="Times New Roman" w:hAnsi="Times New Roman" w:cs="Times New Roman"/>
          <w:color w:val="000000" w:themeColor="text1"/>
          <w:lang w:eastAsia="fr-FR"/>
        </w:rPr>
        <w:t>proposed PforR</w:t>
      </w:r>
      <w:r w:rsidRPr="00BC7BB5">
        <w:rPr>
          <w:rFonts w:ascii="Times New Roman" w:hAnsi="Times New Roman" w:cs="Times New Roman"/>
          <w:color w:val="000000" w:themeColor="text1"/>
          <w:lang w:eastAsia="fr-FR"/>
        </w:rPr>
        <w:t xml:space="preserve">. </w:t>
      </w:r>
    </w:p>
    <w:p w14:paraId="5C2B14B7" w14:textId="77777777" w:rsidR="005D30EF" w:rsidRPr="00BC7BB5" w:rsidRDefault="005D30EF" w:rsidP="005D30EF">
      <w:pPr>
        <w:pStyle w:val="NoSpacing"/>
        <w:jc w:val="both"/>
        <w:rPr>
          <w:rFonts w:ascii="Times New Roman" w:hAnsi="Times New Roman" w:cs="Times New Roman"/>
          <w:color w:val="000000" w:themeColor="text1"/>
          <w:lang w:eastAsia="fr-FR"/>
        </w:rPr>
      </w:pPr>
    </w:p>
    <w:p w14:paraId="649D2BC4" w14:textId="0DFF05C9" w:rsidR="009724BE" w:rsidRDefault="005C4F61" w:rsidP="00B35A06">
      <w:pPr>
        <w:pStyle w:val="NoSpacing"/>
        <w:numPr>
          <w:ilvl w:val="0"/>
          <w:numId w:val="7"/>
        </w:numPr>
        <w:ind w:left="0" w:firstLine="0"/>
        <w:jc w:val="both"/>
        <w:rPr>
          <w:rFonts w:ascii="Times New Roman" w:hAnsi="Times New Roman" w:cs="Times New Roman"/>
          <w:color w:val="000000" w:themeColor="text1"/>
          <w:lang w:eastAsia="fr-FR"/>
        </w:rPr>
      </w:pPr>
      <w:r w:rsidRPr="00BC7BB5">
        <w:rPr>
          <w:rFonts w:ascii="Times New Roman" w:hAnsi="Times New Roman" w:cs="Times New Roman"/>
          <w:b/>
          <w:color w:val="000000" w:themeColor="text1"/>
          <w:lang w:eastAsia="fr-FR"/>
        </w:rPr>
        <w:t xml:space="preserve">Program </w:t>
      </w:r>
      <w:r w:rsidR="00E03960">
        <w:rPr>
          <w:rFonts w:ascii="Times New Roman" w:hAnsi="Times New Roman" w:cs="Times New Roman"/>
          <w:b/>
          <w:color w:val="000000" w:themeColor="text1"/>
          <w:lang w:eastAsia="fr-FR"/>
        </w:rPr>
        <w:t>f</w:t>
      </w:r>
      <w:r w:rsidRPr="00BC7BB5">
        <w:rPr>
          <w:rFonts w:ascii="Times New Roman" w:hAnsi="Times New Roman" w:cs="Times New Roman"/>
          <w:b/>
          <w:color w:val="000000" w:themeColor="text1"/>
          <w:lang w:eastAsia="fr-FR"/>
        </w:rPr>
        <w:t xml:space="preserve">iduciary </w:t>
      </w:r>
      <w:r w:rsidR="00E03960">
        <w:rPr>
          <w:rFonts w:ascii="Times New Roman" w:hAnsi="Times New Roman" w:cs="Times New Roman"/>
          <w:b/>
          <w:color w:val="000000" w:themeColor="text1"/>
          <w:lang w:eastAsia="fr-FR"/>
        </w:rPr>
        <w:t>a</w:t>
      </w:r>
      <w:r w:rsidRPr="00BC7BB5">
        <w:rPr>
          <w:rFonts w:ascii="Times New Roman" w:hAnsi="Times New Roman" w:cs="Times New Roman"/>
          <w:b/>
          <w:color w:val="000000" w:themeColor="text1"/>
          <w:lang w:eastAsia="fr-FR"/>
        </w:rPr>
        <w:t>rrangements</w:t>
      </w:r>
      <w:r w:rsidRPr="00BC7BB5">
        <w:rPr>
          <w:rFonts w:ascii="Times New Roman" w:hAnsi="Times New Roman" w:cs="Times New Roman"/>
          <w:color w:val="000000" w:themeColor="text1"/>
          <w:lang w:eastAsia="fr-FR"/>
        </w:rPr>
        <w:t xml:space="preserve">. </w:t>
      </w:r>
      <w:r w:rsidRPr="00BC7BB5">
        <w:rPr>
          <w:rFonts w:ascii="Times New Roman" w:hAnsi="Times New Roman" w:cs="Times New Roman"/>
        </w:rPr>
        <w:t xml:space="preserve">MAPMDREF will be </w:t>
      </w:r>
      <w:r w:rsidR="00853D15" w:rsidRPr="00BC7BB5">
        <w:rPr>
          <w:rFonts w:ascii="Times New Roman" w:hAnsi="Times New Roman" w:cs="Times New Roman"/>
        </w:rPr>
        <w:t>responsible for</w:t>
      </w:r>
      <w:r w:rsidRPr="00BC7BB5">
        <w:rPr>
          <w:rFonts w:ascii="Times New Roman" w:hAnsi="Times New Roman" w:cs="Times New Roman"/>
        </w:rPr>
        <w:t xml:space="preserve"> overall Program coordination. Program activities w</w:t>
      </w:r>
      <w:r w:rsidR="00E11A7D">
        <w:rPr>
          <w:rFonts w:ascii="Times New Roman" w:hAnsi="Times New Roman" w:cs="Times New Roman"/>
        </w:rPr>
        <w:t>ould be executed</w:t>
      </w:r>
      <w:r w:rsidRPr="00BC7BB5">
        <w:rPr>
          <w:rFonts w:ascii="Times New Roman" w:hAnsi="Times New Roman" w:cs="Times New Roman"/>
        </w:rPr>
        <w:t xml:space="preserve"> by MAPMDREF and other relevant agencies/partners (including ONSSA, a</w:t>
      </w:r>
      <w:r w:rsidR="009724BE">
        <w:rPr>
          <w:rFonts w:ascii="Times New Roman" w:hAnsi="Times New Roman" w:cs="Times New Roman"/>
        </w:rPr>
        <w:t>n</w:t>
      </w:r>
      <w:r w:rsidRPr="00BC7BB5">
        <w:rPr>
          <w:rFonts w:ascii="Times New Roman" w:hAnsi="Times New Roman" w:cs="Times New Roman"/>
        </w:rPr>
        <w:t xml:space="preserve"> “</w:t>
      </w:r>
      <w:r w:rsidRPr="00BC7BB5">
        <w:rPr>
          <w:rFonts w:ascii="Times New Roman" w:hAnsi="Times New Roman" w:cs="Times New Roman"/>
          <w:i/>
        </w:rPr>
        <w:t>Etablissement Public</w:t>
      </w:r>
      <w:r w:rsidRPr="00BC7BB5">
        <w:rPr>
          <w:rFonts w:ascii="Times New Roman" w:hAnsi="Times New Roman" w:cs="Times New Roman"/>
        </w:rPr>
        <w:t xml:space="preserve">”, </w:t>
      </w:r>
      <w:r w:rsidR="00BB1408" w:rsidRPr="00BC7BB5">
        <w:rPr>
          <w:rFonts w:ascii="Times New Roman" w:hAnsi="Times New Roman" w:cs="Times New Roman"/>
        </w:rPr>
        <w:t xml:space="preserve">and </w:t>
      </w:r>
      <w:r w:rsidRPr="00BC7BB5">
        <w:rPr>
          <w:rFonts w:ascii="Times New Roman" w:hAnsi="Times New Roman" w:cs="Times New Roman"/>
        </w:rPr>
        <w:t xml:space="preserve">Rabat </w:t>
      </w:r>
      <w:r w:rsidR="00E56A75" w:rsidRPr="00BC7BB5">
        <w:rPr>
          <w:rFonts w:ascii="Times New Roman" w:hAnsi="Times New Roman" w:cs="Times New Roman"/>
        </w:rPr>
        <w:t xml:space="preserve">Région </w:t>
      </w:r>
      <w:r w:rsidRPr="00BC7BB5">
        <w:rPr>
          <w:rFonts w:ascii="Times New Roman" w:hAnsi="Times New Roman" w:cs="Times New Roman"/>
        </w:rPr>
        <w:t>Aménagement,</w:t>
      </w:r>
      <w:r w:rsidRPr="00BC7BB5">
        <w:rPr>
          <w:rFonts w:ascii="Times New Roman" w:hAnsi="Times New Roman" w:cs="Times New Roman"/>
          <w:i/>
        </w:rPr>
        <w:t xml:space="preserve"> </w:t>
      </w:r>
      <w:r w:rsidRPr="00BC7BB5">
        <w:rPr>
          <w:rFonts w:ascii="Times New Roman" w:hAnsi="Times New Roman" w:cs="Times New Roman"/>
        </w:rPr>
        <w:t>a</w:t>
      </w:r>
      <w:r w:rsidRPr="00BC7BB5">
        <w:rPr>
          <w:rFonts w:ascii="Times New Roman" w:hAnsi="Times New Roman" w:cs="Times New Roman"/>
          <w:i/>
        </w:rPr>
        <w:t xml:space="preserve"> </w:t>
      </w:r>
      <w:r w:rsidR="00E03960">
        <w:rPr>
          <w:rFonts w:ascii="Times New Roman" w:hAnsi="Times New Roman" w:cs="Times New Roman"/>
        </w:rPr>
        <w:t>s</w:t>
      </w:r>
      <w:r w:rsidRPr="00BC7BB5">
        <w:rPr>
          <w:rFonts w:ascii="Times New Roman" w:hAnsi="Times New Roman" w:cs="Times New Roman"/>
        </w:rPr>
        <w:t>tate</w:t>
      </w:r>
      <w:r w:rsidR="00E03960">
        <w:rPr>
          <w:rFonts w:ascii="Times New Roman" w:hAnsi="Times New Roman" w:cs="Times New Roman"/>
        </w:rPr>
        <w:t>-o</w:t>
      </w:r>
      <w:r w:rsidRPr="00BC7BB5">
        <w:rPr>
          <w:rFonts w:ascii="Times New Roman" w:hAnsi="Times New Roman" w:cs="Times New Roman"/>
        </w:rPr>
        <w:t>wn</w:t>
      </w:r>
      <w:r w:rsidR="00091058">
        <w:rPr>
          <w:rFonts w:ascii="Times New Roman" w:hAnsi="Times New Roman" w:cs="Times New Roman"/>
        </w:rPr>
        <w:t>ed</w:t>
      </w:r>
      <w:r w:rsidRPr="00BC7BB5">
        <w:rPr>
          <w:rFonts w:ascii="Times New Roman" w:hAnsi="Times New Roman" w:cs="Times New Roman"/>
        </w:rPr>
        <w:t xml:space="preserve"> </w:t>
      </w:r>
      <w:r w:rsidR="00E03960">
        <w:rPr>
          <w:rFonts w:ascii="Times New Roman" w:hAnsi="Times New Roman" w:cs="Times New Roman"/>
        </w:rPr>
        <w:t>e</w:t>
      </w:r>
      <w:r w:rsidRPr="00BC7BB5">
        <w:rPr>
          <w:rFonts w:ascii="Times New Roman" w:hAnsi="Times New Roman" w:cs="Times New Roman"/>
        </w:rPr>
        <w:t xml:space="preserve">nterprise </w:t>
      </w:r>
      <w:r w:rsidRPr="00BC7BB5">
        <w:rPr>
          <w:rFonts w:ascii="Times New Roman" w:hAnsi="Times New Roman" w:cs="Times New Roman"/>
        </w:rPr>
        <w:lastRenderedPageBreak/>
        <w:t xml:space="preserve">created in 2014). </w:t>
      </w:r>
      <w:r w:rsidR="0029271C" w:rsidRPr="00BC7BB5">
        <w:rPr>
          <w:rFonts w:ascii="Times New Roman" w:hAnsi="Times New Roman" w:cs="Times New Roman"/>
        </w:rPr>
        <w:t xml:space="preserve">Three </w:t>
      </w:r>
      <w:r w:rsidRPr="00BC7BB5">
        <w:rPr>
          <w:rFonts w:ascii="Times New Roman" w:hAnsi="Times New Roman" w:cs="Times New Roman"/>
        </w:rPr>
        <w:t xml:space="preserve">entities </w:t>
      </w:r>
      <w:r w:rsidR="0029271C" w:rsidRPr="00BC7BB5">
        <w:rPr>
          <w:rFonts w:ascii="Times New Roman" w:hAnsi="Times New Roman" w:cs="Times New Roman"/>
        </w:rPr>
        <w:t xml:space="preserve">(MAPMDREF, ONSSA and Rabat </w:t>
      </w:r>
      <w:r w:rsidR="00E56A75" w:rsidRPr="00BC7BB5">
        <w:rPr>
          <w:rFonts w:ascii="Times New Roman" w:hAnsi="Times New Roman" w:cs="Times New Roman"/>
        </w:rPr>
        <w:t xml:space="preserve">Région </w:t>
      </w:r>
      <w:r w:rsidR="0029271C" w:rsidRPr="00BC7BB5">
        <w:rPr>
          <w:rFonts w:ascii="Times New Roman" w:hAnsi="Times New Roman" w:cs="Times New Roman"/>
        </w:rPr>
        <w:t xml:space="preserve">Aménagement) </w:t>
      </w:r>
      <w:r w:rsidRPr="00BC7BB5">
        <w:rPr>
          <w:rFonts w:ascii="Times New Roman" w:hAnsi="Times New Roman" w:cs="Times New Roman"/>
        </w:rPr>
        <w:t xml:space="preserve">will have fiduciary responsibilities during the implementation of the Program. </w:t>
      </w:r>
      <w:r w:rsidRPr="00BC7BB5">
        <w:rPr>
          <w:rFonts w:ascii="Times New Roman" w:hAnsi="Times New Roman" w:cs="Times New Roman"/>
          <w:color w:val="000000" w:themeColor="text1"/>
          <w:lang w:eastAsia="fr-FR"/>
        </w:rPr>
        <w:t>The Program will follow those entities’ planning and budgetin</w:t>
      </w:r>
      <w:r w:rsidR="009747D0">
        <w:rPr>
          <w:rFonts w:ascii="Times New Roman" w:hAnsi="Times New Roman" w:cs="Times New Roman"/>
          <w:color w:val="000000" w:themeColor="text1"/>
          <w:lang w:eastAsia="fr-FR"/>
        </w:rPr>
        <w:t>g processes</w:t>
      </w:r>
      <w:r w:rsidRPr="00BC7BB5">
        <w:rPr>
          <w:rFonts w:ascii="Times New Roman" w:hAnsi="Times New Roman" w:cs="Times New Roman"/>
          <w:color w:val="000000" w:themeColor="text1"/>
          <w:lang w:eastAsia="fr-FR"/>
        </w:rPr>
        <w:t>. The challenge of overseeing/monitoring the budget planning and preparation of the various entities (central/prov</w:t>
      </w:r>
      <w:r w:rsidR="00A00A9D" w:rsidRPr="00BC7BB5">
        <w:rPr>
          <w:rFonts w:ascii="Times New Roman" w:hAnsi="Times New Roman" w:cs="Times New Roman"/>
          <w:color w:val="000000" w:themeColor="text1"/>
          <w:lang w:eastAsia="fr-FR"/>
        </w:rPr>
        <w:t>incial directorates, agencies</w:t>
      </w:r>
      <w:r w:rsidRPr="00BC7BB5">
        <w:rPr>
          <w:rFonts w:ascii="Times New Roman" w:hAnsi="Times New Roman" w:cs="Times New Roman"/>
          <w:color w:val="000000" w:themeColor="text1"/>
          <w:lang w:eastAsia="fr-FR"/>
        </w:rPr>
        <w:t>) under MAPMDREF has been identified as the main risk in the budgeti</w:t>
      </w:r>
      <w:r w:rsidR="009747D0">
        <w:rPr>
          <w:rFonts w:ascii="Times New Roman" w:hAnsi="Times New Roman" w:cs="Times New Roman"/>
          <w:color w:val="000000" w:themeColor="text1"/>
          <w:lang w:eastAsia="fr-FR"/>
        </w:rPr>
        <w:t xml:space="preserve">ng and planning processes. </w:t>
      </w:r>
      <w:r w:rsidR="00444ED5">
        <w:rPr>
          <w:rFonts w:ascii="Times New Roman" w:hAnsi="Times New Roman" w:cs="Times New Roman"/>
          <w:color w:val="000000" w:themeColor="text1"/>
          <w:lang w:eastAsia="fr-FR"/>
        </w:rPr>
        <w:t xml:space="preserve">These </w:t>
      </w:r>
      <w:r w:rsidR="009747D0">
        <w:rPr>
          <w:rFonts w:ascii="Times New Roman" w:hAnsi="Times New Roman" w:cs="Times New Roman"/>
          <w:color w:val="000000" w:themeColor="text1"/>
          <w:lang w:eastAsia="fr-FR"/>
        </w:rPr>
        <w:t xml:space="preserve">risks </w:t>
      </w:r>
      <w:r w:rsidRPr="00BC7BB5">
        <w:rPr>
          <w:rFonts w:ascii="Times New Roman" w:hAnsi="Times New Roman" w:cs="Times New Roman"/>
          <w:color w:val="000000" w:themeColor="text1"/>
          <w:lang w:eastAsia="fr-FR"/>
        </w:rPr>
        <w:t>will be mitigated</w:t>
      </w:r>
      <w:r w:rsidR="00444ED5">
        <w:rPr>
          <w:rFonts w:ascii="Times New Roman" w:hAnsi="Times New Roman" w:cs="Times New Roman"/>
          <w:color w:val="000000" w:themeColor="text1"/>
          <w:lang w:eastAsia="fr-FR"/>
        </w:rPr>
        <w:t>,</w:t>
      </w:r>
      <w:r w:rsidRPr="00BC7BB5">
        <w:rPr>
          <w:rFonts w:ascii="Times New Roman" w:hAnsi="Times New Roman" w:cs="Times New Roman"/>
          <w:color w:val="000000" w:themeColor="text1"/>
          <w:lang w:eastAsia="fr-FR"/>
        </w:rPr>
        <w:t xml:space="preserve"> </w:t>
      </w:r>
      <w:r w:rsidR="009747D0">
        <w:rPr>
          <w:rFonts w:ascii="Times New Roman" w:hAnsi="Times New Roman" w:cs="Times New Roman"/>
          <w:color w:val="000000" w:themeColor="text1"/>
          <w:lang w:eastAsia="fr-FR"/>
        </w:rPr>
        <w:t>including through</w:t>
      </w:r>
      <w:r w:rsidR="0069060D" w:rsidRPr="00BC7BB5">
        <w:rPr>
          <w:rFonts w:ascii="Times New Roman" w:hAnsi="Times New Roman" w:cs="Times New Roman"/>
          <w:color w:val="000000" w:themeColor="text1"/>
          <w:lang w:eastAsia="fr-FR"/>
        </w:rPr>
        <w:t xml:space="preserve"> specific actions included in the PAP</w:t>
      </w:r>
      <w:r w:rsidRPr="00BC7BB5">
        <w:rPr>
          <w:rFonts w:ascii="Times New Roman" w:hAnsi="Times New Roman" w:cs="Times New Roman"/>
          <w:color w:val="000000" w:themeColor="text1"/>
          <w:lang w:eastAsia="fr-FR"/>
        </w:rPr>
        <w:t xml:space="preserve">. The Program will apply MAPMDREF’s and its </w:t>
      </w:r>
      <w:r w:rsidR="00317E73" w:rsidRPr="00BC7BB5">
        <w:rPr>
          <w:rFonts w:ascii="Times New Roman" w:hAnsi="Times New Roman" w:cs="Times New Roman"/>
          <w:color w:val="000000" w:themeColor="text1"/>
          <w:lang w:eastAsia="fr-FR"/>
        </w:rPr>
        <w:t xml:space="preserve">partner </w:t>
      </w:r>
      <w:r w:rsidRPr="00BC7BB5">
        <w:rPr>
          <w:rFonts w:ascii="Times New Roman" w:hAnsi="Times New Roman" w:cs="Times New Roman"/>
          <w:color w:val="000000" w:themeColor="text1"/>
          <w:lang w:eastAsia="fr-FR"/>
        </w:rPr>
        <w:t>agencies’ (O</w:t>
      </w:r>
      <w:r w:rsidR="00C07101">
        <w:rPr>
          <w:rFonts w:ascii="Times New Roman" w:hAnsi="Times New Roman" w:cs="Times New Roman"/>
          <w:color w:val="000000" w:themeColor="text1"/>
          <w:lang w:eastAsia="fr-FR"/>
        </w:rPr>
        <w:t>NSSA and</w:t>
      </w:r>
      <w:r w:rsidRPr="00BC7BB5">
        <w:rPr>
          <w:rFonts w:ascii="Times New Roman" w:hAnsi="Times New Roman" w:cs="Times New Roman"/>
          <w:color w:val="000000" w:themeColor="text1"/>
          <w:lang w:eastAsia="fr-FR"/>
        </w:rPr>
        <w:t xml:space="preserve"> Rabat </w:t>
      </w:r>
      <w:r w:rsidR="00E56A75" w:rsidRPr="00BC7BB5">
        <w:rPr>
          <w:rFonts w:ascii="Times New Roman" w:hAnsi="Times New Roman" w:cs="Times New Roman"/>
          <w:color w:val="000000" w:themeColor="text1"/>
          <w:lang w:eastAsia="fr-FR"/>
        </w:rPr>
        <w:t xml:space="preserve">Région </w:t>
      </w:r>
      <w:r w:rsidRPr="00BC7BB5">
        <w:rPr>
          <w:rFonts w:ascii="Times New Roman" w:hAnsi="Times New Roman" w:cs="Times New Roman"/>
          <w:color w:val="000000" w:themeColor="text1"/>
          <w:lang w:eastAsia="fr-FR"/>
        </w:rPr>
        <w:t>Aménagement) budget execution procedures combined with the adoption of a pre-defined reporting format to be prepared by each entity. The Program will rely on MAPMDREF, ONSSA</w:t>
      </w:r>
      <w:r w:rsidR="00317E73" w:rsidRPr="00BC7BB5">
        <w:rPr>
          <w:rFonts w:ascii="Times New Roman" w:hAnsi="Times New Roman" w:cs="Times New Roman"/>
          <w:color w:val="000000" w:themeColor="text1"/>
          <w:lang w:eastAsia="fr-FR"/>
        </w:rPr>
        <w:t xml:space="preserve">, </w:t>
      </w:r>
      <w:r w:rsidRPr="00BC7BB5">
        <w:rPr>
          <w:rFonts w:ascii="Times New Roman" w:hAnsi="Times New Roman" w:cs="Times New Roman"/>
          <w:color w:val="000000" w:themeColor="text1"/>
          <w:lang w:eastAsia="fr-FR"/>
        </w:rPr>
        <w:t xml:space="preserve">and Rabat </w:t>
      </w:r>
      <w:r w:rsidR="00E56A75" w:rsidRPr="00BC7BB5">
        <w:rPr>
          <w:rFonts w:ascii="Times New Roman" w:hAnsi="Times New Roman" w:cs="Times New Roman"/>
          <w:color w:val="000000" w:themeColor="text1"/>
          <w:lang w:eastAsia="fr-FR"/>
        </w:rPr>
        <w:t xml:space="preserve">Région </w:t>
      </w:r>
      <w:r w:rsidRPr="00BC7BB5">
        <w:rPr>
          <w:rFonts w:ascii="Times New Roman" w:hAnsi="Times New Roman" w:cs="Times New Roman"/>
          <w:color w:val="000000" w:themeColor="text1"/>
          <w:lang w:eastAsia="fr-FR"/>
        </w:rPr>
        <w:t>Aménagement</w:t>
      </w:r>
      <w:r w:rsidR="009747D0">
        <w:rPr>
          <w:rFonts w:ascii="Times New Roman" w:hAnsi="Times New Roman" w:cs="Times New Roman"/>
          <w:color w:val="000000" w:themeColor="text1"/>
          <w:lang w:eastAsia="fr-FR"/>
        </w:rPr>
        <w:t>’s</w:t>
      </w:r>
      <w:r w:rsidRPr="00BC7BB5">
        <w:rPr>
          <w:rFonts w:ascii="Times New Roman" w:hAnsi="Times New Roman" w:cs="Times New Roman"/>
          <w:color w:val="000000" w:themeColor="text1"/>
          <w:lang w:eastAsia="fr-FR"/>
        </w:rPr>
        <w:t xml:space="preserve"> internal control procedures which were found adequate.</w:t>
      </w:r>
      <w:r w:rsidR="009747D0">
        <w:rPr>
          <w:rFonts w:ascii="Times New Roman" w:hAnsi="Times New Roman" w:cs="Times New Roman"/>
          <w:color w:val="000000" w:themeColor="text1"/>
          <w:lang w:eastAsia="fr-FR"/>
        </w:rPr>
        <w:t xml:space="preserve"> </w:t>
      </w:r>
      <w:r w:rsidRPr="00BC7BB5">
        <w:rPr>
          <w:rFonts w:ascii="Times New Roman" w:hAnsi="Times New Roman" w:cs="Times New Roman"/>
          <w:color w:val="000000" w:themeColor="text1"/>
          <w:lang w:eastAsia="fr-FR"/>
        </w:rPr>
        <w:t xml:space="preserve">Program funds will be disbursed directly to a country Treasury Single Account opened in the books of the Public Treasury based on the achievement of results </w:t>
      </w:r>
      <w:r w:rsidR="00AB730D" w:rsidRPr="00BC7BB5">
        <w:rPr>
          <w:rFonts w:ascii="Times New Roman" w:hAnsi="Times New Roman" w:cs="Times New Roman"/>
          <w:color w:val="000000" w:themeColor="text1"/>
          <w:lang w:eastAsia="fr-FR"/>
        </w:rPr>
        <w:t>(DLIs)</w:t>
      </w:r>
      <w:r w:rsidRPr="00BC7BB5">
        <w:rPr>
          <w:rFonts w:ascii="Times New Roman" w:hAnsi="Times New Roman" w:cs="Times New Roman"/>
          <w:color w:val="000000" w:themeColor="text1"/>
          <w:lang w:eastAsia="fr-FR"/>
        </w:rPr>
        <w:t>.</w:t>
      </w:r>
    </w:p>
    <w:p w14:paraId="517C94C2" w14:textId="779685EF" w:rsidR="009724BE" w:rsidRDefault="005C4F61" w:rsidP="009724BE">
      <w:pPr>
        <w:pStyle w:val="NoSpacing"/>
        <w:jc w:val="both"/>
        <w:rPr>
          <w:rFonts w:ascii="Times New Roman" w:hAnsi="Times New Roman" w:cs="Times New Roman"/>
          <w:color w:val="000000" w:themeColor="text1"/>
          <w:lang w:eastAsia="fr-FR"/>
        </w:rPr>
      </w:pPr>
      <w:r w:rsidRPr="00BC7BB5">
        <w:rPr>
          <w:rFonts w:ascii="Times New Roman" w:hAnsi="Times New Roman" w:cs="Times New Roman"/>
          <w:color w:val="000000" w:themeColor="text1"/>
          <w:lang w:eastAsia="fr-FR"/>
        </w:rPr>
        <w:t xml:space="preserve"> </w:t>
      </w:r>
    </w:p>
    <w:p w14:paraId="02FF72F0" w14:textId="0DF00651" w:rsidR="005C4F61" w:rsidRPr="00BC7BB5" w:rsidRDefault="009724BE" w:rsidP="00B35A06">
      <w:pPr>
        <w:pStyle w:val="NoSpacing"/>
        <w:numPr>
          <w:ilvl w:val="0"/>
          <w:numId w:val="7"/>
        </w:numPr>
        <w:ind w:left="0" w:firstLine="0"/>
        <w:jc w:val="both"/>
        <w:rPr>
          <w:rFonts w:ascii="Times New Roman" w:hAnsi="Times New Roman" w:cs="Times New Roman"/>
          <w:color w:val="000000" w:themeColor="text1"/>
          <w:lang w:eastAsia="fr-FR"/>
        </w:rPr>
      </w:pPr>
      <w:r>
        <w:rPr>
          <w:rFonts w:ascii="Times New Roman" w:hAnsi="Times New Roman" w:cs="Times New Roman"/>
          <w:b/>
          <w:color w:val="000000" w:themeColor="text1"/>
          <w:lang w:eastAsia="fr-FR"/>
        </w:rPr>
        <w:t>Audits</w:t>
      </w:r>
      <w:r w:rsidRPr="009724BE">
        <w:rPr>
          <w:rFonts w:ascii="Times New Roman" w:hAnsi="Times New Roman" w:cs="Times New Roman"/>
          <w:color w:val="000000" w:themeColor="text1"/>
          <w:lang w:eastAsia="fr-FR"/>
        </w:rPr>
        <w:t>.</w:t>
      </w:r>
      <w:r>
        <w:rPr>
          <w:rFonts w:ascii="Times New Roman" w:hAnsi="Times New Roman" w:cs="Times New Roman"/>
          <w:color w:val="000000" w:themeColor="text1"/>
          <w:lang w:eastAsia="fr-FR"/>
        </w:rPr>
        <w:t xml:space="preserve"> </w:t>
      </w:r>
      <w:r w:rsidR="005C4F61" w:rsidRPr="00BC7BB5">
        <w:rPr>
          <w:rFonts w:ascii="Times New Roman" w:hAnsi="Times New Roman" w:cs="Times New Roman"/>
          <w:color w:val="000000" w:themeColor="text1"/>
          <w:lang w:eastAsia="fr-FR"/>
        </w:rPr>
        <w:t xml:space="preserve">The audit arrangements of the Program will rely on central government, ONSSA and Rabat </w:t>
      </w:r>
      <w:r w:rsidR="00E56A75" w:rsidRPr="00BC7BB5">
        <w:rPr>
          <w:rFonts w:ascii="Times New Roman" w:hAnsi="Times New Roman" w:cs="Times New Roman"/>
          <w:color w:val="000000" w:themeColor="text1"/>
          <w:lang w:eastAsia="fr-FR"/>
        </w:rPr>
        <w:t xml:space="preserve">Région </w:t>
      </w:r>
      <w:r w:rsidR="005C4F61" w:rsidRPr="00BC7BB5">
        <w:rPr>
          <w:rFonts w:ascii="Times New Roman" w:hAnsi="Times New Roman" w:cs="Times New Roman"/>
          <w:color w:val="000000" w:themeColor="text1"/>
          <w:lang w:eastAsia="fr-FR"/>
        </w:rPr>
        <w:t>Aménagement’s external audit arrangements. The General Inspectorate of Finance (IGF</w:t>
      </w:r>
      <w:r w:rsidR="00FC6950">
        <w:rPr>
          <w:rFonts w:ascii="Times New Roman" w:hAnsi="Times New Roman" w:cs="Times New Roman"/>
          <w:color w:val="000000" w:themeColor="text1"/>
          <w:lang w:eastAsia="fr-FR"/>
        </w:rPr>
        <w:fldChar w:fldCharType="begin"/>
      </w:r>
      <w:r w:rsidR="00FC6950">
        <w:instrText xml:space="preserve"> XE "</w:instrText>
      </w:r>
      <w:r w:rsidR="00FC6950" w:rsidRPr="00242C7A">
        <w:rPr>
          <w:rFonts w:ascii="Times New Roman" w:hAnsi="Times New Roman" w:cs="Times New Roman"/>
          <w:color w:val="000000" w:themeColor="text1"/>
          <w:lang w:eastAsia="fr-FR"/>
        </w:rPr>
        <w:instrText>IGF:</w:instrText>
      </w:r>
      <w:r w:rsidR="00FC6950" w:rsidRPr="00242C7A">
        <w:instrText>General Inspectorate of Finance</w:instrText>
      </w:r>
      <w:r w:rsidR="00FC6950">
        <w:instrText xml:space="preserve">" </w:instrText>
      </w:r>
      <w:r w:rsidR="00FC6950">
        <w:rPr>
          <w:rFonts w:ascii="Times New Roman" w:hAnsi="Times New Roman" w:cs="Times New Roman"/>
          <w:color w:val="000000" w:themeColor="text1"/>
          <w:lang w:eastAsia="fr-FR"/>
        </w:rPr>
        <w:fldChar w:fldCharType="end"/>
      </w:r>
      <w:r w:rsidR="005C4F61" w:rsidRPr="00BC7BB5">
        <w:rPr>
          <w:rFonts w:ascii="Times New Roman" w:hAnsi="Times New Roman" w:cs="Times New Roman"/>
          <w:color w:val="000000" w:themeColor="text1"/>
          <w:lang w:eastAsia="fr-FR"/>
        </w:rPr>
        <w:t>) will carry out the financial audits of the Program expenditures incurred by MAPMDREF</w:t>
      </w:r>
      <w:r w:rsidR="009747D0">
        <w:rPr>
          <w:rFonts w:ascii="Times New Roman" w:hAnsi="Times New Roman" w:cs="Times New Roman"/>
          <w:color w:val="000000" w:themeColor="text1"/>
          <w:lang w:eastAsia="fr-FR"/>
        </w:rPr>
        <w:t>,</w:t>
      </w:r>
      <w:r w:rsidR="00BB1408" w:rsidRPr="00BC7BB5">
        <w:rPr>
          <w:rFonts w:ascii="Times New Roman" w:hAnsi="Times New Roman" w:cs="Times New Roman"/>
          <w:color w:val="000000" w:themeColor="text1"/>
          <w:lang w:eastAsia="fr-FR"/>
        </w:rPr>
        <w:t xml:space="preserve"> ONSSA and Rabat </w:t>
      </w:r>
      <w:r w:rsidR="00E56A75" w:rsidRPr="00BC7BB5">
        <w:rPr>
          <w:rFonts w:ascii="Times New Roman" w:hAnsi="Times New Roman" w:cs="Times New Roman"/>
          <w:color w:val="000000" w:themeColor="text1"/>
          <w:lang w:eastAsia="fr-FR"/>
        </w:rPr>
        <w:t xml:space="preserve">Région </w:t>
      </w:r>
      <w:r w:rsidR="00BB1408" w:rsidRPr="00BC7BB5">
        <w:rPr>
          <w:rFonts w:ascii="Times New Roman" w:hAnsi="Times New Roman" w:cs="Times New Roman"/>
          <w:color w:val="000000" w:themeColor="text1"/>
          <w:lang w:eastAsia="fr-FR"/>
        </w:rPr>
        <w:t>Aménagement</w:t>
      </w:r>
      <w:r>
        <w:rPr>
          <w:rFonts w:ascii="Times New Roman" w:hAnsi="Times New Roman" w:cs="Times New Roman"/>
          <w:color w:val="000000" w:themeColor="text1"/>
          <w:lang w:eastAsia="fr-FR"/>
        </w:rPr>
        <w:t xml:space="preserve"> (for the wholesale market)</w:t>
      </w:r>
      <w:r w:rsidR="005C4F61" w:rsidRPr="00BC7BB5">
        <w:rPr>
          <w:rFonts w:ascii="Times New Roman" w:hAnsi="Times New Roman" w:cs="Times New Roman"/>
          <w:color w:val="000000" w:themeColor="text1"/>
          <w:lang w:eastAsia="fr-FR"/>
        </w:rPr>
        <w:t xml:space="preserve">. </w:t>
      </w:r>
      <w:r w:rsidR="0002334A">
        <w:rPr>
          <w:rFonts w:ascii="Times New Roman" w:hAnsi="Times New Roman" w:cs="Times New Roman"/>
          <w:color w:val="000000" w:themeColor="text1"/>
          <w:lang w:eastAsia="fr-FR"/>
        </w:rPr>
        <w:t xml:space="preserve">Two </w:t>
      </w:r>
      <w:r w:rsidR="0002334A">
        <w:rPr>
          <w:rFonts w:ascii="Times New Roman" w:hAnsi="Times New Roman" w:cs="Times New Roman"/>
          <w:color w:val="222222"/>
          <w:lang w:val="en"/>
        </w:rPr>
        <w:t>f</w:t>
      </w:r>
      <w:r w:rsidRPr="008B469A">
        <w:rPr>
          <w:rFonts w:ascii="Times New Roman" w:hAnsi="Times New Roman" w:cs="Times New Roman"/>
          <w:color w:val="222222"/>
          <w:lang w:val="en"/>
        </w:rPr>
        <w:t>inancial statements will be produced</w:t>
      </w:r>
      <w:r w:rsidR="00444ED5">
        <w:rPr>
          <w:rFonts w:ascii="Times New Roman" w:hAnsi="Times New Roman" w:cs="Times New Roman"/>
          <w:color w:val="222222"/>
          <w:lang w:val="en"/>
        </w:rPr>
        <w:t xml:space="preserve">: </w:t>
      </w:r>
      <w:r w:rsidR="00F90BD4">
        <w:rPr>
          <w:rFonts w:ascii="Times New Roman" w:hAnsi="Times New Roman" w:cs="Times New Roman"/>
          <w:color w:val="222222"/>
          <w:lang w:val="en"/>
        </w:rPr>
        <w:t>one</w:t>
      </w:r>
      <w:r w:rsidRPr="008B469A">
        <w:rPr>
          <w:rFonts w:ascii="Times New Roman" w:hAnsi="Times New Roman" w:cs="Times New Roman"/>
          <w:color w:val="222222"/>
          <w:lang w:val="en"/>
        </w:rPr>
        <w:t xml:space="preserve"> </w:t>
      </w:r>
      <w:r>
        <w:rPr>
          <w:rFonts w:ascii="Times New Roman" w:hAnsi="Times New Roman" w:cs="Times New Roman"/>
          <w:color w:val="222222"/>
          <w:lang w:val="en"/>
        </w:rPr>
        <w:t xml:space="preserve">by </w:t>
      </w:r>
      <w:r w:rsidRPr="008B469A">
        <w:rPr>
          <w:rFonts w:ascii="Times New Roman" w:hAnsi="Times New Roman" w:cs="Times New Roman"/>
          <w:color w:val="222222"/>
          <w:lang w:val="en"/>
        </w:rPr>
        <w:t xml:space="preserve">MAPMDREF, </w:t>
      </w:r>
      <w:r w:rsidR="00793724">
        <w:rPr>
          <w:rFonts w:ascii="Times New Roman" w:hAnsi="Times New Roman" w:cs="Times New Roman"/>
          <w:color w:val="222222"/>
          <w:lang w:val="en"/>
        </w:rPr>
        <w:t>which</w:t>
      </w:r>
      <w:r w:rsidRPr="008B469A">
        <w:rPr>
          <w:rFonts w:ascii="Times New Roman" w:hAnsi="Times New Roman" w:cs="Times New Roman"/>
          <w:color w:val="222222"/>
          <w:lang w:val="en"/>
        </w:rPr>
        <w:t xml:space="preserve"> will includ</w:t>
      </w:r>
      <w:r w:rsidR="00F90BD4">
        <w:rPr>
          <w:rFonts w:ascii="Times New Roman" w:hAnsi="Times New Roman" w:cs="Times New Roman"/>
          <w:color w:val="222222"/>
          <w:lang w:val="en"/>
        </w:rPr>
        <w:t>e the expenses made by MAPMDREF and</w:t>
      </w:r>
      <w:r w:rsidRPr="008B469A">
        <w:rPr>
          <w:rFonts w:ascii="Times New Roman" w:hAnsi="Times New Roman" w:cs="Times New Roman"/>
          <w:color w:val="222222"/>
          <w:lang w:val="en"/>
        </w:rPr>
        <w:t xml:space="preserve"> ONS</w:t>
      </w:r>
      <w:r>
        <w:rPr>
          <w:rFonts w:ascii="Times New Roman" w:hAnsi="Times New Roman" w:cs="Times New Roman"/>
          <w:color w:val="222222"/>
          <w:lang w:val="en"/>
        </w:rPr>
        <w:t>SA</w:t>
      </w:r>
      <w:r w:rsidR="00793724">
        <w:rPr>
          <w:rFonts w:ascii="Times New Roman" w:hAnsi="Times New Roman" w:cs="Times New Roman"/>
          <w:color w:val="222222"/>
          <w:lang w:val="en"/>
        </w:rPr>
        <w:t>,</w:t>
      </w:r>
      <w:r>
        <w:rPr>
          <w:rFonts w:ascii="Times New Roman" w:hAnsi="Times New Roman" w:cs="Times New Roman"/>
          <w:color w:val="222222"/>
          <w:lang w:val="en"/>
        </w:rPr>
        <w:t xml:space="preserve"> and</w:t>
      </w:r>
      <w:r w:rsidR="00F90BD4">
        <w:rPr>
          <w:rFonts w:ascii="Times New Roman" w:hAnsi="Times New Roman" w:cs="Times New Roman"/>
          <w:color w:val="222222"/>
          <w:lang w:val="en"/>
        </w:rPr>
        <w:t xml:space="preserve"> a</w:t>
      </w:r>
      <w:r w:rsidR="00444ED5">
        <w:rPr>
          <w:rFonts w:ascii="Times New Roman" w:hAnsi="Times New Roman" w:cs="Times New Roman"/>
          <w:color w:val="222222"/>
          <w:lang w:val="en"/>
        </w:rPr>
        <w:t>nother</w:t>
      </w:r>
      <w:r w:rsidR="00F90BD4">
        <w:rPr>
          <w:rFonts w:ascii="Times New Roman" w:hAnsi="Times New Roman" w:cs="Times New Roman"/>
          <w:color w:val="222222"/>
          <w:lang w:val="en"/>
        </w:rPr>
        <w:t xml:space="preserve"> one by</w:t>
      </w:r>
      <w:r>
        <w:rPr>
          <w:rFonts w:ascii="Times New Roman" w:hAnsi="Times New Roman" w:cs="Times New Roman"/>
          <w:color w:val="222222"/>
          <w:lang w:val="en"/>
        </w:rPr>
        <w:t xml:space="preserve"> Rabat Région Aménagement, according to a format </w:t>
      </w:r>
      <w:r w:rsidRPr="008B469A">
        <w:rPr>
          <w:rFonts w:ascii="Times New Roman" w:hAnsi="Times New Roman" w:cs="Times New Roman"/>
          <w:color w:val="222222"/>
          <w:lang w:val="en"/>
        </w:rPr>
        <w:t>de</w:t>
      </w:r>
      <w:r>
        <w:rPr>
          <w:rFonts w:ascii="Times New Roman" w:hAnsi="Times New Roman" w:cs="Times New Roman"/>
          <w:color w:val="222222"/>
          <w:lang w:val="en"/>
        </w:rPr>
        <w:t xml:space="preserve">fined in the </w:t>
      </w:r>
      <w:r w:rsidR="00444ED5">
        <w:rPr>
          <w:rFonts w:ascii="Times New Roman" w:hAnsi="Times New Roman" w:cs="Times New Roman"/>
          <w:color w:val="222222"/>
          <w:lang w:val="en"/>
        </w:rPr>
        <w:t>POM</w:t>
      </w:r>
      <w:r>
        <w:rPr>
          <w:rFonts w:ascii="Times New Roman" w:hAnsi="Times New Roman" w:cs="Times New Roman"/>
          <w:color w:val="222222"/>
          <w:lang w:val="en"/>
        </w:rPr>
        <w:t xml:space="preserve">. They </w:t>
      </w:r>
      <w:r w:rsidRPr="008B469A">
        <w:rPr>
          <w:rFonts w:ascii="Times New Roman" w:hAnsi="Times New Roman" w:cs="Times New Roman"/>
          <w:color w:val="222222"/>
          <w:lang w:val="en"/>
        </w:rPr>
        <w:t>will indicate the bu</w:t>
      </w:r>
      <w:r w:rsidR="00AB2D87">
        <w:rPr>
          <w:rFonts w:ascii="Times New Roman" w:hAnsi="Times New Roman" w:cs="Times New Roman"/>
          <w:color w:val="222222"/>
          <w:lang w:val="en"/>
        </w:rPr>
        <w:t>dget expenditure lines included</w:t>
      </w:r>
      <w:r w:rsidRPr="008B469A">
        <w:rPr>
          <w:rFonts w:ascii="Times New Roman" w:hAnsi="Times New Roman" w:cs="Times New Roman"/>
          <w:color w:val="222222"/>
          <w:lang w:val="en"/>
        </w:rPr>
        <w:t xml:space="preserve"> within the framework of the P</w:t>
      </w:r>
      <w:r>
        <w:rPr>
          <w:rFonts w:ascii="Times New Roman" w:hAnsi="Times New Roman" w:cs="Times New Roman"/>
          <w:color w:val="222222"/>
          <w:lang w:val="en"/>
        </w:rPr>
        <w:t xml:space="preserve">rogram as defined in the </w:t>
      </w:r>
      <w:r w:rsidR="00444ED5">
        <w:rPr>
          <w:rFonts w:ascii="Times New Roman" w:hAnsi="Times New Roman" w:cs="Times New Roman"/>
          <w:color w:val="222222"/>
          <w:lang w:val="en"/>
        </w:rPr>
        <w:t>POM</w:t>
      </w:r>
      <w:r>
        <w:rPr>
          <w:rFonts w:ascii="Times New Roman" w:hAnsi="Times New Roman" w:cs="Times New Roman"/>
          <w:color w:val="222222"/>
          <w:lang w:val="en"/>
        </w:rPr>
        <w:t xml:space="preserve">. </w:t>
      </w:r>
      <w:r w:rsidRPr="008B469A">
        <w:rPr>
          <w:rFonts w:ascii="Times New Roman" w:hAnsi="Times New Roman" w:cs="Times New Roman"/>
          <w:color w:val="222222"/>
          <w:lang w:val="en"/>
        </w:rPr>
        <w:t>Audits will be cond</w:t>
      </w:r>
      <w:r>
        <w:rPr>
          <w:rFonts w:ascii="Times New Roman" w:hAnsi="Times New Roman" w:cs="Times New Roman"/>
          <w:color w:val="222222"/>
          <w:lang w:val="en"/>
        </w:rPr>
        <w:t>ucted in accordance with the terms of reference of PforR audits</w:t>
      </w:r>
      <w:r w:rsidRPr="008B469A">
        <w:rPr>
          <w:rFonts w:ascii="Times New Roman" w:hAnsi="Times New Roman" w:cs="Times New Roman"/>
          <w:color w:val="222222"/>
          <w:lang w:val="en"/>
        </w:rPr>
        <w:t xml:space="preserve"> agreed between the IGF and the Bank. The audit</w:t>
      </w:r>
      <w:r w:rsidR="00AB2D87">
        <w:rPr>
          <w:rFonts w:ascii="Times New Roman" w:hAnsi="Times New Roman" w:cs="Times New Roman"/>
          <w:color w:val="222222"/>
          <w:lang w:val="en"/>
        </w:rPr>
        <w:t>s</w:t>
      </w:r>
      <w:r w:rsidRPr="008B469A">
        <w:rPr>
          <w:rFonts w:ascii="Times New Roman" w:hAnsi="Times New Roman" w:cs="Times New Roman"/>
          <w:color w:val="222222"/>
          <w:lang w:val="en"/>
        </w:rPr>
        <w:t xml:space="preserve"> will cover the period corresponding to a fiscal year of the Borrower from the year of first disbursement. Two</w:t>
      </w:r>
      <w:r w:rsidR="00AB2D87">
        <w:rPr>
          <w:rFonts w:ascii="Times New Roman" w:hAnsi="Times New Roman" w:cs="Times New Roman"/>
          <w:color w:val="222222"/>
          <w:lang w:val="en"/>
        </w:rPr>
        <w:t xml:space="preserve"> audit reports will be produced</w:t>
      </w:r>
      <w:r w:rsidR="00444ED5">
        <w:rPr>
          <w:rFonts w:ascii="Times New Roman" w:hAnsi="Times New Roman" w:cs="Times New Roman"/>
          <w:color w:val="222222"/>
          <w:lang w:val="en"/>
        </w:rPr>
        <w:t xml:space="preserve">: one </w:t>
      </w:r>
      <w:r w:rsidRPr="008B469A">
        <w:rPr>
          <w:rFonts w:ascii="Times New Roman" w:hAnsi="Times New Roman" w:cs="Times New Roman"/>
          <w:color w:val="222222"/>
          <w:lang w:val="en"/>
        </w:rPr>
        <w:t>on the financial statem</w:t>
      </w:r>
      <w:r w:rsidR="00793724">
        <w:rPr>
          <w:rFonts w:ascii="Times New Roman" w:hAnsi="Times New Roman" w:cs="Times New Roman"/>
          <w:color w:val="222222"/>
          <w:lang w:val="en"/>
        </w:rPr>
        <w:t>ents presented by</w:t>
      </w:r>
      <w:r w:rsidR="00AB2D87">
        <w:rPr>
          <w:rFonts w:ascii="Times New Roman" w:hAnsi="Times New Roman" w:cs="Times New Roman"/>
          <w:color w:val="222222"/>
          <w:lang w:val="en"/>
        </w:rPr>
        <w:t xml:space="preserve"> MAPMDREF</w:t>
      </w:r>
      <w:r w:rsidR="00755422">
        <w:rPr>
          <w:rFonts w:ascii="Times New Roman" w:hAnsi="Times New Roman" w:cs="Times New Roman"/>
          <w:color w:val="222222"/>
          <w:lang w:val="en"/>
        </w:rPr>
        <w:t xml:space="preserve"> (for MAPMDREF and ONSSA)</w:t>
      </w:r>
      <w:r w:rsidR="00AB2D87">
        <w:rPr>
          <w:rFonts w:ascii="Times New Roman" w:hAnsi="Times New Roman" w:cs="Times New Roman"/>
          <w:color w:val="222222"/>
          <w:lang w:val="en"/>
        </w:rPr>
        <w:t xml:space="preserve"> and the </w:t>
      </w:r>
      <w:r w:rsidRPr="008B469A">
        <w:rPr>
          <w:rFonts w:ascii="Times New Roman" w:hAnsi="Times New Roman" w:cs="Times New Roman"/>
          <w:color w:val="222222"/>
          <w:lang w:val="en"/>
        </w:rPr>
        <w:t xml:space="preserve">second </w:t>
      </w:r>
      <w:r w:rsidR="00444ED5">
        <w:rPr>
          <w:rFonts w:ascii="Times New Roman" w:hAnsi="Times New Roman" w:cs="Times New Roman"/>
          <w:color w:val="222222"/>
          <w:lang w:val="en"/>
        </w:rPr>
        <w:t xml:space="preserve">one </w:t>
      </w:r>
      <w:r w:rsidRPr="008B469A">
        <w:rPr>
          <w:rFonts w:ascii="Times New Roman" w:hAnsi="Times New Roman" w:cs="Times New Roman"/>
          <w:color w:val="222222"/>
          <w:lang w:val="en"/>
        </w:rPr>
        <w:t>on the financia</w:t>
      </w:r>
      <w:r w:rsidR="00AB2D87">
        <w:rPr>
          <w:rFonts w:ascii="Times New Roman" w:hAnsi="Times New Roman" w:cs="Times New Roman"/>
          <w:color w:val="222222"/>
          <w:lang w:val="en"/>
        </w:rPr>
        <w:t>l statement produced by Rabat Ré</w:t>
      </w:r>
      <w:r w:rsidRPr="008B469A">
        <w:rPr>
          <w:rFonts w:ascii="Times New Roman" w:hAnsi="Times New Roman" w:cs="Times New Roman"/>
          <w:color w:val="222222"/>
          <w:lang w:val="en"/>
        </w:rPr>
        <w:t xml:space="preserve">gion </w:t>
      </w:r>
      <w:r>
        <w:rPr>
          <w:rFonts w:ascii="Times New Roman" w:hAnsi="Times New Roman" w:cs="Times New Roman"/>
          <w:color w:val="222222"/>
          <w:lang w:val="en"/>
        </w:rPr>
        <w:t>Aménagement for</w:t>
      </w:r>
      <w:r w:rsidRPr="008B469A">
        <w:rPr>
          <w:rFonts w:ascii="Times New Roman" w:hAnsi="Times New Roman" w:cs="Times New Roman"/>
          <w:color w:val="222222"/>
          <w:lang w:val="en"/>
        </w:rPr>
        <w:t xml:space="preserve"> the wholesale market</w:t>
      </w:r>
      <w:r w:rsidR="00AB2D87">
        <w:rPr>
          <w:rFonts w:ascii="Times New Roman" w:hAnsi="Times New Roman" w:cs="Times New Roman"/>
          <w:color w:val="222222"/>
          <w:lang w:val="en"/>
        </w:rPr>
        <w:t xml:space="preserve">. </w:t>
      </w:r>
      <w:r w:rsidR="005C4F61" w:rsidRPr="00BC7BB5">
        <w:rPr>
          <w:rFonts w:ascii="Times New Roman" w:hAnsi="Times New Roman" w:cs="Times New Roman"/>
          <w:color w:val="000000" w:themeColor="text1"/>
          <w:lang w:eastAsia="fr-FR"/>
        </w:rPr>
        <w:t xml:space="preserve">The scope of </w:t>
      </w:r>
      <w:r w:rsidR="00444ED5" w:rsidRPr="00BC7BB5">
        <w:rPr>
          <w:rFonts w:ascii="Times New Roman" w:hAnsi="Times New Roman" w:cs="Times New Roman"/>
          <w:color w:val="000000" w:themeColor="text1"/>
          <w:lang w:eastAsia="fr-FR"/>
        </w:rPr>
        <w:t>th</w:t>
      </w:r>
      <w:r w:rsidR="00444ED5">
        <w:rPr>
          <w:rFonts w:ascii="Times New Roman" w:hAnsi="Times New Roman" w:cs="Times New Roman"/>
          <w:color w:val="000000" w:themeColor="text1"/>
          <w:lang w:eastAsia="fr-FR"/>
        </w:rPr>
        <w:t>e</w:t>
      </w:r>
      <w:r w:rsidR="00444ED5" w:rsidRPr="00BC7BB5">
        <w:rPr>
          <w:rFonts w:ascii="Times New Roman" w:hAnsi="Times New Roman" w:cs="Times New Roman"/>
          <w:color w:val="000000" w:themeColor="text1"/>
          <w:lang w:eastAsia="fr-FR"/>
        </w:rPr>
        <w:t xml:space="preserve">se </w:t>
      </w:r>
      <w:r w:rsidR="005C4F61" w:rsidRPr="00BC7BB5">
        <w:rPr>
          <w:rFonts w:ascii="Times New Roman" w:hAnsi="Times New Roman" w:cs="Times New Roman"/>
          <w:color w:val="000000" w:themeColor="text1"/>
          <w:lang w:eastAsia="fr-FR"/>
        </w:rPr>
        <w:t>audits will include an opinion on the procurement system. The audit</w:t>
      </w:r>
      <w:r w:rsidR="004C2EEC" w:rsidRPr="00BC7BB5">
        <w:rPr>
          <w:rFonts w:ascii="Times New Roman" w:hAnsi="Times New Roman" w:cs="Times New Roman"/>
          <w:color w:val="000000" w:themeColor="text1"/>
          <w:lang w:eastAsia="fr-FR"/>
        </w:rPr>
        <w:t xml:space="preserve"> reports will be </w:t>
      </w:r>
      <w:r w:rsidR="00896895">
        <w:rPr>
          <w:rFonts w:ascii="Times New Roman" w:hAnsi="Times New Roman" w:cs="Times New Roman"/>
          <w:color w:val="000000" w:themeColor="text1"/>
          <w:lang w:eastAsia="fr-FR"/>
        </w:rPr>
        <w:t xml:space="preserve">produced </w:t>
      </w:r>
      <w:r>
        <w:rPr>
          <w:rFonts w:ascii="Times New Roman" w:hAnsi="Times New Roman" w:cs="Times New Roman"/>
          <w:color w:val="000000" w:themeColor="text1"/>
          <w:lang w:eastAsia="fr-FR"/>
        </w:rPr>
        <w:t>no later than nine</w:t>
      </w:r>
      <w:r w:rsidR="005C4F61" w:rsidRPr="00BC7BB5">
        <w:rPr>
          <w:rFonts w:ascii="Times New Roman" w:hAnsi="Times New Roman" w:cs="Times New Roman"/>
          <w:color w:val="000000" w:themeColor="text1"/>
          <w:lang w:eastAsia="fr-FR"/>
        </w:rPr>
        <w:t xml:space="preserve"> months after the closure of accounts.</w:t>
      </w:r>
    </w:p>
    <w:p w14:paraId="28AE1FA3" w14:textId="77777777" w:rsidR="005D30EF" w:rsidRPr="00BC7BB5" w:rsidRDefault="005D30EF" w:rsidP="005D30EF">
      <w:pPr>
        <w:pStyle w:val="NoSpacing"/>
        <w:jc w:val="both"/>
        <w:rPr>
          <w:rFonts w:ascii="Times New Roman" w:hAnsi="Times New Roman" w:cs="Times New Roman"/>
          <w:color w:val="000000" w:themeColor="text1"/>
          <w:lang w:eastAsia="fr-FR"/>
        </w:rPr>
      </w:pPr>
    </w:p>
    <w:p w14:paraId="31B9D2BD" w14:textId="64ACF8BA" w:rsidR="005C4F61" w:rsidRPr="00BC7BB5" w:rsidRDefault="005C4F61" w:rsidP="00444ED5">
      <w:pPr>
        <w:pStyle w:val="NoSpacing"/>
        <w:numPr>
          <w:ilvl w:val="0"/>
          <w:numId w:val="7"/>
        </w:numPr>
        <w:ind w:left="0" w:firstLine="0"/>
        <w:jc w:val="both"/>
        <w:rPr>
          <w:rFonts w:ascii="Times New Roman" w:hAnsi="Times New Roman" w:cs="Times New Roman"/>
          <w:color w:val="000000" w:themeColor="text1"/>
          <w:lang w:eastAsia="fr-FR"/>
        </w:rPr>
      </w:pPr>
      <w:r w:rsidRPr="00BC7BB5">
        <w:rPr>
          <w:rFonts w:ascii="Times New Roman" w:hAnsi="Times New Roman" w:cs="Times New Roman"/>
          <w:b/>
          <w:color w:val="000000" w:themeColor="text1"/>
          <w:lang w:eastAsia="fr-FR"/>
        </w:rPr>
        <w:t xml:space="preserve">Governance risks. </w:t>
      </w:r>
      <w:r w:rsidRPr="00BC7BB5">
        <w:rPr>
          <w:rFonts w:ascii="Times New Roman" w:hAnsi="Times New Roman" w:cs="Times New Roman"/>
          <w:color w:val="000000" w:themeColor="text1"/>
          <w:lang w:eastAsia="fr-FR"/>
        </w:rPr>
        <w:t>As to broader governance risks,</w:t>
      </w:r>
      <w:r w:rsidRPr="00BC7BB5">
        <w:rPr>
          <w:rFonts w:ascii="Times New Roman" w:hAnsi="Times New Roman" w:cs="Times New Roman"/>
          <w:b/>
          <w:color w:val="000000" w:themeColor="text1"/>
          <w:lang w:eastAsia="fr-FR"/>
        </w:rPr>
        <w:t xml:space="preserve"> </w:t>
      </w:r>
      <w:r w:rsidRPr="00BC7BB5">
        <w:rPr>
          <w:rFonts w:ascii="Times New Roman" w:hAnsi="Times New Roman" w:cs="Times New Roman"/>
          <w:color w:val="000000" w:themeColor="text1"/>
          <w:lang w:eastAsia="fr-FR"/>
        </w:rPr>
        <w:t>the Program will rely on local and national institutions such as</w:t>
      </w:r>
      <w:r w:rsidR="00444ED5">
        <w:rPr>
          <w:rFonts w:ascii="Times New Roman" w:hAnsi="Times New Roman" w:cs="Times New Roman"/>
          <w:color w:val="000000" w:themeColor="text1"/>
          <w:lang w:eastAsia="fr-FR"/>
        </w:rPr>
        <w:t>:</w:t>
      </w:r>
      <w:r w:rsidRPr="00BC7BB5">
        <w:rPr>
          <w:rFonts w:ascii="Times New Roman" w:hAnsi="Times New Roman" w:cs="Times New Roman"/>
          <w:color w:val="000000" w:themeColor="text1"/>
          <w:lang w:eastAsia="fr-FR"/>
        </w:rPr>
        <w:t xml:space="preserve"> (i) the National Commission of Public Procurement (</w:t>
      </w:r>
      <w:r w:rsidRPr="00BC7BB5">
        <w:rPr>
          <w:rFonts w:ascii="Times New Roman" w:hAnsi="Times New Roman" w:cs="Times New Roman"/>
          <w:i/>
          <w:color w:val="000000" w:themeColor="text1"/>
          <w:lang w:eastAsia="fr-FR"/>
        </w:rPr>
        <w:t>Commission Nationale de la Commande Publique</w:t>
      </w:r>
      <w:r w:rsidRPr="00BC7BB5">
        <w:rPr>
          <w:rFonts w:ascii="Times New Roman" w:hAnsi="Times New Roman" w:cs="Times New Roman"/>
          <w:color w:val="000000" w:themeColor="text1"/>
          <w:lang w:eastAsia="fr-FR"/>
        </w:rPr>
        <w:t xml:space="preserve"> - CNCP</w:t>
      </w:r>
      <w:r w:rsidR="00730643" w:rsidRPr="00BC7BB5">
        <w:rPr>
          <w:rFonts w:ascii="Times New Roman" w:hAnsi="Times New Roman" w:cs="Times New Roman"/>
          <w:color w:val="000000" w:themeColor="text1"/>
          <w:lang w:eastAsia="fr-FR"/>
        </w:rPr>
        <w:fldChar w:fldCharType="begin"/>
      </w:r>
      <w:r w:rsidR="00730643" w:rsidRPr="00BC7BB5">
        <w:instrText xml:space="preserve"> XE "</w:instrText>
      </w:r>
      <w:r w:rsidR="00730643" w:rsidRPr="00BC7BB5">
        <w:rPr>
          <w:rFonts w:ascii="Times New Roman" w:hAnsi="Times New Roman" w:cs="Times New Roman"/>
          <w:color w:val="000000" w:themeColor="text1"/>
          <w:lang w:eastAsia="fr-FR"/>
        </w:rPr>
        <w:instrText>CNCP:</w:instrText>
      </w:r>
      <w:r w:rsidR="00730643" w:rsidRPr="00BC7BB5">
        <w:instrText xml:space="preserve">Commission Nationale de la Commande Publique" </w:instrText>
      </w:r>
      <w:r w:rsidR="00730643" w:rsidRPr="00BC7BB5">
        <w:rPr>
          <w:rFonts w:ascii="Times New Roman" w:hAnsi="Times New Roman" w:cs="Times New Roman"/>
          <w:color w:val="000000" w:themeColor="text1"/>
          <w:lang w:eastAsia="fr-FR"/>
        </w:rPr>
        <w:fldChar w:fldCharType="end"/>
      </w:r>
      <w:r w:rsidRPr="00BC7BB5">
        <w:rPr>
          <w:rFonts w:ascii="Times New Roman" w:hAnsi="Times New Roman" w:cs="Times New Roman"/>
          <w:color w:val="000000" w:themeColor="text1"/>
          <w:lang w:eastAsia="fr-FR"/>
        </w:rPr>
        <w:t>) - Morocco’s new public procurement regulatory body in charge of handling public procurement complaints and regulatory oversight, including for municipalities; and (ii) the Central Body for Corruption Prev</w:t>
      </w:r>
      <w:r w:rsidR="00AB730D" w:rsidRPr="00BC7BB5">
        <w:rPr>
          <w:rFonts w:ascii="Times New Roman" w:hAnsi="Times New Roman" w:cs="Times New Roman"/>
          <w:color w:val="000000" w:themeColor="text1"/>
          <w:lang w:eastAsia="fr-FR"/>
        </w:rPr>
        <w:t>ention (</w:t>
      </w:r>
      <w:r w:rsidR="00AB730D" w:rsidRPr="00BC7BB5">
        <w:rPr>
          <w:rFonts w:ascii="Times New Roman" w:hAnsi="Times New Roman" w:cs="Times New Roman"/>
          <w:i/>
          <w:color w:val="000000" w:themeColor="text1"/>
          <w:lang w:eastAsia="fr-FR"/>
        </w:rPr>
        <w:t>Instance Centrale de Pré</w:t>
      </w:r>
      <w:r w:rsidRPr="00BC7BB5">
        <w:rPr>
          <w:rFonts w:ascii="Times New Roman" w:hAnsi="Times New Roman" w:cs="Times New Roman"/>
          <w:i/>
          <w:color w:val="000000" w:themeColor="text1"/>
          <w:lang w:eastAsia="fr-FR"/>
        </w:rPr>
        <w:t>vention de la Corruption</w:t>
      </w:r>
      <w:r w:rsidRPr="00BC7BB5">
        <w:rPr>
          <w:rFonts w:ascii="Times New Roman" w:hAnsi="Times New Roman" w:cs="Times New Roman"/>
          <w:color w:val="000000" w:themeColor="text1"/>
          <w:lang w:eastAsia="fr-FR"/>
        </w:rPr>
        <w:t xml:space="preserve"> - ICPC</w:t>
      </w:r>
      <w:r w:rsidR="00730643" w:rsidRPr="00BC7BB5">
        <w:rPr>
          <w:rFonts w:ascii="Times New Roman" w:hAnsi="Times New Roman" w:cs="Times New Roman"/>
          <w:color w:val="000000" w:themeColor="text1"/>
          <w:lang w:eastAsia="fr-FR"/>
        </w:rPr>
        <w:fldChar w:fldCharType="begin"/>
      </w:r>
      <w:r w:rsidR="00730643" w:rsidRPr="00BC7BB5">
        <w:instrText xml:space="preserve"> XE "</w:instrText>
      </w:r>
      <w:r w:rsidR="00730643" w:rsidRPr="00BC7BB5">
        <w:rPr>
          <w:rFonts w:ascii="Times New Roman" w:hAnsi="Times New Roman" w:cs="Times New Roman"/>
          <w:color w:val="000000" w:themeColor="text1"/>
          <w:lang w:eastAsia="fr-FR"/>
        </w:rPr>
        <w:instrText>ICPC:</w:instrText>
      </w:r>
      <w:r w:rsidR="00730643" w:rsidRPr="00BC7BB5">
        <w:instrText xml:space="preserve">Instance Centrale de Prevention de la Corruption" </w:instrText>
      </w:r>
      <w:r w:rsidR="00730643" w:rsidRPr="00BC7BB5">
        <w:rPr>
          <w:rFonts w:ascii="Times New Roman" w:hAnsi="Times New Roman" w:cs="Times New Roman"/>
          <w:color w:val="000000" w:themeColor="text1"/>
          <w:lang w:eastAsia="fr-FR"/>
        </w:rPr>
        <w:fldChar w:fldCharType="end"/>
      </w:r>
      <w:r w:rsidRPr="00BC7BB5">
        <w:rPr>
          <w:rFonts w:ascii="Times New Roman" w:hAnsi="Times New Roman" w:cs="Times New Roman"/>
          <w:color w:val="000000" w:themeColor="text1"/>
          <w:lang w:eastAsia="fr-FR"/>
        </w:rPr>
        <w:t xml:space="preserve">). The ICPC has recently drafted a National Strategy on Anticorruption based on the International Convention on Anticorruption. </w:t>
      </w:r>
      <w:r w:rsidR="00444ED5" w:rsidRPr="00444ED5">
        <w:rPr>
          <w:rFonts w:ascii="Times New Roman" w:hAnsi="Times New Roman" w:cs="Times New Roman"/>
          <w:color w:val="000000" w:themeColor="text1"/>
          <w:lang w:eastAsia="fr-FR"/>
        </w:rPr>
        <w:t>The Borrower will use the existing country systems to take all appropriate measures to prevent fraud and corruption in connection with the Program. The World Bank’s “Guidelines on Preventing and Combating Fraud and Corruption in Program-for-Results Financing”, dated February 1, 2012, and revised on July 10, 2015, will apply.</w:t>
      </w:r>
    </w:p>
    <w:p w14:paraId="53B2A1F2" w14:textId="77777777" w:rsidR="005C0D32" w:rsidRPr="00BC7BB5" w:rsidRDefault="005C0D32" w:rsidP="003D39E3">
      <w:pPr>
        <w:pStyle w:val="NoSpacing"/>
        <w:ind w:left="360"/>
        <w:rPr>
          <w:rFonts w:ascii="Times New Roman" w:hAnsi="Times New Roman" w:cs="Times New Roman"/>
        </w:rPr>
      </w:pPr>
    </w:p>
    <w:p w14:paraId="53B2A1F3" w14:textId="69D2FB42" w:rsidR="003D39E3" w:rsidRPr="00BC7BB5" w:rsidRDefault="001D2940" w:rsidP="00F561E8">
      <w:pPr>
        <w:pStyle w:val="NoSpacing"/>
        <w:numPr>
          <w:ilvl w:val="0"/>
          <w:numId w:val="29"/>
        </w:numPr>
        <w:ind w:left="0" w:firstLine="0"/>
        <w:outlineLvl w:val="1"/>
        <w:rPr>
          <w:rFonts w:ascii="Times New Roman Bold" w:hAnsi="Times New Roman Bold" w:cs="Times New Roman"/>
          <w:b/>
          <w:smallCaps/>
        </w:rPr>
      </w:pPr>
      <w:bookmarkStart w:id="19" w:name="_Toc499113408"/>
      <w:r w:rsidRPr="00BC7BB5">
        <w:rPr>
          <w:rFonts w:ascii="Times New Roman Bold" w:hAnsi="Times New Roman Bold" w:cs="Times New Roman"/>
          <w:b/>
          <w:smallCaps/>
        </w:rPr>
        <w:t>E</w:t>
      </w:r>
      <w:r w:rsidR="006950CF" w:rsidRPr="00BC7BB5">
        <w:rPr>
          <w:rFonts w:ascii="Times New Roman Bold" w:hAnsi="Times New Roman Bold" w:cs="Times New Roman"/>
          <w:b/>
          <w:smallCaps/>
        </w:rPr>
        <w:t>nvironmental and Social Effects</w:t>
      </w:r>
      <w:bookmarkEnd w:id="19"/>
    </w:p>
    <w:p w14:paraId="53B2A1F4" w14:textId="77777777" w:rsidR="003D39E3" w:rsidRPr="00BC7BB5" w:rsidRDefault="003D39E3" w:rsidP="00152B18">
      <w:pPr>
        <w:pStyle w:val="NoSpacing"/>
        <w:rPr>
          <w:rFonts w:ascii="Times New Roman" w:hAnsi="Times New Roman" w:cs="Times New Roman"/>
        </w:rPr>
      </w:pPr>
    </w:p>
    <w:p w14:paraId="6F4561E2" w14:textId="45315A21" w:rsidR="002D0F82" w:rsidRPr="00BC7BB5" w:rsidRDefault="007152AD" w:rsidP="002D0F82">
      <w:pPr>
        <w:pStyle w:val="NoSpacing"/>
        <w:numPr>
          <w:ilvl w:val="0"/>
          <w:numId w:val="7"/>
        </w:numPr>
        <w:ind w:left="0" w:firstLine="0"/>
        <w:jc w:val="both"/>
        <w:rPr>
          <w:rFonts w:ascii="Times New Roman" w:hAnsi="Times New Roman" w:cs="Times New Roman"/>
        </w:rPr>
      </w:pPr>
      <w:r w:rsidRPr="00BC7BB5">
        <w:rPr>
          <w:rFonts w:ascii="Times New Roman" w:hAnsi="Times New Roman" w:cs="Times New Roman"/>
        </w:rPr>
        <w:t xml:space="preserve">Considering the </w:t>
      </w:r>
      <w:r w:rsidR="002C76CE">
        <w:rPr>
          <w:rFonts w:ascii="Times New Roman" w:hAnsi="Times New Roman" w:cs="Times New Roman"/>
        </w:rPr>
        <w:t xml:space="preserve">Program </w:t>
      </w:r>
      <w:r w:rsidRPr="00BC7BB5">
        <w:rPr>
          <w:rFonts w:ascii="Times New Roman" w:hAnsi="Times New Roman" w:cs="Times New Roman"/>
        </w:rPr>
        <w:t xml:space="preserve">activities and </w:t>
      </w:r>
      <w:r w:rsidR="004F3B38">
        <w:rPr>
          <w:rFonts w:ascii="Times New Roman" w:hAnsi="Times New Roman" w:cs="Times New Roman"/>
        </w:rPr>
        <w:t xml:space="preserve">the </w:t>
      </w:r>
      <w:r w:rsidRPr="00BC7BB5">
        <w:rPr>
          <w:rFonts w:ascii="Times New Roman" w:hAnsi="Times New Roman" w:cs="Times New Roman"/>
        </w:rPr>
        <w:t xml:space="preserve">results of consultations with key </w:t>
      </w:r>
      <w:r w:rsidR="002C76CE">
        <w:rPr>
          <w:rFonts w:ascii="Times New Roman" w:hAnsi="Times New Roman" w:cs="Times New Roman"/>
        </w:rPr>
        <w:t>P</w:t>
      </w:r>
      <w:r w:rsidRPr="00BC7BB5">
        <w:rPr>
          <w:rFonts w:ascii="Times New Roman" w:hAnsi="Times New Roman" w:cs="Times New Roman"/>
        </w:rPr>
        <w:t>rogram stakeholders during the preparation of the Environmental and Social Systems Assessment (ESSA</w:t>
      </w:r>
      <w:r w:rsidR="00FC6950">
        <w:rPr>
          <w:rFonts w:ascii="Times New Roman" w:hAnsi="Times New Roman" w:cs="Times New Roman"/>
        </w:rPr>
        <w:fldChar w:fldCharType="begin"/>
      </w:r>
      <w:r w:rsidR="00FC6950">
        <w:instrText xml:space="preserve"> XE "</w:instrText>
      </w:r>
      <w:r w:rsidR="00FC6950" w:rsidRPr="002E57AA">
        <w:rPr>
          <w:rFonts w:ascii="Times New Roman" w:hAnsi="Times New Roman" w:cs="Times New Roman"/>
        </w:rPr>
        <w:instrText>ESSA:</w:instrText>
      </w:r>
      <w:r w:rsidR="00FC6950" w:rsidRPr="002E57AA">
        <w:instrText>Environmental and Social Systems Assessment</w:instrText>
      </w:r>
      <w:r w:rsidR="00FC6950">
        <w:instrText xml:space="preserve">" </w:instrText>
      </w:r>
      <w:r w:rsidR="00FC6950">
        <w:rPr>
          <w:rFonts w:ascii="Times New Roman" w:hAnsi="Times New Roman" w:cs="Times New Roman"/>
        </w:rPr>
        <w:fldChar w:fldCharType="end"/>
      </w:r>
      <w:r w:rsidRPr="00BC7BB5">
        <w:rPr>
          <w:rFonts w:ascii="Times New Roman" w:hAnsi="Times New Roman" w:cs="Times New Roman"/>
        </w:rPr>
        <w:t xml:space="preserve">), the Program's environmental and social risks are considered </w:t>
      </w:r>
      <w:r w:rsidR="002C76CE" w:rsidRPr="0078734E">
        <w:rPr>
          <w:rFonts w:ascii="Times New Roman" w:hAnsi="Times New Roman" w:cs="Times New Roman"/>
        </w:rPr>
        <w:t>s</w:t>
      </w:r>
      <w:r w:rsidRPr="0078734E">
        <w:rPr>
          <w:rFonts w:ascii="Times New Roman" w:hAnsi="Times New Roman" w:cs="Times New Roman"/>
        </w:rPr>
        <w:t>ubstantial</w:t>
      </w:r>
      <w:r w:rsidRPr="00BC7BB5">
        <w:rPr>
          <w:rFonts w:ascii="Times New Roman" w:hAnsi="Times New Roman" w:cs="Times New Roman"/>
        </w:rPr>
        <w:t xml:space="preserve">. They will be easy to identify in advance and to prevent and minimize with effective mitigation measures. They will be subject to a simple environmental and social monitoring system to identify and manage potential risks in real time. </w:t>
      </w:r>
      <w:r w:rsidR="0087765A">
        <w:rPr>
          <w:rFonts w:ascii="Times New Roman" w:hAnsi="Times New Roman" w:cs="Times New Roman"/>
        </w:rPr>
        <w:t xml:space="preserve">The </w:t>
      </w:r>
      <w:r w:rsidR="002C76CE">
        <w:rPr>
          <w:rFonts w:ascii="Times New Roman" w:hAnsi="Times New Roman" w:cs="Times New Roman"/>
        </w:rPr>
        <w:t>ESSA</w:t>
      </w:r>
      <w:r w:rsidRPr="00BC7BB5">
        <w:rPr>
          <w:rFonts w:ascii="Times New Roman" w:hAnsi="Times New Roman" w:cs="Times New Roman"/>
        </w:rPr>
        <w:t xml:space="preserve"> for the proposed </w:t>
      </w:r>
      <w:r w:rsidR="0060781A">
        <w:rPr>
          <w:rFonts w:ascii="Times New Roman" w:hAnsi="Times New Roman" w:cs="Times New Roman"/>
        </w:rPr>
        <w:t>PFor</w:t>
      </w:r>
      <w:r w:rsidR="00FE4DD8">
        <w:rPr>
          <w:rFonts w:ascii="Times New Roman" w:hAnsi="Times New Roman" w:cs="Times New Roman"/>
        </w:rPr>
        <w:t>R</w:t>
      </w:r>
      <w:r w:rsidRPr="00BC7BB5">
        <w:rPr>
          <w:rFonts w:ascii="Times New Roman" w:hAnsi="Times New Roman" w:cs="Times New Roman"/>
        </w:rPr>
        <w:t xml:space="preserve"> was prepared by the World Bank, supported by broad consultations with Program stakeholders (Annex 6). The ESSA assessed, against the requirements of the World Bank’s Policy and Directive, the national and sub-national environmental and social management systems applicable to the proposed </w:t>
      </w:r>
      <w:r w:rsidR="00263D8D">
        <w:rPr>
          <w:rFonts w:ascii="Times New Roman" w:hAnsi="Times New Roman" w:cs="Times New Roman"/>
        </w:rPr>
        <w:t>P</w:t>
      </w:r>
      <w:r w:rsidR="0087765A">
        <w:rPr>
          <w:rFonts w:ascii="Times New Roman" w:hAnsi="Times New Roman" w:cs="Times New Roman"/>
        </w:rPr>
        <w:t>f</w:t>
      </w:r>
      <w:r w:rsidR="00263D8D">
        <w:rPr>
          <w:rFonts w:ascii="Times New Roman" w:hAnsi="Times New Roman" w:cs="Times New Roman"/>
        </w:rPr>
        <w:t>or</w:t>
      </w:r>
      <w:r w:rsidR="00FE4DD8">
        <w:rPr>
          <w:rFonts w:ascii="Times New Roman" w:hAnsi="Times New Roman" w:cs="Times New Roman"/>
        </w:rPr>
        <w:t>R</w:t>
      </w:r>
      <w:r w:rsidRPr="00BC7BB5">
        <w:rPr>
          <w:rFonts w:ascii="Times New Roman" w:hAnsi="Times New Roman" w:cs="Times New Roman"/>
        </w:rPr>
        <w:t>. Potential environmental and social risks were identified and screened based on the activities t</w:t>
      </w:r>
      <w:r w:rsidR="00263D8D">
        <w:rPr>
          <w:rFonts w:ascii="Times New Roman" w:hAnsi="Times New Roman" w:cs="Times New Roman"/>
        </w:rPr>
        <w:t>o be financed under the</w:t>
      </w:r>
      <w:r w:rsidRPr="00BC7BB5">
        <w:rPr>
          <w:rFonts w:ascii="Times New Roman" w:hAnsi="Times New Roman" w:cs="Times New Roman"/>
        </w:rPr>
        <w:t xml:space="preserve"> Program. The draft ESSA report was shared with counterparts</w:t>
      </w:r>
      <w:r w:rsidR="0087765A">
        <w:rPr>
          <w:rFonts w:ascii="Times New Roman" w:hAnsi="Times New Roman" w:cs="Times New Roman"/>
        </w:rPr>
        <w:t>,</w:t>
      </w:r>
      <w:r w:rsidRPr="00BC7BB5">
        <w:rPr>
          <w:rFonts w:ascii="Times New Roman" w:hAnsi="Times New Roman" w:cs="Times New Roman"/>
        </w:rPr>
        <w:t xml:space="preserve"> and public consultations on the ESSA were held on October 6, 2017, at MAPMDREF. The public consultations showed that the main </w:t>
      </w:r>
      <w:r w:rsidRPr="00BC7BB5">
        <w:rPr>
          <w:rFonts w:ascii="Times New Roman" w:hAnsi="Times New Roman" w:cs="Times New Roman"/>
        </w:rPr>
        <w:lastRenderedPageBreak/>
        <w:t>concerns of stakeholders are related to the Rabat</w:t>
      </w:r>
      <w:r w:rsidR="00582BF7" w:rsidRPr="00BC7BB5">
        <w:rPr>
          <w:rFonts w:ascii="Times New Roman" w:hAnsi="Times New Roman" w:cs="Times New Roman"/>
        </w:rPr>
        <w:t>-Salé-Kénitra</w:t>
      </w:r>
      <w:r w:rsidRPr="00BC7BB5">
        <w:rPr>
          <w:rFonts w:ascii="Times New Roman" w:hAnsi="Times New Roman" w:cs="Times New Roman"/>
        </w:rPr>
        <w:t xml:space="preserve"> wholesale market, for which mitigation measures are included in the PAP</w:t>
      </w:r>
      <w:r w:rsidR="002D0F82" w:rsidRPr="00BC7BB5">
        <w:rPr>
          <w:rFonts w:ascii="Times New Roman" w:hAnsi="Times New Roman" w:cs="Times New Roman"/>
        </w:rPr>
        <w:t>.</w:t>
      </w:r>
      <w:r w:rsidR="0078734E">
        <w:rPr>
          <w:rFonts w:ascii="Times New Roman" w:hAnsi="Times New Roman" w:cs="Times New Roman"/>
        </w:rPr>
        <w:t xml:space="preserve"> The final ESSA was disclosed on November 17, 2017.</w:t>
      </w:r>
    </w:p>
    <w:p w14:paraId="53C902A7" w14:textId="77777777" w:rsidR="002D0F82" w:rsidRPr="00BC7BB5" w:rsidRDefault="002D0F82" w:rsidP="002D0F82">
      <w:pPr>
        <w:pStyle w:val="NoSpacing"/>
        <w:ind w:left="420"/>
        <w:jc w:val="both"/>
        <w:rPr>
          <w:rFonts w:ascii="Times New Roman" w:hAnsi="Times New Roman" w:cs="Times New Roman"/>
        </w:rPr>
      </w:pPr>
    </w:p>
    <w:p w14:paraId="61779BB4" w14:textId="58F5A515" w:rsidR="002D0F82" w:rsidRPr="000A1436" w:rsidRDefault="002E2390" w:rsidP="00794BE0">
      <w:pPr>
        <w:pStyle w:val="NoSpacing"/>
        <w:numPr>
          <w:ilvl w:val="0"/>
          <w:numId w:val="7"/>
        </w:numPr>
        <w:ind w:left="0" w:firstLine="0"/>
        <w:jc w:val="both"/>
        <w:rPr>
          <w:rFonts w:ascii="Times New Roman" w:hAnsi="Times New Roman" w:cs="Times New Roman"/>
        </w:rPr>
      </w:pPr>
      <w:r w:rsidRPr="00BC7BB5">
        <w:rPr>
          <w:rFonts w:ascii="Times New Roman" w:hAnsi="Times New Roman" w:cs="Times New Roman"/>
          <w:b/>
        </w:rPr>
        <w:t>Social effects</w:t>
      </w:r>
      <w:r w:rsidRPr="00BC7BB5">
        <w:rPr>
          <w:rFonts w:ascii="Times New Roman" w:hAnsi="Times New Roman" w:cs="Times New Roman"/>
        </w:rPr>
        <w:t xml:space="preserve">. </w:t>
      </w:r>
      <w:r w:rsidR="00582BF7" w:rsidRPr="00BC7BB5">
        <w:rPr>
          <w:rFonts w:ascii="Times New Roman" w:hAnsi="Times New Roman" w:cs="Times New Roman"/>
        </w:rPr>
        <w:t xml:space="preserve">All activities involving physical displacement will be excluded from the Program, and no involuntary land taking will be allowed. For activities supporting private sector entities, the Program will not result in involuntary resettlement or involuntary land acquisition, as expropriation is excluded under national systems for private sector activities. </w:t>
      </w:r>
      <w:r w:rsidR="00647FE9">
        <w:rPr>
          <w:rFonts w:ascii="Times New Roman" w:hAnsi="Times New Roman" w:cs="Times New Roman"/>
        </w:rPr>
        <w:t>Under the Program, a</w:t>
      </w:r>
      <w:r w:rsidR="00582BF7" w:rsidRPr="00BC7BB5">
        <w:rPr>
          <w:rFonts w:ascii="Times New Roman" w:hAnsi="Times New Roman" w:cs="Times New Roman"/>
        </w:rPr>
        <w:t xml:space="preserve">ctivities engendering civil works on private sector sites and financed through the grant mechanism of the FDA will use, if any, land acquired using standard commercial exchanges between </w:t>
      </w:r>
      <w:r w:rsidR="0087765A">
        <w:rPr>
          <w:rFonts w:ascii="Times New Roman" w:hAnsi="Times New Roman" w:cs="Times New Roman"/>
        </w:rPr>
        <w:t xml:space="preserve">a </w:t>
      </w:r>
      <w:r w:rsidR="00582BF7" w:rsidRPr="00BC7BB5">
        <w:rPr>
          <w:rFonts w:ascii="Times New Roman" w:hAnsi="Times New Roman" w:cs="Times New Roman"/>
        </w:rPr>
        <w:t xml:space="preserve">willing buyer and </w:t>
      </w:r>
      <w:r w:rsidR="0087765A">
        <w:rPr>
          <w:rFonts w:ascii="Times New Roman" w:hAnsi="Times New Roman" w:cs="Times New Roman"/>
        </w:rPr>
        <w:t xml:space="preserve">a </w:t>
      </w:r>
      <w:r w:rsidR="00582BF7" w:rsidRPr="00BC7BB5">
        <w:rPr>
          <w:rFonts w:ascii="Times New Roman" w:hAnsi="Times New Roman" w:cs="Times New Roman"/>
        </w:rPr>
        <w:t xml:space="preserve">willing seller.  The Program, through the standard grant request mechanism under the FDA procedures, includes a verification mechanism for the status of real estate to be used for the activities. </w:t>
      </w:r>
      <w:r w:rsidR="003C2358">
        <w:rPr>
          <w:rFonts w:ascii="Times New Roman" w:hAnsi="Times New Roman" w:cs="Times New Roman"/>
        </w:rPr>
        <w:t>Land</w:t>
      </w:r>
      <w:r w:rsidR="00582BF7" w:rsidRPr="00BC7BB5">
        <w:rPr>
          <w:rFonts w:ascii="Times New Roman" w:hAnsi="Times New Roman" w:cs="Times New Roman"/>
        </w:rPr>
        <w:t xml:space="preserve"> used </w:t>
      </w:r>
      <w:r w:rsidR="00DB1D06">
        <w:rPr>
          <w:rFonts w:ascii="Times New Roman" w:hAnsi="Times New Roman" w:cs="Times New Roman"/>
        </w:rPr>
        <w:t>for</w:t>
      </w:r>
      <w:r w:rsidR="00582BF7" w:rsidRPr="00BC7BB5">
        <w:rPr>
          <w:rFonts w:ascii="Times New Roman" w:hAnsi="Times New Roman" w:cs="Times New Roman"/>
        </w:rPr>
        <w:t xml:space="preserve"> publi</w:t>
      </w:r>
      <w:r w:rsidR="00263D8D">
        <w:rPr>
          <w:rFonts w:ascii="Times New Roman" w:hAnsi="Times New Roman" w:cs="Times New Roman"/>
        </w:rPr>
        <w:t>c sector activities, such as for</w:t>
      </w:r>
      <w:r w:rsidR="00582BF7" w:rsidRPr="00BC7BB5">
        <w:rPr>
          <w:rFonts w:ascii="Times New Roman" w:hAnsi="Times New Roman" w:cs="Times New Roman"/>
        </w:rPr>
        <w:t xml:space="preserve"> CIA</w:t>
      </w:r>
      <w:r w:rsidR="00263D8D">
        <w:rPr>
          <w:rFonts w:ascii="Times New Roman" w:hAnsi="Times New Roman" w:cs="Times New Roman"/>
        </w:rPr>
        <w:t>s</w:t>
      </w:r>
      <w:r w:rsidR="00582BF7" w:rsidRPr="00BC7BB5">
        <w:rPr>
          <w:rFonts w:ascii="Times New Roman" w:hAnsi="Times New Roman" w:cs="Times New Roman"/>
        </w:rPr>
        <w:t xml:space="preserve"> or the wholesale market, will be in the </w:t>
      </w:r>
      <w:r w:rsidR="0087765A">
        <w:rPr>
          <w:rFonts w:ascii="Times New Roman" w:hAnsi="Times New Roman" w:cs="Times New Roman"/>
        </w:rPr>
        <w:t>g</w:t>
      </w:r>
      <w:r w:rsidR="00582BF7" w:rsidRPr="00BC7BB5">
        <w:rPr>
          <w:rFonts w:ascii="Times New Roman" w:hAnsi="Times New Roman" w:cs="Times New Roman"/>
        </w:rPr>
        <w:t xml:space="preserve">overnment </w:t>
      </w:r>
      <w:r w:rsidR="0087765A">
        <w:rPr>
          <w:rFonts w:ascii="Times New Roman" w:hAnsi="Times New Roman" w:cs="Times New Roman"/>
        </w:rPr>
        <w:t>d</w:t>
      </w:r>
      <w:r w:rsidR="00582BF7" w:rsidRPr="00BC7BB5">
        <w:rPr>
          <w:rFonts w:ascii="Times New Roman" w:hAnsi="Times New Roman" w:cs="Times New Roman"/>
        </w:rPr>
        <w:t xml:space="preserve">omain. </w:t>
      </w:r>
      <w:r w:rsidR="00DB1D06">
        <w:rPr>
          <w:rFonts w:ascii="Times New Roman" w:hAnsi="Times New Roman" w:cs="Times New Roman"/>
        </w:rPr>
        <w:t xml:space="preserve">Land used for public sector activities </w:t>
      </w:r>
      <w:r w:rsidR="00582BF7" w:rsidRPr="00BC7BB5">
        <w:rPr>
          <w:rFonts w:ascii="Times New Roman" w:hAnsi="Times New Roman" w:cs="Times New Roman"/>
        </w:rPr>
        <w:t xml:space="preserve">may have been acquired using involuntary land taking under the Moroccan law </w:t>
      </w:r>
      <w:r w:rsidR="0087765A">
        <w:rPr>
          <w:rFonts w:ascii="Times New Roman" w:hAnsi="Times New Roman" w:cs="Times New Roman"/>
        </w:rPr>
        <w:t xml:space="preserve">7-81 </w:t>
      </w:r>
      <w:r w:rsidR="00582BF7" w:rsidRPr="00BC7BB5">
        <w:rPr>
          <w:rFonts w:ascii="Times New Roman" w:hAnsi="Times New Roman" w:cs="Times New Roman"/>
        </w:rPr>
        <w:t>on land expropriation for public util</w:t>
      </w:r>
      <w:r w:rsidR="00263D8D">
        <w:rPr>
          <w:rFonts w:ascii="Times New Roman" w:hAnsi="Times New Roman" w:cs="Times New Roman"/>
        </w:rPr>
        <w:t>ity projects prior to the P</w:t>
      </w:r>
      <w:r w:rsidR="00582BF7" w:rsidRPr="00BC7BB5">
        <w:rPr>
          <w:rFonts w:ascii="Times New Roman" w:hAnsi="Times New Roman" w:cs="Times New Roman"/>
        </w:rPr>
        <w:t xml:space="preserve">rogram. The ESSA action plan requires the PMU to review the real estate status and identify any prior involuntary land acquisition. </w:t>
      </w:r>
      <w:r w:rsidR="0087765A" w:rsidRPr="00BC7BB5">
        <w:rPr>
          <w:rFonts w:ascii="Times New Roman" w:hAnsi="Times New Roman" w:cs="Times New Roman"/>
        </w:rPr>
        <w:t xml:space="preserve">The social </w:t>
      </w:r>
      <w:r w:rsidR="0087765A">
        <w:rPr>
          <w:rFonts w:ascii="Times New Roman" w:hAnsi="Times New Roman" w:cs="Times New Roman"/>
        </w:rPr>
        <w:t>and environmental specialist</w:t>
      </w:r>
      <w:r w:rsidR="0087765A" w:rsidRPr="00BC7BB5">
        <w:rPr>
          <w:rFonts w:ascii="Times New Roman" w:hAnsi="Times New Roman" w:cs="Times New Roman"/>
        </w:rPr>
        <w:t xml:space="preserve"> </w:t>
      </w:r>
      <w:r w:rsidR="0087765A">
        <w:rPr>
          <w:rFonts w:ascii="Times New Roman" w:hAnsi="Times New Roman" w:cs="Times New Roman"/>
        </w:rPr>
        <w:t xml:space="preserve">of the PMU </w:t>
      </w:r>
      <w:r w:rsidR="0087765A" w:rsidRPr="00BC7BB5">
        <w:rPr>
          <w:rFonts w:ascii="Times New Roman" w:hAnsi="Times New Roman" w:cs="Times New Roman"/>
        </w:rPr>
        <w:t>will regularly review the files submitted to the one-stop-</w:t>
      </w:r>
      <w:r w:rsidR="00647FE9">
        <w:rPr>
          <w:rFonts w:ascii="Times New Roman" w:hAnsi="Times New Roman" w:cs="Times New Roman"/>
        </w:rPr>
        <w:t>shop</w:t>
      </w:r>
      <w:r w:rsidR="0087765A" w:rsidRPr="00BC7BB5">
        <w:rPr>
          <w:rFonts w:ascii="Times New Roman" w:hAnsi="Times New Roman" w:cs="Times New Roman"/>
        </w:rPr>
        <w:t>s of the FDA (</w:t>
      </w:r>
      <w:r w:rsidR="0087765A" w:rsidRPr="00BC7BB5">
        <w:rPr>
          <w:rFonts w:ascii="Times New Roman" w:hAnsi="Times New Roman" w:cs="Times New Roman"/>
          <w:i/>
        </w:rPr>
        <w:t>guichets uniques</w:t>
      </w:r>
      <w:r w:rsidR="0087765A" w:rsidRPr="00BC7BB5">
        <w:rPr>
          <w:rFonts w:ascii="Times New Roman" w:hAnsi="Times New Roman" w:cs="Times New Roman"/>
        </w:rPr>
        <w:t>)</w:t>
      </w:r>
      <w:r w:rsidR="0087765A">
        <w:rPr>
          <w:rFonts w:ascii="Times New Roman" w:hAnsi="Times New Roman" w:cs="Times New Roman"/>
        </w:rPr>
        <w:t xml:space="preserve">. </w:t>
      </w:r>
      <w:r w:rsidR="00582BF7" w:rsidRPr="00BC7BB5">
        <w:rPr>
          <w:rFonts w:ascii="Times New Roman" w:hAnsi="Times New Roman" w:cs="Times New Roman"/>
        </w:rPr>
        <w:t xml:space="preserve">In case any </w:t>
      </w:r>
      <w:r w:rsidR="003C2358">
        <w:rPr>
          <w:rFonts w:ascii="Times New Roman" w:hAnsi="Times New Roman" w:cs="Times New Roman"/>
        </w:rPr>
        <w:t xml:space="preserve">prior </w:t>
      </w:r>
      <w:r w:rsidR="00582BF7" w:rsidRPr="00BC7BB5">
        <w:rPr>
          <w:rFonts w:ascii="Times New Roman" w:hAnsi="Times New Roman" w:cs="Times New Roman"/>
        </w:rPr>
        <w:t xml:space="preserve">involuntary land takings are identified, the PMU will </w:t>
      </w:r>
      <w:r w:rsidR="0087765A">
        <w:rPr>
          <w:rFonts w:ascii="Times New Roman" w:hAnsi="Times New Roman" w:cs="Times New Roman"/>
        </w:rPr>
        <w:t>undertake</w:t>
      </w:r>
      <w:r w:rsidR="0087765A" w:rsidRPr="00BC7BB5">
        <w:rPr>
          <w:rFonts w:ascii="Times New Roman" w:hAnsi="Times New Roman" w:cs="Times New Roman"/>
        </w:rPr>
        <w:t xml:space="preserve"> </w:t>
      </w:r>
      <w:r w:rsidR="00582BF7" w:rsidRPr="00BC7BB5">
        <w:rPr>
          <w:rFonts w:ascii="Times New Roman" w:hAnsi="Times New Roman" w:cs="Times New Roman"/>
        </w:rPr>
        <w:t xml:space="preserve">a review and, if need be, </w:t>
      </w:r>
      <w:r w:rsidR="0087765A">
        <w:rPr>
          <w:rFonts w:ascii="Times New Roman" w:hAnsi="Times New Roman" w:cs="Times New Roman"/>
        </w:rPr>
        <w:t>prepare</w:t>
      </w:r>
      <w:r w:rsidR="0087765A" w:rsidRPr="00BC7BB5">
        <w:rPr>
          <w:rFonts w:ascii="Times New Roman" w:hAnsi="Times New Roman" w:cs="Times New Roman"/>
        </w:rPr>
        <w:t xml:space="preserve"> </w:t>
      </w:r>
      <w:r w:rsidR="00582BF7" w:rsidRPr="00BC7BB5">
        <w:rPr>
          <w:rFonts w:ascii="Times New Roman" w:hAnsi="Times New Roman" w:cs="Times New Roman"/>
        </w:rPr>
        <w:t>and implement a mitigation plan</w:t>
      </w:r>
      <w:r w:rsidR="00794BE0">
        <w:rPr>
          <w:rFonts w:ascii="Times New Roman" w:hAnsi="Times New Roman" w:cs="Times New Roman"/>
        </w:rPr>
        <w:t xml:space="preserve"> </w:t>
      </w:r>
      <w:r w:rsidR="00582BF7" w:rsidRPr="00BC7BB5">
        <w:rPr>
          <w:rFonts w:ascii="Times New Roman" w:hAnsi="Times New Roman" w:cs="Times New Roman"/>
        </w:rPr>
        <w:t xml:space="preserve">to ensure that the core principles of the </w:t>
      </w:r>
      <w:r w:rsidR="0087765A">
        <w:rPr>
          <w:rFonts w:ascii="Times New Roman" w:hAnsi="Times New Roman" w:cs="Times New Roman"/>
        </w:rPr>
        <w:t xml:space="preserve">World </w:t>
      </w:r>
      <w:r w:rsidR="00582BF7" w:rsidRPr="00BC7BB5">
        <w:rPr>
          <w:rFonts w:ascii="Times New Roman" w:hAnsi="Times New Roman" w:cs="Times New Roman"/>
        </w:rPr>
        <w:t xml:space="preserve">Bank’s Policy </w:t>
      </w:r>
      <w:r w:rsidR="0087765A">
        <w:rPr>
          <w:rFonts w:ascii="Times New Roman" w:hAnsi="Times New Roman" w:cs="Times New Roman"/>
        </w:rPr>
        <w:t xml:space="preserve">and Directive </w:t>
      </w:r>
      <w:r w:rsidR="00582BF7" w:rsidRPr="00BC7BB5">
        <w:rPr>
          <w:rFonts w:ascii="Times New Roman" w:hAnsi="Times New Roman" w:cs="Times New Roman"/>
        </w:rPr>
        <w:t xml:space="preserve">on </w:t>
      </w:r>
      <w:r w:rsidR="005D1553">
        <w:rPr>
          <w:rFonts w:ascii="Times New Roman" w:hAnsi="Times New Roman" w:cs="Times New Roman"/>
        </w:rPr>
        <w:t>P</w:t>
      </w:r>
      <w:r w:rsidR="0087765A">
        <w:rPr>
          <w:rFonts w:ascii="Times New Roman" w:hAnsi="Times New Roman" w:cs="Times New Roman"/>
        </w:rPr>
        <w:t>f</w:t>
      </w:r>
      <w:r w:rsidR="00A37F43">
        <w:rPr>
          <w:rFonts w:ascii="Times New Roman" w:hAnsi="Times New Roman" w:cs="Times New Roman"/>
        </w:rPr>
        <w:t>or</w:t>
      </w:r>
      <w:r w:rsidR="00FE4DD8">
        <w:rPr>
          <w:rFonts w:ascii="Times New Roman" w:hAnsi="Times New Roman" w:cs="Times New Roman"/>
        </w:rPr>
        <w:t>R</w:t>
      </w:r>
      <w:r w:rsidR="00582BF7" w:rsidRPr="00BC7BB5">
        <w:rPr>
          <w:rFonts w:ascii="Times New Roman" w:hAnsi="Times New Roman" w:cs="Times New Roman"/>
        </w:rPr>
        <w:t xml:space="preserve"> </w:t>
      </w:r>
      <w:r w:rsidR="0087765A">
        <w:rPr>
          <w:rFonts w:ascii="Times New Roman" w:hAnsi="Times New Roman" w:cs="Times New Roman"/>
        </w:rPr>
        <w:t xml:space="preserve">Financing </w:t>
      </w:r>
      <w:r w:rsidR="00582BF7" w:rsidRPr="00BC7BB5">
        <w:rPr>
          <w:rFonts w:ascii="Times New Roman" w:hAnsi="Times New Roman" w:cs="Times New Roman"/>
        </w:rPr>
        <w:t>regarding involuntary land acquisition are met, that proper proceedings under national laws have been followed, and that replacement value has been achieved in compensation</w:t>
      </w:r>
      <w:r w:rsidR="002D0F82" w:rsidRPr="00BC7BB5">
        <w:rPr>
          <w:rFonts w:ascii="Times New Roman" w:hAnsi="Times New Roman" w:cs="Times New Roman"/>
        </w:rPr>
        <w:t>.</w:t>
      </w:r>
      <w:r w:rsidR="00EF5BD3">
        <w:rPr>
          <w:rFonts w:ascii="Times New Roman" w:hAnsi="Times New Roman" w:cs="Times New Roman"/>
        </w:rPr>
        <w:t xml:space="preserve"> </w:t>
      </w:r>
      <w:r w:rsidR="00EF5BD3" w:rsidRPr="00EF5BD3">
        <w:rPr>
          <w:rFonts w:ascii="Times New Roman" w:hAnsi="Times New Roman" w:cs="Times New Roman"/>
        </w:rPr>
        <w:t>The current use of land in the public domain</w:t>
      </w:r>
      <w:r w:rsidR="003C2358">
        <w:rPr>
          <w:rFonts w:ascii="Times New Roman" w:hAnsi="Times New Roman" w:cs="Times New Roman"/>
        </w:rPr>
        <w:t xml:space="preserve"> used for P</w:t>
      </w:r>
      <w:r w:rsidR="00EF5BD3" w:rsidRPr="00EF5BD3">
        <w:rPr>
          <w:rFonts w:ascii="Times New Roman" w:hAnsi="Times New Roman" w:cs="Times New Roman"/>
        </w:rPr>
        <w:t xml:space="preserve">rogram activities will be assessed </w:t>
      </w:r>
      <w:r w:rsidR="00B9010D">
        <w:rPr>
          <w:rFonts w:ascii="Times New Roman" w:hAnsi="Times New Roman" w:cs="Times New Roman"/>
        </w:rPr>
        <w:t xml:space="preserve">for identified sites (wholesale market, ceratitis control center) and </w:t>
      </w:r>
      <w:r w:rsidR="00EF5BD3" w:rsidRPr="00EF5BD3">
        <w:rPr>
          <w:rFonts w:ascii="Times New Roman" w:hAnsi="Times New Roman" w:cs="Times New Roman"/>
        </w:rPr>
        <w:t xml:space="preserve">when the </w:t>
      </w:r>
      <w:r w:rsidR="00B9010D">
        <w:rPr>
          <w:rFonts w:ascii="Times New Roman" w:hAnsi="Times New Roman" w:cs="Times New Roman"/>
        </w:rPr>
        <w:t xml:space="preserve">other </w:t>
      </w:r>
      <w:r w:rsidR="00EF5BD3" w:rsidRPr="00EF5BD3">
        <w:rPr>
          <w:rFonts w:ascii="Times New Roman" w:hAnsi="Times New Roman" w:cs="Times New Roman"/>
        </w:rPr>
        <w:t>sites are identified</w:t>
      </w:r>
      <w:r w:rsidR="00B9010D">
        <w:rPr>
          <w:rFonts w:ascii="Times New Roman" w:hAnsi="Times New Roman" w:cs="Times New Roman"/>
        </w:rPr>
        <w:t xml:space="preserve"> (for CIAs)</w:t>
      </w:r>
      <w:r w:rsidR="00EF5BD3" w:rsidRPr="00EF5BD3">
        <w:rPr>
          <w:rFonts w:ascii="Times New Roman" w:hAnsi="Times New Roman" w:cs="Times New Roman"/>
        </w:rPr>
        <w:t>.</w:t>
      </w:r>
      <w:r w:rsidR="00EF5BD3">
        <w:t xml:space="preserve"> </w:t>
      </w:r>
      <w:r w:rsidR="00EF5BD3">
        <w:rPr>
          <w:rFonts w:ascii="Times New Roman" w:hAnsi="Times New Roman" w:cs="Times New Roman"/>
        </w:rPr>
        <w:t xml:space="preserve">If current non-titled users are identified who would lose their livelihoods, the </w:t>
      </w:r>
      <w:r w:rsidR="00794BE0">
        <w:rPr>
          <w:rFonts w:ascii="Times New Roman" w:hAnsi="Times New Roman" w:cs="Times New Roman"/>
        </w:rPr>
        <w:t xml:space="preserve">Borrower </w:t>
      </w:r>
      <w:r w:rsidR="00EF5BD3">
        <w:rPr>
          <w:rFonts w:ascii="Times New Roman" w:hAnsi="Times New Roman" w:cs="Times New Roman"/>
        </w:rPr>
        <w:t xml:space="preserve">will </w:t>
      </w:r>
      <w:r w:rsidR="00665771">
        <w:rPr>
          <w:rFonts w:ascii="Times New Roman" w:hAnsi="Times New Roman" w:cs="Times New Roman"/>
        </w:rPr>
        <w:t xml:space="preserve">prepare and implement a social action plan to </w:t>
      </w:r>
      <w:r w:rsidR="00EF5BD3">
        <w:rPr>
          <w:rFonts w:ascii="Times New Roman" w:hAnsi="Times New Roman" w:cs="Times New Roman"/>
        </w:rPr>
        <w:t>en</w:t>
      </w:r>
      <w:r w:rsidR="00EF5BD3" w:rsidRPr="00082EFB">
        <w:rPr>
          <w:rFonts w:ascii="Times New Roman" w:hAnsi="Times New Roman" w:cs="Times New Roman"/>
        </w:rPr>
        <w:t>sure</w:t>
      </w:r>
      <w:r w:rsidR="00EF5BD3">
        <w:rPr>
          <w:rFonts w:ascii="Times New Roman" w:hAnsi="Times New Roman" w:cs="Times New Roman"/>
        </w:rPr>
        <w:t xml:space="preserve"> that</w:t>
      </w:r>
      <w:r w:rsidR="00EF5BD3" w:rsidRPr="00082EFB">
        <w:rPr>
          <w:rFonts w:ascii="Times New Roman" w:hAnsi="Times New Roman" w:cs="Times New Roman"/>
        </w:rPr>
        <w:t xml:space="preserve"> people </w:t>
      </w:r>
      <w:r w:rsidR="00EF5BD3">
        <w:rPr>
          <w:rFonts w:ascii="Times New Roman" w:hAnsi="Times New Roman" w:cs="Times New Roman"/>
        </w:rPr>
        <w:t>do receive proper assistance</w:t>
      </w:r>
      <w:r w:rsidR="00EF5BD3" w:rsidRPr="00082EFB">
        <w:rPr>
          <w:rFonts w:ascii="Times New Roman" w:hAnsi="Times New Roman" w:cs="Times New Roman"/>
        </w:rPr>
        <w:t xml:space="preserve"> in finding alternative land or alternative livelihoods</w:t>
      </w:r>
      <w:r w:rsidR="00EF5BD3" w:rsidRPr="00467A7E">
        <w:t xml:space="preserve"> </w:t>
      </w:r>
      <w:r w:rsidR="00EF5BD3" w:rsidRPr="00A050C1">
        <w:rPr>
          <w:rFonts w:ascii="Times New Roman" w:hAnsi="Times New Roman" w:cs="Times New Roman"/>
        </w:rPr>
        <w:t>prior</w:t>
      </w:r>
      <w:r w:rsidR="00EF5BD3">
        <w:t xml:space="preserve"> </w:t>
      </w:r>
      <w:r w:rsidR="00EF5BD3" w:rsidRPr="00EF5BD3">
        <w:rPr>
          <w:rFonts w:ascii="Times New Roman" w:hAnsi="Times New Roman" w:cs="Times New Roman"/>
        </w:rPr>
        <w:t>to the start of the civil works</w:t>
      </w:r>
      <w:r w:rsidR="006524C5">
        <w:rPr>
          <w:rFonts w:ascii="Times New Roman" w:hAnsi="Times New Roman" w:cs="Times New Roman"/>
        </w:rPr>
        <w:t xml:space="preserve">, and </w:t>
      </w:r>
      <w:r w:rsidR="00DD6BA8">
        <w:rPr>
          <w:rFonts w:ascii="Times New Roman" w:hAnsi="Times New Roman" w:cs="Times New Roman"/>
        </w:rPr>
        <w:t>prior to the transfer of productive assets</w:t>
      </w:r>
      <w:r w:rsidR="00A96BB8">
        <w:rPr>
          <w:rFonts w:ascii="Times New Roman" w:hAnsi="Times New Roman" w:cs="Times New Roman"/>
        </w:rPr>
        <w:t>/workplace/business</w:t>
      </w:r>
      <w:r w:rsidR="00DD6BA8">
        <w:rPr>
          <w:rFonts w:ascii="Times New Roman" w:hAnsi="Times New Roman" w:cs="Times New Roman"/>
        </w:rPr>
        <w:t xml:space="preserve"> in the case of the wholesale market </w:t>
      </w:r>
      <w:r w:rsidR="00A96BB8">
        <w:rPr>
          <w:rFonts w:ascii="Times New Roman" w:hAnsi="Times New Roman" w:cs="Times New Roman"/>
        </w:rPr>
        <w:t>user</w:t>
      </w:r>
      <w:r w:rsidR="00DD6BA8">
        <w:rPr>
          <w:rFonts w:ascii="Times New Roman" w:hAnsi="Times New Roman" w:cs="Times New Roman"/>
        </w:rPr>
        <w:t xml:space="preserve">s, </w:t>
      </w:r>
      <w:r w:rsidR="00794BE0" w:rsidRPr="00794BE0">
        <w:rPr>
          <w:rFonts w:ascii="Times New Roman" w:hAnsi="Times New Roman" w:cs="Times New Roman"/>
        </w:rPr>
        <w:t>all in a manner acceptable to the Bank and as described in the POM</w:t>
      </w:r>
      <w:r w:rsidR="00EF5BD3" w:rsidRPr="00EF5BD3">
        <w:rPr>
          <w:rFonts w:ascii="Times New Roman" w:hAnsi="Times New Roman" w:cs="Times New Roman"/>
        </w:rPr>
        <w:t>.</w:t>
      </w:r>
      <w:r w:rsidR="00EF5BD3" w:rsidRPr="00082EFB">
        <w:rPr>
          <w:rFonts w:ascii="Times New Roman" w:hAnsi="Times New Roman" w:cs="Times New Roman"/>
        </w:rPr>
        <w:t xml:space="preserve"> Details </w:t>
      </w:r>
      <w:r w:rsidR="00EF5BD3">
        <w:rPr>
          <w:rFonts w:ascii="Times New Roman" w:hAnsi="Times New Roman" w:cs="Times New Roman"/>
        </w:rPr>
        <w:t>will be</w:t>
      </w:r>
      <w:r w:rsidR="00EF5BD3" w:rsidRPr="00082EFB">
        <w:rPr>
          <w:rFonts w:ascii="Times New Roman" w:hAnsi="Times New Roman" w:cs="Times New Roman"/>
        </w:rPr>
        <w:t xml:space="preserve"> </w:t>
      </w:r>
      <w:r w:rsidR="00EF5BD3" w:rsidRPr="000A1436">
        <w:rPr>
          <w:rFonts w:ascii="Times New Roman" w:hAnsi="Times New Roman" w:cs="Times New Roman"/>
        </w:rPr>
        <w:t>provided in the Environmental and Social Technical Manual</w:t>
      </w:r>
      <w:r w:rsidR="0087765A">
        <w:rPr>
          <w:rFonts w:ascii="Times New Roman" w:hAnsi="Times New Roman" w:cs="Times New Roman"/>
        </w:rPr>
        <w:t xml:space="preserve">, which will be </w:t>
      </w:r>
      <w:r w:rsidR="00794BE0">
        <w:rPr>
          <w:rFonts w:ascii="Times New Roman" w:hAnsi="Times New Roman" w:cs="Times New Roman"/>
        </w:rPr>
        <w:t xml:space="preserve">developed by the Borrower and approved by the Bank within the </w:t>
      </w:r>
      <w:r w:rsidR="00794BE0" w:rsidRPr="00DB1D06">
        <w:rPr>
          <w:rFonts w:ascii="Times New Roman" w:hAnsi="Times New Roman" w:cs="Times New Roman"/>
        </w:rPr>
        <w:t xml:space="preserve">first </w:t>
      </w:r>
      <w:r w:rsidR="00A050C1" w:rsidRPr="00DB1D06">
        <w:rPr>
          <w:rFonts w:ascii="Times New Roman" w:hAnsi="Times New Roman" w:cs="Times New Roman"/>
        </w:rPr>
        <w:t>six</w:t>
      </w:r>
      <w:r w:rsidR="00794BE0" w:rsidRPr="00DB1D06">
        <w:rPr>
          <w:rFonts w:ascii="Times New Roman" w:hAnsi="Times New Roman" w:cs="Times New Roman"/>
        </w:rPr>
        <w:t xml:space="preserve"> months</w:t>
      </w:r>
      <w:r w:rsidR="00794BE0">
        <w:rPr>
          <w:rFonts w:ascii="Times New Roman" w:hAnsi="Times New Roman" w:cs="Times New Roman"/>
        </w:rPr>
        <w:t xml:space="preserve"> of Program implementation and included in the POM</w:t>
      </w:r>
      <w:r w:rsidR="00EF5BD3" w:rsidRPr="000A1436">
        <w:rPr>
          <w:rFonts w:ascii="Times New Roman" w:hAnsi="Times New Roman" w:cs="Times New Roman"/>
        </w:rPr>
        <w:t>.</w:t>
      </w:r>
    </w:p>
    <w:p w14:paraId="449D3CD4" w14:textId="77777777" w:rsidR="002D0F82" w:rsidRPr="000A1436" w:rsidRDefault="002D0F82" w:rsidP="002D0F82">
      <w:pPr>
        <w:pStyle w:val="NoSpacing"/>
        <w:jc w:val="both"/>
        <w:rPr>
          <w:rFonts w:ascii="Times New Roman" w:hAnsi="Times New Roman" w:cs="Times New Roman"/>
        </w:rPr>
      </w:pPr>
    </w:p>
    <w:p w14:paraId="5F337531" w14:textId="0EF010E8" w:rsidR="002D0F82" w:rsidRPr="000A1436" w:rsidRDefault="00582BF7" w:rsidP="002D0F82">
      <w:pPr>
        <w:pStyle w:val="NoSpacing"/>
        <w:numPr>
          <w:ilvl w:val="0"/>
          <w:numId w:val="7"/>
        </w:numPr>
        <w:ind w:left="0" w:firstLine="0"/>
        <w:jc w:val="both"/>
        <w:rPr>
          <w:rFonts w:ascii="Times New Roman" w:hAnsi="Times New Roman" w:cs="Times New Roman"/>
        </w:rPr>
      </w:pPr>
      <w:r w:rsidRPr="000A1436">
        <w:rPr>
          <w:rFonts w:ascii="Times New Roman" w:hAnsi="Times New Roman" w:cs="Times New Roman"/>
        </w:rPr>
        <w:t>Retrenchment due to activities financed under the Program are limited to the impacts on users of the existing markets due to the transfer and consolidation of three wholesale markets in the Rabat</w:t>
      </w:r>
      <w:r w:rsidR="00185373">
        <w:rPr>
          <w:rFonts w:ascii="Times New Roman" w:hAnsi="Times New Roman" w:cs="Times New Roman"/>
        </w:rPr>
        <w:t>-Salé-Kénitra</w:t>
      </w:r>
      <w:r w:rsidRPr="000A1436">
        <w:rPr>
          <w:rFonts w:ascii="Times New Roman" w:hAnsi="Times New Roman" w:cs="Times New Roman"/>
        </w:rPr>
        <w:t xml:space="preserve"> region in a single site. A social action plan will be prepared under the </w:t>
      </w:r>
      <w:r w:rsidR="00665771" w:rsidRPr="00A050C1">
        <w:rPr>
          <w:rFonts w:ascii="Times New Roman" w:hAnsi="Times New Roman" w:cs="Times New Roman"/>
          <w:i/>
        </w:rPr>
        <w:t>C</w:t>
      </w:r>
      <w:r w:rsidR="00185373" w:rsidRPr="00A050C1">
        <w:rPr>
          <w:rFonts w:ascii="Times New Roman" w:hAnsi="Times New Roman" w:cs="Times New Roman"/>
          <w:i/>
        </w:rPr>
        <w:t>onvention</w:t>
      </w:r>
      <w:r w:rsidRPr="00A050C1">
        <w:rPr>
          <w:rFonts w:ascii="Times New Roman" w:hAnsi="Times New Roman" w:cs="Times New Roman"/>
          <w:i/>
        </w:rPr>
        <w:t xml:space="preserve"> </w:t>
      </w:r>
      <w:r w:rsidR="00665771" w:rsidRPr="00A050C1">
        <w:rPr>
          <w:rFonts w:ascii="Times New Roman" w:hAnsi="Times New Roman" w:cs="Times New Roman"/>
          <w:i/>
        </w:rPr>
        <w:t>de Partenariat</w:t>
      </w:r>
      <w:r w:rsidR="00665771">
        <w:rPr>
          <w:rFonts w:ascii="Times New Roman" w:hAnsi="Times New Roman" w:cs="Times New Roman"/>
        </w:rPr>
        <w:t xml:space="preserve"> to be </w:t>
      </w:r>
      <w:r w:rsidRPr="000A1436">
        <w:rPr>
          <w:rFonts w:ascii="Times New Roman" w:hAnsi="Times New Roman" w:cs="Times New Roman"/>
        </w:rPr>
        <w:t xml:space="preserve">signed between different parties for the establishment of the new wholesale market. The PMU will provide technical assistance and supervision of the social action plan through the social </w:t>
      </w:r>
      <w:r w:rsidR="00665771">
        <w:rPr>
          <w:rFonts w:ascii="Times New Roman" w:hAnsi="Times New Roman" w:cs="Times New Roman"/>
        </w:rPr>
        <w:t>and environmental specialist</w:t>
      </w:r>
      <w:r w:rsidRPr="000A1436">
        <w:rPr>
          <w:rFonts w:ascii="Times New Roman" w:hAnsi="Times New Roman" w:cs="Times New Roman"/>
        </w:rPr>
        <w:t xml:space="preserve"> to ensure the plan is properly consulted with all relevant stakeholders and implemented prior to the transfer </w:t>
      </w:r>
      <w:r w:rsidR="00406E70" w:rsidRPr="000A1436">
        <w:rPr>
          <w:rFonts w:ascii="Times New Roman" w:hAnsi="Times New Roman" w:cs="Times New Roman"/>
        </w:rPr>
        <w:t xml:space="preserve">of activities. </w:t>
      </w:r>
      <w:r w:rsidR="00665771" w:rsidRPr="000A1436">
        <w:rPr>
          <w:rFonts w:ascii="Times New Roman" w:hAnsi="Times New Roman" w:cs="Times New Roman"/>
        </w:rPr>
        <w:t>Th</w:t>
      </w:r>
      <w:r w:rsidR="00665771">
        <w:rPr>
          <w:rFonts w:ascii="Times New Roman" w:hAnsi="Times New Roman" w:cs="Times New Roman"/>
        </w:rPr>
        <w:t>e</w:t>
      </w:r>
      <w:r w:rsidR="00665771" w:rsidRPr="000A1436">
        <w:rPr>
          <w:rFonts w:ascii="Times New Roman" w:hAnsi="Times New Roman" w:cs="Times New Roman"/>
        </w:rPr>
        <w:t xml:space="preserve">se </w:t>
      </w:r>
      <w:r w:rsidRPr="000A1436">
        <w:rPr>
          <w:rFonts w:ascii="Times New Roman" w:hAnsi="Times New Roman" w:cs="Times New Roman"/>
        </w:rPr>
        <w:t>procedures will</w:t>
      </w:r>
      <w:r w:rsidR="00406E70" w:rsidRPr="000A1436">
        <w:rPr>
          <w:rFonts w:ascii="Times New Roman" w:hAnsi="Times New Roman" w:cs="Times New Roman"/>
        </w:rPr>
        <w:t xml:space="preserve"> be described in the Program's Environmental and Social Technical M</w:t>
      </w:r>
      <w:r w:rsidRPr="000A1436">
        <w:rPr>
          <w:rFonts w:ascii="Times New Roman" w:hAnsi="Times New Roman" w:cs="Times New Roman"/>
        </w:rPr>
        <w:t>anual</w:t>
      </w:r>
      <w:r w:rsidR="002D0F82" w:rsidRPr="000A1436">
        <w:rPr>
          <w:rFonts w:ascii="Times New Roman" w:hAnsi="Times New Roman" w:cs="Times New Roman"/>
        </w:rPr>
        <w:t>.</w:t>
      </w:r>
    </w:p>
    <w:p w14:paraId="05247C55" w14:textId="4F35B663" w:rsidR="00AD5CFA" w:rsidRPr="00BC7BB5" w:rsidRDefault="00AD5CFA" w:rsidP="00AD5CFA">
      <w:pPr>
        <w:pStyle w:val="NoSpacing"/>
        <w:jc w:val="both"/>
        <w:rPr>
          <w:rFonts w:ascii="Times New Roman" w:hAnsi="Times New Roman" w:cs="Times New Roman"/>
        </w:rPr>
      </w:pPr>
    </w:p>
    <w:p w14:paraId="7D7136BB" w14:textId="6D82B529" w:rsidR="002D0F82" w:rsidRPr="00BC7BB5" w:rsidRDefault="002D0F82" w:rsidP="002D0F82">
      <w:pPr>
        <w:pStyle w:val="NoSpacing"/>
        <w:numPr>
          <w:ilvl w:val="0"/>
          <w:numId w:val="7"/>
        </w:numPr>
        <w:ind w:left="0" w:firstLine="0"/>
        <w:jc w:val="both"/>
        <w:rPr>
          <w:rFonts w:ascii="Times New Roman" w:hAnsi="Times New Roman" w:cs="Times New Roman"/>
        </w:rPr>
      </w:pPr>
      <w:r w:rsidRPr="00BC7BB5">
        <w:rPr>
          <w:rFonts w:ascii="Times New Roman" w:hAnsi="Times New Roman" w:cs="Times New Roman"/>
          <w:b/>
        </w:rPr>
        <w:t>Gender and youth</w:t>
      </w:r>
      <w:r w:rsidRPr="00BC7BB5">
        <w:rPr>
          <w:rFonts w:ascii="Times New Roman" w:hAnsi="Times New Roman" w:cs="Times New Roman"/>
          <w:i/>
        </w:rPr>
        <w:t>.</w:t>
      </w:r>
      <w:r w:rsidRPr="00BC7BB5">
        <w:rPr>
          <w:rFonts w:ascii="Times New Roman" w:hAnsi="Times New Roman" w:cs="Times New Roman"/>
        </w:rPr>
        <w:t xml:space="preserve"> Currently, 60 percent of the women active in the labor market are engaged in agriculture and have little or no education. Women’s work in agriculture-related activities is often precarious and generally concentrated in low levels of agriculture value-chains, performing basic activities where their labor rights </w:t>
      </w:r>
      <w:r w:rsidR="003841D0">
        <w:rPr>
          <w:rFonts w:ascii="Times New Roman" w:hAnsi="Times New Roman" w:cs="Times New Roman"/>
        </w:rPr>
        <w:t>may</w:t>
      </w:r>
      <w:r w:rsidRPr="00BC7BB5">
        <w:rPr>
          <w:rFonts w:ascii="Times New Roman" w:hAnsi="Times New Roman" w:cs="Times New Roman"/>
        </w:rPr>
        <w:t xml:space="preserve"> not </w:t>
      </w:r>
      <w:r w:rsidR="003841D0">
        <w:rPr>
          <w:rFonts w:ascii="Times New Roman" w:hAnsi="Times New Roman" w:cs="Times New Roman"/>
        </w:rPr>
        <w:t xml:space="preserve">be </w:t>
      </w:r>
      <w:r w:rsidRPr="00BC7BB5">
        <w:rPr>
          <w:rFonts w:ascii="Times New Roman" w:hAnsi="Times New Roman" w:cs="Times New Roman"/>
        </w:rPr>
        <w:t xml:space="preserve">respected. In the agricultural sector, women are often paid 50 percent less than men – the largest gender wage gap of any sector in Morocco. Youth register the highest rate of unemployment and under-employment in the country with </w:t>
      </w:r>
      <w:r w:rsidRPr="00A677A0">
        <w:rPr>
          <w:rFonts w:ascii="Times New Roman" w:hAnsi="Times New Roman" w:cs="Times New Roman"/>
        </w:rPr>
        <w:t>23.5 percent</w:t>
      </w:r>
      <w:r w:rsidRPr="00BC7BB5">
        <w:rPr>
          <w:rFonts w:ascii="Times New Roman" w:hAnsi="Times New Roman" w:cs="Times New Roman"/>
        </w:rPr>
        <w:t xml:space="preserve"> and 16.3 percent</w:t>
      </w:r>
      <w:r w:rsidR="00665771">
        <w:rPr>
          <w:rFonts w:ascii="Times New Roman" w:hAnsi="Times New Roman" w:cs="Times New Roman"/>
        </w:rPr>
        <w:t>,</w:t>
      </w:r>
      <w:r w:rsidRPr="00BC7BB5">
        <w:rPr>
          <w:rFonts w:ascii="Times New Roman" w:hAnsi="Times New Roman" w:cs="Times New Roman"/>
        </w:rPr>
        <w:t xml:space="preserve"> respectively</w:t>
      </w:r>
      <w:r w:rsidR="00A677A0">
        <w:rPr>
          <w:rFonts w:ascii="Times New Roman" w:hAnsi="Times New Roman" w:cs="Times New Roman"/>
        </w:rPr>
        <w:t>, in the second quarter of calendar year 2017</w:t>
      </w:r>
      <w:r w:rsidRPr="00BC7BB5">
        <w:rPr>
          <w:rFonts w:ascii="Times New Roman" w:hAnsi="Times New Roman" w:cs="Times New Roman"/>
        </w:rPr>
        <w:t>.  Lack of aspiration from young professionals in pursuing agriculture-related careers is causing an ageing agricultural labor force.</w:t>
      </w:r>
    </w:p>
    <w:p w14:paraId="7B4DA5DB" w14:textId="77777777" w:rsidR="002D0F82" w:rsidRPr="00BC7BB5" w:rsidRDefault="002D0F82" w:rsidP="002D0F82">
      <w:pPr>
        <w:pStyle w:val="ListParagraph"/>
        <w:spacing w:after="0" w:line="240" w:lineRule="auto"/>
        <w:rPr>
          <w:rFonts w:ascii="Times New Roman" w:hAnsi="Times New Roman" w:cs="Times New Roman"/>
        </w:rPr>
      </w:pPr>
    </w:p>
    <w:p w14:paraId="6CE0C18F" w14:textId="17CE7218" w:rsidR="002D0F82" w:rsidRPr="00BC7BB5" w:rsidRDefault="002D0F82" w:rsidP="002D0F82">
      <w:pPr>
        <w:pStyle w:val="NoSpacing"/>
        <w:numPr>
          <w:ilvl w:val="0"/>
          <w:numId w:val="7"/>
        </w:numPr>
        <w:ind w:left="0" w:firstLine="0"/>
        <w:jc w:val="both"/>
        <w:rPr>
          <w:rFonts w:ascii="Times New Roman" w:hAnsi="Times New Roman" w:cs="Times New Roman"/>
        </w:rPr>
      </w:pPr>
      <w:r w:rsidRPr="00BC7BB5">
        <w:rPr>
          <w:rFonts w:ascii="Times New Roman" w:hAnsi="Times New Roman" w:cs="Times New Roman"/>
        </w:rPr>
        <w:t>The Program will create opportunities for vulnerable groups</w:t>
      </w:r>
      <w:r w:rsidR="00665771">
        <w:rPr>
          <w:rFonts w:ascii="Times New Roman" w:hAnsi="Times New Roman" w:cs="Times New Roman"/>
        </w:rPr>
        <w:t xml:space="preserve"> </w:t>
      </w:r>
      <w:r w:rsidRPr="00BC7BB5">
        <w:rPr>
          <w:rFonts w:ascii="Times New Roman" w:hAnsi="Times New Roman" w:cs="Times New Roman"/>
        </w:rPr>
        <w:t>- women and youth</w:t>
      </w:r>
      <w:r w:rsidR="00665771">
        <w:rPr>
          <w:rFonts w:ascii="Times New Roman" w:hAnsi="Times New Roman" w:cs="Times New Roman"/>
        </w:rPr>
        <w:t xml:space="preserve"> –</w:t>
      </w:r>
      <w:r w:rsidRPr="00BC7BB5">
        <w:rPr>
          <w:rFonts w:ascii="Times New Roman" w:hAnsi="Times New Roman" w:cs="Times New Roman"/>
        </w:rPr>
        <w:t xml:space="preserve"> by</w:t>
      </w:r>
      <w:r w:rsidR="00665771">
        <w:rPr>
          <w:rFonts w:ascii="Times New Roman" w:hAnsi="Times New Roman" w:cs="Times New Roman"/>
        </w:rPr>
        <w:t>:</w:t>
      </w:r>
      <w:r w:rsidRPr="00BC7BB5">
        <w:rPr>
          <w:rFonts w:ascii="Times New Roman" w:hAnsi="Times New Roman" w:cs="Times New Roman"/>
        </w:rPr>
        <w:t xml:space="preserve"> (i) fostering innovation and entrepreneurship of SMEs</w:t>
      </w:r>
      <w:r w:rsidR="00665771">
        <w:rPr>
          <w:rFonts w:ascii="Times New Roman" w:hAnsi="Times New Roman" w:cs="Times New Roman"/>
        </w:rPr>
        <w:t>,</w:t>
      </w:r>
      <w:r w:rsidRPr="00BC7BB5">
        <w:rPr>
          <w:rFonts w:ascii="Times New Roman" w:hAnsi="Times New Roman" w:cs="Times New Roman"/>
        </w:rPr>
        <w:t xml:space="preserve"> and (ii) increasing formal employment opportunities in the olive and citrus sub-sectors.  To ensure that the Program’s activities will benefit vulnerable groups who face </w:t>
      </w:r>
      <w:r w:rsidRPr="00BC7BB5">
        <w:rPr>
          <w:rFonts w:ascii="Times New Roman" w:hAnsi="Times New Roman" w:cs="Times New Roman"/>
        </w:rPr>
        <w:lastRenderedPageBreak/>
        <w:t>information gaps, the social specialist recruited in the PMU will work on</w:t>
      </w:r>
      <w:r w:rsidRPr="00BC7BB5">
        <w:t> </w:t>
      </w:r>
      <w:r w:rsidR="00A67080">
        <w:rPr>
          <w:rFonts w:ascii="Times New Roman" w:hAnsi="Times New Roman" w:cs="Times New Roman"/>
        </w:rPr>
        <w:t>tho</w:t>
      </w:r>
      <w:r w:rsidRPr="00BC7BB5">
        <w:rPr>
          <w:rFonts w:ascii="Times New Roman" w:hAnsi="Times New Roman" w:cs="Times New Roman"/>
        </w:rPr>
        <w:t>se</w:t>
      </w:r>
      <w:r w:rsidRPr="00BC7BB5">
        <w:t> </w:t>
      </w:r>
      <w:r w:rsidRPr="00BC7BB5">
        <w:rPr>
          <w:rFonts w:ascii="Times New Roman" w:hAnsi="Times New Roman" w:cs="Times New Roman"/>
        </w:rPr>
        <w:t>topics in collaboration with the MAPMDREF</w:t>
      </w:r>
      <w:r w:rsidR="00582BF7" w:rsidRPr="00BC7BB5">
        <w:rPr>
          <w:rFonts w:ascii="Times New Roman" w:hAnsi="Times New Roman" w:cs="Times New Roman"/>
        </w:rPr>
        <w:t>’s</w:t>
      </w:r>
      <w:r w:rsidRPr="00BC7BB5">
        <w:rPr>
          <w:rFonts w:ascii="Times New Roman" w:hAnsi="Times New Roman" w:cs="Times New Roman"/>
        </w:rPr>
        <w:t xml:space="preserve"> decentralized gender focal points. Training will be provided to increase the capacity of the latter to share timely information with potential beneficiaries about timeline, criteria of selection and more broadly about project-funded activities and ensure an equal opportunity of participation among different population groups.</w:t>
      </w:r>
    </w:p>
    <w:p w14:paraId="056E86A9" w14:textId="77777777" w:rsidR="002D0F82" w:rsidRPr="00BC7BB5" w:rsidRDefault="002D0F82" w:rsidP="002D0F82">
      <w:pPr>
        <w:pStyle w:val="NoSpacing"/>
        <w:jc w:val="both"/>
        <w:rPr>
          <w:rFonts w:ascii="Times New Roman" w:hAnsi="Times New Roman" w:cs="Times New Roman"/>
        </w:rPr>
      </w:pPr>
    </w:p>
    <w:p w14:paraId="7C30B0AC" w14:textId="0BA0A65F" w:rsidR="002D0F82" w:rsidRPr="00BC7BB5" w:rsidRDefault="00582BF7" w:rsidP="002D0F82">
      <w:pPr>
        <w:pStyle w:val="NoSpacing"/>
        <w:numPr>
          <w:ilvl w:val="0"/>
          <w:numId w:val="7"/>
        </w:numPr>
        <w:ind w:left="0" w:firstLine="0"/>
        <w:jc w:val="both"/>
        <w:rPr>
          <w:rFonts w:ascii="Times New Roman" w:hAnsi="Times New Roman" w:cs="Times New Roman"/>
        </w:rPr>
      </w:pPr>
      <w:r w:rsidRPr="00BC7BB5">
        <w:rPr>
          <w:rFonts w:ascii="Times New Roman" w:hAnsi="Times New Roman" w:cs="Times New Roman"/>
        </w:rPr>
        <w:t>The Program, through the activities it aims to finance, will create more formal employment opportunities in the agri-food sec</w:t>
      </w:r>
      <w:r w:rsidR="00A67080">
        <w:rPr>
          <w:rFonts w:ascii="Times New Roman" w:hAnsi="Times New Roman" w:cs="Times New Roman"/>
        </w:rPr>
        <w:t>tor. It is expected that a significant</w:t>
      </w:r>
      <w:r w:rsidRPr="00BC7BB5">
        <w:rPr>
          <w:rFonts w:ascii="Times New Roman" w:hAnsi="Times New Roman" w:cs="Times New Roman"/>
        </w:rPr>
        <w:t xml:space="preserve"> part of those </w:t>
      </w:r>
      <w:r w:rsidR="005D6E80">
        <w:rPr>
          <w:rFonts w:ascii="Times New Roman" w:hAnsi="Times New Roman" w:cs="Times New Roman"/>
        </w:rPr>
        <w:t xml:space="preserve">employment opportunities would benefit vulnerable </w:t>
      </w:r>
      <w:r w:rsidR="00872A4E">
        <w:rPr>
          <w:rFonts w:ascii="Times New Roman" w:hAnsi="Times New Roman" w:cs="Times New Roman"/>
        </w:rPr>
        <w:t xml:space="preserve">population </w:t>
      </w:r>
      <w:r w:rsidR="005D6E80">
        <w:rPr>
          <w:rFonts w:ascii="Times New Roman" w:hAnsi="Times New Roman" w:cs="Times New Roman"/>
        </w:rPr>
        <w:t>groups such as</w:t>
      </w:r>
      <w:r w:rsidRPr="00BC7BB5">
        <w:rPr>
          <w:rFonts w:ascii="Times New Roman" w:hAnsi="Times New Roman" w:cs="Times New Roman"/>
        </w:rPr>
        <w:t xml:space="preserve"> women and youth (through specific targeting in some of the Program activities, as per the </w:t>
      </w:r>
      <w:r w:rsidR="00665771">
        <w:rPr>
          <w:rFonts w:ascii="Times New Roman" w:hAnsi="Times New Roman" w:cs="Times New Roman"/>
        </w:rPr>
        <w:t>POM</w:t>
      </w:r>
      <w:r w:rsidRPr="00BC7BB5">
        <w:rPr>
          <w:rFonts w:ascii="Times New Roman" w:hAnsi="Times New Roman" w:cs="Times New Roman"/>
        </w:rPr>
        <w:t xml:space="preserve"> modalities). However, existing studies show that working conditions of vulnerable groups- such as women and youth- working in agribusiness can be precarious, under-paid and sometimes not aligned with national labor regulations (e.g.</w:t>
      </w:r>
      <w:r w:rsidR="00665771">
        <w:rPr>
          <w:rFonts w:ascii="Times New Roman" w:hAnsi="Times New Roman" w:cs="Times New Roman"/>
        </w:rPr>
        <w:t>,</w:t>
      </w:r>
      <w:r w:rsidRPr="00BC7BB5">
        <w:rPr>
          <w:rFonts w:ascii="Times New Roman" w:hAnsi="Times New Roman" w:cs="Times New Roman"/>
        </w:rPr>
        <w:t xml:space="preserve"> registration under the national social security – CNSS).  To improve the practice in</w:t>
      </w:r>
      <w:r w:rsidR="00622C6C">
        <w:rPr>
          <w:rFonts w:ascii="Times New Roman" w:hAnsi="Times New Roman" w:cs="Times New Roman"/>
        </w:rPr>
        <w:t xml:space="preserve"> the targeted sectors in </w:t>
      </w:r>
      <w:r w:rsidRPr="00BC7BB5">
        <w:rPr>
          <w:rFonts w:ascii="Times New Roman" w:hAnsi="Times New Roman" w:cs="Times New Roman"/>
        </w:rPr>
        <w:t xml:space="preserve">agricultural production and transformation regarding the respect of existing labor codes and regulations, including on child </w:t>
      </w:r>
      <w:r w:rsidR="0060509E" w:rsidRPr="00BC7BB5">
        <w:rPr>
          <w:rFonts w:ascii="Times New Roman" w:hAnsi="Times New Roman" w:cs="Times New Roman"/>
        </w:rPr>
        <w:t>labor and social security, the i</w:t>
      </w:r>
      <w:r w:rsidRPr="00BC7BB5">
        <w:rPr>
          <w:rFonts w:ascii="Times New Roman" w:hAnsi="Times New Roman" w:cs="Times New Roman"/>
        </w:rPr>
        <w:t xml:space="preserve">nterprofessions will </w:t>
      </w:r>
      <w:r w:rsidR="006947D2">
        <w:rPr>
          <w:rFonts w:ascii="Times New Roman" w:hAnsi="Times New Roman" w:cs="Times New Roman"/>
        </w:rPr>
        <w:t>carry out sensitization campaigns on tho</w:t>
      </w:r>
      <w:r w:rsidRPr="00BC7BB5">
        <w:rPr>
          <w:rFonts w:ascii="Times New Roman" w:hAnsi="Times New Roman" w:cs="Times New Roman"/>
        </w:rPr>
        <w:t>se subjects</w:t>
      </w:r>
      <w:r w:rsidR="006947D2">
        <w:rPr>
          <w:rFonts w:ascii="Times New Roman" w:hAnsi="Times New Roman" w:cs="Times New Roman"/>
        </w:rPr>
        <w:t xml:space="preserve"> to their members. Those will be supported by the P</w:t>
      </w:r>
      <w:r w:rsidRPr="00BC7BB5">
        <w:rPr>
          <w:rFonts w:ascii="Times New Roman" w:hAnsi="Times New Roman" w:cs="Times New Roman"/>
        </w:rPr>
        <w:t xml:space="preserve">rogram and assistance provided on the design of these campaigns by the social </w:t>
      </w:r>
      <w:r w:rsidR="00872A4E">
        <w:rPr>
          <w:rFonts w:ascii="Times New Roman" w:hAnsi="Times New Roman" w:cs="Times New Roman"/>
        </w:rPr>
        <w:t>and environmental specialist</w:t>
      </w:r>
      <w:r w:rsidRPr="00BC7BB5">
        <w:rPr>
          <w:rFonts w:ascii="Times New Roman" w:hAnsi="Times New Roman" w:cs="Times New Roman"/>
        </w:rPr>
        <w:t xml:space="preserve"> in t</w:t>
      </w:r>
      <w:r w:rsidR="006947D2">
        <w:rPr>
          <w:rFonts w:ascii="Times New Roman" w:hAnsi="Times New Roman" w:cs="Times New Roman"/>
        </w:rPr>
        <w:t>he PMU. Details will be presented in the Program’s Environmental and Social Technical M</w:t>
      </w:r>
      <w:r w:rsidRPr="00BC7BB5">
        <w:rPr>
          <w:rFonts w:ascii="Times New Roman" w:hAnsi="Times New Roman" w:cs="Times New Roman"/>
        </w:rPr>
        <w:t>anual</w:t>
      </w:r>
      <w:r w:rsidR="002D0F82" w:rsidRPr="00BC7BB5">
        <w:rPr>
          <w:rFonts w:ascii="Times New Roman" w:hAnsi="Times New Roman" w:cs="Times New Roman"/>
        </w:rPr>
        <w:t>.</w:t>
      </w:r>
    </w:p>
    <w:p w14:paraId="72F6A7EC" w14:textId="77777777" w:rsidR="002D0F82" w:rsidRPr="00BC7BB5" w:rsidRDefault="002D0F82" w:rsidP="002D0F82">
      <w:pPr>
        <w:pStyle w:val="NoSpacing"/>
        <w:ind w:left="420"/>
        <w:jc w:val="both"/>
        <w:rPr>
          <w:rFonts w:ascii="Times New Roman" w:hAnsi="Times New Roman" w:cs="Times New Roman"/>
        </w:rPr>
      </w:pPr>
    </w:p>
    <w:p w14:paraId="7B95093C" w14:textId="66E368BC" w:rsidR="002D0F82" w:rsidRPr="00BC7BB5" w:rsidRDefault="002E2390" w:rsidP="002D0F82">
      <w:pPr>
        <w:pStyle w:val="NoSpacing"/>
        <w:numPr>
          <w:ilvl w:val="0"/>
          <w:numId w:val="7"/>
        </w:numPr>
        <w:ind w:left="0" w:firstLine="0"/>
        <w:jc w:val="both"/>
        <w:rPr>
          <w:rFonts w:ascii="Times New Roman" w:hAnsi="Times New Roman" w:cs="Times New Roman"/>
        </w:rPr>
      </w:pPr>
      <w:r w:rsidRPr="00BC7BB5">
        <w:rPr>
          <w:rFonts w:ascii="Times New Roman" w:hAnsi="Times New Roman" w:cs="Times New Roman"/>
          <w:b/>
        </w:rPr>
        <w:t>Environmental effects.</w:t>
      </w:r>
      <w:r w:rsidRPr="00BC7BB5">
        <w:rPr>
          <w:rFonts w:ascii="Times New Roman" w:hAnsi="Times New Roman" w:cs="Times New Roman"/>
        </w:rPr>
        <w:t xml:space="preserve"> </w:t>
      </w:r>
      <w:r w:rsidR="00582BF7" w:rsidRPr="00BC7BB5">
        <w:rPr>
          <w:rFonts w:ascii="Times New Roman" w:hAnsi="Times New Roman" w:cs="Times New Roman"/>
        </w:rPr>
        <w:t xml:space="preserve">Most </w:t>
      </w:r>
      <w:r w:rsidR="00330162">
        <w:rPr>
          <w:rFonts w:ascii="Times New Roman" w:hAnsi="Times New Roman" w:cs="Times New Roman"/>
        </w:rPr>
        <w:t xml:space="preserve">of </w:t>
      </w:r>
      <w:r w:rsidR="00582BF7" w:rsidRPr="00BC7BB5">
        <w:rPr>
          <w:rFonts w:ascii="Times New Roman" w:hAnsi="Times New Roman" w:cs="Times New Roman"/>
        </w:rPr>
        <w:t>the activities envisaged under the Program should not raise risks to the safety of workers or other environmental issues. The majority of Program activities are dedicated to strengthening stakeholder systems and capacities</w:t>
      </w:r>
      <w:r w:rsidR="002D0F82" w:rsidRPr="00BC7BB5">
        <w:rPr>
          <w:rFonts w:ascii="Times New Roman" w:hAnsi="Times New Roman" w:cs="Times New Roman"/>
        </w:rPr>
        <w:t>.</w:t>
      </w:r>
    </w:p>
    <w:p w14:paraId="1F90306B" w14:textId="77777777" w:rsidR="002D0F82" w:rsidRPr="00BC7BB5" w:rsidRDefault="002D0F82" w:rsidP="002D0F82">
      <w:pPr>
        <w:pStyle w:val="NoSpacing"/>
        <w:jc w:val="both"/>
        <w:rPr>
          <w:rFonts w:ascii="Times New Roman" w:hAnsi="Times New Roman" w:cs="Times New Roman"/>
        </w:rPr>
      </w:pPr>
    </w:p>
    <w:p w14:paraId="799E48D1" w14:textId="08E6175F" w:rsidR="002D0F82" w:rsidRPr="00BC7BB5" w:rsidRDefault="00582BF7" w:rsidP="00582BF7">
      <w:pPr>
        <w:pStyle w:val="NoSpacing"/>
        <w:numPr>
          <w:ilvl w:val="0"/>
          <w:numId w:val="7"/>
        </w:numPr>
        <w:ind w:left="0" w:firstLine="0"/>
        <w:jc w:val="both"/>
        <w:rPr>
          <w:rFonts w:ascii="Times New Roman" w:hAnsi="Times New Roman" w:cs="Times New Roman"/>
        </w:rPr>
      </w:pPr>
      <w:r w:rsidRPr="00BC7BB5">
        <w:rPr>
          <w:rFonts w:ascii="Times New Roman" w:hAnsi="Times New Roman" w:cs="Times New Roman"/>
        </w:rPr>
        <w:t xml:space="preserve">The remaining activities can be </w:t>
      </w:r>
      <w:r w:rsidR="00872A4E">
        <w:rPr>
          <w:rFonts w:ascii="Times New Roman" w:hAnsi="Times New Roman" w:cs="Times New Roman"/>
        </w:rPr>
        <w:t>divided</w:t>
      </w:r>
      <w:r w:rsidR="00872A4E" w:rsidRPr="00BC7BB5">
        <w:rPr>
          <w:rFonts w:ascii="Times New Roman" w:hAnsi="Times New Roman" w:cs="Times New Roman"/>
        </w:rPr>
        <w:t xml:space="preserve"> </w:t>
      </w:r>
      <w:r w:rsidRPr="00BC7BB5">
        <w:rPr>
          <w:rFonts w:ascii="Times New Roman" w:hAnsi="Times New Roman" w:cs="Times New Roman"/>
        </w:rPr>
        <w:t xml:space="preserve">in two categories. The first </w:t>
      </w:r>
      <w:r w:rsidR="00872A4E">
        <w:rPr>
          <w:rFonts w:ascii="Times New Roman" w:hAnsi="Times New Roman" w:cs="Times New Roman"/>
        </w:rPr>
        <w:t xml:space="preserve">one </w:t>
      </w:r>
      <w:r w:rsidRPr="00BC7BB5">
        <w:rPr>
          <w:rFonts w:ascii="Times New Roman" w:hAnsi="Times New Roman" w:cs="Times New Roman"/>
        </w:rPr>
        <w:t>includes activities that must undergo an environmental impact assessment in accordance with the procedure established under Morocco’s Law 1</w:t>
      </w:r>
      <w:r w:rsidR="00330162">
        <w:rPr>
          <w:rFonts w:ascii="Times New Roman" w:hAnsi="Times New Roman" w:cs="Times New Roman"/>
        </w:rPr>
        <w:t xml:space="preserve">2-03. Those activities are: </w:t>
      </w:r>
      <w:r w:rsidRPr="00BC7BB5">
        <w:rPr>
          <w:rFonts w:ascii="Times New Roman" w:hAnsi="Times New Roman" w:cs="Times New Roman"/>
        </w:rPr>
        <w:t>wholesale market</w:t>
      </w:r>
      <w:r w:rsidR="00330162">
        <w:rPr>
          <w:rFonts w:ascii="Times New Roman" w:hAnsi="Times New Roman" w:cs="Times New Roman"/>
        </w:rPr>
        <w:t>s</w:t>
      </w:r>
      <w:r w:rsidRPr="00BC7BB5">
        <w:rPr>
          <w:rFonts w:ascii="Times New Roman" w:hAnsi="Times New Roman" w:cs="Times New Roman"/>
        </w:rPr>
        <w:t xml:space="preserve">, the </w:t>
      </w:r>
      <w:r w:rsidR="00185373">
        <w:rPr>
          <w:rFonts w:ascii="Times New Roman" w:hAnsi="Times New Roman" w:cs="Times New Roman"/>
        </w:rPr>
        <w:t xml:space="preserve">center for the production of sterile </w:t>
      </w:r>
      <w:r w:rsidR="00185373" w:rsidRPr="00185373">
        <w:rPr>
          <w:rFonts w:ascii="Times New Roman" w:hAnsi="Times New Roman" w:cs="Times New Roman"/>
          <w:i/>
        </w:rPr>
        <w:t>ceratitis</w:t>
      </w:r>
      <w:r w:rsidR="00185373">
        <w:rPr>
          <w:rFonts w:ascii="Times New Roman" w:hAnsi="Times New Roman" w:cs="Times New Roman"/>
        </w:rPr>
        <w:t xml:space="preserve"> males (Mediterranean fruit fly)</w:t>
      </w:r>
      <w:r w:rsidRPr="00BC7BB5">
        <w:rPr>
          <w:rFonts w:ascii="Times New Roman" w:hAnsi="Times New Roman" w:cs="Times New Roman"/>
        </w:rPr>
        <w:t xml:space="preserve">, collective pools for drying liquid residues of olive processing, and </w:t>
      </w:r>
      <w:r w:rsidR="00330162">
        <w:rPr>
          <w:rFonts w:ascii="Times New Roman" w:hAnsi="Times New Roman" w:cs="Times New Roman"/>
        </w:rPr>
        <w:t>olive oil mills</w:t>
      </w:r>
      <w:r w:rsidRPr="00BC7BB5">
        <w:rPr>
          <w:rFonts w:ascii="Times New Roman" w:hAnsi="Times New Roman" w:cs="Times New Roman"/>
        </w:rPr>
        <w:t>. The actions identified to bridge the gap between the Moroccan regulation (Law 12-03) and the Bank's procedures must be satisfied to ensure the control of impacts and to monitor the efficacy of the mitigation measures. The second category includes activiti</w:t>
      </w:r>
      <w:r w:rsidR="00330162">
        <w:rPr>
          <w:rFonts w:ascii="Times New Roman" w:hAnsi="Times New Roman" w:cs="Times New Roman"/>
        </w:rPr>
        <w:t>es with low environmental risks:</w:t>
      </w:r>
      <w:r w:rsidRPr="00BC7BB5">
        <w:rPr>
          <w:rFonts w:ascii="Times New Roman" w:hAnsi="Times New Roman" w:cs="Times New Roman"/>
        </w:rPr>
        <w:t xml:space="preserve"> those are </w:t>
      </w:r>
      <w:r w:rsidR="00330162">
        <w:rPr>
          <w:rFonts w:ascii="Times New Roman" w:hAnsi="Times New Roman" w:cs="Times New Roman"/>
        </w:rPr>
        <w:t xml:space="preserve">investments in </w:t>
      </w:r>
      <w:r w:rsidRPr="00BC7BB5">
        <w:rPr>
          <w:rFonts w:ascii="Times New Roman" w:hAnsi="Times New Roman" w:cs="Times New Roman"/>
        </w:rPr>
        <w:t>refrigeration and pac</w:t>
      </w:r>
      <w:r w:rsidR="00330162">
        <w:rPr>
          <w:rFonts w:ascii="Times New Roman" w:hAnsi="Times New Roman" w:cs="Times New Roman"/>
        </w:rPr>
        <w:t>kaging unit</w:t>
      </w:r>
      <w:r w:rsidR="00185373">
        <w:rPr>
          <w:rFonts w:ascii="Times New Roman" w:hAnsi="Times New Roman" w:cs="Times New Roman"/>
        </w:rPr>
        <w:t>s. The</w:t>
      </w:r>
      <w:r w:rsidRPr="00BC7BB5">
        <w:rPr>
          <w:rFonts w:ascii="Times New Roman" w:hAnsi="Times New Roman" w:cs="Times New Roman"/>
        </w:rPr>
        <w:t xml:space="preserve"> files </w:t>
      </w:r>
      <w:r w:rsidR="0060509E" w:rsidRPr="00BC7BB5">
        <w:rPr>
          <w:rFonts w:ascii="Times New Roman" w:hAnsi="Times New Roman" w:cs="Times New Roman"/>
        </w:rPr>
        <w:t>submitted to the one-stop-window</w:t>
      </w:r>
      <w:r w:rsidRPr="00BC7BB5">
        <w:rPr>
          <w:rFonts w:ascii="Times New Roman" w:hAnsi="Times New Roman" w:cs="Times New Roman"/>
        </w:rPr>
        <w:t xml:space="preserve">s during the application for </w:t>
      </w:r>
      <w:r w:rsidR="00330162">
        <w:rPr>
          <w:rFonts w:ascii="Times New Roman" w:hAnsi="Times New Roman" w:cs="Times New Roman"/>
        </w:rPr>
        <w:t>FDA incentives for tho</w:t>
      </w:r>
      <w:r w:rsidRPr="00BC7BB5">
        <w:rPr>
          <w:rFonts w:ascii="Times New Roman" w:hAnsi="Times New Roman" w:cs="Times New Roman"/>
        </w:rPr>
        <w:t xml:space="preserve">se activities will include a letter of commitment from the project proponent that </w:t>
      </w:r>
      <w:r w:rsidR="00330162">
        <w:rPr>
          <w:rFonts w:ascii="Times New Roman" w:hAnsi="Times New Roman" w:cs="Times New Roman"/>
        </w:rPr>
        <w:t>will specify</w:t>
      </w:r>
      <w:r w:rsidRPr="00BC7BB5">
        <w:rPr>
          <w:rFonts w:ascii="Times New Roman" w:hAnsi="Times New Roman" w:cs="Times New Roman"/>
        </w:rPr>
        <w:t xml:space="preserve"> its commitment to apply and comply with the national laws a</w:t>
      </w:r>
      <w:r w:rsidR="00330162">
        <w:rPr>
          <w:rFonts w:ascii="Times New Roman" w:hAnsi="Times New Roman" w:cs="Times New Roman"/>
        </w:rPr>
        <w:t>nd regulations that apply to this</w:t>
      </w:r>
      <w:r w:rsidRPr="00BC7BB5">
        <w:rPr>
          <w:rFonts w:ascii="Times New Roman" w:hAnsi="Times New Roman" w:cs="Times New Roman"/>
        </w:rPr>
        <w:t xml:space="preserve"> activity. These laws and regulations are: (a) Law No. 11-03 on the protection and enhancement of the environment, (b) Decree 6199 of 28/19/2013 which sets the general limit values ​​for rejection, and (c) Law 28-00 on Waste Management and Disposal. The monitoring and supervis</w:t>
      </w:r>
      <w:r w:rsidR="00330162">
        <w:rPr>
          <w:rFonts w:ascii="Times New Roman" w:hAnsi="Times New Roman" w:cs="Times New Roman"/>
        </w:rPr>
        <w:t>ion of the implementation of tho</w:t>
      </w:r>
      <w:r w:rsidRPr="00BC7BB5">
        <w:rPr>
          <w:rFonts w:ascii="Times New Roman" w:hAnsi="Times New Roman" w:cs="Times New Roman"/>
        </w:rPr>
        <w:t xml:space="preserve">se regulations </w:t>
      </w:r>
      <w:r w:rsidR="002B2E1A">
        <w:rPr>
          <w:rFonts w:ascii="Times New Roman" w:hAnsi="Times New Roman" w:cs="Times New Roman"/>
        </w:rPr>
        <w:t xml:space="preserve">during construction </w:t>
      </w:r>
      <w:r w:rsidRPr="00BC7BB5">
        <w:rPr>
          <w:rFonts w:ascii="Times New Roman" w:hAnsi="Times New Roman" w:cs="Times New Roman"/>
        </w:rPr>
        <w:t>is the responsibility of the municipalities in a</w:t>
      </w:r>
      <w:r w:rsidR="00330162">
        <w:rPr>
          <w:rFonts w:ascii="Times New Roman" w:hAnsi="Times New Roman" w:cs="Times New Roman"/>
        </w:rPr>
        <w:t>ccordance with L</w:t>
      </w:r>
      <w:r w:rsidRPr="00BC7BB5">
        <w:rPr>
          <w:rFonts w:ascii="Times New Roman" w:hAnsi="Times New Roman" w:cs="Times New Roman"/>
        </w:rPr>
        <w:t>aw 113-14 relating to municipalities. In addition, upon notification of the request for prior authorization, MAPMDREF will send a letter to the president of the municipality which houses the activity inviting him</w:t>
      </w:r>
      <w:r w:rsidR="00330162">
        <w:rPr>
          <w:rFonts w:ascii="Times New Roman" w:hAnsi="Times New Roman" w:cs="Times New Roman"/>
        </w:rPr>
        <w:t>/her</w:t>
      </w:r>
      <w:r w:rsidRPr="00BC7BB5">
        <w:rPr>
          <w:rFonts w:ascii="Times New Roman" w:hAnsi="Times New Roman" w:cs="Times New Roman"/>
        </w:rPr>
        <w:t xml:space="preserve"> to monitor and control the aspects relating to the safety of the construction site, the application of environmental regulations and the sharing of monitoring and control reports with </w:t>
      </w:r>
      <w:r w:rsidR="001E2808" w:rsidRPr="00BC7BB5">
        <w:rPr>
          <w:rFonts w:ascii="Times New Roman" w:hAnsi="Times New Roman" w:cs="Times New Roman"/>
        </w:rPr>
        <w:t>the Program’s environmental and social focal point</w:t>
      </w:r>
      <w:r w:rsidRPr="00BC7BB5">
        <w:rPr>
          <w:rFonts w:ascii="Times New Roman" w:hAnsi="Times New Roman" w:cs="Times New Roman"/>
        </w:rPr>
        <w:t xml:space="preserve">. </w:t>
      </w:r>
      <w:r w:rsidR="002B2E1A">
        <w:rPr>
          <w:rFonts w:ascii="Times New Roman" w:hAnsi="Times New Roman" w:cs="Times New Roman"/>
        </w:rPr>
        <w:t xml:space="preserve">In the operational phase, the </w:t>
      </w:r>
      <w:r w:rsidR="00312192" w:rsidRPr="00443CCD">
        <w:rPr>
          <w:rFonts w:ascii="Times New Roman" w:hAnsi="Times New Roman"/>
        </w:rPr>
        <w:t>State Secretariat for Sustainable Development</w:t>
      </w:r>
      <w:r w:rsidR="00312192">
        <w:rPr>
          <w:rFonts w:ascii="Times New Roman" w:hAnsi="Times New Roman" w:cs="Times New Roman"/>
        </w:rPr>
        <w:t xml:space="preserve"> </w:t>
      </w:r>
      <w:r w:rsidR="002B2E1A">
        <w:rPr>
          <w:rFonts w:ascii="Times New Roman" w:hAnsi="Times New Roman" w:cs="Times New Roman"/>
        </w:rPr>
        <w:t>ha</w:t>
      </w:r>
      <w:r w:rsidR="000A1436">
        <w:rPr>
          <w:rFonts w:ascii="Times New Roman" w:hAnsi="Times New Roman" w:cs="Times New Roman"/>
        </w:rPr>
        <w:t>s</w:t>
      </w:r>
      <w:r w:rsidR="002B2E1A">
        <w:rPr>
          <w:rFonts w:ascii="Times New Roman" w:hAnsi="Times New Roman" w:cs="Times New Roman"/>
        </w:rPr>
        <w:t xml:space="preserve"> agreed to put in place a control plan </w:t>
      </w:r>
      <w:r w:rsidR="000A1436">
        <w:rPr>
          <w:rFonts w:ascii="Times New Roman" w:hAnsi="Times New Roman" w:cs="Times New Roman"/>
        </w:rPr>
        <w:t xml:space="preserve">for the </w:t>
      </w:r>
      <w:r w:rsidR="002B2E1A">
        <w:rPr>
          <w:rFonts w:ascii="Times New Roman" w:hAnsi="Times New Roman" w:cs="Times New Roman"/>
        </w:rPr>
        <w:t>units supported by the Program to ensure their compliance with environmental regulations</w:t>
      </w:r>
      <w:r w:rsidR="00872A4E">
        <w:rPr>
          <w:rFonts w:ascii="Times New Roman" w:hAnsi="Times New Roman" w:cs="Times New Roman"/>
        </w:rPr>
        <w:t>,</w:t>
      </w:r>
      <w:r w:rsidR="002B2E1A">
        <w:rPr>
          <w:rFonts w:ascii="Times New Roman" w:hAnsi="Times New Roman" w:cs="Times New Roman"/>
        </w:rPr>
        <w:t xml:space="preserve"> in particular </w:t>
      </w:r>
      <w:r w:rsidR="000A1436">
        <w:rPr>
          <w:rFonts w:ascii="Times New Roman" w:hAnsi="Times New Roman" w:cs="Times New Roman"/>
        </w:rPr>
        <w:t>with regards to</w:t>
      </w:r>
      <w:r w:rsidR="002B2E1A">
        <w:rPr>
          <w:rFonts w:ascii="Times New Roman" w:hAnsi="Times New Roman" w:cs="Times New Roman"/>
        </w:rPr>
        <w:t xml:space="preserve"> water </w:t>
      </w:r>
      <w:r w:rsidR="000A1436">
        <w:rPr>
          <w:rFonts w:ascii="Times New Roman" w:hAnsi="Times New Roman" w:cs="Times New Roman"/>
        </w:rPr>
        <w:t>management</w:t>
      </w:r>
      <w:r w:rsidR="002B2E1A">
        <w:rPr>
          <w:rFonts w:ascii="Times New Roman" w:hAnsi="Times New Roman" w:cs="Times New Roman"/>
        </w:rPr>
        <w:t xml:space="preserve"> and waste management. </w:t>
      </w:r>
      <w:r w:rsidRPr="00BC7BB5">
        <w:rPr>
          <w:rFonts w:ascii="Times New Roman" w:hAnsi="Times New Roman" w:cs="Times New Roman"/>
        </w:rPr>
        <w:t>Those procedures will be described in the P</w:t>
      </w:r>
      <w:r w:rsidR="00164F90">
        <w:rPr>
          <w:rFonts w:ascii="Times New Roman" w:hAnsi="Times New Roman" w:cs="Times New Roman"/>
        </w:rPr>
        <w:t>rogram's Environmental and Social Technical M</w:t>
      </w:r>
      <w:r w:rsidRPr="00BC7BB5">
        <w:rPr>
          <w:rFonts w:ascii="Times New Roman" w:hAnsi="Times New Roman" w:cs="Times New Roman"/>
        </w:rPr>
        <w:t>anual.</w:t>
      </w:r>
    </w:p>
    <w:p w14:paraId="485C72DC" w14:textId="77777777" w:rsidR="002D0F82" w:rsidRPr="00BC7BB5" w:rsidRDefault="002D0F82" w:rsidP="002D0F82">
      <w:pPr>
        <w:pStyle w:val="ListParagraph"/>
        <w:spacing w:after="0" w:line="240" w:lineRule="auto"/>
        <w:rPr>
          <w:rFonts w:ascii="Times New Roman" w:hAnsi="Times New Roman" w:cs="Times New Roman"/>
        </w:rPr>
      </w:pPr>
    </w:p>
    <w:p w14:paraId="1DAF425B" w14:textId="638ABB16" w:rsidR="002D0F82" w:rsidRPr="00BC7BB5" w:rsidRDefault="002D0F82" w:rsidP="002D0F82">
      <w:pPr>
        <w:pStyle w:val="NoSpacing"/>
        <w:numPr>
          <w:ilvl w:val="0"/>
          <w:numId w:val="7"/>
        </w:numPr>
        <w:ind w:left="0" w:firstLine="0"/>
        <w:jc w:val="both"/>
        <w:rPr>
          <w:rFonts w:ascii="Times New Roman" w:hAnsi="Times New Roman" w:cs="Times New Roman"/>
        </w:rPr>
      </w:pPr>
      <w:r w:rsidRPr="00BC7BB5">
        <w:rPr>
          <w:rFonts w:ascii="Times New Roman" w:hAnsi="Times New Roman" w:cs="Times New Roman"/>
          <w:b/>
        </w:rPr>
        <w:t>Climate change mitigation and adaptation</w:t>
      </w:r>
      <w:r w:rsidRPr="00BC7BB5">
        <w:rPr>
          <w:rFonts w:ascii="Times New Roman" w:hAnsi="Times New Roman" w:cs="Times New Roman"/>
          <w:i/>
        </w:rPr>
        <w:t>.</w:t>
      </w:r>
      <w:r w:rsidRPr="00BC7BB5">
        <w:rPr>
          <w:rFonts w:ascii="Times New Roman" w:hAnsi="Times New Roman" w:cs="Times New Roman"/>
        </w:rPr>
        <w:t xml:space="preserve"> Morocco’s strategy for climate change adaptation and mitigation in the agriculture sector, under the PMV, as reflected in its international commitments (such as its Intended National determined Contribution under the Paris Agreement), is based on the following actions: (a) the re-orientation of agricultural production from crops highly vulnerable to climate change </w:t>
      </w:r>
      <w:r w:rsidRPr="00BC7BB5">
        <w:rPr>
          <w:rFonts w:ascii="Times New Roman" w:hAnsi="Times New Roman" w:cs="Times New Roman"/>
        </w:rPr>
        <w:lastRenderedPageBreak/>
        <w:t xml:space="preserve">towards those showing greater resilience and demonstrated mitigation co-benefits (such as olive cultivation), and (b) improving the efficiency of water use in agriculture. An estimation carried out by FAO in 2010 using the EX-ACT tool shows that the PMV as a whole would act as a net carbon sink. </w:t>
      </w:r>
      <w:r w:rsidR="00F95F91" w:rsidRPr="00BC7BB5">
        <w:rPr>
          <w:rFonts w:ascii="Times New Roman" w:hAnsi="Times New Roman" w:cs="Times New Roman"/>
          <w:color w:val="000000"/>
        </w:rPr>
        <w:t xml:space="preserve">In addition to the cross-cutting actions undertaken by the GoM to climate-proof agriculture under the PMV, all the interventions included in the proposed Program have been designed to include climate co-benefits, both on the adaptation and mitigation sides. Hence, by strengthening agri-food value chains overall, the Program will be key to ensuring that climate-smart agricultural activities at the production level will be sustained over time, thus contributing to the achievement of Morocco’s NDC targets in agriculture—which are principally focused on agricultural production </w:t>
      </w:r>
      <w:r w:rsidR="00F95F91" w:rsidRPr="00BC7BB5">
        <w:rPr>
          <w:rFonts w:ascii="Times New Roman" w:hAnsi="Times New Roman" w:cs="Times New Roman"/>
        </w:rPr>
        <w:t>(Annex 4).</w:t>
      </w:r>
    </w:p>
    <w:p w14:paraId="67916E21" w14:textId="77777777" w:rsidR="002D0F82" w:rsidRPr="00BC7BB5" w:rsidRDefault="002D0F82" w:rsidP="002D0F82">
      <w:pPr>
        <w:pStyle w:val="NoSpacing"/>
        <w:jc w:val="both"/>
        <w:rPr>
          <w:rFonts w:ascii="Times New Roman" w:hAnsi="Times New Roman" w:cs="Times New Roman"/>
        </w:rPr>
      </w:pPr>
    </w:p>
    <w:p w14:paraId="513AD65B" w14:textId="2632D105" w:rsidR="002D0F82" w:rsidRDefault="00872A4E" w:rsidP="002D0F82">
      <w:pPr>
        <w:pStyle w:val="NoSpacing"/>
        <w:numPr>
          <w:ilvl w:val="0"/>
          <w:numId w:val="7"/>
        </w:numPr>
        <w:ind w:left="0" w:firstLine="0"/>
        <w:jc w:val="both"/>
        <w:rPr>
          <w:rFonts w:ascii="Times New Roman" w:hAnsi="Times New Roman" w:cs="Times New Roman"/>
        </w:rPr>
      </w:pPr>
      <w:r w:rsidRPr="00872A4E">
        <w:rPr>
          <w:rFonts w:ascii="Times New Roman" w:hAnsi="Times New Roman" w:cs="Times New Roman"/>
          <w:b/>
        </w:rPr>
        <w:t>Grievance redress service.</w:t>
      </w:r>
      <w:r>
        <w:rPr>
          <w:rFonts w:ascii="Times New Roman" w:hAnsi="Times New Roman" w:cs="Times New Roman"/>
        </w:rPr>
        <w:t xml:space="preserve"> </w:t>
      </w:r>
      <w:r w:rsidR="002D0F82" w:rsidRPr="00BC7BB5">
        <w:rPr>
          <w:rFonts w:ascii="Times New Roman" w:hAnsi="Times New Roman" w:cs="Times New Roman"/>
        </w:rPr>
        <w:t xml:space="preserve">Communities and individuals who believe that they are adversely affected as a result of a Bank supported </w:t>
      </w:r>
      <w:r w:rsidR="0065360D">
        <w:rPr>
          <w:rFonts w:ascii="Times New Roman" w:hAnsi="Times New Roman" w:cs="Times New Roman"/>
        </w:rPr>
        <w:t>P</w:t>
      </w:r>
      <w:r>
        <w:rPr>
          <w:rFonts w:ascii="Times New Roman" w:hAnsi="Times New Roman" w:cs="Times New Roman"/>
        </w:rPr>
        <w:t>f</w:t>
      </w:r>
      <w:r w:rsidR="0065360D">
        <w:rPr>
          <w:rFonts w:ascii="Times New Roman" w:hAnsi="Times New Roman" w:cs="Times New Roman"/>
        </w:rPr>
        <w:t>or</w:t>
      </w:r>
      <w:r w:rsidR="00FE4DD8">
        <w:rPr>
          <w:rFonts w:ascii="Times New Roman" w:hAnsi="Times New Roman" w:cs="Times New Roman"/>
        </w:rPr>
        <w:t>R</w:t>
      </w:r>
      <w:r w:rsidR="002D0F82" w:rsidRPr="00BC7BB5">
        <w:rPr>
          <w:rFonts w:ascii="Times New Roman" w:hAnsi="Times New Roman" w:cs="Times New Roman"/>
        </w:rPr>
        <w:t xml:space="preserve"> operation, as defined by the applicable policy and procedures, may submit complaints to the existing program grievance redress mechanism or the WB</w:t>
      </w:r>
      <w:r w:rsidR="002D0F82" w:rsidRPr="00BC7BB5">
        <w:rPr>
          <w:rFonts w:ascii="Times New Roman" w:hAnsi="Times New Roman" w:cs="Times New Roman"/>
        </w:rPr>
        <w:fldChar w:fldCharType="begin"/>
      </w:r>
      <w:r w:rsidR="002D0F82" w:rsidRPr="00BC7BB5">
        <w:instrText xml:space="preserve"> XE "</w:instrText>
      </w:r>
      <w:r w:rsidR="002D0F82" w:rsidRPr="00BC7BB5">
        <w:rPr>
          <w:rFonts w:ascii="Times New Roman" w:hAnsi="Times New Roman" w:cs="Times New Roman"/>
        </w:rPr>
        <w:instrText>WB:</w:instrText>
      </w:r>
      <w:r w:rsidR="002D0F82" w:rsidRPr="00BC7BB5">
        <w:instrText xml:space="preserve">World Bank" </w:instrText>
      </w:r>
      <w:r w:rsidR="002D0F82" w:rsidRPr="00BC7BB5">
        <w:rPr>
          <w:rFonts w:ascii="Times New Roman" w:hAnsi="Times New Roman" w:cs="Times New Roman"/>
        </w:rPr>
        <w:fldChar w:fldCharType="end"/>
      </w:r>
      <w:r w:rsidR="002D0F82" w:rsidRPr="00BC7BB5">
        <w:rPr>
          <w:rFonts w:ascii="Times New Roman" w:hAnsi="Times New Roman" w:cs="Times New Roman"/>
        </w:rPr>
        <w:t>’s Grievance Redress Service (GRS</w:t>
      </w:r>
      <w:r w:rsidR="002D0F82" w:rsidRPr="00BC7BB5">
        <w:rPr>
          <w:rFonts w:ascii="Times New Roman" w:hAnsi="Times New Roman" w:cs="Times New Roman"/>
        </w:rPr>
        <w:fldChar w:fldCharType="begin"/>
      </w:r>
      <w:r w:rsidR="002D0F82" w:rsidRPr="00BC7BB5">
        <w:instrText xml:space="preserve"> XE "</w:instrText>
      </w:r>
      <w:r w:rsidR="002D0F82" w:rsidRPr="00BC7BB5">
        <w:rPr>
          <w:rFonts w:ascii="Times New Roman" w:hAnsi="Times New Roman" w:cs="Times New Roman"/>
        </w:rPr>
        <w:instrText>GRS:</w:instrText>
      </w:r>
      <w:r w:rsidR="002D0F82" w:rsidRPr="00BC7BB5">
        <w:instrText xml:space="preserve">Grievance Redress Service" </w:instrText>
      </w:r>
      <w:r w:rsidR="002D0F82" w:rsidRPr="00BC7BB5">
        <w:rPr>
          <w:rFonts w:ascii="Times New Roman" w:hAnsi="Times New Roman" w:cs="Times New Roman"/>
        </w:rPr>
        <w:fldChar w:fldCharType="end"/>
      </w:r>
      <w:r w:rsidR="002D0F82" w:rsidRPr="00BC7BB5">
        <w:rPr>
          <w:rFonts w:ascii="Times New Roman" w:hAnsi="Times New Roman" w:cs="Times New Roman"/>
        </w:rPr>
        <w:t>). The GRS ensures that complaints received are promptly reviewed in order to address pertinent concerns. Affected communities and individuals may submit their complaint to the WB’s independent Inspection Panel which determines whether harm occurred, or could occur, as a result of WB non-compliance with its policies and procedures. Complaints may be submitted at any time after concerns have been brought directly to the World Bank's attention, and Bank Management has been given an opportunity to respond.  For information on how to submit complaints to the World Bank’s corporate Grievance Redress Service (GRS</w:t>
      </w:r>
      <w:r w:rsidR="001F787B">
        <w:rPr>
          <w:rFonts w:ascii="Times New Roman" w:hAnsi="Times New Roman" w:cs="Times New Roman"/>
        </w:rPr>
        <w:fldChar w:fldCharType="begin"/>
      </w:r>
      <w:r w:rsidR="001F787B">
        <w:instrText xml:space="preserve"> XE "</w:instrText>
      </w:r>
      <w:r w:rsidR="001F787B" w:rsidRPr="00464A05">
        <w:rPr>
          <w:rFonts w:ascii="Times New Roman" w:hAnsi="Times New Roman" w:cs="Times New Roman"/>
        </w:rPr>
        <w:instrText>GRS:</w:instrText>
      </w:r>
      <w:r w:rsidR="001F787B" w:rsidRPr="00464A05">
        <w:instrText>Grievance Redress Service</w:instrText>
      </w:r>
      <w:r w:rsidR="001F787B">
        <w:instrText xml:space="preserve">" </w:instrText>
      </w:r>
      <w:r w:rsidR="001F787B">
        <w:rPr>
          <w:rFonts w:ascii="Times New Roman" w:hAnsi="Times New Roman" w:cs="Times New Roman"/>
        </w:rPr>
        <w:fldChar w:fldCharType="end"/>
      </w:r>
      <w:r w:rsidR="002D0F82" w:rsidRPr="00BC7BB5">
        <w:rPr>
          <w:rFonts w:ascii="Times New Roman" w:hAnsi="Times New Roman" w:cs="Times New Roman"/>
        </w:rPr>
        <w:t xml:space="preserve">), please visit </w:t>
      </w:r>
      <w:hyperlink r:id="rId17" w:history="1">
        <w:r w:rsidR="002D0F82" w:rsidRPr="00BC7BB5">
          <w:rPr>
            <w:rFonts w:ascii="Times New Roman" w:hAnsi="Times New Roman" w:cs="Times New Roman"/>
          </w:rPr>
          <w:t>http://www.worldbank.org/GRS</w:t>
        </w:r>
      </w:hyperlink>
      <w:r w:rsidR="002D0F82" w:rsidRPr="00BC7BB5">
        <w:rPr>
          <w:rFonts w:ascii="Times New Roman" w:hAnsi="Times New Roman" w:cs="Times New Roman"/>
        </w:rPr>
        <w:t xml:space="preserve">. For information on how to submit complaints to the World Bank Inspection Panel, please visit </w:t>
      </w:r>
      <w:hyperlink r:id="rId18" w:history="1">
        <w:r w:rsidR="002D0F82" w:rsidRPr="00BC7BB5">
          <w:rPr>
            <w:rFonts w:ascii="Times New Roman" w:hAnsi="Times New Roman" w:cs="Times New Roman"/>
          </w:rPr>
          <w:t>www.inspectionpanel.org</w:t>
        </w:r>
      </w:hyperlink>
      <w:r w:rsidR="002D0F82" w:rsidRPr="00BC7BB5">
        <w:rPr>
          <w:rFonts w:ascii="Times New Roman" w:hAnsi="Times New Roman" w:cs="Times New Roman"/>
        </w:rPr>
        <w:t>.</w:t>
      </w:r>
    </w:p>
    <w:p w14:paraId="67C1B874" w14:textId="77777777" w:rsidR="00185373" w:rsidRDefault="00185373" w:rsidP="00185373">
      <w:pPr>
        <w:pStyle w:val="NoSpacing"/>
        <w:jc w:val="both"/>
        <w:rPr>
          <w:rFonts w:ascii="Times New Roman" w:hAnsi="Times New Roman" w:cs="Times New Roman"/>
        </w:rPr>
      </w:pPr>
    </w:p>
    <w:p w14:paraId="5723CD5F" w14:textId="245DC516" w:rsidR="00185373" w:rsidRPr="00151327" w:rsidRDefault="00185373" w:rsidP="00185373">
      <w:pPr>
        <w:pStyle w:val="ListParagraph"/>
        <w:numPr>
          <w:ilvl w:val="0"/>
          <w:numId w:val="7"/>
        </w:numPr>
        <w:spacing w:after="0" w:line="240" w:lineRule="auto"/>
        <w:ind w:left="0" w:firstLine="29"/>
        <w:jc w:val="both"/>
        <w:rPr>
          <w:rFonts w:ascii="Times New Roman" w:hAnsi="Times New Roman" w:cs="Times New Roman"/>
        </w:rPr>
      </w:pPr>
      <w:r w:rsidRPr="00151327">
        <w:rPr>
          <w:rFonts w:ascii="Times New Roman" w:hAnsi="Times New Roman" w:cs="Times New Roman"/>
          <w:color w:val="222222"/>
          <w:lang w:val="en"/>
        </w:rPr>
        <w:t xml:space="preserve">Morocco has numerous institutions responsible for hearings and grievance redress. The existence of grievance and appeal mechanisms and their recent promotion at the constitutional level give them the necessary independence and financial autonomy, and reinforce their power of self-referral. The World Bank’s </w:t>
      </w:r>
      <w:r w:rsidRPr="00151327">
        <w:rPr>
          <w:rFonts w:ascii="Times New Roman" w:hAnsi="Times New Roman" w:cs="Times New Roman"/>
        </w:rPr>
        <w:t>corporate Grievance Redress Service</w:t>
      </w:r>
      <w:r w:rsidRPr="00151327">
        <w:rPr>
          <w:rFonts w:ascii="Times New Roman" w:hAnsi="Times New Roman" w:cs="Times New Roman"/>
          <w:color w:val="222222"/>
          <w:lang w:val="en"/>
        </w:rPr>
        <w:t xml:space="preserve"> does not affect the solidity of the Moroccan grievance redress system.</w:t>
      </w:r>
    </w:p>
    <w:p w14:paraId="53B2A1F6" w14:textId="77777777" w:rsidR="00B66636" w:rsidRPr="00BC7BB5" w:rsidRDefault="00B66636" w:rsidP="00152B18">
      <w:pPr>
        <w:pStyle w:val="NoSpacing"/>
        <w:ind w:left="360"/>
        <w:rPr>
          <w:rFonts w:ascii="Times New Roman" w:hAnsi="Times New Roman" w:cs="Times New Roman"/>
        </w:rPr>
      </w:pPr>
    </w:p>
    <w:p w14:paraId="53B2A1FA" w14:textId="0DFB0FC5" w:rsidR="00B66636" w:rsidRPr="00BC7BB5" w:rsidRDefault="00B90BA1" w:rsidP="00F561E8">
      <w:pPr>
        <w:pStyle w:val="NoSpacing"/>
        <w:numPr>
          <w:ilvl w:val="0"/>
          <w:numId w:val="29"/>
        </w:numPr>
        <w:ind w:left="0" w:firstLine="0"/>
        <w:outlineLvl w:val="1"/>
        <w:rPr>
          <w:rFonts w:ascii="Times New Roman Bold" w:hAnsi="Times New Roman Bold" w:cs="Times New Roman"/>
          <w:b/>
          <w:smallCaps/>
        </w:rPr>
      </w:pPr>
      <w:bookmarkStart w:id="20" w:name="_Toc499113409"/>
      <w:r w:rsidRPr="00BC7BB5">
        <w:rPr>
          <w:rFonts w:ascii="Times New Roman Bold" w:hAnsi="Times New Roman Bold" w:cs="Times New Roman"/>
          <w:b/>
          <w:smallCaps/>
        </w:rPr>
        <w:t>Risk Assessment</w:t>
      </w:r>
      <w:bookmarkEnd w:id="20"/>
    </w:p>
    <w:p w14:paraId="53B2A1FB" w14:textId="77777777" w:rsidR="002B77E0" w:rsidRPr="00BC7BB5" w:rsidRDefault="002B77E0" w:rsidP="002B77E0">
      <w:pPr>
        <w:pStyle w:val="NoSpacing"/>
        <w:ind w:left="720"/>
        <w:rPr>
          <w:rFonts w:ascii="Times New Roman" w:hAnsi="Times New Roman" w:cs="Times New Roman"/>
        </w:rPr>
      </w:pPr>
    </w:p>
    <w:p w14:paraId="529BE1DC" w14:textId="30D03488" w:rsidR="00D60280" w:rsidRPr="00BC7BB5" w:rsidRDefault="00595E3A" w:rsidP="00B35A06">
      <w:pPr>
        <w:pStyle w:val="NoSpacing"/>
        <w:numPr>
          <w:ilvl w:val="0"/>
          <w:numId w:val="7"/>
        </w:numPr>
        <w:ind w:left="0" w:firstLine="0"/>
        <w:jc w:val="both"/>
        <w:rPr>
          <w:rFonts w:ascii="Times New Roman" w:hAnsi="Times New Roman" w:cs="Times New Roman"/>
          <w:iCs/>
        </w:rPr>
      </w:pPr>
      <w:r w:rsidRPr="00BC7BB5">
        <w:rPr>
          <w:rFonts w:ascii="Times New Roman" w:hAnsi="Times New Roman" w:cs="Times New Roman"/>
          <w:iCs/>
        </w:rPr>
        <w:t>Th</w:t>
      </w:r>
      <w:r w:rsidR="003043D6" w:rsidRPr="00BC7BB5">
        <w:rPr>
          <w:rFonts w:ascii="Times New Roman" w:hAnsi="Times New Roman" w:cs="Times New Roman"/>
          <w:iCs/>
        </w:rPr>
        <w:t xml:space="preserve">e overall risk for the proposed Program is </w:t>
      </w:r>
      <w:r w:rsidR="00872A4E" w:rsidRPr="00346E70">
        <w:rPr>
          <w:rFonts w:ascii="Times New Roman" w:hAnsi="Times New Roman" w:cs="Times New Roman"/>
          <w:iCs/>
        </w:rPr>
        <w:t>s</w:t>
      </w:r>
      <w:r w:rsidR="00D9553E" w:rsidRPr="00346E70">
        <w:rPr>
          <w:rFonts w:ascii="Times New Roman" w:hAnsi="Times New Roman" w:cs="Times New Roman"/>
          <w:iCs/>
        </w:rPr>
        <w:t>ubstantial</w:t>
      </w:r>
      <w:r w:rsidR="00872A4E">
        <w:rPr>
          <w:rFonts w:ascii="Times New Roman" w:hAnsi="Times New Roman" w:cs="Times New Roman"/>
          <w:iCs/>
        </w:rPr>
        <w:t xml:space="preserve">, driven by </w:t>
      </w:r>
      <w:r w:rsidR="00E3028E">
        <w:rPr>
          <w:rFonts w:ascii="Times New Roman" w:hAnsi="Times New Roman" w:cs="Times New Roman"/>
          <w:iCs/>
        </w:rPr>
        <w:t>i</w:t>
      </w:r>
      <w:r w:rsidR="0080482B" w:rsidRPr="00BC7BB5">
        <w:rPr>
          <w:rFonts w:ascii="Times New Roman" w:hAnsi="Times New Roman" w:cs="Times New Roman"/>
          <w:iCs/>
        </w:rPr>
        <w:t>nstitutional</w:t>
      </w:r>
      <w:r w:rsidR="00872A4E">
        <w:rPr>
          <w:rFonts w:ascii="Times New Roman" w:hAnsi="Times New Roman" w:cs="Times New Roman"/>
          <w:iCs/>
        </w:rPr>
        <w:t xml:space="preserve"> capacity</w:t>
      </w:r>
      <w:r w:rsidR="0080482B" w:rsidRPr="00BC7BB5">
        <w:rPr>
          <w:rFonts w:ascii="Times New Roman" w:hAnsi="Times New Roman" w:cs="Times New Roman"/>
          <w:iCs/>
        </w:rPr>
        <w:t xml:space="preserve">, </w:t>
      </w:r>
      <w:r w:rsidR="003043D6" w:rsidRPr="00BC7BB5">
        <w:rPr>
          <w:rFonts w:ascii="Times New Roman" w:hAnsi="Times New Roman" w:cs="Times New Roman"/>
          <w:iCs/>
        </w:rPr>
        <w:t>technical</w:t>
      </w:r>
      <w:r w:rsidR="007A1B8D" w:rsidRPr="00BC7BB5">
        <w:rPr>
          <w:rFonts w:ascii="Times New Roman" w:hAnsi="Times New Roman" w:cs="Times New Roman"/>
          <w:iCs/>
        </w:rPr>
        <w:t xml:space="preserve">, </w:t>
      </w:r>
      <w:r w:rsidR="00106D44">
        <w:rPr>
          <w:rFonts w:ascii="Times New Roman" w:hAnsi="Times New Roman" w:cs="Times New Roman"/>
          <w:iCs/>
        </w:rPr>
        <w:t>environmental and social,</w:t>
      </w:r>
      <w:r w:rsidR="00106D44" w:rsidRPr="00BC7BB5">
        <w:rPr>
          <w:rFonts w:ascii="Times New Roman" w:hAnsi="Times New Roman" w:cs="Times New Roman"/>
          <w:iCs/>
        </w:rPr>
        <w:t xml:space="preserve"> </w:t>
      </w:r>
      <w:r w:rsidR="003043D6" w:rsidRPr="00BC7BB5">
        <w:rPr>
          <w:rFonts w:ascii="Times New Roman" w:hAnsi="Times New Roman" w:cs="Times New Roman"/>
          <w:iCs/>
        </w:rPr>
        <w:t xml:space="preserve">and fiduciary risks. </w:t>
      </w:r>
      <w:r w:rsidR="00872A4E" w:rsidRPr="00872A4E">
        <w:rPr>
          <w:rFonts w:asciiTheme="majorBidi" w:hAnsiTheme="majorBidi" w:cstheme="majorBidi"/>
          <w:iCs/>
        </w:rPr>
        <w:t xml:space="preserve">The institutional capacity for implementation and sustainability risk is substantial, reflecting the need for strong collaboration between the entities involved in Program implementation. This risk will be mitigated through </w:t>
      </w:r>
      <w:r w:rsidR="00872A4E">
        <w:rPr>
          <w:rFonts w:asciiTheme="majorBidi" w:hAnsiTheme="majorBidi" w:cstheme="majorBidi"/>
          <w:iCs/>
        </w:rPr>
        <w:t>establishment</w:t>
      </w:r>
      <w:r w:rsidR="00872A4E" w:rsidRPr="00872A4E">
        <w:rPr>
          <w:rFonts w:asciiTheme="majorBidi" w:hAnsiTheme="majorBidi" w:cstheme="majorBidi"/>
          <w:iCs/>
        </w:rPr>
        <w:t xml:space="preserve"> of a dedicated PMU to ensure coordination among implementing agencies, </w:t>
      </w:r>
      <w:r w:rsidR="00346E70">
        <w:rPr>
          <w:rFonts w:asciiTheme="majorBidi" w:hAnsiTheme="majorBidi" w:cstheme="majorBidi"/>
          <w:iCs/>
        </w:rPr>
        <w:t>and</w:t>
      </w:r>
      <w:r w:rsidR="004F6390" w:rsidRPr="00BC7BB5">
        <w:rPr>
          <w:rFonts w:ascii="Times New Roman" w:hAnsi="Times New Roman" w:cs="Times New Roman"/>
          <w:iCs/>
        </w:rPr>
        <w:t xml:space="preserve"> through capacity building activities incorporated into the Program design, the DLIs and the Program Action Plan. </w:t>
      </w:r>
      <w:r w:rsidR="00872A4E" w:rsidRPr="00C37270">
        <w:rPr>
          <w:rFonts w:asciiTheme="majorBidi" w:hAnsiTheme="majorBidi" w:cstheme="majorBidi"/>
          <w:iCs/>
        </w:rPr>
        <w:t>The technical design risk is substantial due to the innovative nature of some activities (e.g.</w:t>
      </w:r>
      <w:r w:rsidR="00872A4E">
        <w:rPr>
          <w:rFonts w:asciiTheme="majorBidi" w:hAnsiTheme="majorBidi" w:cstheme="majorBidi"/>
          <w:iCs/>
        </w:rPr>
        <w:t>,</w:t>
      </w:r>
      <w:r w:rsidR="00872A4E" w:rsidRPr="00C37270">
        <w:rPr>
          <w:rFonts w:asciiTheme="majorBidi" w:hAnsiTheme="majorBidi" w:cstheme="majorBidi"/>
          <w:iCs/>
        </w:rPr>
        <w:t xml:space="preserve"> the new management model for wholesale markets and the CIAs) in the context of Morocco. </w:t>
      </w:r>
      <w:r w:rsidR="00872A4E">
        <w:rPr>
          <w:rFonts w:asciiTheme="majorBidi" w:hAnsiTheme="majorBidi" w:cstheme="majorBidi"/>
          <w:iCs/>
        </w:rPr>
        <w:t>Risk m</w:t>
      </w:r>
      <w:r w:rsidR="00872A4E" w:rsidRPr="00C37270">
        <w:rPr>
          <w:rFonts w:asciiTheme="majorBidi" w:hAnsiTheme="majorBidi" w:cstheme="majorBidi"/>
          <w:iCs/>
        </w:rPr>
        <w:t>itigation measures include the provision of technical assistance to the DDFP, including though partner agencies (FAO). Other Program activities are a continuation of the existing program with low to moderate technical design risks</w:t>
      </w:r>
      <w:r w:rsidR="00462FFC" w:rsidRPr="00BC7BB5">
        <w:rPr>
          <w:rFonts w:ascii="Times New Roman" w:hAnsi="Times New Roman" w:cs="Times New Roman"/>
          <w:iCs/>
        </w:rPr>
        <w:t xml:space="preserve">. </w:t>
      </w:r>
      <w:r w:rsidR="004251EE" w:rsidRPr="00BC7BB5">
        <w:rPr>
          <w:rFonts w:ascii="Times New Roman" w:hAnsi="Times New Roman" w:cs="Times New Roman"/>
          <w:iCs/>
        </w:rPr>
        <w:t xml:space="preserve">Mitigation measures related to </w:t>
      </w:r>
      <w:r w:rsidR="007E2736" w:rsidRPr="00BC7BB5">
        <w:rPr>
          <w:rFonts w:ascii="Times New Roman" w:hAnsi="Times New Roman" w:cs="Times New Roman"/>
          <w:iCs/>
        </w:rPr>
        <w:t xml:space="preserve">the identified </w:t>
      </w:r>
      <w:r w:rsidR="00106D44">
        <w:rPr>
          <w:rFonts w:ascii="Times New Roman" w:hAnsi="Times New Roman" w:cs="Times New Roman"/>
          <w:iCs/>
        </w:rPr>
        <w:t>environmental and social</w:t>
      </w:r>
      <w:r w:rsidR="00106D44" w:rsidRPr="00BC7BB5">
        <w:rPr>
          <w:rFonts w:ascii="Times New Roman" w:hAnsi="Times New Roman" w:cs="Times New Roman"/>
          <w:iCs/>
        </w:rPr>
        <w:t xml:space="preserve"> </w:t>
      </w:r>
      <w:r w:rsidR="00694EAB" w:rsidRPr="00BC7BB5">
        <w:rPr>
          <w:rFonts w:ascii="Times New Roman" w:hAnsi="Times New Roman" w:cs="Times New Roman"/>
          <w:iCs/>
        </w:rPr>
        <w:t xml:space="preserve">risks </w:t>
      </w:r>
      <w:r w:rsidR="007E2736" w:rsidRPr="00BC7BB5">
        <w:rPr>
          <w:rFonts w:ascii="Times New Roman" w:hAnsi="Times New Roman" w:cs="Times New Roman"/>
          <w:iCs/>
        </w:rPr>
        <w:t>of</w:t>
      </w:r>
      <w:r w:rsidR="00694EAB" w:rsidRPr="00BC7BB5">
        <w:rPr>
          <w:rFonts w:ascii="Times New Roman" w:hAnsi="Times New Roman" w:cs="Times New Roman"/>
          <w:iCs/>
        </w:rPr>
        <w:t xml:space="preserve"> Program activities </w:t>
      </w:r>
      <w:r w:rsidR="004251EE" w:rsidRPr="00BC7BB5">
        <w:rPr>
          <w:rFonts w:ascii="Times New Roman" w:hAnsi="Times New Roman" w:cs="Times New Roman"/>
          <w:iCs/>
        </w:rPr>
        <w:t>(e.g.</w:t>
      </w:r>
      <w:r w:rsidR="00311F9D">
        <w:rPr>
          <w:rFonts w:ascii="Times New Roman" w:hAnsi="Times New Roman" w:cs="Times New Roman"/>
          <w:iCs/>
        </w:rPr>
        <w:t>,</w:t>
      </w:r>
      <w:r w:rsidR="004251EE" w:rsidRPr="00BC7BB5">
        <w:rPr>
          <w:rFonts w:ascii="Times New Roman" w:hAnsi="Times New Roman" w:cs="Times New Roman"/>
          <w:iCs/>
        </w:rPr>
        <w:t xml:space="preserve"> wholesale markets, olive mills) have been included in the Program design (including the Program Action Plan). </w:t>
      </w:r>
      <w:r w:rsidR="005B532D" w:rsidRPr="00BC7BB5">
        <w:rPr>
          <w:rFonts w:ascii="Times New Roman" w:hAnsi="Times New Roman" w:cs="Times New Roman"/>
          <w:iCs/>
        </w:rPr>
        <w:t xml:space="preserve">Fiduciary </w:t>
      </w:r>
      <w:r w:rsidR="00BE54AF" w:rsidRPr="00BC7BB5">
        <w:rPr>
          <w:rFonts w:ascii="Times New Roman" w:hAnsi="Times New Roman" w:cs="Times New Roman"/>
          <w:iCs/>
        </w:rPr>
        <w:t xml:space="preserve">risks </w:t>
      </w:r>
      <w:r w:rsidR="005B532D" w:rsidRPr="00BC7BB5">
        <w:rPr>
          <w:rFonts w:ascii="Times New Roman" w:hAnsi="Times New Roman" w:cs="Times New Roman"/>
          <w:iCs/>
        </w:rPr>
        <w:t>relate to the number of entities involved in Program implementation</w:t>
      </w:r>
      <w:r w:rsidR="00BE54AF" w:rsidRPr="00BC7BB5">
        <w:rPr>
          <w:rFonts w:ascii="Times New Roman" w:hAnsi="Times New Roman" w:cs="Times New Roman"/>
          <w:iCs/>
        </w:rPr>
        <w:t>.</w:t>
      </w:r>
      <w:r w:rsidR="005B532D" w:rsidRPr="00BC7BB5">
        <w:rPr>
          <w:rFonts w:ascii="Times New Roman" w:hAnsi="Times New Roman" w:cs="Times New Roman"/>
          <w:iCs/>
        </w:rPr>
        <w:t xml:space="preserve"> </w:t>
      </w:r>
      <w:r w:rsidR="00BE54AF" w:rsidRPr="00BC7BB5">
        <w:rPr>
          <w:rFonts w:ascii="Times New Roman" w:hAnsi="Times New Roman" w:cs="Times New Roman"/>
          <w:iCs/>
        </w:rPr>
        <w:t>Those risks</w:t>
      </w:r>
      <w:r w:rsidR="005B532D" w:rsidRPr="00BC7BB5">
        <w:rPr>
          <w:rFonts w:ascii="Times New Roman" w:hAnsi="Times New Roman" w:cs="Times New Roman"/>
          <w:iCs/>
        </w:rPr>
        <w:t xml:space="preserve"> will be mitigated through additional staffing of the PMU and </w:t>
      </w:r>
      <w:r w:rsidR="00BE54AF" w:rsidRPr="00BC7BB5">
        <w:rPr>
          <w:rFonts w:ascii="Times New Roman" w:hAnsi="Times New Roman" w:cs="Times New Roman"/>
          <w:iCs/>
        </w:rPr>
        <w:t xml:space="preserve">through </w:t>
      </w:r>
      <w:r w:rsidR="005B532D" w:rsidRPr="00BC7BB5">
        <w:rPr>
          <w:rFonts w:ascii="Times New Roman" w:hAnsi="Times New Roman" w:cs="Times New Roman"/>
          <w:iCs/>
        </w:rPr>
        <w:t>the establishment of an integrated financial management system by MAPMDREF.</w:t>
      </w:r>
    </w:p>
    <w:p w14:paraId="09C49AE3" w14:textId="53F1A7EE" w:rsidR="00872A4E" w:rsidRPr="00C37270" w:rsidRDefault="00872A4E" w:rsidP="00346E70">
      <w:pPr>
        <w:pStyle w:val="NoSpacing"/>
        <w:ind w:left="780"/>
        <w:jc w:val="both"/>
        <w:rPr>
          <w:rFonts w:asciiTheme="majorBidi" w:hAnsiTheme="majorBidi" w:cstheme="majorBidi"/>
          <w:iCs/>
        </w:rPr>
      </w:pPr>
    </w:p>
    <w:p w14:paraId="54DDA50B" w14:textId="772DA9C6" w:rsidR="00FC7790" w:rsidRPr="00346E70" w:rsidRDefault="00FC7790" w:rsidP="00346E70">
      <w:pPr>
        <w:spacing w:after="0" w:line="240" w:lineRule="auto"/>
        <w:jc w:val="both"/>
        <w:rPr>
          <w:rFonts w:ascii="Times New Roman" w:hAnsi="Times New Roman" w:cs="Times New Roman"/>
          <w:iCs/>
        </w:rPr>
      </w:pPr>
    </w:p>
    <w:p w14:paraId="53B2A21E" w14:textId="1DEF9A30" w:rsidR="00B66636" w:rsidRPr="00BC7BB5" w:rsidRDefault="008E6457" w:rsidP="00F561E8">
      <w:pPr>
        <w:pStyle w:val="NoSpacing"/>
        <w:numPr>
          <w:ilvl w:val="0"/>
          <w:numId w:val="29"/>
        </w:numPr>
        <w:ind w:left="0" w:firstLine="0"/>
        <w:outlineLvl w:val="1"/>
        <w:rPr>
          <w:rFonts w:ascii="Times New Roman Bold" w:hAnsi="Times New Roman Bold" w:cs="Times New Roman"/>
          <w:b/>
          <w:smallCaps/>
        </w:rPr>
      </w:pPr>
      <w:bookmarkStart w:id="21" w:name="_Toc499113410"/>
      <w:r w:rsidRPr="00BC7BB5">
        <w:rPr>
          <w:rFonts w:ascii="Times New Roman Bold" w:hAnsi="Times New Roman Bold" w:cs="Times New Roman"/>
          <w:b/>
          <w:smallCaps/>
        </w:rPr>
        <w:t>Program Action Plan</w:t>
      </w:r>
      <w:bookmarkEnd w:id="21"/>
      <w:r w:rsidRPr="00BC7BB5">
        <w:rPr>
          <w:rFonts w:ascii="Times New Roman Bold" w:hAnsi="Times New Roman Bold" w:cs="Times New Roman"/>
          <w:b/>
          <w:smallCaps/>
        </w:rPr>
        <w:t xml:space="preserve"> </w:t>
      </w:r>
    </w:p>
    <w:p w14:paraId="53B2A21F" w14:textId="77777777" w:rsidR="00A672F7" w:rsidRPr="00BC7BB5" w:rsidRDefault="00A672F7" w:rsidP="00B66636">
      <w:pPr>
        <w:pStyle w:val="NoSpacing"/>
        <w:ind w:left="360"/>
        <w:rPr>
          <w:rFonts w:ascii="Times New Roman" w:hAnsi="Times New Roman" w:cs="Times New Roman"/>
        </w:rPr>
      </w:pPr>
    </w:p>
    <w:p w14:paraId="53B2A220" w14:textId="7C544461" w:rsidR="00DF7330" w:rsidRPr="00BC7BB5" w:rsidRDefault="00CC4A30" w:rsidP="00B35A06">
      <w:pPr>
        <w:pStyle w:val="NoSpacing"/>
        <w:numPr>
          <w:ilvl w:val="0"/>
          <w:numId w:val="7"/>
        </w:numPr>
        <w:ind w:left="0" w:hanging="30"/>
        <w:jc w:val="both"/>
        <w:rPr>
          <w:rFonts w:ascii="Times New Roman" w:hAnsi="Times New Roman" w:cs="Times New Roman"/>
        </w:rPr>
      </w:pPr>
      <w:r w:rsidRPr="00BC7BB5">
        <w:rPr>
          <w:rFonts w:ascii="Times New Roman" w:hAnsi="Times New Roman" w:cs="Times New Roman"/>
        </w:rPr>
        <w:t>Based on the risk assessment, the Program Action Plan (PAP</w:t>
      </w:r>
      <w:r w:rsidRPr="00BC7BB5">
        <w:rPr>
          <w:rFonts w:ascii="Times New Roman" w:hAnsi="Times New Roman" w:cs="Times New Roman"/>
        </w:rPr>
        <w:fldChar w:fldCharType="begin"/>
      </w:r>
      <w:r w:rsidRPr="00BC7BB5">
        <w:instrText xml:space="preserve"> XE "</w:instrText>
      </w:r>
      <w:r w:rsidRPr="00BC7BB5">
        <w:rPr>
          <w:rFonts w:ascii="Times New Roman" w:hAnsi="Times New Roman" w:cs="Times New Roman"/>
        </w:rPr>
        <w:instrText>PAP:</w:instrText>
      </w:r>
      <w:r w:rsidRPr="00BC7BB5">
        <w:instrText xml:space="preserve">Program Action Plan" </w:instrText>
      </w:r>
      <w:r w:rsidRPr="00BC7BB5">
        <w:rPr>
          <w:rFonts w:ascii="Times New Roman" w:hAnsi="Times New Roman" w:cs="Times New Roman"/>
        </w:rPr>
        <w:fldChar w:fldCharType="end"/>
      </w:r>
      <w:r w:rsidRPr="00BC7BB5">
        <w:rPr>
          <w:rFonts w:ascii="Times New Roman" w:hAnsi="Times New Roman" w:cs="Times New Roman"/>
        </w:rPr>
        <w:t xml:space="preserve">) includes actions aimed at strengthening the capacity of implementing agencies in the following four areas: (a) Program management, (b) </w:t>
      </w:r>
      <w:r w:rsidR="00346E70">
        <w:rPr>
          <w:rFonts w:ascii="Times New Roman" w:hAnsi="Times New Roman" w:cs="Times New Roman"/>
        </w:rPr>
        <w:t>f</w:t>
      </w:r>
      <w:r w:rsidRPr="00BC7BB5">
        <w:rPr>
          <w:rFonts w:ascii="Times New Roman" w:hAnsi="Times New Roman" w:cs="Times New Roman"/>
        </w:rPr>
        <w:t xml:space="preserve">iduciary systems, (c) </w:t>
      </w:r>
      <w:r w:rsidR="00346E70">
        <w:rPr>
          <w:rFonts w:ascii="Times New Roman" w:hAnsi="Times New Roman" w:cs="Times New Roman"/>
        </w:rPr>
        <w:t>e</w:t>
      </w:r>
      <w:r w:rsidRPr="00BC7BB5">
        <w:rPr>
          <w:rFonts w:ascii="Times New Roman" w:hAnsi="Times New Roman" w:cs="Times New Roman"/>
        </w:rPr>
        <w:t>nvironmental and social management</w:t>
      </w:r>
      <w:r w:rsidR="00106D44">
        <w:rPr>
          <w:rFonts w:ascii="Times New Roman" w:hAnsi="Times New Roman" w:cs="Times New Roman"/>
        </w:rPr>
        <w:t>,</w:t>
      </w:r>
      <w:r w:rsidRPr="00BC7BB5">
        <w:rPr>
          <w:rFonts w:ascii="Times New Roman" w:hAnsi="Times New Roman" w:cs="Times New Roman"/>
        </w:rPr>
        <w:t xml:space="preserve"> and (d) Program monitoring and </w:t>
      </w:r>
      <w:r w:rsidRPr="00BC7BB5">
        <w:rPr>
          <w:rFonts w:ascii="Times New Roman" w:hAnsi="Times New Roman" w:cs="Times New Roman"/>
        </w:rPr>
        <w:lastRenderedPageBreak/>
        <w:t>evaluation. As such, it is focused on mitigating the most substantial risks identified with regards to Program implementation, which are</w:t>
      </w:r>
      <w:r w:rsidR="00346E70">
        <w:rPr>
          <w:rFonts w:ascii="Times New Roman" w:hAnsi="Times New Roman" w:cs="Times New Roman"/>
        </w:rPr>
        <w:t>:</w:t>
      </w:r>
      <w:r w:rsidRPr="00BC7BB5">
        <w:rPr>
          <w:rFonts w:ascii="Times New Roman" w:hAnsi="Times New Roman" w:cs="Times New Roman"/>
        </w:rPr>
        <w:t xml:space="preserve"> (a) inter-agency coordination and MAPMDREF’s staff resources to coordinate, manage, monitor and evaluate the Program, (b) weaknesses identified in the fiduciary systems and risks associated with the number of Program implementing entities, and (c) the need to increase the Program implementation entities capacity </w:t>
      </w:r>
      <w:r w:rsidR="00185AD1" w:rsidRPr="00BC7BB5">
        <w:rPr>
          <w:rFonts w:ascii="Times New Roman" w:hAnsi="Times New Roman" w:cs="Times New Roman"/>
        </w:rPr>
        <w:t>with regards to</w:t>
      </w:r>
      <w:r w:rsidRPr="00BC7BB5">
        <w:rPr>
          <w:rFonts w:ascii="Times New Roman" w:hAnsi="Times New Roman" w:cs="Times New Roman"/>
        </w:rPr>
        <w:t xml:space="preserve"> social and environmental </w:t>
      </w:r>
      <w:r w:rsidR="00106D44">
        <w:rPr>
          <w:rFonts w:ascii="Times New Roman" w:hAnsi="Times New Roman" w:cs="Times New Roman"/>
        </w:rPr>
        <w:t>aspects</w:t>
      </w:r>
      <w:r w:rsidRPr="00BC7BB5">
        <w:rPr>
          <w:rFonts w:ascii="Times New Roman" w:hAnsi="Times New Roman" w:cs="Times New Roman"/>
        </w:rPr>
        <w:t>. The PAP also includes critical actions necessary to operationalize the adjustment</w:t>
      </w:r>
      <w:r w:rsidR="0060781A">
        <w:rPr>
          <w:rFonts w:ascii="Times New Roman" w:hAnsi="Times New Roman" w:cs="Times New Roman"/>
        </w:rPr>
        <w:t>s</w:t>
      </w:r>
      <w:r w:rsidRPr="00BC7BB5">
        <w:rPr>
          <w:rFonts w:ascii="Times New Roman" w:hAnsi="Times New Roman" w:cs="Times New Roman"/>
        </w:rPr>
        <w:t xml:space="preserve"> to the Government program supported by the </w:t>
      </w:r>
      <w:r w:rsidR="00E3028E">
        <w:rPr>
          <w:rFonts w:ascii="Times New Roman" w:hAnsi="Times New Roman" w:cs="Times New Roman"/>
        </w:rPr>
        <w:t>P</w:t>
      </w:r>
      <w:r w:rsidR="00346E70">
        <w:rPr>
          <w:rFonts w:ascii="Times New Roman" w:hAnsi="Times New Roman" w:cs="Times New Roman"/>
        </w:rPr>
        <w:t>f</w:t>
      </w:r>
      <w:r w:rsidR="00E3028E">
        <w:rPr>
          <w:rFonts w:ascii="Times New Roman" w:hAnsi="Times New Roman" w:cs="Times New Roman"/>
        </w:rPr>
        <w:t>or</w:t>
      </w:r>
      <w:r w:rsidR="00FE4DD8">
        <w:rPr>
          <w:rFonts w:ascii="Times New Roman" w:hAnsi="Times New Roman" w:cs="Times New Roman"/>
        </w:rPr>
        <w:t>R</w:t>
      </w:r>
      <w:r w:rsidRPr="00BC7BB5">
        <w:rPr>
          <w:rFonts w:ascii="Times New Roman" w:hAnsi="Times New Roman" w:cs="Times New Roman"/>
        </w:rPr>
        <w:t xml:space="preserve">. Details are provided </w:t>
      </w:r>
      <w:r w:rsidR="007F0DB7" w:rsidRPr="00BC7BB5">
        <w:rPr>
          <w:rFonts w:ascii="Times New Roman" w:hAnsi="Times New Roman" w:cs="Times New Roman"/>
        </w:rPr>
        <w:t xml:space="preserve">in Annex 8.  </w:t>
      </w:r>
      <w:r w:rsidR="00B66636" w:rsidRPr="00BC7BB5">
        <w:rPr>
          <w:rFonts w:ascii="Times New Roman" w:hAnsi="Times New Roman" w:cs="Times New Roman"/>
        </w:rPr>
        <w:t xml:space="preserve"> </w:t>
      </w:r>
      <w:r w:rsidR="008328EF" w:rsidRPr="00BC7BB5">
        <w:rPr>
          <w:rFonts w:ascii="Times New Roman" w:hAnsi="Times New Roman" w:cs="Times New Roman"/>
        </w:rPr>
        <w:t xml:space="preserve"> </w:t>
      </w:r>
      <w:r w:rsidR="00DF7330" w:rsidRPr="00BC7BB5">
        <w:rPr>
          <w:rFonts w:ascii="Times New Roman" w:hAnsi="Times New Roman" w:cs="Times New Roman"/>
        </w:rPr>
        <w:br w:type="page"/>
      </w:r>
    </w:p>
    <w:p w14:paraId="53B2A226" w14:textId="77777777" w:rsidR="00CF260B" w:rsidRPr="00BC7BB5" w:rsidRDefault="001D2940" w:rsidP="005D30EF">
      <w:pPr>
        <w:pStyle w:val="ListParagraph"/>
        <w:ind w:left="0"/>
        <w:jc w:val="center"/>
        <w:outlineLvl w:val="0"/>
        <w:rPr>
          <w:rFonts w:ascii="Times New Roman" w:hAnsi="Times New Roman" w:cs="Times New Roman"/>
          <w:b/>
        </w:rPr>
      </w:pPr>
      <w:bookmarkStart w:id="22" w:name="_Toc499113411"/>
      <w:r w:rsidRPr="00BC7BB5">
        <w:rPr>
          <w:rFonts w:ascii="Times New Roman" w:hAnsi="Times New Roman" w:cs="Times New Roman"/>
          <w:b/>
        </w:rPr>
        <w:lastRenderedPageBreak/>
        <w:t xml:space="preserve">Annex </w:t>
      </w:r>
      <w:r w:rsidR="001635BC" w:rsidRPr="00BC7BB5">
        <w:rPr>
          <w:rFonts w:ascii="Times New Roman" w:hAnsi="Times New Roman" w:cs="Times New Roman"/>
          <w:b/>
        </w:rPr>
        <w:t>1</w:t>
      </w:r>
      <w:r w:rsidRPr="00BC7BB5">
        <w:rPr>
          <w:rFonts w:ascii="Times New Roman" w:hAnsi="Times New Roman" w:cs="Times New Roman"/>
          <w:b/>
        </w:rPr>
        <w:t>: Detailed Program Description</w:t>
      </w:r>
      <w:bookmarkEnd w:id="22"/>
    </w:p>
    <w:p w14:paraId="69FC5546" w14:textId="43DE2E19" w:rsidR="00167AEA" w:rsidRPr="00BC7BB5" w:rsidRDefault="003E556D" w:rsidP="00167AEA">
      <w:pPr>
        <w:pStyle w:val="NoSpacing"/>
        <w:jc w:val="center"/>
        <w:rPr>
          <w:rFonts w:ascii="Times New Roman" w:hAnsi="Times New Roman" w:cs="Times New Roman"/>
          <w:b/>
        </w:rPr>
      </w:pPr>
      <w:r w:rsidRPr="00BC7BB5">
        <w:rPr>
          <w:rFonts w:ascii="Times New Roman" w:hAnsi="Times New Roman" w:cs="Times New Roman"/>
          <w:b/>
        </w:rPr>
        <w:t xml:space="preserve"> </w:t>
      </w:r>
    </w:p>
    <w:p w14:paraId="291612D0" w14:textId="42ACB7C3" w:rsidR="00093AA4" w:rsidRPr="00BC7BB5" w:rsidRDefault="00093AA4" w:rsidP="00F561E8">
      <w:pPr>
        <w:pStyle w:val="ListParagraph"/>
        <w:numPr>
          <w:ilvl w:val="0"/>
          <w:numId w:val="26"/>
        </w:numPr>
        <w:spacing w:after="0" w:line="240" w:lineRule="auto"/>
        <w:ind w:left="0" w:firstLine="0"/>
        <w:jc w:val="both"/>
        <w:rPr>
          <w:rFonts w:ascii="Times New Roman" w:hAnsi="Times New Roman" w:cs="Times New Roman"/>
          <w:color w:val="000000" w:themeColor="text1"/>
        </w:rPr>
      </w:pPr>
      <w:r w:rsidRPr="00BC7BB5">
        <w:rPr>
          <w:rFonts w:ascii="Times New Roman" w:hAnsi="Times New Roman" w:cs="Times New Roman"/>
          <w:b/>
          <w:color w:val="000000" w:themeColor="text1"/>
        </w:rPr>
        <w:t>The</w:t>
      </w:r>
      <w:r w:rsidR="00011FBC">
        <w:rPr>
          <w:rFonts w:ascii="Times New Roman" w:hAnsi="Times New Roman" w:cs="Times New Roman"/>
          <w:b/>
          <w:color w:val="000000" w:themeColor="text1"/>
        </w:rPr>
        <w:t xml:space="preserve"> Program D</w:t>
      </w:r>
      <w:r w:rsidRPr="00BC7BB5">
        <w:rPr>
          <w:rFonts w:ascii="Times New Roman" w:hAnsi="Times New Roman" w:cs="Times New Roman"/>
          <w:b/>
          <w:color w:val="000000" w:themeColor="text1"/>
        </w:rPr>
        <w:t>evel</w:t>
      </w:r>
      <w:r w:rsidR="00011FBC">
        <w:rPr>
          <w:rFonts w:ascii="Times New Roman" w:hAnsi="Times New Roman" w:cs="Times New Roman"/>
          <w:b/>
          <w:color w:val="000000" w:themeColor="text1"/>
        </w:rPr>
        <w:t>opment O</w:t>
      </w:r>
      <w:r w:rsidR="00A470BF">
        <w:rPr>
          <w:rFonts w:ascii="Times New Roman" w:hAnsi="Times New Roman" w:cs="Times New Roman"/>
          <w:b/>
          <w:color w:val="000000" w:themeColor="text1"/>
        </w:rPr>
        <w:t xml:space="preserve">bjective </w:t>
      </w:r>
      <w:r w:rsidRPr="00BC7BB5">
        <w:rPr>
          <w:rFonts w:ascii="Times New Roman" w:hAnsi="Times New Roman" w:cs="Times New Roman"/>
          <w:b/>
          <w:color w:val="000000" w:themeColor="text1"/>
        </w:rPr>
        <w:t xml:space="preserve">is </w:t>
      </w:r>
      <w:r w:rsidR="006E64EA" w:rsidRPr="00BC7BB5">
        <w:rPr>
          <w:rFonts w:ascii="Times New Roman" w:hAnsi="Times New Roman" w:cs="Times New Roman"/>
          <w:color w:val="000000" w:themeColor="text1"/>
        </w:rPr>
        <w:t xml:space="preserve">to </w:t>
      </w:r>
      <w:r w:rsidR="003870AF" w:rsidRPr="00BC7BB5">
        <w:rPr>
          <w:rFonts w:ascii="Times New Roman" w:hAnsi="Times New Roman" w:cs="Times New Roman"/>
          <w:color w:val="000000" w:themeColor="text1"/>
        </w:rPr>
        <w:t>increase the volume of added-</w:t>
      </w:r>
      <w:r w:rsidR="00416F1D" w:rsidRPr="00BC7BB5">
        <w:rPr>
          <w:rFonts w:ascii="Times New Roman" w:hAnsi="Times New Roman" w:cs="Times New Roman"/>
          <w:color w:val="000000" w:themeColor="text1"/>
        </w:rPr>
        <w:t>value products commerciali</w:t>
      </w:r>
      <w:r w:rsidR="007276E4" w:rsidRPr="00BC7BB5">
        <w:rPr>
          <w:rFonts w:ascii="Times New Roman" w:hAnsi="Times New Roman" w:cs="Times New Roman"/>
          <w:color w:val="000000" w:themeColor="text1"/>
        </w:rPr>
        <w:t xml:space="preserve">zed in selected agri-food value </w:t>
      </w:r>
      <w:r w:rsidR="00416F1D" w:rsidRPr="00BC7BB5">
        <w:rPr>
          <w:rFonts w:ascii="Times New Roman" w:hAnsi="Times New Roman" w:cs="Times New Roman"/>
          <w:color w:val="000000" w:themeColor="text1"/>
        </w:rPr>
        <w:t>chains in the Program area</w:t>
      </w:r>
      <w:r w:rsidRPr="00BC7BB5">
        <w:rPr>
          <w:rFonts w:ascii="Times New Roman" w:hAnsi="Times New Roman" w:cs="Times New Roman"/>
          <w:color w:val="000000" w:themeColor="text1"/>
        </w:rPr>
        <w:t>.</w:t>
      </w:r>
    </w:p>
    <w:p w14:paraId="4EDC76D3" w14:textId="77777777" w:rsidR="00093AA4" w:rsidRPr="00BC7BB5" w:rsidRDefault="00093AA4" w:rsidP="00093AA4">
      <w:pPr>
        <w:spacing w:after="0" w:line="240" w:lineRule="auto"/>
        <w:jc w:val="both"/>
        <w:rPr>
          <w:rFonts w:ascii="Times New Roman" w:hAnsi="Times New Roman" w:cs="Times New Roman"/>
          <w:color w:val="000000" w:themeColor="text1"/>
        </w:rPr>
      </w:pPr>
      <w:r w:rsidRPr="00BC7BB5">
        <w:rPr>
          <w:rFonts w:ascii="Times New Roman" w:hAnsi="Times New Roman" w:cs="Times New Roman"/>
          <w:color w:val="000000" w:themeColor="text1"/>
        </w:rPr>
        <w:t xml:space="preserve"> </w:t>
      </w:r>
    </w:p>
    <w:p w14:paraId="7118F290" w14:textId="3A107A73" w:rsidR="00274AC5" w:rsidRPr="00BC7BB5" w:rsidRDefault="00A470BF" w:rsidP="00F561E8">
      <w:pPr>
        <w:pStyle w:val="ListParagraph"/>
        <w:numPr>
          <w:ilvl w:val="0"/>
          <w:numId w:val="26"/>
        </w:numPr>
        <w:spacing w:after="0" w:line="240" w:lineRule="auto"/>
        <w:ind w:left="0" w:firstLine="0"/>
        <w:jc w:val="both"/>
        <w:rPr>
          <w:rFonts w:ascii="Times New Roman" w:hAnsi="Times New Roman" w:cs="Times New Roman"/>
          <w:color w:val="000000" w:themeColor="text1"/>
        </w:rPr>
      </w:pPr>
      <w:r>
        <w:rPr>
          <w:rFonts w:ascii="Times New Roman" w:hAnsi="Times New Roman" w:cs="Times New Roman"/>
          <w:color w:val="000000" w:themeColor="text1"/>
        </w:rPr>
        <w:t xml:space="preserve">The </w:t>
      </w:r>
      <w:r w:rsidR="00093AA4" w:rsidRPr="00BC7BB5">
        <w:rPr>
          <w:rFonts w:ascii="Times New Roman" w:hAnsi="Times New Roman" w:cs="Times New Roman"/>
          <w:color w:val="000000" w:themeColor="text1"/>
        </w:rPr>
        <w:t>Program would thereby contribute to the broader, higher level objectives of the Government’s program (Plan Maroc Vert, PMV) which are: to increase the added-value of the agriculture sector, create additional jobs, increase rural incomes, increase agri-food exports</w:t>
      </w:r>
      <w:r w:rsidR="008469A9">
        <w:rPr>
          <w:rFonts w:ascii="Times New Roman" w:hAnsi="Times New Roman" w:cs="Times New Roman"/>
          <w:color w:val="000000" w:themeColor="text1"/>
        </w:rPr>
        <w:t>,</w:t>
      </w:r>
      <w:r w:rsidR="00093AA4" w:rsidRPr="00BC7BB5">
        <w:rPr>
          <w:rFonts w:ascii="Times New Roman" w:hAnsi="Times New Roman" w:cs="Times New Roman"/>
          <w:color w:val="000000" w:themeColor="text1"/>
        </w:rPr>
        <w:t xml:space="preserve"> and increase investments in the sector.  The Program would primarily (but not exclusively) focus on areas of the Government’s program that address constraints to market access and value-addition beyond the farm-gate, </w:t>
      </w:r>
      <w:r w:rsidR="008469A9">
        <w:rPr>
          <w:rFonts w:ascii="Times New Roman" w:hAnsi="Times New Roman" w:cs="Times New Roman"/>
          <w:color w:val="000000" w:themeColor="text1"/>
        </w:rPr>
        <w:t>taking into account</w:t>
      </w:r>
      <w:r w:rsidR="008469A9" w:rsidRPr="00BC7BB5">
        <w:rPr>
          <w:rFonts w:ascii="Times New Roman" w:hAnsi="Times New Roman" w:cs="Times New Roman"/>
          <w:color w:val="000000" w:themeColor="text1"/>
        </w:rPr>
        <w:t xml:space="preserve"> </w:t>
      </w:r>
      <w:r w:rsidR="00093AA4" w:rsidRPr="00BC7BB5">
        <w:rPr>
          <w:rFonts w:ascii="Times New Roman" w:hAnsi="Times New Roman" w:cs="Times New Roman"/>
          <w:color w:val="000000" w:themeColor="text1"/>
        </w:rPr>
        <w:t xml:space="preserve">the findings of the mid-term review of the PMV, which recommended that the PMV should move beyond its early emphasis at production/farm level (see Annex 4). </w:t>
      </w:r>
    </w:p>
    <w:p w14:paraId="0C38D5D8" w14:textId="77777777" w:rsidR="00274AC5" w:rsidRPr="00BC7BB5" w:rsidRDefault="00274AC5" w:rsidP="00274AC5">
      <w:pPr>
        <w:pStyle w:val="ListParagraph"/>
        <w:rPr>
          <w:rFonts w:ascii="Times New Roman" w:hAnsi="Times New Roman" w:cs="Times New Roman"/>
          <w:color w:val="000000" w:themeColor="text1"/>
        </w:rPr>
      </w:pPr>
    </w:p>
    <w:p w14:paraId="5F247EF1" w14:textId="25366F90" w:rsidR="00274AC5" w:rsidRPr="00BC7BB5" w:rsidRDefault="00274AC5" w:rsidP="00F561E8">
      <w:pPr>
        <w:pStyle w:val="ListParagraph"/>
        <w:numPr>
          <w:ilvl w:val="0"/>
          <w:numId w:val="26"/>
        </w:numPr>
        <w:spacing w:after="0" w:line="240" w:lineRule="auto"/>
        <w:ind w:left="0" w:firstLine="0"/>
        <w:jc w:val="both"/>
        <w:rPr>
          <w:rFonts w:ascii="Times New Roman" w:hAnsi="Times New Roman" w:cs="Times New Roman"/>
          <w:color w:val="000000" w:themeColor="text1"/>
        </w:rPr>
      </w:pPr>
      <w:r w:rsidRPr="00BC7BB5">
        <w:rPr>
          <w:rFonts w:ascii="Times New Roman" w:hAnsi="Times New Roman" w:cs="Times New Roman"/>
          <w:i/>
          <w:color w:val="000000" w:themeColor="text1"/>
        </w:rPr>
        <w:t>Targeting</w:t>
      </w:r>
      <w:r w:rsidRPr="00BC7BB5">
        <w:rPr>
          <w:rFonts w:ascii="Times New Roman" w:hAnsi="Times New Roman" w:cs="Times New Roman"/>
          <w:color w:val="000000" w:themeColor="text1"/>
        </w:rPr>
        <w:t>. While some of the Program’s activities would benefit a broad range of stakeholders in the agri-food sector, the Program would include activities specifically aimed at promoting the inclusion of small and medium producers and enterprises with modern value-chains and their capacity to produce and commercialize added value products.</w:t>
      </w:r>
    </w:p>
    <w:p w14:paraId="38EBAC9B" w14:textId="77777777" w:rsidR="00274AC5" w:rsidRPr="00BC7BB5" w:rsidRDefault="00274AC5" w:rsidP="00274AC5">
      <w:pPr>
        <w:pStyle w:val="ListParagraph"/>
        <w:rPr>
          <w:rFonts w:ascii="Times New Roman" w:hAnsi="Times New Roman" w:cs="Times New Roman"/>
          <w:color w:val="000000" w:themeColor="text1"/>
        </w:rPr>
      </w:pPr>
    </w:p>
    <w:p w14:paraId="7AC75E81" w14:textId="34629C5D" w:rsidR="00093AA4" w:rsidRPr="00BC7BB5" w:rsidRDefault="00274AC5" w:rsidP="00F561E8">
      <w:pPr>
        <w:pStyle w:val="ListParagraph"/>
        <w:numPr>
          <w:ilvl w:val="0"/>
          <w:numId w:val="26"/>
        </w:numPr>
        <w:spacing w:after="0" w:line="240" w:lineRule="auto"/>
        <w:ind w:left="0" w:firstLine="0"/>
        <w:jc w:val="both"/>
        <w:rPr>
          <w:rFonts w:ascii="Times New Roman" w:hAnsi="Times New Roman" w:cs="Times New Roman"/>
          <w:color w:val="000000" w:themeColor="text1"/>
        </w:rPr>
      </w:pPr>
      <w:r w:rsidRPr="00BC7BB5">
        <w:rPr>
          <w:rFonts w:ascii="Times New Roman" w:hAnsi="Times New Roman" w:cs="Times New Roman"/>
          <w:i/>
          <w:color w:val="000000" w:themeColor="text1"/>
        </w:rPr>
        <w:t>Selected agri-food value-chains</w:t>
      </w:r>
      <w:r w:rsidRPr="00BC7BB5">
        <w:rPr>
          <w:rFonts w:ascii="Times New Roman" w:hAnsi="Times New Roman" w:cs="Times New Roman"/>
          <w:color w:val="000000" w:themeColor="text1"/>
        </w:rPr>
        <w:t xml:space="preserve">. </w:t>
      </w:r>
      <w:r w:rsidR="00A470BF">
        <w:rPr>
          <w:rFonts w:ascii="Times New Roman" w:hAnsi="Times New Roman" w:cs="Times New Roman"/>
          <w:color w:val="000000" w:themeColor="text1"/>
        </w:rPr>
        <w:t>While the</w:t>
      </w:r>
      <w:r w:rsidR="00093AA4" w:rsidRPr="00BC7BB5">
        <w:rPr>
          <w:rFonts w:ascii="Times New Roman" w:hAnsi="Times New Roman" w:cs="Times New Roman"/>
          <w:color w:val="000000" w:themeColor="text1"/>
        </w:rPr>
        <w:t xml:space="preserve"> Program would strengthen the overall enabling environment for agri-food value chain development in Morocco, it would also place a specific focus on the olive and citrus value chains and on addressing constraints that producers and agribusiness firms are facing in those two sub-sectors with regards to value-addition, product quality and market access. Those two sub</w:t>
      </w:r>
      <w:r w:rsidR="00234768">
        <w:rPr>
          <w:rFonts w:ascii="Times New Roman" w:hAnsi="Times New Roman" w:cs="Times New Roman"/>
          <w:color w:val="000000" w:themeColor="text1"/>
        </w:rPr>
        <w:t>-</w:t>
      </w:r>
      <w:r w:rsidR="00093AA4" w:rsidRPr="00BC7BB5">
        <w:rPr>
          <w:rFonts w:ascii="Times New Roman" w:hAnsi="Times New Roman" w:cs="Times New Roman"/>
          <w:color w:val="000000" w:themeColor="text1"/>
        </w:rPr>
        <w:t xml:space="preserve">sectors were selected by </w:t>
      </w:r>
      <w:r w:rsidR="008469A9">
        <w:rPr>
          <w:rFonts w:ascii="Times New Roman" w:hAnsi="Times New Roman" w:cs="Times New Roman"/>
          <w:color w:val="000000" w:themeColor="text1"/>
        </w:rPr>
        <w:t xml:space="preserve">the </w:t>
      </w:r>
      <w:r w:rsidR="00093AA4" w:rsidRPr="00BC7BB5">
        <w:rPr>
          <w:rFonts w:ascii="Times New Roman" w:hAnsi="Times New Roman" w:cs="Times New Roman"/>
          <w:color w:val="000000" w:themeColor="text1"/>
        </w:rPr>
        <w:t xml:space="preserve">Government </w:t>
      </w:r>
      <w:r w:rsidR="008469A9">
        <w:rPr>
          <w:rFonts w:ascii="Times New Roman" w:hAnsi="Times New Roman" w:cs="Times New Roman"/>
          <w:color w:val="000000" w:themeColor="text1"/>
        </w:rPr>
        <w:t>based on</w:t>
      </w:r>
      <w:r w:rsidR="00093AA4" w:rsidRPr="00BC7BB5">
        <w:rPr>
          <w:rFonts w:ascii="Times New Roman" w:hAnsi="Times New Roman" w:cs="Times New Roman"/>
          <w:color w:val="000000" w:themeColor="text1"/>
        </w:rPr>
        <w:t>: (a) their contribution to agricultural GDP growth and to the rural economy, (b) the expected increase in production by 2021, and (c) their potential in terms of further value-addition and increased exports.</w:t>
      </w:r>
    </w:p>
    <w:p w14:paraId="4D81839B" w14:textId="77777777" w:rsidR="00093AA4" w:rsidRPr="00BC7BB5" w:rsidRDefault="00093AA4" w:rsidP="00093AA4">
      <w:pPr>
        <w:spacing w:after="0" w:line="240" w:lineRule="auto"/>
        <w:jc w:val="both"/>
        <w:rPr>
          <w:rFonts w:ascii="Times New Roman" w:hAnsi="Times New Roman" w:cs="Times New Roman"/>
          <w:color w:val="000000" w:themeColor="text1"/>
        </w:rPr>
      </w:pPr>
    </w:p>
    <w:p w14:paraId="26D7BC97" w14:textId="338544B4" w:rsidR="006E64EA" w:rsidRPr="00BC7BB5" w:rsidRDefault="00093AA4" w:rsidP="008469A9">
      <w:pPr>
        <w:pStyle w:val="ListParagraph"/>
        <w:numPr>
          <w:ilvl w:val="0"/>
          <w:numId w:val="26"/>
        </w:numPr>
        <w:spacing w:after="0" w:line="240" w:lineRule="auto"/>
        <w:ind w:left="0" w:firstLine="0"/>
        <w:jc w:val="both"/>
        <w:rPr>
          <w:rFonts w:ascii="Times New Roman" w:hAnsi="Times New Roman" w:cs="Times New Roman"/>
          <w:color w:val="000000" w:themeColor="text1"/>
        </w:rPr>
      </w:pPr>
      <w:r w:rsidRPr="00BC7BB5">
        <w:rPr>
          <w:rFonts w:ascii="Times New Roman" w:hAnsi="Times New Roman" w:cs="Times New Roman"/>
          <w:color w:val="000000" w:themeColor="text1"/>
        </w:rPr>
        <w:t xml:space="preserve">The </w:t>
      </w:r>
      <w:r w:rsidR="00011FBC">
        <w:rPr>
          <w:rFonts w:ascii="Times New Roman" w:hAnsi="Times New Roman" w:cs="Times New Roman"/>
          <w:b/>
          <w:color w:val="000000" w:themeColor="text1"/>
        </w:rPr>
        <w:t>PDO results indicator</w:t>
      </w:r>
      <w:r w:rsidR="00820735">
        <w:rPr>
          <w:rFonts w:ascii="Times New Roman" w:hAnsi="Times New Roman" w:cs="Times New Roman"/>
          <w:b/>
          <w:color w:val="000000" w:themeColor="text1"/>
        </w:rPr>
        <w:t>s</w:t>
      </w:r>
      <w:r w:rsidR="00AF1101" w:rsidRPr="00BC7BB5">
        <w:rPr>
          <w:rFonts w:ascii="Times New Roman" w:hAnsi="Times New Roman" w:cs="Times New Roman"/>
          <w:color w:val="000000" w:themeColor="text1"/>
        </w:rPr>
        <w:t xml:space="preserve"> </w:t>
      </w:r>
      <w:r w:rsidR="00BB6BC6">
        <w:rPr>
          <w:rFonts w:ascii="Times New Roman" w:hAnsi="Times New Roman" w:cs="Times New Roman"/>
          <w:color w:val="000000" w:themeColor="text1"/>
        </w:rPr>
        <w:t>measure volume of added value products commercialized, specifically</w:t>
      </w:r>
      <w:r w:rsidR="00BB6BC6" w:rsidRPr="00BC7BB5">
        <w:rPr>
          <w:rFonts w:ascii="Times New Roman" w:hAnsi="Times New Roman" w:cs="Times New Roman"/>
          <w:color w:val="000000" w:themeColor="text1"/>
        </w:rPr>
        <w:t>:</w:t>
      </w:r>
      <w:r w:rsidRPr="00BC7BB5">
        <w:rPr>
          <w:rFonts w:ascii="Times New Roman" w:hAnsi="Times New Roman" w:cs="Times New Roman"/>
          <w:color w:val="000000" w:themeColor="text1"/>
        </w:rPr>
        <w:t xml:space="preserve"> </w:t>
      </w:r>
      <w:r w:rsidR="008469A9" w:rsidRPr="008469A9">
        <w:rPr>
          <w:rFonts w:ascii="Times New Roman" w:hAnsi="Times New Roman" w:cs="Times New Roman"/>
          <w:color w:val="000000" w:themeColor="text1"/>
        </w:rPr>
        <w:t>(a) Volume of conditioned and exported citrus; (b) volume of conditioned and exported olive</w:t>
      </w:r>
      <w:r w:rsidR="00A050C1">
        <w:rPr>
          <w:rFonts w:ascii="Times New Roman" w:hAnsi="Times New Roman" w:cs="Times New Roman"/>
          <w:color w:val="000000" w:themeColor="text1"/>
        </w:rPr>
        <w:t>s</w:t>
      </w:r>
      <w:r w:rsidR="008469A9" w:rsidRPr="008469A9">
        <w:rPr>
          <w:rFonts w:ascii="Times New Roman" w:hAnsi="Times New Roman" w:cs="Times New Roman"/>
          <w:color w:val="000000" w:themeColor="text1"/>
        </w:rPr>
        <w:t>; (c) volume of high quality olive oil commercialized</w:t>
      </w:r>
      <w:r w:rsidR="00AF1101" w:rsidRPr="00BC7BB5">
        <w:rPr>
          <w:rFonts w:ascii="Times New Roman" w:hAnsi="Times New Roman" w:cs="Times New Roman"/>
          <w:color w:val="000000" w:themeColor="text1"/>
        </w:rPr>
        <w:t>.</w:t>
      </w:r>
    </w:p>
    <w:p w14:paraId="541C2622" w14:textId="77777777" w:rsidR="00093AA4" w:rsidRPr="00BC7BB5" w:rsidRDefault="00093AA4" w:rsidP="00093AA4">
      <w:pPr>
        <w:pStyle w:val="ListParagraph"/>
        <w:spacing w:after="0" w:line="240" w:lineRule="auto"/>
        <w:rPr>
          <w:rFonts w:ascii="Times New Roman" w:hAnsi="Times New Roman" w:cs="Times New Roman"/>
          <w:color w:val="000000" w:themeColor="text1"/>
        </w:rPr>
      </w:pPr>
    </w:p>
    <w:p w14:paraId="56EFCDC0" w14:textId="225FD96F" w:rsidR="00093AA4" w:rsidRPr="00BC7BB5" w:rsidRDefault="00093AA4" w:rsidP="00F561E8">
      <w:pPr>
        <w:pStyle w:val="ListParagraph"/>
        <w:numPr>
          <w:ilvl w:val="0"/>
          <w:numId w:val="26"/>
        </w:numPr>
        <w:spacing w:after="0" w:line="240" w:lineRule="auto"/>
        <w:ind w:left="0" w:firstLine="0"/>
        <w:jc w:val="both"/>
        <w:rPr>
          <w:rFonts w:ascii="Times New Roman" w:hAnsi="Times New Roman" w:cs="Times New Roman"/>
          <w:color w:val="000000" w:themeColor="text1"/>
        </w:rPr>
      </w:pPr>
      <w:r w:rsidRPr="00BC7BB5">
        <w:rPr>
          <w:rFonts w:ascii="Times New Roman" w:hAnsi="Times New Roman" w:cs="Times New Roman"/>
          <w:color w:val="000000" w:themeColor="text1"/>
        </w:rPr>
        <w:t xml:space="preserve">To achieve its development objective, the Program would invest in </w:t>
      </w:r>
      <w:r w:rsidR="00B80708" w:rsidRPr="00BC7BB5">
        <w:rPr>
          <w:rFonts w:ascii="Times New Roman" w:hAnsi="Times New Roman" w:cs="Times New Roman"/>
          <w:color w:val="000000" w:themeColor="text1"/>
        </w:rPr>
        <w:t xml:space="preserve">two </w:t>
      </w:r>
      <w:r w:rsidRPr="00BC7BB5">
        <w:rPr>
          <w:rFonts w:ascii="Times New Roman" w:hAnsi="Times New Roman" w:cs="Times New Roman"/>
          <w:color w:val="000000" w:themeColor="text1"/>
        </w:rPr>
        <w:t xml:space="preserve">focal areas: </w:t>
      </w:r>
      <w:r w:rsidR="00456266" w:rsidRPr="00BC7BB5">
        <w:rPr>
          <w:rFonts w:ascii="Times New Roman" w:hAnsi="Times New Roman" w:cs="Times New Roman"/>
          <w:color w:val="000000" w:themeColor="text1"/>
        </w:rPr>
        <w:t xml:space="preserve">(a) </w:t>
      </w:r>
      <w:r w:rsidR="00C2165F" w:rsidRPr="00BC7BB5">
        <w:rPr>
          <w:rFonts w:ascii="Times New Roman" w:hAnsi="Times New Roman" w:cs="Times New Roman"/>
          <w:i/>
          <w:color w:val="000000" w:themeColor="text1"/>
        </w:rPr>
        <w:t>increased</w:t>
      </w:r>
      <w:r w:rsidR="00456266" w:rsidRPr="00BC7BB5">
        <w:rPr>
          <w:rFonts w:ascii="Times New Roman" w:hAnsi="Times New Roman" w:cs="Times New Roman"/>
          <w:i/>
          <w:color w:val="000000" w:themeColor="text1"/>
        </w:rPr>
        <w:t xml:space="preserve"> market efficiency and integration</w:t>
      </w:r>
      <w:r w:rsidR="00456266" w:rsidRPr="00BC7BB5">
        <w:rPr>
          <w:rFonts w:ascii="Times New Roman" w:hAnsi="Times New Roman" w:cs="Times New Roman"/>
          <w:color w:val="000000" w:themeColor="text1"/>
        </w:rPr>
        <w:t>, by (i) strengthening the capacity of intra-branch organizations</w:t>
      </w:r>
      <w:r w:rsidR="00BC06ED">
        <w:rPr>
          <w:rFonts w:ascii="Times New Roman" w:hAnsi="Times New Roman" w:cs="Times New Roman"/>
          <w:color w:val="000000" w:themeColor="text1"/>
        </w:rPr>
        <w:t xml:space="preserve"> (interprofessions</w:t>
      </w:r>
      <w:r w:rsidR="008469A9">
        <w:rPr>
          <w:rFonts w:ascii="Times New Roman" w:hAnsi="Times New Roman" w:cs="Times New Roman"/>
          <w:color w:val="000000" w:themeColor="text1"/>
        </w:rPr>
        <w:t>),</w:t>
      </w:r>
      <w:r w:rsidR="008469A9" w:rsidRPr="00BC7BB5">
        <w:rPr>
          <w:rFonts w:ascii="Times New Roman" w:hAnsi="Times New Roman" w:cs="Times New Roman"/>
          <w:color w:val="000000" w:themeColor="text1"/>
        </w:rPr>
        <w:t xml:space="preserve"> </w:t>
      </w:r>
      <w:r w:rsidR="00456266" w:rsidRPr="00BC7BB5">
        <w:rPr>
          <w:rFonts w:ascii="Times New Roman" w:hAnsi="Times New Roman" w:cs="Times New Roman"/>
          <w:color w:val="000000" w:themeColor="text1"/>
        </w:rPr>
        <w:t>(ii) enabling greater access of small and medium producers and enterprises to existing instruments to incentivize vertical and horizontal integration</w:t>
      </w:r>
      <w:r w:rsidR="008469A9">
        <w:rPr>
          <w:rFonts w:ascii="Times New Roman" w:hAnsi="Times New Roman" w:cs="Times New Roman"/>
          <w:color w:val="000000" w:themeColor="text1"/>
        </w:rPr>
        <w:t>,</w:t>
      </w:r>
      <w:r w:rsidR="008469A9" w:rsidRPr="00BC7BB5">
        <w:rPr>
          <w:rFonts w:ascii="Times New Roman" w:hAnsi="Times New Roman" w:cs="Times New Roman"/>
          <w:color w:val="000000" w:themeColor="text1"/>
        </w:rPr>
        <w:t xml:space="preserve"> </w:t>
      </w:r>
      <w:r w:rsidR="00456266" w:rsidRPr="00BC7BB5">
        <w:rPr>
          <w:rFonts w:ascii="Times New Roman" w:hAnsi="Times New Roman" w:cs="Times New Roman"/>
          <w:color w:val="000000" w:themeColor="text1"/>
        </w:rPr>
        <w:t>(iii) upgrading selected market infrastructure and improving their management</w:t>
      </w:r>
      <w:r w:rsidR="008469A9">
        <w:rPr>
          <w:rFonts w:ascii="Times New Roman" w:hAnsi="Times New Roman" w:cs="Times New Roman"/>
          <w:color w:val="000000" w:themeColor="text1"/>
        </w:rPr>
        <w:t>,</w:t>
      </w:r>
      <w:r w:rsidR="00456266" w:rsidRPr="00BC7BB5">
        <w:rPr>
          <w:rFonts w:ascii="Times New Roman" w:hAnsi="Times New Roman" w:cs="Times New Roman"/>
          <w:color w:val="000000" w:themeColor="text1"/>
        </w:rPr>
        <w:t xml:space="preserve"> and (iv) developing agriculture market information systems; and (b</w:t>
      </w:r>
      <w:r w:rsidR="00B83813" w:rsidRPr="00BC7BB5">
        <w:rPr>
          <w:rFonts w:ascii="Times New Roman" w:hAnsi="Times New Roman" w:cs="Times New Roman"/>
          <w:i/>
          <w:color w:val="000000" w:themeColor="text1"/>
        </w:rPr>
        <w:t>) improved</w:t>
      </w:r>
      <w:r w:rsidR="00AF1101" w:rsidRPr="00BC7BB5">
        <w:rPr>
          <w:rFonts w:ascii="Times New Roman" w:hAnsi="Times New Roman" w:cs="Times New Roman"/>
          <w:i/>
          <w:color w:val="000000" w:themeColor="text1"/>
        </w:rPr>
        <w:t xml:space="preserve"> </w:t>
      </w:r>
      <w:r w:rsidR="00B83813" w:rsidRPr="00BC7BB5">
        <w:rPr>
          <w:rFonts w:ascii="Times New Roman" w:hAnsi="Times New Roman" w:cs="Times New Roman"/>
          <w:i/>
          <w:color w:val="000000" w:themeColor="text1"/>
        </w:rPr>
        <w:t>added-value of</w:t>
      </w:r>
      <w:r w:rsidR="00456266" w:rsidRPr="00BC7BB5">
        <w:rPr>
          <w:rFonts w:ascii="Times New Roman" w:hAnsi="Times New Roman" w:cs="Times New Roman"/>
          <w:i/>
          <w:color w:val="000000" w:themeColor="text1"/>
        </w:rPr>
        <w:t xml:space="preserve"> agri-food products,</w:t>
      </w:r>
      <w:r w:rsidR="00456266" w:rsidRPr="00BC7BB5">
        <w:rPr>
          <w:rFonts w:ascii="Times New Roman" w:hAnsi="Times New Roman" w:cs="Times New Roman"/>
          <w:color w:val="000000" w:themeColor="text1"/>
        </w:rPr>
        <w:t xml:space="preserve"> by (i) enabling risk-based implementation of the national food safety law and regulations</w:t>
      </w:r>
      <w:r w:rsidR="00B83813" w:rsidRPr="00BC7BB5">
        <w:rPr>
          <w:rFonts w:ascii="Times New Roman" w:hAnsi="Times New Roman" w:cs="Times New Roman"/>
          <w:color w:val="000000" w:themeColor="text1"/>
        </w:rPr>
        <w:t>, (ii)</w:t>
      </w:r>
      <w:r w:rsidR="00456266" w:rsidRPr="00BC7BB5">
        <w:rPr>
          <w:rFonts w:ascii="Times New Roman" w:hAnsi="Times New Roman" w:cs="Times New Roman"/>
          <w:color w:val="000000" w:themeColor="text1"/>
        </w:rPr>
        <w:t xml:space="preserve"> promoting quality standards and certification systems</w:t>
      </w:r>
      <w:r w:rsidR="00B83813" w:rsidRPr="00BC7BB5">
        <w:rPr>
          <w:rFonts w:ascii="Times New Roman" w:hAnsi="Times New Roman" w:cs="Times New Roman"/>
          <w:color w:val="000000" w:themeColor="text1"/>
        </w:rPr>
        <w:t>,</w:t>
      </w:r>
      <w:r w:rsidR="00456266" w:rsidRPr="00BC7BB5">
        <w:rPr>
          <w:rFonts w:ascii="Times New Roman" w:hAnsi="Times New Roman" w:cs="Times New Roman"/>
          <w:color w:val="000000" w:themeColor="text1"/>
        </w:rPr>
        <w:t xml:space="preserve"> (i</w:t>
      </w:r>
      <w:r w:rsidR="00B83813" w:rsidRPr="00BC7BB5">
        <w:rPr>
          <w:rFonts w:ascii="Times New Roman" w:hAnsi="Times New Roman" w:cs="Times New Roman"/>
          <w:color w:val="000000" w:themeColor="text1"/>
        </w:rPr>
        <w:t>i</w:t>
      </w:r>
      <w:r w:rsidR="00456266" w:rsidRPr="00BC7BB5">
        <w:rPr>
          <w:rFonts w:ascii="Times New Roman" w:hAnsi="Times New Roman" w:cs="Times New Roman"/>
          <w:color w:val="000000" w:themeColor="text1"/>
        </w:rPr>
        <w:t>i) improving access to business development services for producers and agribusiness SMEs and their readiness for access to finance and investments</w:t>
      </w:r>
      <w:r w:rsidR="00B83813" w:rsidRPr="00BC7BB5">
        <w:rPr>
          <w:rFonts w:ascii="Times New Roman" w:hAnsi="Times New Roman" w:cs="Times New Roman"/>
          <w:color w:val="000000" w:themeColor="text1"/>
        </w:rPr>
        <w:t>, and (iv) financing innovation</w:t>
      </w:r>
      <w:r w:rsidRPr="00BC7BB5">
        <w:rPr>
          <w:rFonts w:ascii="Times New Roman" w:hAnsi="Times New Roman" w:cs="Times New Roman"/>
          <w:color w:val="000000" w:themeColor="text1"/>
        </w:rPr>
        <w:t xml:space="preserve">.   </w:t>
      </w:r>
    </w:p>
    <w:p w14:paraId="48B53210" w14:textId="77777777" w:rsidR="00093AA4" w:rsidRPr="00BC7BB5" w:rsidRDefault="00093AA4" w:rsidP="00093AA4">
      <w:pPr>
        <w:pStyle w:val="ListParagraph"/>
        <w:spacing w:after="0" w:line="240" w:lineRule="auto"/>
        <w:rPr>
          <w:rFonts w:ascii="Times New Roman" w:hAnsi="Times New Roman" w:cs="Times New Roman"/>
          <w:color w:val="000000" w:themeColor="text1"/>
        </w:rPr>
      </w:pPr>
    </w:p>
    <w:p w14:paraId="6A4E7E8E" w14:textId="77777777" w:rsidR="00093AA4" w:rsidRPr="00BC7BB5" w:rsidRDefault="00093AA4" w:rsidP="00093AA4">
      <w:pPr>
        <w:spacing w:after="0" w:line="240" w:lineRule="auto"/>
        <w:jc w:val="both"/>
        <w:rPr>
          <w:rFonts w:ascii="Times New Roman" w:hAnsi="Times New Roman" w:cs="Times New Roman"/>
          <w:b/>
          <w:i/>
          <w:color w:val="000000" w:themeColor="text1"/>
        </w:rPr>
      </w:pPr>
      <w:r w:rsidRPr="00BC7BB5">
        <w:rPr>
          <w:rFonts w:ascii="Times New Roman" w:hAnsi="Times New Roman" w:cs="Times New Roman"/>
          <w:b/>
          <w:i/>
          <w:color w:val="000000" w:themeColor="text1"/>
        </w:rPr>
        <w:t>Program Scope and Boundaries</w:t>
      </w:r>
    </w:p>
    <w:p w14:paraId="6059F942" w14:textId="77777777" w:rsidR="00093AA4" w:rsidRPr="00BC7BB5" w:rsidRDefault="00093AA4" w:rsidP="00093AA4">
      <w:pPr>
        <w:spacing w:after="0" w:line="240" w:lineRule="auto"/>
        <w:jc w:val="both"/>
        <w:rPr>
          <w:rFonts w:ascii="Times New Roman" w:hAnsi="Times New Roman" w:cs="Times New Roman"/>
          <w:b/>
          <w:color w:val="000000" w:themeColor="text1"/>
        </w:rPr>
      </w:pPr>
    </w:p>
    <w:p w14:paraId="76BC337D" w14:textId="0DA9F8D1" w:rsidR="00093AA4" w:rsidRPr="00BC7BB5" w:rsidRDefault="00093AA4" w:rsidP="00F561E8">
      <w:pPr>
        <w:pStyle w:val="ListParagraph"/>
        <w:numPr>
          <w:ilvl w:val="0"/>
          <w:numId w:val="26"/>
        </w:numPr>
        <w:spacing w:after="0" w:line="240" w:lineRule="auto"/>
        <w:ind w:left="0" w:firstLine="0"/>
        <w:jc w:val="both"/>
        <w:rPr>
          <w:rFonts w:ascii="Times New Roman" w:hAnsi="Times New Roman" w:cs="Times New Roman"/>
          <w:color w:val="000000" w:themeColor="text1"/>
        </w:rPr>
      </w:pPr>
      <w:r w:rsidRPr="00BC7BB5">
        <w:rPr>
          <w:rFonts w:ascii="Times New Roman" w:hAnsi="Times New Roman" w:cs="Times New Roman"/>
          <w:color w:val="000000" w:themeColor="text1"/>
        </w:rPr>
        <w:t xml:space="preserve">In selecting areas for support under the proposed </w:t>
      </w:r>
      <w:r w:rsidR="00D8535E">
        <w:rPr>
          <w:rFonts w:ascii="Times New Roman" w:hAnsi="Times New Roman" w:cs="Times New Roman"/>
          <w:color w:val="000000" w:themeColor="text1"/>
        </w:rPr>
        <w:t>P</w:t>
      </w:r>
      <w:r w:rsidR="008469A9">
        <w:rPr>
          <w:rFonts w:ascii="Times New Roman" w:hAnsi="Times New Roman" w:cs="Times New Roman"/>
          <w:color w:val="000000" w:themeColor="text1"/>
        </w:rPr>
        <w:t>f</w:t>
      </w:r>
      <w:r w:rsidR="00D8535E">
        <w:rPr>
          <w:rFonts w:ascii="Times New Roman" w:hAnsi="Times New Roman" w:cs="Times New Roman"/>
          <w:color w:val="000000" w:themeColor="text1"/>
        </w:rPr>
        <w:t>or</w:t>
      </w:r>
      <w:r w:rsidR="00FE4DD8">
        <w:rPr>
          <w:rFonts w:ascii="Times New Roman" w:hAnsi="Times New Roman" w:cs="Times New Roman"/>
          <w:color w:val="000000" w:themeColor="text1"/>
        </w:rPr>
        <w:t>R</w:t>
      </w:r>
      <w:r w:rsidRPr="00BC7BB5">
        <w:rPr>
          <w:rFonts w:ascii="Times New Roman" w:hAnsi="Times New Roman" w:cs="Times New Roman"/>
          <w:color w:val="000000" w:themeColor="text1"/>
        </w:rPr>
        <w:t xml:space="preserve">, the following considerations and principles provided the basis for the definition of the Program scope and boundaries: </w:t>
      </w:r>
    </w:p>
    <w:p w14:paraId="2D102C6F" w14:textId="77777777" w:rsidR="00093AA4" w:rsidRPr="00BC7BB5" w:rsidRDefault="00093AA4" w:rsidP="00093AA4">
      <w:pPr>
        <w:spacing w:after="0" w:line="240" w:lineRule="auto"/>
        <w:ind w:left="360"/>
        <w:jc w:val="both"/>
        <w:rPr>
          <w:rFonts w:ascii="Times New Roman" w:hAnsi="Times New Roman" w:cs="Times New Roman"/>
          <w:color w:val="000000" w:themeColor="text1"/>
        </w:rPr>
      </w:pPr>
    </w:p>
    <w:p w14:paraId="058A5778" w14:textId="6EB19CB9" w:rsidR="00174111" w:rsidRPr="00BC7BB5" w:rsidRDefault="00093AA4" w:rsidP="00F561E8">
      <w:pPr>
        <w:pStyle w:val="ListParagraph"/>
        <w:numPr>
          <w:ilvl w:val="1"/>
          <w:numId w:val="26"/>
        </w:numPr>
        <w:spacing w:after="0" w:line="240" w:lineRule="auto"/>
        <w:ind w:left="720"/>
        <w:jc w:val="both"/>
        <w:rPr>
          <w:rFonts w:ascii="Times New Roman" w:hAnsi="Times New Roman" w:cs="Times New Roman"/>
          <w:color w:val="000000" w:themeColor="text1"/>
        </w:rPr>
      </w:pPr>
      <w:r w:rsidRPr="00BC7BB5">
        <w:rPr>
          <w:rFonts w:ascii="Times New Roman" w:hAnsi="Times New Roman" w:cs="Times New Roman"/>
          <w:color w:val="000000" w:themeColor="text1"/>
        </w:rPr>
        <w:t xml:space="preserve">The Program would be aligned with the recommendations of the mid-term review of the PMV </w:t>
      </w:r>
      <w:r w:rsidR="00A52CB2" w:rsidRPr="00BC7BB5">
        <w:rPr>
          <w:rFonts w:ascii="Times New Roman" w:hAnsi="Times New Roman" w:cs="Times New Roman"/>
          <w:color w:val="000000" w:themeColor="text1"/>
        </w:rPr>
        <w:t xml:space="preserve">for </w:t>
      </w:r>
      <w:r w:rsidRPr="00BC7BB5">
        <w:rPr>
          <w:rFonts w:ascii="Times New Roman" w:hAnsi="Times New Roman" w:cs="Times New Roman"/>
          <w:color w:val="000000" w:themeColor="text1"/>
        </w:rPr>
        <w:t xml:space="preserve">greater emphasis on agri-food value-chains development. Substantial progress had been made at farm level, under the PMV, in terms of increasing agricultural production and productivity, whereas the mid-term review of the PMV found that important bottlenecks remain to be addressed beyond </w:t>
      </w:r>
      <w:r w:rsidRPr="00BC7BB5">
        <w:rPr>
          <w:rFonts w:ascii="Times New Roman" w:hAnsi="Times New Roman" w:cs="Times New Roman"/>
          <w:color w:val="000000" w:themeColor="text1"/>
        </w:rPr>
        <w:lastRenderedPageBreak/>
        <w:t>the farm-gate. The Program would support and help improve PMV’s interventions that address those bottlenecks – so as to create new market opportunities that will drive further investments in the sector</w:t>
      </w:r>
      <w:r w:rsidR="00174111" w:rsidRPr="00BC7BB5">
        <w:rPr>
          <w:rFonts w:ascii="Times New Roman" w:hAnsi="Times New Roman" w:cs="Times New Roman"/>
          <w:color w:val="000000" w:themeColor="text1"/>
        </w:rPr>
        <w:t>;</w:t>
      </w:r>
    </w:p>
    <w:p w14:paraId="1ED30315" w14:textId="58DF5B2C" w:rsidR="00AF1101" w:rsidRPr="00BC7BB5" w:rsidRDefault="00AF1101" w:rsidP="00F561E8">
      <w:pPr>
        <w:pStyle w:val="ListParagraph"/>
        <w:numPr>
          <w:ilvl w:val="1"/>
          <w:numId w:val="26"/>
        </w:numPr>
        <w:spacing w:after="0" w:line="240" w:lineRule="auto"/>
        <w:ind w:left="720"/>
        <w:jc w:val="both"/>
        <w:rPr>
          <w:rFonts w:ascii="Times New Roman" w:hAnsi="Times New Roman" w:cs="Times New Roman"/>
          <w:color w:val="000000" w:themeColor="text1"/>
        </w:rPr>
      </w:pPr>
      <w:r w:rsidRPr="00BC7BB5">
        <w:rPr>
          <w:rFonts w:ascii="Times New Roman" w:hAnsi="Times New Roman" w:cs="Times New Roman"/>
          <w:color w:val="000000" w:themeColor="text1"/>
        </w:rPr>
        <w:t>The Program would apply the principles of maximizing finance for development</w:t>
      </w:r>
      <w:r w:rsidR="008469A9">
        <w:rPr>
          <w:rFonts w:ascii="Times New Roman" w:hAnsi="Times New Roman" w:cs="Times New Roman"/>
          <w:color w:val="000000" w:themeColor="text1"/>
        </w:rPr>
        <w:t>/</w:t>
      </w:r>
      <w:r w:rsidR="00A050C1">
        <w:rPr>
          <w:rFonts w:ascii="Times New Roman" w:hAnsi="Times New Roman" w:cs="Times New Roman"/>
          <w:color w:val="000000" w:themeColor="text1"/>
        </w:rPr>
        <w:t xml:space="preserve"> “</w:t>
      </w:r>
      <w:r w:rsidR="008469A9">
        <w:rPr>
          <w:rFonts w:ascii="Times New Roman" w:hAnsi="Times New Roman" w:cs="Times New Roman"/>
          <w:color w:val="000000" w:themeColor="text1"/>
        </w:rPr>
        <w:t>cascade</w:t>
      </w:r>
      <w:r w:rsidRPr="00BC7BB5">
        <w:rPr>
          <w:rFonts w:ascii="Times New Roman" w:hAnsi="Times New Roman" w:cs="Times New Roman"/>
          <w:color w:val="000000" w:themeColor="text1"/>
        </w:rPr>
        <w:t xml:space="preserve">” and seek to maximize private sector investments in the agri-food sector by improving selected regulations, instruments and programs impacting private investments in the agri-food sector; </w:t>
      </w:r>
    </w:p>
    <w:p w14:paraId="202A059D" w14:textId="3AE9560C" w:rsidR="00AF1101" w:rsidRPr="00BC7BB5" w:rsidRDefault="00AF1101" w:rsidP="00F561E8">
      <w:pPr>
        <w:pStyle w:val="ListParagraph"/>
        <w:numPr>
          <w:ilvl w:val="1"/>
          <w:numId w:val="26"/>
        </w:numPr>
        <w:spacing w:after="0" w:line="240" w:lineRule="auto"/>
        <w:ind w:left="720"/>
        <w:jc w:val="both"/>
        <w:rPr>
          <w:rFonts w:ascii="Times New Roman" w:hAnsi="Times New Roman" w:cs="Times New Roman"/>
          <w:color w:val="000000" w:themeColor="text1"/>
        </w:rPr>
      </w:pPr>
      <w:r w:rsidRPr="00BC7BB5">
        <w:rPr>
          <w:rFonts w:ascii="Times New Roman" w:hAnsi="Times New Roman" w:cs="Times New Roman"/>
          <w:color w:val="000000" w:themeColor="text1"/>
        </w:rPr>
        <w:t>The Program would selectively support interventions that have the potential to accelerate the broader transformation of the agri-food sector towards greater added-value and inclusion of small and medium producers with markets (such as the reform of wholesale markets; the use of ICT</w:t>
      </w:r>
      <w:r w:rsidRPr="00BC7BB5">
        <w:rPr>
          <w:rFonts w:ascii="Times New Roman" w:hAnsi="Times New Roman" w:cs="Times New Roman"/>
          <w:color w:val="000000" w:themeColor="text1"/>
        </w:rPr>
        <w:fldChar w:fldCharType="begin"/>
      </w:r>
      <w:r w:rsidRPr="00BC7BB5">
        <w:instrText xml:space="preserve"> XE "</w:instrText>
      </w:r>
      <w:r w:rsidRPr="00BC7BB5">
        <w:rPr>
          <w:rFonts w:ascii="Times New Roman" w:hAnsi="Times New Roman" w:cs="Times New Roman"/>
          <w:color w:val="000000" w:themeColor="text1"/>
        </w:rPr>
        <w:instrText>ICT</w:instrText>
      </w:r>
      <w:r w:rsidRPr="00BC7BB5">
        <w:instrText xml:space="preserve">" </w:instrText>
      </w:r>
      <w:r w:rsidRPr="00BC7BB5">
        <w:rPr>
          <w:rFonts w:ascii="Times New Roman" w:hAnsi="Times New Roman" w:cs="Times New Roman"/>
          <w:color w:val="000000" w:themeColor="text1"/>
        </w:rPr>
        <w:fldChar w:fldCharType="end"/>
      </w:r>
      <w:r w:rsidRPr="00BC7BB5">
        <w:rPr>
          <w:rFonts w:ascii="Times New Roman" w:hAnsi="Times New Roman" w:cs="Times New Roman"/>
          <w:color w:val="000000" w:themeColor="text1"/>
        </w:rPr>
        <w:t xml:space="preserve"> for producers’ access to information; the promotion of commercial partnerships between small producers and buyers; strengthening the ecosystem for agribusiness development; etc.);</w:t>
      </w:r>
    </w:p>
    <w:p w14:paraId="0726085E" w14:textId="110D131D" w:rsidR="00AF1101" w:rsidRPr="00BC7BB5" w:rsidRDefault="00AF1101" w:rsidP="00F561E8">
      <w:pPr>
        <w:pStyle w:val="ListParagraph"/>
        <w:numPr>
          <w:ilvl w:val="1"/>
          <w:numId w:val="26"/>
        </w:numPr>
        <w:spacing w:after="0" w:line="240" w:lineRule="auto"/>
        <w:ind w:left="720"/>
        <w:jc w:val="both"/>
        <w:rPr>
          <w:rFonts w:ascii="Times New Roman" w:hAnsi="Times New Roman" w:cs="Times New Roman"/>
          <w:color w:val="000000" w:themeColor="text1"/>
        </w:rPr>
      </w:pPr>
      <w:r w:rsidRPr="00BC7BB5">
        <w:rPr>
          <w:rFonts w:ascii="Times New Roman" w:hAnsi="Times New Roman" w:cs="Times New Roman"/>
          <w:color w:val="000000" w:themeColor="text1"/>
        </w:rPr>
        <w:t>Program interventions would be focused on key areas of the Government’s program where the Bank’s international experience can be brought in to improve existing instruments and continue the reform efforts supported under the previous DPL</w:t>
      </w:r>
      <w:r w:rsidRPr="00BC7BB5">
        <w:rPr>
          <w:rFonts w:ascii="Times New Roman" w:hAnsi="Times New Roman" w:cs="Times New Roman"/>
          <w:color w:val="000000" w:themeColor="text1"/>
        </w:rPr>
        <w:fldChar w:fldCharType="begin"/>
      </w:r>
      <w:r w:rsidRPr="00BC7BB5">
        <w:instrText xml:space="preserve"> XE "</w:instrText>
      </w:r>
      <w:r w:rsidRPr="00BC7BB5">
        <w:rPr>
          <w:rFonts w:ascii="Times New Roman" w:hAnsi="Times New Roman" w:cs="Times New Roman"/>
          <w:color w:val="000000" w:themeColor="text1"/>
        </w:rPr>
        <w:instrText>DPL</w:instrText>
      </w:r>
      <w:r w:rsidRPr="00BC7BB5">
        <w:instrText xml:space="preserve">" </w:instrText>
      </w:r>
      <w:r w:rsidRPr="00BC7BB5">
        <w:rPr>
          <w:rFonts w:ascii="Times New Roman" w:hAnsi="Times New Roman" w:cs="Times New Roman"/>
          <w:color w:val="000000" w:themeColor="text1"/>
        </w:rPr>
        <w:fldChar w:fldCharType="end"/>
      </w:r>
      <w:r w:rsidRPr="00BC7BB5">
        <w:rPr>
          <w:rFonts w:ascii="Times New Roman" w:hAnsi="Times New Roman" w:cs="Times New Roman"/>
          <w:color w:val="000000" w:themeColor="text1"/>
        </w:rPr>
        <w:t xml:space="preserve"> series;</w:t>
      </w:r>
    </w:p>
    <w:p w14:paraId="14AD8AB5" w14:textId="00834078" w:rsidR="00AF1101" w:rsidRPr="00BC7BB5" w:rsidRDefault="00AF1101" w:rsidP="00F561E8">
      <w:pPr>
        <w:pStyle w:val="ListParagraph"/>
        <w:numPr>
          <w:ilvl w:val="1"/>
          <w:numId w:val="26"/>
        </w:numPr>
        <w:spacing w:after="0" w:line="240" w:lineRule="auto"/>
        <w:ind w:left="720"/>
        <w:jc w:val="both"/>
        <w:rPr>
          <w:rFonts w:ascii="Times New Roman" w:hAnsi="Times New Roman" w:cs="Times New Roman"/>
          <w:color w:val="000000" w:themeColor="text1"/>
        </w:rPr>
      </w:pPr>
      <w:r w:rsidRPr="00BC7BB5">
        <w:rPr>
          <w:rFonts w:ascii="Times New Roman" w:hAnsi="Times New Roman" w:cs="Times New Roman"/>
          <w:color w:val="000000" w:themeColor="text1"/>
        </w:rPr>
        <w:t>The Program would serve as a leverage to facilitate multi-stakeholder dialogue and reforms. The design of the Program recognizes that it can provide a platform to facilitate dialogue and accelerate the implementation of reforms in areas that require good intra-governmental coordination as well as public-private partnerships (such as the wholesale market reforms, the implementation of the food safety law and the strengthening of the</w:t>
      </w:r>
      <w:r w:rsidR="007A076A">
        <w:rPr>
          <w:rFonts w:ascii="Times New Roman" w:hAnsi="Times New Roman" w:cs="Times New Roman"/>
          <w:color w:val="000000" w:themeColor="text1"/>
        </w:rPr>
        <w:t xml:space="preserve"> newly-recognize</w:t>
      </w:r>
      <w:r w:rsidRPr="00BC7BB5">
        <w:rPr>
          <w:rFonts w:ascii="Times New Roman" w:hAnsi="Times New Roman" w:cs="Times New Roman"/>
          <w:color w:val="000000" w:themeColor="text1"/>
        </w:rPr>
        <w:t>d interprofessions); and</w:t>
      </w:r>
    </w:p>
    <w:p w14:paraId="2E422085" w14:textId="6B79AC4C" w:rsidR="003F5CDC" w:rsidRPr="00BC7BB5" w:rsidRDefault="00AF1101" w:rsidP="00F561E8">
      <w:pPr>
        <w:pStyle w:val="ListParagraph"/>
        <w:numPr>
          <w:ilvl w:val="1"/>
          <w:numId w:val="26"/>
        </w:numPr>
        <w:spacing w:after="0" w:line="240" w:lineRule="auto"/>
        <w:ind w:left="720"/>
        <w:jc w:val="both"/>
        <w:rPr>
          <w:rFonts w:ascii="Times New Roman" w:hAnsi="Times New Roman" w:cs="Times New Roman"/>
          <w:color w:val="000000" w:themeColor="text1"/>
        </w:rPr>
      </w:pPr>
      <w:r w:rsidRPr="00BC7BB5">
        <w:rPr>
          <w:rFonts w:ascii="Times New Roman" w:hAnsi="Times New Roman" w:cs="Times New Roman"/>
          <w:color w:val="000000" w:themeColor="text1"/>
        </w:rPr>
        <w:t>Transversal measures would be complemented by support to selected value-chains. Considering the breadth of the Government program both with regards to transversal reforms and investment support, Program support for increased value-chain integration and investments at value-chain level would focus on two high priority sub-sectors (olive and citrus) under the PMV, with the understanding that success in those two sectors could subsequently serve as a blue print for other sub-sectors</w:t>
      </w:r>
      <w:r w:rsidR="003F5CDC" w:rsidRPr="00BC7BB5">
        <w:rPr>
          <w:rFonts w:ascii="Times New Roman" w:hAnsi="Times New Roman" w:cs="Times New Roman"/>
          <w:color w:val="000000" w:themeColor="text1"/>
        </w:rPr>
        <w:t>.</w:t>
      </w:r>
    </w:p>
    <w:p w14:paraId="66C898A7" w14:textId="77777777" w:rsidR="00093AA4" w:rsidRPr="00BC7BB5" w:rsidRDefault="00093AA4" w:rsidP="00093AA4">
      <w:pPr>
        <w:spacing w:after="0" w:line="240" w:lineRule="auto"/>
        <w:jc w:val="both"/>
        <w:rPr>
          <w:rFonts w:ascii="Times New Roman" w:hAnsi="Times New Roman" w:cs="Times New Roman"/>
          <w:color w:val="000000" w:themeColor="text1"/>
        </w:rPr>
      </w:pPr>
    </w:p>
    <w:p w14:paraId="3895367B" w14:textId="46055A11" w:rsidR="00093AA4" w:rsidRPr="00BC7BB5" w:rsidRDefault="00093AA4" w:rsidP="00F561E8">
      <w:pPr>
        <w:pStyle w:val="ListParagraph"/>
        <w:numPr>
          <w:ilvl w:val="0"/>
          <w:numId w:val="26"/>
        </w:numPr>
        <w:spacing w:after="0" w:line="240" w:lineRule="auto"/>
        <w:ind w:left="0" w:firstLine="0"/>
        <w:jc w:val="both"/>
        <w:rPr>
          <w:rFonts w:ascii="Times New Roman" w:hAnsi="Times New Roman" w:cs="Times New Roman"/>
          <w:color w:val="000000" w:themeColor="text1"/>
        </w:rPr>
      </w:pPr>
      <w:r w:rsidRPr="00BC7BB5">
        <w:rPr>
          <w:rFonts w:ascii="Times New Roman" w:hAnsi="Times New Roman" w:cs="Times New Roman"/>
          <w:color w:val="000000" w:themeColor="text1"/>
        </w:rPr>
        <w:t xml:space="preserve">Table </w:t>
      </w:r>
      <w:r w:rsidR="00335921" w:rsidRPr="00BC7BB5">
        <w:rPr>
          <w:rFonts w:ascii="Times New Roman" w:hAnsi="Times New Roman" w:cs="Times New Roman"/>
          <w:color w:val="000000" w:themeColor="text1"/>
        </w:rPr>
        <w:t>A</w:t>
      </w:r>
      <w:r w:rsidRPr="00BC7BB5">
        <w:rPr>
          <w:rFonts w:ascii="Times New Roman" w:hAnsi="Times New Roman" w:cs="Times New Roman"/>
          <w:color w:val="000000" w:themeColor="text1"/>
        </w:rPr>
        <w:t>1.1 below summarizes the content of the Government’s program and the scope of the proposed Program.</w:t>
      </w:r>
      <w:r w:rsidR="00AF1101" w:rsidRPr="00BC7BB5">
        <w:rPr>
          <w:rFonts w:ascii="Times New Roman" w:hAnsi="Times New Roman" w:cs="Times New Roman"/>
          <w:color w:val="000000" w:themeColor="text1"/>
        </w:rPr>
        <w:t xml:space="preserve"> The Program would support selected activities in four of the seven transversal sub-programs of the PMV (Sector governance, market efficiency, food quality and agriculture knowledge and innovation systems) as well as the PMV’s investment support program in two of the 18 sub-sectors supported by the PMV over a five-year period (2018-2022). The Program area includes the </w:t>
      </w:r>
      <w:r w:rsidR="00AF1101" w:rsidRPr="00BC7BB5">
        <w:rPr>
          <w:rFonts w:ascii="Times New Roman" w:hAnsi="Times New Roman" w:cs="Times New Roman"/>
        </w:rPr>
        <w:t xml:space="preserve">regions of Tanger-Tétouan-Al Hoceima, l’Oriental, Fès-Meknès, Rabat-Salé-Kénitra, Béni-Mellal-Khénifra, Casablanca-Settat, </w:t>
      </w:r>
      <w:r w:rsidR="00D43DF8">
        <w:rPr>
          <w:rFonts w:ascii="Times New Roman" w:hAnsi="Times New Roman" w:cs="Times New Roman"/>
        </w:rPr>
        <w:t>Marrakech-Safi, Draâ-Tafilalet</w:t>
      </w:r>
      <w:r w:rsidR="008469A9">
        <w:rPr>
          <w:rFonts w:ascii="Times New Roman" w:hAnsi="Times New Roman" w:cs="Times New Roman"/>
        </w:rPr>
        <w:t>,</w:t>
      </w:r>
      <w:r w:rsidR="00AF1101" w:rsidRPr="00BC7BB5">
        <w:rPr>
          <w:rFonts w:ascii="Times New Roman" w:hAnsi="Times New Roman" w:cs="Times New Roman"/>
        </w:rPr>
        <w:t xml:space="preserve"> and </w:t>
      </w:r>
      <w:r w:rsidR="00D43DF8">
        <w:rPr>
          <w:rFonts w:ascii="Times New Roman" w:hAnsi="Times New Roman" w:cs="Times New Roman"/>
        </w:rPr>
        <w:t>Souss-Massa</w:t>
      </w:r>
      <w:r w:rsidR="00AF1101" w:rsidRPr="00BC7BB5">
        <w:rPr>
          <w:rFonts w:ascii="Times New Roman" w:hAnsi="Times New Roman" w:cs="Times New Roman"/>
        </w:rPr>
        <w:t>.</w:t>
      </w:r>
    </w:p>
    <w:p w14:paraId="4F57D12B" w14:textId="77777777" w:rsidR="00093AA4" w:rsidRPr="00BC7BB5" w:rsidRDefault="00093AA4" w:rsidP="00093AA4">
      <w:pPr>
        <w:spacing w:after="0" w:line="240" w:lineRule="auto"/>
        <w:jc w:val="both"/>
        <w:rPr>
          <w:rFonts w:ascii="Times New Roman" w:hAnsi="Times New Roman" w:cs="Times New Roman"/>
          <w:color w:val="000000" w:themeColor="text1"/>
        </w:rPr>
      </w:pPr>
    </w:p>
    <w:p w14:paraId="77003935" w14:textId="156DC05F" w:rsidR="00093AA4" w:rsidRPr="00BC7BB5" w:rsidRDefault="00093AA4" w:rsidP="00093AA4">
      <w:pPr>
        <w:spacing w:after="120" w:line="240" w:lineRule="auto"/>
        <w:jc w:val="center"/>
        <w:rPr>
          <w:rFonts w:ascii="Times New Roman" w:hAnsi="Times New Roman" w:cs="Times New Roman"/>
          <w:b/>
          <w:color w:val="000000" w:themeColor="text1"/>
        </w:rPr>
      </w:pPr>
      <w:r w:rsidRPr="00BC7BB5">
        <w:rPr>
          <w:rFonts w:ascii="Times New Roman" w:hAnsi="Times New Roman" w:cs="Times New Roman"/>
          <w:b/>
          <w:color w:val="000000" w:themeColor="text1"/>
        </w:rPr>
        <w:t xml:space="preserve">Table </w:t>
      </w:r>
      <w:r w:rsidR="00335921" w:rsidRPr="00BC7BB5">
        <w:rPr>
          <w:rFonts w:ascii="Times New Roman" w:hAnsi="Times New Roman" w:cs="Times New Roman"/>
          <w:b/>
          <w:color w:val="000000" w:themeColor="text1"/>
        </w:rPr>
        <w:t>A</w:t>
      </w:r>
      <w:r w:rsidRPr="00BC7BB5">
        <w:rPr>
          <w:rFonts w:ascii="Times New Roman" w:hAnsi="Times New Roman" w:cs="Times New Roman"/>
          <w:b/>
          <w:color w:val="000000" w:themeColor="text1"/>
        </w:rPr>
        <w:t>1.1 Government program and scope of the Program</w:t>
      </w:r>
    </w:p>
    <w:tbl>
      <w:tblPr>
        <w:tblStyle w:val="TableGrid"/>
        <w:tblW w:w="0" w:type="auto"/>
        <w:tblLook w:val="04A0" w:firstRow="1" w:lastRow="0" w:firstColumn="1" w:lastColumn="0" w:noHBand="0" w:noVBand="1"/>
      </w:tblPr>
      <w:tblGrid>
        <w:gridCol w:w="1843"/>
        <w:gridCol w:w="4549"/>
        <w:gridCol w:w="2958"/>
      </w:tblGrid>
      <w:tr w:rsidR="00093AA4" w:rsidRPr="00BC7BB5" w14:paraId="7A424AB8" w14:textId="77777777" w:rsidTr="00E06CB9">
        <w:tc>
          <w:tcPr>
            <w:tcW w:w="1843" w:type="dxa"/>
          </w:tcPr>
          <w:p w14:paraId="5E9F973F" w14:textId="77777777" w:rsidR="00093AA4" w:rsidRPr="00BC7BB5" w:rsidRDefault="00093AA4" w:rsidP="00E06CB9">
            <w:pPr>
              <w:jc w:val="center"/>
              <w:rPr>
                <w:rFonts w:ascii="Times New Roman" w:hAnsi="Times New Roman" w:cs="Times New Roman"/>
                <w:b/>
                <w:i/>
                <w:sz w:val="18"/>
                <w:szCs w:val="18"/>
              </w:rPr>
            </w:pPr>
            <w:r w:rsidRPr="00BC7BB5">
              <w:rPr>
                <w:rFonts w:ascii="Times New Roman" w:hAnsi="Times New Roman" w:cs="Times New Roman"/>
                <w:b/>
                <w:i/>
                <w:sz w:val="18"/>
                <w:szCs w:val="18"/>
              </w:rPr>
              <w:t>Attributes</w:t>
            </w:r>
          </w:p>
        </w:tc>
        <w:tc>
          <w:tcPr>
            <w:tcW w:w="4549" w:type="dxa"/>
          </w:tcPr>
          <w:p w14:paraId="2B7A226E" w14:textId="77777777" w:rsidR="00093AA4" w:rsidRPr="00BC7BB5" w:rsidRDefault="00093AA4" w:rsidP="00E06CB9">
            <w:pPr>
              <w:jc w:val="center"/>
              <w:rPr>
                <w:rFonts w:ascii="Times New Roman" w:hAnsi="Times New Roman" w:cs="Times New Roman"/>
                <w:b/>
                <w:i/>
                <w:sz w:val="18"/>
                <w:szCs w:val="18"/>
              </w:rPr>
            </w:pPr>
            <w:r w:rsidRPr="00BC7BB5">
              <w:rPr>
                <w:rFonts w:ascii="Times New Roman" w:hAnsi="Times New Roman" w:cs="Times New Roman"/>
                <w:b/>
                <w:i/>
                <w:sz w:val="18"/>
                <w:szCs w:val="18"/>
              </w:rPr>
              <w:t>Plan Maroc Vert (Government program)</w:t>
            </w:r>
          </w:p>
        </w:tc>
        <w:tc>
          <w:tcPr>
            <w:tcW w:w="2958" w:type="dxa"/>
          </w:tcPr>
          <w:p w14:paraId="0787A7F0" w14:textId="77777777" w:rsidR="00093AA4" w:rsidRPr="00BC7BB5" w:rsidRDefault="00093AA4" w:rsidP="00E06CB9">
            <w:pPr>
              <w:jc w:val="center"/>
              <w:rPr>
                <w:rFonts w:ascii="Times New Roman" w:hAnsi="Times New Roman" w:cs="Times New Roman"/>
                <w:b/>
                <w:i/>
                <w:sz w:val="18"/>
                <w:szCs w:val="18"/>
              </w:rPr>
            </w:pPr>
            <w:r w:rsidRPr="00BC7BB5">
              <w:rPr>
                <w:rFonts w:ascii="Times New Roman" w:hAnsi="Times New Roman" w:cs="Times New Roman"/>
                <w:b/>
                <w:i/>
                <w:sz w:val="18"/>
                <w:szCs w:val="18"/>
              </w:rPr>
              <w:t>Proposed Program</w:t>
            </w:r>
          </w:p>
        </w:tc>
      </w:tr>
      <w:tr w:rsidR="00093AA4" w:rsidRPr="00BC7BB5" w14:paraId="5378D09D" w14:textId="77777777" w:rsidTr="00E06CB9">
        <w:tc>
          <w:tcPr>
            <w:tcW w:w="1843" w:type="dxa"/>
          </w:tcPr>
          <w:p w14:paraId="5C397F4F" w14:textId="7C1C40B9" w:rsidR="00093AA4" w:rsidRPr="00BC7BB5" w:rsidRDefault="00093AA4" w:rsidP="00E06CB9">
            <w:pPr>
              <w:jc w:val="center"/>
              <w:rPr>
                <w:rFonts w:ascii="Times New Roman" w:hAnsi="Times New Roman" w:cs="Times New Roman"/>
                <w:b/>
                <w:i/>
                <w:sz w:val="18"/>
                <w:szCs w:val="18"/>
              </w:rPr>
            </w:pPr>
            <w:r w:rsidRPr="00BC7BB5">
              <w:rPr>
                <w:rFonts w:ascii="Times New Roman" w:hAnsi="Times New Roman" w:cs="Times New Roman"/>
                <w:b/>
                <w:i/>
                <w:sz w:val="18"/>
                <w:szCs w:val="18"/>
              </w:rPr>
              <w:t>Development objective (</w:t>
            </w:r>
            <w:r w:rsidR="000729F8" w:rsidRPr="00BC7BB5">
              <w:rPr>
                <w:rFonts w:ascii="Times New Roman" w:hAnsi="Times New Roman" w:cs="Times New Roman"/>
                <w:b/>
                <w:i/>
                <w:sz w:val="18"/>
                <w:szCs w:val="18"/>
              </w:rPr>
              <w:t>P</w:t>
            </w:r>
            <w:r w:rsidRPr="00BC7BB5">
              <w:rPr>
                <w:rFonts w:ascii="Times New Roman" w:hAnsi="Times New Roman" w:cs="Times New Roman"/>
                <w:b/>
                <w:i/>
                <w:sz w:val="18"/>
                <w:szCs w:val="18"/>
              </w:rPr>
              <w:t>DO)</w:t>
            </w:r>
          </w:p>
        </w:tc>
        <w:tc>
          <w:tcPr>
            <w:tcW w:w="4549" w:type="dxa"/>
          </w:tcPr>
          <w:p w14:paraId="24D5ED51" w14:textId="6A911689" w:rsidR="00093AA4" w:rsidRPr="00BC7BB5" w:rsidRDefault="00093AA4" w:rsidP="00E06CB9">
            <w:pPr>
              <w:jc w:val="both"/>
              <w:rPr>
                <w:rFonts w:ascii="Times New Roman" w:hAnsi="Times New Roman" w:cs="Times New Roman"/>
                <w:b/>
                <w:i/>
                <w:sz w:val="18"/>
                <w:szCs w:val="18"/>
              </w:rPr>
            </w:pPr>
            <w:r w:rsidRPr="00BC7BB5">
              <w:rPr>
                <w:rFonts w:ascii="Times New Roman" w:hAnsi="Times New Roman" w:cs="Times New Roman"/>
                <w:sz w:val="18"/>
                <w:szCs w:val="18"/>
              </w:rPr>
              <w:t>The PMV aims to transform</w:t>
            </w:r>
            <w:r w:rsidR="000729F8" w:rsidRPr="00BC7BB5">
              <w:rPr>
                <w:rFonts w:ascii="Times New Roman" w:hAnsi="Times New Roman" w:cs="Times New Roman"/>
                <w:sz w:val="18"/>
                <w:szCs w:val="18"/>
              </w:rPr>
              <w:t xml:space="preserve"> the agri-food sector into a</w:t>
            </w:r>
            <w:r w:rsidRPr="00BC7BB5">
              <w:rPr>
                <w:rFonts w:ascii="Times New Roman" w:hAnsi="Times New Roman" w:cs="Times New Roman"/>
                <w:sz w:val="18"/>
                <w:szCs w:val="18"/>
              </w:rPr>
              <w:t xml:space="preserve"> source of economic growth that contributes to employment creation and poverty reduction in rural areas. In addition, the policy reforms and inves</w:t>
            </w:r>
            <w:r w:rsidR="000729F8" w:rsidRPr="00BC7BB5">
              <w:rPr>
                <w:rFonts w:ascii="Times New Roman" w:hAnsi="Times New Roman" w:cs="Times New Roman"/>
                <w:sz w:val="18"/>
                <w:szCs w:val="18"/>
              </w:rPr>
              <w:t>tments in a productive, dynamic</w:t>
            </w:r>
            <w:r w:rsidRPr="00BC7BB5">
              <w:rPr>
                <w:rFonts w:ascii="Times New Roman" w:hAnsi="Times New Roman" w:cs="Times New Roman"/>
                <w:sz w:val="18"/>
                <w:szCs w:val="18"/>
              </w:rPr>
              <w:t xml:space="preserve"> and market-oriented agri-food sector supported under the PMV seek to </w:t>
            </w:r>
            <w:r w:rsidR="000729F8" w:rsidRPr="00BC7BB5">
              <w:rPr>
                <w:rFonts w:ascii="Times New Roman" w:hAnsi="Times New Roman" w:cs="Times New Roman"/>
                <w:sz w:val="18"/>
                <w:szCs w:val="18"/>
              </w:rPr>
              <w:t>improve food security, promote the Morocco’</w:t>
            </w:r>
            <w:r w:rsidRPr="00BC7BB5">
              <w:rPr>
                <w:rFonts w:ascii="Times New Roman" w:hAnsi="Times New Roman" w:cs="Times New Roman"/>
                <w:sz w:val="18"/>
                <w:szCs w:val="18"/>
              </w:rPr>
              <w:t>s in</w:t>
            </w:r>
            <w:r w:rsidR="000729F8" w:rsidRPr="00BC7BB5">
              <w:rPr>
                <w:rFonts w:ascii="Times New Roman" w:hAnsi="Times New Roman" w:cs="Times New Roman"/>
                <w:sz w:val="18"/>
                <w:szCs w:val="18"/>
              </w:rPr>
              <w:t>tegration in the global economy</w:t>
            </w:r>
            <w:r w:rsidRPr="00BC7BB5">
              <w:rPr>
                <w:rFonts w:ascii="Times New Roman" w:hAnsi="Times New Roman" w:cs="Times New Roman"/>
                <w:sz w:val="18"/>
                <w:szCs w:val="18"/>
              </w:rPr>
              <w:t xml:space="preserve"> and help the sector adapt to climate change.</w:t>
            </w:r>
          </w:p>
        </w:tc>
        <w:tc>
          <w:tcPr>
            <w:tcW w:w="2958" w:type="dxa"/>
          </w:tcPr>
          <w:p w14:paraId="3DFDFA51" w14:textId="087B0747" w:rsidR="00093AA4" w:rsidRPr="00BC7BB5" w:rsidRDefault="00B83813" w:rsidP="00E06CB9">
            <w:pPr>
              <w:jc w:val="both"/>
              <w:rPr>
                <w:rFonts w:ascii="Times New Roman" w:hAnsi="Times New Roman" w:cs="Times New Roman"/>
                <w:b/>
                <w:i/>
                <w:sz w:val="18"/>
                <w:szCs w:val="18"/>
              </w:rPr>
            </w:pPr>
            <w:r w:rsidRPr="00BC7BB5">
              <w:rPr>
                <w:rFonts w:ascii="Times New Roman" w:hAnsi="Times New Roman" w:cs="Times New Roman"/>
                <w:color w:val="000000" w:themeColor="text1"/>
                <w:sz w:val="18"/>
                <w:szCs w:val="18"/>
              </w:rPr>
              <w:t xml:space="preserve">To increase </w:t>
            </w:r>
            <w:r w:rsidR="003870AF" w:rsidRPr="00BC7BB5">
              <w:rPr>
                <w:rFonts w:ascii="Times New Roman" w:hAnsi="Times New Roman" w:cs="Times New Roman"/>
                <w:color w:val="000000" w:themeColor="text1"/>
                <w:sz w:val="18"/>
                <w:szCs w:val="18"/>
              </w:rPr>
              <w:t>the volume of added-</w:t>
            </w:r>
            <w:r w:rsidR="000729F8" w:rsidRPr="00BC7BB5">
              <w:rPr>
                <w:rFonts w:ascii="Times New Roman" w:hAnsi="Times New Roman" w:cs="Times New Roman"/>
                <w:color w:val="000000" w:themeColor="text1"/>
                <w:sz w:val="18"/>
                <w:szCs w:val="18"/>
              </w:rPr>
              <w:t>value products commerciali</w:t>
            </w:r>
            <w:r w:rsidR="007276E4" w:rsidRPr="00BC7BB5">
              <w:rPr>
                <w:rFonts w:ascii="Times New Roman" w:hAnsi="Times New Roman" w:cs="Times New Roman"/>
                <w:color w:val="000000" w:themeColor="text1"/>
                <w:sz w:val="18"/>
                <w:szCs w:val="18"/>
              </w:rPr>
              <w:t xml:space="preserve">zed in selected agri-food value </w:t>
            </w:r>
            <w:r w:rsidR="000729F8" w:rsidRPr="00BC7BB5">
              <w:rPr>
                <w:rFonts w:ascii="Times New Roman" w:hAnsi="Times New Roman" w:cs="Times New Roman"/>
                <w:color w:val="000000" w:themeColor="text1"/>
                <w:sz w:val="18"/>
                <w:szCs w:val="18"/>
              </w:rPr>
              <w:t>chains in the Program area.</w:t>
            </w:r>
          </w:p>
        </w:tc>
      </w:tr>
      <w:tr w:rsidR="00093AA4" w:rsidRPr="00BC7BB5" w14:paraId="2F8C54E7" w14:textId="77777777" w:rsidTr="000729F8">
        <w:trPr>
          <w:trHeight w:val="1016"/>
        </w:trPr>
        <w:tc>
          <w:tcPr>
            <w:tcW w:w="1843" w:type="dxa"/>
          </w:tcPr>
          <w:p w14:paraId="5CE7F30C" w14:textId="1A53D8D3" w:rsidR="00093AA4" w:rsidRPr="00BC7BB5" w:rsidRDefault="000729F8" w:rsidP="00E06CB9">
            <w:pPr>
              <w:jc w:val="center"/>
              <w:rPr>
                <w:rFonts w:ascii="Times New Roman" w:hAnsi="Times New Roman" w:cs="Times New Roman"/>
                <w:b/>
                <w:i/>
                <w:sz w:val="18"/>
                <w:szCs w:val="18"/>
              </w:rPr>
            </w:pPr>
            <w:r w:rsidRPr="00BC7BB5">
              <w:rPr>
                <w:rFonts w:ascii="Times New Roman" w:hAnsi="Times New Roman" w:cs="Times New Roman"/>
                <w:b/>
                <w:i/>
                <w:sz w:val="18"/>
                <w:szCs w:val="18"/>
              </w:rPr>
              <w:t>P</w:t>
            </w:r>
            <w:r w:rsidR="00093AA4" w:rsidRPr="00BC7BB5">
              <w:rPr>
                <w:rFonts w:ascii="Times New Roman" w:hAnsi="Times New Roman" w:cs="Times New Roman"/>
                <w:b/>
                <w:i/>
                <w:sz w:val="18"/>
                <w:szCs w:val="18"/>
              </w:rPr>
              <w:t>DO Indicators</w:t>
            </w:r>
          </w:p>
        </w:tc>
        <w:tc>
          <w:tcPr>
            <w:tcW w:w="4549" w:type="dxa"/>
          </w:tcPr>
          <w:p w14:paraId="432905DB" w14:textId="62A71F9D" w:rsidR="00093AA4" w:rsidRPr="00BC7BB5" w:rsidRDefault="00093AA4" w:rsidP="000729F8">
            <w:pPr>
              <w:jc w:val="both"/>
              <w:rPr>
                <w:rFonts w:ascii="Times New Roman" w:hAnsi="Times New Roman" w:cs="Times New Roman"/>
                <w:b/>
                <w:i/>
                <w:sz w:val="18"/>
                <w:szCs w:val="18"/>
              </w:rPr>
            </w:pPr>
            <w:r w:rsidRPr="00BC7BB5">
              <w:rPr>
                <w:rFonts w:ascii="Times New Roman" w:hAnsi="Times New Roman" w:cs="Times New Roman"/>
                <w:sz w:val="18"/>
                <w:szCs w:val="18"/>
              </w:rPr>
              <w:t>Deliver, by 2020, and compared to 2008: (i) up to 1.5 million additional working days per year; (ii) a 50 percent drop in</w:t>
            </w:r>
            <w:r w:rsidR="00CA4EFA" w:rsidRPr="00BC7BB5">
              <w:rPr>
                <w:rFonts w:ascii="Times New Roman" w:hAnsi="Times New Roman" w:cs="Times New Roman"/>
                <w:sz w:val="18"/>
                <w:szCs w:val="18"/>
              </w:rPr>
              <w:t xml:space="preserve"> rural poverty; (iii) up to US$</w:t>
            </w:r>
            <w:r w:rsidRPr="00BC7BB5">
              <w:rPr>
                <w:rFonts w:ascii="Times New Roman" w:hAnsi="Times New Roman" w:cs="Times New Roman"/>
                <w:sz w:val="18"/>
                <w:szCs w:val="18"/>
              </w:rPr>
              <w:t>14 billion of combined public and private sector investments; and (iv) up to US$9 billion of additional annual added value.</w:t>
            </w:r>
          </w:p>
        </w:tc>
        <w:tc>
          <w:tcPr>
            <w:tcW w:w="2958" w:type="dxa"/>
          </w:tcPr>
          <w:p w14:paraId="28F96664" w14:textId="1CFF6D6B" w:rsidR="00093AA4" w:rsidRPr="008469A9" w:rsidRDefault="008469A9" w:rsidP="00F40EB7">
            <w:pPr>
              <w:jc w:val="both"/>
              <w:rPr>
                <w:rFonts w:ascii="Times New Roman" w:hAnsi="Times New Roman" w:cs="Times New Roman"/>
                <w:color w:val="000000" w:themeColor="text1"/>
                <w:sz w:val="18"/>
                <w:szCs w:val="18"/>
              </w:rPr>
            </w:pPr>
            <w:r w:rsidRPr="008469A9">
              <w:rPr>
                <w:rFonts w:ascii="Times New Roman" w:hAnsi="Times New Roman" w:cs="Times New Roman"/>
                <w:color w:val="000000" w:themeColor="text1"/>
                <w:sz w:val="18"/>
                <w:szCs w:val="18"/>
              </w:rPr>
              <w:t>(a) volume of conditioned and exported citrus; (b) volume of conditioned and exported olive</w:t>
            </w:r>
            <w:r w:rsidR="00A050C1">
              <w:rPr>
                <w:rFonts w:ascii="Times New Roman" w:hAnsi="Times New Roman" w:cs="Times New Roman"/>
                <w:color w:val="000000" w:themeColor="text1"/>
                <w:sz w:val="18"/>
                <w:szCs w:val="18"/>
              </w:rPr>
              <w:t>s</w:t>
            </w:r>
            <w:r w:rsidRPr="008469A9">
              <w:rPr>
                <w:rFonts w:ascii="Times New Roman" w:hAnsi="Times New Roman" w:cs="Times New Roman"/>
                <w:color w:val="000000" w:themeColor="text1"/>
                <w:sz w:val="18"/>
                <w:szCs w:val="18"/>
              </w:rPr>
              <w:t>; (c) volume of high quality olive oil commercialized.</w:t>
            </w:r>
          </w:p>
          <w:p w14:paraId="5D12A68D" w14:textId="5E447B83" w:rsidR="00B83813" w:rsidRPr="008469A9" w:rsidRDefault="00B83813" w:rsidP="00F40EB7">
            <w:pPr>
              <w:jc w:val="both"/>
              <w:rPr>
                <w:rFonts w:ascii="Times New Roman" w:hAnsi="Times New Roman" w:cs="Times New Roman"/>
                <w:color w:val="000000" w:themeColor="text1"/>
                <w:sz w:val="18"/>
                <w:szCs w:val="18"/>
              </w:rPr>
            </w:pPr>
          </w:p>
        </w:tc>
      </w:tr>
      <w:tr w:rsidR="00093AA4" w:rsidRPr="00BC7BB5" w14:paraId="1F50152A" w14:textId="77777777" w:rsidTr="00E06CB9">
        <w:tc>
          <w:tcPr>
            <w:tcW w:w="9350" w:type="dxa"/>
            <w:gridSpan w:val="3"/>
          </w:tcPr>
          <w:p w14:paraId="35A1E80D" w14:textId="77777777" w:rsidR="00093AA4" w:rsidRPr="00BC7BB5" w:rsidRDefault="00093AA4" w:rsidP="00E06CB9">
            <w:pPr>
              <w:rPr>
                <w:rFonts w:ascii="Times New Roman" w:hAnsi="Times New Roman" w:cs="Times New Roman"/>
                <w:b/>
                <w:i/>
                <w:sz w:val="18"/>
                <w:szCs w:val="18"/>
              </w:rPr>
            </w:pPr>
            <w:r w:rsidRPr="00BC7BB5">
              <w:rPr>
                <w:rFonts w:ascii="Times New Roman" w:hAnsi="Times New Roman" w:cs="Times New Roman"/>
                <w:b/>
                <w:i/>
                <w:sz w:val="18"/>
                <w:szCs w:val="18"/>
              </w:rPr>
              <w:t>Transversal /Institutional Reforms</w:t>
            </w:r>
          </w:p>
        </w:tc>
      </w:tr>
      <w:tr w:rsidR="00093AA4" w:rsidRPr="00BC7BB5" w14:paraId="4F95B2C3" w14:textId="77777777" w:rsidTr="00E06CB9">
        <w:tc>
          <w:tcPr>
            <w:tcW w:w="1843" w:type="dxa"/>
          </w:tcPr>
          <w:p w14:paraId="5E48A8F3" w14:textId="386EF82A" w:rsidR="00093AA4" w:rsidRPr="00BC7BB5" w:rsidRDefault="00F53A2F" w:rsidP="00E84B86">
            <w:pPr>
              <w:rPr>
                <w:rFonts w:ascii="Times New Roman" w:hAnsi="Times New Roman" w:cs="Times New Roman"/>
                <w:sz w:val="18"/>
                <w:szCs w:val="18"/>
              </w:rPr>
            </w:pPr>
            <w:r w:rsidRPr="00BC7BB5">
              <w:rPr>
                <w:rFonts w:ascii="Times New Roman" w:hAnsi="Times New Roman" w:cs="Times New Roman"/>
                <w:sz w:val="18"/>
                <w:szCs w:val="18"/>
              </w:rPr>
              <w:lastRenderedPageBreak/>
              <w:t>Sector governance</w:t>
            </w:r>
          </w:p>
        </w:tc>
        <w:tc>
          <w:tcPr>
            <w:tcW w:w="4549" w:type="dxa"/>
          </w:tcPr>
          <w:p w14:paraId="24865110" w14:textId="55D9D0A6" w:rsidR="00093AA4" w:rsidRPr="00BC7BB5" w:rsidRDefault="00093AA4" w:rsidP="00E06CB9">
            <w:pPr>
              <w:jc w:val="both"/>
              <w:rPr>
                <w:rFonts w:ascii="Times New Roman" w:hAnsi="Times New Roman" w:cs="Times New Roman"/>
                <w:sz w:val="18"/>
                <w:szCs w:val="18"/>
              </w:rPr>
            </w:pPr>
            <w:r w:rsidRPr="00BC7BB5">
              <w:rPr>
                <w:rFonts w:ascii="Times New Roman" w:hAnsi="Times New Roman" w:cs="Times New Roman"/>
                <w:sz w:val="18"/>
                <w:szCs w:val="18"/>
              </w:rPr>
              <w:t>- Multi-annual expenditure framework agreements signed between the MAPM and the Ministry of Economy and Finance (MEF) for the implementation of the PMV</w:t>
            </w:r>
            <w:r w:rsidR="00F53A2F" w:rsidRPr="00BC7BB5">
              <w:rPr>
                <w:rFonts w:ascii="Times New Roman" w:hAnsi="Times New Roman" w:cs="Times New Roman"/>
                <w:sz w:val="18"/>
                <w:szCs w:val="18"/>
              </w:rPr>
              <w:t>;</w:t>
            </w:r>
          </w:p>
          <w:p w14:paraId="4FE0A409" w14:textId="77777777" w:rsidR="00093AA4" w:rsidRPr="00BC7BB5" w:rsidRDefault="00093AA4" w:rsidP="00E06CB9">
            <w:pPr>
              <w:jc w:val="both"/>
              <w:rPr>
                <w:rFonts w:ascii="Times New Roman" w:hAnsi="Times New Roman" w:cs="Times New Roman"/>
                <w:sz w:val="18"/>
                <w:szCs w:val="18"/>
              </w:rPr>
            </w:pPr>
            <w:r w:rsidRPr="00BC7BB5">
              <w:rPr>
                <w:rFonts w:ascii="Times New Roman" w:hAnsi="Times New Roman" w:cs="Times New Roman"/>
                <w:sz w:val="18"/>
                <w:szCs w:val="18"/>
              </w:rPr>
              <w:t>- Regional Agricultural Plans (PARs) developed to “localize” the PMV and its targets, adopted by the Regional Councils, the Chambers of Agriculture, and local authorities</w:t>
            </w:r>
          </w:p>
          <w:p w14:paraId="7801C336" w14:textId="50A012C5" w:rsidR="00093AA4" w:rsidRPr="00BC7BB5" w:rsidRDefault="00093AA4" w:rsidP="00E06CB9">
            <w:pPr>
              <w:jc w:val="both"/>
              <w:rPr>
                <w:rFonts w:ascii="Times New Roman" w:hAnsi="Times New Roman" w:cs="Times New Roman"/>
                <w:sz w:val="18"/>
                <w:szCs w:val="18"/>
              </w:rPr>
            </w:pPr>
            <w:r w:rsidRPr="00BC7BB5">
              <w:rPr>
                <w:rFonts w:ascii="Times New Roman" w:hAnsi="Times New Roman" w:cs="Times New Roman"/>
                <w:sz w:val="18"/>
                <w:szCs w:val="18"/>
              </w:rPr>
              <w:t xml:space="preserve">- Creation of </w:t>
            </w:r>
            <w:r w:rsidR="007A076A">
              <w:rPr>
                <w:rFonts w:ascii="Times New Roman" w:hAnsi="Times New Roman" w:cs="Times New Roman"/>
                <w:i/>
                <w:sz w:val="18"/>
                <w:szCs w:val="18"/>
              </w:rPr>
              <w:t>Agence pour le</w:t>
            </w:r>
            <w:r w:rsidRPr="00BC7BB5">
              <w:rPr>
                <w:rFonts w:ascii="Times New Roman" w:hAnsi="Times New Roman" w:cs="Times New Roman"/>
                <w:i/>
                <w:sz w:val="18"/>
                <w:szCs w:val="18"/>
              </w:rPr>
              <w:t xml:space="preserve"> Développement Agricole</w:t>
            </w:r>
            <w:r w:rsidRPr="00BC7BB5">
              <w:rPr>
                <w:rFonts w:ascii="Times New Roman" w:hAnsi="Times New Roman" w:cs="Times New Roman"/>
                <w:sz w:val="18"/>
                <w:szCs w:val="18"/>
              </w:rPr>
              <w:t xml:space="preserve"> (ADA) to manage investment support programs (2008)</w:t>
            </w:r>
            <w:r w:rsidR="00F53A2F" w:rsidRPr="00BC7BB5">
              <w:rPr>
                <w:rFonts w:ascii="Times New Roman" w:hAnsi="Times New Roman" w:cs="Times New Roman"/>
                <w:sz w:val="18"/>
                <w:szCs w:val="18"/>
              </w:rPr>
              <w:t>;</w:t>
            </w:r>
          </w:p>
          <w:p w14:paraId="76AAD591" w14:textId="099214E6" w:rsidR="00093AA4" w:rsidRPr="00BC7BB5" w:rsidRDefault="00093AA4" w:rsidP="00E06CB9">
            <w:pPr>
              <w:jc w:val="both"/>
              <w:rPr>
                <w:rFonts w:ascii="Times New Roman" w:hAnsi="Times New Roman" w:cs="Times New Roman"/>
                <w:sz w:val="18"/>
                <w:szCs w:val="18"/>
              </w:rPr>
            </w:pPr>
            <w:r w:rsidRPr="00BC7BB5">
              <w:rPr>
                <w:rFonts w:ascii="Times New Roman" w:hAnsi="Times New Roman" w:cs="Times New Roman"/>
                <w:sz w:val="18"/>
                <w:szCs w:val="18"/>
              </w:rPr>
              <w:t xml:space="preserve">- Creation of </w:t>
            </w:r>
            <w:r w:rsidRPr="00BC7BB5">
              <w:rPr>
                <w:rFonts w:ascii="Times New Roman" w:hAnsi="Times New Roman" w:cs="Times New Roman"/>
                <w:i/>
                <w:sz w:val="18"/>
                <w:szCs w:val="18"/>
              </w:rPr>
              <w:t>Interprofessions</w:t>
            </w:r>
            <w:r w:rsidRPr="00BC7BB5">
              <w:rPr>
                <w:rFonts w:ascii="Times New Roman" w:hAnsi="Times New Roman" w:cs="Times New Roman"/>
                <w:sz w:val="18"/>
                <w:szCs w:val="18"/>
              </w:rPr>
              <w:t xml:space="preserve"> for intra-branch coordination and to support public-private dialogue (2012)</w:t>
            </w:r>
            <w:r w:rsidR="00F53A2F" w:rsidRPr="00BC7BB5">
              <w:rPr>
                <w:rFonts w:ascii="Times New Roman" w:hAnsi="Times New Roman" w:cs="Times New Roman"/>
                <w:sz w:val="18"/>
                <w:szCs w:val="18"/>
              </w:rPr>
              <w:t>;</w:t>
            </w:r>
          </w:p>
          <w:p w14:paraId="12D00BB2" w14:textId="7190D000" w:rsidR="00093AA4" w:rsidRPr="00BC7BB5" w:rsidRDefault="00093AA4" w:rsidP="00E06CB9">
            <w:pPr>
              <w:jc w:val="both"/>
              <w:rPr>
                <w:rFonts w:ascii="Times New Roman" w:hAnsi="Times New Roman" w:cs="Times New Roman"/>
                <w:sz w:val="18"/>
                <w:szCs w:val="18"/>
              </w:rPr>
            </w:pPr>
            <w:r w:rsidRPr="00BC7BB5">
              <w:rPr>
                <w:rFonts w:ascii="Times New Roman" w:hAnsi="Times New Roman" w:cs="Times New Roman"/>
                <w:sz w:val="18"/>
                <w:szCs w:val="18"/>
              </w:rPr>
              <w:t xml:space="preserve">- Result-oriented </w:t>
            </w:r>
            <w:r w:rsidRPr="00BC7BB5">
              <w:rPr>
                <w:rFonts w:ascii="Times New Roman" w:hAnsi="Times New Roman" w:cs="Times New Roman"/>
                <w:i/>
                <w:sz w:val="18"/>
                <w:szCs w:val="18"/>
              </w:rPr>
              <w:t>contrat-programmes</w:t>
            </w:r>
            <w:r w:rsidRPr="00BC7BB5">
              <w:rPr>
                <w:rFonts w:ascii="Times New Roman" w:hAnsi="Times New Roman" w:cs="Times New Roman"/>
                <w:sz w:val="18"/>
                <w:szCs w:val="18"/>
              </w:rPr>
              <w:t xml:space="preserve"> signed by MAPM and MEF with the professional organizations of 18 agri-food chains (</w:t>
            </w:r>
            <w:r w:rsidRPr="00BC7BB5">
              <w:rPr>
                <w:rFonts w:ascii="Times New Roman" w:hAnsi="Times New Roman" w:cs="Times New Roman"/>
                <w:i/>
                <w:sz w:val="18"/>
                <w:szCs w:val="18"/>
              </w:rPr>
              <w:t>filières</w:t>
            </w:r>
            <w:r w:rsidRPr="00BC7BB5">
              <w:rPr>
                <w:rFonts w:ascii="Times New Roman" w:hAnsi="Times New Roman" w:cs="Times New Roman"/>
                <w:sz w:val="18"/>
                <w:szCs w:val="18"/>
              </w:rPr>
              <w:t>)</w:t>
            </w:r>
            <w:r w:rsidR="00F53A2F" w:rsidRPr="00BC7BB5">
              <w:rPr>
                <w:rFonts w:ascii="Times New Roman" w:hAnsi="Times New Roman" w:cs="Times New Roman"/>
                <w:sz w:val="18"/>
                <w:szCs w:val="18"/>
              </w:rPr>
              <w:t>;</w:t>
            </w:r>
          </w:p>
          <w:p w14:paraId="525D746B" w14:textId="77777777" w:rsidR="00093AA4" w:rsidRPr="00BC7BB5" w:rsidRDefault="00093AA4" w:rsidP="00E06CB9">
            <w:pPr>
              <w:jc w:val="both"/>
              <w:rPr>
                <w:rFonts w:ascii="Times New Roman" w:hAnsi="Times New Roman" w:cs="Times New Roman"/>
                <w:sz w:val="18"/>
                <w:szCs w:val="18"/>
              </w:rPr>
            </w:pPr>
            <w:r w:rsidRPr="00BC7BB5">
              <w:rPr>
                <w:rFonts w:ascii="Times New Roman" w:hAnsi="Times New Roman" w:cs="Times New Roman"/>
                <w:sz w:val="18"/>
                <w:szCs w:val="18"/>
              </w:rPr>
              <w:t xml:space="preserve">- </w:t>
            </w:r>
            <w:r w:rsidRPr="00BC7BB5">
              <w:rPr>
                <w:rFonts w:ascii="Times New Roman" w:hAnsi="Times New Roman" w:cs="Times New Roman"/>
                <w:i/>
                <w:sz w:val="18"/>
                <w:szCs w:val="18"/>
              </w:rPr>
              <w:t>Contrat-Programme</w:t>
            </w:r>
            <w:r w:rsidRPr="00BC7BB5">
              <w:rPr>
                <w:rFonts w:ascii="Times New Roman" w:hAnsi="Times New Roman" w:cs="Times New Roman"/>
                <w:sz w:val="18"/>
                <w:szCs w:val="18"/>
              </w:rPr>
              <w:t xml:space="preserve"> for the development of the agri-food industry signed by MAPM, MEF, MICIEN and FENAGRI (2017)</w:t>
            </w:r>
          </w:p>
        </w:tc>
        <w:tc>
          <w:tcPr>
            <w:tcW w:w="2958" w:type="dxa"/>
          </w:tcPr>
          <w:p w14:paraId="59D63CE5" w14:textId="05B8FBFC" w:rsidR="00F53A2F" w:rsidRPr="00BC7BB5" w:rsidRDefault="00F53A2F" w:rsidP="00F53A2F">
            <w:pPr>
              <w:rPr>
                <w:rFonts w:ascii="Times New Roman" w:hAnsi="Times New Roman" w:cs="Times New Roman"/>
                <w:sz w:val="18"/>
                <w:szCs w:val="18"/>
              </w:rPr>
            </w:pPr>
            <w:r w:rsidRPr="00BC7BB5">
              <w:rPr>
                <w:rFonts w:ascii="Times New Roman" w:hAnsi="Times New Roman" w:cs="Times New Roman"/>
                <w:sz w:val="18"/>
                <w:szCs w:val="18"/>
              </w:rPr>
              <w:t>Develop integrated financial management system;</w:t>
            </w:r>
          </w:p>
          <w:p w14:paraId="0AEAF1A4" w14:textId="30499551" w:rsidR="00F53A2F" w:rsidRPr="00BC7BB5" w:rsidRDefault="00F53A2F" w:rsidP="00F53A2F">
            <w:pPr>
              <w:rPr>
                <w:rFonts w:ascii="Times New Roman" w:hAnsi="Times New Roman" w:cs="Times New Roman"/>
                <w:sz w:val="18"/>
                <w:szCs w:val="18"/>
              </w:rPr>
            </w:pPr>
            <w:r w:rsidRPr="00BC7BB5">
              <w:rPr>
                <w:rFonts w:ascii="Times New Roman" w:hAnsi="Times New Roman" w:cs="Times New Roman"/>
                <w:sz w:val="18"/>
                <w:szCs w:val="18"/>
              </w:rPr>
              <w:t xml:space="preserve">- Strengthen program coordination, monitoring and evaluation; </w:t>
            </w:r>
          </w:p>
          <w:p w14:paraId="7244C8E3" w14:textId="7FF15481" w:rsidR="00F53A2F" w:rsidRPr="00BC7BB5" w:rsidRDefault="00F53A2F" w:rsidP="00F53A2F">
            <w:pPr>
              <w:rPr>
                <w:rFonts w:ascii="Times New Roman" w:hAnsi="Times New Roman" w:cs="Times New Roman"/>
                <w:sz w:val="18"/>
                <w:szCs w:val="18"/>
              </w:rPr>
            </w:pPr>
            <w:r w:rsidRPr="00BC7BB5">
              <w:rPr>
                <w:rFonts w:ascii="Times New Roman" w:hAnsi="Times New Roman" w:cs="Times New Roman"/>
                <w:sz w:val="18"/>
                <w:szCs w:val="18"/>
              </w:rPr>
              <w:t>-Strengthen at least two interprofessions;</w:t>
            </w:r>
          </w:p>
          <w:p w14:paraId="53DBA207" w14:textId="18F7DC52" w:rsidR="00F53A2F" w:rsidRPr="00BC7BB5" w:rsidRDefault="00F53A2F" w:rsidP="00F53A2F">
            <w:pPr>
              <w:rPr>
                <w:rFonts w:ascii="Times New Roman" w:hAnsi="Times New Roman" w:cs="Times New Roman"/>
                <w:i/>
                <w:sz w:val="18"/>
                <w:szCs w:val="18"/>
              </w:rPr>
            </w:pPr>
            <w:r w:rsidRPr="00BC7BB5">
              <w:rPr>
                <w:rFonts w:ascii="Times New Roman" w:hAnsi="Times New Roman" w:cs="Times New Roman"/>
                <w:sz w:val="18"/>
                <w:szCs w:val="18"/>
              </w:rPr>
              <w:t xml:space="preserve">- Support for the implementation of the olive and citrus </w:t>
            </w:r>
            <w:r w:rsidRPr="00BC7BB5">
              <w:rPr>
                <w:rFonts w:ascii="Times New Roman" w:hAnsi="Times New Roman" w:cs="Times New Roman"/>
                <w:i/>
                <w:sz w:val="18"/>
                <w:szCs w:val="18"/>
              </w:rPr>
              <w:t>contrat-programmes;</w:t>
            </w:r>
          </w:p>
          <w:p w14:paraId="2BE3C03C" w14:textId="6B0541C9" w:rsidR="00F53A2F" w:rsidRPr="00BC7BB5" w:rsidRDefault="00F53A2F" w:rsidP="00F53A2F">
            <w:pPr>
              <w:rPr>
                <w:rFonts w:ascii="Times New Roman" w:hAnsi="Times New Roman" w:cs="Times New Roman"/>
                <w:sz w:val="18"/>
                <w:szCs w:val="18"/>
              </w:rPr>
            </w:pPr>
            <w:r w:rsidRPr="00BC7BB5">
              <w:rPr>
                <w:rFonts w:ascii="Times New Roman" w:hAnsi="Times New Roman" w:cs="Times New Roman"/>
                <w:sz w:val="18"/>
                <w:szCs w:val="18"/>
              </w:rPr>
              <w:t xml:space="preserve">- Support for the implementation of the </w:t>
            </w:r>
            <w:r w:rsidRPr="00BC7BB5">
              <w:rPr>
                <w:rFonts w:ascii="Times New Roman" w:hAnsi="Times New Roman" w:cs="Times New Roman"/>
                <w:i/>
                <w:sz w:val="18"/>
                <w:szCs w:val="18"/>
              </w:rPr>
              <w:t>contrat-programme</w:t>
            </w:r>
            <w:r w:rsidRPr="00BC7BB5">
              <w:rPr>
                <w:rFonts w:ascii="Times New Roman" w:hAnsi="Times New Roman" w:cs="Times New Roman"/>
                <w:sz w:val="18"/>
                <w:szCs w:val="18"/>
              </w:rPr>
              <w:t xml:space="preserve"> for the agri-food industry (CP IAA).</w:t>
            </w:r>
          </w:p>
          <w:p w14:paraId="20C563E3" w14:textId="7C72C400" w:rsidR="00093AA4" w:rsidRPr="00BC7BB5" w:rsidRDefault="00093AA4" w:rsidP="00E06CB9">
            <w:pPr>
              <w:jc w:val="both"/>
              <w:rPr>
                <w:rFonts w:ascii="Times New Roman" w:hAnsi="Times New Roman" w:cs="Times New Roman"/>
                <w:sz w:val="18"/>
                <w:szCs w:val="18"/>
              </w:rPr>
            </w:pPr>
          </w:p>
        </w:tc>
      </w:tr>
      <w:tr w:rsidR="00093AA4" w:rsidRPr="00BC7BB5" w14:paraId="6EA84F38" w14:textId="77777777" w:rsidTr="00E06CB9">
        <w:tc>
          <w:tcPr>
            <w:tcW w:w="1843" w:type="dxa"/>
          </w:tcPr>
          <w:p w14:paraId="578064D0" w14:textId="1EBB487D" w:rsidR="00093AA4" w:rsidRPr="00BC7BB5" w:rsidRDefault="00093AA4" w:rsidP="00E06CB9">
            <w:pPr>
              <w:rPr>
                <w:rFonts w:ascii="Times New Roman" w:hAnsi="Times New Roman" w:cs="Times New Roman"/>
                <w:sz w:val="18"/>
                <w:szCs w:val="18"/>
              </w:rPr>
            </w:pPr>
            <w:r w:rsidRPr="00BC7BB5">
              <w:rPr>
                <w:rFonts w:ascii="Times New Roman" w:hAnsi="Times New Roman" w:cs="Times New Roman"/>
                <w:sz w:val="18"/>
                <w:szCs w:val="18"/>
              </w:rPr>
              <w:t xml:space="preserve">Market </w:t>
            </w:r>
            <w:r w:rsidR="00F53A2F" w:rsidRPr="00BC7BB5">
              <w:rPr>
                <w:rFonts w:ascii="Times New Roman" w:hAnsi="Times New Roman" w:cs="Times New Roman"/>
                <w:sz w:val="18"/>
                <w:szCs w:val="18"/>
              </w:rPr>
              <w:t>efficiency</w:t>
            </w:r>
          </w:p>
        </w:tc>
        <w:tc>
          <w:tcPr>
            <w:tcW w:w="4549" w:type="dxa"/>
          </w:tcPr>
          <w:p w14:paraId="73A85B7F" w14:textId="77777777" w:rsidR="00093AA4" w:rsidRPr="00BC7BB5" w:rsidRDefault="00093AA4" w:rsidP="00E06CB9">
            <w:pPr>
              <w:rPr>
                <w:rFonts w:ascii="Times New Roman" w:hAnsi="Times New Roman" w:cs="Times New Roman"/>
                <w:sz w:val="18"/>
                <w:szCs w:val="18"/>
              </w:rPr>
            </w:pPr>
            <w:r w:rsidRPr="00BC7BB5">
              <w:rPr>
                <w:rFonts w:ascii="Times New Roman" w:hAnsi="Times New Roman" w:cs="Times New Roman"/>
                <w:sz w:val="18"/>
                <w:szCs w:val="18"/>
              </w:rPr>
              <w:t>-Reduce domestic market distortions through modernization and improved management of wholesale markets and slaughterhouses</w:t>
            </w:r>
          </w:p>
          <w:p w14:paraId="1CCB1279" w14:textId="77777777" w:rsidR="00093AA4" w:rsidRPr="00BC7BB5" w:rsidRDefault="00093AA4" w:rsidP="00E06CB9">
            <w:pPr>
              <w:rPr>
                <w:rFonts w:ascii="Times New Roman" w:hAnsi="Times New Roman" w:cs="Times New Roman"/>
                <w:sz w:val="18"/>
                <w:szCs w:val="18"/>
              </w:rPr>
            </w:pPr>
            <w:r w:rsidRPr="00BC7BB5">
              <w:rPr>
                <w:rFonts w:ascii="Times New Roman" w:hAnsi="Times New Roman" w:cs="Times New Roman"/>
                <w:sz w:val="18"/>
                <w:szCs w:val="18"/>
              </w:rPr>
              <w:t>- Liberalize distribution systems for fruit and vegetables and for meat</w:t>
            </w:r>
          </w:p>
          <w:p w14:paraId="35905ED6" w14:textId="77777777" w:rsidR="00093AA4" w:rsidRPr="00BC7BB5" w:rsidRDefault="00093AA4" w:rsidP="00E06CB9">
            <w:pPr>
              <w:rPr>
                <w:rFonts w:ascii="Times New Roman" w:hAnsi="Times New Roman" w:cs="Times New Roman"/>
                <w:sz w:val="18"/>
                <w:szCs w:val="18"/>
              </w:rPr>
            </w:pPr>
            <w:r w:rsidRPr="00BC7BB5">
              <w:rPr>
                <w:rFonts w:ascii="Times New Roman" w:hAnsi="Times New Roman" w:cs="Times New Roman"/>
                <w:sz w:val="18"/>
                <w:szCs w:val="18"/>
              </w:rPr>
              <w:t xml:space="preserve">- Upgrading of </w:t>
            </w:r>
            <w:r w:rsidRPr="00BC7BB5">
              <w:rPr>
                <w:rFonts w:ascii="Times New Roman" w:hAnsi="Times New Roman" w:cs="Times New Roman"/>
                <w:i/>
                <w:sz w:val="18"/>
                <w:szCs w:val="18"/>
              </w:rPr>
              <w:t>Asaar</w:t>
            </w:r>
            <w:r w:rsidRPr="00BC7BB5">
              <w:rPr>
                <w:rFonts w:ascii="Times New Roman" w:hAnsi="Times New Roman" w:cs="Times New Roman"/>
                <w:sz w:val="18"/>
                <w:szCs w:val="18"/>
              </w:rPr>
              <w:t xml:space="preserve"> market information system</w:t>
            </w:r>
          </w:p>
        </w:tc>
        <w:tc>
          <w:tcPr>
            <w:tcW w:w="2958" w:type="dxa"/>
          </w:tcPr>
          <w:p w14:paraId="01358188" w14:textId="77777777" w:rsidR="00F53A2F" w:rsidRPr="00BC7BB5" w:rsidRDefault="00E84B86" w:rsidP="00F53A2F">
            <w:pPr>
              <w:jc w:val="both"/>
              <w:rPr>
                <w:rFonts w:ascii="Times New Roman" w:hAnsi="Times New Roman" w:cs="Times New Roman"/>
                <w:sz w:val="18"/>
                <w:szCs w:val="18"/>
              </w:rPr>
            </w:pPr>
            <w:r w:rsidRPr="00BC7BB5">
              <w:rPr>
                <w:rFonts w:ascii="Times New Roman" w:hAnsi="Times New Roman" w:cs="Times New Roman"/>
                <w:sz w:val="18"/>
                <w:szCs w:val="18"/>
              </w:rPr>
              <w:t xml:space="preserve">- </w:t>
            </w:r>
            <w:r w:rsidR="00F53A2F" w:rsidRPr="00BC7BB5">
              <w:rPr>
                <w:rFonts w:ascii="Times New Roman" w:hAnsi="Times New Roman" w:cs="Times New Roman"/>
                <w:sz w:val="18"/>
                <w:szCs w:val="18"/>
              </w:rPr>
              <w:t>At least one wholesale market with new management model</w:t>
            </w:r>
          </w:p>
          <w:p w14:paraId="67421EE6" w14:textId="03A6F6E7" w:rsidR="00093AA4" w:rsidRPr="00BC7BB5" w:rsidRDefault="00F53A2F" w:rsidP="007A076A">
            <w:pPr>
              <w:jc w:val="both"/>
              <w:rPr>
                <w:rFonts w:ascii="Times New Roman" w:hAnsi="Times New Roman" w:cs="Times New Roman"/>
                <w:sz w:val="18"/>
                <w:szCs w:val="18"/>
              </w:rPr>
            </w:pPr>
            <w:r w:rsidRPr="00BC7BB5">
              <w:rPr>
                <w:rFonts w:ascii="Times New Roman" w:hAnsi="Times New Roman" w:cs="Times New Roman"/>
                <w:sz w:val="18"/>
                <w:szCs w:val="18"/>
              </w:rPr>
              <w:t xml:space="preserve">-  Upgrade </w:t>
            </w:r>
            <w:r w:rsidRPr="00BC7BB5">
              <w:rPr>
                <w:rFonts w:ascii="Times New Roman" w:hAnsi="Times New Roman" w:cs="Times New Roman"/>
                <w:i/>
                <w:sz w:val="18"/>
                <w:szCs w:val="18"/>
              </w:rPr>
              <w:t>Asaar</w:t>
            </w:r>
            <w:r w:rsidRPr="00BC7BB5">
              <w:rPr>
                <w:rFonts w:ascii="Times New Roman" w:hAnsi="Times New Roman" w:cs="Times New Roman"/>
                <w:sz w:val="18"/>
                <w:szCs w:val="18"/>
              </w:rPr>
              <w:t xml:space="preserve"> platform and expand outreach to users with new ICT tools</w:t>
            </w:r>
          </w:p>
        </w:tc>
      </w:tr>
      <w:tr w:rsidR="00093AA4" w:rsidRPr="00BC7BB5" w14:paraId="73CDB13C" w14:textId="77777777" w:rsidTr="00E06CB9">
        <w:tc>
          <w:tcPr>
            <w:tcW w:w="1843" w:type="dxa"/>
          </w:tcPr>
          <w:p w14:paraId="49F4063D" w14:textId="628BC2F9" w:rsidR="00093AA4" w:rsidRPr="00BC7BB5" w:rsidRDefault="00F53A2F" w:rsidP="00E06CB9">
            <w:pPr>
              <w:rPr>
                <w:rFonts w:ascii="Times New Roman" w:hAnsi="Times New Roman" w:cs="Times New Roman"/>
                <w:sz w:val="18"/>
                <w:szCs w:val="18"/>
              </w:rPr>
            </w:pPr>
            <w:r w:rsidRPr="00BC7BB5">
              <w:rPr>
                <w:rFonts w:ascii="Times New Roman" w:hAnsi="Times New Roman" w:cs="Times New Roman"/>
                <w:sz w:val="18"/>
                <w:szCs w:val="18"/>
              </w:rPr>
              <w:t>Food quality</w:t>
            </w:r>
          </w:p>
        </w:tc>
        <w:tc>
          <w:tcPr>
            <w:tcW w:w="4549" w:type="dxa"/>
          </w:tcPr>
          <w:p w14:paraId="31A02568" w14:textId="1F90980B" w:rsidR="00093AA4" w:rsidRPr="00BC7BB5" w:rsidRDefault="00093AA4" w:rsidP="00E06CB9">
            <w:pPr>
              <w:rPr>
                <w:rFonts w:ascii="Times New Roman" w:hAnsi="Times New Roman" w:cs="Times New Roman"/>
                <w:sz w:val="18"/>
                <w:szCs w:val="18"/>
              </w:rPr>
            </w:pPr>
            <w:r w:rsidRPr="00BC7BB5">
              <w:rPr>
                <w:rFonts w:ascii="Times New Roman" w:hAnsi="Times New Roman" w:cs="Times New Roman"/>
                <w:sz w:val="18"/>
                <w:szCs w:val="18"/>
              </w:rPr>
              <w:t>- Creation of the national fo</w:t>
            </w:r>
            <w:r w:rsidR="007A076A">
              <w:rPr>
                <w:rFonts w:ascii="Times New Roman" w:hAnsi="Times New Roman" w:cs="Times New Roman"/>
                <w:sz w:val="18"/>
                <w:szCs w:val="18"/>
              </w:rPr>
              <w:t>od safety agency (ONSSA) in 2010</w:t>
            </w:r>
          </w:p>
          <w:p w14:paraId="67C7D90D" w14:textId="720FD2FF" w:rsidR="00093AA4" w:rsidRPr="00BC7BB5" w:rsidRDefault="00093AA4" w:rsidP="00E06CB9">
            <w:pPr>
              <w:rPr>
                <w:rFonts w:ascii="Times New Roman" w:hAnsi="Times New Roman" w:cs="Times New Roman"/>
                <w:sz w:val="18"/>
                <w:szCs w:val="18"/>
              </w:rPr>
            </w:pPr>
            <w:r w:rsidRPr="00BC7BB5">
              <w:rPr>
                <w:rFonts w:ascii="Times New Roman" w:hAnsi="Times New Roman" w:cs="Times New Roman"/>
                <w:sz w:val="18"/>
                <w:szCs w:val="18"/>
              </w:rPr>
              <w:t>- Implementat</w:t>
            </w:r>
            <w:r w:rsidR="007A076A">
              <w:rPr>
                <w:rFonts w:ascii="Times New Roman" w:hAnsi="Times New Roman" w:cs="Times New Roman"/>
                <w:sz w:val="18"/>
                <w:szCs w:val="18"/>
              </w:rPr>
              <w:t xml:space="preserve">ion of </w:t>
            </w:r>
            <w:r w:rsidR="00326508">
              <w:rPr>
                <w:rFonts w:ascii="Times New Roman" w:hAnsi="Times New Roman" w:cs="Times New Roman"/>
                <w:sz w:val="18"/>
                <w:szCs w:val="18"/>
              </w:rPr>
              <w:t>20</w:t>
            </w:r>
            <w:r w:rsidR="00A050C1">
              <w:rPr>
                <w:rFonts w:ascii="Times New Roman" w:hAnsi="Times New Roman" w:cs="Times New Roman"/>
                <w:sz w:val="18"/>
                <w:szCs w:val="18"/>
              </w:rPr>
              <w:t>08</w:t>
            </w:r>
            <w:r w:rsidR="00326508">
              <w:rPr>
                <w:rFonts w:ascii="Times New Roman" w:hAnsi="Times New Roman" w:cs="Times New Roman"/>
                <w:sz w:val="18"/>
                <w:szCs w:val="18"/>
              </w:rPr>
              <w:t xml:space="preserve"> </w:t>
            </w:r>
            <w:r w:rsidR="007A076A">
              <w:rPr>
                <w:rFonts w:ascii="Times New Roman" w:hAnsi="Times New Roman" w:cs="Times New Roman"/>
                <w:sz w:val="18"/>
                <w:szCs w:val="18"/>
              </w:rPr>
              <w:t>food safety law</w:t>
            </w:r>
          </w:p>
          <w:p w14:paraId="78DEB27E" w14:textId="77777777" w:rsidR="00093AA4" w:rsidRPr="00BC7BB5" w:rsidRDefault="00093AA4" w:rsidP="00E06CB9">
            <w:pPr>
              <w:rPr>
                <w:rFonts w:ascii="Times New Roman" w:hAnsi="Times New Roman" w:cs="Times New Roman"/>
                <w:sz w:val="18"/>
                <w:szCs w:val="18"/>
              </w:rPr>
            </w:pPr>
            <w:r w:rsidRPr="00BC7BB5">
              <w:rPr>
                <w:rFonts w:ascii="Times New Roman" w:hAnsi="Times New Roman" w:cs="Times New Roman"/>
                <w:sz w:val="18"/>
                <w:szCs w:val="18"/>
              </w:rPr>
              <w:t>- Quality promotion schemes</w:t>
            </w:r>
          </w:p>
        </w:tc>
        <w:tc>
          <w:tcPr>
            <w:tcW w:w="2958" w:type="dxa"/>
          </w:tcPr>
          <w:p w14:paraId="7FB2B8FB" w14:textId="77777777" w:rsidR="00F53A2F" w:rsidRPr="00BC7BB5" w:rsidRDefault="00093AA4" w:rsidP="00F53A2F">
            <w:pPr>
              <w:pStyle w:val="NoSpacing"/>
              <w:rPr>
                <w:rFonts w:ascii="Times New Roman" w:hAnsi="Times New Roman" w:cs="Times New Roman"/>
                <w:sz w:val="18"/>
                <w:szCs w:val="18"/>
              </w:rPr>
            </w:pPr>
            <w:r w:rsidRPr="00BC7BB5">
              <w:rPr>
                <w:rFonts w:ascii="Times New Roman" w:hAnsi="Times New Roman" w:cs="Times New Roman"/>
                <w:sz w:val="18"/>
                <w:szCs w:val="18"/>
              </w:rPr>
              <w:t xml:space="preserve">- </w:t>
            </w:r>
            <w:r w:rsidR="00F53A2F" w:rsidRPr="00BC7BB5">
              <w:rPr>
                <w:rFonts w:ascii="Times New Roman" w:hAnsi="Times New Roman" w:cs="Times New Roman"/>
                <w:sz w:val="18"/>
                <w:szCs w:val="18"/>
              </w:rPr>
              <w:t>-Strengthen ONSSA’s capacity to implement the law</w:t>
            </w:r>
          </w:p>
          <w:p w14:paraId="066F6E46" w14:textId="77777777" w:rsidR="00F53A2F" w:rsidRPr="00BC7BB5" w:rsidRDefault="00F53A2F" w:rsidP="00F53A2F">
            <w:pPr>
              <w:pStyle w:val="NoSpacing"/>
              <w:rPr>
                <w:rFonts w:ascii="Times New Roman" w:hAnsi="Times New Roman" w:cs="Times New Roman"/>
                <w:sz w:val="18"/>
                <w:szCs w:val="18"/>
              </w:rPr>
            </w:pPr>
            <w:r w:rsidRPr="00BC7BB5">
              <w:rPr>
                <w:rFonts w:ascii="Times New Roman" w:hAnsi="Times New Roman" w:cs="Times New Roman"/>
                <w:sz w:val="18"/>
                <w:szCs w:val="18"/>
              </w:rPr>
              <w:t>- Scale-up certification schemes</w:t>
            </w:r>
          </w:p>
          <w:p w14:paraId="4E82323A" w14:textId="7BE614EB" w:rsidR="00093AA4" w:rsidRPr="00BC7BB5" w:rsidRDefault="00F53A2F" w:rsidP="00F53A2F">
            <w:pPr>
              <w:jc w:val="both"/>
              <w:rPr>
                <w:rFonts w:ascii="Times New Roman" w:hAnsi="Times New Roman" w:cs="Times New Roman"/>
                <w:sz w:val="18"/>
                <w:szCs w:val="18"/>
              </w:rPr>
            </w:pPr>
            <w:r w:rsidRPr="00BC7BB5">
              <w:rPr>
                <w:rFonts w:ascii="Times New Roman" w:hAnsi="Times New Roman" w:cs="Times New Roman"/>
                <w:sz w:val="18"/>
                <w:szCs w:val="18"/>
              </w:rPr>
              <w:t>- Raise producer, industry and consumer awareness of food quality standards</w:t>
            </w:r>
          </w:p>
        </w:tc>
      </w:tr>
      <w:tr w:rsidR="00F53A2F" w:rsidRPr="00BC7BB5" w14:paraId="5870AE73" w14:textId="77777777" w:rsidTr="00CB471A">
        <w:tc>
          <w:tcPr>
            <w:tcW w:w="1843" w:type="dxa"/>
          </w:tcPr>
          <w:p w14:paraId="3A5211EE" w14:textId="77777777" w:rsidR="00F53A2F" w:rsidRPr="00BC7BB5" w:rsidRDefault="00F53A2F" w:rsidP="00CB471A">
            <w:pPr>
              <w:rPr>
                <w:rFonts w:ascii="Times New Roman" w:hAnsi="Times New Roman" w:cs="Times New Roman"/>
                <w:sz w:val="18"/>
                <w:szCs w:val="18"/>
              </w:rPr>
            </w:pPr>
            <w:r w:rsidRPr="00BC7BB5">
              <w:rPr>
                <w:rFonts w:ascii="Times New Roman" w:hAnsi="Times New Roman" w:cs="Times New Roman"/>
                <w:sz w:val="18"/>
                <w:szCs w:val="18"/>
              </w:rPr>
              <w:t>Agricultural knowledge and innovation system</w:t>
            </w:r>
          </w:p>
        </w:tc>
        <w:tc>
          <w:tcPr>
            <w:tcW w:w="4549" w:type="dxa"/>
          </w:tcPr>
          <w:p w14:paraId="7986B245" w14:textId="77777777" w:rsidR="00F53A2F" w:rsidRPr="00BC7BB5" w:rsidRDefault="00F53A2F" w:rsidP="00CB471A">
            <w:pPr>
              <w:jc w:val="both"/>
              <w:rPr>
                <w:rFonts w:ascii="Times New Roman" w:hAnsi="Times New Roman" w:cs="Times New Roman"/>
                <w:sz w:val="18"/>
                <w:szCs w:val="18"/>
              </w:rPr>
            </w:pPr>
            <w:r w:rsidRPr="00BC7BB5">
              <w:rPr>
                <w:rFonts w:ascii="Times New Roman" w:hAnsi="Times New Roman" w:cs="Times New Roman"/>
                <w:sz w:val="18"/>
                <w:szCs w:val="18"/>
              </w:rPr>
              <w:t>- Creation of the national extension agency (ONCA) in 2012</w:t>
            </w:r>
          </w:p>
          <w:p w14:paraId="3F7206F7" w14:textId="77777777" w:rsidR="00F53A2F" w:rsidRPr="00BC7BB5" w:rsidRDefault="00F53A2F" w:rsidP="00CB471A">
            <w:pPr>
              <w:jc w:val="both"/>
              <w:rPr>
                <w:rFonts w:ascii="Times New Roman" w:hAnsi="Times New Roman" w:cs="Times New Roman"/>
                <w:sz w:val="18"/>
                <w:szCs w:val="18"/>
              </w:rPr>
            </w:pPr>
            <w:r w:rsidRPr="00BC7BB5">
              <w:rPr>
                <w:rFonts w:ascii="Times New Roman" w:hAnsi="Times New Roman" w:cs="Times New Roman"/>
                <w:sz w:val="18"/>
                <w:szCs w:val="18"/>
              </w:rPr>
              <w:t>- National strategy for a pluralistic, demand-driven agricultural knowledge and information system</w:t>
            </w:r>
          </w:p>
          <w:p w14:paraId="1481FBFD" w14:textId="77777777" w:rsidR="00F53A2F" w:rsidRPr="00BC7BB5" w:rsidRDefault="00F53A2F" w:rsidP="00CB471A">
            <w:pPr>
              <w:jc w:val="both"/>
              <w:rPr>
                <w:rFonts w:ascii="Times New Roman" w:hAnsi="Times New Roman" w:cs="Times New Roman"/>
                <w:sz w:val="18"/>
                <w:szCs w:val="18"/>
              </w:rPr>
            </w:pPr>
            <w:r w:rsidRPr="00BC7BB5">
              <w:rPr>
                <w:rFonts w:ascii="Times New Roman" w:hAnsi="Times New Roman" w:cs="Times New Roman"/>
                <w:sz w:val="18"/>
                <w:szCs w:val="18"/>
              </w:rPr>
              <w:t>- Development of private agricultural extension</w:t>
            </w:r>
          </w:p>
          <w:p w14:paraId="59ACCC9C" w14:textId="77777777" w:rsidR="00F53A2F" w:rsidRPr="00BC7BB5" w:rsidRDefault="00F53A2F" w:rsidP="00CB471A">
            <w:pPr>
              <w:jc w:val="both"/>
              <w:rPr>
                <w:rFonts w:ascii="Times New Roman" w:hAnsi="Times New Roman" w:cs="Times New Roman"/>
                <w:sz w:val="18"/>
                <w:szCs w:val="18"/>
              </w:rPr>
            </w:pPr>
            <w:r w:rsidRPr="00BC7BB5">
              <w:rPr>
                <w:rFonts w:ascii="Times New Roman" w:hAnsi="Times New Roman" w:cs="Times New Roman"/>
                <w:sz w:val="18"/>
                <w:szCs w:val="18"/>
              </w:rPr>
              <w:t>- Competitive research grant mechanism</w:t>
            </w:r>
          </w:p>
          <w:p w14:paraId="5532633F" w14:textId="77777777" w:rsidR="00F53A2F" w:rsidRPr="00BC7BB5" w:rsidRDefault="00F53A2F" w:rsidP="00CB471A">
            <w:pPr>
              <w:jc w:val="both"/>
              <w:rPr>
                <w:rFonts w:ascii="Times New Roman" w:hAnsi="Times New Roman" w:cs="Times New Roman"/>
                <w:sz w:val="18"/>
                <w:szCs w:val="18"/>
              </w:rPr>
            </w:pPr>
            <w:r w:rsidRPr="00BC7BB5">
              <w:rPr>
                <w:rFonts w:ascii="Times New Roman" w:hAnsi="Times New Roman" w:cs="Times New Roman"/>
                <w:sz w:val="18"/>
                <w:szCs w:val="18"/>
              </w:rPr>
              <w:t>- Promoting innovation and entrepreneurship through specialized geographical clusters (</w:t>
            </w:r>
            <w:r w:rsidRPr="00BC7BB5">
              <w:rPr>
                <w:rFonts w:ascii="Times New Roman" w:hAnsi="Times New Roman" w:cs="Times New Roman"/>
                <w:i/>
                <w:sz w:val="18"/>
                <w:szCs w:val="18"/>
              </w:rPr>
              <w:t>agropoles</w:t>
            </w:r>
            <w:r w:rsidRPr="00BC7BB5">
              <w:rPr>
                <w:rFonts w:ascii="Times New Roman" w:hAnsi="Times New Roman" w:cs="Times New Roman"/>
                <w:sz w:val="18"/>
                <w:szCs w:val="18"/>
              </w:rPr>
              <w:t>)</w:t>
            </w:r>
          </w:p>
          <w:p w14:paraId="09165B48" w14:textId="77777777" w:rsidR="00F53A2F" w:rsidRPr="00BC7BB5" w:rsidRDefault="00F53A2F" w:rsidP="00CB471A">
            <w:pPr>
              <w:jc w:val="both"/>
              <w:rPr>
                <w:rFonts w:ascii="Times New Roman" w:hAnsi="Times New Roman" w:cs="Times New Roman"/>
                <w:sz w:val="18"/>
                <w:szCs w:val="18"/>
              </w:rPr>
            </w:pPr>
            <w:r w:rsidRPr="00BC7BB5">
              <w:rPr>
                <w:rFonts w:ascii="Times New Roman" w:hAnsi="Times New Roman" w:cs="Times New Roman"/>
                <w:sz w:val="18"/>
                <w:szCs w:val="18"/>
              </w:rPr>
              <w:t>- Strengthening of vocational training programs</w:t>
            </w:r>
          </w:p>
        </w:tc>
        <w:tc>
          <w:tcPr>
            <w:tcW w:w="2958" w:type="dxa"/>
          </w:tcPr>
          <w:p w14:paraId="39B88225" w14:textId="29E09BE7" w:rsidR="00F53A2F" w:rsidRPr="00BC7BB5" w:rsidRDefault="00F53A2F" w:rsidP="00CB471A">
            <w:pPr>
              <w:rPr>
                <w:rFonts w:ascii="Times New Roman" w:hAnsi="Times New Roman" w:cs="Times New Roman"/>
                <w:sz w:val="18"/>
                <w:szCs w:val="18"/>
              </w:rPr>
            </w:pPr>
            <w:r w:rsidRPr="00BC7BB5">
              <w:rPr>
                <w:rFonts w:ascii="Times New Roman" w:hAnsi="Times New Roman" w:cs="Times New Roman"/>
                <w:sz w:val="18"/>
                <w:szCs w:val="18"/>
              </w:rPr>
              <w:t>- Network of specialized technical and business innovation centers co-managed with the private sector (new, adjustment to the program)</w:t>
            </w:r>
          </w:p>
          <w:p w14:paraId="766586A0" w14:textId="77777777" w:rsidR="00F53A2F" w:rsidRPr="00BC7BB5" w:rsidRDefault="00F53A2F" w:rsidP="00CB471A">
            <w:pPr>
              <w:jc w:val="both"/>
              <w:rPr>
                <w:rFonts w:ascii="Times New Roman" w:hAnsi="Times New Roman" w:cs="Times New Roman"/>
                <w:sz w:val="18"/>
                <w:szCs w:val="18"/>
              </w:rPr>
            </w:pPr>
            <w:r w:rsidRPr="00BC7BB5">
              <w:rPr>
                <w:rFonts w:ascii="Times New Roman" w:hAnsi="Times New Roman" w:cs="Times New Roman"/>
                <w:sz w:val="18"/>
                <w:szCs w:val="18"/>
              </w:rPr>
              <w:t>- Competitive innovation grants (new, adjustment to the program)</w:t>
            </w:r>
          </w:p>
          <w:p w14:paraId="2FEAA961" w14:textId="77777777" w:rsidR="00F53A2F" w:rsidRPr="00BC7BB5" w:rsidRDefault="00F53A2F" w:rsidP="00CB471A">
            <w:pPr>
              <w:jc w:val="both"/>
              <w:rPr>
                <w:rFonts w:ascii="Times New Roman" w:hAnsi="Times New Roman" w:cs="Times New Roman"/>
                <w:sz w:val="18"/>
                <w:szCs w:val="18"/>
              </w:rPr>
            </w:pPr>
          </w:p>
        </w:tc>
      </w:tr>
      <w:tr w:rsidR="00093AA4" w:rsidRPr="00BC7BB5" w14:paraId="3E9C12CE" w14:textId="77777777" w:rsidTr="00E06CB9">
        <w:tc>
          <w:tcPr>
            <w:tcW w:w="1843" w:type="dxa"/>
          </w:tcPr>
          <w:p w14:paraId="351546A8" w14:textId="77777777" w:rsidR="00093AA4" w:rsidRPr="00BC7BB5" w:rsidRDefault="00093AA4" w:rsidP="00E06CB9">
            <w:pPr>
              <w:rPr>
                <w:rFonts w:ascii="Times New Roman" w:hAnsi="Times New Roman" w:cs="Times New Roman"/>
                <w:sz w:val="18"/>
                <w:szCs w:val="18"/>
              </w:rPr>
            </w:pPr>
            <w:r w:rsidRPr="00BC7BB5">
              <w:rPr>
                <w:rFonts w:ascii="Times New Roman" w:hAnsi="Times New Roman" w:cs="Times New Roman"/>
                <w:sz w:val="18"/>
                <w:szCs w:val="18"/>
              </w:rPr>
              <w:t>Trade</w:t>
            </w:r>
          </w:p>
        </w:tc>
        <w:tc>
          <w:tcPr>
            <w:tcW w:w="4549" w:type="dxa"/>
          </w:tcPr>
          <w:p w14:paraId="34FA5216" w14:textId="108C846E" w:rsidR="00093AA4" w:rsidRPr="00BC7BB5" w:rsidRDefault="00093AA4" w:rsidP="00E06CB9">
            <w:pPr>
              <w:rPr>
                <w:rFonts w:ascii="Times New Roman" w:hAnsi="Times New Roman" w:cs="Times New Roman"/>
                <w:sz w:val="18"/>
                <w:szCs w:val="18"/>
              </w:rPr>
            </w:pPr>
            <w:r w:rsidRPr="00BC7BB5">
              <w:rPr>
                <w:rFonts w:ascii="Times New Roman" w:hAnsi="Times New Roman" w:cs="Times New Roman"/>
                <w:sz w:val="18"/>
                <w:szCs w:val="18"/>
              </w:rPr>
              <w:t>- Pursuing new agricultural Free Trade Agreements and reorienting existing ones to improve access</w:t>
            </w:r>
            <w:r w:rsidR="00F53A2F" w:rsidRPr="00BC7BB5">
              <w:rPr>
                <w:rFonts w:ascii="Times New Roman" w:hAnsi="Times New Roman" w:cs="Times New Roman"/>
                <w:sz w:val="18"/>
                <w:szCs w:val="18"/>
              </w:rPr>
              <w:t xml:space="preserve"> to high value export markets. </w:t>
            </w:r>
          </w:p>
          <w:p w14:paraId="2E3570C8" w14:textId="77777777" w:rsidR="00093AA4" w:rsidRPr="00BC7BB5" w:rsidRDefault="00093AA4" w:rsidP="00E06CB9">
            <w:pPr>
              <w:rPr>
                <w:rFonts w:ascii="Times New Roman" w:hAnsi="Times New Roman" w:cs="Times New Roman"/>
                <w:sz w:val="18"/>
                <w:szCs w:val="18"/>
              </w:rPr>
            </w:pPr>
            <w:r w:rsidRPr="00BC7BB5">
              <w:rPr>
                <w:rFonts w:ascii="Times New Roman" w:hAnsi="Times New Roman" w:cs="Times New Roman"/>
                <w:sz w:val="18"/>
                <w:szCs w:val="18"/>
              </w:rPr>
              <w:t>- Export promotion and new market development</w:t>
            </w:r>
          </w:p>
          <w:p w14:paraId="022BF0BC" w14:textId="2671969B" w:rsidR="00F53A2F" w:rsidRPr="00BC7BB5" w:rsidRDefault="00F53A2F" w:rsidP="00E06CB9">
            <w:pPr>
              <w:rPr>
                <w:rFonts w:ascii="Times New Roman" w:hAnsi="Times New Roman" w:cs="Times New Roman"/>
                <w:sz w:val="18"/>
                <w:szCs w:val="18"/>
              </w:rPr>
            </w:pPr>
            <w:r w:rsidRPr="00BC7BB5">
              <w:rPr>
                <w:rFonts w:ascii="Times New Roman" w:hAnsi="Times New Roman" w:cs="Times New Roman"/>
                <w:sz w:val="18"/>
                <w:szCs w:val="18"/>
              </w:rPr>
              <w:t>- Export platforms</w:t>
            </w:r>
          </w:p>
        </w:tc>
        <w:tc>
          <w:tcPr>
            <w:tcW w:w="2958" w:type="dxa"/>
          </w:tcPr>
          <w:p w14:paraId="6ABF0E7F" w14:textId="14DCE8DE" w:rsidR="00093AA4" w:rsidRPr="00BC7BB5" w:rsidRDefault="00093AA4" w:rsidP="00E06CB9">
            <w:pPr>
              <w:rPr>
                <w:rFonts w:ascii="Times New Roman" w:hAnsi="Times New Roman" w:cs="Times New Roman"/>
                <w:sz w:val="18"/>
                <w:szCs w:val="18"/>
              </w:rPr>
            </w:pPr>
            <w:r w:rsidRPr="00BC7BB5">
              <w:rPr>
                <w:rFonts w:ascii="Times New Roman" w:hAnsi="Times New Roman" w:cs="Times New Roman"/>
                <w:sz w:val="18"/>
                <w:szCs w:val="18"/>
              </w:rPr>
              <w:t xml:space="preserve">- </w:t>
            </w:r>
            <w:r w:rsidR="00F53A2F" w:rsidRPr="00BC7BB5">
              <w:rPr>
                <w:rFonts w:ascii="Times New Roman" w:hAnsi="Times New Roman" w:cs="Times New Roman"/>
                <w:sz w:val="18"/>
                <w:szCs w:val="18"/>
              </w:rPr>
              <w:t>See above (food quality and safety standards)</w:t>
            </w:r>
          </w:p>
        </w:tc>
      </w:tr>
      <w:tr w:rsidR="00093AA4" w:rsidRPr="00CC4A2A" w14:paraId="15ABF63E" w14:textId="77777777" w:rsidTr="00E06CB9">
        <w:tc>
          <w:tcPr>
            <w:tcW w:w="1843" w:type="dxa"/>
          </w:tcPr>
          <w:p w14:paraId="048A2C33" w14:textId="77777777" w:rsidR="00093AA4" w:rsidRPr="00BC7BB5" w:rsidRDefault="00093AA4" w:rsidP="00E06CB9">
            <w:pPr>
              <w:rPr>
                <w:rFonts w:ascii="Times New Roman" w:hAnsi="Times New Roman" w:cs="Times New Roman"/>
                <w:sz w:val="18"/>
                <w:szCs w:val="18"/>
              </w:rPr>
            </w:pPr>
            <w:r w:rsidRPr="00BC7BB5">
              <w:rPr>
                <w:rFonts w:ascii="Times New Roman" w:hAnsi="Times New Roman" w:cs="Times New Roman"/>
                <w:sz w:val="18"/>
                <w:szCs w:val="18"/>
              </w:rPr>
              <w:t>Water management</w:t>
            </w:r>
          </w:p>
        </w:tc>
        <w:tc>
          <w:tcPr>
            <w:tcW w:w="4549" w:type="dxa"/>
          </w:tcPr>
          <w:p w14:paraId="5F2B8881" w14:textId="128B33CC" w:rsidR="00093AA4" w:rsidRPr="004D563E" w:rsidRDefault="00093AA4" w:rsidP="00E84B86">
            <w:pPr>
              <w:rPr>
                <w:rFonts w:ascii="Times New Roman" w:hAnsi="Times New Roman" w:cs="Times New Roman"/>
                <w:sz w:val="18"/>
                <w:szCs w:val="18"/>
                <w:lang w:val="fr-FR"/>
              </w:rPr>
            </w:pPr>
            <w:r w:rsidRPr="004D563E">
              <w:rPr>
                <w:rFonts w:ascii="Times New Roman" w:hAnsi="Times New Roman" w:cs="Times New Roman"/>
                <w:sz w:val="18"/>
                <w:szCs w:val="18"/>
                <w:lang w:val="fr-FR"/>
              </w:rPr>
              <w:t>Plan National d’Economie</w:t>
            </w:r>
            <w:r w:rsidR="00E84B86" w:rsidRPr="004D563E">
              <w:rPr>
                <w:rFonts w:ascii="Times New Roman" w:hAnsi="Times New Roman" w:cs="Times New Roman"/>
                <w:sz w:val="18"/>
                <w:szCs w:val="18"/>
                <w:lang w:val="fr-FR"/>
              </w:rPr>
              <w:t xml:space="preserve"> de l’Eau en Irrigation (PNEEI)</w:t>
            </w:r>
          </w:p>
        </w:tc>
        <w:tc>
          <w:tcPr>
            <w:tcW w:w="2958" w:type="dxa"/>
          </w:tcPr>
          <w:p w14:paraId="4B930025" w14:textId="21020FCF" w:rsidR="00CC4A2A" w:rsidRPr="001F6E26" w:rsidRDefault="00CC4A2A" w:rsidP="00CC4A2A">
            <w:pPr>
              <w:rPr>
                <w:rFonts w:ascii="Times New Roman" w:hAnsi="Times New Roman" w:cs="Times New Roman"/>
                <w:sz w:val="18"/>
                <w:szCs w:val="18"/>
              </w:rPr>
            </w:pPr>
            <w:r>
              <w:rPr>
                <w:rFonts w:ascii="Times New Roman" w:hAnsi="Times New Roman" w:cs="Times New Roman"/>
                <w:sz w:val="18"/>
                <w:szCs w:val="18"/>
              </w:rPr>
              <w:t>- See above on s</w:t>
            </w:r>
            <w:r w:rsidRPr="001F6E26">
              <w:rPr>
                <w:rFonts w:ascii="Times New Roman" w:hAnsi="Times New Roman" w:cs="Times New Roman"/>
                <w:sz w:val="18"/>
                <w:szCs w:val="18"/>
              </w:rPr>
              <w:t>upport to innovative green projects, including water saving;</w:t>
            </w:r>
          </w:p>
          <w:p w14:paraId="2420B427" w14:textId="46975049" w:rsidR="00093AA4" w:rsidRPr="00CC4A2A" w:rsidRDefault="00CC4A2A" w:rsidP="00E06CB9">
            <w:pPr>
              <w:rPr>
                <w:rFonts w:ascii="Times New Roman" w:hAnsi="Times New Roman" w:cs="Times New Roman"/>
                <w:sz w:val="18"/>
                <w:szCs w:val="18"/>
              </w:rPr>
            </w:pPr>
            <w:r>
              <w:rPr>
                <w:rFonts w:ascii="Times New Roman" w:hAnsi="Times New Roman" w:cs="Times New Roman"/>
                <w:sz w:val="18"/>
                <w:szCs w:val="18"/>
              </w:rPr>
              <w:t>- See above on agri-food processing units which includes the promotion of water recycling– including in areas covered by PNEEI</w:t>
            </w:r>
          </w:p>
        </w:tc>
      </w:tr>
      <w:tr w:rsidR="00093AA4" w:rsidRPr="00BC7BB5" w14:paraId="05886B58" w14:textId="77777777" w:rsidTr="00E06CB9">
        <w:tc>
          <w:tcPr>
            <w:tcW w:w="1843" w:type="dxa"/>
          </w:tcPr>
          <w:p w14:paraId="0112533D" w14:textId="77777777" w:rsidR="00093AA4" w:rsidRPr="00BC7BB5" w:rsidRDefault="00093AA4" w:rsidP="00E06CB9">
            <w:pPr>
              <w:rPr>
                <w:rFonts w:ascii="Times New Roman" w:hAnsi="Times New Roman" w:cs="Times New Roman"/>
                <w:sz w:val="18"/>
                <w:szCs w:val="18"/>
              </w:rPr>
            </w:pPr>
            <w:r w:rsidRPr="00BC7BB5">
              <w:rPr>
                <w:rFonts w:ascii="Times New Roman" w:hAnsi="Times New Roman" w:cs="Times New Roman"/>
                <w:sz w:val="18"/>
                <w:szCs w:val="18"/>
              </w:rPr>
              <w:t>Land management</w:t>
            </w:r>
          </w:p>
        </w:tc>
        <w:tc>
          <w:tcPr>
            <w:tcW w:w="4549" w:type="dxa"/>
          </w:tcPr>
          <w:p w14:paraId="370FECCE" w14:textId="77777777" w:rsidR="00093AA4" w:rsidRPr="00BC7BB5" w:rsidRDefault="00093AA4" w:rsidP="00E06CB9">
            <w:pPr>
              <w:jc w:val="both"/>
              <w:rPr>
                <w:rFonts w:ascii="Times New Roman" w:hAnsi="Times New Roman" w:cs="Times New Roman"/>
                <w:sz w:val="18"/>
                <w:szCs w:val="18"/>
              </w:rPr>
            </w:pPr>
            <w:r w:rsidRPr="00BC7BB5">
              <w:rPr>
                <w:rFonts w:ascii="Times New Roman" w:hAnsi="Times New Roman" w:cs="Times New Roman"/>
                <w:sz w:val="18"/>
                <w:szCs w:val="18"/>
              </w:rPr>
              <w:t>Mobilize agricultural land by accelerating the process of private sector participation in the management of state-owned and collective lands and promoting aggregation</w:t>
            </w:r>
          </w:p>
        </w:tc>
        <w:tc>
          <w:tcPr>
            <w:tcW w:w="2958" w:type="dxa"/>
          </w:tcPr>
          <w:p w14:paraId="78FC63AA" w14:textId="77777777" w:rsidR="00093AA4" w:rsidRPr="00BC7BB5" w:rsidRDefault="00093AA4" w:rsidP="00E06CB9">
            <w:pPr>
              <w:rPr>
                <w:rFonts w:ascii="Times New Roman" w:hAnsi="Times New Roman" w:cs="Times New Roman"/>
                <w:sz w:val="18"/>
                <w:szCs w:val="18"/>
              </w:rPr>
            </w:pPr>
          </w:p>
        </w:tc>
      </w:tr>
      <w:tr w:rsidR="00093AA4" w:rsidRPr="00BC7BB5" w14:paraId="3043D639" w14:textId="77777777" w:rsidTr="00E06CB9">
        <w:tc>
          <w:tcPr>
            <w:tcW w:w="9350" w:type="dxa"/>
            <w:gridSpan w:val="3"/>
          </w:tcPr>
          <w:p w14:paraId="5D8AC8BD" w14:textId="77777777" w:rsidR="00093AA4" w:rsidRPr="00BC7BB5" w:rsidRDefault="00093AA4" w:rsidP="00E06CB9">
            <w:pPr>
              <w:rPr>
                <w:rFonts w:ascii="Times New Roman" w:hAnsi="Times New Roman" w:cs="Times New Roman"/>
                <w:b/>
                <w:i/>
                <w:sz w:val="18"/>
                <w:szCs w:val="18"/>
              </w:rPr>
            </w:pPr>
            <w:r w:rsidRPr="00BC7BB5">
              <w:rPr>
                <w:rFonts w:ascii="Times New Roman" w:hAnsi="Times New Roman" w:cs="Times New Roman"/>
                <w:b/>
                <w:i/>
                <w:sz w:val="18"/>
                <w:szCs w:val="18"/>
              </w:rPr>
              <w:t>Investment Support</w:t>
            </w:r>
          </w:p>
        </w:tc>
      </w:tr>
      <w:tr w:rsidR="00093AA4" w:rsidRPr="00BC7BB5" w14:paraId="74780C4C" w14:textId="77777777" w:rsidTr="00E06CB9">
        <w:tc>
          <w:tcPr>
            <w:tcW w:w="1843" w:type="dxa"/>
          </w:tcPr>
          <w:p w14:paraId="357E2133" w14:textId="6BB3A5A9" w:rsidR="00093AA4" w:rsidRPr="00BC7BB5" w:rsidRDefault="00234768" w:rsidP="00E06CB9">
            <w:pPr>
              <w:rPr>
                <w:rFonts w:ascii="Times New Roman" w:hAnsi="Times New Roman" w:cs="Times New Roman"/>
                <w:i/>
                <w:sz w:val="18"/>
                <w:szCs w:val="18"/>
              </w:rPr>
            </w:pPr>
            <w:r w:rsidRPr="00BC7BB5">
              <w:rPr>
                <w:rFonts w:ascii="Times New Roman" w:hAnsi="Times New Roman" w:cs="Times New Roman"/>
                <w:i/>
                <w:sz w:val="18"/>
                <w:szCs w:val="18"/>
              </w:rPr>
              <w:t>Pil</w:t>
            </w:r>
            <w:r>
              <w:rPr>
                <w:rFonts w:ascii="Times New Roman" w:hAnsi="Times New Roman" w:cs="Times New Roman"/>
                <w:i/>
                <w:sz w:val="18"/>
                <w:szCs w:val="18"/>
              </w:rPr>
              <w:t>lar</w:t>
            </w:r>
            <w:r w:rsidRPr="00BC7BB5">
              <w:rPr>
                <w:rFonts w:ascii="Times New Roman" w:hAnsi="Times New Roman" w:cs="Times New Roman"/>
                <w:i/>
                <w:sz w:val="18"/>
                <w:szCs w:val="18"/>
              </w:rPr>
              <w:t xml:space="preserve"> </w:t>
            </w:r>
            <w:r w:rsidR="00093AA4" w:rsidRPr="00BC7BB5">
              <w:rPr>
                <w:rFonts w:ascii="Times New Roman" w:hAnsi="Times New Roman" w:cs="Times New Roman"/>
                <w:i/>
                <w:sz w:val="18"/>
                <w:szCs w:val="18"/>
              </w:rPr>
              <w:t>I</w:t>
            </w:r>
            <w:r w:rsidR="00093AA4" w:rsidRPr="00BC7BB5">
              <w:rPr>
                <w:rFonts w:ascii="Times New Roman" w:hAnsi="Times New Roman" w:cs="Times New Roman"/>
                <w:sz w:val="18"/>
                <w:szCs w:val="18"/>
              </w:rPr>
              <w:t xml:space="preserve"> – </w:t>
            </w:r>
            <w:r w:rsidR="00E84B86" w:rsidRPr="00BC7BB5">
              <w:rPr>
                <w:rFonts w:ascii="Times New Roman" w:hAnsi="Times New Roman" w:cs="Times New Roman"/>
                <w:sz w:val="18"/>
                <w:szCs w:val="18"/>
              </w:rPr>
              <w:t>Investment</w:t>
            </w:r>
            <w:r w:rsidR="00093AA4" w:rsidRPr="00BC7BB5">
              <w:rPr>
                <w:rFonts w:ascii="Times New Roman" w:hAnsi="Times New Roman" w:cs="Times New Roman"/>
                <w:sz w:val="18"/>
                <w:szCs w:val="18"/>
              </w:rPr>
              <w:t xml:space="preserve"> projects: Incentives by sub</w:t>
            </w:r>
            <w:r>
              <w:rPr>
                <w:rFonts w:ascii="Times New Roman" w:hAnsi="Times New Roman" w:cs="Times New Roman"/>
                <w:sz w:val="18"/>
                <w:szCs w:val="18"/>
              </w:rPr>
              <w:t>-</w:t>
            </w:r>
            <w:r w:rsidR="00093AA4" w:rsidRPr="00BC7BB5">
              <w:rPr>
                <w:rFonts w:ascii="Times New Roman" w:hAnsi="Times New Roman" w:cs="Times New Roman"/>
                <w:sz w:val="18"/>
                <w:szCs w:val="18"/>
              </w:rPr>
              <w:t>sector (industrial crops, olive, citrus, fresh fruit and vegetable, dairy, etc.)</w:t>
            </w:r>
          </w:p>
        </w:tc>
        <w:tc>
          <w:tcPr>
            <w:tcW w:w="4549" w:type="dxa"/>
          </w:tcPr>
          <w:p w14:paraId="42CC68DC" w14:textId="242CE410" w:rsidR="00093AA4" w:rsidRPr="00BC7BB5" w:rsidRDefault="00E84B86" w:rsidP="00E06CB9">
            <w:pPr>
              <w:jc w:val="both"/>
              <w:rPr>
                <w:rFonts w:ascii="Times New Roman" w:hAnsi="Times New Roman" w:cs="Times New Roman"/>
                <w:sz w:val="18"/>
                <w:szCs w:val="18"/>
              </w:rPr>
            </w:pPr>
            <w:r w:rsidRPr="00BC7BB5">
              <w:rPr>
                <w:rFonts w:ascii="Times New Roman" w:hAnsi="Times New Roman" w:cs="Times New Roman"/>
                <w:sz w:val="18"/>
                <w:szCs w:val="18"/>
              </w:rPr>
              <w:t>Providing incentives (grants) for 900 investment projects aimed at integrating market-oriented producers in agri-food chains</w:t>
            </w:r>
          </w:p>
        </w:tc>
        <w:tc>
          <w:tcPr>
            <w:tcW w:w="2958" w:type="dxa"/>
          </w:tcPr>
          <w:p w14:paraId="3375C9F7" w14:textId="77777777" w:rsidR="00696D33" w:rsidRPr="00BC7BB5" w:rsidRDefault="00696D33" w:rsidP="00696D33">
            <w:pPr>
              <w:jc w:val="both"/>
              <w:rPr>
                <w:rFonts w:ascii="Times New Roman" w:hAnsi="Times New Roman" w:cs="Times New Roman"/>
                <w:sz w:val="18"/>
                <w:szCs w:val="18"/>
              </w:rPr>
            </w:pPr>
            <w:r w:rsidRPr="00BC7BB5">
              <w:rPr>
                <w:rFonts w:ascii="Times New Roman" w:hAnsi="Times New Roman" w:cs="Times New Roman"/>
                <w:sz w:val="18"/>
                <w:szCs w:val="18"/>
              </w:rPr>
              <w:t>Amended Law on aggregation</w:t>
            </w:r>
          </w:p>
          <w:p w14:paraId="48D1C5CC" w14:textId="77777777" w:rsidR="00696D33" w:rsidRPr="00BC7BB5" w:rsidRDefault="00696D33" w:rsidP="00696D33">
            <w:pPr>
              <w:jc w:val="both"/>
              <w:rPr>
                <w:rFonts w:ascii="Times New Roman" w:hAnsi="Times New Roman" w:cs="Times New Roman"/>
                <w:sz w:val="18"/>
                <w:szCs w:val="18"/>
              </w:rPr>
            </w:pPr>
            <w:r w:rsidRPr="00BC7BB5">
              <w:rPr>
                <w:rFonts w:ascii="Times New Roman" w:hAnsi="Times New Roman" w:cs="Times New Roman"/>
                <w:sz w:val="18"/>
                <w:szCs w:val="18"/>
              </w:rPr>
              <w:t>- Pilot alternative approach for aggregation projects through productive alliances (new, program adjustment)</w:t>
            </w:r>
          </w:p>
          <w:p w14:paraId="4C65B25A" w14:textId="323C4304" w:rsidR="00093AA4" w:rsidRPr="00BC7BB5" w:rsidRDefault="00696D33" w:rsidP="00696D33">
            <w:pPr>
              <w:rPr>
                <w:rFonts w:ascii="Times New Roman" w:hAnsi="Times New Roman" w:cs="Times New Roman"/>
                <w:sz w:val="18"/>
                <w:szCs w:val="18"/>
              </w:rPr>
            </w:pPr>
            <w:r w:rsidRPr="00BC7BB5">
              <w:rPr>
                <w:rFonts w:ascii="Times New Roman" w:hAnsi="Times New Roman" w:cs="Times New Roman"/>
                <w:sz w:val="18"/>
                <w:szCs w:val="18"/>
              </w:rPr>
              <w:t>- Incentives for aggregation projects in the olive and citrus sub</w:t>
            </w:r>
            <w:r w:rsidR="00234768">
              <w:rPr>
                <w:rFonts w:ascii="Times New Roman" w:hAnsi="Times New Roman" w:cs="Times New Roman"/>
                <w:sz w:val="18"/>
                <w:szCs w:val="18"/>
              </w:rPr>
              <w:t>-</w:t>
            </w:r>
            <w:r w:rsidRPr="00BC7BB5">
              <w:rPr>
                <w:rFonts w:ascii="Times New Roman" w:hAnsi="Times New Roman" w:cs="Times New Roman"/>
                <w:sz w:val="18"/>
                <w:szCs w:val="18"/>
              </w:rPr>
              <w:t>sectors</w:t>
            </w:r>
          </w:p>
        </w:tc>
      </w:tr>
      <w:tr w:rsidR="00E84B86" w:rsidRPr="00BC7BB5" w14:paraId="7098A0DE" w14:textId="77777777" w:rsidTr="00D776F9">
        <w:tc>
          <w:tcPr>
            <w:tcW w:w="1843" w:type="dxa"/>
          </w:tcPr>
          <w:p w14:paraId="4EB4A36A" w14:textId="13582992" w:rsidR="00E84B86" w:rsidRPr="00BC7BB5" w:rsidRDefault="00E84B86" w:rsidP="00D776F9">
            <w:pPr>
              <w:rPr>
                <w:rFonts w:ascii="Times New Roman" w:hAnsi="Times New Roman" w:cs="Times New Roman"/>
                <w:sz w:val="18"/>
                <w:szCs w:val="18"/>
              </w:rPr>
            </w:pPr>
            <w:r w:rsidRPr="00BC7BB5">
              <w:rPr>
                <w:rFonts w:ascii="Times New Roman" w:hAnsi="Times New Roman" w:cs="Times New Roman"/>
                <w:sz w:val="18"/>
                <w:szCs w:val="18"/>
              </w:rPr>
              <w:t>FDA incentives for value-addition</w:t>
            </w:r>
          </w:p>
          <w:p w14:paraId="02EDEF3B" w14:textId="77777777" w:rsidR="00E84B86" w:rsidRPr="00BC7BB5" w:rsidRDefault="00E84B86" w:rsidP="00D776F9">
            <w:pPr>
              <w:rPr>
                <w:rFonts w:ascii="Times New Roman" w:hAnsi="Times New Roman" w:cs="Times New Roman"/>
                <w:sz w:val="18"/>
                <w:szCs w:val="18"/>
              </w:rPr>
            </w:pPr>
          </w:p>
        </w:tc>
        <w:tc>
          <w:tcPr>
            <w:tcW w:w="4549" w:type="dxa"/>
          </w:tcPr>
          <w:p w14:paraId="7CFF561D" w14:textId="77777777" w:rsidR="00E84B86" w:rsidRPr="00BC7BB5" w:rsidRDefault="00E84B86" w:rsidP="00D776F9">
            <w:pPr>
              <w:pStyle w:val="ListParagraph"/>
              <w:numPr>
                <w:ilvl w:val="0"/>
                <w:numId w:val="9"/>
              </w:numPr>
              <w:ind w:left="106" w:hanging="136"/>
              <w:jc w:val="both"/>
              <w:rPr>
                <w:rFonts w:ascii="Times New Roman" w:hAnsi="Times New Roman" w:cs="Times New Roman"/>
                <w:sz w:val="18"/>
                <w:szCs w:val="18"/>
              </w:rPr>
            </w:pPr>
            <w:r w:rsidRPr="00BC7BB5">
              <w:rPr>
                <w:rFonts w:ascii="Times New Roman" w:hAnsi="Times New Roman" w:cs="Times New Roman"/>
                <w:sz w:val="18"/>
                <w:szCs w:val="18"/>
              </w:rPr>
              <w:t>On-farm modernization of equipment and adoption of good agricultural practices</w:t>
            </w:r>
          </w:p>
          <w:p w14:paraId="6A9792C4" w14:textId="77777777" w:rsidR="00E84B86" w:rsidRPr="00BC7BB5" w:rsidRDefault="00E84B86" w:rsidP="00D776F9">
            <w:pPr>
              <w:pStyle w:val="ListParagraph"/>
              <w:numPr>
                <w:ilvl w:val="0"/>
                <w:numId w:val="9"/>
              </w:numPr>
              <w:ind w:left="106" w:hanging="180"/>
              <w:jc w:val="both"/>
              <w:rPr>
                <w:rFonts w:ascii="Times New Roman" w:hAnsi="Times New Roman" w:cs="Times New Roman"/>
                <w:sz w:val="18"/>
                <w:szCs w:val="18"/>
              </w:rPr>
            </w:pPr>
            <w:r w:rsidRPr="00BC7BB5">
              <w:rPr>
                <w:rFonts w:ascii="Times New Roman" w:hAnsi="Times New Roman" w:cs="Times New Roman"/>
                <w:sz w:val="18"/>
                <w:szCs w:val="18"/>
              </w:rPr>
              <w:lastRenderedPageBreak/>
              <w:t>Support for private investments in processing, conditioning and storage in priority value-chains</w:t>
            </w:r>
          </w:p>
        </w:tc>
        <w:tc>
          <w:tcPr>
            <w:tcW w:w="2958" w:type="dxa"/>
          </w:tcPr>
          <w:p w14:paraId="41EC27B6" w14:textId="3BE8F615" w:rsidR="00696D33" w:rsidRPr="00BC7BB5" w:rsidRDefault="00E84B86" w:rsidP="00696D33">
            <w:pPr>
              <w:ind w:left="-74"/>
              <w:rPr>
                <w:rFonts w:ascii="Times New Roman" w:hAnsi="Times New Roman" w:cs="Times New Roman"/>
                <w:sz w:val="18"/>
                <w:szCs w:val="18"/>
              </w:rPr>
            </w:pPr>
            <w:r w:rsidRPr="00BC7BB5">
              <w:rPr>
                <w:rFonts w:ascii="Times New Roman" w:hAnsi="Times New Roman" w:cs="Times New Roman"/>
                <w:sz w:val="18"/>
                <w:szCs w:val="18"/>
              </w:rPr>
              <w:lastRenderedPageBreak/>
              <w:t xml:space="preserve"> </w:t>
            </w:r>
            <w:r w:rsidR="00696D33" w:rsidRPr="00BC7BB5">
              <w:rPr>
                <w:rFonts w:ascii="Times New Roman" w:hAnsi="Times New Roman" w:cs="Times New Roman"/>
                <w:sz w:val="18"/>
                <w:szCs w:val="18"/>
              </w:rPr>
              <w:t>- Enhanced appraisal and monitoring modalities</w:t>
            </w:r>
          </w:p>
          <w:p w14:paraId="4807DC3B" w14:textId="7A0006CA" w:rsidR="00E84B86" w:rsidRPr="00BC7BB5" w:rsidRDefault="00696D33" w:rsidP="00696D33">
            <w:pPr>
              <w:ind w:left="-74"/>
              <w:rPr>
                <w:rFonts w:ascii="Times New Roman" w:hAnsi="Times New Roman" w:cs="Times New Roman"/>
                <w:sz w:val="18"/>
                <w:szCs w:val="18"/>
              </w:rPr>
            </w:pPr>
            <w:r w:rsidRPr="00BC7BB5">
              <w:rPr>
                <w:rFonts w:ascii="Times New Roman" w:hAnsi="Times New Roman" w:cs="Times New Roman"/>
                <w:sz w:val="18"/>
                <w:szCs w:val="18"/>
              </w:rPr>
              <w:lastRenderedPageBreak/>
              <w:t>- Incentives in processing, conditioning and storage in the olive and citrus sub</w:t>
            </w:r>
            <w:r w:rsidR="00234768">
              <w:rPr>
                <w:rFonts w:ascii="Times New Roman" w:hAnsi="Times New Roman" w:cs="Times New Roman"/>
                <w:sz w:val="18"/>
                <w:szCs w:val="18"/>
              </w:rPr>
              <w:t>-</w:t>
            </w:r>
            <w:r w:rsidRPr="00BC7BB5">
              <w:rPr>
                <w:rFonts w:ascii="Times New Roman" w:hAnsi="Times New Roman" w:cs="Times New Roman"/>
                <w:sz w:val="18"/>
                <w:szCs w:val="18"/>
              </w:rPr>
              <w:t>sectors (grants)</w:t>
            </w:r>
          </w:p>
        </w:tc>
      </w:tr>
      <w:tr w:rsidR="00093AA4" w:rsidRPr="00BC7BB5" w14:paraId="2B0E5C5F" w14:textId="77777777" w:rsidTr="00E06CB9">
        <w:tc>
          <w:tcPr>
            <w:tcW w:w="1843" w:type="dxa"/>
          </w:tcPr>
          <w:p w14:paraId="3C7CA523" w14:textId="73A9FA0D" w:rsidR="00093AA4" w:rsidRPr="00BC7BB5" w:rsidRDefault="00234768" w:rsidP="00E06CB9">
            <w:pPr>
              <w:rPr>
                <w:rFonts w:ascii="Times New Roman" w:hAnsi="Times New Roman" w:cs="Times New Roman"/>
                <w:i/>
                <w:sz w:val="18"/>
                <w:szCs w:val="18"/>
              </w:rPr>
            </w:pPr>
            <w:r w:rsidRPr="00BC7BB5">
              <w:rPr>
                <w:rFonts w:ascii="Times New Roman" w:hAnsi="Times New Roman" w:cs="Times New Roman"/>
                <w:i/>
                <w:sz w:val="18"/>
                <w:szCs w:val="18"/>
              </w:rPr>
              <w:lastRenderedPageBreak/>
              <w:t>Pil</w:t>
            </w:r>
            <w:r>
              <w:rPr>
                <w:rFonts w:ascii="Times New Roman" w:hAnsi="Times New Roman" w:cs="Times New Roman"/>
                <w:i/>
                <w:sz w:val="18"/>
                <w:szCs w:val="18"/>
              </w:rPr>
              <w:t>lar</w:t>
            </w:r>
            <w:r w:rsidRPr="00BC7BB5">
              <w:rPr>
                <w:rFonts w:ascii="Times New Roman" w:hAnsi="Times New Roman" w:cs="Times New Roman"/>
                <w:i/>
                <w:sz w:val="18"/>
                <w:szCs w:val="18"/>
              </w:rPr>
              <w:t xml:space="preserve"> </w:t>
            </w:r>
            <w:r w:rsidR="00093AA4" w:rsidRPr="00BC7BB5">
              <w:rPr>
                <w:rFonts w:ascii="Times New Roman" w:hAnsi="Times New Roman" w:cs="Times New Roman"/>
                <w:i/>
                <w:sz w:val="18"/>
                <w:szCs w:val="18"/>
              </w:rPr>
              <w:t>II</w:t>
            </w:r>
            <w:r w:rsidR="00093AA4" w:rsidRPr="00BC7BB5">
              <w:rPr>
                <w:rFonts w:ascii="Times New Roman" w:hAnsi="Times New Roman" w:cs="Times New Roman"/>
                <w:sz w:val="18"/>
                <w:szCs w:val="18"/>
              </w:rPr>
              <w:t xml:space="preserve"> – Support for small producers in disadvantaged areas</w:t>
            </w:r>
          </w:p>
        </w:tc>
        <w:tc>
          <w:tcPr>
            <w:tcW w:w="4549" w:type="dxa"/>
          </w:tcPr>
          <w:p w14:paraId="14D80E5A" w14:textId="77777777" w:rsidR="00093AA4" w:rsidRPr="00BC7BB5" w:rsidRDefault="00093AA4" w:rsidP="00E06CB9">
            <w:pPr>
              <w:jc w:val="both"/>
              <w:rPr>
                <w:rFonts w:ascii="Times New Roman" w:hAnsi="Times New Roman" w:cs="Times New Roman"/>
                <w:sz w:val="18"/>
                <w:szCs w:val="18"/>
              </w:rPr>
            </w:pPr>
            <w:r w:rsidRPr="00BC7BB5">
              <w:rPr>
                <w:rFonts w:ascii="Times New Roman" w:hAnsi="Times New Roman" w:cs="Times New Roman"/>
                <w:sz w:val="18"/>
                <w:szCs w:val="18"/>
              </w:rPr>
              <w:t>Finance 400 smallholder projects aimed at increasing incomes of smallholder farms through crop switching, diversification, and intensification, as well as strengthening farmer organizations and supporting their integration in sustainable agri-food chains</w:t>
            </w:r>
          </w:p>
        </w:tc>
        <w:tc>
          <w:tcPr>
            <w:tcW w:w="2958" w:type="dxa"/>
          </w:tcPr>
          <w:p w14:paraId="3FAB55FB" w14:textId="11FA7086" w:rsidR="00093AA4" w:rsidRPr="00BC7BB5" w:rsidRDefault="00F66A24" w:rsidP="00F66A24">
            <w:pPr>
              <w:pStyle w:val="ListParagraph"/>
              <w:ind w:left="1"/>
              <w:jc w:val="both"/>
              <w:rPr>
                <w:rFonts w:ascii="Times New Roman" w:hAnsi="Times New Roman" w:cs="Times New Roman"/>
                <w:sz w:val="18"/>
                <w:szCs w:val="18"/>
              </w:rPr>
            </w:pPr>
            <w:r w:rsidRPr="00BC7BB5">
              <w:rPr>
                <w:rFonts w:ascii="Times New Roman" w:hAnsi="Times New Roman" w:cs="Times New Roman"/>
                <w:sz w:val="18"/>
                <w:szCs w:val="18"/>
              </w:rPr>
              <w:t xml:space="preserve">- </w:t>
            </w:r>
            <w:r w:rsidR="00696D33" w:rsidRPr="00BC7BB5">
              <w:rPr>
                <w:rFonts w:ascii="Times New Roman" w:hAnsi="Times New Roman" w:cs="Times New Roman"/>
                <w:sz w:val="18"/>
                <w:szCs w:val="18"/>
              </w:rPr>
              <w:t>Technical assistance for beneficiaries transitioning towards high value products, such as olive GIEs and cooperatives (new, program adjustment)</w:t>
            </w:r>
          </w:p>
        </w:tc>
      </w:tr>
      <w:tr w:rsidR="00093AA4" w:rsidRPr="00BC7BB5" w14:paraId="0ED132D7" w14:textId="77777777" w:rsidTr="00E06CB9">
        <w:tc>
          <w:tcPr>
            <w:tcW w:w="1843" w:type="dxa"/>
          </w:tcPr>
          <w:p w14:paraId="74ABCFF9" w14:textId="77777777" w:rsidR="00093AA4" w:rsidRPr="00BC7BB5" w:rsidRDefault="00093AA4" w:rsidP="00E06CB9">
            <w:pPr>
              <w:rPr>
                <w:rFonts w:ascii="Times New Roman" w:hAnsi="Times New Roman" w:cs="Times New Roman"/>
                <w:sz w:val="18"/>
                <w:szCs w:val="18"/>
              </w:rPr>
            </w:pPr>
            <w:r w:rsidRPr="00BC7BB5">
              <w:rPr>
                <w:rFonts w:ascii="Times New Roman" w:hAnsi="Times New Roman" w:cs="Times New Roman"/>
                <w:sz w:val="18"/>
                <w:szCs w:val="18"/>
              </w:rPr>
              <w:t>Geographic scope</w:t>
            </w:r>
          </w:p>
        </w:tc>
        <w:tc>
          <w:tcPr>
            <w:tcW w:w="4549" w:type="dxa"/>
          </w:tcPr>
          <w:p w14:paraId="7E56793E" w14:textId="77777777" w:rsidR="00093AA4" w:rsidRPr="00BC7BB5" w:rsidRDefault="00093AA4" w:rsidP="00E06CB9">
            <w:pPr>
              <w:jc w:val="both"/>
              <w:rPr>
                <w:rFonts w:ascii="Times New Roman" w:hAnsi="Times New Roman" w:cs="Times New Roman"/>
                <w:sz w:val="18"/>
                <w:szCs w:val="18"/>
              </w:rPr>
            </w:pPr>
            <w:r w:rsidRPr="00BC7BB5">
              <w:rPr>
                <w:rFonts w:ascii="Times New Roman" w:hAnsi="Times New Roman" w:cs="Times New Roman"/>
                <w:sz w:val="18"/>
                <w:szCs w:val="18"/>
              </w:rPr>
              <w:t>All 12 regions and 62 provinces (1.2 million rural households)</w:t>
            </w:r>
          </w:p>
        </w:tc>
        <w:tc>
          <w:tcPr>
            <w:tcW w:w="2958" w:type="dxa"/>
          </w:tcPr>
          <w:p w14:paraId="56762E0B" w14:textId="76A46E8B" w:rsidR="00093AA4" w:rsidRPr="00BC7BB5" w:rsidRDefault="004D3F61" w:rsidP="00E06CB9">
            <w:pPr>
              <w:ind w:left="-74"/>
              <w:rPr>
                <w:rFonts w:ascii="Times New Roman" w:hAnsi="Times New Roman" w:cs="Times New Roman"/>
                <w:sz w:val="18"/>
                <w:szCs w:val="18"/>
              </w:rPr>
            </w:pPr>
            <w:r>
              <w:rPr>
                <w:rFonts w:ascii="Times New Roman" w:hAnsi="Times New Roman" w:cs="Times New Roman"/>
                <w:sz w:val="18"/>
                <w:szCs w:val="18"/>
              </w:rPr>
              <w:t>Program area (9 regions)</w:t>
            </w:r>
          </w:p>
        </w:tc>
      </w:tr>
      <w:tr w:rsidR="00093AA4" w:rsidRPr="00BC7BB5" w14:paraId="1268B5A7" w14:textId="77777777" w:rsidTr="00E06CB9">
        <w:tc>
          <w:tcPr>
            <w:tcW w:w="1843" w:type="dxa"/>
          </w:tcPr>
          <w:p w14:paraId="0A982997" w14:textId="77777777" w:rsidR="00093AA4" w:rsidRPr="00BC7BB5" w:rsidRDefault="00093AA4" w:rsidP="00E06CB9">
            <w:pPr>
              <w:rPr>
                <w:rFonts w:ascii="Times New Roman" w:hAnsi="Times New Roman" w:cs="Times New Roman"/>
                <w:sz w:val="18"/>
                <w:szCs w:val="18"/>
              </w:rPr>
            </w:pPr>
            <w:r w:rsidRPr="00BC7BB5">
              <w:rPr>
                <w:rFonts w:ascii="Times New Roman" w:hAnsi="Times New Roman" w:cs="Times New Roman"/>
                <w:sz w:val="18"/>
                <w:szCs w:val="18"/>
              </w:rPr>
              <w:t>Implementation period</w:t>
            </w:r>
          </w:p>
        </w:tc>
        <w:tc>
          <w:tcPr>
            <w:tcW w:w="4549" w:type="dxa"/>
          </w:tcPr>
          <w:p w14:paraId="0A804446" w14:textId="7557B271" w:rsidR="00093AA4" w:rsidRPr="004D3F61" w:rsidRDefault="00093AA4" w:rsidP="004D3F61">
            <w:pPr>
              <w:jc w:val="both"/>
              <w:rPr>
                <w:rFonts w:ascii="Times New Roman" w:hAnsi="Times New Roman" w:cs="Times New Roman"/>
                <w:sz w:val="18"/>
                <w:szCs w:val="18"/>
              </w:rPr>
            </w:pPr>
            <w:r w:rsidRPr="004D3F61">
              <w:rPr>
                <w:rFonts w:ascii="Times New Roman" w:hAnsi="Times New Roman" w:cs="Times New Roman"/>
                <w:sz w:val="18"/>
                <w:szCs w:val="18"/>
              </w:rPr>
              <w:t>2008-2014 (phase I) and 2015-202</w:t>
            </w:r>
            <w:r w:rsidR="0066620F" w:rsidRPr="004D3F61">
              <w:rPr>
                <w:rFonts w:ascii="Times New Roman" w:hAnsi="Times New Roman" w:cs="Times New Roman"/>
                <w:sz w:val="18"/>
                <w:szCs w:val="18"/>
              </w:rPr>
              <w:t>2</w:t>
            </w:r>
            <w:r w:rsidRPr="004D3F61">
              <w:rPr>
                <w:rFonts w:ascii="Times New Roman" w:hAnsi="Times New Roman" w:cs="Times New Roman"/>
                <w:sz w:val="18"/>
                <w:szCs w:val="18"/>
              </w:rPr>
              <w:t xml:space="preserve"> (phase II)</w:t>
            </w:r>
          </w:p>
        </w:tc>
        <w:tc>
          <w:tcPr>
            <w:tcW w:w="2958" w:type="dxa"/>
          </w:tcPr>
          <w:p w14:paraId="75C7F0AB" w14:textId="1F11ADF8" w:rsidR="00093AA4" w:rsidRPr="00BC7BB5" w:rsidRDefault="00696D33" w:rsidP="00E06CB9">
            <w:pPr>
              <w:ind w:left="-74"/>
              <w:rPr>
                <w:rFonts w:ascii="Times New Roman" w:hAnsi="Times New Roman" w:cs="Times New Roman"/>
                <w:sz w:val="18"/>
                <w:szCs w:val="18"/>
              </w:rPr>
            </w:pPr>
            <w:r w:rsidRPr="00BC7BB5">
              <w:rPr>
                <w:rFonts w:ascii="Times New Roman" w:hAnsi="Times New Roman" w:cs="Times New Roman"/>
                <w:sz w:val="18"/>
                <w:szCs w:val="18"/>
              </w:rPr>
              <w:t xml:space="preserve"> 2018-2022 (5</w:t>
            </w:r>
            <w:r w:rsidR="00093AA4" w:rsidRPr="00BC7BB5">
              <w:rPr>
                <w:rFonts w:ascii="Times New Roman" w:hAnsi="Times New Roman" w:cs="Times New Roman"/>
                <w:sz w:val="18"/>
                <w:szCs w:val="18"/>
              </w:rPr>
              <w:t xml:space="preserve"> years)</w:t>
            </w:r>
          </w:p>
        </w:tc>
      </w:tr>
      <w:tr w:rsidR="00093AA4" w:rsidRPr="00BC7BB5" w14:paraId="1B38984D" w14:textId="77777777" w:rsidTr="00E06CB9">
        <w:trPr>
          <w:trHeight w:val="278"/>
        </w:trPr>
        <w:tc>
          <w:tcPr>
            <w:tcW w:w="1843" w:type="dxa"/>
          </w:tcPr>
          <w:p w14:paraId="560D7FF0" w14:textId="5F12E28F" w:rsidR="00093AA4" w:rsidRPr="00BC7BB5" w:rsidRDefault="00093AA4" w:rsidP="00E06CB9">
            <w:pPr>
              <w:rPr>
                <w:rFonts w:ascii="Times New Roman" w:hAnsi="Times New Roman" w:cs="Times New Roman"/>
                <w:sz w:val="18"/>
                <w:szCs w:val="18"/>
              </w:rPr>
            </w:pPr>
            <w:r w:rsidRPr="00BC7BB5">
              <w:rPr>
                <w:rFonts w:ascii="Times New Roman" w:hAnsi="Times New Roman" w:cs="Times New Roman"/>
                <w:sz w:val="18"/>
                <w:szCs w:val="18"/>
              </w:rPr>
              <w:t xml:space="preserve">Cost </w:t>
            </w:r>
          </w:p>
        </w:tc>
        <w:tc>
          <w:tcPr>
            <w:tcW w:w="4549" w:type="dxa"/>
          </w:tcPr>
          <w:p w14:paraId="5EF203D6" w14:textId="347B5E85" w:rsidR="00093AA4" w:rsidRPr="004D3F61" w:rsidRDefault="00093AA4" w:rsidP="004D3F61">
            <w:pPr>
              <w:jc w:val="both"/>
              <w:rPr>
                <w:rFonts w:ascii="Times New Roman" w:hAnsi="Times New Roman" w:cs="Times New Roman"/>
                <w:sz w:val="18"/>
                <w:szCs w:val="18"/>
              </w:rPr>
            </w:pPr>
            <w:r w:rsidRPr="004D3F61">
              <w:rPr>
                <w:rFonts w:ascii="Times New Roman" w:hAnsi="Times New Roman" w:cs="Times New Roman"/>
                <w:sz w:val="18"/>
                <w:szCs w:val="18"/>
              </w:rPr>
              <w:t>US$6.66 billion for 2008-202</w:t>
            </w:r>
            <w:r w:rsidR="0066620F" w:rsidRPr="004D3F61">
              <w:rPr>
                <w:rFonts w:ascii="Times New Roman" w:hAnsi="Times New Roman" w:cs="Times New Roman"/>
                <w:sz w:val="18"/>
                <w:szCs w:val="18"/>
              </w:rPr>
              <w:t>2</w:t>
            </w:r>
          </w:p>
        </w:tc>
        <w:tc>
          <w:tcPr>
            <w:tcW w:w="2958" w:type="dxa"/>
          </w:tcPr>
          <w:p w14:paraId="058A06EE" w14:textId="4C13E455" w:rsidR="00093AA4" w:rsidRPr="00BC7BB5" w:rsidRDefault="00093AA4" w:rsidP="00E06CB9">
            <w:pPr>
              <w:ind w:left="-74"/>
              <w:rPr>
                <w:rFonts w:ascii="Times New Roman" w:hAnsi="Times New Roman" w:cs="Times New Roman"/>
                <w:sz w:val="18"/>
                <w:szCs w:val="18"/>
              </w:rPr>
            </w:pPr>
            <w:r w:rsidRPr="00BC7BB5">
              <w:rPr>
                <w:rFonts w:ascii="Times New Roman" w:hAnsi="Times New Roman" w:cs="Times New Roman"/>
                <w:sz w:val="18"/>
                <w:szCs w:val="18"/>
              </w:rPr>
              <w:t>US$</w:t>
            </w:r>
            <w:r w:rsidR="00226A2D" w:rsidRPr="001555C1">
              <w:rPr>
                <w:rFonts w:ascii="Times New Roman" w:hAnsi="Times New Roman" w:cs="Times New Roman"/>
                <w:sz w:val="18"/>
                <w:szCs w:val="18"/>
              </w:rPr>
              <w:t>4</w:t>
            </w:r>
            <w:r w:rsidR="007A076A" w:rsidRPr="001555C1">
              <w:rPr>
                <w:rFonts w:ascii="Times New Roman" w:hAnsi="Times New Roman" w:cs="Times New Roman"/>
                <w:sz w:val="18"/>
                <w:szCs w:val="18"/>
              </w:rPr>
              <w:t>50</w:t>
            </w:r>
            <w:r w:rsidRPr="00BC7BB5">
              <w:rPr>
                <w:rFonts w:ascii="Times New Roman" w:hAnsi="Times New Roman" w:cs="Times New Roman"/>
                <w:sz w:val="18"/>
                <w:szCs w:val="18"/>
              </w:rPr>
              <w:t xml:space="preserve"> million</w:t>
            </w:r>
          </w:p>
        </w:tc>
      </w:tr>
    </w:tbl>
    <w:p w14:paraId="65379285" w14:textId="77777777" w:rsidR="00093AA4" w:rsidRPr="00BC7BB5" w:rsidRDefault="00093AA4" w:rsidP="00093AA4">
      <w:pPr>
        <w:jc w:val="both"/>
        <w:rPr>
          <w:rFonts w:ascii="Times New Roman" w:hAnsi="Times New Roman" w:cs="Times New Roman"/>
          <w:color w:val="000000" w:themeColor="text1"/>
        </w:rPr>
      </w:pPr>
    </w:p>
    <w:p w14:paraId="0ECCD994" w14:textId="728A81EE" w:rsidR="00FE24B5" w:rsidRPr="00BC7BB5" w:rsidRDefault="00D16621" w:rsidP="00F561E8">
      <w:pPr>
        <w:pStyle w:val="ListParagraph"/>
        <w:numPr>
          <w:ilvl w:val="0"/>
          <w:numId w:val="26"/>
        </w:numPr>
        <w:spacing w:after="0" w:line="240" w:lineRule="auto"/>
        <w:ind w:left="0" w:firstLine="0"/>
        <w:jc w:val="both"/>
        <w:rPr>
          <w:rFonts w:ascii="Times New Roman" w:hAnsi="Times New Roman" w:cs="Times New Roman"/>
          <w:color w:val="000000" w:themeColor="text1"/>
        </w:rPr>
      </w:pPr>
      <w:r w:rsidRPr="00BC7BB5">
        <w:rPr>
          <w:rFonts w:ascii="Times New Roman" w:hAnsi="Times New Roman" w:cs="Times New Roman"/>
          <w:color w:val="000000" w:themeColor="text1"/>
        </w:rPr>
        <w:t>Considering its</w:t>
      </w:r>
      <w:r w:rsidR="00FE24B5" w:rsidRPr="00BC7BB5">
        <w:rPr>
          <w:rFonts w:ascii="Times New Roman" w:hAnsi="Times New Roman" w:cs="Times New Roman"/>
          <w:color w:val="000000" w:themeColor="text1"/>
        </w:rPr>
        <w:t xml:space="preserve"> focus on selected </w:t>
      </w:r>
      <w:r w:rsidRPr="00BC7BB5">
        <w:rPr>
          <w:rFonts w:ascii="Times New Roman" w:hAnsi="Times New Roman" w:cs="Times New Roman"/>
          <w:color w:val="000000" w:themeColor="text1"/>
        </w:rPr>
        <w:t xml:space="preserve">agri-food </w:t>
      </w:r>
      <w:r w:rsidR="00FE24B5" w:rsidRPr="00BC7BB5">
        <w:rPr>
          <w:rFonts w:ascii="Times New Roman" w:hAnsi="Times New Roman" w:cs="Times New Roman"/>
          <w:color w:val="000000" w:themeColor="text1"/>
        </w:rPr>
        <w:t xml:space="preserve">value chains, it is expected that the </w:t>
      </w:r>
      <w:r w:rsidR="0066620F" w:rsidRPr="00BC7BB5">
        <w:rPr>
          <w:rFonts w:ascii="Times New Roman" w:hAnsi="Times New Roman" w:cs="Times New Roman"/>
          <w:color w:val="000000" w:themeColor="text1"/>
        </w:rPr>
        <w:t>P</w:t>
      </w:r>
      <w:r w:rsidR="00FE24B5" w:rsidRPr="00BC7BB5">
        <w:rPr>
          <w:rFonts w:ascii="Times New Roman" w:hAnsi="Times New Roman" w:cs="Times New Roman"/>
          <w:color w:val="000000" w:themeColor="text1"/>
        </w:rPr>
        <w:t>rogram would benefit in particular citrus and olive growing area</w:t>
      </w:r>
      <w:r w:rsidR="0066620F" w:rsidRPr="00BC7BB5">
        <w:rPr>
          <w:rFonts w:ascii="Times New Roman" w:hAnsi="Times New Roman" w:cs="Times New Roman"/>
          <w:color w:val="000000" w:themeColor="text1"/>
        </w:rPr>
        <w:t>s</w:t>
      </w:r>
      <w:r w:rsidR="00FE24B5" w:rsidRPr="00BC7BB5">
        <w:rPr>
          <w:rFonts w:ascii="Times New Roman" w:hAnsi="Times New Roman" w:cs="Times New Roman"/>
          <w:color w:val="000000" w:themeColor="text1"/>
        </w:rPr>
        <w:t xml:space="preserve">, among them many disadvantaged and lagging areas across the </w:t>
      </w:r>
      <w:r w:rsidR="0066620F" w:rsidRPr="00BC7BB5">
        <w:rPr>
          <w:rFonts w:ascii="Times New Roman" w:hAnsi="Times New Roman" w:cs="Times New Roman"/>
          <w:color w:val="000000" w:themeColor="text1"/>
        </w:rPr>
        <w:t xml:space="preserve">country characterized by </w:t>
      </w:r>
      <w:r w:rsidR="00FE24B5" w:rsidRPr="00BC7BB5">
        <w:rPr>
          <w:rFonts w:ascii="Times New Roman" w:hAnsi="Times New Roman" w:cs="Times New Roman"/>
          <w:color w:val="000000" w:themeColor="text1"/>
        </w:rPr>
        <w:t xml:space="preserve">poverty rates significantly above national average. It is estimated that </w:t>
      </w:r>
      <w:r w:rsidR="0066620F" w:rsidRPr="00BC7BB5">
        <w:rPr>
          <w:rFonts w:ascii="Times New Roman" w:hAnsi="Times New Roman" w:cs="Times New Roman"/>
          <w:color w:val="000000" w:themeColor="text1"/>
        </w:rPr>
        <w:t>40 to 50 percent</w:t>
      </w:r>
      <w:r w:rsidR="00FE24B5" w:rsidRPr="00BC7BB5">
        <w:rPr>
          <w:rFonts w:ascii="Times New Roman" w:hAnsi="Times New Roman" w:cs="Times New Roman"/>
          <w:color w:val="000000" w:themeColor="text1"/>
        </w:rPr>
        <w:t xml:space="preserve"> of the </w:t>
      </w:r>
      <w:r w:rsidR="0066620F" w:rsidRPr="00BC7BB5">
        <w:rPr>
          <w:rFonts w:ascii="Times New Roman" w:hAnsi="Times New Roman" w:cs="Times New Roman"/>
          <w:color w:val="000000" w:themeColor="text1"/>
        </w:rPr>
        <w:t xml:space="preserve">national </w:t>
      </w:r>
      <w:r w:rsidR="00FE24B5" w:rsidRPr="00BC7BB5">
        <w:rPr>
          <w:rFonts w:ascii="Times New Roman" w:hAnsi="Times New Roman" w:cs="Times New Roman"/>
          <w:color w:val="000000" w:themeColor="text1"/>
        </w:rPr>
        <w:t>production of citrus and olives originates in provinces such as Al Haouz (Marrakech-Safi r</w:t>
      </w:r>
      <w:r w:rsidR="004D3F61">
        <w:rPr>
          <w:rFonts w:ascii="Times New Roman" w:hAnsi="Times New Roman" w:cs="Times New Roman"/>
          <w:color w:val="000000" w:themeColor="text1"/>
        </w:rPr>
        <w:t>egion), Taounate and Taza (Meknès-Fès region), Beni Mellal Khé</w:t>
      </w:r>
      <w:r w:rsidR="008923DD" w:rsidRPr="00BC7BB5">
        <w:rPr>
          <w:rFonts w:ascii="Times New Roman" w:hAnsi="Times New Roman" w:cs="Times New Roman"/>
          <w:color w:val="000000" w:themeColor="text1"/>
        </w:rPr>
        <w:t>nifra</w:t>
      </w:r>
      <w:r w:rsidR="00FE24B5" w:rsidRPr="00BC7BB5">
        <w:rPr>
          <w:rFonts w:ascii="Times New Roman" w:hAnsi="Times New Roman" w:cs="Times New Roman"/>
          <w:color w:val="000000" w:themeColor="text1"/>
        </w:rPr>
        <w:t>, Taroudant (Souss Massa), with significant levels of monetary poverty based on 2014 HCP figures. Other value chains supported through the SDOQ</w:t>
      </w:r>
      <w:r w:rsidR="00B73308" w:rsidRPr="00BC7BB5">
        <w:rPr>
          <w:rFonts w:ascii="Times New Roman" w:hAnsi="Times New Roman" w:cs="Times New Roman"/>
          <w:color w:val="000000" w:themeColor="text1"/>
        </w:rPr>
        <w:t xml:space="preserve"> and organic</w:t>
      </w:r>
      <w:r w:rsidR="00FE24B5" w:rsidRPr="00BC7BB5">
        <w:rPr>
          <w:rFonts w:ascii="Times New Roman" w:hAnsi="Times New Roman" w:cs="Times New Roman"/>
          <w:color w:val="000000" w:themeColor="text1"/>
        </w:rPr>
        <w:t xml:space="preserve"> extension activity </w:t>
      </w:r>
      <w:r w:rsidR="0066620F" w:rsidRPr="00BC7BB5">
        <w:rPr>
          <w:rFonts w:ascii="Times New Roman" w:hAnsi="Times New Roman" w:cs="Times New Roman"/>
          <w:color w:val="000000" w:themeColor="text1"/>
        </w:rPr>
        <w:t xml:space="preserve">of the Program </w:t>
      </w:r>
      <w:r w:rsidR="00271410" w:rsidRPr="00BC7BB5">
        <w:rPr>
          <w:rFonts w:ascii="Times New Roman" w:hAnsi="Times New Roman" w:cs="Times New Roman"/>
          <w:color w:val="000000" w:themeColor="text1"/>
        </w:rPr>
        <w:t xml:space="preserve">are particularly important in </w:t>
      </w:r>
      <w:r w:rsidR="00FE24B5" w:rsidRPr="00BC7BB5">
        <w:rPr>
          <w:rFonts w:ascii="Times New Roman" w:hAnsi="Times New Roman" w:cs="Times New Roman"/>
          <w:color w:val="000000" w:themeColor="text1"/>
        </w:rPr>
        <w:t>disadvantage</w:t>
      </w:r>
      <w:r w:rsidR="00271410" w:rsidRPr="00BC7BB5">
        <w:rPr>
          <w:rFonts w:ascii="Times New Roman" w:hAnsi="Times New Roman" w:cs="Times New Roman"/>
          <w:color w:val="000000" w:themeColor="text1"/>
        </w:rPr>
        <w:t>d</w:t>
      </w:r>
      <w:r w:rsidR="00FE24B5" w:rsidRPr="00BC7BB5">
        <w:rPr>
          <w:rFonts w:ascii="Times New Roman" w:hAnsi="Times New Roman" w:cs="Times New Roman"/>
          <w:color w:val="000000" w:themeColor="text1"/>
        </w:rPr>
        <w:t xml:space="preserve"> area</w:t>
      </w:r>
      <w:r w:rsidR="0066620F" w:rsidRPr="00BC7BB5">
        <w:rPr>
          <w:rFonts w:ascii="Times New Roman" w:hAnsi="Times New Roman" w:cs="Times New Roman"/>
          <w:color w:val="000000" w:themeColor="text1"/>
        </w:rPr>
        <w:t>s</w:t>
      </w:r>
      <w:r w:rsidR="004D3F61">
        <w:rPr>
          <w:rFonts w:ascii="Times New Roman" w:hAnsi="Times New Roman" w:cs="Times New Roman"/>
          <w:color w:val="000000" w:themeColor="text1"/>
        </w:rPr>
        <w:t>, in particular dates in Draâ</w:t>
      </w:r>
      <w:r w:rsidR="00FE24B5" w:rsidRPr="00BC7BB5">
        <w:rPr>
          <w:rFonts w:ascii="Times New Roman" w:hAnsi="Times New Roman" w:cs="Times New Roman"/>
          <w:color w:val="000000" w:themeColor="text1"/>
        </w:rPr>
        <w:t xml:space="preserve">-Tafilalet and l’Oriental, </w:t>
      </w:r>
      <w:r w:rsidR="00B73308" w:rsidRPr="00BC7BB5">
        <w:rPr>
          <w:rFonts w:ascii="Times New Roman" w:hAnsi="Times New Roman" w:cs="Times New Roman"/>
          <w:color w:val="000000" w:themeColor="text1"/>
        </w:rPr>
        <w:t>aromatic and medicinal plants in Beni Mellal</w:t>
      </w:r>
      <w:r w:rsidR="004D3F61">
        <w:rPr>
          <w:rFonts w:ascii="Times New Roman" w:hAnsi="Times New Roman" w:cs="Times New Roman"/>
          <w:color w:val="000000" w:themeColor="text1"/>
        </w:rPr>
        <w:t>-Khé</w:t>
      </w:r>
      <w:r w:rsidR="00B73308" w:rsidRPr="00BC7BB5">
        <w:rPr>
          <w:rFonts w:ascii="Times New Roman" w:hAnsi="Times New Roman" w:cs="Times New Roman"/>
          <w:color w:val="000000" w:themeColor="text1"/>
        </w:rPr>
        <w:t xml:space="preserve">nifra, </w:t>
      </w:r>
      <w:r w:rsidR="0066620F" w:rsidRPr="00BC7BB5">
        <w:rPr>
          <w:rFonts w:ascii="Times New Roman" w:hAnsi="Times New Roman" w:cs="Times New Roman"/>
          <w:color w:val="000000" w:themeColor="text1"/>
        </w:rPr>
        <w:t>and s</w:t>
      </w:r>
      <w:r w:rsidR="00FE24B5" w:rsidRPr="00BC7BB5">
        <w:rPr>
          <w:rFonts w:ascii="Times New Roman" w:hAnsi="Times New Roman" w:cs="Times New Roman"/>
          <w:color w:val="000000" w:themeColor="text1"/>
        </w:rPr>
        <w:t xml:space="preserve">affron and </w:t>
      </w:r>
      <w:r w:rsidR="0066620F" w:rsidRPr="00BC7BB5">
        <w:rPr>
          <w:rFonts w:ascii="Times New Roman" w:hAnsi="Times New Roman" w:cs="Times New Roman"/>
          <w:color w:val="000000" w:themeColor="text1"/>
        </w:rPr>
        <w:t>a</w:t>
      </w:r>
      <w:r w:rsidR="00FE24B5" w:rsidRPr="00BC7BB5">
        <w:rPr>
          <w:rFonts w:ascii="Times New Roman" w:hAnsi="Times New Roman" w:cs="Times New Roman"/>
          <w:color w:val="000000" w:themeColor="text1"/>
        </w:rPr>
        <w:t>rgan</w:t>
      </w:r>
      <w:r w:rsidR="0066620F" w:rsidRPr="00BC7BB5">
        <w:rPr>
          <w:rFonts w:ascii="Times New Roman" w:hAnsi="Times New Roman" w:cs="Times New Roman"/>
          <w:color w:val="000000" w:themeColor="text1"/>
        </w:rPr>
        <w:t xml:space="preserve"> oil</w:t>
      </w:r>
      <w:r w:rsidR="004D3F61">
        <w:rPr>
          <w:rFonts w:ascii="Times New Roman" w:hAnsi="Times New Roman" w:cs="Times New Roman"/>
          <w:color w:val="000000" w:themeColor="text1"/>
        </w:rPr>
        <w:t xml:space="preserve"> in Souss</w:t>
      </w:r>
      <w:r w:rsidR="00FE24B5" w:rsidRPr="00BC7BB5">
        <w:rPr>
          <w:rFonts w:ascii="Times New Roman" w:hAnsi="Times New Roman" w:cs="Times New Roman"/>
          <w:color w:val="000000" w:themeColor="text1"/>
        </w:rPr>
        <w:t>-Massa.</w:t>
      </w:r>
    </w:p>
    <w:p w14:paraId="332ED1DD" w14:textId="77777777" w:rsidR="00FE24B5" w:rsidRPr="00BC7BB5" w:rsidRDefault="00FE24B5" w:rsidP="00FE24B5">
      <w:pPr>
        <w:spacing w:after="0" w:line="240" w:lineRule="auto"/>
        <w:jc w:val="both"/>
        <w:rPr>
          <w:rFonts w:ascii="Times New Roman" w:hAnsi="Times New Roman" w:cs="Times New Roman"/>
          <w:color w:val="000000" w:themeColor="text1"/>
        </w:rPr>
      </w:pPr>
    </w:p>
    <w:p w14:paraId="1FFCDC46" w14:textId="1F3F4415" w:rsidR="00093AA4" w:rsidRPr="00BC7BB5" w:rsidRDefault="00150D27" w:rsidP="00F561E8">
      <w:pPr>
        <w:pStyle w:val="ListParagraph"/>
        <w:numPr>
          <w:ilvl w:val="0"/>
          <w:numId w:val="26"/>
        </w:numPr>
        <w:spacing w:after="0" w:line="240" w:lineRule="auto"/>
        <w:ind w:left="0" w:firstLine="0"/>
        <w:jc w:val="both"/>
        <w:rPr>
          <w:rFonts w:ascii="Times New Roman" w:hAnsi="Times New Roman" w:cs="Times New Roman"/>
          <w:color w:val="000000" w:themeColor="text1"/>
        </w:rPr>
      </w:pPr>
      <w:r w:rsidRPr="00BC7BB5">
        <w:rPr>
          <w:rFonts w:ascii="Times New Roman" w:hAnsi="Times New Roman" w:cs="Times New Roman"/>
          <w:color w:val="000000" w:themeColor="text1"/>
        </w:rPr>
        <w:t>T</w:t>
      </w:r>
      <w:r w:rsidR="00A470BF">
        <w:rPr>
          <w:rFonts w:ascii="Times New Roman" w:hAnsi="Times New Roman" w:cs="Times New Roman"/>
          <w:color w:val="000000" w:themeColor="text1"/>
        </w:rPr>
        <w:t>he</w:t>
      </w:r>
      <w:r w:rsidR="00093AA4" w:rsidRPr="00BC7BB5">
        <w:rPr>
          <w:rFonts w:ascii="Times New Roman" w:hAnsi="Times New Roman" w:cs="Times New Roman"/>
          <w:color w:val="000000" w:themeColor="text1"/>
        </w:rPr>
        <w:t xml:space="preserve"> Program would cover the period from 2018 to 202</w:t>
      </w:r>
      <w:r w:rsidR="002D2459" w:rsidRPr="00BC7BB5">
        <w:rPr>
          <w:rFonts w:ascii="Times New Roman" w:hAnsi="Times New Roman" w:cs="Times New Roman"/>
          <w:color w:val="000000" w:themeColor="text1"/>
        </w:rPr>
        <w:t>2</w:t>
      </w:r>
      <w:r w:rsidR="00093AA4" w:rsidRPr="00BC7BB5">
        <w:rPr>
          <w:rFonts w:ascii="Times New Roman" w:hAnsi="Times New Roman" w:cs="Times New Roman"/>
          <w:color w:val="000000" w:themeColor="text1"/>
        </w:rPr>
        <w:t>.</w:t>
      </w:r>
    </w:p>
    <w:p w14:paraId="429B28BF" w14:textId="77777777" w:rsidR="00093AA4" w:rsidRPr="00BC7BB5" w:rsidRDefault="00093AA4" w:rsidP="00093AA4">
      <w:pPr>
        <w:spacing w:after="0" w:line="240" w:lineRule="auto"/>
        <w:jc w:val="both"/>
        <w:rPr>
          <w:rFonts w:ascii="Times New Roman" w:hAnsi="Times New Roman" w:cs="Times New Roman"/>
          <w:b/>
          <w:color w:val="000000" w:themeColor="text1"/>
        </w:rPr>
      </w:pPr>
    </w:p>
    <w:p w14:paraId="5576ED85" w14:textId="69B28FBD" w:rsidR="00093AA4" w:rsidRPr="00BC7BB5" w:rsidRDefault="007816AE" w:rsidP="00093AA4">
      <w:pPr>
        <w:spacing w:after="0" w:line="240" w:lineRule="auto"/>
        <w:jc w:val="both"/>
        <w:rPr>
          <w:rFonts w:ascii="Times New Roman" w:hAnsi="Times New Roman" w:cs="Times New Roman"/>
          <w:b/>
          <w:color w:val="000000" w:themeColor="text1"/>
        </w:rPr>
      </w:pPr>
      <w:r w:rsidRPr="00BC7BB5">
        <w:rPr>
          <w:rFonts w:ascii="Times New Roman" w:hAnsi="Times New Roman" w:cs="Times New Roman"/>
          <w:b/>
          <w:color w:val="000000" w:themeColor="text1"/>
        </w:rPr>
        <w:t>Result Area 1 – Increased</w:t>
      </w:r>
      <w:r w:rsidR="00093AA4" w:rsidRPr="00BC7BB5">
        <w:rPr>
          <w:rFonts w:ascii="Times New Roman" w:hAnsi="Times New Roman" w:cs="Times New Roman"/>
          <w:b/>
          <w:color w:val="000000" w:themeColor="text1"/>
        </w:rPr>
        <w:t xml:space="preserve"> market efficiency and </w:t>
      </w:r>
      <w:r w:rsidR="005E14A6" w:rsidRPr="00BC7BB5">
        <w:rPr>
          <w:rFonts w:ascii="Times New Roman" w:hAnsi="Times New Roman" w:cs="Times New Roman"/>
          <w:b/>
          <w:color w:val="000000" w:themeColor="text1"/>
        </w:rPr>
        <w:t>integration</w:t>
      </w:r>
    </w:p>
    <w:p w14:paraId="4E82E1C1" w14:textId="77777777" w:rsidR="00093AA4" w:rsidRPr="00BC7BB5" w:rsidRDefault="00093AA4" w:rsidP="00093AA4">
      <w:pPr>
        <w:spacing w:after="0" w:line="240" w:lineRule="auto"/>
        <w:jc w:val="both"/>
        <w:rPr>
          <w:rFonts w:ascii="Times New Roman" w:hAnsi="Times New Roman" w:cs="Times New Roman"/>
          <w:b/>
          <w:color w:val="000000" w:themeColor="text1"/>
        </w:rPr>
      </w:pPr>
    </w:p>
    <w:p w14:paraId="0E1B8C2C" w14:textId="0A0F0FEB" w:rsidR="00093AA4" w:rsidRPr="00BC7BB5" w:rsidRDefault="00093AA4" w:rsidP="00F561E8">
      <w:pPr>
        <w:pStyle w:val="ListParagraph"/>
        <w:numPr>
          <w:ilvl w:val="0"/>
          <w:numId w:val="26"/>
        </w:numPr>
        <w:spacing w:after="0" w:line="240" w:lineRule="auto"/>
        <w:ind w:left="0" w:firstLine="0"/>
        <w:jc w:val="both"/>
        <w:rPr>
          <w:rFonts w:ascii="Times New Roman" w:hAnsi="Times New Roman" w:cs="Times New Roman"/>
          <w:color w:val="000000" w:themeColor="text1"/>
        </w:rPr>
      </w:pPr>
      <w:r w:rsidRPr="00BC7BB5">
        <w:rPr>
          <w:rFonts w:ascii="Times New Roman" w:hAnsi="Times New Roman" w:cs="Times New Roman"/>
          <w:color w:val="000000" w:themeColor="text1"/>
        </w:rPr>
        <w:t xml:space="preserve">Result area 1 aims at improving market efficiency and transparency, and </w:t>
      </w:r>
      <w:r w:rsidR="00B96A9A" w:rsidRPr="00BC7BB5">
        <w:rPr>
          <w:rFonts w:ascii="Times New Roman" w:hAnsi="Times New Roman" w:cs="Times New Roman"/>
          <w:color w:val="000000" w:themeColor="text1"/>
        </w:rPr>
        <w:t xml:space="preserve">at </w:t>
      </w:r>
      <w:r w:rsidRPr="00BC7BB5">
        <w:rPr>
          <w:rFonts w:ascii="Times New Roman" w:hAnsi="Times New Roman" w:cs="Times New Roman"/>
          <w:color w:val="000000" w:themeColor="text1"/>
        </w:rPr>
        <w:t>facilitating the inclusion of small and medium farmers in</w:t>
      </w:r>
      <w:r w:rsidR="00B96A9A" w:rsidRPr="00BC7BB5">
        <w:rPr>
          <w:rFonts w:ascii="Times New Roman" w:hAnsi="Times New Roman" w:cs="Times New Roman"/>
          <w:color w:val="000000" w:themeColor="text1"/>
        </w:rPr>
        <w:t>to</w:t>
      </w:r>
      <w:r w:rsidRPr="00BC7BB5">
        <w:rPr>
          <w:rFonts w:ascii="Times New Roman" w:hAnsi="Times New Roman" w:cs="Times New Roman"/>
          <w:color w:val="000000" w:themeColor="text1"/>
        </w:rPr>
        <w:t xml:space="preserve"> modern value-chains.</w:t>
      </w:r>
      <w:r w:rsidRPr="00BC7BB5">
        <w:rPr>
          <w:rFonts w:ascii="Times New Roman" w:hAnsi="Times New Roman" w:cs="Times New Roman"/>
          <w:b/>
          <w:color w:val="000000" w:themeColor="text1"/>
        </w:rPr>
        <w:t xml:space="preserve"> </w:t>
      </w:r>
      <w:r w:rsidRPr="00BC7BB5">
        <w:rPr>
          <w:rFonts w:ascii="Times New Roman" w:hAnsi="Times New Roman" w:cs="Times New Roman"/>
          <w:color w:val="000000" w:themeColor="text1"/>
        </w:rPr>
        <w:t>Four sub-programs would be included in order to reach that objective:</w:t>
      </w:r>
      <w:r w:rsidRPr="00BC7BB5">
        <w:rPr>
          <w:rFonts w:ascii="Times New Roman" w:hAnsi="Times New Roman" w:cs="Times New Roman"/>
          <w:b/>
          <w:color w:val="000000" w:themeColor="text1"/>
        </w:rPr>
        <w:t xml:space="preserve"> </w:t>
      </w:r>
      <w:r w:rsidRPr="00BC7BB5">
        <w:rPr>
          <w:rFonts w:ascii="Times New Roman" w:hAnsi="Times New Roman" w:cs="Times New Roman"/>
          <w:color w:val="000000" w:themeColor="text1"/>
        </w:rPr>
        <w:t xml:space="preserve">(1.1) </w:t>
      </w:r>
      <w:r w:rsidR="008469A9">
        <w:rPr>
          <w:rFonts w:ascii="Times New Roman" w:hAnsi="Times New Roman" w:cs="Times New Roman"/>
          <w:color w:val="000000" w:themeColor="text1"/>
        </w:rPr>
        <w:t>s</w:t>
      </w:r>
      <w:r w:rsidRPr="00BC7BB5">
        <w:rPr>
          <w:rFonts w:ascii="Times New Roman" w:hAnsi="Times New Roman" w:cs="Times New Roman"/>
          <w:color w:val="000000" w:themeColor="text1"/>
        </w:rPr>
        <w:t xml:space="preserve">trengthening the </w:t>
      </w:r>
      <w:r w:rsidR="008923DD" w:rsidRPr="00BC7BB5">
        <w:rPr>
          <w:rFonts w:ascii="Times New Roman" w:hAnsi="Times New Roman" w:cs="Times New Roman"/>
          <w:color w:val="000000" w:themeColor="text1"/>
        </w:rPr>
        <w:t>i</w:t>
      </w:r>
      <w:r w:rsidRPr="00BC7BB5">
        <w:rPr>
          <w:rFonts w:ascii="Times New Roman" w:hAnsi="Times New Roman" w:cs="Times New Roman"/>
          <w:color w:val="000000" w:themeColor="text1"/>
        </w:rPr>
        <w:t>nterprofessions to carry out their mandate</w:t>
      </w:r>
      <w:r w:rsidR="00AB1679" w:rsidRPr="00BC7BB5">
        <w:rPr>
          <w:rFonts w:ascii="Times New Roman" w:hAnsi="Times New Roman" w:cs="Times New Roman"/>
          <w:color w:val="000000" w:themeColor="text1"/>
        </w:rPr>
        <w:t>,</w:t>
      </w:r>
      <w:r w:rsidRPr="00BC7BB5">
        <w:rPr>
          <w:rFonts w:ascii="Times New Roman" w:hAnsi="Times New Roman" w:cs="Times New Roman"/>
          <w:color w:val="000000" w:themeColor="text1"/>
        </w:rPr>
        <w:t xml:space="preserve"> (1.2) </w:t>
      </w:r>
      <w:r w:rsidR="008469A9">
        <w:rPr>
          <w:rFonts w:ascii="Times New Roman" w:hAnsi="Times New Roman" w:cs="Times New Roman"/>
          <w:color w:val="000000" w:themeColor="text1"/>
        </w:rPr>
        <w:t>s</w:t>
      </w:r>
      <w:r w:rsidRPr="00BC7BB5">
        <w:rPr>
          <w:rFonts w:ascii="Times New Roman" w:hAnsi="Times New Roman" w:cs="Times New Roman"/>
          <w:color w:val="000000" w:themeColor="text1"/>
        </w:rPr>
        <w:t xml:space="preserve">upport for </w:t>
      </w:r>
      <w:r w:rsidR="00AB1679" w:rsidRPr="00BC7BB5">
        <w:rPr>
          <w:rFonts w:ascii="Times New Roman" w:hAnsi="Times New Roman" w:cs="Times New Roman"/>
          <w:color w:val="000000" w:themeColor="text1"/>
        </w:rPr>
        <w:t>the</w:t>
      </w:r>
      <w:r w:rsidRPr="00BC7BB5">
        <w:rPr>
          <w:rFonts w:ascii="Times New Roman" w:hAnsi="Times New Roman" w:cs="Times New Roman"/>
          <w:color w:val="000000" w:themeColor="text1"/>
        </w:rPr>
        <w:t xml:space="preserve"> integration of small and medium producers with markets, (1.3) </w:t>
      </w:r>
      <w:r w:rsidR="008469A9">
        <w:rPr>
          <w:rFonts w:ascii="Times New Roman" w:hAnsi="Times New Roman" w:cs="Times New Roman"/>
          <w:color w:val="000000" w:themeColor="text1"/>
        </w:rPr>
        <w:t>m</w:t>
      </w:r>
      <w:r w:rsidR="00AB1679" w:rsidRPr="00BC7BB5">
        <w:rPr>
          <w:rFonts w:ascii="Times New Roman" w:hAnsi="Times New Roman" w:cs="Times New Roman"/>
          <w:color w:val="000000" w:themeColor="text1"/>
        </w:rPr>
        <w:t>odernizing the management of wholesale markets</w:t>
      </w:r>
      <w:r w:rsidRPr="00BC7BB5">
        <w:rPr>
          <w:rFonts w:ascii="Times New Roman" w:hAnsi="Times New Roman" w:cs="Times New Roman"/>
          <w:color w:val="000000" w:themeColor="text1"/>
        </w:rPr>
        <w:t xml:space="preserve">, and (1.4) </w:t>
      </w:r>
      <w:r w:rsidR="008469A9">
        <w:rPr>
          <w:rFonts w:ascii="Times New Roman" w:hAnsi="Times New Roman" w:cs="Times New Roman"/>
          <w:color w:val="000000" w:themeColor="text1"/>
        </w:rPr>
        <w:t>i</w:t>
      </w:r>
      <w:r w:rsidRPr="00BC7BB5">
        <w:rPr>
          <w:rFonts w:ascii="Times New Roman" w:hAnsi="Times New Roman" w:cs="Times New Roman"/>
          <w:color w:val="000000" w:themeColor="text1"/>
        </w:rPr>
        <w:t>mproving access to information.</w:t>
      </w:r>
    </w:p>
    <w:p w14:paraId="51DD2C68" w14:textId="77777777" w:rsidR="00093AA4" w:rsidRPr="00BC7BB5" w:rsidRDefault="00093AA4" w:rsidP="00093AA4">
      <w:pPr>
        <w:spacing w:after="0" w:line="240" w:lineRule="auto"/>
        <w:jc w:val="both"/>
        <w:rPr>
          <w:rFonts w:ascii="Times New Roman" w:hAnsi="Times New Roman" w:cs="Times New Roman"/>
          <w:color w:val="000000" w:themeColor="text1"/>
        </w:rPr>
      </w:pPr>
      <w:r w:rsidRPr="00BC7BB5">
        <w:rPr>
          <w:rFonts w:ascii="Times New Roman" w:hAnsi="Times New Roman" w:cs="Times New Roman"/>
          <w:color w:val="000000" w:themeColor="text1"/>
        </w:rPr>
        <w:t xml:space="preserve"> </w:t>
      </w:r>
    </w:p>
    <w:p w14:paraId="2CFD6301" w14:textId="33AEC86B" w:rsidR="00093AA4" w:rsidRPr="00BC7BB5" w:rsidRDefault="00093AA4" w:rsidP="00F561E8">
      <w:pPr>
        <w:pStyle w:val="ListParagraph"/>
        <w:numPr>
          <w:ilvl w:val="0"/>
          <w:numId w:val="26"/>
        </w:numPr>
        <w:spacing w:after="0" w:line="240" w:lineRule="auto"/>
        <w:ind w:left="0" w:firstLine="0"/>
        <w:jc w:val="both"/>
        <w:rPr>
          <w:rFonts w:ascii="Times New Roman" w:hAnsi="Times New Roman" w:cs="Times New Roman"/>
          <w:color w:val="000000" w:themeColor="text1"/>
        </w:rPr>
      </w:pPr>
      <w:r w:rsidRPr="00BC7BB5">
        <w:rPr>
          <w:rFonts w:ascii="Times New Roman" w:hAnsi="Times New Roman" w:cs="Times New Roman"/>
          <w:b/>
          <w:color w:val="000000" w:themeColor="text1"/>
        </w:rPr>
        <w:t xml:space="preserve">Strengthening the </w:t>
      </w:r>
      <w:r w:rsidR="008923DD" w:rsidRPr="00BC7BB5">
        <w:rPr>
          <w:rFonts w:ascii="Times New Roman" w:hAnsi="Times New Roman" w:cs="Times New Roman"/>
          <w:b/>
          <w:color w:val="000000" w:themeColor="text1"/>
        </w:rPr>
        <w:t>i</w:t>
      </w:r>
      <w:r w:rsidRPr="00BC7BB5">
        <w:rPr>
          <w:rFonts w:ascii="Times New Roman" w:hAnsi="Times New Roman" w:cs="Times New Roman"/>
          <w:b/>
          <w:color w:val="000000" w:themeColor="text1"/>
        </w:rPr>
        <w:t xml:space="preserve">nterprofessions </w:t>
      </w:r>
      <w:r w:rsidR="007A076A">
        <w:rPr>
          <w:rFonts w:ascii="Times New Roman" w:hAnsi="Times New Roman" w:cs="Times New Roman"/>
          <w:color w:val="000000" w:themeColor="text1"/>
        </w:rPr>
        <w:t>(1.1).  The recently recogniz</w:t>
      </w:r>
      <w:r w:rsidRPr="00BC7BB5">
        <w:rPr>
          <w:rFonts w:ascii="Times New Roman" w:hAnsi="Times New Roman" w:cs="Times New Roman"/>
          <w:color w:val="000000" w:themeColor="text1"/>
        </w:rPr>
        <w:t xml:space="preserve">ed </w:t>
      </w:r>
      <w:r w:rsidR="008923DD" w:rsidRPr="00BC7BB5">
        <w:rPr>
          <w:rFonts w:ascii="Times New Roman" w:hAnsi="Times New Roman" w:cs="Times New Roman"/>
          <w:color w:val="000000" w:themeColor="text1"/>
        </w:rPr>
        <w:t>i</w:t>
      </w:r>
      <w:r w:rsidRPr="00BC7BB5">
        <w:rPr>
          <w:rFonts w:ascii="Times New Roman" w:hAnsi="Times New Roman" w:cs="Times New Roman"/>
          <w:color w:val="000000" w:themeColor="text1"/>
        </w:rPr>
        <w:t xml:space="preserve">nterprofessions (the intra-branch organizations representing the various </w:t>
      </w:r>
      <w:r w:rsidR="007A076A">
        <w:rPr>
          <w:rFonts w:ascii="Times New Roman" w:hAnsi="Times New Roman" w:cs="Times New Roman"/>
          <w:color w:val="000000" w:themeColor="text1"/>
        </w:rPr>
        <w:t>stakeholders in each agricultural sub-sector</w:t>
      </w:r>
      <w:r w:rsidRPr="00BC7BB5">
        <w:rPr>
          <w:rFonts w:ascii="Times New Roman" w:hAnsi="Times New Roman" w:cs="Times New Roman"/>
          <w:color w:val="000000" w:themeColor="text1"/>
        </w:rPr>
        <w:t>) have a mandate to improve coordination and transparency among v</w:t>
      </w:r>
      <w:r w:rsidR="00A470BF">
        <w:rPr>
          <w:rFonts w:ascii="Times New Roman" w:hAnsi="Times New Roman" w:cs="Times New Roman"/>
          <w:color w:val="000000" w:themeColor="text1"/>
        </w:rPr>
        <w:t xml:space="preserve">alue-chain actors. The </w:t>
      </w:r>
      <w:r w:rsidRPr="00BC7BB5">
        <w:rPr>
          <w:rFonts w:ascii="Times New Roman" w:hAnsi="Times New Roman" w:cs="Times New Roman"/>
          <w:color w:val="000000" w:themeColor="text1"/>
        </w:rPr>
        <w:t xml:space="preserve">Program would provide technical </w:t>
      </w:r>
      <w:r w:rsidR="00584654" w:rsidRPr="00BC7BB5">
        <w:rPr>
          <w:rFonts w:ascii="Times New Roman" w:hAnsi="Times New Roman" w:cs="Times New Roman"/>
          <w:color w:val="000000" w:themeColor="text1"/>
        </w:rPr>
        <w:t xml:space="preserve">and financial </w:t>
      </w:r>
      <w:r w:rsidRPr="00BC7BB5">
        <w:rPr>
          <w:rFonts w:ascii="Times New Roman" w:hAnsi="Times New Roman" w:cs="Times New Roman"/>
          <w:color w:val="000000" w:themeColor="text1"/>
        </w:rPr>
        <w:t xml:space="preserve">support to strengthen the capacity of the </w:t>
      </w:r>
      <w:r w:rsidR="008923DD" w:rsidRPr="00BC7BB5">
        <w:rPr>
          <w:rFonts w:ascii="Times New Roman" w:hAnsi="Times New Roman" w:cs="Times New Roman"/>
          <w:color w:val="000000" w:themeColor="text1"/>
        </w:rPr>
        <w:t>i</w:t>
      </w:r>
      <w:r w:rsidRPr="00BC7BB5">
        <w:rPr>
          <w:rFonts w:ascii="Times New Roman" w:hAnsi="Times New Roman" w:cs="Times New Roman"/>
          <w:color w:val="000000" w:themeColor="text1"/>
        </w:rPr>
        <w:t xml:space="preserve">nterprofessions, so as to enable them to carry out their missions under Law 03-12 and to become effective and inclusive platforms for intra-branch coordination and public-private dialogue. Program activities would focus on the preparation of their respective business plans (including revenue mobilization and sustainability, strategic activities and improvement of </w:t>
      </w:r>
      <w:r w:rsidR="00C9191E" w:rsidRPr="00BC7BB5">
        <w:rPr>
          <w:rFonts w:ascii="Times New Roman" w:hAnsi="Times New Roman" w:cs="Times New Roman"/>
          <w:color w:val="000000" w:themeColor="text1"/>
        </w:rPr>
        <w:t xml:space="preserve">their </w:t>
      </w:r>
      <w:r w:rsidRPr="00BC7BB5">
        <w:rPr>
          <w:rFonts w:ascii="Times New Roman" w:hAnsi="Times New Roman" w:cs="Times New Roman"/>
          <w:color w:val="000000" w:themeColor="text1"/>
        </w:rPr>
        <w:t>representativeness) and support for the subsequent execution of those business plans, through the existing modalities for MAPM</w:t>
      </w:r>
      <w:r w:rsidR="00C9191E" w:rsidRPr="00BC7BB5">
        <w:rPr>
          <w:rFonts w:ascii="Times New Roman" w:hAnsi="Times New Roman" w:cs="Times New Roman"/>
          <w:color w:val="000000" w:themeColor="text1"/>
        </w:rPr>
        <w:t>DREF</w:t>
      </w:r>
      <w:r w:rsidR="008923DD" w:rsidRPr="00BC7BB5">
        <w:rPr>
          <w:rFonts w:ascii="Times New Roman" w:hAnsi="Times New Roman" w:cs="Times New Roman"/>
          <w:color w:val="000000" w:themeColor="text1"/>
        </w:rPr>
        <w:t xml:space="preserve"> support to i</w:t>
      </w:r>
      <w:r w:rsidRPr="00BC7BB5">
        <w:rPr>
          <w:rFonts w:ascii="Times New Roman" w:hAnsi="Times New Roman" w:cs="Times New Roman"/>
          <w:color w:val="000000" w:themeColor="text1"/>
        </w:rPr>
        <w:t>nterprofessions (“</w:t>
      </w:r>
      <w:r w:rsidRPr="00BC7BB5">
        <w:rPr>
          <w:rFonts w:ascii="Times New Roman" w:hAnsi="Times New Roman" w:cs="Times New Roman"/>
          <w:i/>
          <w:color w:val="000000" w:themeColor="text1"/>
        </w:rPr>
        <w:t>conventions</w:t>
      </w:r>
      <w:r w:rsidRPr="00BC7BB5">
        <w:rPr>
          <w:rFonts w:ascii="Times New Roman" w:hAnsi="Times New Roman" w:cs="Times New Roman"/>
          <w:color w:val="000000" w:themeColor="text1"/>
        </w:rPr>
        <w:t xml:space="preserve">” </w:t>
      </w:r>
      <w:r w:rsidR="00C9191E" w:rsidRPr="00BC7BB5">
        <w:rPr>
          <w:rFonts w:ascii="Times New Roman" w:hAnsi="Times New Roman" w:cs="Times New Roman"/>
          <w:color w:val="000000" w:themeColor="text1"/>
        </w:rPr>
        <w:t xml:space="preserve">– agreements - </w:t>
      </w:r>
      <w:r w:rsidRPr="00BC7BB5">
        <w:rPr>
          <w:rFonts w:ascii="Times New Roman" w:hAnsi="Times New Roman" w:cs="Times New Roman"/>
          <w:color w:val="000000" w:themeColor="text1"/>
        </w:rPr>
        <w:t>defining activities co-financed by MAPM</w:t>
      </w:r>
      <w:r w:rsidR="00C9191E" w:rsidRPr="00BC7BB5">
        <w:rPr>
          <w:rFonts w:ascii="Times New Roman" w:hAnsi="Times New Roman" w:cs="Times New Roman"/>
          <w:color w:val="000000" w:themeColor="text1"/>
        </w:rPr>
        <w:t>DREF</w:t>
      </w:r>
      <w:r w:rsidRPr="00BC7BB5">
        <w:rPr>
          <w:rFonts w:ascii="Times New Roman" w:hAnsi="Times New Roman" w:cs="Times New Roman"/>
          <w:color w:val="000000" w:themeColor="text1"/>
        </w:rPr>
        <w:t xml:space="preserve"> and the private sector). </w:t>
      </w:r>
      <w:r w:rsidR="001A0800" w:rsidRPr="00BC7BB5">
        <w:rPr>
          <w:rFonts w:ascii="Times New Roman" w:hAnsi="Times New Roman" w:cs="Times New Roman"/>
          <w:color w:val="000000" w:themeColor="text1"/>
        </w:rPr>
        <w:t xml:space="preserve">Those will include the preparation and </w:t>
      </w:r>
      <w:r w:rsidR="007A076A">
        <w:rPr>
          <w:rFonts w:ascii="Times New Roman" w:hAnsi="Times New Roman" w:cs="Times New Roman"/>
          <w:color w:val="000000" w:themeColor="text1"/>
        </w:rPr>
        <w:t>adoption</w:t>
      </w:r>
      <w:r w:rsidR="001A0800" w:rsidRPr="00BC7BB5">
        <w:rPr>
          <w:rFonts w:ascii="Times New Roman" w:hAnsi="Times New Roman" w:cs="Times New Roman"/>
          <w:color w:val="000000" w:themeColor="text1"/>
        </w:rPr>
        <w:t xml:space="preserve"> of </w:t>
      </w:r>
      <w:r w:rsidR="001A0800" w:rsidRPr="00BC7BB5">
        <w:rPr>
          <w:rFonts w:ascii="Times New Roman" w:hAnsi="Times New Roman" w:cs="Times New Roman"/>
          <w:i/>
          <w:color w:val="000000" w:themeColor="text1"/>
        </w:rPr>
        <w:t>Accords Interprofessionnels</w:t>
      </w:r>
      <w:r w:rsidR="00596E37" w:rsidRPr="00BC7BB5">
        <w:rPr>
          <w:rFonts w:ascii="Times New Roman" w:hAnsi="Times New Roman" w:cs="Times New Roman"/>
          <w:i/>
          <w:color w:val="000000" w:themeColor="text1"/>
        </w:rPr>
        <w:t xml:space="preserve"> </w:t>
      </w:r>
      <w:r w:rsidR="00596E37" w:rsidRPr="00BC7BB5">
        <w:rPr>
          <w:rFonts w:ascii="Times New Roman" w:hAnsi="Times New Roman" w:cs="Times New Roman"/>
          <w:color w:val="000000" w:themeColor="text1"/>
        </w:rPr>
        <w:t>(intra-branch financing agreements)</w:t>
      </w:r>
      <w:r w:rsidR="001A0800" w:rsidRPr="00BC7BB5">
        <w:rPr>
          <w:rFonts w:ascii="Times New Roman" w:hAnsi="Times New Roman" w:cs="Times New Roman"/>
          <w:color w:val="000000" w:themeColor="text1"/>
        </w:rPr>
        <w:t>, which will define</w:t>
      </w:r>
      <w:r w:rsidR="007A076A">
        <w:rPr>
          <w:rFonts w:ascii="Times New Roman" w:hAnsi="Times New Roman" w:cs="Times New Roman"/>
          <w:color w:val="000000" w:themeColor="text1"/>
        </w:rPr>
        <w:t xml:space="preserve">, </w:t>
      </w:r>
      <w:r w:rsidR="007A076A" w:rsidRPr="007A076A">
        <w:rPr>
          <w:rFonts w:ascii="Times New Roman" w:hAnsi="Times New Roman" w:cs="Times New Roman"/>
          <w:i/>
          <w:color w:val="000000" w:themeColor="text1"/>
        </w:rPr>
        <w:t>inter alia</w:t>
      </w:r>
      <w:r w:rsidR="007A076A">
        <w:rPr>
          <w:rFonts w:ascii="Times New Roman" w:hAnsi="Times New Roman" w:cs="Times New Roman"/>
          <w:color w:val="000000" w:themeColor="text1"/>
        </w:rPr>
        <w:t xml:space="preserve">, </w:t>
      </w:r>
      <w:r w:rsidR="001A0800" w:rsidRPr="00BC7BB5">
        <w:rPr>
          <w:rFonts w:ascii="Times New Roman" w:hAnsi="Times New Roman" w:cs="Times New Roman"/>
          <w:color w:val="000000" w:themeColor="text1"/>
        </w:rPr>
        <w:t xml:space="preserve">members’ financial contributions </w:t>
      </w:r>
      <w:r w:rsidR="00472240" w:rsidRPr="00BC7BB5">
        <w:rPr>
          <w:rFonts w:ascii="Times New Roman" w:hAnsi="Times New Roman" w:cs="Times New Roman"/>
          <w:color w:val="000000" w:themeColor="text1"/>
        </w:rPr>
        <w:t xml:space="preserve">for </w:t>
      </w:r>
      <w:r w:rsidR="008923DD" w:rsidRPr="00BC7BB5">
        <w:rPr>
          <w:rFonts w:ascii="Times New Roman" w:hAnsi="Times New Roman" w:cs="Times New Roman"/>
          <w:color w:val="000000" w:themeColor="text1"/>
        </w:rPr>
        <w:t>each i</w:t>
      </w:r>
      <w:r w:rsidR="001A0800" w:rsidRPr="00BC7BB5">
        <w:rPr>
          <w:rFonts w:ascii="Times New Roman" w:hAnsi="Times New Roman" w:cs="Times New Roman"/>
          <w:color w:val="000000" w:themeColor="text1"/>
        </w:rPr>
        <w:t>nterprofession.</w:t>
      </w:r>
      <w:r w:rsidRPr="00BC7BB5">
        <w:rPr>
          <w:rFonts w:ascii="Times New Roman" w:hAnsi="Times New Roman" w:cs="Times New Roman"/>
          <w:color w:val="000000" w:themeColor="text1"/>
        </w:rPr>
        <w:t xml:space="preserve"> Support from the Program would be provided to </w:t>
      </w:r>
      <w:r w:rsidR="008923DD" w:rsidRPr="00BC7BB5">
        <w:rPr>
          <w:rFonts w:ascii="Times New Roman" w:hAnsi="Times New Roman" w:cs="Times New Roman"/>
          <w:color w:val="000000" w:themeColor="text1"/>
        </w:rPr>
        <w:t>at least two i</w:t>
      </w:r>
      <w:r w:rsidR="00472240" w:rsidRPr="00BC7BB5">
        <w:rPr>
          <w:rFonts w:ascii="Times New Roman" w:hAnsi="Times New Roman" w:cs="Times New Roman"/>
          <w:color w:val="000000" w:themeColor="text1"/>
        </w:rPr>
        <w:t xml:space="preserve">nterprofessions, starting with </w:t>
      </w:r>
      <w:r w:rsidRPr="00BC7BB5">
        <w:rPr>
          <w:rFonts w:ascii="Times New Roman" w:hAnsi="Times New Roman" w:cs="Times New Roman"/>
          <w:color w:val="000000" w:themeColor="text1"/>
        </w:rPr>
        <w:t xml:space="preserve">Maroc Citrus (citrus sub-sector) and Interprolive (olive sub-sector). The </w:t>
      </w:r>
      <w:r w:rsidRPr="00BC7BB5">
        <w:rPr>
          <w:rFonts w:ascii="Times New Roman" w:hAnsi="Times New Roman" w:cs="Times New Roman"/>
          <w:i/>
          <w:color w:val="000000" w:themeColor="text1"/>
        </w:rPr>
        <w:t>Direction du Développement des Filières de Production</w:t>
      </w:r>
      <w:r w:rsidRPr="00BC7BB5">
        <w:rPr>
          <w:rFonts w:ascii="Times New Roman" w:hAnsi="Times New Roman" w:cs="Times New Roman"/>
          <w:color w:val="000000" w:themeColor="text1"/>
        </w:rPr>
        <w:t xml:space="preserve"> (DDFP</w:t>
      </w:r>
      <w:r w:rsidR="00730643" w:rsidRPr="00BC7BB5">
        <w:rPr>
          <w:rFonts w:ascii="Times New Roman" w:hAnsi="Times New Roman" w:cs="Times New Roman"/>
          <w:color w:val="000000" w:themeColor="text1"/>
        </w:rPr>
        <w:fldChar w:fldCharType="begin"/>
      </w:r>
      <w:r w:rsidR="00730643" w:rsidRPr="00BC7BB5">
        <w:instrText xml:space="preserve"> XE "</w:instrText>
      </w:r>
      <w:r w:rsidR="00730643" w:rsidRPr="00BC7BB5">
        <w:rPr>
          <w:rFonts w:ascii="Times New Roman" w:hAnsi="Times New Roman" w:cs="Times New Roman"/>
          <w:color w:val="000000" w:themeColor="text1"/>
        </w:rPr>
        <w:instrText>DDFP:</w:instrText>
      </w:r>
      <w:r w:rsidR="00730643" w:rsidRPr="00BC7BB5">
        <w:instrText xml:space="preserve">Direction du Développement des Filières de Production" </w:instrText>
      </w:r>
      <w:r w:rsidR="00730643" w:rsidRPr="00BC7BB5">
        <w:rPr>
          <w:rFonts w:ascii="Times New Roman" w:hAnsi="Times New Roman" w:cs="Times New Roman"/>
          <w:color w:val="000000" w:themeColor="text1"/>
        </w:rPr>
        <w:fldChar w:fldCharType="end"/>
      </w:r>
      <w:r w:rsidRPr="00BC7BB5">
        <w:rPr>
          <w:rFonts w:ascii="Times New Roman" w:hAnsi="Times New Roman" w:cs="Times New Roman"/>
          <w:color w:val="000000" w:themeColor="text1"/>
        </w:rPr>
        <w:t>) of MAPM</w:t>
      </w:r>
      <w:r w:rsidR="00C9191E" w:rsidRPr="00BC7BB5">
        <w:rPr>
          <w:rFonts w:ascii="Times New Roman" w:hAnsi="Times New Roman" w:cs="Times New Roman"/>
          <w:color w:val="000000" w:themeColor="text1"/>
        </w:rPr>
        <w:t>DREF</w:t>
      </w:r>
      <w:r w:rsidRPr="00BC7BB5">
        <w:rPr>
          <w:rFonts w:ascii="Times New Roman" w:hAnsi="Times New Roman" w:cs="Times New Roman"/>
          <w:color w:val="000000" w:themeColor="text1"/>
        </w:rPr>
        <w:t xml:space="preserve"> would oversee the implementation of those activities.</w:t>
      </w:r>
    </w:p>
    <w:p w14:paraId="0FCBF34F" w14:textId="77777777" w:rsidR="00093AA4" w:rsidRPr="00BC7BB5" w:rsidRDefault="00093AA4" w:rsidP="00093AA4">
      <w:pPr>
        <w:pStyle w:val="ListParagraph"/>
        <w:spacing w:after="0" w:line="240" w:lineRule="auto"/>
        <w:rPr>
          <w:rFonts w:ascii="Times New Roman" w:hAnsi="Times New Roman" w:cs="Times New Roman"/>
          <w:color w:val="000000" w:themeColor="text1"/>
        </w:rPr>
      </w:pPr>
    </w:p>
    <w:p w14:paraId="1E41DE4A" w14:textId="2C1207FA" w:rsidR="00093AA4" w:rsidRPr="00BC7BB5" w:rsidRDefault="00093AA4" w:rsidP="00F561E8">
      <w:pPr>
        <w:pStyle w:val="ListParagraph"/>
        <w:numPr>
          <w:ilvl w:val="0"/>
          <w:numId w:val="26"/>
        </w:numPr>
        <w:spacing w:after="0" w:line="240" w:lineRule="auto"/>
        <w:ind w:left="0" w:firstLine="0"/>
        <w:jc w:val="both"/>
        <w:rPr>
          <w:rFonts w:ascii="Times New Roman" w:hAnsi="Times New Roman" w:cs="Times New Roman"/>
          <w:color w:val="000000" w:themeColor="text1"/>
        </w:rPr>
      </w:pPr>
      <w:r w:rsidRPr="00BC7BB5">
        <w:rPr>
          <w:rFonts w:ascii="Times New Roman" w:hAnsi="Times New Roman" w:cs="Times New Roman"/>
          <w:b/>
          <w:color w:val="000000" w:themeColor="text1"/>
        </w:rPr>
        <w:t xml:space="preserve">Support for </w:t>
      </w:r>
      <w:r w:rsidR="006D1291" w:rsidRPr="00BC7BB5">
        <w:rPr>
          <w:rFonts w:ascii="Times New Roman" w:hAnsi="Times New Roman" w:cs="Times New Roman"/>
          <w:b/>
          <w:color w:val="000000" w:themeColor="text1"/>
        </w:rPr>
        <w:t xml:space="preserve">the </w:t>
      </w:r>
      <w:r w:rsidRPr="00BC7BB5">
        <w:rPr>
          <w:rFonts w:ascii="Times New Roman" w:hAnsi="Times New Roman" w:cs="Times New Roman"/>
          <w:b/>
          <w:color w:val="000000" w:themeColor="text1"/>
        </w:rPr>
        <w:t xml:space="preserve">integration of small and medium producers with markets </w:t>
      </w:r>
      <w:r w:rsidR="00A470BF">
        <w:rPr>
          <w:rFonts w:ascii="Times New Roman" w:hAnsi="Times New Roman" w:cs="Times New Roman"/>
          <w:color w:val="000000" w:themeColor="text1"/>
        </w:rPr>
        <w:t>(1.2). The</w:t>
      </w:r>
      <w:r w:rsidRPr="00BC7BB5">
        <w:rPr>
          <w:rFonts w:ascii="Times New Roman" w:hAnsi="Times New Roman" w:cs="Times New Roman"/>
          <w:color w:val="000000" w:themeColor="text1"/>
        </w:rPr>
        <w:t xml:space="preserve"> Program would provide technical assistance and incentives (grants) for investments by small and medium producer </w:t>
      </w:r>
      <w:r w:rsidRPr="00BC7BB5">
        <w:rPr>
          <w:rFonts w:ascii="Times New Roman" w:hAnsi="Times New Roman" w:cs="Times New Roman"/>
          <w:color w:val="000000" w:themeColor="text1"/>
        </w:rPr>
        <w:lastRenderedPageBreak/>
        <w:t>groups and/or private operators in the citrus and olive sub-sectors aimed at developing the existing network of processing units and improving the marketing of agri-food products. The guiding principles would be to promote value addition and improve market access, which would provide additional outlets for small and medium producers and would complement the upstream investments that have been supported under</w:t>
      </w:r>
      <w:r w:rsidR="00A470BF">
        <w:rPr>
          <w:rFonts w:ascii="Times New Roman" w:hAnsi="Times New Roman" w:cs="Times New Roman"/>
          <w:color w:val="000000" w:themeColor="text1"/>
        </w:rPr>
        <w:t xml:space="preserve"> the PMV thus far. The </w:t>
      </w:r>
      <w:r w:rsidRPr="00BC7BB5">
        <w:rPr>
          <w:rFonts w:ascii="Times New Roman" w:hAnsi="Times New Roman" w:cs="Times New Roman"/>
          <w:color w:val="000000" w:themeColor="text1"/>
        </w:rPr>
        <w:t xml:space="preserve">Program would support adjustments to be made to existing instruments </w:t>
      </w:r>
      <w:r w:rsidR="008C28E7" w:rsidRPr="00BC7BB5">
        <w:rPr>
          <w:rFonts w:ascii="Times New Roman" w:hAnsi="Times New Roman" w:cs="Times New Roman"/>
          <w:color w:val="000000" w:themeColor="text1"/>
        </w:rPr>
        <w:t xml:space="preserve">to incentivize investments </w:t>
      </w:r>
      <w:r w:rsidRPr="00BC7BB5">
        <w:rPr>
          <w:rFonts w:ascii="Times New Roman" w:hAnsi="Times New Roman" w:cs="Times New Roman"/>
          <w:color w:val="000000" w:themeColor="text1"/>
        </w:rPr>
        <w:t>with a view to improving their structuring impact on selected value chains as well as better inclusion of and facilitated access to finance for small and medium producers and enterprises:</w:t>
      </w:r>
    </w:p>
    <w:p w14:paraId="5FF98663" w14:textId="77777777" w:rsidR="00093AA4" w:rsidRPr="00BC7BB5" w:rsidRDefault="00093AA4" w:rsidP="00093AA4">
      <w:pPr>
        <w:pStyle w:val="ListParagraph"/>
        <w:spacing w:after="0" w:line="240" w:lineRule="auto"/>
        <w:rPr>
          <w:rFonts w:ascii="Times New Roman" w:hAnsi="Times New Roman" w:cs="Times New Roman"/>
          <w:color w:val="000000" w:themeColor="text1"/>
        </w:rPr>
      </w:pPr>
    </w:p>
    <w:p w14:paraId="02A56513" w14:textId="1AF4918B" w:rsidR="00093AA4" w:rsidRPr="00BC7BB5" w:rsidRDefault="00093AA4" w:rsidP="00F561E8">
      <w:pPr>
        <w:pStyle w:val="ListParagraph"/>
        <w:numPr>
          <w:ilvl w:val="1"/>
          <w:numId w:val="26"/>
        </w:numPr>
        <w:spacing w:after="0" w:line="240" w:lineRule="auto"/>
        <w:ind w:left="720"/>
        <w:jc w:val="both"/>
        <w:rPr>
          <w:rFonts w:ascii="Times New Roman" w:hAnsi="Times New Roman" w:cs="Times New Roman"/>
          <w:color w:val="000000" w:themeColor="text1"/>
        </w:rPr>
      </w:pPr>
      <w:r w:rsidRPr="00BC7BB5">
        <w:rPr>
          <w:rFonts w:ascii="Times New Roman" w:hAnsi="Times New Roman" w:cs="Times New Roman"/>
          <w:i/>
          <w:color w:val="000000" w:themeColor="text1"/>
        </w:rPr>
        <w:t>Incentives for aggregation projects (under Law 04-12).</w:t>
      </w:r>
      <w:r w:rsidRPr="00BC7BB5">
        <w:rPr>
          <w:rFonts w:ascii="Times New Roman" w:hAnsi="Times New Roman" w:cs="Times New Roman"/>
          <w:color w:val="000000" w:themeColor="text1"/>
        </w:rPr>
        <w:t xml:space="preserve"> The Program would support MAPM</w:t>
      </w:r>
      <w:r w:rsidR="00505ADC" w:rsidRPr="00BC7BB5">
        <w:rPr>
          <w:rFonts w:ascii="Times New Roman" w:hAnsi="Times New Roman" w:cs="Times New Roman"/>
          <w:color w:val="000000" w:themeColor="text1"/>
        </w:rPr>
        <w:t>DREF</w:t>
      </w:r>
      <w:r w:rsidRPr="00BC7BB5">
        <w:rPr>
          <w:rFonts w:ascii="Times New Roman" w:hAnsi="Times New Roman" w:cs="Times New Roman"/>
          <w:color w:val="000000" w:themeColor="text1"/>
        </w:rPr>
        <w:t xml:space="preserve"> and ADA (the agency responsible for the management of MAPM</w:t>
      </w:r>
      <w:r w:rsidR="00505ADC" w:rsidRPr="00BC7BB5">
        <w:rPr>
          <w:rFonts w:ascii="Times New Roman" w:hAnsi="Times New Roman" w:cs="Times New Roman"/>
          <w:color w:val="000000" w:themeColor="text1"/>
        </w:rPr>
        <w:t>DREF</w:t>
      </w:r>
      <w:r w:rsidRPr="00BC7BB5">
        <w:rPr>
          <w:rFonts w:ascii="Times New Roman" w:hAnsi="Times New Roman" w:cs="Times New Roman"/>
          <w:color w:val="000000" w:themeColor="text1"/>
        </w:rPr>
        <w:t xml:space="preserve">’s support program for aggregation projects) in improving operational modalities </w:t>
      </w:r>
      <w:r w:rsidR="00390B8B" w:rsidRPr="00BC7BB5">
        <w:rPr>
          <w:rFonts w:ascii="Times New Roman" w:hAnsi="Times New Roman" w:cs="Times New Roman"/>
          <w:color w:val="000000" w:themeColor="text1"/>
        </w:rPr>
        <w:t>and incentives for</w:t>
      </w:r>
      <w:r w:rsidRPr="00BC7BB5">
        <w:rPr>
          <w:rFonts w:ascii="Times New Roman" w:hAnsi="Times New Roman" w:cs="Times New Roman"/>
          <w:color w:val="000000" w:themeColor="text1"/>
        </w:rPr>
        <w:t xml:space="preserve"> aggregation projects</w:t>
      </w:r>
      <w:r w:rsidR="00AC7CEB" w:rsidRPr="00BC7BB5">
        <w:rPr>
          <w:rFonts w:ascii="Times New Roman" w:hAnsi="Times New Roman" w:cs="Times New Roman"/>
          <w:color w:val="000000" w:themeColor="text1"/>
        </w:rPr>
        <w:t>. This would include the amendment of Law 04-12 to facilitate the commercialization of fruit and vegetables from aggregation projects</w:t>
      </w:r>
      <w:r w:rsidRPr="00BC7BB5">
        <w:rPr>
          <w:rFonts w:ascii="Times New Roman" w:hAnsi="Times New Roman" w:cs="Times New Roman"/>
          <w:color w:val="000000" w:themeColor="text1"/>
        </w:rPr>
        <w:t xml:space="preserve">, </w:t>
      </w:r>
      <w:r w:rsidR="00AC7CEB" w:rsidRPr="00BC7BB5">
        <w:rPr>
          <w:rFonts w:ascii="Times New Roman" w:hAnsi="Times New Roman" w:cs="Times New Roman"/>
          <w:color w:val="000000" w:themeColor="text1"/>
        </w:rPr>
        <w:t>improved</w:t>
      </w:r>
      <w:r w:rsidRPr="00BC7BB5">
        <w:rPr>
          <w:rFonts w:ascii="Times New Roman" w:hAnsi="Times New Roman" w:cs="Times New Roman"/>
          <w:color w:val="000000" w:themeColor="text1"/>
        </w:rPr>
        <w:t xml:space="preserve"> communication campaigns and training to further raise awareness about </w:t>
      </w:r>
      <w:r w:rsidR="00AC7CEB" w:rsidRPr="00BC7BB5">
        <w:rPr>
          <w:rFonts w:ascii="Times New Roman" w:hAnsi="Times New Roman" w:cs="Times New Roman"/>
          <w:color w:val="000000" w:themeColor="text1"/>
        </w:rPr>
        <w:t>the benefits of</w:t>
      </w:r>
      <w:r w:rsidRPr="00BC7BB5">
        <w:rPr>
          <w:rFonts w:ascii="Times New Roman" w:hAnsi="Times New Roman" w:cs="Times New Roman"/>
          <w:color w:val="000000" w:themeColor="text1"/>
        </w:rPr>
        <w:t xml:space="preserve"> aggregation projects; and improved monitoring and evaluation. The Program would also support MAPM</w:t>
      </w:r>
      <w:r w:rsidR="00A325F7" w:rsidRPr="00BC7BB5">
        <w:rPr>
          <w:rFonts w:ascii="Times New Roman" w:hAnsi="Times New Roman" w:cs="Times New Roman"/>
          <w:color w:val="000000" w:themeColor="text1"/>
        </w:rPr>
        <w:t>DREF</w:t>
      </w:r>
      <w:r w:rsidRPr="00BC7BB5">
        <w:rPr>
          <w:rFonts w:ascii="Times New Roman" w:hAnsi="Times New Roman" w:cs="Times New Roman"/>
          <w:color w:val="000000" w:themeColor="text1"/>
        </w:rPr>
        <w:t xml:space="preserve"> and ADA in </w:t>
      </w:r>
      <w:r w:rsidR="00C0488F" w:rsidRPr="00BC7BB5">
        <w:rPr>
          <w:rFonts w:ascii="Times New Roman" w:hAnsi="Times New Roman" w:cs="Times New Roman"/>
          <w:color w:val="000000" w:themeColor="text1"/>
        </w:rPr>
        <w:t xml:space="preserve">updating as needed </w:t>
      </w:r>
      <w:r w:rsidRPr="00BC7BB5">
        <w:rPr>
          <w:rFonts w:ascii="Times New Roman" w:hAnsi="Times New Roman" w:cs="Times New Roman"/>
          <w:color w:val="000000" w:themeColor="text1"/>
        </w:rPr>
        <w:t>the regulatory framework (</w:t>
      </w:r>
      <w:r w:rsidR="007A076A">
        <w:rPr>
          <w:rFonts w:ascii="Times New Roman" w:hAnsi="Times New Roman" w:cs="Times New Roman"/>
          <w:color w:val="000000" w:themeColor="text1"/>
        </w:rPr>
        <w:t xml:space="preserve">arrêté and </w:t>
      </w:r>
      <w:r w:rsidR="00C0488F" w:rsidRPr="00BC7BB5">
        <w:rPr>
          <w:rFonts w:ascii="Times New Roman" w:hAnsi="Times New Roman" w:cs="Times New Roman"/>
          <w:color w:val="000000" w:themeColor="text1"/>
        </w:rPr>
        <w:t>ministerial instructions</w:t>
      </w:r>
      <w:r w:rsidRPr="00BC7BB5">
        <w:rPr>
          <w:rFonts w:ascii="Times New Roman" w:hAnsi="Times New Roman" w:cs="Times New Roman"/>
          <w:color w:val="000000" w:themeColor="text1"/>
        </w:rPr>
        <w:t xml:space="preserve">) under Law 04-12 (i.e. </w:t>
      </w:r>
      <w:r w:rsidR="00C0488F" w:rsidRPr="00BC7BB5">
        <w:rPr>
          <w:rFonts w:ascii="Times New Roman" w:hAnsi="Times New Roman" w:cs="Times New Roman"/>
          <w:color w:val="000000" w:themeColor="text1"/>
        </w:rPr>
        <w:t xml:space="preserve">for </w:t>
      </w:r>
      <w:r w:rsidRPr="00BC7BB5">
        <w:rPr>
          <w:rFonts w:ascii="Times New Roman" w:hAnsi="Times New Roman" w:cs="Times New Roman"/>
          <w:color w:val="000000" w:themeColor="text1"/>
        </w:rPr>
        <w:t>commercial partnerships between producers and buyers that do not involve a processing unit</w:t>
      </w:r>
      <w:r w:rsidRPr="00BC7BB5">
        <w:rPr>
          <w:rStyle w:val="FootnoteReference"/>
          <w:rFonts w:ascii="Times New Roman" w:hAnsi="Times New Roman" w:cs="Times New Roman"/>
          <w:color w:val="000000" w:themeColor="text1"/>
        </w:rPr>
        <w:footnoteReference w:id="19"/>
      </w:r>
      <w:r w:rsidRPr="00BC7BB5">
        <w:rPr>
          <w:rFonts w:ascii="Times New Roman" w:hAnsi="Times New Roman" w:cs="Times New Roman"/>
          <w:color w:val="000000" w:themeColor="text1"/>
        </w:rPr>
        <w:t>). Finally, the Program would finance aggregation projects following those adjusted modalities in the olive and citrus sub-sectors.</w:t>
      </w:r>
    </w:p>
    <w:p w14:paraId="1E234CF7" w14:textId="7B38A19C" w:rsidR="00093AA4" w:rsidRPr="00BC7BB5" w:rsidRDefault="00093AA4" w:rsidP="00F561E8">
      <w:pPr>
        <w:pStyle w:val="ListParagraph"/>
        <w:numPr>
          <w:ilvl w:val="1"/>
          <w:numId w:val="26"/>
        </w:numPr>
        <w:spacing w:after="0" w:line="240" w:lineRule="auto"/>
        <w:ind w:left="720"/>
        <w:jc w:val="both"/>
        <w:rPr>
          <w:rFonts w:ascii="Times New Roman" w:hAnsi="Times New Roman" w:cs="Times New Roman"/>
          <w:color w:val="000000" w:themeColor="text1"/>
        </w:rPr>
      </w:pPr>
      <w:r w:rsidRPr="00BC7BB5">
        <w:rPr>
          <w:rFonts w:ascii="Times New Roman" w:hAnsi="Times New Roman" w:cs="Times New Roman"/>
          <w:i/>
          <w:color w:val="000000" w:themeColor="text1"/>
        </w:rPr>
        <w:t xml:space="preserve">Incentives for </w:t>
      </w:r>
      <w:r w:rsidR="0036224F" w:rsidRPr="00BC7BB5">
        <w:rPr>
          <w:rFonts w:ascii="Times New Roman" w:hAnsi="Times New Roman" w:cs="Times New Roman"/>
          <w:i/>
          <w:color w:val="000000" w:themeColor="text1"/>
        </w:rPr>
        <w:t>processing, conditioning and transformation</w:t>
      </w:r>
      <w:r w:rsidRPr="00BC7BB5">
        <w:rPr>
          <w:rFonts w:ascii="Times New Roman" w:hAnsi="Times New Roman" w:cs="Times New Roman"/>
          <w:i/>
          <w:color w:val="000000" w:themeColor="text1"/>
        </w:rPr>
        <w:t xml:space="preserve"> under the</w:t>
      </w:r>
      <w:r w:rsidR="007A076A">
        <w:rPr>
          <w:rFonts w:ascii="Times New Roman" w:hAnsi="Times New Roman" w:cs="Times New Roman"/>
          <w:i/>
          <w:color w:val="000000" w:themeColor="text1"/>
        </w:rPr>
        <w:t xml:space="preserve"> universal FDA support system</w:t>
      </w:r>
      <w:r w:rsidRPr="00BC7BB5">
        <w:rPr>
          <w:rFonts w:ascii="Times New Roman" w:hAnsi="Times New Roman" w:cs="Times New Roman"/>
          <w:i/>
          <w:color w:val="000000" w:themeColor="text1"/>
        </w:rPr>
        <w:t>.</w:t>
      </w:r>
      <w:r w:rsidRPr="00BC7BB5">
        <w:rPr>
          <w:rFonts w:ascii="Times New Roman" w:hAnsi="Times New Roman" w:cs="Times New Roman"/>
          <w:color w:val="000000" w:themeColor="text1"/>
        </w:rPr>
        <w:t xml:space="preserve"> The Program would support MAPM</w:t>
      </w:r>
      <w:r w:rsidR="0036224F" w:rsidRPr="00BC7BB5">
        <w:rPr>
          <w:rFonts w:ascii="Times New Roman" w:hAnsi="Times New Roman" w:cs="Times New Roman"/>
          <w:color w:val="000000" w:themeColor="text1"/>
        </w:rPr>
        <w:t>DREF</w:t>
      </w:r>
      <w:r w:rsidRPr="00BC7BB5">
        <w:rPr>
          <w:rFonts w:ascii="Times New Roman" w:hAnsi="Times New Roman" w:cs="Times New Roman"/>
          <w:color w:val="000000" w:themeColor="text1"/>
        </w:rPr>
        <w:t xml:space="preserve"> in adjusting the modalities for the appraisal and monitoring and evaluation of investments projects receiving support under </w:t>
      </w:r>
      <w:r w:rsidR="007A076A">
        <w:rPr>
          <w:rFonts w:ascii="Times New Roman" w:hAnsi="Times New Roman" w:cs="Times New Roman"/>
          <w:color w:val="000000" w:themeColor="text1"/>
        </w:rPr>
        <w:t>the universal FDA support systems</w:t>
      </w:r>
      <w:r w:rsidRPr="00BC7BB5">
        <w:rPr>
          <w:rFonts w:ascii="Times New Roman" w:hAnsi="Times New Roman" w:cs="Times New Roman"/>
          <w:color w:val="000000" w:themeColor="text1"/>
        </w:rPr>
        <w:t>, to increase their socio-economic impact and their environmental sustainability. The</w:t>
      </w:r>
      <w:r w:rsidR="007A076A">
        <w:rPr>
          <w:rFonts w:ascii="Times New Roman" w:hAnsi="Times New Roman" w:cs="Times New Roman"/>
          <w:color w:val="000000" w:themeColor="text1"/>
        </w:rPr>
        <w:t xml:space="preserve"> Program would finance projects</w:t>
      </w:r>
      <w:r w:rsidRPr="00BC7BB5">
        <w:rPr>
          <w:rFonts w:ascii="Times New Roman" w:hAnsi="Times New Roman" w:cs="Times New Roman"/>
          <w:color w:val="000000" w:themeColor="text1"/>
        </w:rPr>
        <w:t xml:space="preserve"> appraised under those adjusted modalities in the citrus and olive sub-sectors.</w:t>
      </w:r>
    </w:p>
    <w:p w14:paraId="4B4C6903" w14:textId="6A5AD5BF" w:rsidR="00093AA4" w:rsidRPr="00BC7BB5" w:rsidRDefault="0036224F" w:rsidP="00F561E8">
      <w:pPr>
        <w:pStyle w:val="ListParagraph"/>
        <w:numPr>
          <w:ilvl w:val="1"/>
          <w:numId w:val="26"/>
        </w:numPr>
        <w:spacing w:after="0" w:line="240" w:lineRule="auto"/>
        <w:ind w:left="720"/>
        <w:jc w:val="both"/>
        <w:rPr>
          <w:rFonts w:ascii="Times New Roman" w:hAnsi="Times New Roman" w:cs="Times New Roman"/>
          <w:color w:val="000000" w:themeColor="text1"/>
        </w:rPr>
      </w:pPr>
      <w:r w:rsidRPr="00BC7BB5">
        <w:rPr>
          <w:rFonts w:ascii="Times New Roman" w:hAnsi="Times New Roman" w:cs="Times New Roman"/>
          <w:i/>
          <w:color w:val="000000" w:themeColor="text1"/>
        </w:rPr>
        <w:t>Piloting new modalities for vertical and horizontal aggregation (productive alliances)</w:t>
      </w:r>
      <w:r w:rsidR="00093AA4" w:rsidRPr="00BC7BB5">
        <w:rPr>
          <w:rFonts w:ascii="Times New Roman" w:hAnsi="Times New Roman" w:cs="Times New Roman"/>
          <w:color w:val="000000" w:themeColor="text1"/>
        </w:rPr>
        <w:t xml:space="preserve">. To increase the inclusiveness of the above incentive schemes and scale-them up, </w:t>
      </w:r>
      <w:r w:rsidR="00D230D9" w:rsidRPr="00BC7BB5">
        <w:rPr>
          <w:rFonts w:ascii="Times New Roman" w:hAnsi="Times New Roman" w:cs="Times New Roman"/>
          <w:color w:val="000000" w:themeColor="text1"/>
        </w:rPr>
        <w:t>incentives</w:t>
      </w:r>
      <w:r w:rsidR="00093AA4" w:rsidRPr="00BC7BB5">
        <w:rPr>
          <w:rFonts w:ascii="Times New Roman" w:hAnsi="Times New Roman" w:cs="Times New Roman"/>
          <w:color w:val="000000" w:themeColor="text1"/>
        </w:rPr>
        <w:t xml:space="preserve"> </w:t>
      </w:r>
      <w:r w:rsidR="0029028D" w:rsidRPr="00BC7BB5">
        <w:rPr>
          <w:rFonts w:ascii="Times New Roman" w:hAnsi="Times New Roman" w:cs="Times New Roman"/>
          <w:color w:val="000000" w:themeColor="text1"/>
        </w:rPr>
        <w:t>(</w:t>
      </w:r>
      <w:r w:rsidR="00584654" w:rsidRPr="00BC7BB5">
        <w:rPr>
          <w:rFonts w:ascii="Times New Roman" w:hAnsi="Times New Roman" w:cs="Times New Roman"/>
          <w:color w:val="000000" w:themeColor="text1"/>
        </w:rPr>
        <w:t xml:space="preserve">such as </w:t>
      </w:r>
      <w:r w:rsidR="0029028D" w:rsidRPr="00BC7BB5">
        <w:rPr>
          <w:rFonts w:ascii="Times New Roman" w:hAnsi="Times New Roman" w:cs="Times New Roman"/>
          <w:color w:val="000000" w:themeColor="text1"/>
        </w:rPr>
        <w:t xml:space="preserve">grants and technical assistance) </w:t>
      </w:r>
      <w:r w:rsidR="00093AA4" w:rsidRPr="00BC7BB5">
        <w:rPr>
          <w:rFonts w:ascii="Times New Roman" w:hAnsi="Times New Roman" w:cs="Times New Roman"/>
          <w:color w:val="000000" w:themeColor="text1"/>
        </w:rPr>
        <w:t>would be provided under the Program</w:t>
      </w:r>
      <w:r w:rsidR="00D230D9" w:rsidRPr="00BC7BB5">
        <w:rPr>
          <w:rFonts w:ascii="Times New Roman" w:hAnsi="Times New Roman" w:cs="Times New Roman"/>
          <w:color w:val="000000" w:themeColor="text1"/>
        </w:rPr>
        <w:t xml:space="preserve"> on a pilot basis</w:t>
      </w:r>
      <w:r w:rsidR="00093AA4" w:rsidRPr="00BC7BB5">
        <w:rPr>
          <w:rFonts w:ascii="Times New Roman" w:hAnsi="Times New Roman" w:cs="Times New Roman"/>
          <w:color w:val="000000" w:themeColor="text1"/>
        </w:rPr>
        <w:t xml:space="preserve"> to producers and their organizations </w:t>
      </w:r>
      <w:r w:rsidR="00D230D9" w:rsidRPr="00BC7BB5">
        <w:rPr>
          <w:rFonts w:ascii="Times New Roman" w:hAnsi="Times New Roman" w:cs="Times New Roman"/>
          <w:color w:val="000000" w:themeColor="text1"/>
        </w:rPr>
        <w:t>(</w:t>
      </w:r>
      <w:r w:rsidR="00093AA4" w:rsidRPr="00BC7BB5">
        <w:rPr>
          <w:rFonts w:ascii="Times New Roman" w:hAnsi="Times New Roman" w:cs="Times New Roman"/>
          <w:color w:val="000000" w:themeColor="text1"/>
        </w:rPr>
        <w:t>such as cooperatives and GIE</w:t>
      </w:r>
      <w:r w:rsidR="00730643" w:rsidRPr="00BC7BB5">
        <w:rPr>
          <w:rFonts w:ascii="Times New Roman" w:hAnsi="Times New Roman" w:cs="Times New Roman"/>
          <w:color w:val="000000" w:themeColor="text1"/>
        </w:rPr>
        <w:fldChar w:fldCharType="begin"/>
      </w:r>
      <w:r w:rsidR="00730643" w:rsidRPr="00BC7BB5">
        <w:instrText xml:space="preserve"> XE "</w:instrText>
      </w:r>
      <w:r w:rsidR="00730643" w:rsidRPr="00BC7BB5">
        <w:rPr>
          <w:rFonts w:ascii="Times New Roman" w:hAnsi="Times New Roman" w:cs="Times New Roman"/>
          <w:color w:val="000000" w:themeColor="text1"/>
        </w:rPr>
        <w:instrText>GIE</w:instrText>
      </w:r>
      <w:r w:rsidR="00730643" w:rsidRPr="00BC7BB5">
        <w:instrText xml:space="preserve">" </w:instrText>
      </w:r>
      <w:r w:rsidR="00730643" w:rsidRPr="00BC7BB5">
        <w:rPr>
          <w:rFonts w:ascii="Times New Roman" w:hAnsi="Times New Roman" w:cs="Times New Roman"/>
          <w:color w:val="000000" w:themeColor="text1"/>
        </w:rPr>
        <w:fldChar w:fldCharType="end"/>
      </w:r>
      <w:r w:rsidR="00093AA4" w:rsidRPr="00BC7BB5">
        <w:rPr>
          <w:rFonts w:ascii="Times New Roman" w:hAnsi="Times New Roman" w:cs="Times New Roman"/>
          <w:color w:val="000000" w:themeColor="text1"/>
        </w:rPr>
        <w:t xml:space="preserve">s) interested in </w:t>
      </w:r>
      <w:r w:rsidR="00D230D9" w:rsidRPr="00BC7BB5">
        <w:rPr>
          <w:rFonts w:ascii="Times New Roman" w:hAnsi="Times New Roman" w:cs="Times New Roman"/>
          <w:color w:val="000000" w:themeColor="text1"/>
        </w:rPr>
        <w:t>entering in commercial partnerships with buyers</w:t>
      </w:r>
      <w:r w:rsidR="00093AA4" w:rsidRPr="00BC7BB5">
        <w:rPr>
          <w:rFonts w:ascii="Times New Roman" w:hAnsi="Times New Roman" w:cs="Times New Roman"/>
          <w:color w:val="000000" w:themeColor="text1"/>
        </w:rPr>
        <w:t xml:space="preserve"> but in need of business development assistance, as well as managerial and technical support to meet </w:t>
      </w:r>
      <w:r w:rsidR="00D230D9" w:rsidRPr="00BC7BB5">
        <w:rPr>
          <w:rFonts w:ascii="Times New Roman" w:hAnsi="Times New Roman" w:cs="Times New Roman"/>
          <w:color w:val="000000" w:themeColor="text1"/>
        </w:rPr>
        <w:t xml:space="preserve">buyer </w:t>
      </w:r>
      <w:r w:rsidR="00093AA4" w:rsidRPr="00BC7BB5">
        <w:rPr>
          <w:rFonts w:ascii="Times New Roman" w:hAnsi="Times New Roman" w:cs="Times New Roman"/>
          <w:color w:val="000000" w:themeColor="text1"/>
        </w:rPr>
        <w:t>requirements.</w:t>
      </w:r>
    </w:p>
    <w:p w14:paraId="4D657B4B" w14:textId="77777777" w:rsidR="00093AA4" w:rsidRPr="00BC7BB5" w:rsidRDefault="00093AA4" w:rsidP="00093AA4">
      <w:pPr>
        <w:spacing w:after="0" w:line="240" w:lineRule="auto"/>
        <w:jc w:val="both"/>
        <w:rPr>
          <w:rFonts w:ascii="Times New Roman" w:hAnsi="Times New Roman" w:cs="Times New Roman"/>
          <w:color w:val="000000" w:themeColor="text1"/>
        </w:rPr>
      </w:pPr>
    </w:p>
    <w:p w14:paraId="4937D8F8" w14:textId="0717C376" w:rsidR="00093AA4" w:rsidRPr="00BC7BB5" w:rsidRDefault="00832355" w:rsidP="00F561E8">
      <w:pPr>
        <w:pStyle w:val="ListParagraph"/>
        <w:numPr>
          <w:ilvl w:val="0"/>
          <w:numId w:val="26"/>
        </w:numPr>
        <w:spacing w:after="0" w:line="240" w:lineRule="auto"/>
        <w:ind w:left="0" w:firstLine="0"/>
        <w:jc w:val="both"/>
        <w:rPr>
          <w:rFonts w:ascii="Times New Roman" w:hAnsi="Times New Roman" w:cs="Times New Roman"/>
          <w:color w:val="000000" w:themeColor="text1"/>
        </w:rPr>
      </w:pPr>
      <w:r w:rsidRPr="00BC7BB5">
        <w:rPr>
          <w:rFonts w:ascii="Times New Roman" w:hAnsi="Times New Roman" w:cs="Times New Roman"/>
          <w:b/>
        </w:rPr>
        <w:t xml:space="preserve">Modernizing the management of wholesale markets </w:t>
      </w:r>
      <w:r w:rsidR="00093AA4" w:rsidRPr="00BC7BB5">
        <w:rPr>
          <w:rFonts w:ascii="Times New Roman" w:hAnsi="Times New Roman" w:cs="Times New Roman"/>
          <w:color w:val="000000" w:themeColor="text1"/>
        </w:rPr>
        <w:t>(1.3).</w:t>
      </w:r>
      <w:r w:rsidR="00093AA4" w:rsidRPr="00BC7BB5">
        <w:rPr>
          <w:rFonts w:ascii="Times New Roman" w:hAnsi="Times New Roman" w:cs="Times New Roman"/>
          <w:b/>
          <w:color w:val="000000" w:themeColor="text1"/>
        </w:rPr>
        <w:t xml:space="preserve"> </w:t>
      </w:r>
      <w:r w:rsidR="00093AA4" w:rsidRPr="00BC7BB5">
        <w:rPr>
          <w:rFonts w:ascii="Times New Roman" w:hAnsi="Times New Roman" w:cs="Times New Roman"/>
          <w:color w:val="000000" w:themeColor="text1"/>
        </w:rPr>
        <w:t xml:space="preserve">Underdeveloped domestic marketing and distribution systems for fruit and vegetables in Morocco result in high marketing costs, low producer incomes and high consumer prices, while undermining incentives for improving quality. </w:t>
      </w:r>
      <w:r w:rsidR="008923DD" w:rsidRPr="00BC7BB5">
        <w:rPr>
          <w:rFonts w:ascii="Times New Roman" w:hAnsi="Times New Roman" w:cs="Times New Roman"/>
        </w:rPr>
        <w:t xml:space="preserve">An analysis of price formation along domestic marketing channels for citrus indicates that inefficiencies in marketing channels result in losses of up to MAD 2/kg at producer level and higher prices for Moroccan consumers, without the food safety and product quality standards observed for exports. </w:t>
      </w:r>
      <w:r w:rsidR="00093AA4" w:rsidRPr="00BC7BB5">
        <w:rPr>
          <w:rFonts w:ascii="Times New Roman" w:hAnsi="Times New Roman" w:cs="Times New Roman"/>
          <w:color w:val="000000" w:themeColor="text1"/>
        </w:rPr>
        <w:t xml:space="preserve">In addition, weak wholesale market services push many producers to market their produce through fragmented </w:t>
      </w:r>
      <w:r w:rsidR="00A470BF">
        <w:rPr>
          <w:rFonts w:ascii="Times New Roman" w:hAnsi="Times New Roman" w:cs="Times New Roman"/>
          <w:color w:val="000000" w:themeColor="text1"/>
        </w:rPr>
        <w:t xml:space="preserve">informal channels. The </w:t>
      </w:r>
      <w:r w:rsidR="00093AA4" w:rsidRPr="00BC7BB5">
        <w:rPr>
          <w:rFonts w:ascii="Times New Roman" w:hAnsi="Times New Roman" w:cs="Times New Roman"/>
          <w:color w:val="000000" w:themeColor="text1"/>
        </w:rPr>
        <w:t>Program would finance investments in a</w:t>
      </w:r>
      <w:r w:rsidR="00F87056" w:rsidRPr="00BC7BB5">
        <w:rPr>
          <w:rFonts w:ascii="Times New Roman" w:hAnsi="Times New Roman" w:cs="Times New Roman"/>
          <w:color w:val="000000" w:themeColor="text1"/>
        </w:rPr>
        <w:t>t least one</w:t>
      </w:r>
      <w:r w:rsidR="00093AA4" w:rsidRPr="00BC7BB5">
        <w:rPr>
          <w:rFonts w:ascii="Times New Roman" w:hAnsi="Times New Roman" w:cs="Times New Roman"/>
          <w:color w:val="000000" w:themeColor="text1"/>
        </w:rPr>
        <w:t xml:space="preserve"> </w:t>
      </w:r>
      <w:r w:rsidR="005C78FB" w:rsidRPr="00BC7BB5">
        <w:rPr>
          <w:rFonts w:ascii="Times New Roman" w:hAnsi="Times New Roman" w:cs="Times New Roman"/>
          <w:color w:val="000000" w:themeColor="text1"/>
        </w:rPr>
        <w:t xml:space="preserve">modern </w:t>
      </w:r>
      <w:r w:rsidR="00093AA4" w:rsidRPr="00BC7BB5">
        <w:rPr>
          <w:rFonts w:ascii="Times New Roman" w:hAnsi="Times New Roman" w:cs="Times New Roman"/>
          <w:color w:val="000000" w:themeColor="text1"/>
        </w:rPr>
        <w:t xml:space="preserve">wholesale market </w:t>
      </w:r>
      <w:r w:rsidRPr="00BC7BB5">
        <w:rPr>
          <w:rFonts w:ascii="Times New Roman" w:hAnsi="Times New Roman" w:cs="Times New Roman"/>
          <w:color w:val="000000" w:themeColor="text1"/>
        </w:rPr>
        <w:t>and support the establishment of</w:t>
      </w:r>
      <w:r w:rsidR="00093AA4" w:rsidRPr="00BC7BB5">
        <w:rPr>
          <w:rFonts w:ascii="Times New Roman" w:hAnsi="Times New Roman" w:cs="Times New Roman"/>
          <w:color w:val="000000" w:themeColor="text1"/>
        </w:rPr>
        <w:t xml:space="preserve"> a</w:t>
      </w:r>
      <w:r w:rsidRPr="00BC7BB5">
        <w:rPr>
          <w:rFonts w:ascii="Times New Roman" w:hAnsi="Times New Roman" w:cs="Times New Roman"/>
          <w:color w:val="000000" w:themeColor="text1"/>
        </w:rPr>
        <w:t xml:space="preserve"> new (</w:t>
      </w:r>
      <w:r w:rsidR="00093AA4" w:rsidRPr="00BC7BB5">
        <w:rPr>
          <w:rFonts w:ascii="Times New Roman" w:hAnsi="Times New Roman" w:cs="Times New Roman"/>
          <w:color w:val="000000" w:themeColor="text1"/>
        </w:rPr>
        <w:t>delegated</w:t>
      </w:r>
      <w:r w:rsidRPr="00BC7BB5">
        <w:rPr>
          <w:rFonts w:ascii="Times New Roman" w:hAnsi="Times New Roman" w:cs="Times New Roman"/>
          <w:color w:val="000000" w:themeColor="text1"/>
        </w:rPr>
        <w:t>)</w:t>
      </w:r>
      <w:r w:rsidR="00093AA4" w:rsidRPr="00BC7BB5">
        <w:rPr>
          <w:rFonts w:ascii="Times New Roman" w:hAnsi="Times New Roman" w:cs="Times New Roman"/>
          <w:color w:val="000000" w:themeColor="text1"/>
        </w:rPr>
        <w:t xml:space="preserve"> management model.</w:t>
      </w:r>
      <w:r w:rsidRPr="00BC7BB5">
        <w:rPr>
          <w:rFonts w:ascii="Times New Roman" w:hAnsi="Times New Roman" w:cs="Times New Roman"/>
          <w:color w:val="000000" w:themeColor="text1"/>
        </w:rPr>
        <w:t xml:space="preserve"> </w:t>
      </w:r>
      <w:r w:rsidR="005C78FB" w:rsidRPr="00BC7BB5">
        <w:rPr>
          <w:rFonts w:ascii="Times New Roman" w:hAnsi="Times New Roman" w:cs="Times New Roman"/>
        </w:rPr>
        <w:t>T</w:t>
      </w:r>
      <w:r w:rsidRPr="00BC7BB5">
        <w:rPr>
          <w:rFonts w:ascii="Times New Roman" w:hAnsi="Times New Roman" w:cs="Times New Roman"/>
        </w:rPr>
        <w:t>he Wilaya of Rabat</w:t>
      </w:r>
      <w:r w:rsidR="00A470BF">
        <w:rPr>
          <w:rFonts w:ascii="Times New Roman" w:hAnsi="Times New Roman" w:cs="Times New Roman"/>
        </w:rPr>
        <w:t>-Salé-Kénitra</w:t>
      </w:r>
      <w:r w:rsidRPr="00BC7BB5">
        <w:rPr>
          <w:rFonts w:ascii="Times New Roman" w:hAnsi="Times New Roman" w:cs="Times New Roman"/>
        </w:rPr>
        <w:t xml:space="preserve"> has demonstrated a strong desire to advance the development of a regional agri</w:t>
      </w:r>
      <w:r w:rsidR="006B1EE7" w:rsidRPr="00BC7BB5">
        <w:rPr>
          <w:rFonts w:ascii="Times New Roman" w:hAnsi="Times New Roman" w:cs="Times New Roman"/>
        </w:rPr>
        <w:t>-food platform</w:t>
      </w:r>
      <w:r w:rsidRPr="00BC7BB5">
        <w:rPr>
          <w:rFonts w:ascii="Times New Roman" w:hAnsi="Times New Roman" w:cs="Times New Roman"/>
        </w:rPr>
        <w:t xml:space="preserve"> to which the existing municipal w</w:t>
      </w:r>
      <w:r w:rsidR="006B1EE7" w:rsidRPr="00BC7BB5">
        <w:rPr>
          <w:rFonts w:ascii="Times New Roman" w:hAnsi="Times New Roman" w:cs="Times New Roman"/>
        </w:rPr>
        <w:t>holesale markets of Rabat, Salé</w:t>
      </w:r>
      <w:r w:rsidR="004C4719">
        <w:rPr>
          <w:rFonts w:ascii="Times New Roman" w:hAnsi="Times New Roman" w:cs="Times New Roman"/>
        </w:rPr>
        <w:t xml:space="preserve">, </w:t>
      </w:r>
      <w:r w:rsidRPr="00BC7BB5">
        <w:rPr>
          <w:rFonts w:ascii="Times New Roman" w:hAnsi="Times New Roman" w:cs="Times New Roman"/>
        </w:rPr>
        <w:t xml:space="preserve">Témara </w:t>
      </w:r>
      <w:r w:rsidR="004C4719">
        <w:rPr>
          <w:rFonts w:ascii="Times New Roman" w:hAnsi="Times New Roman" w:cs="Times New Roman"/>
        </w:rPr>
        <w:t xml:space="preserve">and Kénitra </w:t>
      </w:r>
      <w:r w:rsidRPr="00BC7BB5">
        <w:rPr>
          <w:rFonts w:ascii="Times New Roman" w:hAnsi="Times New Roman" w:cs="Times New Roman"/>
        </w:rPr>
        <w:t>would be transferred.</w:t>
      </w:r>
      <w:r w:rsidR="00093AA4" w:rsidRPr="00BC7BB5">
        <w:rPr>
          <w:rFonts w:ascii="Times New Roman" w:hAnsi="Times New Roman" w:cs="Times New Roman"/>
          <w:color w:val="000000" w:themeColor="text1"/>
        </w:rPr>
        <w:t xml:space="preserve"> The draft </w:t>
      </w:r>
      <w:r w:rsidR="008923DD" w:rsidRPr="00BC7BB5">
        <w:rPr>
          <w:rFonts w:ascii="Times New Roman" w:hAnsi="Times New Roman" w:cs="Times New Roman"/>
          <w:color w:val="000000" w:themeColor="text1"/>
        </w:rPr>
        <w:t>agreement (</w:t>
      </w:r>
      <w:r w:rsidR="00093AA4" w:rsidRPr="00BC7BB5">
        <w:rPr>
          <w:rFonts w:ascii="Times New Roman" w:hAnsi="Times New Roman" w:cs="Times New Roman"/>
          <w:i/>
          <w:color w:val="000000" w:themeColor="text1"/>
        </w:rPr>
        <w:t>convention</w:t>
      </w:r>
      <w:r w:rsidR="004C4719">
        <w:rPr>
          <w:rFonts w:ascii="Times New Roman" w:hAnsi="Times New Roman" w:cs="Times New Roman"/>
          <w:i/>
          <w:color w:val="000000" w:themeColor="text1"/>
        </w:rPr>
        <w:t xml:space="preserve"> de partenariat</w:t>
      </w:r>
      <w:r w:rsidR="008923DD" w:rsidRPr="00BC7BB5">
        <w:rPr>
          <w:rFonts w:ascii="Times New Roman" w:hAnsi="Times New Roman" w:cs="Times New Roman"/>
          <w:color w:val="000000" w:themeColor="text1"/>
        </w:rPr>
        <w:t>)</w:t>
      </w:r>
      <w:r w:rsidR="00093AA4" w:rsidRPr="00BC7BB5">
        <w:rPr>
          <w:rFonts w:ascii="Times New Roman" w:hAnsi="Times New Roman" w:cs="Times New Roman"/>
          <w:color w:val="000000" w:themeColor="text1"/>
        </w:rPr>
        <w:t xml:space="preserve"> to be signed between the project’s national, regional, and local government sponsors</w:t>
      </w:r>
      <w:r w:rsidR="00093AA4" w:rsidRPr="00BC7BB5">
        <w:rPr>
          <w:rStyle w:val="FootnoteReference"/>
          <w:rFonts w:ascii="Times New Roman" w:hAnsi="Times New Roman" w:cs="Times New Roman"/>
          <w:color w:val="000000" w:themeColor="text1"/>
        </w:rPr>
        <w:footnoteReference w:id="20"/>
      </w:r>
      <w:r w:rsidR="007816AE" w:rsidRPr="00BC7BB5">
        <w:rPr>
          <w:rFonts w:ascii="Times New Roman" w:hAnsi="Times New Roman" w:cs="Times New Roman"/>
          <w:color w:val="000000" w:themeColor="text1"/>
        </w:rPr>
        <w:t xml:space="preserve"> defines the responsibilities and commitment of the various parties to the agreement</w:t>
      </w:r>
      <w:r w:rsidR="00093AA4" w:rsidRPr="00BC7BB5">
        <w:rPr>
          <w:rFonts w:ascii="Times New Roman" w:hAnsi="Times New Roman" w:cs="Times New Roman"/>
          <w:color w:val="000000" w:themeColor="text1"/>
        </w:rPr>
        <w:t xml:space="preserve">, </w:t>
      </w:r>
      <w:r w:rsidR="007816AE" w:rsidRPr="00BC7BB5">
        <w:rPr>
          <w:rFonts w:ascii="Times New Roman" w:hAnsi="Times New Roman" w:cs="Times New Roman"/>
          <w:color w:val="000000" w:themeColor="text1"/>
        </w:rPr>
        <w:t>including those</w:t>
      </w:r>
      <w:r w:rsidR="00225800" w:rsidRPr="00BC7BB5">
        <w:rPr>
          <w:rFonts w:ascii="Times New Roman" w:hAnsi="Times New Roman" w:cs="Times New Roman"/>
          <w:color w:val="000000" w:themeColor="text1"/>
        </w:rPr>
        <w:t xml:space="preserve"> of </w:t>
      </w:r>
      <w:r w:rsidR="00093AA4" w:rsidRPr="00BC7BB5">
        <w:rPr>
          <w:rFonts w:ascii="Times New Roman" w:hAnsi="Times New Roman" w:cs="Times New Roman"/>
          <w:color w:val="000000" w:themeColor="text1"/>
        </w:rPr>
        <w:t>the designated entity in charge of construction (</w:t>
      </w:r>
      <w:r w:rsidR="00093AA4" w:rsidRPr="00BC7BB5">
        <w:rPr>
          <w:rFonts w:ascii="Times New Roman" w:hAnsi="Times New Roman" w:cs="Times New Roman"/>
          <w:i/>
          <w:color w:val="000000" w:themeColor="text1"/>
        </w:rPr>
        <w:t xml:space="preserve">Rabat </w:t>
      </w:r>
      <w:r w:rsidR="00A470BF">
        <w:rPr>
          <w:rFonts w:ascii="Times New Roman" w:hAnsi="Times New Roman" w:cs="Times New Roman"/>
          <w:i/>
          <w:color w:val="000000" w:themeColor="text1"/>
        </w:rPr>
        <w:t xml:space="preserve">Région </w:t>
      </w:r>
      <w:r w:rsidR="00093AA4" w:rsidRPr="00BC7BB5">
        <w:rPr>
          <w:rFonts w:ascii="Times New Roman" w:hAnsi="Times New Roman" w:cs="Times New Roman"/>
          <w:i/>
          <w:color w:val="000000" w:themeColor="text1"/>
        </w:rPr>
        <w:t>Aménagement SA</w:t>
      </w:r>
      <w:r w:rsidR="00093AA4" w:rsidRPr="00BC7BB5">
        <w:rPr>
          <w:rFonts w:ascii="Times New Roman" w:hAnsi="Times New Roman" w:cs="Times New Roman"/>
          <w:color w:val="000000" w:themeColor="text1"/>
        </w:rPr>
        <w:t>) and</w:t>
      </w:r>
      <w:r w:rsidR="00414369" w:rsidRPr="00BC7BB5">
        <w:rPr>
          <w:rFonts w:ascii="Times New Roman" w:hAnsi="Times New Roman" w:cs="Times New Roman"/>
          <w:color w:val="000000" w:themeColor="text1"/>
        </w:rPr>
        <w:t xml:space="preserve"> those of</w:t>
      </w:r>
      <w:r w:rsidR="007816AE" w:rsidRPr="00BC7BB5">
        <w:rPr>
          <w:rFonts w:ascii="Times New Roman" w:hAnsi="Times New Roman" w:cs="Times New Roman"/>
          <w:color w:val="000000" w:themeColor="text1"/>
        </w:rPr>
        <w:t xml:space="preserve"> the</w:t>
      </w:r>
      <w:r w:rsidR="00093AA4" w:rsidRPr="00BC7BB5">
        <w:rPr>
          <w:rFonts w:ascii="Times New Roman" w:hAnsi="Times New Roman" w:cs="Times New Roman"/>
          <w:color w:val="000000" w:themeColor="text1"/>
        </w:rPr>
        <w:t xml:space="preserve"> </w:t>
      </w:r>
      <w:r w:rsidR="00093AA4" w:rsidRPr="00BC7BB5">
        <w:rPr>
          <w:rFonts w:ascii="Times New Roman" w:hAnsi="Times New Roman" w:cs="Times New Roman"/>
          <w:color w:val="000000" w:themeColor="text1"/>
        </w:rPr>
        <w:lastRenderedPageBreak/>
        <w:t>local development company (</w:t>
      </w:r>
      <w:r w:rsidR="00093AA4" w:rsidRPr="00BC7BB5">
        <w:rPr>
          <w:rFonts w:ascii="Times New Roman" w:hAnsi="Times New Roman" w:cs="Times New Roman"/>
          <w:i/>
          <w:color w:val="000000" w:themeColor="text1"/>
        </w:rPr>
        <w:t>Société de Développement Local</w:t>
      </w:r>
      <w:r w:rsidR="004C4719">
        <w:rPr>
          <w:rFonts w:ascii="Times New Roman" w:hAnsi="Times New Roman" w:cs="Times New Roman"/>
          <w:i/>
          <w:color w:val="000000" w:themeColor="text1"/>
        </w:rPr>
        <w:t>/Régional</w:t>
      </w:r>
      <w:r w:rsidR="00093AA4" w:rsidRPr="00BC7BB5">
        <w:rPr>
          <w:rFonts w:ascii="Times New Roman" w:hAnsi="Times New Roman" w:cs="Times New Roman"/>
          <w:color w:val="000000" w:themeColor="text1"/>
        </w:rPr>
        <w:t>, SDL</w:t>
      </w:r>
      <w:r w:rsidR="004C4719">
        <w:rPr>
          <w:rFonts w:ascii="Times New Roman" w:hAnsi="Times New Roman" w:cs="Times New Roman"/>
          <w:color w:val="000000" w:themeColor="text1"/>
        </w:rPr>
        <w:t>/SDR</w:t>
      </w:r>
      <w:r w:rsidR="00093AA4" w:rsidRPr="00BC7BB5">
        <w:rPr>
          <w:rFonts w:ascii="Times New Roman" w:hAnsi="Times New Roman" w:cs="Times New Roman"/>
          <w:color w:val="000000" w:themeColor="text1"/>
        </w:rPr>
        <w:t xml:space="preserve">) that will </w:t>
      </w:r>
      <w:r w:rsidR="007816AE" w:rsidRPr="00BC7BB5">
        <w:rPr>
          <w:rFonts w:ascii="Times New Roman" w:hAnsi="Times New Roman" w:cs="Times New Roman"/>
          <w:color w:val="000000" w:themeColor="text1"/>
        </w:rPr>
        <w:t xml:space="preserve">be created to </w:t>
      </w:r>
      <w:r w:rsidR="00093AA4" w:rsidRPr="00BC7BB5">
        <w:rPr>
          <w:rFonts w:ascii="Times New Roman" w:hAnsi="Times New Roman" w:cs="Times New Roman"/>
          <w:color w:val="000000" w:themeColor="text1"/>
        </w:rPr>
        <w:t>oversee the manageme</w:t>
      </w:r>
      <w:r w:rsidR="007816AE" w:rsidRPr="00BC7BB5">
        <w:rPr>
          <w:rFonts w:ascii="Times New Roman" w:hAnsi="Times New Roman" w:cs="Times New Roman"/>
          <w:color w:val="000000" w:themeColor="text1"/>
        </w:rPr>
        <w:t>nt of the wholesale market</w:t>
      </w:r>
      <w:r w:rsidR="00093AA4" w:rsidRPr="00BC7BB5">
        <w:rPr>
          <w:rFonts w:ascii="Times New Roman" w:hAnsi="Times New Roman" w:cs="Times New Roman"/>
          <w:color w:val="000000" w:themeColor="text1"/>
        </w:rPr>
        <w:t xml:space="preserve">. It is expected that the </w:t>
      </w:r>
      <w:r w:rsidR="00A470BF">
        <w:rPr>
          <w:rFonts w:ascii="Times New Roman" w:hAnsi="Times New Roman" w:cs="Times New Roman"/>
          <w:color w:val="000000" w:themeColor="text1"/>
        </w:rPr>
        <w:t>whole</w:t>
      </w:r>
      <w:r w:rsidR="00274211">
        <w:rPr>
          <w:rFonts w:ascii="Times New Roman" w:hAnsi="Times New Roman" w:cs="Times New Roman"/>
          <w:color w:val="000000" w:themeColor="text1"/>
        </w:rPr>
        <w:t xml:space="preserve">sale </w:t>
      </w:r>
      <w:r w:rsidR="00093AA4" w:rsidRPr="00BC7BB5">
        <w:rPr>
          <w:rFonts w:ascii="Times New Roman" w:hAnsi="Times New Roman" w:cs="Times New Roman"/>
          <w:color w:val="000000" w:themeColor="text1"/>
        </w:rPr>
        <w:t>market would be built</w:t>
      </w:r>
      <w:r w:rsidR="006B1EE7" w:rsidRPr="00BC7BB5">
        <w:rPr>
          <w:rFonts w:ascii="Times New Roman" w:hAnsi="Times New Roman" w:cs="Times New Roman"/>
          <w:color w:val="000000" w:themeColor="text1"/>
        </w:rPr>
        <w:t>,</w:t>
      </w:r>
      <w:r w:rsidR="00093AA4" w:rsidRPr="00BC7BB5">
        <w:rPr>
          <w:rFonts w:ascii="Times New Roman" w:hAnsi="Times New Roman" w:cs="Times New Roman"/>
          <w:color w:val="000000" w:themeColor="text1"/>
        </w:rPr>
        <w:t xml:space="preserve"> within two years of the signature of the </w:t>
      </w:r>
      <w:r w:rsidR="00274211" w:rsidRPr="00A050C1">
        <w:rPr>
          <w:rFonts w:ascii="Times New Roman" w:hAnsi="Times New Roman" w:cs="Times New Roman"/>
          <w:i/>
          <w:color w:val="000000" w:themeColor="text1"/>
        </w:rPr>
        <w:t>C</w:t>
      </w:r>
      <w:r w:rsidR="00093AA4" w:rsidRPr="00A050C1">
        <w:rPr>
          <w:rFonts w:ascii="Times New Roman" w:hAnsi="Times New Roman" w:cs="Times New Roman"/>
          <w:i/>
          <w:color w:val="000000" w:themeColor="text1"/>
        </w:rPr>
        <w:t>onvention</w:t>
      </w:r>
      <w:r w:rsidR="00274211" w:rsidRPr="00A050C1">
        <w:rPr>
          <w:rFonts w:ascii="Times New Roman" w:hAnsi="Times New Roman" w:cs="Times New Roman"/>
          <w:i/>
          <w:color w:val="000000" w:themeColor="text1"/>
        </w:rPr>
        <w:t xml:space="preserve"> de Partenariat</w:t>
      </w:r>
      <w:r w:rsidR="006B1EE7" w:rsidRPr="00BC7BB5">
        <w:rPr>
          <w:rFonts w:ascii="Times New Roman" w:hAnsi="Times New Roman" w:cs="Times New Roman"/>
          <w:color w:val="000000" w:themeColor="text1"/>
        </w:rPr>
        <w:t>,</w:t>
      </w:r>
      <w:r w:rsidR="00093AA4" w:rsidRPr="00BC7BB5">
        <w:rPr>
          <w:rFonts w:ascii="Times New Roman" w:hAnsi="Times New Roman" w:cs="Times New Roman"/>
          <w:color w:val="000000" w:themeColor="text1"/>
        </w:rPr>
        <w:t xml:space="preserve"> </w:t>
      </w:r>
      <w:r w:rsidR="00087658">
        <w:rPr>
          <w:rFonts w:ascii="Times New Roman" w:hAnsi="Times New Roman" w:cs="Times New Roman"/>
          <w:color w:val="000000" w:themeColor="text1"/>
        </w:rPr>
        <w:t>under the oversight of</w:t>
      </w:r>
      <w:r w:rsidR="00093AA4" w:rsidRPr="00BC7BB5">
        <w:rPr>
          <w:rFonts w:ascii="Times New Roman" w:hAnsi="Times New Roman" w:cs="Times New Roman"/>
          <w:color w:val="000000" w:themeColor="text1"/>
        </w:rPr>
        <w:t xml:space="preserve"> </w:t>
      </w:r>
      <w:r w:rsidR="00093AA4" w:rsidRPr="00BC7BB5">
        <w:rPr>
          <w:rFonts w:ascii="Times New Roman" w:hAnsi="Times New Roman" w:cs="Times New Roman"/>
          <w:i/>
          <w:color w:val="000000" w:themeColor="text1"/>
        </w:rPr>
        <w:t xml:space="preserve">Rabat </w:t>
      </w:r>
      <w:r w:rsidR="00A470BF">
        <w:rPr>
          <w:rFonts w:ascii="Times New Roman" w:hAnsi="Times New Roman" w:cs="Times New Roman"/>
          <w:i/>
          <w:color w:val="000000" w:themeColor="text1"/>
        </w:rPr>
        <w:t>Région Aménagement</w:t>
      </w:r>
      <w:r w:rsidR="00093AA4" w:rsidRPr="00BC7BB5">
        <w:rPr>
          <w:rFonts w:ascii="Times New Roman" w:hAnsi="Times New Roman" w:cs="Times New Roman"/>
          <w:color w:val="000000" w:themeColor="text1"/>
        </w:rPr>
        <w:t>, after which management responsibilities would be transferred to the SDL</w:t>
      </w:r>
      <w:r w:rsidR="004C4719">
        <w:rPr>
          <w:rFonts w:ascii="Times New Roman" w:hAnsi="Times New Roman" w:cs="Times New Roman"/>
          <w:color w:val="000000" w:themeColor="text1"/>
        </w:rPr>
        <w:t>/SDR</w:t>
      </w:r>
      <w:r w:rsidR="00093AA4" w:rsidRPr="00BC7BB5">
        <w:rPr>
          <w:rFonts w:ascii="Times New Roman" w:hAnsi="Times New Roman" w:cs="Times New Roman"/>
          <w:color w:val="000000" w:themeColor="text1"/>
        </w:rPr>
        <w:t xml:space="preserve"> and its management team. </w:t>
      </w:r>
      <w:r w:rsidRPr="00BC7BB5">
        <w:rPr>
          <w:rFonts w:ascii="Times New Roman" w:hAnsi="Times New Roman" w:cs="Times New Roman"/>
        </w:rPr>
        <w:t xml:space="preserve">Due to its links to a major and rapidly growing consumption center, the creation of a modern wholesale market in </w:t>
      </w:r>
      <w:r w:rsidR="004C4719">
        <w:rPr>
          <w:rFonts w:ascii="Times New Roman" w:hAnsi="Times New Roman" w:cs="Times New Roman"/>
        </w:rPr>
        <w:t xml:space="preserve">the </w:t>
      </w:r>
      <w:r w:rsidRPr="00BC7BB5">
        <w:rPr>
          <w:rFonts w:ascii="Times New Roman" w:hAnsi="Times New Roman" w:cs="Times New Roman"/>
        </w:rPr>
        <w:t>Rabat</w:t>
      </w:r>
      <w:r w:rsidR="00A470BF">
        <w:rPr>
          <w:rFonts w:ascii="Times New Roman" w:hAnsi="Times New Roman" w:cs="Times New Roman"/>
        </w:rPr>
        <w:t>-Salé-Kénitra</w:t>
      </w:r>
      <w:r w:rsidRPr="00BC7BB5">
        <w:rPr>
          <w:rFonts w:ascii="Times New Roman" w:hAnsi="Times New Roman" w:cs="Times New Roman"/>
        </w:rPr>
        <w:t xml:space="preserve"> </w:t>
      </w:r>
      <w:r w:rsidR="004C4719">
        <w:rPr>
          <w:rFonts w:ascii="Times New Roman" w:hAnsi="Times New Roman" w:cs="Times New Roman"/>
        </w:rPr>
        <w:t xml:space="preserve">region </w:t>
      </w:r>
      <w:r w:rsidRPr="00BC7BB5">
        <w:rPr>
          <w:rFonts w:ascii="Times New Roman" w:hAnsi="Times New Roman" w:cs="Times New Roman"/>
        </w:rPr>
        <w:t xml:space="preserve">could have a structuring effect on fruit and vegetable value chains in </w:t>
      </w:r>
      <w:r w:rsidR="00610BA5" w:rsidRPr="00BC7BB5">
        <w:rPr>
          <w:rFonts w:ascii="Times New Roman" w:hAnsi="Times New Roman" w:cs="Times New Roman"/>
        </w:rPr>
        <w:t>the region</w:t>
      </w:r>
      <w:r w:rsidRPr="00BC7BB5">
        <w:rPr>
          <w:rFonts w:ascii="Times New Roman" w:hAnsi="Times New Roman" w:cs="Times New Roman"/>
        </w:rPr>
        <w:t>, while its demonstration effect could accelerate the modernization of the broader network of wholesale markets in Morocco</w:t>
      </w:r>
      <w:r w:rsidR="00093AA4" w:rsidRPr="00BC7BB5">
        <w:rPr>
          <w:rFonts w:ascii="Times New Roman" w:hAnsi="Times New Roman" w:cs="Times New Roman"/>
          <w:color w:val="000000" w:themeColor="text1"/>
        </w:rPr>
        <w:t>. Th</w:t>
      </w:r>
      <w:r w:rsidR="00A470BF">
        <w:rPr>
          <w:rFonts w:ascii="Times New Roman" w:hAnsi="Times New Roman" w:cs="Times New Roman"/>
          <w:color w:val="000000" w:themeColor="text1"/>
        </w:rPr>
        <w:t>e implementation of tho</w:t>
      </w:r>
      <w:r w:rsidR="00093AA4" w:rsidRPr="00BC7BB5">
        <w:rPr>
          <w:rFonts w:ascii="Times New Roman" w:hAnsi="Times New Roman" w:cs="Times New Roman"/>
          <w:color w:val="000000" w:themeColor="text1"/>
        </w:rPr>
        <w:t>se activities would be overseen by the DDFP.</w:t>
      </w:r>
    </w:p>
    <w:p w14:paraId="7E8B6B12" w14:textId="77777777" w:rsidR="00093AA4" w:rsidRPr="00BC7BB5" w:rsidRDefault="00093AA4" w:rsidP="00093AA4">
      <w:pPr>
        <w:spacing w:after="0" w:line="240" w:lineRule="auto"/>
        <w:jc w:val="both"/>
        <w:rPr>
          <w:rFonts w:ascii="Times New Roman" w:hAnsi="Times New Roman" w:cs="Times New Roman"/>
          <w:color w:val="000000" w:themeColor="text1"/>
        </w:rPr>
      </w:pPr>
    </w:p>
    <w:p w14:paraId="45978E98" w14:textId="40156D73" w:rsidR="00093AA4" w:rsidRPr="00BC7BB5" w:rsidRDefault="00093AA4" w:rsidP="00F561E8">
      <w:pPr>
        <w:pStyle w:val="ListParagraph"/>
        <w:numPr>
          <w:ilvl w:val="0"/>
          <w:numId w:val="26"/>
        </w:numPr>
        <w:spacing w:after="0" w:line="240" w:lineRule="auto"/>
        <w:ind w:left="0" w:firstLine="0"/>
        <w:jc w:val="both"/>
        <w:rPr>
          <w:rFonts w:ascii="Times New Roman" w:hAnsi="Times New Roman" w:cs="Times New Roman"/>
          <w:color w:val="000000" w:themeColor="text1"/>
        </w:rPr>
      </w:pPr>
      <w:r w:rsidRPr="00BC7BB5">
        <w:rPr>
          <w:rFonts w:ascii="Times New Roman" w:hAnsi="Times New Roman" w:cs="Times New Roman"/>
          <w:b/>
          <w:color w:val="000000" w:themeColor="text1"/>
        </w:rPr>
        <w:t xml:space="preserve">Improving access to information </w:t>
      </w:r>
      <w:r w:rsidRPr="00BC7BB5">
        <w:rPr>
          <w:rFonts w:ascii="Times New Roman" w:hAnsi="Times New Roman" w:cs="Times New Roman"/>
          <w:color w:val="000000" w:themeColor="text1"/>
        </w:rPr>
        <w:t>(1.4).</w:t>
      </w:r>
      <w:r w:rsidRPr="00BC7BB5">
        <w:rPr>
          <w:rFonts w:ascii="Times New Roman" w:hAnsi="Times New Roman" w:cs="Times New Roman"/>
          <w:b/>
          <w:color w:val="000000" w:themeColor="text1"/>
        </w:rPr>
        <w:t xml:space="preserve"> </w:t>
      </w:r>
      <w:r w:rsidRPr="00BC7BB5">
        <w:rPr>
          <w:rFonts w:ascii="Times New Roman" w:hAnsi="Times New Roman" w:cs="Times New Roman"/>
          <w:color w:val="000000" w:themeColor="text1"/>
        </w:rPr>
        <w:t>Improved market information tends to reduce the risks and lower the transaction costs of farmers and other actors participating in agri-food value c</w:t>
      </w:r>
      <w:r w:rsidR="00A470BF">
        <w:rPr>
          <w:rFonts w:ascii="Times New Roman" w:hAnsi="Times New Roman" w:cs="Times New Roman"/>
          <w:color w:val="000000" w:themeColor="text1"/>
        </w:rPr>
        <w:t xml:space="preserve">hains. The </w:t>
      </w:r>
      <w:r w:rsidRPr="00BC7BB5">
        <w:rPr>
          <w:rFonts w:ascii="Times New Roman" w:hAnsi="Times New Roman" w:cs="Times New Roman"/>
          <w:color w:val="000000" w:themeColor="text1"/>
        </w:rPr>
        <w:t>Program would strengthen the dissemination of information regarding domestic agricultural markets (e.g. price, location of points of sale, etc.) to producers and other operators. The Program would support the modernization of MAPM</w:t>
      </w:r>
      <w:r w:rsidR="00610BA5" w:rsidRPr="00BC7BB5">
        <w:rPr>
          <w:rFonts w:ascii="Times New Roman" w:hAnsi="Times New Roman" w:cs="Times New Roman"/>
          <w:color w:val="000000" w:themeColor="text1"/>
        </w:rPr>
        <w:t>DREF</w:t>
      </w:r>
      <w:r w:rsidRPr="00BC7BB5">
        <w:rPr>
          <w:rFonts w:ascii="Times New Roman" w:hAnsi="Times New Roman" w:cs="Times New Roman"/>
          <w:color w:val="000000" w:themeColor="text1"/>
        </w:rPr>
        <w:t xml:space="preserve">’s existing </w:t>
      </w:r>
      <w:r w:rsidRPr="00BC7BB5">
        <w:rPr>
          <w:rFonts w:ascii="Times New Roman" w:hAnsi="Times New Roman" w:cs="Times New Roman"/>
          <w:i/>
          <w:color w:val="000000" w:themeColor="text1"/>
        </w:rPr>
        <w:t>Asaar</w:t>
      </w:r>
      <w:r w:rsidRPr="00BC7BB5">
        <w:rPr>
          <w:rFonts w:ascii="Times New Roman" w:hAnsi="Times New Roman" w:cs="Times New Roman"/>
          <w:color w:val="000000" w:themeColor="text1"/>
        </w:rPr>
        <w:t xml:space="preserve"> market information platform, the strengthening of the market</w:t>
      </w:r>
      <w:r w:rsidR="004C4719">
        <w:rPr>
          <w:rFonts w:ascii="Times New Roman" w:hAnsi="Times New Roman" w:cs="Times New Roman"/>
          <w:color w:val="000000" w:themeColor="text1"/>
        </w:rPr>
        <w:t xml:space="preserve"> price</w:t>
      </w:r>
      <w:r w:rsidRPr="00BC7BB5">
        <w:rPr>
          <w:rFonts w:ascii="Times New Roman" w:hAnsi="Times New Roman" w:cs="Times New Roman"/>
          <w:color w:val="000000" w:themeColor="text1"/>
        </w:rPr>
        <w:t xml:space="preserve"> information and analysis division in Casablanca, as well as the </w:t>
      </w:r>
      <w:r w:rsidR="00536706">
        <w:rPr>
          <w:rFonts w:ascii="Times New Roman" w:hAnsi="Times New Roman" w:cs="Times New Roman"/>
          <w:color w:val="000000" w:themeColor="text1"/>
        </w:rPr>
        <w:t>development</w:t>
      </w:r>
      <w:r w:rsidRPr="00BC7BB5">
        <w:rPr>
          <w:rFonts w:ascii="Times New Roman" w:hAnsi="Times New Roman" w:cs="Times New Roman"/>
          <w:color w:val="000000" w:themeColor="text1"/>
        </w:rPr>
        <w:t xml:space="preserve"> of new ICT tools (mobile apps, SMS, etc.) in the platform to reach up to 200,000 users</w:t>
      </w:r>
      <w:r w:rsidR="00536706">
        <w:rPr>
          <w:rFonts w:ascii="Times New Roman" w:hAnsi="Times New Roman" w:cs="Times New Roman"/>
          <w:color w:val="000000" w:themeColor="text1"/>
        </w:rPr>
        <w:t xml:space="preserve"> (producers and enterprises)</w:t>
      </w:r>
      <w:r w:rsidRPr="00BC7BB5">
        <w:rPr>
          <w:rFonts w:ascii="Times New Roman" w:hAnsi="Times New Roman" w:cs="Times New Roman"/>
          <w:color w:val="000000" w:themeColor="text1"/>
        </w:rPr>
        <w:t xml:space="preserve">. </w:t>
      </w:r>
      <w:r w:rsidR="007816AE" w:rsidRPr="00BC7BB5">
        <w:rPr>
          <w:rFonts w:ascii="Times New Roman" w:hAnsi="Times New Roman" w:cs="Times New Roman"/>
          <w:color w:val="000000" w:themeColor="text1"/>
        </w:rPr>
        <w:t>The implementation of tho</w:t>
      </w:r>
      <w:r w:rsidRPr="00BC7BB5">
        <w:rPr>
          <w:rFonts w:ascii="Times New Roman" w:hAnsi="Times New Roman" w:cs="Times New Roman"/>
          <w:color w:val="000000" w:themeColor="text1"/>
        </w:rPr>
        <w:t xml:space="preserve">se activities would be led by the </w:t>
      </w:r>
      <w:r w:rsidRPr="00BC7BB5">
        <w:rPr>
          <w:rFonts w:ascii="Times New Roman" w:hAnsi="Times New Roman" w:cs="Times New Roman"/>
          <w:i/>
          <w:color w:val="000000" w:themeColor="text1"/>
        </w:rPr>
        <w:t>Département de la Stratégie et des Statistiques</w:t>
      </w:r>
      <w:r w:rsidR="00610BA5" w:rsidRPr="00BC7BB5">
        <w:rPr>
          <w:rFonts w:ascii="Times New Roman" w:hAnsi="Times New Roman" w:cs="Times New Roman"/>
          <w:i/>
          <w:color w:val="000000" w:themeColor="text1"/>
        </w:rPr>
        <w:t xml:space="preserve"> - DSS</w:t>
      </w:r>
      <w:r w:rsidRPr="00BC7BB5">
        <w:rPr>
          <w:rFonts w:ascii="Times New Roman" w:hAnsi="Times New Roman" w:cs="Times New Roman"/>
          <w:color w:val="000000" w:themeColor="text1"/>
        </w:rPr>
        <w:t xml:space="preserve"> (Department of Strategy and Statistics) of MAPM</w:t>
      </w:r>
      <w:r w:rsidR="00610BA5" w:rsidRPr="00BC7BB5">
        <w:rPr>
          <w:rFonts w:ascii="Times New Roman" w:hAnsi="Times New Roman" w:cs="Times New Roman"/>
          <w:color w:val="000000" w:themeColor="text1"/>
        </w:rPr>
        <w:t>DREF</w:t>
      </w:r>
      <w:r w:rsidRPr="00BC7BB5">
        <w:rPr>
          <w:rFonts w:ascii="Times New Roman" w:hAnsi="Times New Roman" w:cs="Times New Roman"/>
          <w:color w:val="000000" w:themeColor="text1"/>
        </w:rPr>
        <w:t>.</w:t>
      </w:r>
    </w:p>
    <w:p w14:paraId="62463D33" w14:textId="77777777" w:rsidR="00093AA4" w:rsidRPr="00BC7BB5" w:rsidRDefault="00093AA4" w:rsidP="00093AA4">
      <w:pPr>
        <w:spacing w:after="0" w:line="240" w:lineRule="auto"/>
        <w:jc w:val="both"/>
        <w:rPr>
          <w:rFonts w:ascii="Times New Roman" w:hAnsi="Times New Roman" w:cs="Times New Roman"/>
          <w:b/>
          <w:color w:val="000000" w:themeColor="text1"/>
        </w:rPr>
      </w:pPr>
    </w:p>
    <w:p w14:paraId="3BA6C184" w14:textId="3F8B0D8E" w:rsidR="00093AA4" w:rsidRPr="00BC7BB5" w:rsidRDefault="00093AA4" w:rsidP="00093AA4">
      <w:pPr>
        <w:jc w:val="both"/>
        <w:rPr>
          <w:rFonts w:ascii="Times New Roman" w:hAnsi="Times New Roman" w:cs="Times New Roman"/>
          <w:b/>
          <w:color w:val="000000" w:themeColor="text1"/>
        </w:rPr>
      </w:pPr>
      <w:r w:rsidRPr="00BC7BB5">
        <w:rPr>
          <w:rFonts w:ascii="Times New Roman" w:hAnsi="Times New Roman" w:cs="Times New Roman"/>
          <w:b/>
          <w:color w:val="000000" w:themeColor="text1"/>
        </w:rPr>
        <w:t xml:space="preserve">Result Area 2 – </w:t>
      </w:r>
      <w:r w:rsidR="006B1EE7" w:rsidRPr="00BC7BB5">
        <w:rPr>
          <w:rFonts w:ascii="Times New Roman" w:hAnsi="Times New Roman" w:cs="Times New Roman"/>
          <w:b/>
          <w:color w:val="000000" w:themeColor="text1"/>
        </w:rPr>
        <w:t>Improved</w:t>
      </w:r>
      <w:r w:rsidR="007816AE" w:rsidRPr="00BC7BB5">
        <w:rPr>
          <w:rFonts w:ascii="Times New Roman" w:hAnsi="Times New Roman" w:cs="Times New Roman"/>
          <w:b/>
          <w:color w:val="000000" w:themeColor="text1"/>
        </w:rPr>
        <w:t xml:space="preserve"> added-value of</w:t>
      </w:r>
      <w:r w:rsidR="00610BA5" w:rsidRPr="00BC7BB5">
        <w:rPr>
          <w:rFonts w:ascii="Times New Roman" w:hAnsi="Times New Roman" w:cs="Times New Roman"/>
          <w:b/>
          <w:color w:val="000000" w:themeColor="text1"/>
        </w:rPr>
        <w:t xml:space="preserve"> agri-food products</w:t>
      </w:r>
    </w:p>
    <w:p w14:paraId="4A639789" w14:textId="153BA04A" w:rsidR="00F30200" w:rsidRPr="00BC7BB5" w:rsidRDefault="00093AA4" w:rsidP="00F561E8">
      <w:pPr>
        <w:pStyle w:val="ListParagraph"/>
        <w:numPr>
          <w:ilvl w:val="0"/>
          <w:numId w:val="26"/>
        </w:numPr>
        <w:spacing w:after="0" w:line="240" w:lineRule="auto"/>
        <w:ind w:left="0" w:firstLine="0"/>
        <w:jc w:val="both"/>
        <w:rPr>
          <w:rFonts w:ascii="Times New Roman" w:hAnsi="Times New Roman" w:cs="Times New Roman"/>
        </w:rPr>
      </w:pPr>
      <w:r w:rsidRPr="00BC7BB5">
        <w:rPr>
          <w:rFonts w:ascii="Times New Roman" w:hAnsi="Times New Roman" w:cs="Times New Roman"/>
          <w:b/>
          <w:color w:val="000000" w:themeColor="text1"/>
        </w:rPr>
        <w:t xml:space="preserve">Result area 2 aims at improving </w:t>
      </w:r>
      <w:r w:rsidR="00A470BF">
        <w:rPr>
          <w:rFonts w:ascii="Times New Roman" w:hAnsi="Times New Roman" w:cs="Times New Roman"/>
          <w:b/>
          <w:color w:val="000000" w:themeColor="text1"/>
        </w:rPr>
        <w:t>the added-</w:t>
      </w:r>
      <w:r w:rsidR="00020801" w:rsidRPr="00BC7BB5">
        <w:rPr>
          <w:rFonts w:ascii="Times New Roman" w:hAnsi="Times New Roman" w:cs="Times New Roman"/>
          <w:b/>
          <w:color w:val="000000" w:themeColor="text1"/>
        </w:rPr>
        <w:t>value of agri-food products</w:t>
      </w:r>
      <w:r w:rsidR="00020801" w:rsidRPr="00BC7BB5">
        <w:rPr>
          <w:rFonts w:ascii="Times New Roman" w:hAnsi="Times New Roman" w:cs="Times New Roman"/>
          <w:color w:val="000000" w:themeColor="text1"/>
        </w:rPr>
        <w:t>, including food quality</w:t>
      </w:r>
      <w:r w:rsidR="00274211">
        <w:rPr>
          <w:rFonts w:ascii="Times New Roman" w:hAnsi="Times New Roman" w:cs="Times New Roman"/>
          <w:color w:val="000000" w:themeColor="text1"/>
        </w:rPr>
        <w:t>,</w:t>
      </w:r>
      <w:r w:rsidR="00020801" w:rsidRPr="00BC7BB5">
        <w:rPr>
          <w:rFonts w:ascii="Times New Roman" w:hAnsi="Times New Roman" w:cs="Times New Roman"/>
          <w:color w:val="000000" w:themeColor="text1"/>
        </w:rPr>
        <w:t xml:space="preserve"> food safety</w:t>
      </w:r>
      <w:r w:rsidR="00274211">
        <w:rPr>
          <w:rFonts w:ascii="Times New Roman" w:hAnsi="Times New Roman" w:cs="Times New Roman"/>
          <w:color w:val="000000" w:themeColor="text1"/>
        </w:rPr>
        <w:t>,</w:t>
      </w:r>
      <w:r w:rsidR="00020801" w:rsidRPr="00BC7BB5">
        <w:rPr>
          <w:rFonts w:ascii="Times New Roman" w:hAnsi="Times New Roman" w:cs="Times New Roman"/>
          <w:color w:val="000000" w:themeColor="text1"/>
        </w:rPr>
        <w:t xml:space="preserve"> and sanitary and phytosanitary aspects which have been identified as key constraints for operators in the agri-food sector to meet market demand and to access new market opportunity both domestically and for exports</w:t>
      </w:r>
      <w:r w:rsidRPr="00BC7BB5">
        <w:rPr>
          <w:rFonts w:ascii="Times New Roman" w:hAnsi="Times New Roman" w:cs="Times New Roman"/>
          <w:color w:val="000000" w:themeColor="text1"/>
        </w:rPr>
        <w:t xml:space="preserve">. </w:t>
      </w:r>
      <w:r w:rsidR="006B5127" w:rsidRPr="00BC7BB5">
        <w:rPr>
          <w:rFonts w:ascii="Times New Roman" w:hAnsi="Times New Roman" w:cs="Times New Roman"/>
          <w:color w:val="000000" w:themeColor="text1"/>
        </w:rPr>
        <w:t>The Program would</w:t>
      </w:r>
      <w:r w:rsidR="007037B4" w:rsidRPr="00BC7BB5">
        <w:rPr>
          <w:rFonts w:ascii="Times New Roman" w:hAnsi="Times New Roman" w:cs="Times New Roman"/>
          <w:color w:val="000000" w:themeColor="text1"/>
        </w:rPr>
        <w:t xml:space="preserve"> work </w:t>
      </w:r>
      <w:r w:rsidR="006B5127" w:rsidRPr="00BC7BB5">
        <w:rPr>
          <w:rFonts w:ascii="Times New Roman" w:hAnsi="Times New Roman" w:cs="Times New Roman"/>
          <w:color w:val="000000" w:themeColor="text1"/>
        </w:rPr>
        <w:t xml:space="preserve">both </w:t>
      </w:r>
      <w:r w:rsidR="007037B4" w:rsidRPr="00BC7BB5">
        <w:rPr>
          <w:rFonts w:ascii="Times New Roman" w:hAnsi="Times New Roman" w:cs="Times New Roman"/>
          <w:color w:val="000000" w:themeColor="text1"/>
        </w:rPr>
        <w:t>on the demand</w:t>
      </w:r>
      <w:r w:rsidR="00274211">
        <w:rPr>
          <w:rFonts w:ascii="Times New Roman" w:hAnsi="Times New Roman" w:cs="Times New Roman"/>
          <w:color w:val="000000" w:themeColor="text1"/>
        </w:rPr>
        <w:t xml:space="preserve"> </w:t>
      </w:r>
      <w:r w:rsidR="007037B4" w:rsidRPr="00BC7BB5">
        <w:rPr>
          <w:rFonts w:ascii="Times New Roman" w:hAnsi="Times New Roman" w:cs="Times New Roman"/>
          <w:color w:val="000000" w:themeColor="text1"/>
        </w:rPr>
        <w:t>side (increasing Moroccan consumers’ awareness of and shifting demand towards higher quality and safer products) and on the supply side (compliance of producers and processers with food quality standards).</w:t>
      </w:r>
      <w:r w:rsidR="004D584D" w:rsidRPr="00BC7BB5">
        <w:rPr>
          <w:rFonts w:ascii="Times New Roman" w:hAnsi="Times New Roman" w:cs="Times New Roman"/>
          <w:color w:val="000000" w:themeColor="text1"/>
        </w:rPr>
        <w:t xml:space="preserve"> </w:t>
      </w:r>
      <w:r w:rsidR="00F30200" w:rsidRPr="00BC7BB5">
        <w:rPr>
          <w:rFonts w:ascii="Times New Roman" w:hAnsi="Times New Roman" w:cs="Times New Roman"/>
          <w:color w:val="000000" w:themeColor="text1"/>
        </w:rPr>
        <w:t>Result area 2 also aims at improving producers and agribusiness SMEs’ capacity to add</w:t>
      </w:r>
      <w:r w:rsidR="00274211">
        <w:rPr>
          <w:rFonts w:ascii="Times New Roman" w:hAnsi="Times New Roman" w:cs="Times New Roman"/>
          <w:color w:val="000000" w:themeColor="text1"/>
        </w:rPr>
        <w:t xml:space="preserve"> </w:t>
      </w:r>
      <w:r w:rsidR="00F30200" w:rsidRPr="00BC7BB5">
        <w:rPr>
          <w:rFonts w:ascii="Times New Roman" w:hAnsi="Times New Roman" w:cs="Times New Roman"/>
          <w:color w:val="000000" w:themeColor="text1"/>
        </w:rPr>
        <w:t>value to their products by increasing their capacity for innovation and their access to marketing and distribution networks, through access to business development services, technical support services and training, and financing for innovation</w:t>
      </w:r>
      <w:r w:rsidR="007037B4" w:rsidRPr="00BC7BB5">
        <w:rPr>
          <w:rStyle w:val="FootnoteReference"/>
          <w:rFonts w:ascii="Times New Roman" w:hAnsi="Times New Roman" w:cs="Times New Roman"/>
          <w:color w:val="000000" w:themeColor="text1"/>
        </w:rPr>
        <w:footnoteReference w:id="21"/>
      </w:r>
      <w:r w:rsidR="00F30200" w:rsidRPr="00BC7BB5">
        <w:rPr>
          <w:rFonts w:ascii="Times New Roman" w:hAnsi="Times New Roman" w:cs="Times New Roman"/>
          <w:color w:val="000000" w:themeColor="text1"/>
        </w:rPr>
        <w:t>. Four sub-programs would be included: (a) improving food safety, (b) promoting quality standards and certification systems, (c)</w:t>
      </w:r>
      <w:r w:rsidR="00F30200" w:rsidRPr="00BC7BB5">
        <w:rPr>
          <w:rFonts w:ascii="Times New Roman" w:hAnsi="Times New Roman" w:cs="Times New Roman"/>
          <w:bCs/>
          <w:color w:val="000000" w:themeColor="text1"/>
        </w:rPr>
        <w:t xml:space="preserve"> strengthening business development and technical support services, and (d) financing innovation</w:t>
      </w:r>
      <w:r w:rsidR="00F30200" w:rsidRPr="00BC7BB5">
        <w:rPr>
          <w:rFonts w:ascii="Times New Roman" w:hAnsi="Times New Roman" w:cs="Times New Roman"/>
          <w:color w:val="000000" w:themeColor="text1"/>
        </w:rPr>
        <w:t xml:space="preserve">. </w:t>
      </w:r>
      <w:r w:rsidR="00F30200" w:rsidRPr="00BC7BB5">
        <w:rPr>
          <w:rFonts w:ascii="Times New Roman" w:hAnsi="Times New Roman" w:cs="Times New Roman"/>
          <w:color w:val="231F20"/>
        </w:rPr>
        <w:t xml:space="preserve">Considering the vulnerability of Morocco to climate change and water scarcity, this </w:t>
      </w:r>
      <w:r w:rsidR="007037B4" w:rsidRPr="00BC7BB5">
        <w:rPr>
          <w:rFonts w:ascii="Times New Roman" w:hAnsi="Times New Roman" w:cs="Times New Roman"/>
          <w:color w:val="231F20"/>
        </w:rPr>
        <w:t xml:space="preserve">result </w:t>
      </w:r>
      <w:r w:rsidR="00F30200" w:rsidRPr="00BC7BB5">
        <w:rPr>
          <w:rFonts w:ascii="Times New Roman" w:hAnsi="Times New Roman" w:cs="Times New Roman"/>
          <w:color w:val="231F20"/>
        </w:rPr>
        <w:t>area will also support the adoption of climate smart technologies</w:t>
      </w:r>
      <w:r w:rsidR="007816AE" w:rsidRPr="00BC7BB5">
        <w:rPr>
          <w:rFonts w:ascii="Times New Roman" w:hAnsi="Times New Roman" w:cs="Times New Roman"/>
          <w:color w:val="231F20"/>
        </w:rPr>
        <w:t xml:space="preserve"> at all levels of the value chain</w:t>
      </w:r>
      <w:r w:rsidR="007037B4" w:rsidRPr="00BC7BB5">
        <w:rPr>
          <w:rFonts w:ascii="Times New Roman" w:hAnsi="Times New Roman" w:cs="Times New Roman"/>
          <w:color w:val="231F20"/>
        </w:rPr>
        <w:t>.</w:t>
      </w:r>
      <w:r w:rsidRPr="00BC7BB5">
        <w:rPr>
          <w:rFonts w:ascii="Times New Roman" w:hAnsi="Times New Roman" w:cs="Times New Roman"/>
          <w:color w:val="000000" w:themeColor="text1"/>
        </w:rPr>
        <w:t xml:space="preserve">  </w:t>
      </w:r>
    </w:p>
    <w:p w14:paraId="405EB785" w14:textId="77777777" w:rsidR="00093AA4" w:rsidRPr="00BC7BB5" w:rsidRDefault="00093AA4" w:rsidP="00093AA4">
      <w:pPr>
        <w:spacing w:after="0" w:line="240" w:lineRule="auto"/>
        <w:jc w:val="both"/>
        <w:rPr>
          <w:rFonts w:ascii="Times New Roman" w:hAnsi="Times New Roman" w:cs="Times New Roman"/>
          <w:color w:val="000000" w:themeColor="text1"/>
        </w:rPr>
      </w:pPr>
    </w:p>
    <w:p w14:paraId="0CB34734" w14:textId="517AB1D3" w:rsidR="00093AA4" w:rsidRPr="00BC7BB5" w:rsidRDefault="00093AA4" w:rsidP="00F561E8">
      <w:pPr>
        <w:pStyle w:val="ListParagraph"/>
        <w:numPr>
          <w:ilvl w:val="0"/>
          <w:numId w:val="26"/>
        </w:numPr>
        <w:spacing w:after="0" w:line="240" w:lineRule="auto"/>
        <w:ind w:left="0" w:firstLine="0"/>
        <w:jc w:val="both"/>
        <w:rPr>
          <w:rFonts w:ascii="Times New Roman" w:hAnsi="Times New Roman" w:cs="Times New Roman"/>
          <w:color w:val="000000" w:themeColor="text1"/>
        </w:rPr>
      </w:pPr>
      <w:r w:rsidRPr="00BC7BB5">
        <w:rPr>
          <w:rFonts w:ascii="Times New Roman" w:hAnsi="Times New Roman" w:cs="Times New Roman"/>
          <w:b/>
          <w:color w:val="000000" w:themeColor="text1"/>
        </w:rPr>
        <w:t>Improving food safety</w:t>
      </w:r>
      <w:r w:rsidRPr="00BC7BB5">
        <w:rPr>
          <w:rFonts w:ascii="Times New Roman" w:hAnsi="Times New Roman" w:cs="Times New Roman"/>
          <w:color w:val="000000" w:themeColor="text1"/>
        </w:rPr>
        <w:t xml:space="preserve"> (2.1). </w:t>
      </w:r>
      <w:bookmarkStart w:id="23" w:name="_Hlk494468745"/>
      <w:r w:rsidRPr="00BC7BB5">
        <w:rPr>
          <w:rFonts w:ascii="Times New Roman" w:hAnsi="Times New Roman" w:cs="Times New Roman"/>
          <w:color w:val="000000" w:themeColor="text1"/>
        </w:rPr>
        <w:t>Sanitary and phytosanitary (SPS</w:t>
      </w:r>
      <w:r w:rsidR="00730643" w:rsidRPr="00BC7BB5">
        <w:rPr>
          <w:rFonts w:ascii="Times New Roman" w:hAnsi="Times New Roman" w:cs="Times New Roman"/>
          <w:color w:val="000000" w:themeColor="text1"/>
        </w:rPr>
        <w:fldChar w:fldCharType="begin"/>
      </w:r>
      <w:r w:rsidR="00730643" w:rsidRPr="00BC7BB5">
        <w:instrText xml:space="preserve"> XE "</w:instrText>
      </w:r>
      <w:r w:rsidR="00730643" w:rsidRPr="00BC7BB5">
        <w:rPr>
          <w:rFonts w:ascii="Times New Roman" w:hAnsi="Times New Roman" w:cs="Times New Roman"/>
          <w:color w:val="000000" w:themeColor="text1"/>
        </w:rPr>
        <w:instrText>SPS:</w:instrText>
      </w:r>
      <w:r w:rsidR="00730643" w:rsidRPr="00BC7BB5">
        <w:instrText xml:space="preserve">Sanitary and phytosanitary" </w:instrText>
      </w:r>
      <w:r w:rsidR="00730643" w:rsidRPr="00BC7BB5">
        <w:rPr>
          <w:rFonts w:ascii="Times New Roman" w:hAnsi="Times New Roman" w:cs="Times New Roman"/>
          <w:color w:val="000000" w:themeColor="text1"/>
        </w:rPr>
        <w:fldChar w:fldCharType="end"/>
      </w:r>
      <w:r w:rsidRPr="00BC7BB5">
        <w:rPr>
          <w:rFonts w:ascii="Times New Roman" w:hAnsi="Times New Roman" w:cs="Times New Roman"/>
          <w:color w:val="000000" w:themeColor="text1"/>
        </w:rPr>
        <w:t>) measures have become the most significant non-tariff barriers to accessing export markets. As a result, compliance with international food safety standards has become a pre-condition for producers and manufacturers to entering major export markets (such as the EU</w:t>
      </w:r>
      <w:r w:rsidR="00730643" w:rsidRPr="00BC7BB5">
        <w:rPr>
          <w:rFonts w:ascii="Times New Roman" w:hAnsi="Times New Roman" w:cs="Times New Roman"/>
          <w:color w:val="000000" w:themeColor="text1"/>
        </w:rPr>
        <w:fldChar w:fldCharType="begin"/>
      </w:r>
      <w:r w:rsidR="00730643" w:rsidRPr="00BC7BB5">
        <w:instrText xml:space="preserve"> XE "</w:instrText>
      </w:r>
      <w:r w:rsidR="00730643" w:rsidRPr="00BC7BB5">
        <w:rPr>
          <w:rFonts w:ascii="Times New Roman" w:hAnsi="Times New Roman" w:cs="Times New Roman"/>
          <w:color w:val="000000" w:themeColor="text1"/>
        </w:rPr>
        <w:instrText>EU:</w:instrText>
      </w:r>
      <w:r w:rsidR="00730643" w:rsidRPr="00BC7BB5">
        <w:instrText xml:space="preserve">European Union" </w:instrText>
      </w:r>
      <w:r w:rsidR="00730643" w:rsidRPr="00BC7BB5">
        <w:rPr>
          <w:rFonts w:ascii="Times New Roman" w:hAnsi="Times New Roman" w:cs="Times New Roman"/>
          <w:color w:val="000000" w:themeColor="text1"/>
        </w:rPr>
        <w:fldChar w:fldCharType="end"/>
      </w:r>
      <w:r w:rsidRPr="00BC7BB5">
        <w:rPr>
          <w:rFonts w:ascii="Times New Roman" w:hAnsi="Times New Roman" w:cs="Times New Roman"/>
          <w:color w:val="000000" w:themeColor="text1"/>
        </w:rPr>
        <w:t>, the US, Canada and the Russian Federation in the case of Moroccan exports).</w:t>
      </w:r>
      <w:bookmarkEnd w:id="23"/>
      <w:r w:rsidRPr="00BC7BB5">
        <w:rPr>
          <w:rFonts w:ascii="Times New Roman" w:hAnsi="Times New Roman" w:cs="Times New Roman"/>
          <w:color w:val="000000" w:themeColor="text1"/>
        </w:rPr>
        <w:t xml:space="preserve"> To further strengthen food safety systems and cond</w:t>
      </w:r>
      <w:r w:rsidR="00A470BF">
        <w:rPr>
          <w:rFonts w:ascii="Times New Roman" w:hAnsi="Times New Roman" w:cs="Times New Roman"/>
          <w:color w:val="000000" w:themeColor="text1"/>
        </w:rPr>
        <w:t xml:space="preserve">itions in Morocco, the </w:t>
      </w:r>
      <w:r w:rsidRPr="00BC7BB5">
        <w:rPr>
          <w:rFonts w:ascii="Times New Roman" w:hAnsi="Times New Roman" w:cs="Times New Roman"/>
          <w:color w:val="000000" w:themeColor="text1"/>
        </w:rPr>
        <w:t>Program would strengthen the capacity of ONSSA to carry out its mission which is the implementation of the national food safety law (Law 28-07), while also supporting private operators in complying with food safety requirements and raising awareness about food safety and quality in Mor</w:t>
      </w:r>
      <w:r w:rsidR="00A470BF">
        <w:rPr>
          <w:rFonts w:ascii="Times New Roman" w:hAnsi="Times New Roman" w:cs="Times New Roman"/>
          <w:color w:val="000000" w:themeColor="text1"/>
        </w:rPr>
        <w:t xml:space="preserve">occo. To that end, the </w:t>
      </w:r>
      <w:r w:rsidRPr="00BC7BB5">
        <w:rPr>
          <w:rFonts w:ascii="Times New Roman" w:hAnsi="Times New Roman" w:cs="Times New Roman"/>
          <w:color w:val="000000" w:themeColor="text1"/>
        </w:rPr>
        <w:t>Program would support:</w:t>
      </w:r>
    </w:p>
    <w:p w14:paraId="54BF6038" w14:textId="77777777" w:rsidR="00093AA4" w:rsidRPr="00BC7BB5" w:rsidRDefault="00093AA4" w:rsidP="00093AA4">
      <w:pPr>
        <w:pStyle w:val="ListParagraph"/>
        <w:spacing w:after="0" w:line="240" w:lineRule="auto"/>
        <w:rPr>
          <w:rFonts w:ascii="Times New Roman" w:hAnsi="Times New Roman" w:cs="Times New Roman"/>
          <w:color w:val="000000" w:themeColor="text1"/>
        </w:rPr>
      </w:pPr>
    </w:p>
    <w:p w14:paraId="4CDB2560" w14:textId="77777777" w:rsidR="00093AA4" w:rsidRPr="00BC7BB5" w:rsidRDefault="00093AA4" w:rsidP="00F561E8">
      <w:pPr>
        <w:pStyle w:val="ListParagraph"/>
        <w:numPr>
          <w:ilvl w:val="1"/>
          <w:numId w:val="26"/>
        </w:numPr>
        <w:spacing w:after="0" w:line="240" w:lineRule="auto"/>
        <w:ind w:left="720"/>
        <w:jc w:val="both"/>
        <w:rPr>
          <w:rFonts w:ascii="Times New Roman" w:hAnsi="Times New Roman" w:cs="Times New Roman"/>
          <w:color w:val="000000" w:themeColor="text1"/>
        </w:rPr>
      </w:pPr>
      <w:r w:rsidRPr="00BC7BB5">
        <w:rPr>
          <w:rFonts w:ascii="Times New Roman" w:hAnsi="Times New Roman" w:cs="Times New Roman"/>
          <w:color w:val="000000" w:themeColor="text1"/>
        </w:rPr>
        <w:t>A census of agri-food enterprises and the provision of advisory services to private operators towards ONSSA approval/authorization, with a special focus on the olive sub-sector considering the size of the informal processing sector;</w:t>
      </w:r>
    </w:p>
    <w:p w14:paraId="0E35B656" w14:textId="77777777" w:rsidR="00093AA4" w:rsidRPr="00BC7BB5" w:rsidRDefault="00093AA4" w:rsidP="00F561E8">
      <w:pPr>
        <w:pStyle w:val="ListParagraph"/>
        <w:numPr>
          <w:ilvl w:val="1"/>
          <w:numId w:val="26"/>
        </w:numPr>
        <w:spacing w:after="0" w:line="240" w:lineRule="auto"/>
        <w:ind w:left="720"/>
        <w:jc w:val="both"/>
        <w:rPr>
          <w:rFonts w:ascii="Times New Roman" w:hAnsi="Times New Roman" w:cs="Times New Roman"/>
          <w:color w:val="000000" w:themeColor="text1"/>
        </w:rPr>
      </w:pPr>
      <w:r w:rsidRPr="00BC7BB5">
        <w:rPr>
          <w:rFonts w:ascii="Times New Roman" w:hAnsi="Times New Roman" w:cs="Times New Roman"/>
          <w:color w:val="000000" w:themeColor="text1"/>
        </w:rPr>
        <w:lastRenderedPageBreak/>
        <w:t>Awareness raising campaigns regarding the national food safety law and regulations, which would target both consumers and agri-food industry stakeholders;</w:t>
      </w:r>
    </w:p>
    <w:p w14:paraId="3DA0A848" w14:textId="52F92C62" w:rsidR="00093AA4" w:rsidRPr="00BC7BB5" w:rsidRDefault="004D584D" w:rsidP="00F561E8">
      <w:pPr>
        <w:pStyle w:val="ListParagraph"/>
        <w:numPr>
          <w:ilvl w:val="1"/>
          <w:numId w:val="26"/>
        </w:numPr>
        <w:spacing w:after="0" w:line="240" w:lineRule="auto"/>
        <w:ind w:left="720"/>
        <w:jc w:val="both"/>
        <w:rPr>
          <w:rFonts w:ascii="Times New Roman" w:hAnsi="Times New Roman" w:cs="Times New Roman"/>
          <w:color w:val="000000" w:themeColor="text1"/>
        </w:rPr>
      </w:pPr>
      <w:r w:rsidRPr="00BC7BB5">
        <w:rPr>
          <w:rFonts w:ascii="Times New Roman" w:hAnsi="Times New Roman" w:cs="Times New Roman"/>
          <w:color w:val="000000" w:themeColor="text1"/>
        </w:rPr>
        <w:t>U</w:t>
      </w:r>
      <w:r w:rsidR="00093AA4" w:rsidRPr="00BC7BB5">
        <w:rPr>
          <w:rFonts w:ascii="Times New Roman" w:hAnsi="Times New Roman" w:cs="Times New Roman"/>
          <w:color w:val="000000" w:themeColor="text1"/>
        </w:rPr>
        <w:t>pgrading of four ONSSA laboratories in the phytosanitary sector, with a special focus on phyto-pathological analyzes;</w:t>
      </w:r>
    </w:p>
    <w:p w14:paraId="57649DFC" w14:textId="0DBDA84D" w:rsidR="00093AA4" w:rsidRPr="00BC7BB5" w:rsidRDefault="004D584D" w:rsidP="00F561E8">
      <w:pPr>
        <w:pStyle w:val="ListParagraph"/>
        <w:numPr>
          <w:ilvl w:val="1"/>
          <w:numId w:val="26"/>
        </w:numPr>
        <w:spacing w:after="0" w:line="240" w:lineRule="auto"/>
        <w:ind w:left="720"/>
        <w:jc w:val="both"/>
        <w:rPr>
          <w:rFonts w:ascii="Times New Roman" w:hAnsi="Times New Roman" w:cs="Times New Roman"/>
          <w:color w:val="000000" w:themeColor="text1"/>
        </w:rPr>
      </w:pPr>
      <w:r w:rsidRPr="00BC7BB5">
        <w:rPr>
          <w:rFonts w:ascii="Times New Roman" w:hAnsi="Times New Roman" w:cs="Times New Roman"/>
          <w:color w:val="000000" w:themeColor="text1"/>
        </w:rPr>
        <w:t>S</w:t>
      </w:r>
      <w:r w:rsidR="00093AA4" w:rsidRPr="00BC7BB5">
        <w:rPr>
          <w:rFonts w:ascii="Times New Roman" w:hAnsi="Times New Roman" w:cs="Times New Roman"/>
          <w:color w:val="000000" w:themeColor="text1"/>
        </w:rPr>
        <w:t>trengthening of ONSSA’s risk assessment capacity by</w:t>
      </w:r>
      <w:r w:rsidR="00274211">
        <w:rPr>
          <w:rFonts w:ascii="Times New Roman" w:hAnsi="Times New Roman" w:cs="Times New Roman"/>
          <w:color w:val="000000" w:themeColor="text1"/>
        </w:rPr>
        <w:t>:</w:t>
      </w:r>
      <w:r w:rsidR="00093AA4" w:rsidRPr="00BC7BB5">
        <w:rPr>
          <w:rFonts w:ascii="Times New Roman" w:hAnsi="Times New Roman" w:cs="Times New Roman"/>
          <w:color w:val="000000" w:themeColor="text1"/>
        </w:rPr>
        <w:t xml:space="preserve"> (i) integrating the results of existing food analyses into ONSSA’s data management platform (SIPS); (ii) conducting a national food study assessing the exposure of the Moroccan population to contaminants and residues; (iii) and providing complementary training for members of the new Risk Assessment Division;</w:t>
      </w:r>
    </w:p>
    <w:p w14:paraId="4A0D9F7E" w14:textId="3688FEBD" w:rsidR="00093AA4" w:rsidRPr="00BC7BB5" w:rsidRDefault="00093AA4" w:rsidP="00F561E8">
      <w:pPr>
        <w:pStyle w:val="ListParagraph"/>
        <w:numPr>
          <w:ilvl w:val="1"/>
          <w:numId w:val="26"/>
        </w:numPr>
        <w:spacing w:after="0" w:line="240" w:lineRule="auto"/>
        <w:ind w:left="720"/>
        <w:jc w:val="both"/>
        <w:rPr>
          <w:rFonts w:ascii="Times New Roman" w:hAnsi="Times New Roman" w:cs="Times New Roman"/>
          <w:color w:val="000000" w:themeColor="text1"/>
        </w:rPr>
      </w:pPr>
      <w:r w:rsidRPr="00BC7BB5">
        <w:rPr>
          <w:rFonts w:ascii="Times New Roman" w:hAnsi="Times New Roman" w:cs="Times New Roman"/>
          <w:color w:val="000000" w:themeColor="text1"/>
        </w:rPr>
        <w:t>The establishment of an input register for citrus in the Souss Region (five provinces and prefectures), which is mandatory under the national food safety law and is also required for exporters to meet traceability criteria, through targeted awareness-raising campaigns and accompanying actions, especially among small producers;</w:t>
      </w:r>
      <w:r w:rsidR="00DE58A2" w:rsidRPr="00BC7BB5">
        <w:rPr>
          <w:rFonts w:ascii="Times New Roman" w:hAnsi="Times New Roman" w:cs="Times New Roman"/>
          <w:color w:val="000000" w:themeColor="text1"/>
        </w:rPr>
        <w:t xml:space="preserve"> and</w:t>
      </w:r>
    </w:p>
    <w:p w14:paraId="07AC818A" w14:textId="0DBE5DC5" w:rsidR="00093AA4" w:rsidRPr="00BC7BB5" w:rsidRDefault="00093AA4" w:rsidP="00F561E8">
      <w:pPr>
        <w:pStyle w:val="ListParagraph"/>
        <w:numPr>
          <w:ilvl w:val="1"/>
          <w:numId w:val="26"/>
        </w:numPr>
        <w:spacing w:after="0" w:line="240" w:lineRule="auto"/>
        <w:ind w:left="720"/>
        <w:jc w:val="both"/>
        <w:rPr>
          <w:rFonts w:ascii="Times New Roman" w:hAnsi="Times New Roman" w:cs="Times New Roman"/>
          <w:color w:val="000000" w:themeColor="text1"/>
        </w:rPr>
      </w:pPr>
      <w:r w:rsidRPr="00BC7BB5">
        <w:rPr>
          <w:rFonts w:ascii="Times New Roman" w:hAnsi="Times New Roman" w:cs="Times New Roman"/>
          <w:color w:val="000000" w:themeColor="text1"/>
        </w:rPr>
        <w:t>The implementation of a Mediterranean fruit fly control program, to reduce the area of citrus plantations affected by the Mediterranean fruit fly (</w:t>
      </w:r>
      <w:r w:rsidRPr="00BC7BB5">
        <w:rPr>
          <w:rFonts w:ascii="Times New Roman" w:hAnsi="Times New Roman" w:cs="Times New Roman"/>
          <w:i/>
          <w:color w:val="000000" w:themeColor="text1"/>
        </w:rPr>
        <w:t>ceratitis</w:t>
      </w:r>
      <w:r w:rsidRPr="00BC7BB5">
        <w:rPr>
          <w:rFonts w:ascii="Times New Roman" w:hAnsi="Times New Roman" w:cs="Times New Roman"/>
          <w:color w:val="000000" w:themeColor="text1"/>
        </w:rPr>
        <w:t xml:space="preserve">) through the creation of a new facility for the production of sterile </w:t>
      </w:r>
      <w:r w:rsidR="00011FBC">
        <w:rPr>
          <w:rFonts w:ascii="Times New Roman" w:hAnsi="Times New Roman" w:cs="Times New Roman"/>
          <w:i/>
          <w:color w:val="000000" w:themeColor="text1"/>
        </w:rPr>
        <w:t>ceratitis</w:t>
      </w:r>
      <w:r w:rsidRPr="00BC7BB5">
        <w:rPr>
          <w:rFonts w:ascii="Times New Roman" w:hAnsi="Times New Roman" w:cs="Times New Roman"/>
          <w:color w:val="000000" w:themeColor="text1"/>
        </w:rPr>
        <w:t xml:space="preserve"> males and extending the areas covered by releases of sterile males. </w:t>
      </w:r>
    </w:p>
    <w:p w14:paraId="7FF239A9" w14:textId="77777777" w:rsidR="00093AA4" w:rsidRPr="00BC7BB5" w:rsidRDefault="00093AA4" w:rsidP="00093AA4">
      <w:pPr>
        <w:pStyle w:val="ListParagraph"/>
        <w:spacing w:after="0" w:line="240" w:lineRule="auto"/>
        <w:rPr>
          <w:rFonts w:ascii="Times New Roman" w:hAnsi="Times New Roman" w:cs="Times New Roman"/>
          <w:color w:val="000000" w:themeColor="text1"/>
        </w:rPr>
      </w:pPr>
    </w:p>
    <w:p w14:paraId="0A9B00E2" w14:textId="386A87A3" w:rsidR="00093AA4" w:rsidRPr="00BC7BB5" w:rsidRDefault="00093AA4" w:rsidP="00F561E8">
      <w:pPr>
        <w:pStyle w:val="ListParagraph"/>
        <w:numPr>
          <w:ilvl w:val="0"/>
          <w:numId w:val="26"/>
        </w:numPr>
        <w:spacing w:after="0" w:line="240" w:lineRule="auto"/>
        <w:ind w:left="0" w:firstLine="0"/>
        <w:jc w:val="both"/>
        <w:rPr>
          <w:rFonts w:ascii="Times New Roman" w:hAnsi="Times New Roman" w:cs="Times New Roman"/>
          <w:color w:val="000000" w:themeColor="text1"/>
        </w:rPr>
      </w:pPr>
      <w:r w:rsidRPr="00BC7BB5">
        <w:rPr>
          <w:rFonts w:ascii="Times New Roman" w:hAnsi="Times New Roman" w:cs="Times New Roman"/>
          <w:color w:val="000000" w:themeColor="text1"/>
        </w:rPr>
        <w:t>The implementation of this sub-program would be under the responsibility of ONSSA (with some activities carried out in partnership with</w:t>
      </w:r>
      <w:r w:rsidR="004D584D" w:rsidRPr="00BC7BB5">
        <w:rPr>
          <w:rFonts w:ascii="Times New Roman" w:hAnsi="Times New Roman" w:cs="Times New Roman"/>
          <w:color w:val="000000" w:themeColor="text1"/>
        </w:rPr>
        <w:t xml:space="preserve"> the</w:t>
      </w:r>
      <w:r w:rsidRPr="00BC7BB5">
        <w:rPr>
          <w:rFonts w:ascii="Times New Roman" w:hAnsi="Times New Roman" w:cs="Times New Roman"/>
          <w:color w:val="000000" w:themeColor="text1"/>
        </w:rPr>
        <w:t xml:space="preserve"> </w:t>
      </w:r>
      <w:r w:rsidR="004D584D" w:rsidRPr="00BC7BB5">
        <w:rPr>
          <w:rFonts w:ascii="Times New Roman" w:hAnsi="Times New Roman" w:cs="Times New Roman"/>
          <w:color w:val="000000" w:themeColor="text1"/>
        </w:rPr>
        <w:t>I</w:t>
      </w:r>
      <w:r w:rsidRPr="00BC7BB5">
        <w:rPr>
          <w:rFonts w:ascii="Times New Roman" w:hAnsi="Times New Roman" w:cs="Times New Roman"/>
          <w:color w:val="000000" w:themeColor="text1"/>
        </w:rPr>
        <w:t>nterprofessions, such as Maroc Citrus for the Mediterr</w:t>
      </w:r>
      <w:r w:rsidR="00E87FB3" w:rsidRPr="00BC7BB5">
        <w:rPr>
          <w:rFonts w:ascii="Times New Roman" w:hAnsi="Times New Roman" w:cs="Times New Roman"/>
          <w:color w:val="000000" w:themeColor="text1"/>
        </w:rPr>
        <w:t>a</w:t>
      </w:r>
      <w:r w:rsidRPr="00BC7BB5">
        <w:rPr>
          <w:rFonts w:ascii="Times New Roman" w:hAnsi="Times New Roman" w:cs="Times New Roman"/>
          <w:color w:val="000000" w:themeColor="text1"/>
        </w:rPr>
        <w:t>nean fruit fly control program).</w:t>
      </w:r>
    </w:p>
    <w:p w14:paraId="777D9492" w14:textId="77777777" w:rsidR="00093AA4" w:rsidRPr="00BC7BB5" w:rsidRDefault="00093AA4" w:rsidP="00093AA4">
      <w:pPr>
        <w:spacing w:after="0" w:line="240" w:lineRule="auto"/>
        <w:jc w:val="both"/>
        <w:rPr>
          <w:rFonts w:ascii="Times New Roman" w:hAnsi="Times New Roman" w:cs="Times New Roman"/>
          <w:color w:val="000000" w:themeColor="text1"/>
        </w:rPr>
      </w:pPr>
    </w:p>
    <w:p w14:paraId="27B9A744" w14:textId="7C7559E3" w:rsidR="00093AA4" w:rsidRPr="00BC7BB5" w:rsidRDefault="00093AA4" w:rsidP="00F561E8">
      <w:pPr>
        <w:pStyle w:val="ListParagraph"/>
        <w:numPr>
          <w:ilvl w:val="0"/>
          <w:numId w:val="26"/>
        </w:numPr>
        <w:spacing w:after="0" w:line="240" w:lineRule="auto"/>
        <w:ind w:left="0" w:firstLine="0"/>
        <w:jc w:val="both"/>
        <w:rPr>
          <w:rFonts w:ascii="Times New Roman" w:hAnsi="Times New Roman" w:cs="Times New Roman"/>
          <w:color w:val="000000" w:themeColor="text1"/>
        </w:rPr>
      </w:pPr>
      <w:r w:rsidRPr="00BC7BB5">
        <w:rPr>
          <w:rFonts w:ascii="Times New Roman" w:hAnsi="Times New Roman" w:cs="Times New Roman"/>
          <w:b/>
          <w:color w:val="000000" w:themeColor="text1"/>
        </w:rPr>
        <w:t>Promoting quality standards and certification systems</w:t>
      </w:r>
      <w:r w:rsidRPr="00BC7BB5">
        <w:rPr>
          <w:rFonts w:ascii="Times New Roman" w:hAnsi="Times New Roman" w:cs="Times New Roman"/>
          <w:color w:val="000000" w:themeColor="text1"/>
        </w:rPr>
        <w:t xml:space="preserve"> (2.2). Compliance with specific quality standards and certification systems can enable Moroccan producers and agribusinesses to tap into growth opportunities in </w:t>
      </w:r>
      <w:r w:rsidR="00A86E34" w:rsidRPr="00BC7BB5">
        <w:rPr>
          <w:rFonts w:ascii="Times New Roman" w:hAnsi="Times New Roman" w:cs="Times New Roman"/>
          <w:color w:val="000000" w:themeColor="text1"/>
        </w:rPr>
        <w:t>value added</w:t>
      </w:r>
      <w:r w:rsidRPr="00BC7BB5">
        <w:rPr>
          <w:rFonts w:ascii="Times New Roman" w:hAnsi="Times New Roman" w:cs="Times New Roman"/>
          <w:color w:val="000000" w:themeColor="text1"/>
        </w:rPr>
        <w:t xml:space="preserve"> markets (such as organic, a fast-growing market segment in the EU). In addition, origin</w:t>
      </w:r>
      <w:r w:rsidR="00C37FD8" w:rsidRPr="00BC7BB5">
        <w:rPr>
          <w:rFonts w:ascii="Times New Roman" w:hAnsi="Times New Roman" w:cs="Times New Roman"/>
          <w:color w:val="000000" w:themeColor="text1"/>
        </w:rPr>
        <w:t xml:space="preserve"> and quality</w:t>
      </w:r>
      <w:r w:rsidRPr="00BC7BB5">
        <w:rPr>
          <w:rFonts w:ascii="Times New Roman" w:hAnsi="Times New Roman" w:cs="Times New Roman"/>
          <w:color w:val="000000" w:themeColor="text1"/>
        </w:rPr>
        <w:t xml:space="preserve"> labels such as </w:t>
      </w:r>
      <w:r w:rsidR="00C37FD8" w:rsidRPr="00BC7BB5">
        <w:rPr>
          <w:rFonts w:ascii="Times New Roman" w:hAnsi="Times New Roman" w:cs="Times New Roman"/>
          <w:color w:val="000000" w:themeColor="text1"/>
        </w:rPr>
        <w:t>SDOQ</w:t>
      </w:r>
      <w:r w:rsidRPr="00BC7BB5">
        <w:rPr>
          <w:rFonts w:ascii="Times New Roman" w:hAnsi="Times New Roman" w:cs="Times New Roman"/>
          <w:color w:val="000000" w:themeColor="text1"/>
        </w:rPr>
        <w:t xml:space="preserve"> can further differentiate product offerings in high value markets, which are characterized by an increasing focus on more niche and targeted products</w:t>
      </w:r>
      <w:r w:rsidRPr="00BC7BB5">
        <w:rPr>
          <w:rFonts w:ascii="Times New Roman" w:hAnsi="Times New Roman" w:cs="Times New Roman"/>
          <w:b/>
          <w:color w:val="000000" w:themeColor="text1"/>
        </w:rPr>
        <w:t xml:space="preserve">. </w:t>
      </w:r>
      <w:r w:rsidRPr="00BC7BB5">
        <w:rPr>
          <w:rFonts w:ascii="Times New Roman" w:hAnsi="Times New Roman" w:cs="Times New Roman"/>
          <w:color w:val="000000" w:themeColor="text1"/>
        </w:rPr>
        <w:t xml:space="preserve">The proposed Program would support the strengthening of existing governance systems and producer capacity in Morocco for implementing specific quality standards and certifications. The Program would provide technical support to: (i) </w:t>
      </w:r>
      <w:r w:rsidR="00C37FD8" w:rsidRPr="00BC7BB5">
        <w:rPr>
          <w:rFonts w:ascii="Times New Roman" w:hAnsi="Times New Roman" w:cs="Times New Roman"/>
          <w:color w:val="000000" w:themeColor="text1"/>
        </w:rPr>
        <w:t>certify new products under SDOQ</w:t>
      </w:r>
      <w:r w:rsidRPr="00BC7BB5">
        <w:rPr>
          <w:rFonts w:ascii="Times New Roman" w:hAnsi="Times New Roman" w:cs="Times New Roman"/>
          <w:color w:val="000000" w:themeColor="text1"/>
        </w:rPr>
        <w:t xml:space="preserve">; (ii) help producers and producer groups adopt good management practices required to obtain organic certification; and (iii) build the management capacity of organic and </w:t>
      </w:r>
      <w:r w:rsidR="00C37FD8" w:rsidRPr="00BC7BB5">
        <w:rPr>
          <w:rFonts w:ascii="Times New Roman" w:hAnsi="Times New Roman" w:cs="Times New Roman"/>
          <w:color w:val="000000" w:themeColor="text1"/>
        </w:rPr>
        <w:t>SDOQ</w:t>
      </w:r>
      <w:r w:rsidRPr="00BC7BB5">
        <w:rPr>
          <w:rFonts w:ascii="Times New Roman" w:hAnsi="Times New Roman" w:cs="Times New Roman"/>
          <w:color w:val="000000" w:themeColor="text1"/>
        </w:rPr>
        <w:t>-certified producers to implement good hygiene practices</w:t>
      </w:r>
      <w:r w:rsidR="00274211">
        <w:rPr>
          <w:rFonts w:ascii="Times New Roman" w:hAnsi="Times New Roman" w:cs="Times New Roman"/>
          <w:color w:val="000000" w:themeColor="text1"/>
        </w:rPr>
        <w:t>,</w:t>
      </w:r>
      <w:r w:rsidRPr="00BC7BB5">
        <w:rPr>
          <w:rFonts w:ascii="Times New Roman" w:hAnsi="Times New Roman" w:cs="Times New Roman"/>
          <w:color w:val="000000" w:themeColor="text1"/>
        </w:rPr>
        <w:t xml:space="preserve"> as well as value adding techniq</w:t>
      </w:r>
      <w:r w:rsidR="00802E2E">
        <w:rPr>
          <w:rFonts w:ascii="Times New Roman" w:hAnsi="Times New Roman" w:cs="Times New Roman"/>
          <w:color w:val="000000" w:themeColor="text1"/>
        </w:rPr>
        <w:t>ues. In addition, the P</w:t>
      </w:r>
      <w:r w:rsidRPr="00BC7BB5">
        <w:rPr>
          <w:rFonts w:ascii="Times New Roman" w:hAnsi="Times New Roman" w:cs="Times New Roman"/>
          <w:color w:val="000000" w:themeColor="text1"/>
        </w:rPr>
        <w:t xml:space="preserve">rogram would </w:t>
      </w:r>
      <w:r w:rsidR="00651E8D">
        <w:rPr>
          <w:rFonts w:ascii="Times New Roman" w:hAnsi="Times New Roman" w:cs="Times New Roman"/>
          <w:color w:val="000000" w:themeColor="text1"/>
        </w:rPr>
        <w:t>establish</w:t>
      </w:r>
      <w:r w:rsidRPr="00BC7BB5">
        <w:rPr>
          <w:rFonts w:ascii="Times New Roman" w:hAnsi="Times New Roman" w:cs="Times New Roman"/>
          <w:color w:val="000000" w:themeColor="text1"/>
        </w:rPr>
        <w:t xml:space="preserve"> FDA financial support to </w:t>
      </w:r>
      <w:r w:rsidR="00651E8D">
        <w:rPr>
          <w:rFonts w:ascii="Times New Roman" w:hAnsi="Times New Roman" w:cs="Times New Roman"/>
          <w:color w:val="000000" w:themeColor="text1"/>
        </w:rPr>
        <w:t>producers for the</w:t>
      </w:r>
      <w:r w:rsidRPr="00BC7BB5">
        <w:rPr>
          <w:rFonts w:ascii="Times New Roman" w:hAnsi="Times New Roman" w:cs="Times New Roman"/>
          <w:color w:val="000000" w:themeColor="text1"/>
        </w:rPr>
        <w:t xml:space="preserve"> certification cost</w:t>
      </w:r>
      <w:r w:rsidR="00651E8D">
        <w:rPr>
          <w:rFonts w:ascii="Times New Roman" w:hAnsi="Times New Roman" w:cs="Times New Roman"/>
          <w:color w:val="000000" w:themeColor="text1"/>
        </w:rPr>
        <w:t xml:space="preserve">s of </w:t>
      </w:r>
      <w:r w:rsidRPr="00BC7BB5">
        <w:rPr>
          <w:rFonts w:ascii="Times New Roman" w:hAnsi="Times New Roman" w:cs="Times New Roman"/>
          <w:color w:val="000000" w:themeColor="text1"/>
        </w:rPr>
        <w:t xml:space="preserve">organic </w:t>
      </w:r>
      <w:r w:rsidR="00651E8D">
        <w:rPr>
          <w:rFonts w:ascii="Times New Roman" w:hAnsi="Times New Roman" w:cs="Times New Roman"/>
          <w:color w:val="000000" w:themeColor="text1"/>
        </w:rPr>
        <w:t xml:space="preserve">and SDOQ </w:t>
      </w:r>
      <w:r w:rsidRPr="00BC7BB5">
        <w:rPr>
          <w:rFonts w:ascii="Times New Roman" w:hAnsi="Times New Roman" w:cs="Times New Roman"/>
          <w:color w:val="000000" w:themeColor="text1"/>
        </w:rPr>
        <w:t xml:space="preserve">products. </w:t>
      </w:r>
      <w:bookmarkStart w:id="24" w:name="_Hlk494469056"/>
      <w:r w:rsidRPr="00BC7BB5">
        <w:rPr>
          <w:rFonts w:ascii="Times New Roman" w:hAnsi="Times New Roman" w:cs="Times New Roman"/>
          <w:color w:val="000000" w:themeColor="text1"/>
        </w:rPr>
        <w:t xml:space="preserve">Furthermore, the Program would support both targeted and mass awareness raising campaigns to raise the knowledge and profile of both organic and </w:t>
      </w:r>
      <w:r w:rsidR="00C37FD8" w:rsidRPr="00BC7BB5">
        <w:rPr>
          <w:rFonts w:ascii="Times New Roman" w:hAnsi="Times New Roman" w:cs="Times New Roman"/>
          <w:color w:val="000000" w:themeColor="text1"/>
        </w:rPr>
        <w:t>SDOQ</w:t>
      </w:r>
      <w:r w:rsidRPr="00BC7BB5">
        <w:rPr>
          <w:rFonts w:ascii="Times New Roman" w:hAnsi="Times New Roman" w:cs="Times New Roman"/>
          <w:color w:val="000000" w:themeColor="text1"/>
        </w:rPr>
        <w:t xml:space="preserve"> certification systems among producers, commercial and industrial operators, and consumers. Finally, the Program would support communication campaigns in support of government and industry efforts to enhance the quality of Moroccan olive products (olive oil and table olives). Specifically, the campaigns would help shift olive consumption from bulk to packaged and labeled olive products by: (i) sensitizing consumers to the health risks linked to consuming olive products in bulk; and (ii) reassuring consumers of the authenticity and natural taste profile of packaged and labeled olive products. </w:t>
      </w:r>
      <w:bookmarkEnd w:id="24"/>
      <w:r w:rsidRPr="00BC7BB5">
        <w:rPr>
          <w:rFonts w:ascii="Times New Roman" w:hAnsi="Times New Roman" w:cs="Times New Roman"/>
          <w:color w:val="000000" w:themeColor="text1"/>
        </w:rPr>
        <w:t>The implementation of these activities would be jointly led by the Labeling Division and the Vegetable Value Chain Division of the DDFP.</w:t>
      </w:r>
    </w:p>
    <w:p w14:paraId="37C2349E" w14:textId="77777777" w:rsidR="00093AA4" w:rsidRPr="00BC7BB5" w:rsidRDefault="00093AA4" w:rsidP="00093AA4">
      <w:pPr>
        <w:pStyle w:val="ListParagraph"/>
        <w:ind w:left="360"/>
        <w:jc w:val="both"/>
        <w:rPr>
          <w:rFonts w:ascii="Times New Roman" w:hAnsi="Times New Roman" w:cs="Times New Roman"/>
          <w:color w:val="000000" w:themeColor="text1"/>
        </w:rPr>
      </w:pPr>
    </w:p>
    <w:p w14:paraId="30695549" w14:textId="25260D18" w:rsidR="00093AA4" w:rsidRPr="00BC7BB5" w:rsidRDefault="00093AA4" w:rsidP="00F561E8">
      <w:pPr>
        <w:pStyle w:val="ListParagraph"/>
        <w:numPr>
          <w:ilvl w:val="0"/>
          <w:numId w:val="26"/>
        </w:numPr>
        <w:spacing w:after="0" w:line="240" w:lineRule="auto"/>
        <w:ind w:left="0" w:firstLine="0"/>
        <w:jc w:val="both"/>
        <w:rPr>
          <w:rFonts w:ascii="Times New Roman" w:hAnsi="Times New Roman" w:cs="Times New Roman"/>
          <w:color w:val="000000" w:themeColor="text1"/>
        </w:rPr>
      </w:pPr>
      <w:r w:rsidRPr="00BC7BB5">
        <w:rPr>
          <w:rFonts w:ascii="Times New Roman" w:hAnsi="Times New Roman" w:cs="Times New Roman"/>
          <w:b/>
          <w:bCs/>
          <w:color w:val="000000" w:themeColor="text1"/>
        </w:rPr>
        <w:t>Strengthening business development and technical support services for the agri-food sector</w:t>
      </w:r>
      <w:r w:rsidRPr="00BC7BB5">
        <w:rPr>
          <w:rFonts w:ascii="Times New Roman" w:hAnsi="Times New Roman" w:cs="Times New Roman"/>
          <w:bCs/>
          <w:color w:val="000000" w:themeColor="text1"/>
        </w:rPr>
        <w:t xml:space="preserve"> (</w:t>
      </w:r>
      <w:r w:rsidR="004D584D" w:rsidRPr="00BC7BB5">
        <w:rPr>
          <w:rFonts w:ascii="Times New Roman" w:hAnsi="Times New Roman" w:cs="Times New Roman"/>
          <w:bCs/>
          <w:color w:val="000000" w:themeColor="text1"/>
        </w:rPr>
        <w:t>2.3</w:t>
      </w:r>
      <w:r w:rsidR="00802E2E">
        <w:rPr>
          <w:rFonts w:ascii="Times New Roman" w:hAnsi="Times New Roman" w:cs="Times New Roman"/>
          <w:bCs/>
          <w:color w:val="000000" w:themeColor="text1"/>
        </w:rPr>
        <w:t xml:space="preserve">). The </w:t>
      </w:r>
      <w:r w:rsidRPr="00BC7BB5">
        <w:rPr>
          <w:rFonts w:ascii="Times New Roman" w:hAnsi="Times New Roman" w:cs="Times New Roman"/>
          <w:bCs/>
          <w:color w:val="000000" w:themeColor="text1"/>
        </w:rPr>
        <w:t>Program would support the development of Agri-Food Innovation Centers (</w:t>
      </w:r>
      <w:r w:rsidRPr="00BC7BB5">
        <w:rPr>
          <w:rFonts w:ascii="Times New Roman" w:hAnsi="Times New Roman" w:cs="Times New Roman"/>
          <w:bCs/>
          <w:i/>
          <w:color w:val="000000" w:themeColor="text1"/>
        </w:rPr>
        <w:t>Centres d’Innovation Agro-Alimentaire</w:t>
      </w:r>
      <w:r w:rsidRPr="00BC7BB5">
        <w:rPr>
          <w:rFonts w:ascii="Times New Roman" w:hAnsi="Times New Roman" w:cs="Times New Roman"/>
          <w:bCs/>
          <w:color w:val="000000" w:themeColor="text1"/>
        </w:rPr>
        <w:t>, CIA).</w:t>
      </w:r>
      <w:r w:rsidR="00802E2E">
        <w:rPr>
          <w:rFonts w:ascii="Times New Roman" w:hAnsi="Times New Roman" w:cs="Times New Roman"/>
          <w:color w:val="000000" w:themeColor="text1"/>
        </w:rPr>
        <w:t xml:space="preserve"> The mission of tho</w:t>
      </w:r>
      <w:r w:rsidRPr="00BC7BB5">
        <w:rPr>
          <w:rFonts w:ascii="Times New Roman" w:hAnsi="Times New Roman" w:cs="Times New Roman"/>
          <w:color w:val="000000" w:themeColor="text1"/>
        </w:rPr>
        <w:t>se centers would be to support the development and growth of innovative agribusiness SMEs by offering</w:t>
      </w:r>
      <w:r w:rsidR="00274211">
        <w:rPr>
          <w:rFonts w:ascii="Times New Roman" w:hAnsi="Times New Roman" w:cs="Times New Roman"/>
          <w:color w:val="000000" w:themeColor="text1"/>
        </w:rPr>
        <w:t>:</w:t>
      </w:r>
      <w:r w:rsidRPr="00BC7BB5">
        <w:rPr>
          <w:rFonts w:ascii="Times New Roman" w:hAnsi="Times New Roman" w:cs="Times New Roman"/>
          <w:color w:val="000000" w:themeColor="text1"/>
        </w:rPr>
        <w:t xml:space="preserve"> (i) technical support services (e.g.</w:t>
      </w:r>
      <w:r w:rsidR="00274211">
        <w:rPr>
          <w:rFonts w:ascii="Times New Roman" w:hAnsi="Times New Roman" w:cs="Times New Roman"/>
          <w:color w:val="000000" w:themeColor="text1"/>
        </w:rPr>
        <w:t>,</w:t>
      </w:r>
      <w:r w:rsidRPr="00BC7BB5">
        <w:rPr>
          <w:rFonts w:ascii="Times New Roman" w:hAnsi="Times New Roman" w:cs="Times New Roman"/>
          <w:color w:val="000000" w:themeColor="text1"/>
        </w:rPr>
        <w:t xml:space="preserve"> development, improvement, testing and marketing of agri-food products); (ii) management support services (e.g.</w:t>
      </w:r>
      <w:r w:rsidR="00274211">
        <w:rPr>
          <w:rFonts w:ascii="Times New Roman" w:hAnsi="Times New Roman" w:cs="Times New Roman"/>
          <w:color w:val="000000" w:themeColor="text1"/>
        </w:rPr>
        <w:t>,</w:t>
      </w:r>
      <w:r w:rsidRPr="00BC7BB5">
        <w:rPr>
          <w:rFonts w:ascii="Times New Roman" w:hAnsi="Times New Roman" w:cs="Times New Roman"/>
          <w:color w:val="000000" w:themeColor="text1"/>
        </w:rPr>
        <w:t xml:space="preserve"> preparation of business plans for new or existing agribusiness SMEs, business management capacity building, access to finance readiness support</w:t>
      </w:r>
      <w:r w:rsidR="00274211">
        <w:rPr>
          <w:rFonts w:ascii="Times New Roman" w:hAnsi="Times New Roman" w:cs="Times New Roman"/>
          <w:color w:val="000000" w:themeColor="text1"/>
        </w:rPr>
        <w:t>,</w:t>
      </w:r>
      <w:r w:rsidRPr="00BC7BB5">
        <w:rPr>
          <w:rFonts w:ascii="Times New Roman" w:hAnsi="Times New Roman" w:cs="Times New Roman"/>
          <w:color w:val="000000" w:themeColor="text1"/>
        </w:rPr>
        <w:t xml:space="preserve"> etc.); (iii) knowledge and market access support services (e.g.</w:t>
      </w:r>
      <w:r w:rsidR="00274211">
        <w:rPr>
          <w:rFonts w:ascii="Times New Roman" w:hAnsi="Times New Roman" w:cs="Times New Roman"/>
          <w:color w:val="000000" w:themeColor="text1"/>
        </w:rPr>
        <w:t>,</w:t>
      </w:r>
      <w:r w:rsidRPr="00BC7BB5">
        <w:rPr>
          <w:rFonts w:ascii="Times New Roman" w:hAnsi="Times New Roman" w:cs="Times New Roman"/>
          <w:color w:val="000000" w:themeColor="text1"/>
        </w:rPr>
        <w:t xml:space="preserve"> market studies, business development and contracting opportunities, etc.); (iv) incubation support services (e.g.</w:t>
      </w:r>
      <w:r w:rsidR="00274211">
        <w:rPr>
          <w:rFonts w:ascii="Times New Roman" w:hAnsi="Times New Roman" w:cs="Times New Roman"/>
          <w:color w:val="000000" w:themeColor="text1"/>
        </w:rPr>
        <w:t>,</w:t>
      </w:r>
      <w:r w:rsidRPr="00BC7BB5">
        <w:rPr>
          <w:rFonts w:ascii="Times New Roman" w:hAnsi="Times New Roman" w:cs="Times New Roman"/>
          <w:color w:val="000000" w:themeColor="text1"/>
        </w:rPr>
        <w:t xml:space="preserve"> </w:t>
      </w:r>
      <w:r w:rsidR="00787BC6" w:rsidRPr="00BC7BB5">
        <w:rPr>
          <w:rFonts w:ascii="Times New Roman" w:hAnsi="Times New Roman" w:cs="Times New Roman"/>
          <w:color w:val="000000" w:themeColor="text1"/>
        </w:rPr>
        <w:t xml:space="preserve">services, </w:t>
      </w:r>
      <w:r w:rsidR="00787BC6" w:rsidRPr="00BC7BB5">
        <w:rPr>
          <w:rFonts w:ascii="Times New Roman" w:hAnsi="Times New Roman" w:cs="Times New Roman"/>
          <w:color w:val="000000" w:themeColor="text1"/>
        </w:rPr>
        <w:lastRenderedPageBreak/>
        <w:t xml:space="preserve">shared facilities and </w:t>
      </w:r>
      <w:r w:rsidRPr="00BC7BB5">
        <w:rPr>
          <w:rFonts w:ascii="Times New Roman" w:hAnsi="Times New Roman" w:cs="Times New Roman"/>
          <w:color w:val="000000" w:themeColor="text1"/>
        </w:rPr>
        <w:t>funding of innovative projects and/or companies</w:t>
      </w:r>
      <w:r w:rsidR="00274211" w:rsidRPr="00BC7BB5">
        <w:rPr>
          <w:rFonts w:ascii="Times New Roman" w:hAnsi="Times New Roman" w:cs="Times New Roman"/>
          <w:color w:val="000000" w:themeColor="text1"/>
        </w:rPr>
        <w:t>)</w:t>
      </w:r>
      <w:r w:rsidR="00274211">
        <w:rPr>
          <w:rFonts w:ascii="Times New Roman" w:hAnsi="Times New Roman" w:cs="Times New Roman"/>
          <w:color w:val="000000" w:themeColor="text1"/>
        </w:rPr>
        <w:t>;</w:t>
      </w:r>
      <w:r w:rsidR="00274211" w:rsidRPr="00BC7BB5">
        <w:rPr>
          <w:rFonts w:ascii="Times New Roman" w:hAnsi="Times New Roman" w:cs="Times New Roman"/>
          <w:color w:val="000000" w:themeColor="text1"/>
        </w:rPr>
        <w:t xml:space="preserve"> </w:t>
      </w:r>
      <w:r w:rsidRPr="00BC7BB5">
        <w:rPr>
          <w:rFonts w:ascii="Times New Roman" w:hAnsi="Times New Roman" w:cs="Times New Roman"/>
          <w:color w:val="000000" w:themeColor="text1"/>
        </w:rPr>
        <w:t xml:space="preserve">and (v) networking services to foster collaboration between firms and within the broader public and private agri-food ecosystem. </w:t>
      </w:r>
      <w:r w:rsidR="00186E18" w:rsidRPr="00BC7BB5">
        <w:rPr>
          <w:rFonts w:ascii="Times New Roman" w:hAnsi="Times New Roman" w:cs="Times New Roman"/>
          <w:color w:val="000000" w:themeColor="text1"/>
        </w:rPr>
        <w:t xml:space="preserve">The CIAs would also provide </w:t>
      </w:r>
      <w:r w:rsidR="00D14192" w:rsidRPr="00BC7BB5">
        <w:rPr>
          <w:rFonts w:ascii="Times New Roman" w:hAnsi="Times New Roman" w:cs="Times New Roman"/>
          <w:color w:val="000000" w:themeColor="text1"/>
        </w:rPr>
        <w:t xml:space="preserve">specialized </w:t>
      </w:r>
      <w:r w:rsidR="009060C5" w:rsidRPr="00BC7BB5">
        <w:rPr>
          <w:rFonts w:ascii="Times New Roman" w:hAnsi="Times New Roman" w:cs="Times New Roman"/>
          <w:color w:val="000000" w:themeColor="text1"/>
        </w:rPr>
        <w:t xml:space="preserve">short </w:t>
      </w:r>
      <w:r w:rsidR="00186E18" w:rsidRPr="00BC7BB5">
        <w:rPr>
          <w:rFonts w:ascii="Times New Roman" w:hAnsi="Times New Roman" w:cs="Times New Roman"/>
          <w:color w:val="000000" w:themeColor="text1"/>
        </w:rPr>
        <w:t xml:space="preserve">training programs. Finding the right skills is one of the three main challenges highlighted by surveys of agri-food enterprises in Morocco. The </w:t>
      </w:r>
      <w:r w:rsidR="00186E18" w:rsidRPr="00BC7BB5">
        <w:rPr>
          <w:rFonts w:ascii="Times New Roman" w:hAnsi="Times New Roman" w:cs="Times New Roman"/>
          <w:i/>
          <w:color w:val="000000" w:themeColor="text1"/>
        </w:rPr>
        <w:t>Contrat-Programme</w:t>
      </w:r>
      <w:r w:rsidR="00186E18" w:rsidRPr="00BC7BB5">
        <w:rPr>
          <w:rFonts w:ascii="Times New Roman" w:hAnsi="Times New Roman" w:cs="Times New Roman"/>
          <w:color w:val="000000" w:themeColor="text1"/>
        </w:rPr>
        <w:t xml:space="preserve"> for the development of the agri-food sector (CP IAA) has identified and assessed the needs of skilled labor for main agri-food value chains and highlighted the need for specialized agri-food trained staff both at technical and management level.</w:t>
      </w:r>
      <w:r w:rsidR="00D14192" w:rsidRPr="00BC7BB5">
        <w:rPr>
          <w:rFonts w:ascii="Times New Roman" w:hAnsi="Times New Roman" w:cs="Times New Roman"/>
          <w:color w:val="000000" w:themeColor="text1"/>
        </w:rPr>
        <w:t xml:space="preserve"> </w:t>
      </w:r>
      <w:r w:rsidRPr="00BC7BB5">
        <w:rPr>
          <w:rFonts w:ascii="Times New Roman" w:hAnsi="Times New Roman" w:cs="Times New Roman"/>
          <w:color w:val="000000" w:themeColor="text1"/>
        </w:rPr>
        <w:t>The Program would support the design, establishment and operations of two CIAs. The main beneficiaries of the CIAs would be established agribusiness SMEs, agribusiness start-ups, and upstream agricultural operators (producers or their organizations) who are seeking to evolve towards (first or simple) processing or value-addition, and/or new product development</w:t>
      </w:r>
      <w:r w:rsidR="00B73308" w:rsidRPr="00BC7BB5">
        <w:rPr>
          <w:rFonts w:ascii="Times New Roman" w:hAnsi="Times New Roman" w:cs="Times New Roman"/>
          <w:color w:val="000000" w:themeColor="text1"/>
        </w:rPr>
        <w:t>, in all agri-food value-chains based on beneficiaries</w:t>
      </w:r>
      <w:r w:rsidR="00F87056" w:rsidRPr="00BC7BB5">
        <w:rPr>
          <w:rFonts w:ascii="Times New Roman" w:hAnsi="Times New Roman" w:cs="Times New Roman"/>
          <w:color w:val="000000" w:themeColor="text1"/>
        </w:rPr>
        <w:t>’</w:t>
      </w:r>
      <w:r w:rsidR="00B73308" w:rsidRPr="00BC7BB5">
        <w:rPr>
          <w:rFonts w:ascii="Times New Roman" w:hAnsi="Times New Roman" w:cs="Times New Roman"/>
          <w:color w:val="000000" w:themeColor="text1"/>
        </w:rPr>
        <w:t xml:space="preserve"> demand</w:t>
      </w:r>
      <w:r w:rsidR="00F87056" w:rsidRPr="00BC7BB5">
        <w:rPr>
          <w:rFonts w:ascii="Times New Roman" w:hAnsi="Times New Roman" w:cs="Times New Roman"/>
          <w:color w:val="000000" w:themeColor="text1"/>
        </w:rPr>
        <w:t>.</w:t>
      </w:r>
      <w:r w:rsidRPr="00BC7BB5">
        <w:rPr>
          <w:rFonts w:ascii="Times New Roman" w:hAnsi="Times New Roman" w:cs="Times New Roman"/>
          <w:color w:val="000000" w:themeColor="text1"/>
        </w:rPr>
        <w:t xml:space="preserve"> The implemen</w:t>
      </w:r>
      <w:r w:rsidR="00C37FD8" w:rsidRPr="00BC7BB5">
        <w:rPr>
          <w:rFonts w:ascii="Times New Roman" w:hAnsi="Times New Roman" w:cs="Times New Roman"/>
          <w:color w:val="000000" w:themeColor="text1"/>
        </w:rPr>
        <w:t>tation of tho</w:t>
      </w:r>
      <w:r w:rsidRPr="00BC7BB5">
        <w:rPr>
          <w:rFonts w:ascii="Times New Roman" w:hAnsi="Times New Roman" w:cs="Times New Roman"/>
          <w:color w:val="000000" w:themeColor="text1"/>
        </w:rPr>
        <w:t>se activities would be led by the Agribusiness Division of the DDFP</w:t>
      </w:r>
      <w:r w:rsidR="009060C5" w:rsidRPr="00BC7BB5">
        <w:rPr>
          <w:rFonts w:ascii="Times New Roman" w:hAnsi="Times New Roman" w:cs="Times New Roman"/>
          <w:color w:val="000000" w:themeColor="text1"/>
        </w:rPr>
        <w:t xml:space="preserve">. </w:t>
      </w:r>
      <w:r w:rsidR="009060C5" w:rsidRPr="00BC7BB5">
        <w:rPr>
          <w:rFonts w:ascii="Times New Roman" w:hAnsi="Times New Roman" w:cs="Times New Roman"/>
        </w:rPr>
        <w:t>To</w:t>
      </w:r>
      <w:r w:rsidR="009060C5" w:rsidRPr="00BC7BB5">
        <w:rPr>
          <w:rFonts w:ascii="Times New Roman" w:hAnsi="Times New Roman" w:cs="Times New Roman"/>
          <w:color w:val="222222"/>
        </w:rPr>
        <w:t xml:space="preserve"> ensure the financial sustainability of the CIAs and the alignment of their services with market demand, </w:t>
      </w:r>
      <w:r w:rsidR="002F7C39" w:rsidRPr="00BC7BB5">
        <w:rPr>
          <w:rFonts w:ascii="Times New Roman" w:hAnsi="Times New Roman" w:cs="Times New Roman"/>
          <w:color w:val="222222"/>
        </w:rPr>
        <w:t>CIA</w:t>
      </w:r>
      <w:r w:rsidR="009060C5" w:rsidRPr="00BC7BB5">
        <w:rPr>
          <w:rFonts w:ascii="Times New Roman" w:hAnsi="Times New Roman" w:cs="Times New Roman"/>
          <w:color w:val="222222"/>
        </w:rPr>
        <w:t xml:space="preserve"> management and operation would </w:t>
      </w:r>
      <w:r w:rsidR="002F7C39" w:rsidRPr="00BC7BB5">
        <w:rPr>
          <w:rFonts w:ascii="Times New Roman" w:hAnsi="Times New Roman" w:cs="Times New Roman"/>
          <w:color w:val="222222"/>
        </w:rPr>
        <w:t>involve a private partner (national or international operator with experience in the provision of services and training for producers and enterprises in the agri-food sector)</w:t>
      </w:r>
      <w:r w:rsidR="009060C5" w:rsidRPr="00BC7BB5">
        <w:rPr>
          <w:rFonts w:ascii="Times New Roman" w:hAnsi="Times New Roman" w:cs="Times New Roman"/>
          <w:color w:val="222222"/>
        </w:rPr>
        <w:t xml:space="preserve">, selected on a competitive basis, </w:t>
      </w:r>
      <w:r w:rsidR="002F7C39" w:rsidRPr="00BC7BB5">
        <w:rPr>
          <w:rFonts w:ascii="Times New Roman" w:hAnsi="Times New Roman" w:cs="Times New Roman"/>
          <w:color w:val="222222"/>
        </w:rPr>
        <w:t>with transferred</w:t>
      </w:r>
      <w:r w:rsidR="009060C5" w:rsidRPr="00BC7BB5">
        <w:rPr>
          <w:rFonts w:ascii="Times New Roman" w:hAnsi="Times New Roman" w:cs="Times New Roman"/>
          <w:color w:val="222222"/>
        </w:rPr>
        <w:t xml:space="preserve"> management responsibilities</w:t>
      </w:r>
      <w:r w:rsidR="002F7C39" w:rsidRPr="00BC7BB5">
        <w:rPr>
          <w:rFonts w:ascii="Times New Roman" w:hAnsi="Times New Roman" w:cs="Times New Roman"/>
          <w:color w:val="222222"/>
        </w:rPr>
        <w:t>. This model would</w:t>
      </w:r>
      <w:r w:rsidR="009060C5" w:rsidRPr="00BC7BB5">
        <w:rPr>
          <w:rFonts w:ascii="Times New Roman" w:hAnsi="Times New Roman" w:cs="Times New Roman"/>
          <w:color w:val="222222"/>
        </w:rPr>
        <w:t xml:space="preserve"> allow a higher degree of flexibility and efficiency in terms of </w:t>
      </w:r>
      <w:r w:rsidR="002F7C39" w:rsidRPr="00BC7BB5">
        <w:rPr>
          <w:rFonts w:ascii="Times New Roman" w:hAnsi="Times New Roman" w:cs="Times New Roman"/>
          <w:color w:val="222222"/>
        </w:rPr>
        <w:t xml:space="preserve">CIA management. </w:t>
      </w:r>
      <w:r w:rsidR="009060C5" w:rsidRPr="00BC7BB5">
        <w:rPr>
          <w:rFonts w:ascii="Times New Roman" w:hAnsi="Times New Roman" w:cs="Times New Roman"/>
          <w:color w:val="000000" w:themeColor="text1"/>
        </w:rPr>
        <w:t xml:space="preserve">The detailed CIA management model is being </w:t>
      </w:r>
      <w:r w:rsidR="002F7C39" w:rsidRPr="00BC7BB5">
        <w:rPr>
          <w:rFonts w:ascii="Times New Roman" w:hAnsi="Times New Roman" w:cs="Times New Roman"/>
          <w:color w:val="000000" w:themeColor="text1"/>
        </w:rPr>
        <w:t>finalized</w:t>
      </w:r>
      <w:r w:rsidR="009060C5" w:rsidRPr="00BC7BB5">
        <w:rPr>
          <w:rFonts w:ascii="Times New Roman" w:hAnsi="Times New Roman" w:cs="Times New Roman"/>
          <w:color w:val="000000" w:themeColor="text1"/>
        </w:rPr>
        <w:t xml:space="preserve"> among several options (</w:t>
      </w:r>
      <w:r w:rsidR="002F7C39" w:rsidRPr="00BC7BB5">
        <w:rPr>
          <w:rFonts w:ascii="Times New Roman" w:hAnsi="Times New Roman" w:cs="Times New Roman"/>
          <w:color w:val="000000" w:themeColor="text1"/>
        </w:rPr>
        <w:t xml:space="preserve">including </w:t>
      </w:r>
      <w:r w:rsidR="009060C5" w:rsidRPr="00BC7BB5">
        <w:rPr>
          <w:rFonts w:ascii="Times New Roman" w:hAnsi="Times New Roman" w:cs="Times New Roman"/>
          <w:color w:val="000000" w:themeColor="text1"/>
        </w:rPr>
        <w:t xml:space="preserve">public contracting, project under </w:t>
      </w:r>
      <w:r w:rsidR="00133CEC">
        <w:rPr>
          <w:rFonts w:ascii="Times New Roman" w:hAnsi="Times New Roman" w:cs="Times New Roman"/>
          <w:color w:val="000000" w:themeColor="text1"/>
        </w:rPr>
        <w:t>public-private partnership (</w:t>
      </w:r>
      <w:r w:rsidR="009060C5" w:rsidRPr="00BC7BB5">
        <w:rPr>
          <w:rFonts w:ascii="Times New Roman" w:hAnsi="Times New Roman" w:cs="Times New Roman"/>
          <w:color w:val="000000" w:themeColor="text1"/>
        </w:rPr>
        <w:t>PPP</w:t>
      </w:r>
      <w:r w:rsidR="00133CEC">
        <w:rPr>
          <w:rFonts w:ascii="Times New Roman" w:hAnsi="Times New Roman" w:cs="Times New Roman"/>
          <w:color w:val="000000" w:themeColor="text1"/>
        </w:rPr>
        <w:fldChar w:fldCharType="begin"/>
      </w:r>
      <w:r w:rsidR="00133CEC">
        <w:instrText xml:space="preserve"> XE "</w:instrText>
      </w:r>
      <w:r w:rsidR="00133CEC" w:rsidRPr="0076552D">
        <w:rPr>
          <w:rFonts w:ascii="Times New Roman" w:hAnsi="Times New Roman" w:cs="Times New Roman"/>
          <w:color w:val="000000" w:themeColor="text1"/>
        </w:rPr>
        <w:instrText>PPP:</w:instrText>
      </w:r>
      <w:r w:rsidR="00133CEC" w:rsidRPr="0076552D">
        <w:instrText>public-private partnership</w:instrText>
      </w:r>
      <w:r w:rsidR="00133CEC">
        <w:instrText xml:space="preserve">" </w:instrText>
      </w:r>
      <w:r w:rsidR="00133CEC">
        <w:rPr>
          <w:rFonts w:ascii="Times New Roman" w:hAnsi="Times New Roman" w:cs="Times New Roman"/>
          <w:color w:val="000000" w:themeColor="text1"/>
        </w:rPr>
        <w:fldChar w:fldCharType="end"/>
      </w:r>
      <w:r w:rsidR="00133CEC">
        <w:rPr>
          <w:rFonts w:ascii="Times New Roman" w:hAnsi="Times New Roman" w:cs="Times New Roman"/>
          <w:color w:val="000000" w:themeColor="text1"/>
        </w:rPr>
        <w:t>)</w:t>
      </w:r>
      <w:r w:rsidR="009060C5" w:rsidRPr="00BC7BB5">
        <w:rPr>
          <w:rFonts w:ascii="Times New Roman" w:hAnsi="Times New Roman" w:cs="Times New Roman"/>
          <w:color w:val="000000" w:themeColor="text1"/>
        </w:rPr>
        <w:t xml:space="preserve"> law, new dedicated p</w:t>
      </w:r>
      <w:r w:rsidR="002F7C39" w:rsidRPr="00BC7BB5">
        <w:rPr>
          <w:rFonts w:ascii="Times New Roman" w:hAnsi="Times New Roman" w:cs="Times New Roman"/>
          <w:color w:val="000000" w:themeColor="text1"/>
        </w:rPr>
        <w:t>ublic-private owned entity, or assoc</w:t>
      </w:r>
      <w:r w:rsidR="00802E2E">
        <w:rPr>
          <w:rFonts w:ascii="Times New Roman" w:hAnsi="Times New Roman" w:cs="Times New Roman"/>
          <w:color w:val="000000" w:themeColor="text1"/>
        </w:rPr>
        <w:t>i</w:t>
      </w:r>
      <w:r w:rsidR="002F7C39" w:rsidRPr="00BC7BB5">
        <w:rPr>
          <w:rFonts w:ascii="Times New Roman" w:hAnsi="Times New Roman" w:cs="Times New Roman"/>
          <w:color w:val="000000" w:themeColor="text1"/>
        </w:rPr>
        <w:t>ation)</w:t>
      </w:r>
      <w:r w:rsidRPr="00BC7BB5">
        <w:rPr>
          <w:rFonts w:ascii="Times New Roman" w:hAnsi="Times New Roman" w:cs="Times New Roman"/>
          <w:color w:val="000000" w:themeColor="text1"/>
        </w:rPr>
        <w:t>.</w:t>
      </w:r>
    </w:p>
    <w:p w14:paraId="53F99AB9" w14:textId="77777777" w:rsidR="00093AA4" w:rsidRPr="00BC7BB5" w:rsidRDefault="00093AA4" w:rsidP="00093AA4">
      <w:pPr>
        <w:spacing w:after="0"/>
        <w:jc w:val="both"/>
        <w:rPr>
          <w:rFonts w:ascii="Times New Roman" w:hAnsi="Times New Roman" w:cs="Times New Roman"/>
          <w:color w:val="000000" w:themeColor="text1"/>
        </w:rPr>
      </w:pPr>
    </w:p>
    <w:p w14:paraId="29B196CE" w14:textId="5E3616C7" w:rsidR="00093AA4" w:rsidRPr="00BC7BB5" w:rsidRDefault="00093AA4" w:rsidP="00F561E8">
      <w:pPr>
        <w:pStyle w:val="ListParagraph"/>
        <w:numPr>
          <w:ilvl w:val="0"/>
          <w:numId w:val="26"/>
        </w:numPr>
        <w:spacing w:after="0" w:line="240" w:lineRule="auto"/>
        <w:ind w:left="0" w:firstLine="0"/>
        <w:jc w:val="both"/>
        <w:rPr>
          <w:rFonts w:ascii="Times New Roman" w:hAnsi="Times New Roman" w:cs="Times New Roman"/>
          <w:color w:val="000000" w:themeColor="text1"/>
        </w:rPr>
      </w:pPr>
      <w:r w:rsidRPr="00BC7BB5">
        <w:rPr>
          <w:rFonts w:ascii="Times New Roman" w:hAnsi="Times New Roman" w:cs="Times New Roman"/>
          <w:b/>
          <w:bCs/>
          <w:color w:val="000000" w:themeColor="text1"/>
        </w:rPr>
        <w:t xml:space="preserve">Financing innovation </w:t>
      </w:r>
      <w:r w:rsidRPr="00BC7BB5">
        <w:rPr>
          <w:rFonts w:ascii="Times New Roman" w:hAnsi="Times New Roman" w:cs="Times New Roman"/>
          <w:bCs/>
          <w:color w:val="000000" w:themeColor="text1"/>
        </w:rPr>
        <w:t>(</w:t>
      </w:r>
      <w:r w:rsidR="00186E18" w:rsidRPr="00BC7BB5">
        <w:rPr>
          <w:rFonts w:ascii="Times New Roman" w:hAnsi="Times New Roman" w:cs="Times New Roman"/>
          <w:bCs/>
          <w:color w:val="000000" w:themeColor="text1"/>
        </w:rPr>
        <w:t>2.4</w:t>
      </w:r>
      <w:r w:rsidRPr="00BC7BB5">
        <w:rPr>
          <w:rFonts w:ascii="Times New Roman" w:hAnsi="Times New Roman" w:cs="Times New Roman"/>
          <w:bCs/>
          <w:color w:val="000000" w:themeColor="text1"/>
        </w:rPr>
        <w:t xml:space="preserve">). Complementing the development of the CIAs, the Program would include the funding of a </w:t>
      </w:r>
      <w:r w:rsidR="00186E18" w:rsidRPr="00BC7BB5">
        <w:rPr>
          <w:rFonts w:ascii="Times New Roman" w:hAnsi="Times New Roman" w:cs="Times New Roman"/>
          <w:bCs/>
          <w:color w:val="000000" w:themeColor="text1"/>
        </w:rPr>
        <w:t xml:space="preserve">competitive innovation </w:t>
      </w:r>
      <w:r w:rsidRPr="00BC7BB5">
        <w:rPr>
          <w:rFonts w:ascii="Times New Roman" w:hAnsi="Times New Roman" w:cs="Times New Roman"/>
          <w:bCs/>
          <w:color w:val="000000" w:themeColor="text1"/>
        </w:rPr>
        <w:t>grant mechanism to finance innovation by SMEs</w:t>
      </w:r>
      <w:r w:rsidR="002F7C39" w:rsidRPr="00BC7BB5">
        <w:rPr>
          <w:rFonts w:ascii="Times New Roman" w:hAnsi="Times New Roman" w:cs="Times New Roman"/>
          <w:bCs/>
          <w:color w:val="000000" w:themeColor="text1"/>
        </w:rPr>
        <w:t>,</w:t>
      </w:r>
      <w:r w:rsidRPr="00BC7BB5">
        <w:rPr>
          <w:rFonts w:ascii="Times New Roman" w:hAnsi="Times New Roman" w:cs="Times New Roman"/>
          <w:bCs/>
          <w:color w:val="000000" w:themeColor="text1"/>
        </w:rPr>
        <w:t xml:space="preserve"> sta</w:t>
      </w:r>
      <w:r w:rsidR="00D776F9" w:rsidRPr="00BC7BB5">
        <w:rPr>
          <w:rFonts w:ascii="Times New Roman" w:hAnsi="Times New Roman" w:cs="Times New Roman"/>
          <w:bCs/>
          <w:color w:val="000000" w:themeColor="text1"/>
        </w:rPr>
        <w:t xml:space="preserve">rt-ups </w:t>
      </w:r>
      <w:r w:rsidR="002F7C39" w:rsidRPr="00BC7BB5">
        <w:rPr>
          <w:rFonts w:ascii="Times New Roman" w:hAnsi="Times New Roman" w:cs="Times New Roman"/>
          <w:bCs/>
          <w:color w:val="000000" w:themeColor="text1"/>
        </w:rPr>
        <w:t xml:space="preserve">and producer organizations </w:t>
      </w:r>
      <w:r w:rsidR="00D776F9" w:rsidRPr="00BC7BB5">
        <w:rPr>
          <w:rFonts w:ascii="Times New Roman" w:hAnsi="Times New Roman" w:cs="Times New Roman"/>
          <w:bCs/>
          <w:color w:val="000000" w:themeColor="text1"/>
        </w:rPr>
        <w:t>in the agri-food sector</w:t>
      </w:r>
      <w:r w:rsidR="002F7C39" w:rsidRPr="00BC7BB5">
        <w:rPr>
          <w:rFonts w:ascii="Times New Roman" w:hAnsi="Times New Roman" w:cs="Times New Roman"/>
          <w:bCs/>
          <w:color w:val="000000" w:themeColor="text1"/>
        </w:rPr>
        <w:t xml:space="preserve"> targeting the development and market introduction of a new agri-food product, service or technology, including environment-friendly or climate smart technologies for the agri-food sector</w:t>
      </w:r>
      <w:r w:rsidRPr="00BC7BB5">
        <w:rPr>
          <w:rFonts w:ascii="Times New Roman" w:hAnsi="Times New Roman" w:cs="Times New Roman"/>
          <w:bCs/>
          <w:color w:val="000000" w:themeColor="text1"/>
        </w:rPr>
        <w:t xml:space="preserve">. The Program would offer grants to innovation projects </w:t>
      </w:r>
      <w:r w:rsidR="00D776F9" w:rsidRPr="00BC7BB5">
        <w:rPr>
          <w:rFonts w:ascii="Times New Roman" w:hAnsi="Times New Roman" w:cs="Times New Roman"/>
          <w:bCs/>
          <w:color w:val="000000" w:themeColor="text1"/>
        </w:rPr>
        <w:t>submitted</w:t>
      </w:r>
      <w:r w:rsidRPr="00BC7BB5">
        <w:rPr>
          <w:rFonts w:ascii="Times New Roman" w:hAnsi="Times New Roman" w:cs="Times New Roman"/>
          <w:bCs/>
          <w:color w:val="000000" w:themeColor="text1"/>
        </w:rPr>
        <w:t xml:space="preserve"> by </w:t>
      </w:r>
      <w:r w:rsidR="002F7C39" w:rsidRPr="00BC7BB5">
        <w:rPr>
          <w:rFonts w:ascii="Times New Roman" w:hAnsi="Times New Roman" w:cs="Times New Roman"/>
          <w:bCs/>
          <w:color w:val="000000" w:themeColor="text1"/>
        </w:rPr>
        <w:t>proponents</w:t>
      </w:r>
      <w:r w:rsidRPr="00BC7BB5">
        <w:rPr>
          <w:rFonts w:ascii="Times New Roman" w:hAnsi="Times New Roman" w:cs="Times New Roman"/>
          <w:bCs/>
          <w:color w:val="000000" w:themeColor="text1"/>
        </w:rPr>
        <w:t xml:space="preserve">. Grants would be attributed on a competitive basis based on project business plans and alignment with Program objectives in terms of value chain targeting, youth and gender inclusiveness, and environment sustainability.  Through the matching grants, beneficiaries would be able to access support services and test-phase investments for the development of projects that contributes to open growth opportunities, at product or process level. Services will be provided by private experts selected on project-basis. </w:t>
      </w:r>
      <w:r w:rsidRPr="00BC7BB5">
        <w:rPr>
          <w:rFonts w:ascii="Times New Roman" w:hAnsi="Times New Roman" w:cs="Times New Roman"/>
          <w:color w:val="231F20"/>
        </w:rPr>
        <w:t xml:space="preserve">The mechanism </w:t>
      </w:r>
      <w:r w:rsidR="00186E18" w:rsidRPr="00BC7BB5">
        <w:rPr>
          <w:rFonts w:ascii="Times New Roman" w:hAnsi="Times New Roman" w:cs="Times New Roman"/>
          <w:color w:val="231F20"/>
        </w:rPr>
        <w:t xml:space="preserve">would </w:t>
      </w:r>
      <w:r w:rsidRPr="00BC7BB5">
        <w:rPr>
          <w:rFonts w:ascii="Times New Roman" w:hAnsi="Times New Roman" w:cs="Times New Roman"/>
          <w:color w:val="231F20"/>
        </w:rPr>
        <w:t>be managed by CIA staff, as a coordinator between beneficiaries and expert service providers</w:t>
      </w:r>
      <w:r w:rsidRPr="00BC7BB5">
        <w:rPr>
          <w:rFonts w:ascii="Minion-Regular" w:hAnsi="Minion-Regular" w:cs="Minion-Regular"/>
          <w:color w:val="231F20"/>
          <w:sz w:val="20"/>
          <w:szCs w:val="20"/>
        </w:rPr>
        <w:t xml:space="preserve">. </w:t>
      </w:r>
      <w:r w:rsidRPr="00BC7BB5">
        <w:rPr>
          <w:rFonts w:ascii="Times New Roman" w:hAnsi="Times New Roman" w:cs="Times New Roman"/>
          <w:bCs/>
          <w:color w:val="000000" w:themeColor="text1"/>
        </w:rPr>
        <w:t xml:space="preserve"> To strengthen the result-oriented management model of the CIA, as well as an active role in projects sourcing, and building on the experience of industry-centers developed by MICIEN in Morocco, part of the public funding of CIA </w:t>
      </w:r>
      <w:r w:rsidR="00317E73" w:rsidRPr="00BC7BB5">
        <w:rPr>
          <w:rFonts w:ascii="Times New Roman" w:hAnsi="Times New Roman" w:cs="Times New Roman"/>
          <w:bCs/>
          <w:color w:val="000000" w:themeColor="text1"/>
        </w:rPr>
        <w:t xml:space="preserve">would </w:t>
      </w:r>
      <w:r w:rsidRPr="00BC7BB5">
        <w:rPr>
          <w:rFonts w:ascii="Times New Roman" w:hAnsi="Times New Roman" w:cs="Times New Roman"/>
          <w:bCs/>
          <w:color w:val="000000" w:themeColor="text1"/>
        </w:rPr>
        <w:t xml:space="preserve">be indexed on the implementation of </w:t>
      </w:r>
      <w:r w:rsidR="00D776F9" w:rsidRPr="00BC7BB5">
        <w:rPr>
          <w:rFonts w:ascii="Times New Roman" w:hAnsi="Times New Roman" w:cs="Times New Roman"/>
          <w:bCs/>
          <w:color w:val="000000" w:themeColor="text1"/>
        </w:rPr>
        <w:t xml:space="preserve">projects supported by </w:t>
      </w:r>
      <w:r w:rsidR="002F7C39" w:rsidRPr="00BC7BB5">
        <w:rPr>
          <w:rFonts w:ascii="Times New Roman" w:hAnsi="Times New Roman" w:cs="Times New Roman"/>
          <w:bCs/>
          <w:color w:val="000000" w:themeColor="text1"/>
        </w:rPr>
        <w:t>the competitive innovation</w:t>
      </w:r>
      <w:r w:rsidRPr="00BC7BB5">
        <w:rPr>
          <w:rFonts w:ascii="Times New Roman" w:hAnsi="Times New Roman" w:cs="Times New Roman"/>
          <w:bCs/>
          <w:color w:val="000000" w:themeColor="text1"/>
        </w:rPr>
        <w:t xml:space="preserve"> grants.</w:t>
      </w:r>
    </w:p>
    <w:p w14:paraId="4752BAD2" w14:textId="77777777" w:rsidR="00101311" w:rsidRPr="00BC7BB5" w:rsidRDefault="00101311" w:rsidP="00101311">
      <w:pPr>
        <w:pStyle w:val="ListParagraph"/>
        <w:rPr>
          <w:rFonts w:ascii="Times New Roman" w:hAnsi="Times New Roman" w:cs="Times New Roman"/>
          <w:color w:val="000000" w:themeColor="text1"/>
        </w:rPr>
      </w:pPr>
    </w:p>
    <w:p w14:paraId="79A1CB8E" w14:textId="30DA9A12" w:rsidR="000D2245" w:rsidRPr="00BC7BB5" w:rsidRDefault="000D2245" w:rsidP="00F561E8">
      <w:pPr>
        <w:pStyle w:val="ListParagraph"/>
        <w:numPr>
          <w:ilvl w:val="0"/>
          <w:numId w:val="26"/>
        </w:numPr>
        <w:spacing w:after="0" w:line="240" w:lineRule="auto"/>
        <w:ind w:left="0" w:firstLine="0"/>
        <w:jc w:val="both"/>
        <w:rPr>
          <w:rFonts w:ascii="Times New Roman" w:hAnsi="Times New Roman" w:cs="Times New Roman"/>
          <w:color w:val="000000" w:themeColor="text1"/>
        </w:rPr>
      </w:pPr>
      <w:r w:rsidRPr="00BC7BB5">
        <w:rPr>
          <w:rFonts w:ascii="Times New Roman" w:hAnsi="Times New Roman" w:cs="Times New Roman"/>
          <w:color w:val="000000" w:themeColor="text1"/>
        </w:rPr>
        <w:t>Figu</w:t>
      </w:r>
      <w:r w:rsidR="000879EC" w:rsidRPr="00BC7BB5">
        <w:rPr>
          <w:rFonts w:ascii="Times New Roman" w:hAnsi="Times New Roman" w:cs="Times New Roman"/>
          <w:color w:val="000000" w:themeColor="text1"/>
        </w:rPr>
        <w:t>re A1.1 below summarizes the combination</w:t>
      </w:r>
      <w:r w:rsidRPr="00BC7BB5">
        <w:rPr>
          <w:rFonts w:ascii="Times New Roman" w:hAnsi="Times New Roman" w:cs="Times New Roman"/>
          <w:color w:val="000000" w:themeColor="text1"/>
        </w:rPr>
        <w:t xml:space="preserve"> of tran</w:t>
      </w:r>
      <w:r w:rsidR="00802E2E">
        <w:rPr>
          <w:rFonts w:ascii="Times New Roman" w:hAnsi="Times New Roman" w:cs="Times New Roman"/>
          <w:color w:val="000000" w:themeColor="text1"/>
        </w:rPr>
        <w:t>s</w:t>
      </w:r>
      <w:r w:rsidRPr="00BC7BB5">
        <w:rPr>
          <w:rFonts w:ascii="Times New Roman" w:hAnsi="Times New Roman" w:cs="Times New Roman"/>
          <w:color w:val="000000" w:themeColor="text1"/>
        </w:rPr>
        <w:t xml:space="preserve">versal and </w:t>
      </w:r>
      <w:r w:rsidR="000879EC" w:rsidRPr="00BC7BB5">
        <w:rPr>
          <w:rFonts w:ascii="Times New Roman" w:hAnsi="Times New Roman" w:cs="Times New Roman"/>
          <w:color w:val="000000" w:themeColor="text1"/>
        </w:rPr>
        <w:t>value-chain-specific</w:t>
      </w:r>
      <w:r w:rsidRPr="00BC7BB5">
        <w:rPr>
          <w:rFonts w:ascii="Times New Roman" w:hAnsi="Times New Roman" w:cs="Times New Roman"/>
          <w:color w:val="000000" w:themeColor="text1"/>
        </w:rPr>
        <w:t xml:space="preserve"> activities supported by the Program.</w:t>
      </w:r>
    </w:p>
    <w:p w14:paraId="35EA82A1" w14:textId="1CB5DC57" w:rsidR="000D2245" w:rsidRPr="00BC7BB5" w:rsidRDefault="000D2245" w:rsidP="000D2245">
      <w:pPr>
        <w:spacing w:after="0" w:line="240" w:lineRule="auto"/>
        <w:jc w:val="both"/>
        <w:rPr>
          <w:rFonts w:ascii="Times New Roman" w:hAnsi="Times New Roman" w:cs="Times New Roman"/>
        </w:rPr>
      </w:pPr>
    </w:p>
    <w:p w14:paraId="381A59A3" w14:textId="77777777" w:rsidR="000879EC" w:rsidRPr="00BC7BB5" w:rsidRDefault="000879EC" w:rsidP="000879EC">
      <w:pPr>
        <w:spacing w:after="0" w:line="240" w:lineRule="auto"/>
        <w:jc w:val="center"/>
        <w:rPr>
          <w:rFonts w:ascii="Times New Roman" w:hAnsi="Times New Roman" w:cs="Times New Roman"/>
          <w:b/>
        </w:rPr>
      </w:pPr>
    </w:p>
    <w:p w14:paraId="6060CC03" w14:textId="77777777" w:rsidR="000879EC" w:rsidRPr="00BC7BB5" w:rsidRDefault="000879EC" w:rsidP="000879EC">
      <w:pPr>
        <w:spacing w:after="0" w:line="240" w:lineRule="auto"/>
        <w:jc w:val="center"/>
        <w:rPr>
          <w:rFonts w:ascii="Times New Roman" w:hAnsi="Times New Roman" w:cs="Times New Roman"/>
          <w:b/>
        </w:rPr>
      </w:pPr>
    </w:p>
    <w:p w14:paraId="358758DC" w14:textId="77777777" w:rsidR="000879EC" w:rsidRPr="00BC7BB5" w:rsidRDefault="000879EC" w:rsidP="000879EC">
      <w:pPr>
        <w:spacing w:after="0" w:line="240" w:lineRule="auto"/>
        <w:jc w:val="center"/>
        <w:rPr>
          <w:rFonts w:ascii="Times New Roman" w:hAnsi="Times New Roman" w:cs="Times New Roman"/>
          <w:b/>
        </w:rPr>
      </w:pPr>
    </w:p>
    <w:p w14:paraId="0948C440" w14:textId="77777777" w:rsidR="000879EC" w:rsidRPr="00BC7BB5" w:rsidRDefault="000879EC" w:rsidP="000879EC">
      <w:pPr>
        <w:spacing w:after="0" w:line="240" w:lineRule="auto"/>
        <w:jc w:val="center"/>
        <w:rPr>
          <w:rFonts w:ascii="Times New Roman" w:hAnsi="Times New Roman" w:cs="Times New Roman"/>
          <w:b/>
        </w:rPr>
      </w:pPr>
    </w:p>
    <w:p w14:paraId="6FC227B3" w14:textId="77777777" w:rsidR="000879EC" w:rsidRPr="00BC7BB5" w:rsidRDefault="000879EC" w:rsidP="000879EC">
      <w:pPr>
        <w:spacing w:after="0" w:line="240" w:lineRule="auto"/>
        <w:jc w:val="center"/>
        <w:rPr>
          <w:rFonts w:ascii="Times New Roman" w:hAnsi="Times New Roman" w:cs="Times New Roman"/>
          <w:b/>
        </w:rPr>
      </w:pPr>
    </w:p>
    <w:p w14:paraId="628B0004" w14:textId="77777777" w:rsidR="000879EC" w:rsidRPr="00BC7BB5" w:rsidRDefault="000879EC" w:rsidP="000879EC">
      <w:pPr>
        <w:spacing w:after="0" w:line="240" w:lineRule="auto"/>
        <w:jc w:val="center"/>
        <w:rPr>
          <w:rFonts w:ascii="Times New Roman" w:hAnsi="Times New Roman" w:cs="Times New Roman"/>
          <w:b/>
        </w:rPr>
      </w:pPr>
    </w:p>
    <w:p w14:paraId="7BC04AC2" w14:textId="77777777" w:rsidR="000879EC" w:rsidRPr="00BC7BB5" w:rsidRDefault="000879EC" w:rsidP="000879EC">
      <w:pPr>
        <w:spacing w:after="0" w:line="240" w:lineRule="auto"/>
        <w:jc w:val="center"/>
        <w:rPr>
          <w:rFonts w:ascii="Times New Roman" w:hAnsi="Times New Roman" w:cs="Times New Roman"/>
          <w:b/>
        </w:rPr>
      </w:pPr>
    </w:p>
    <w:p w14:paraId="7A3745FD" w14:textId="77777777" w:rsidR="000879EC" w:rsidRPr="00BC7BB5" w:rsidRDefault="000879EC" w:rsidP="000879EC">
      <w:pPr>
        <w:spacing w:after="0" w:line="240" w:lineRule="auto"/>
        <w:jc w:val="center"/>
        <w:rPr>
          <w:rFonts w:ascii="Times New Roman" w:hAnsi="Times New Roman" w:cs="Times New Roman"/>
          <w:b/>
        </w:rPr>
      </w:pPr>
    </w:p>
    <w:p w14:paraId="099CBEC1" w14:textId="77777777" w:rsidR="000879EC" w:rsidRPr="00BC7BB5" w:rsidRDefault="000879EC" w:rsidP="000879EC">
      <w:pPr>
        <w:spacing w:after="0" w:line="240" w:lineRule="auto"/>
        <w:jc w:val="center"/>
        <w:rPr>
          <w:rFonts w:ascii="Times New Roman" w:hAnsi="Times New Roman" w:cs="Times New Roman"/>
          <w:b/>
        </w:rPr>
      </w:pPr>
    </w:p>
    <w:p w14:paraId="10B14B0F" w14:textId="77777777" w:rsidR="000879EC" w:rsidRPr="00BC7BB5" w:rsidRDefault="000879EC" w:rsidP="000879EC">
      <w:pPr>
        <w:spacing w:after="0" w:line="240" w:lineRule="auto"/>
        <w:jc w:val="center"/>
        <w:rPr>
          <w:rFonts w:ascii="Times New Roman" w:hAnsi="Times New Roman" w:cs="Times New Roman"/>
          <w:b/>
        </w:rPr>
      </w:pPr>
    </w:p>
    <w:p w14:paraId="6BD30710" w14:textId="77777777" w:rsidR="000879EC" w:rsidRPr="00BC7BB5" w:rsidRDefault="000879EC" w:rsidP="000879EC">
      <w:pPr>
        <w:spacing w:after="0" w:line="240" w:lineRule="auto"/>
        <w:jc w:val="center"/>
        <w:rPr>
          <w:rFonts w:ascii="Times New Roman" w:hAnsi="Times New Roman" w:cs="Times New Roman"/>
          <w:b/>
        </w:rPr>
      </w:pPr>
    </w:p>
    <w:p w14:paraId="4D98C1E4" w14:textId="77777777" w:rsidR="000879EC" w:rsidRPr="00BC7BB5" w:rsidRDefault="000879EC" w:rsidP="000879EC">
      <w:pPr>
        <w:spacing w:after="0" w:line="240" w:lineRule="auto"/>
        <w:jc w:val="center"/>
        <w:rPr>
          <w:rFonts w:ascii="Times New Roman" w:hAnsi="Times New Roman" w:cs="Times New Roman"/>
          <w:b/>
        </w:rPr>
      </w:pPr>
    </w:p>
    <w:p w14:paraId="64D67E6B" w14:textId="77777777" w:rsidR="000879EC" w:rsidRPr="00BC7BB5" w:rsidRDefault="000879EC" w:rsidP="000879EC">
      <w:pPr>
        <w:spacing w:after="0" w:line="240" w:lineRule="auto"/>
        <w:jc w:val="center"/>
        <w:rPr>
          <w:rFonts w:ascii="Times New Roman" w:hAnsi="Times New Roman" w:cs="Times New Roman"/>
          <w:b/>
        </w:rPr>
      </w:pPr>
    </w:p>
    <w:p w14:paraId="6C32CE9B" w14:textId="77777777" w:rsidR="000879EC" w:rsidRPr="00BC7BB5" w:rsidRDefault="000879EC" w:rsidP="000879EC">
      <w:pPr>
        <w:spacing w:after="0" w:line="240" w:lineRule="auto"/>
        <w:jc w:val="center"/>
        <w:rPr>
          <w:rFonts w:ascii="Times New Roman" w:hAnsi="Times New Roman" w:cs="Times New Roman"/>
          <w:b/>
        </w:rPr>
      </w:pPr>
    </w:p>
    <w:p w14:paraId="7534E3EA" w14:textId="77777777" w:rsidR="000879EC" w:rsidRPr="00BC7BB5" w:rsidRDefault="000879EC" w:rsidP="000879EC">
      <w:pPr>
        <w:spacing w:after="0" w:line="240" w:lineRule="auto"/>
        <w:jc w:val="center"/>
        <w:rPr>
          <w:rFonts w:ascii="Times New Roman" w:hAnsi="Times New Roman" w:cs="Times New Roman"/>
          <w:b/>
        </w:rPr>
      </w:pPr>
    </w:p>
    <w:p w14:paraId="10DC5FE2" w14:textId="23230B65" w:rsidR="000879EC" w:rsidRDefault="000879EC" w:rsidP="000879EC">
      <w:pPr>
        <w:spacing w:after="0" w:line="240" w:lineRule="auto"/>
        <w:jc w:val="center"/>
        <w:rPr>
          <w:rFonts w:ascii="Times New Roman" w:hAnsi="Times New Roman" w:cs="Times New Roman"/>
          <w:b/>
        </w:rPr>
      </w:pPr>
    </w:p>
    <w:p w14:paraId="1278F072" w14:textId="77777777" w:rsidR="00A9238B" w:rsidRPr="00BC7BB5" w:rsidRDefault="00A9238B" w:rsidP="000879EC">
      <w:pPr>
        <w:spacing w:after="0" w:line="240" w:lineRule="auto"/>
        <w:jc w:val="center"/>
        <w:rPr>
          <w:rFonts w:ascii="Times New Roman" w:hAnsi="Times New Roman" w:cs="Times New Roman"/>
          <w:b/>
        </w:rPr>
      </w:pPr>
    </w:p>
    <w:p w14:paraId="07D2A5A3" w14:textId="1EFD690B" w:rsidR="000879EC" w:rsidRPr="00BC7BB5" w:rsidRDefault="000879EC" w:rsidP="000879EC">
      <w:pPr>
        <w:spacing w:after="0" w:line="240" w:lineRule="auto"/>
        <w:jc w:val="center"/>
        <w:rPr>
          <w:rFonts w:ascii="Times New Roman" w:hAnsi="Times New Roman" w:cs="Times New Roman"/>
          <w:b/>
        </w:rPr>
      </w:pPr>
      <w:r w:rsidRPr="00BC7BB5">
        <w:rPr>
          <w:rFonts w:ascii="Times New Roman" w:hAnsi="Times New Roman" w:cs="Times New Roman"/>
          <w:b/>
        </w:rPr>
        <w:t>Figure A1.1 – Program transversal and value-chain-specific activities</w:t>
      </w:r>
    </w:p>
    <w:p w14:paraId="00A22B31" w14:textId="77777777" w:rsidR="000D2245" w:rsidRPr="00BC7BB5" w:rsidRDefault="000D2245" w:rsidP="000D2245">
      <w:pPr>
        <w:spacing w:after="0" w:line="240" w:lineRule="auto"/>
        <w:jc w:val="both"/>
        <w:rPr>
          <w:rFonts w:ascii="Times New Roman" w:hAnsi="Times New Roman" w:cs="Times New Roman"/>
        </w:rPr>
      </w:pPr>
    </w:p>
    <w:p w14:paraId="685F9BF7" w14:textId="77777777" w:rsidR="000D2245" w:rsidRPr="00A9238B" w:rsidRDefault="000D2245" w:rsidP="000D2245">
      <w:pPr>
        <w:pStyle w:val="ListParagraph"/>
        <w:rPr>
          <w:rFonts w:ascii="Times New Roman" w:hAnsi="Times New Roman" w:cs="Times New Roman"/>
        </w:rPr>
      </w:pPr>
      <w:r w:rsidRPr="00A9238B">
        <w:rPr>
          <w:rFonts w:ascii="Times New Roman" w:hAnsi="Times New Roman" w:cs="Times New Roman"/>
          <w:noProof/>
        </w:rPr>
        <mc:AlternateContent>
          <mc:Choice Requires="wps">
            <w:drawing>
              <wp:anchor distT="0" distB="0" distL="114300" distR="114300" simplePos="0" relativeHeight="251675648" behindDoc="0" locked="0" layoutInCell="1" allowOverlap="1" wp14:anchorId="1117B3F8" wp14:editId="555FFC78">
                <wp:simplePos x="0" y="0"/>
                <wp:positionH relativeFrom="column">
                  <wp:posOffset>2143124</wp:posOffset>
                </wp:positionH>
                <wp:positionV relativeFrom="paragraph">
                  <wp:posOffset>5715</wp:posOffset>
                </wp:positionV>
                <wp:extent cx="3914775" cy="742950"/>
                <wp:effectExtent l="0" t="0" r="9525" b="0"/>
                <wp:wrapNone/>
                <wp:docPr id="25" name="Rectangle 8"/>
                <wp:cNvGraphicFramePr/>
                <a:graphic xmlns:a="http://schemas.openxmlformats.org/drawingml/2006/main">
                  <a:graphicData uri="http://schemas.microsoft.com/office/word/2010/wordprocessingShape">
                    <wps:wsp>
                      <wps:cNvSpPr/>
                      <wps:spPr>
                        <a:xfrm>
                          <a:off x="0" y="0"/>
                          <a:ext cx="3914775" cy="742950"/>
                        </a:xfrm>
                        <a:prstGeom prst="rect">
                          <a:avLst/>
                        </a:prstGeom>
                        <a:solidFill>
                          <a:schemeClr val="tx2">
                            <a:lumMod val="75000"/>
                            <a:lumOff val="25000"/>
                          </a:schemeClr>
                        </a:solidFill>
                        <a:ln>
                          <a:noFill/>
                        </a:ln>
                      </wps:spPr>
                      <wps:style>
                        <a:lnRef idx="1">
                          <a:schemeClr val="accent3"/>
                        </a:lnRef>
                        <a:fillRef idx="3">
                          <a:schemeClr val="accent3"/>
                        </a:fillRef>
                        <a:effectRef idx="2">
                          <a:schemeClr val="accent3"/>
                        </a:effectRef>
                        <a:fontRef idx="minor">
                          <a:schemeClr val="lt1"/>
                        </a:fontRef>
                      </wps:style>
                      <wps:txbx>
                        <w:txbxContent>
                          <w:p w14:paraId="3CE2EDF5" w14:textId="77777777" w:rsidR="00A677A0" w:rsidRPr="00916A1F" w:rsidRDefault="00A677A0" w:rsidP="000D2245">
                            <w:pPr>
                              <w:spacing w:after="0" w:line="240" w:lineRule="auto"/>
                              <w:jc w:val="center"/>
                              <w:rPr>
                                <w:rFonts w:ascii="Arial" w:eastAsiaTheme="minorEastAsia" w:hAnsi="Arial" w:cs="Arial"/>
                                <w:b/>
                                <w:color w:val="FFFFFF" w:themeColor="background1"/>
                                <w:kern w:val="24"/>
                                <w:sz w:val="18"/>
                                <w:szCs w:val="18"/>
                                <w:u w:val="single"/>
                              </w:rPr>
                            </w:pPr>
                            <w:r w:rsidRPr="00916A1F">
                              <w:rPr>
                                <w:rFonts w:ascii="Arial" w:eastAsiaTheme="minorEastAsia" w:hAnsi="Arial" w:cs="Arial"/>
                                <w:b/>
                                <w:color w:val="FFFFFF" w:themeColor="background1"/>
                                <w:kern w:val="24"/>
                                <w:sz w:val="18"/>
                                <w:szCs w:val="18"/>
                                <w:u w:val="single"/>
                              </w:rPr>
                              <w:t>Result area 2</w:t>
                            </w:r>
                          </w:p>
                          <w:p w14:paraId="68CF9B3B" w14:textId="5FA852E2" w:rsidR="00A677A0" w:rsidRPr="00CA6E01" w:rsidRDefault="00A677A0" w:rsidP="000D2245">
                            <w:pPr>
                              <w:spacing w:after="0" w:line="240" w:lineRule="auto"/>
                              <w:jc w:val="center"/>
                              <w:rPr>
                                <w:rFonts w:ascii="Arial" w:hAnsi="Arial" w:cs="Arial"/>
                                <w:b/>
                                <w:color w:val="FFFFFF" w:themeColor="background1"/>
                                <w:sz w:val="18"/>
                                <w:szCs w:val="18"/>
                              </w:rPr>
                            </w:pPr>
                            <w:r w:rsidRPr="00CA6E01">
                              <w:rPr>
                                <w:rFonts w:ascii="Arial" w:eastAsiaTheme="minorEastAsia" w:hAnsi="Arial" w:cs="Arial"/>
                                <w:b/>
                                <w:i/>
                                <w:color w:val="FFFFFF" w:themeColor="background1"/>
                                <w:kern w:val="24"/>
                                <w:sz w:val="18"/>
                                <w:szCs w:val="18"/>
                              </w:rPr>
                              <w:t xml:space="preserve"> </w:t>
                            </w:r>
                            <w:r>
                              <w:rPr>
                                <w:rFonts w:ascii="Arial" w:hAnsi="Arial" w:cs="Arial"/>
                                <w:b/>
                                <w:color w:val="FFFFFF" w:themeColor="background1"/>
                                <w:sz w:val="18"/>
                                <w:szCs w:val="18"/>
                              </w:rPr>
                              <w:t>Improved added-value</w:t>
                            </w:r>
                            <w:r w:rsidRPr="00CA6E01">
                              <w:rPr>
                                <w:rFonts w:ascii="Arial" w:hAnsi="Arial" w:cs="Arial"/>
                                <w:b/>
                                <w:color w:val="FFFFFF" w:themeColor="background1"/>
                                <w:sz w:val="18"/>
                                <w:szCs w:val="18"/>
                              </w:rPr>
                              <w:t xml:space="preserve"> of agri-food products</w:t>
                            </w:r>
                          </w:p>
                        </w:txbxContent>
                      </wps:txbx>
                      <wps:bodyPr wrap="square" lIns="76197" tIns="38098" rIns="76197" bIns="38098" rtlCol="0" anchor="ctr">
                        <a:noAutofit/>
                      </wps:bodyPr>
                    </wps:wsp>
                  </a:graphicData>
                </a:graphic>
                <wp14:sizeRelH relativeFrom="margin">
                  <wp14:pctWidth>0</wp14:pctWidth>
                </wp14:sizeRelH>
                <wp14:sizeRelV relativeFrom="margin">
                  <wp14:pctHeight>0</wp14:pctHeight>
                </wp14:sizeRelV>
              </wp:anchor>
            </w:drawing>
          </mc:Choice>
          <mc:Fallback>
            <w:pict>
              <v:rect w14:anchorId="1117B3F8" id="Rectangle 8" o:spid="_x0000_s1026" style="position:absolute;left:0;text-align:left;margin-left:168.75pt;margin-top:.45pt;width:308.25pt;height:5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" fillcolor="#3071c3 [2431]" stroked="f">
                <v:shadow on="t" color="black" opacity="22937f" origin=",.5" offset="0,.63889mm"/>
                <v:textbox inset="2.11658mm,1.0583mm,2.11658mm,1.0583mm">
                  <w:txbxContent>
                    <w:p w14:paraId="3CE2EDF5" w14:textId="77777777" w:rsidR="00A677A0" w:rsidRPr="00916A1F" w:rsidRDefault="00A677A0" w:rsidP="000D2245">
                      <w:pPr>
                        <w:spacing w:after="0" w:line="240" w:lineRule="auto"/>
                        <w:jc w:val="center"/>
                        <w:rPr>
                          <w:rFonts w:ascii="Arial" w:eastAsiaTheme="minorEastAsia" w:hAnsi="Arial" w:cs="Arial"/>
                          <w:b/>
                          <w:color w:val="FFFFFF" w:themeColor="background1"/>
                          <w:kern w:val="24"/>
                          <w:sz w:val="18"/>
                          <w:szCs w:val="18"/>
                          <w:u w:val="single"/>
                        </w:rPr>
                      </w:pPr>
                      <w:r w:rsidRPr="00916A1F">
                        <w:rPr>
                          <w:rFonts w:ascii="Arial" w:eastAsiaTheme="minorEastAsia" w:hAnsi="Arial" w:cs="Arial"/>
                          <w:b/>
                          <w:color w:val="FFFFFF" w:themeColor="background1"/>
                          <w:kern w:val="24"/>
                          <w:sz w:val="18"/>
                          <w:szCs w:val="18"/>
                          <w:u w:val="single"/>
                        </w:rPr>
                        <w:t>Result area 2</w:t>
                      </w:r>
                    </w:p>
                    <w:p w14:paraId="68CF9B3B" w14:textId="5FA852E2" w:rsidR="00A677A0" w:rsidRPr="00CA6E01" w:rsidRDefault="00A677A0" w:rsidP="000D2245">
                      <w:pPr>
                        <w:spacing w:after="0" w:line="240" w:lineRule="auto"/>
                        <w:jc w:val="center"/>
                        <w:rPr>
                          <w:rFonts w:ascii="Arial" w:hAnsi="Arial" w:cs="Arial"/>
                          <w:b/>
                          <w:color w:val="FFFFFF" w:themeColor="background1"/>
                          <w:sz w:val="18"/>
                          <w:szCs w:val="18"/>
                        </w:rPr>
                      </w:pPr>
                      <w:r w:rsidRPr="00CA6E01">
                        <w:rPr>
                          <w:rFonts w:ascii="Arial" w:eastAsiaTheme="minorEastAsia" w:hAnsi="Arial" w:cs="Arial"/>
                          <w:b/>
                          <w:i/>
                          <w:color w:val="FFFFFF" w:themeColor="background1"/>
                          <w:kern w:val="24"/>
                          <w:sz w:val="18"/>
                          <w:szCs w:val="18"/>
                        </w:rPr>
                        <w:t xml:space="preserve"> </w:t>
                      </w:r>
                      <w:r>
                        <w:rPr>
                          <w:rFonts w:ascii="Arial" w:hAnsi="Arial" w:cs="Arial"/>
                          <w:b/>
                          <w:color w:val="FFFFFF" w:themeColor="background1"/>
                          <w:sz w:val="18"/>
                          <w:szCs w:val="18"/>
                        </w:rPr>
                        <w:t>Improved added-value</w:t>
                      </w:r>
                      <w:r w:rsidRPr="00CA6E01">
                        <w:rPr>
                          <w:rFonts w:ascii="Arial" w:hAnsi="Arial" w:cs="Arial"/>
                          <w:b/>
                          <w:color w:val="FFFFFF" w:themeColor="background1"/>
                          <w:sz w:val="18"/>
                          <w:szCs w:val="18"/>
                        </w:rPr>
                        <w:t xml:space="preserve"> of agri-food products</w:t>
                      </w:r>
                    </w:p>
                  </w:txbxContent>
                </v:textbox>
              </v:rect>
            </w:pict>
          </mc:Fallback>
        </mc:AlternateContent>
      </w:r>
      <w:r w:rsidRPr="00A9238B">
        <w:rPr>
          <w:rFonts w:ascii="Times New Roman" w:hAnsi="Times New Roman" w:cs="Times New Roman"/>
          <w:noProof/>
        </w:rPr>
        <mc:AlternateContent>
          <mc:Choice Requires="wps">
            <w:drawing>
              <wp:anchor distT="0" distB="0" distL="114300" distR="114300" simplePos="0" relativeHeight="251674624" behindDoc="0" locked="0" layoutInCell="1" allowOverlap="1" wp14:anchorId="5E657D74" wp14:editId="768AC0A0">
                <wp:simplePos x="0" y="0"/>
                <wp:positionH relativeFrom="margin">
                  <wp:align>left</wp:align>
                </wp:positionH>
                <wp:positionV relativeFrom="paragraph">
                  <wp:posOffset>15240</wp:posOffset>
                </wp:positionV>
                <wp:extent cx="2047875" cy="732155"/>
                <wp:effectExtent l="0" t="0" r="9525" b="0"/>
                <wp:wrapNone/>
                <wp:docPr id="26" name="Rectangle 10"/>
                <wp:cNvGraphicFramePr/>
                <a:graphic xmlns:a="http://schemas.openxmlformats.org/drawingml/2006/main">
                  <a:graphicData uri="http://schemas.microsoft.com/office/word/2010/wordprocessingShape">
                    <wps:wsp>
                      <wps:cNvSpPr/>
                      <wps:spPr>
                        <a:xfrm>
                          <a:off x="0" y="0"/>
                          <a:ext cx="2047875" cy="732155"/>
                        </a:xfrm>
                        <a:prstGeom prst="rect">
                          <a:avLst/>
                        </a:prstGeom>
                        <a:solidFill>
                          <a:schemeClr val="tx2">
                            <a:lumMod val="75000"/>
                            <a:lumOff val="25000"/>
                          </a:schemeClr>
                        </a:solidFill>
                        <a:ln>
                          <a:noFill/>
                        </a:ln>
                      </wps:spPr>
                      <wps:style>
                        <a:lnRef idx="1">
                          <a:schemeClr val="accent3"/>
                        </a:lnRef>
                        <a:fillRef idx="3">
                          <a:schemeClr val="accent3"/>
                        </a:fillRef>
                        <a:effectRef idx="2">
                          <a:schemeClr val="accent3"/>
                        </a:effectRef>
                        <a:fontRef idx="minor">
                          <a:schemeClr val="lt1"/>
                        </a:fontRef>
                      </wps:style>
                      <wps:txbx>
                        <w:txbxContent>
                          <w:p w14:paraId="61CAB6C9" w14:textId="77777777" w:rsidR="00A677A0" w:rsidRPr="000D2245" w:rsidRDefault="00A677A0" w:rsidP="000D2245">
                            <w:pPr>
                              <w:pStyle w:val="NormalWeb"/>
                              <w:kinsoku w:val="0"/>
                              <w:overflowPunct w:val="0"/>
                              <w:spacing w:before="0" w:beforeAutospacing="0" w:after="0" w:afterAutospacing="0"/>
                              <w:jc w:val="center"/>
                              <w:rPr>
                                <w:rFonts w:ascii="Arial" w:hAnsi="Arial" w:cstheme="minorBidi"/>
                                <w:b/>
                                <w:color w:val="FFFFFF" w:themeColor="background1"/>
                                <w:kern w:val="24"/>
                                <w:sz w:val="18"/>
                                <w:szCs w:val="32"/>
                                <w:u w:val="single"/>
                                <w:lang w:val="en-US"/>
                              </w:rPr>
                            </w:pPr>
                            <w:r w:rsidRPr="000D2245">
                              <w:rPr>
                                <w:rFonts w:ascii="Arial" w:hAnsi="Arial" w:cstheme="minorBidi"/>
                                <w:b/>
                                <w:color w:val="FFFFFF" w:themeColor="background1"/>
                                <w:kern w:val="24"/>
                                <w:sz w:val="18"/>
                                <w:szCs w:val="32"/>
                                <w:u w:val="single"/>
                                <w:lang w:val="en-US"/>
                              </w:rPr>
                              <w:t>Result area 1</w:t>
                            </w:r>
                          </w:p>
                          <w:p w14:paraId="38D3356E" w14:textId="071729B4" w:rsidR="00A677A0" w:rsidRPr="000D2245" w:rsidRDefault="00A677A0" w:rsidP="000D2245">
                            <w:pPr>
                              <w:pStyle w:val="NormalWeb"/>
                              <w:kinsoku w:val="0"/>
                              <w:overflowPunct w:val="0"/>
                              <w:spacing w:before="0" w:beforeAutospacing="0" w:after="0" w:afterAutospacing="0"/>
                              <w:jc w:val="center"/>
                              <w:rPr>
                                <w:rFonts w:ascii="Arial" w:hAnsi="Arial" w:cstheme="minorBidi"/>
                                <w:b/>
                                <w:color w:val="FFFFFF" w:themeColor="background1"/>
                                <w:kern w:val="24"/>
                                <w:sz w:val="18"/>
                                <w:szCs w:val="32"/>
                                <w:lang w:val="en-US"/>
                              </w:rPr>
                            </w:pPr>
                            <w:r>
                              <w:rPr>
                                <w:rFonts w:ascii="Arial" w:hAnsi="Arial" w:cstheme="minorBidi"/>
                                <w:b/>
                                <w:color w:val="FFFFFF" w:themeColor="background1"/>
                                <w:kern w:val="24"/>
                                <w:sz w:val="18"/>
                                <w:szCs w:val="32"/>
                                <w:lang w:val="en-US"/>
                              </w:rPr>
                              <w:t xml:space="preserve"> Increased</w:t>
                            </w:r>
                            <w:r w:rsidRPr="000D2245">
                              <w:rPr>
                                <w:rFonts w:ascii="Arial" w:hAnsi="Arial" w:cstheme="minorBidi"/>
                                <w:b/>
                                <w:color w:val="FFFFFF" w:themeColor="background1"/>
                                <w:kern w:val="24"/>
                                <w:sz w:val="18"/>
                                <w:szCs w:val="32"/>
                                <w:lang w:val="en-US"/>
                              </w:rPr>
                              <w:t xml:space="preserve"> market efficiency and integration</w:t>
                            </w:r>
                            <w:r w:rsidRPr="000D2245" w:rsidDel="00CF2AF2">
                              <w:rPr>
                                <w:rFonts w:ascii="Arial" w:hAnsi="Arial" w:cstheme="minorBidi"/>
                                <w:b/>
                                <w:color w:val="FFFFFF" w:themeColor="background1"/>
                                <w:kern w:val="24"/>
                                <w:sz w:val="18"/>
                                <w:szCs w:val="32"/>
                                <w:lang w:val="en-US"/>
                              </w:rPr>
                              <w:t xml:space="preserve"> </w:t>
                            </w:r>
                          </w:p>
                        </w:txbxContent>
                      </wps:txbx>
                      <wps:bodyPr wrap="square" lIns="76197" tIns="38098" rIns="76197" bIns="38098" rtlCol="0" anchor="ctr">
                        <a:noAutofit/>
                      </wps:bodyPr>
                    </wps:wsp>
                  </a:graphicData>
                </a:graphic>
                <wp14:sizeRelH relativeFrom="margin">
                  <wp14:pctWidth>0</wp14:pctWidth>
                </wp14:sizeRelH>
                <wp14:sizeRelV relativeFrom="margin">
                  <wp14:pctHeight>0</wp14:pctHeight>
                </wp14:sizeRelV>
              </wp:anchor>
            </w:drawing>
          </mc:Choice>
          <mc:Fallback>
            <w:pict>
              <v:rect w14:anchorId="5E657D74" id="Rectangle 10" o:spid="_x0000_s1027" style="position:absolute;left:0;text-align:left;margin-left:0;margin-top:1.2pt;width:161.25pt;height:57.65pt;z-index:2516746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" fillcolor="#3071c3 [2431]" stroked="f">
                <v:shadow on="t" color="black" opacity="22937f" origin=",.5" offset="0,.63889mm"/>
                <v:textbox inset="2.11658mm,1.0583mm,2.11658mm,1.0583mm">
                  <w:txbxContent>
                    <w:p w14:paraId="61CAB6C9" w14:textId="77777777" w:rsidR="00A677A0" w:rsidRPr="000D2245" w:rsidRDefault="00A677A0" w:rsidP="000D2245">
                      <w:pPr>
                        <w:pStyle w:val="NormalWeb"/>
                        <w:kinsoku w:val="0"/>
                        <w:overflowPunct w:val="0"/>
                        <w:spacing w:before="0" w:beforeAutospacing="0" w:after="0" w:afterAutospacing="0"/>
                        <w:jc w:val="center"/>
                        <w:rPr>
                          <w:rFonts w:ascii="Arial" w:hAnsi="Arial" w:cstheme="minorBidi"/>
                          <w:b/>
                          <w:color w:val="FFFFFF" w:themeColor="background1"/>
                          <w:kern w:val="24"/>
                          <w:sz w:val="18"/>
                          <w:szCs w:val="32"/>
                          <w:u w:val="single"/>
                          <w:lang w:val="en-US"/>
                        </w:rPr>
                      </w:pPr>
                      <w:r w:rsidRPr="000D2245">
                        <w:rPr>
                          <w:rFonts w:ascii="Arial" w:hAnsi="Arial" w:cstheme="minorBidi"/>
                          <w:b/>
                          <w:color w:val="FFFFFF" w:themeColor="background1"/>
                          <w:kern w:val="24"/>
                          <w:sz w:val="18"/>
                          <w:szCs w:val="32"/>
                          <w:u w:val="single"/>
                          <w:lang w:val="en-US"/>
                        </w:rPr>
                        <w:t>Result area 1</w:t>
                      </w:r>
                    </w:p>
                    <w:p w14:paraId="38D3356E" w14:textId="071729B4" w:rsidR="00A677A0" w:rsidRPr="000D2245" w:rsidRDefault="00A677A0" w:rsidP="000D2245">
                      <w:pPr>
                        <w:pStyle w:val="NormalWeb"/>
                        <w:kinsoku w:val="0"/>
                        <w:overflowPunct w:val="0"/>
                        <w:spacing w:before="0" w:beforeAutospacing="0" w:after="0" w:afterAutospacing="0"/>
                        <w:jc w:val="center"/>
                        <w:rPr>
                          <w:rFonts w:ascii="Arial" w:hAnsi="Arial" w:cstheme="minorBidi"/>
                          <w:b/>
                          <w:color w:val="FFFFFF" w:themeColor="background1"/>
                          <w:kern w:val="24"/>
                          <w:sz w:val="18"/>
                          <w:szCs w:val="32"/>
                          <w:lang w:val="en-US"/>
                        </w:rPr>
                      </w:pPr>
                      <w:r>
                        <w:rPr>
                          <w:rFonts w:ascii="Arial" w:hAnsi="Arial" w:cstheme="minorBidi"/>
                          <w:b/>
                          <w:color w:val="FFFFFF" w:themeColor="background1"/>
                          <w:kern w:val="24"/>
                          <w:sz w:val="18"/>
                          <w:szCs w:val="32"/>
                          <w:lang w:val="en-US"/>
                        </w:rPr>
                        <w:t xml:space="preserve"> Increased</w:t>
                      </w:r>
                      <w:r w:rsidRPr="000D2245">
                        <w:rPr>
                          <w:rFonts w:ascii="Arial" w:hAnsi="Arial" w:cstheme="minorBidi"/>
                          <w:b/>
                          <w:color w:val="FFFFFF" w:themeColor="background1"/>
                          <w:kern w:val="24"/>
                          <w:sz w:val="18"/>
                          <w:szCs w:val="32"/>
                          <w:lang w:val="en-US"/>
                        </w:rPr>
                        <w:t xml:space="preserve"> market efficiency and integration</w:t>
                      </w:r>
                      <w:r w:rsidRPr="000D2245" w:rsidDel="00CF2AF2">
                        <w:rPr>
                          <w:rFonts w:ascii="Arial" w:hAnsi="Arial" w:cstheme="minorBidi"/>
                          <w:b/>
                          <w:color w:val="FFFFFF" w:themeColor="background1"/>
                          <w:kern w:val="24"/>
                          <w:sz w:val="18"/>
                          <w:szCs w:val="32"/>
                          <w:lang w:val="en-US"/>
                        </w:rPr>
                        <w:t xml:space="preserve"> </w:t>
                      </w:r>
                    </w:p>
                  </w:txbxContent>
                </v:textbox>
                <w10:wrap anchorx="margin"/>
              </v:rect>
            </w:pict>
          </mc:Fallback>
        </mc:AlternateContent>
      </w:r>
    </w:p>
    <w:p w14:paraId="36EF302B" w14:textId="0E241033" w:rsidR="000D2245" w:rsidRPr="00A9238B" w:rsidRDefault="000879EC" w:rsidP="000D2245">
      <w:pPr>
        <w:spacing w:after="0" w:line="240" w:lineRule="auto"/>
        <w:jc w:val="both"/>
        <w:rPr>
          <w:rFonts w:ascii="Times New Roman" w:hAnsi="Times New Roman" w:cs="Times New Roman"/>
        </w:rPr>
      </w:pPr>
      <w:r w:rsidRPr="00A9238B">
        <w:rPr>
          <w:rFonts w:ascii="Times New Roman" w:hAnsi="Times New Roman" w:cs="Times New Roman"/>
          <w:noProof/>
        </w:rPr>
        <mc:AlternateContent>
          <mc:Choice Requires="wps">
            <w:drawing>
              <wp:anchor distT="0" distB="0" distL="114300" distR="114300" simplePos="0" relativeHeight="251685888" behindDoc="0" locked="0" layoutInCell="1" allowOverlap="1" wp14:anchorId="440CB322" wp14:editId="2DB6CCE0">
                <wp:simplePos x="0" y="0"/>
                <wp:positionH relativeFrom="margin">
                  <wp:posOffset>-406400</wp:posOffset>
                </wp:positionH>
                <wp:positionV relativeFrom="paragraph">
                  <wp:posOffset>1854200</wp:posOffset>
                </wp:positionV>
                <wp:extent cx="6701790" cy="521970"/>
                <wp:effectExtent l="0" t="0" r="22860" b="11430"/>
                <wp:wrapNone/>
                <wp:docPr id="27" name="Rectangle 27"/>
                <wp:cNvGraphicFramePr/>
                <a:graphic xmlns:a="http://schemas.openxmlformats.org/drawingml/2006/main">
                  <a:graphicData uri="http://schemas.microsoft.com/office/word/2010/wordprocessingShape">
                    <wps:wsp>
                      <wps:cNvSpPr/>
                      <wps:spPr>
                        <a:xfrm>
                          <a:off x="0" y="0"/>
                          <a:ext cx="6701790" cy="521970"/>
                        </a:xfrm>
                        <a:prstGeom prst="rect">
                          <a:avLst/>
                        </a:prstGeom>
                        <a:noFill/>
                        <a:ln>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14:paraId="65CEAEFF" w14:textId="77777777" w:rsidR="00A677A0" w:rsidRPr="002403B5" w:rsidRDefault="00A677A0" w:rsidP="000D2245">
                            <w:pPr>
                              <w:rPr>
                                <w:color w:val="000000" w:themeColor="text1"/>
                              </w:rPr>
                            </w:pPr>
                            <w:r w:rsidRPr="00FC411A">
                              <w:rPr>
                                <w:color w:val="000000" w:themeColor="text1"/>
                              </w:rPr>
                              <w:t>Olives</w:t>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t xml:space="preserve"> </w:t>
                            </w:r>
                            <w:r>
                              <w:rPr>
                                <w:noProof/>
                                <w:color w:val="0000FF"/>
                              </w:rPr>
                              <w:drawing>
                                <wp:inline distT="0" distB="0" distL="0" distR="0" wp14:anchorId="6CB3BADB" wp14:editId="46145081">
                                  <wp:extent cx="268357" cy="268357"/>
                                  <wp:effectExtent l="0" t="0" r="0" b="0"/>
                                  <wp:docPr id="43" name="Picture 43" descr="Image result for pictogramme olive">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pictogramme olive">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71977" cy="271977"/>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0CB322" id="Rectangle 27" o:spid="_x0000_s1028" style="position:absolute;left:0;text-align:left;margin-left:-32pt;margin-top:146pt;width:527.7pt;height:41.1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" filled="f" strokecolor="#243f60 [1604]" strokeweight="2pt">
                <v:stroke dashstyle="dash"/>
                <v:textbox>
                  <w:txbxContent>
                    <w:p w14:paraId="65CEAEFF" w14:textId="77777777" w:rsidR="00A677A0" w:rsidRPr="002403B5" w:rsidRDefault="00A677A0" w:rsidP="000D2245">
                      <w:pPr>
                        <w:rPr>
                          <w:color w:val="000000" w:themeColor="text1"/>
                        </w:rPr>
                      </w:pPr>
                      <w:r w:rsidRPr="00FC411A">
                        <w:rPr>
                          <w:color w:val="000000" w:themeColor="text1"/>
                        </w:rPr>
                        <w:t>Olives</w:t>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t xml:space="preserve"> </w:t>
                      </w:r>
                      <w:r>
                        <w:rPr>
                          <w:noProof/>
                          <w:color w:val="0000FF"/>
                        </w:rPr>
                        <w:drawing>
                          <wp:inline distT="0" distB="0" distL="0" distR="0" wp14:anchorId="6CB3BADB" wp14:editId="46145081">
                            <wp:extent cx="268357" cy="268357"/>
                            <wp:effectExtent l="0" t="0" r="0" b="0"/>
                            <wp:docPr id="43" name="Picture 43" descr="Image result for pictogramme olive">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pictogramme olive">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71977" cy="271977"/>
                                    </a:xfrm>
                                    <a:prstGeom prst="rect">
                                      <a:avLst/>
                                    </a:prstGeom>
                                    <a:noFill/>
                                    <a:ln>
                                      <a:noFill/>
                                    </a:ln>
                                  </pic:spPr>
                                </pic:pic>
                              </a:graphicData>
                            </a:graphic>
                          </wp:inline>
                        </w:drawing>
                      </w:r>
                    </w:p>
                  </w:txbxContent>
                </v:textbox>
                <w10:wrap anchorx="margin"/>
              </v:rect>
            </w:pict>
          </mc:Fallback>
        </mc:AlternateContent>
      </w:r>
      <w:r w:rsidRPr="00A9238B">
        <w:rPr>
          <w:rFonts w:ascii="Times New Roman" w:hAnsi="Times New Roman" w:cs="Times New Roman"/>
          <w:noProof/>
        </w:rPr>
        <mc:AlternateContent>
          <mc:Choice Requires="wps">
            <w:drawing>
              <wp:anchor distT="0" distB="0" distL="114300" distR="114300" simplePos="0" relativeHeight="251684864" behindDoc="0" locked="0" layoutInCell="1" allowOverlap="1" wp14:anchorId="77AA0731" wp14:editId="2F0D82F1">
                <wp:simplePos x="0" y="0"/>
                <wp:positionH relativeFrom="column">
                  <wp:posOffset>-406400</wp:posOffset>
                </wp:positionH>
                <wp:positionV relativeFrom="paragraph">
                  <wp:posOffset>1238250</wp:posOffset>
                </wp:positionV>
                <wp:extent cx="6697952" cy="615315"/>
                <wp:effectExtent l="0" t="0" r="27305" b="13335"/>
                <wp:wrapNone/>
                <wp:docPr id="28" name="Rectangle 28"/>
                <wp:cNvGraphicFramePr/>
                <a:graphic xmlns:a="http://schemas.openxmlformats.org/drawingml/2006/main">
                  <a:graphicData uri="http://schemas.microsoft.com/office/word/2010/wordprocessingShape">
                    <wps:wsp>
                      <wps:cNvSpPr/>
                      <wps:spPr>
                        <a:xfrm>
                          <a:off x="0" y="0"/>
                          <a:ext cx="6697952" cy="615315"/>
                        </a:xfrm>
                        <a:prstGeom prst="rect">
                          <a:avLst/>
                        </a:prstGeom>
                        <a:noFill/>
                        <a:ln>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14:paraId="146142E7" w14:textId="77777777" w:rsidR="00A677A0" w:rsidRPr="002403B5" w:rsidRDefault="00A677A0" w:rsidP="000D2245">
                            <w:pPr>
                              <w:rPr>
                                <w:color w:val="000000" w:themeColor="text1"/>
                              </w:rPr>
                            </w:pPr>
                            <w:r w:rsidRPr="002403B5">
                              <w:rPr>
                                <w:color w:val="000000" w:themeColor="text1"/>
                              </w:rPr>
                              <w:t>Citrus</w:t>
                            </w:r>
                            <w:r>
                              <w:rPr>
                                <w:color w:val="000000" w:themeColor="text1"/>
                              </w:rPr>
                              <w:t xml:space="preserve">                                                                                                                                                                                            </w:t>
                            </w:r>
                            <w:r w:rsidRPr="00272278">
                              <w:rPr>
                                <w:rFonts w:ascii="Times New Roman" w:hAnsi="Times New Roman" w:cs="Times New Roman"/>
                                <w:b/>
                                <w:i/>
                                <w:noProof/>
                              </w:rPr>
                              <w:drawing>
                                <wp:inline distT="0" distB="0" distL="0" distR="0" wp14:anchorId="0D2CD615" wp14:editId="0C1DA08D">
                                  <wp:extent cx="318052" cy="182060"/>
                                  <wp:effectExtent l="0" t="0" r="6350" b="8890"/>
                                  <wp:docPr id="44" name="Picture 11" descr="http://www.google.de/url?source=imgres&amp;ct=tbn&amp;q=http://www.confitures-octave.fr/uploads/assets/sfMediaManager/13234184481935_list.jpg&amp;sa=X&amp;ei=jRBCVeTeAoPcasuvgPAI&amp;ved=0CAUQ8wc&amp;usg=AFQjCNFwTwcKiEl7WC9KaxJ79GDq7yREt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11" descr="http://www.google.de/url?source=imgres&amp;ct=tbn&amp;q=http://www.confitures-octave.fr/uploads/assets/sfMediaManager/13234184481935_list.jpg&amp;sa=X&amp;ei=jRBCVeTeAoPcasuvgPAI&amp;ved=0CAUQ8wc&amp;usg=AFQjCNFwTwcKiEl7WC9KaxJ79GDq7yREtg"/>
                                          <pic:cNvPicPr>
                                            <a:picLocks noChangeAspect="1" noChangeArrowheads="1"/>
                                          </pic:cNvPicPr>
                                        </pic:nvPicPr>
                                        <pic:blipFill>
                                          <a:blip r:embed="rId21" cstate="print"/>
                                          <a:srcRect t="29313" r="46815" b="17380"/>
                                          <a:stretch>
                                            <a:fillRect/>
                                          </a:stretch>
                                        </pic:blipFill>
                                        <pic:spPr bwMode="auto">
                                          <a:xfrm>
                                            <a:off x="0" y="0"/>
                                            <a:ext cx="325849" cy="186523"/>
                                          </a:xfrm>
                                          <a:prstGeom prst="rect">
                                            <a:avLst/>
                                          </a:prstGeom>
                                          <a:noFill/>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AA0731" id="Rectangle 28" o:spid="_x0000_s1029" style="position:absolute;left:0;text-align:left;margin-left:-32pt;margin-top:97.5pt;width:527.4pt;height:48.4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" filled="f" strokecolor="#243f60 [1604]" strokeweight="2pt">
                <v:stroke dashstyle="dash"/>
                <v:textbox>
                  <w:txbxContent>
                    <w:p w14:paraId="146142E7" w14:textId="77777777" w:rsidR="00A677A0" w:rsidRPr="002403B5" w:rsidRDefault="00A677A0" w:rsidP="000D2245">
                      <w:pPr>
                        <w:rPr>
                          <w:color w:val="000000" w:themeColor="text1"/>
                        </w:rPr>
                      </w:pPr>
                      <w:r w:rsidRPr="002403B5">
                        <w:rPr>
                          <w:color w:val="000000" w:themeColor="text1"/>
                        </w:rPr>
                        <w:t>Citrus</w:t>
                      </w:r>
                      <w:r>
                        <w:rPr>
                          <w:color w:val="000000" w:themeColor="text1"/>
                        </w:rPr>
                        <w:t xml:space="preserve">                                                                                                                                                                                            </w:t>
                      </w:r>
                      <w:r w:rsidRPr="00272278">
                        <w:rPr>
                          <w:rFonts w:ascii="Times New Roman" w:hAnsi="Times New Roman" w:cs="Times New Roman"/>
                          <w:b/>
                          <w:i/>
                          <w:noProof/>
                        </w:rPr>
                        <w:drawing>
                          <wp:inline distT="0" distB="0" distL="0" distR="0" wp14:anchorId="0D2CD615" wp14:editId="0C1DA08D">
                            <wp:extent cx="318052" cy="182060"/>
                            <wp:effectExtent l="0" t="0" r="6350" b="8890"/>
                            <wp:docPr id="44" name="Picture 11" descr="http://www.google.de/url?source=imgres&amp;ct=tbn&amp;q=http://www.confitures-octave.fr/uploads/assets/sfMediaManager/13234184481935_list.jpg&amp;sa=X&amp;ei=jRBCVeTeAoPcasuvgPAI&amp;ved=0CAUQ8wc&amp;usg=AFQjCNFwTwcKiEl7WC9KaxJ79GDq7yREt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11" descr="http://www.google.de/url?source=imgres&amp;ct=tbn&amp;q=http://www.confitures-octave.fr/uploads/assets/sfMediaManager/13234184481935_list.jpg&amp;sa=X&amp;ei=jRBCVeTeAoPcasuvgPAI&amp;ved=0CAUQ8wc&amp;usg=AFQjCNFwTwcKiEl7WC9KaxJ79GDq7yREtg"/>
                                    <pic:cNvPicPr>
                                      <a:picLocks noChangeAspect="1" noChangeArrowheads="1"/>
                                    </pic:cNvPicPr>
                                  </pic:nvPicPr>
                                  <pic:blipFill>
                                    <a:blip r:embed="rId21" cstate="print"/>
                                    <a:srcRect t="29313" r="46815" b="17380"/>
                                    <a:stretch>
                                      <a:fillRect/>
                                    </a:stretch>
                                  </pic:blipFill>
                                  <pic:spPr bwMode="auto">
                                    <a:xfrm>
                                      <a:off x="0" y="0"/>
                                      <a:ext cx="325849" cy="186523"/>
                                    </a:xfrm>
                                    <a:prstGeom prst="rect">
                                      <a:avLst/>
                                    </a:prstGeom>
                                    <a:noFill/>
                                  </pic:spPr>
                                </pic:pic>
                              </a:graphicData>
                            </a:graphic>
                          </wp:inline>
                        </w:drawing>
                      </w:r>
                    </w:p>
                  </w:txbxContent>
                </v:textbox>
              </v:rect>
            </w:pict>
          </mc:Fallback>
        </mc:AlternateContent>
      </w:r>
      <w:r w:rsidRPr="00A9238B">
        <w:rPr>
          <w:rFonts w:ascii="Times New Roman" w:hAnsi="Times New Roman" w:cs="Times New Roman"/>
          <w:noProof/>
        </w:rPr>
        <mc:AlternateContent>
          <mc:Choice Requires="wps">
            <w:drawing>
              <wp:anchor distT="0" distB="0" distL="114300" distR="114300" simplePos="0" relativeHeight="251680768" behindDoc="0" locked="0" layoutInCell="1" allowOverlap="1" wp14:anchorId="55452C13" wp14:editId="1EF98446">
                <wp:simplePos x="0" y="0"/>
                <wp:positionH relativeFrom="column">
                  <wp:posOffset>2265680</wp:posOffset>
                </wp:positionH>
                <wp:positionV relativeFrom="paragraph">
                  <wp:posOffset>1965960</wp:posOffset>
                </wp:positionV>
                <wp:extent cx="1787525" cy="386715"/>
                <wp:effectExtent l="0" t="0" r="3175" b="0"/>
                <wp:wrapNone/>
                <wp:docPr id="33" name="Rectangle 21"/>
                <wp:cNvGraphicFramePr/>
                <a:graphic xmlns:a="http://schemas.openxmlformats.org/drawingml/2006/main">
                  <a:graphicData uri="http://schemas.microsoft.com/office/word/2010/wordprocessingShape">
                    <wps:wsp>
                      <wps:cNvSpPr/>
                      <wps:spPr>
                        <a:xfrm>
                          <a:off x="0" y="0"/>
                          <a:ext cx="1787525" cy="386715"/>
                        </a:xfrm>
                        <a:prstGeom prst="rect">
                          <a:avLst/>
                        </a:prstGeom>
                        <a:solidFill>
                          <a:schemeClr val="tx2">
                            <a:lumMod val="25000"/>
                            <a:lumOff val="75000"/>
                          </a:schemeClr>
                        </a:solidFill>
                        <a:ln>
                          <a:noFill/>
                        </a:ln>
                      </wps:spPr>
                      <wps:style>
                        <a:lnRef idx="1">
                          <a:schemeClr val="accent3"/>
                        </a:lnRef>
                        <a:fillRef idx="3">
                          <a:schemeClr val="accent3"/>
                        </a:fillRef>
                        <a:effectRef idx="2">
                          <a:schemeClr val="accent3"/>
                        </a:effectRef>
                        <a:fontRef idx="minor">
                          <a:schemeClr val="lt1"/>
                        </a:fontRef>
                      </wps:style>
                      <wps:txbx>
                        <w:txbxContent>
                          <w:p w14:paraId="279B74D9" w14:textId="77777777" w:rsidR="00A677A0" w:rsidRPr="000D2245" w:rsidRDefault="00A677A0" w:rsidP="000D2245">
                            <w:pPr>
                              <w:pStyle w:val="NormalWeb"/>
                              <w:kinsoku w:val="0"/>
                              <w:overflowPunct w:val="0"/>
                              <w:spacing w:before="0" w:beforeAutospacing="0" w:after="0" w:afterAutospacing="0"/>
                              <w:jc w:val="center"/>
                              <w:rPr>
                                <w:sz w:val="18"/>
                                <w:szCs w:val="18"/>
                                <w:lang w:val="en-US"/>
                              </w:rPr>
                            </w:pPr>
                            <w:r w:rsidRPr="000D2245">
                              <w:rPr>
                                <w:rFonts w:asciiTheme="minorHAnsi" w:hAnsi="Calibri" w:cstheme="minorBidi"/>
                                <w:color w:val="000000" w:themeColor="text1"/>
                                <w:kern w:val="24"/>
                                <w:sz w:val="18"/>
                                <w:szCs w:val="18"/>
                                <w:lang w:val="en-US"/>
                              </w:rPr>
                              <w:t>Increasing domestic consumers’ awareness on olive oil quality</w:t>
                            </w:r>
                          </w:p>
                        </w:txbxContent>
                      </wps:txbx>
                      <wps:bodyPr wrap="square" lIns="76197" tIns="38098" rIns="76197" bIns="38098" rtlCol="0" anchor="ctr">
                        <a:noAutofit/>
                      </wps:bodyPr>
                    </wps:wsp>
                  </a:graphicData>
                </a:graphic>
                <wp14:sizeRelH relativeFrom="margin">
                  <wp14:pctWidth>0</wp14:pctWidth>
                </wp14:sizeRelH>
                <wp14:sizeRelV relativeFrom="margin">
                  <wp14:pctHeight>0</wp14:pctHeight>
                </wp14:sizeRelV>
              </wp:anchor>
            </w:drawing>
          </mc:Choice>
          <mc:Fallback>
            <w:pict>
              <v:rect w14:anchorId="55452C13" id="Rectangle 21" o:spid="_x0000_s1030" style="position:absolute;left:0;text-align:left;margin-left:178.4pt;margin-top:154.8pt;width:140.75pt;height:30.4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" fillcolor="#b8d0ed [831]" stroked="f">
                <v:shadow on="t" color="black" opacity="22937f" origin=",.5" offset="0,.63889mm"/>
                <v:textbox inset="2.11658mm,1.0583mm,2.11658mm,1.0583mm">
                  <w:txbxContent>
                    <w:p w14:paraId="279B74D9" w14:textId="77777777" w:rsidR="00A677A0" w:rsidRPr="000D2245" w:rsidRDefault="00A677A0" w:rsidP="000D2245">
                      <w:pPr>
                        <w:pStyle w:val="NormalWeb"/>
                        <w:kinsoku w:val="0"/>
                        <w:overflowPunct w:val="0"/>
                        <w:spacing w:before="0" w:beforeAutospacing="0" w:after="0" w:afterAutospacing="0"/>
                        <w:jc w:val="center"/>
                        <w:rPr>
                          <w:sz w:val="18"/>
                          <w:szCs w:val="18"/>
                          <w:lang w:val="en-US"/>
                        </w:rPr>
                      </w:pPr>
                      <w:r w:rsidRPr="000D2245">
                        <w:rPr>
                          <w:rFonts w:asciiTheme="minorHAnsi" w:hAnsi="Calibri" w:cstheme="minorBidi"/>
                          <w:color w:val="000000" w:themeColor="text1"/>
                          <w:kern w:val="24"/>
                          <w:sz w:val="18"/>
                          <w:szCs w:val="18"/>
                          <w:lang w:val="en-US"/>
                        </w:rPr>
                        <w:t>Increasing domestic consumers’ awareness on olive oil quality</w:t>
                      </w:r>
                    </w:p>
                  </w:txbxContent>
                </v:textbox>
              </v:rect>
            </w:pict>
          </mc:Fallback>
        </mc:AlternateContent>
      </w:r>
      <w:r w:rsidRPr="00A9238B">
        <w:rPr>
          <w:rFonts w:ascii="Times New Roman" w:hAnsi="Times New Roman" w:cs="Times New Roman"/>
          <w:noProof/>
        </w:rPr>
        <mc:AlternateContent>
          <mc:Choice Requires="wps">
            <w:drawing>
              <wp:anchor distT="0" distB="0" distL="114300" distR="114300" simplePos="0" relativeHeight="251681792" behindDoc="0" locked="0" layoutInCell="1" allowOverlap="1" wp14:anchorId="292BC622" wp14:editId="2E061905">
                <wp:simplePos x="0" y="0"/>
                <wp:positionH relativeFrom="column">
                  <wp:posOffset>1146175</wp:posOffset>
                </wp:positionH>
                <wp:positionV relativeFrom="paragraph">
                  <wp:posOffset>1901825</wp:posOffset>
                </wp:positionV>
                <wp:extent cx="857250" cy="464185"/>
                <wp:effectExtent l="0" t="0" r="0" b="0"/>
                <wp:wrapNone/>
                <wp:docPr id="29" name="Rectangle 24"/>
                <wp:cNvGraphicFramePr/>
                <a:graphic xmlns:a="http://schemas.openxmlformats.org/drawingml/2006/main">
                  <a:graphicData uri="http://schemas.microsoft.com/office/word/2010/wordprocessingShape">
                    <wps:wsp>
                      <wps:cNvSpPr/>
                      <wps:spPr>
                        <a:xfrm>
                          <a:off x="0" y="0"/>
                          <a:ext cx="857250" cy="464185"/>
                        </a:xfrm>
                        <a:prstGeom prst="rect">
                          <a:avLst/>
                        </a:prstGeom>
                        <a:solidFill>
                          <a:schemeClr val="tx2">
                            <a:lumMod val="25000"/>
                            <a:lumOff val="75000"/>
                          </a:schemeClr>
                        </a:solidFill>
                        <a:ln>
                          <a:noFill/>
                        </a:ln>
                      </wps:spPr>
                      <wps:style>
                        <a:lnRef idx="1">
                          <a:schemeClr val="accent3"/>
                        </a:lnRef>
                        <a:fillRef idx="3">
                          <a:schemeClr val="accent3"/>
                        </a:fillRef>
                        <a:effectRef idx="2">
                          <a:schemeClr val="accent3"/>
                        </a:effectRef>
                        <a:fontRef idx="minor">
                          <a:schemeClr val="lt1"/>
                        </a:fontRef>
                      </wps:style>
                      <wps:txbx>
                        <w:txbxContent>
                          <w:p w14:paraId="67A4E82F" w14:textId="77777777" w:rsidR="00A677A0" w:rsidRPr="00FC411A" w:rsidRDefault="00A677A0" w:rsidP="000D2245">
                            <w:pPr>
                              <w:pStyle w:val="NormalWeb"/>
                              <w:kinsoku w:val="0"/>
                              <w:overflowPunct w:val="0"/>
                              <w:spacing w:before="0" w:beforeAutospacing="0" w:after="0" w:afterAutospacing="0"/>
                              <w:jc w:val="center"/>
                              <w:rPr>
                                <w:sz w:val="18"/>
                                <w:szCs w:val="18"/>
                              </w:rPr>
                            </w:pPr>
                            <w:r w:rsidRPr="00FC411A">
                              <w:rPr>
                                <w:rFonts w:asciiTheme="minorHAnsi" w:hAnsi="Calibri" w:cstheme="minorBidi"/>
                                <w:color w:val="000000" w:themeColor="text1"/>
                                <w:kern w:val="24"/>
                                <w:sz w:val="18"/>
                                <w:szCs w:val="18"/>
                              </w:rPr>
                              <w:t>Strengt</w:t>
                            </w:r>
                            <w:r>
                              <w:rPr>
                                <w:rFonts w:asciiTheme="minorHAnsi" w:hAnsi="Calibri" w:cstheme="minorBidi"/>
                                <w:color w:val="000000" w:themeColor="text1"/>
                                <w:kern w:val="24"/>
                                <w:sz w:val="18"/>
                                <w:szCs w:val="18"/>
                              </w:rPr>
                              <w:t>h</w:t>
                            </w:r>
                            <w:r w:rsidRPr="00FC411A">
                              <w:rPr>
                                <w:rFonts w:asciiTheme="minorHAnsi" w:hAnsi="Calibri" w:cstheme="minorBidi"/>
                                <w:color w:val="000000" w:themeColor="text1"/>
                                <w:kern w:val="24"/>
                                <w:sz w:val="18"/>
                                <w:szCs w:val="18"/>
                              </w:rPr>
                              <w:t>ening  Interprolive</w:t>
                            </w:r>
                          </w:p>
                        </w:txbxContent>
                      </wps:txbx>
                      <wps:bodyPr wrap="square" lIns="76197" tIns="38098" rIns="76197" bIns="38098" rtlCol="0" anchor="ctr">
                        <a:noAutofit/>
                      </wps:bodyPr>
                    </wps:wsp>
                  </a:graphicData>
                </a:graphic>
                <wp14:sizeRelH relativeFrom="margin">
                  <wp14:pctWidth>0</wp14:pctWidth>
                </wp14:sizeRelH>
                <wp14:sizeRelV relativeFrom="margin">
                  <wp14:pctHeight>0</wp14:pctHeight>
                </wp14:sizeRelV>
              </wp:anchor>
            </w:drawing>
          </mc:Choice>
          <mc:Fallback>
            <w:pict>
              <v:rect w14:anchorId="292BC622" id="Rectangle 24" o:spid="_x0000_s1031" style="position:absolute;left:0;text-align:left;margin-left:90.25pt;margin-top:149.75pt;width:67.5pt;height:36.5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" fillcolor="#b8d0ed [831]" stroked="f">
                <v:shadow on="t" color="black" opacity="22937f" origin=",.5" offset="0,.63889mm"/>
                <v:textbox inset="2.11658mm,1.0583mm,2.11658mm,1.0583mm">
                  <w:txbxContent>
                    <w:p w14:paraId="67A4E82F" w14:textId="77777777" w:rsidR="00A677A0" w:rsidRPr="00FC411A" w:rsidRDefault="00A677A0" w:rsidP="000D2245">
                      <w:pPr>
                        <w:pStyle w:val="NormalWeb"/>
                        <w:kinsoku w:val="0"/>
                        <w:overflowPunct w:val="0"/>
                        <w:spacing w:before="0" w:beforeAutospacing="0" w:after="0" w:afterAutospacing="0"/>
                        <w:jc w:val="center"/>
                        <w:rPr>
                          <w:sz w:val="18"/>
                          <w:szCs w:val="18"/>
                        </w:rPr>
                      </w:pPr>
                      <w:r w:rsidRPr="00FC411A">
                        <w:rPr>
                          <w:rFonts w:asciiTheme="minorHAnsi" w:hAnsi="Calibri" w:cstheme="minorBidi"/>
                          <w:color w:val="000000" w:themeColor="text1"/>
                          <w:kern w:val="24"/>
                          <w:sz w:val="18"/>
                          <w:szCs w:val="18"/>
                        </w:rPr>
                        <w:t>Strengt</w:t>
                      </w:r>
                      <w:r>
                        <w:rPr>
                          <w:rFonts w:asciiTheme="minorHAnsi" w:hAnsi="Calibri" w:cstheme="minorBidi"/>
                          <w:color w:val="000000" w:themeColor="text1"/>
                          <w:kern w:val="24"/>
                          <w:sz w:val="18"/>
                          <w:szCs w:val="18"/>
                        </w:rPr>
                        <w:t>h</w:t>
                      </w:r>
                      <w:r w:rsidRPr="00FC411A">
                        <w:rPr>
                          <w:rFonts w:asciiTheme="minorHAnsi" w:hAnsi="Calibri" w:cstheme="minorBidi"/>
                          <w:color w:val="000000" w:themeColor="text1"/>
                          <w:kern w:val="24"/>
                          <w:sz w:val="18"/>
                          <w:szCs w:val="18"/>
                        </w:rPr>
                        <w:t>ening  Interprolive</w:t>
                      </w:r>
                    </w:p>
                  </w:txbxContent>
                </v:textbox>
              </v:rect>
            </w:pict>
          </mc:Fallback>
        </mc:AlternateContent>
      </w:r>
      <w:r w:rsidRPr="00A9238B">
        <w:rPr>
          <w:rFonts w:ascii="Times New Roman" w:hAnsi="Times New Roman" w:cs="Times New Roman"/>
          <w:noProof/>
        </w:rPr>
        <mc:AlternateContent>
          <mc:Choice Requires="wps">
            <w:drawing>
              <wp:anchor distT="0" distB="0" distL="114300" distR="114300" simplePos="0" relativeHeight="251673600" behindDoc="0" locked="0" layoutInCell="1" allowOverlap="1" wp14:anchorId="19512B1B" wp14:editId="671E9B49">
                <wp:simplePos x="0" y="0"/>
                <wp:positionH relativeFrom="column">
                  <wp:posOffset>38100</wp:posOffset>
                </wp:positionH>
                <wp:positionV relativeFrom="paragraph">
                  <wp:posOffset>1219200</wp:posOffset>
                </wp:positionV>
                <wp:extent cx="1019175" cy="1151890"/>
                <wp:effectExtent l="57150" t="19050" r="66675" b="67310"/>
                <wp:wrapNone/>
                <wp:docPr id="31" name="Rectangle 5"/>
                <wp:cNvGraphicFramePr/>
                <a:graphic xmlns:a="http://schemas.openxmlformats.org/drawingml/2006/main">
                  <a:graphicData uri="http://schemas.microsoft.com/office/word/2010/wordprocessingShape">
                    <wps:wsp>
                      <wps:cNvSpPr/>
                      <wps:spPr>
                        <a:xfrm>
                          <a:off x="0" y="0"/>
                          <a:ext cx="1019175" cy="1151890"/>
                        </a:xfrm>
                        <a:prstGeom prst="rect">
                          <a:avLst/>
                        </a:prstGeom>
                        <a:solidFill>
                          <a:schemeClr val="tx2">
                            <a:lumMod val="25000"/>
                            <a:lumOff val="75000"/>
                          </a:schemeClr>
                        </a:solidFill>
                        <a:ln>
                          <a:noFill/>
                        </a:ln>
                      </wps:spPr>
                      <wps:style>
                        <a:lnRef idx="1">
                          <a:schemeClr val="accent3"/>
                        </a:lnRef>
                        <a:fillRef idx="3">
                          <a:schemeClr val="accent3"/>
                        </a:fillRef>
                        <a:effectRef idx="2">
                          <a:schemeClr val="accent3"/>
                        </a:effectRef>
                        <a:fontRef idx="minor">
                          <a:schemeClr val="lt1"/>
                        </a:fontRef>
                      </wps:style>
                      <wps:txbx>
                        <w:txbxContent>
                          <w:p w14:paraId="01679B37" w14:textId="4B2FFE41" w:rsidR="00A677A0" w:rsidRPr="000D2245" w:rsidRDefault="00A677A0" w:rsidP="000D2245">
                            <w:pPr>
                              <w:pStyle w:val="NormalWeb"/>
                              <w:kinsoku w:val="0"/>
                              <w:overflowPunct w:val="0"/>
                              <w:spacing w:before="0" w:beforeAutospacing="0" w:after="0" w:afterAutospacing="0"/>
                              <w:jc w:val="center"/>
                              <w:rPr>
                                <w:rFonts w:ascii="Arial" w:hAnsi="Arial" w:cs="Arial"/>
                                <w:sz w:val="8"/>
                                <w:szCs w:val="18"/>
                                <w:lang w:val="en-US"/>
                              </w:rPr>
                            </w:pPr>
                            <w:r>
                              <w:rPr>
                                <w:rFonts w:asciiTheme="minorHAnsi" w:hAnsi="Calibri" w:cstheme="minorBidi"/>
                                <w:color w:val="000000" w:themeColor="text1"/>
                                <w:kern w:val="24"/>
                                <w:sz w:val="18"/>
                                <w:szCs w:val="22"/>
                                <w:lang w:val="en-US"/>
                              </w:rPr>
                              <w:t>Promoting</w:t>
                            </w:r>
                            <w:r w:rsidRPr="000D2245">
                              <w:rPr>
                                <w:rFonts w:asciiTheme="minorHAnsi" w:hAnsi="Calibri" w:cstheme="minorBidi"/>
                                <w:color w:val="000000" w:themeColor="text1"/>
                                <w:kern w:val="24"/>
                                <w:sz w:val="18"/>
                                <w:szCs w:val="22"/>
                                <w:lang w:val="en-US"/>
                              </w:rPr>
                              <w:t xml:space="preserve">  investments in </w:t>
                            </w:r>
                            <w:r>
                              <w:rPr>
                                <w:rFonts w:asciiTheme="minorHAnsi" w:hAnsi="Calibri" w:cstheme="minorBidi"/>
                                <w:color w:val="000000" w:themeColor="text1"/>
                                <w:kern w:val="24"/>
                                <w:sz w:val="18"/>
                                <w:szCs w:val="22"/>
                                <w:lang w:val="en-US"/>
                              </w:rPr>
                              <w:t>conditioning, storage and processing</w:t>
                            </w:r>
                            <w:r w:rsidRPr="000D2245">
                              <w:rPr>
                                <w:rFonts w:asciiTheme="minorHAnsi" w:hAnsi="Calibri" w:cstheme="minorBidi"/>
                                <w:color w:val="000000" w:themeColor="text1"/>
                                <w:kern w:val="24"/>
                                <w:sz w:val="18"/>
                                <w:szCs w:val="22"/>
                                <w:lang w:val="en-US"/>
                              </w:rPr>
                              <w:t xml:space="preserve"> and horizontal/vertical integration</w:t>
                            </w:r>
                          </w:p>
                        </w:txbxContent>
                      </wps:txbx>
                      <wps:bodyPr wrap="square" lIns="76197" tIns="38098" rIns="76197" bIns="38098" rtlCol="0" anchor="ctr">
                        <a:noAutofit/>
                      </wps:bodyPr>
                    </wps:wsp>
                  </a:graphicData>
                </a:graphic>
                <wp14:sizeRelH relativeFrom="margin">
                  <wp14:pctWidth>0</wp14:pctWidth>
                </wp14:sizeRelH>
                <wp14:sizeRelV relativeFrom="margin">
                  <wp14:pctHeight>0</wp14:pctHeight>
                </wp14:sizeRelV>
              </wp:anchor>
            </w:drawing>
          </mc:Choice>
          <mc:Fallback>
            <w:pict>
              <v:rect w14:anchorId="19512B1B" id="Rectangle 5" o:spid="_x0000_s1032" style="position:absolute;left:0;text-align:left;margin-left:3pt;margin-top:96pt;width:80.25pt;height:90.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" fillcolor="#b8d0ed [831]" stroked="f">
                <v:shadow on="t" color="black" opacity="22937f" origin=",.5" offset="0,.63889mm"/>
                <v:textbox inset="2.11658mm,1.0583mm,2.11658mm,1.0583mm">
                  <w:txbxContent>
                    <w:p w14:paraId="01679B37" w14:textId="4B2FFE41" w:rsidR="00A677A0" w:rsidRPr="000D2245" w:rsidRDefault="00A677A0" w:rsidP="000D2245">
                      <w:pPr>
                        <w:pStyle w:val="NormalWeb"/>
                        <w:kinsoku w:val="0"/>
                        <w:overflowPunct w:val="0"/>
                        <w:spacing w:before="0" w:beforeAutospacing="0" w:after="0" w:afterAutospacing="0"/>
                        <w:jc w:val="center"/>
                        <w:rPr>
                          <w:rFonts w:ascii="Arial" w:hAnsi="Arial" w:cs="Arial"/>
                          <w:sz w:val="8"/>
                          <w:szCs w:val="18"/>
                          <w:lang w:val="en-US"/>
                        </w:rPr>
                      </w:pPr>
                      <w:r>
                        <w:rPr>
                          <w:rFonts w:asciiTheme="minorHAnsi" w:hAnsi="Calibri" w:cstheme="minorBidi"/>
                          <w:color w:val="000000" w:themeColor="text1"/>
                          <w:kern w:val="24"/>
                          <w:sz w:val="18"/>
                          <w:szCs w:val="22"/>
                          <w:lang w:val="en-US"/>
                        </w:rPr>
                        <w:t>Promoting</w:t>
                      </w:r>
                      <w:r w:rsidRPr="000D2245">
                        <w:rPr>
                          <w:rFonts w:asciiTheme="minorHAnsi" w:hAnsi="Calibri" w:cstheme="minorBidi"/>
                          <w:color w:val="000000" w:themeColor="text1"/>
                          <w:kern w:val="24"/>
                          <w:sz w:val="18"/>
                          <w:szCs w:val="22"/>
                          <w:lang w:val="en-US"/>
                        </w:rPr>
                        <w:t xml:space="preserve">  investments in </w:t>
                      </w:r>
                      <w:r>
                        <w:rPr>
                          <w:rFonts w:asciiTheme="minorHAnsi" w:hAnsi="Calibri" w:cstheme="minorBidi"/>
                          <w:color w:val="000000" w:themeColor="text1"/>
                          <w:kern w:val="24"/>
                          <w:sz w:val="18"/>
                          <w:szCs w:val="22"/>
                          <w:lang w:val="en-US"/>
                        </w:rPr>
                        <w:t>conditioning, storage and processing</w:t>
                      </w:r>
                      <w:r w:rsidRPr="000D2245">
                        <w:rPr>
                          <w:rFonts w:asciiTheme="minorHAnsi" w:hAnsi="Calibri" w:cstheme="minorBidi"/>
                          <w:color w:val="000000" w:themeColor="text1"/>
                          <w:kern w:val="24"/>
                          <w:sz w:val="18"/>
                          <w:szCs w:val="22"/>
                          <w:lang w:val="en-US"/>
                        </w:rPr>
                        <w:t xml:space="preserve"> and horizontal/vertical integration</w:t>
                      </w:r>
                    </w:p>
                  </w:txbxContent>
                </v:textbox>
              </v:rect>
            </w:pict>
          </mc:Fallback>
        </mc:AlternateContent>
      </w:r>
      <w:r w:rsidR="000D2245" w:rsidRPr="00A9238B">
        <w:rPr>
          <w:rFonts w:ascii="Times New Roman" w:hAnsi="Times New Roman" w:cs="Times New Roman"/>
          <w:noProof/>
        </w:rPr>
        <mc:AlternateContent>
          <mc:Choice Requires="wps">
            <w:drawing>
              <wp:anchor distT="0" distB="0" distL="114300" distR="114300" simplePos="0" relativeHeight="251676672" behindDoc="0" locked="0" layoutInCell="1" allowOverlap="1" wp14:anchorId="74FE186A" wp14:editId="551C9182">
                <wp:simplePos x="0" y="0"/>
                <wp:positionH relativeFrom="column">
                  <wp:posOffset>1095375</wp:posOffset>
                </wp:positionH>
                <wp:positionV relativeFrom="paragraph">
                  <wp:posOffset>1235710</wp:posOffset>
                </wp:positionV>
                <wp:extent cx="904875" cy="457200"/>
                <wp:effectExtent l="0" t="0" r="9525" b="0"/>
                <wp:wrapNone/>
                <wp:docPr id="30" name="Rectangle 13"/>
                <wp:cNvGraphicFramePr/>
                <a:graphic xmlns:a="http://schemas.openxmlformats.org/drawingml/2006/main">
                  <a:graphicData uri="http://schemas.microsoft.com/office/word/2010/wordprocessingShape">
                    <wps:wsp>
                      <wps:cNvSpPr/>
                      <wps:spPr>
                        <a:xfrm>
                          <a:off x="0" y="0"/>
                          <a:ext cx="904875" cy="457200"/>
                        </a:xfrm>
                        <a:prstGeom prst="rect">
                          <a:avLst/>
                        </a:prstGeom>
                        <a:solidFill>
                          <a:schemeClr val="tx2">
                            <a:lumMod val="25000"/>
                            <a:lumOff val="75000"/>
                          </a:schemeClr>
                        </a:solidFill>
                        <a:ln>
                          <a:noFill/>
                        </a:ln>
                      </wps:spPr>
                      <wps:style>
                        <a:lnRef idx="1">
                          <a:schemeClr val="accent3"/>
                        </a:lnRef>
                        <a:fillRef idx="3">
                          <a:schemeClr val="accent3"/>
                        </a:fillRef>
                        <a:effectRef idx="2">
                          <a:schemeClr val="accent3"/>
                        </a:effectRef>
                        <a:fontRef idx="minor">
                          <a:schemeClr val="lt1"/>
                        </a:fontRef>
                      </wps:style>
                      <wps:txbx>
                        <w:txbxContent>
                          <w:p w14:paraId="1F9EC0AE" w14:textId="77777777" w:rsidR="00A677A0" w:rsidRPr="00FC411A" w:rsidRDefault="00A677A0" w:rsidP="000D2245">
                            <w:pPr>
                              <w:pStyle w:val="NormalWeb"/>
                              <w:kinsoku w:val="0"/>
                              <w:overflowPunct w:val="0"/>
                              <w:spacing w:before="0" w:beforeAutospacing="0" w:after="0" w:afterAutospacing="0"/>
                              <w:jc w:val="center"/>
                              <w:rPr>
                                <w:sz w:val="18"/>
                                <w:szCs w:val="18"/>
                              </w:rPr>
                            </w:pPr>
                            <w:r w:rsidRPr="00FC411A">
                              <w:rPr>
                                <w:rFonts w:asciiTheme="minorHAnsi" w:hAnsi="Calibri" w:cstheme="minorBidi"/>
                                <w:color w:val="000000" w:themeColor="text1"/>
                                <w:kern w:val="24"/>
                                <w:sz w:val="18"/>
                                <w:szCs w:val="18"/>
                              </w:rPr>
                              <w:t>Strengt</w:t>
                            </w:r>
                            <w:r>
                              <w:rPr>
                                <w:rFonts w:asciiTheme="minorHAnsi" w:hAnsi="Calibri" w:cstheme="minorBidi"/>
                                <w:color w:val="000000" w:themeColor="text1"/>
                                <w:kern w:val="24"/>
                                <w:sz w:val="18"/>
                                <w:szCs w:val="18"/>
                              </w:rPr>
                              <w:t>h</w:t>
                            </w:r>
                            <w:r w:rsidRPr="00FC411A">
                              <w:rPr>
                                <w:rFonts w:asciiTheme="minorHAnsi" w:hAnsi="Calibri" w:cstheme="minorBidi"/>
                                <w:color w:val="000000" w:themeColor="text1"/>
                                <w:kern w:val="24"/>
                                <w:sz w:val="18"/>
                                <w:szCs w:val="18"/>
                              </w:rPr>
                              <w:t>ening Maroc Citrus</w:t>
                            </w:r>
                          </w:p>
                        </w:txbxContent>
                      </wps:txbx>
                      <wps:bodyPr wrap="square" lIns="76197" tIns="38098" rIns="76197" bIns="38098" rtlCol="0" anchor="ctr">
                        <a:noAutofit/>
                      </wps:bodyPr>
                    </wps:wsp>
                  </a:graphicData>
                </a:graphic>
                <wp14:sizeRelH relativeFrom="margin">
                  <wp14:pctWidth>0</wp14:pctWidth>
                </wp14:sizeRelH>
                <wp14:sizeRelV relativeFrom="margin">
                  <wp14:pctHeight>0</wp14:pctHeight>
                </wp14:sizeRelV>
              </wp:anchor>
            </w:drawing>
          </mc:Choice>
          <mc:Fallback>
            <w:pict>
              <v:rect w14:anchorId="74FE186A" id="Rectangle 13" o:spid="_x0000_s1033" style="position:absolute;left:0;text-align:left;margin-left:86.25pt;margin-top:97.3pt;width:71.25pt;height: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" fillcolor="#b8d0ed [831]" stroked="f">
                <v:shadow on="t" color="black" opacity="22937f" origin=",.5" offset="0,.63889mm"/>
                <v:textbox inset="2.11658mm,1.0583mm,2.11658mm,1.0583mm">
                  <w:txbxContent>
                    <w:p w14:paraId="1F9EC0AE" w14:textId="77777777" w:rsidR="00A677A0" w:rsidRPr="00FC411A" w:rsidRDefault="00A677A0" w:rsidP="000D2245">
                      <w:pPr>
                        <w:pStyle w:val="NormalWeb"/>
                        <w:kinsoku w:val="0"/>
                        <w:overflowPunct w:val="0"/>
                        <w:spacing w:before="0" w:beforeAutospacing="0" w:after="0" w:afterAutospacing="0"/>
                        <w:jc w:val="center"/>
                        <w:rPr>
                          <w:sz w:val="18"/>
                          <w:szCs w:val="18"/>
                        </w:rPr>
                      </w:pPr>
                      <w:r w:rsidRPr="00FC411A">
                        <w:rPr>
                          <w:rFonts w:asciiTheme="minorHAnsi" w:hAnsi="Calibri" w:cstheme="minorBidi"/>
                          <w:color w:val="000000" w:themeColor="text1"/>
                          <w:kern w:val="24"/>
                          <w:sz w:val="18"/>
                          <w:szCs w:val="18"/>
                        </w:rPr>
                        <w:t>Strengt</w:t>
                      </w:r>
                      <w:r>
                        <w:rPr>
                          <w:rFonts w:asciiTheme="minorHAnsi" w:hAnsi="Calibri" w:cstheme="minorBidi"/>
                          <w:color w:val="000000" w:themeColor="text1"/>
                          <w:kern w:val="24"/>
                          <w:sz w:val="18"/>
                          <w:szCs w:val="18"/>
                        </w:rPr>
                        <w:t>h</w:t>
                      </w:r>
                      <w:r w:rsidRPr="00FC411A">
                        <w:rPr>
                          <w:rFonts w:asciiTheme="minorHAnsi" w:hAnsi="Calibri" w:cstheme="minorBidi"/>
                          <w:color w:val="000000" w:themeColor="text1"/>
                          <w:kern w:val="24"/>
                          <w:sz w:val="18"/>
                          <w:szCs w:val="18"/>
                        </w:rPr>
                        <w:t>ening Maroc Citrus</w:t>
                      </w:r>
                    </w:p>
                  </w:txbxContent>
                </v:textbox>
              </v:rect>
            </w:pict>
          </mc:Fallback>
        </mc:AlternateContent>
      </w:r>
      <w:r w:rsidR="000D2245" w:rsidRPr="00A9238B">
        <w:rPr>
          <w:rFonts w:ascii="Times New Roman" w:hAnsi="Times New Roman" w:cs="Times New Roman"/>
          <w:noProof/>
        </w:rPr>
        <mc:AlternateContent>
          <mc:Choice Requires="wps">
            <w:drawing>
              <wp:anchor distT="0" distB="0" distL="114300" distR="114300" simplePos="0" relativeHeight="251672576" behindDoc="0" locked="0" layoutInCell="1" allowOverlap="1" wp14:anchorId="50D5731C" wp14:editId="7B1E4DA9">
                <wp:simplePos x="0" y="0"/>
                <wp:positionH relativeFrom="margin">
                  <wp:align>left</wp:align>
                </wp:positionH>
                <wp:positionV relativeFrom="paragraph">
                  <wp:posOffset>532902</wp:posOffset>
                </wp:positionV>
                <wp:extent cx="2057400" cy="1837083"/>
                <wp:effectExtent l="0" t="0" r="0" b="0"/>
                <wp:wrapNone/>
                <wp:docPr id="32" name="Rectangle 14"/>
                <wp:cNvGraphicFramePr/>
                <a:graphic xmlns:a="http://schemas.openxmlformats.org/drawingml/2006/main">
                  <a:graphicData uri="http://schemas.microsoft.com/office/word/2010/wordprocessingShape">
                    <wps:wsp>
                      <wps:cNvSpPr/>
                      <wps:spPr>
                        <a:xfrm>
                          <a:off x="0" y="0"/>
                          <a:ext cx="2057400" cy="1837083"/>
                        </a:xfrm>
                        <a:prstGeom prst="rect">
                          <a:avLst/>
                        </a:prstGeom>
                        <a:solidFill>
                          <a:schemeClr val="bg1">
                            <a:lumMod val="85000"/>
                          </a:schemeClr>
                        </a:solidFill>
                        <a:ln>
                          <a:noFill/>
                        </a:ln>
                      </wps:spPr>
                      <wps:style>
                        <a:lnRef idx="1">
                          <a:schemeClr val="accent3"/>
                        </a:lnRef>
                        <a:fillRef idx="3">
                          <a:schemeClr val="accent3"/>
                        </a:fillRef>
                        <a:effectRef idx="2">
                          <a:schemeClr val="accent3"/>
                        </a:effectRef>
                        <a:fontRef idx="minor">
                          <a:schemeClr val="lt1"/>
                        </a:fontRef>
                      </wps:style>
                      <wps:txbx>
                        <w:txbxContent>
                          <w:p w14:paraId="4C3603EF" w14:textId="77777777" w:rsidR="00A677A0" w:rsidRPr="000D2245" w:rsidRDefault="00A677A0" w:rsidP="000D2245">
                            <w:pPr>
                              <w:pStyle w:val="NormalWeb"/>
                              <w:kinsoku w:val="0"/>
                              <w:overflowPunct w:val="0"/>
                              <w:spacing w:before="0" w:beforeAutospacing="0" w:after="0" w:afterAutospacing="0"/>
                              <w:jc w:val="center"/>
                              <w:rPr>
                                <w:rFonts w:ascii="Arial" w:hAnsi="Arial" w:cs="Arial"/>
                                <w:sz w:val="18"/>
                                <w:szCs w:val="18"/>
                                <w:lang w:val="en-US"/>
                              </w:rPr>
                            </w:pPr>
                            <w:r w:rsidRPr="000D2245">
                              <w:rPr>
                                <w:rFonts w:ascii="Arial" w:hAnsi="Arial" w:cs="Arial"/>
                                <w:color w:val="000000" w:themeColor="text1"/>
                                <w:kern w:val="24"/>
                                <w:sz w:val="18"/>
                                <w:szCs w:val="18"/>
                                <w:lang w:val="en-US"/>
                              </w:rPr>
                              <w:t xml:space="preserve"> Modernizing infrastructure and management of wholesale markets and improving access to market price information</w:t>
                            </w:r>
                          </w:p>
                        </w:txbxContent>
                      </wps:txbx>
                      <wps:bodyPr wrap="square" lIns="76197" tIns="38098" rIns="76197" bIns="38098" rtlCol="0" anchor="t">
                        <a:noAutofit/>
                      </wps:bodyPr>
                    </wps:wsp>
                  </a:graphicData>
                </a:graphic>
                <wp14:sizeRelH relativeFrom="margin">
                  <wp14:pctWidth>0</wp14:pctWidth>
                </wp14:sizeRelH>
                <wp14:sizeRelV relativeFrom="margin">
                  <wp14:pctHeight>0</wp14:pctHeight>
                </wp14:sizeRelV>
              </wp:anchor>
            </w:drawing>
          </mc:Choice>
          <mc:Fallback>
            <w:pict>
              <v:rect w14:anchorId="50D5731C" id="Rectangle 14" o:spid="_x0000_s1034" style="position:absolute;left:0;text-align:left;margin-left:0;margin-top:41.95pt;width:162pt;height:144.65pt;z-index:2516725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" fillcolor="#d8d8d8 [2732]" stroked="f">
                <v:shadow on="t" color="black" opacity="22937f" origin=",.5" offset="0,.63889mm"/>
                <v:textbox inset="2.11658mm,1.0583mm,2.11658mm,1.0583mm">
                  <w:txbxContent>
                    <w:p w14:paraId="4C3603EF" w14:textId="77777777" w:rsidR="00A677A0" w:rsidRPr="000D2245" w:rsidRDefault="00A677A0" w:rsidP="000D2245">
                      <w:pPr>
                        <w:pStyle w:val="NormalWeb"/>
                        <w:kinsoku w:val="0"/>
                        <w:overflowPunct w:val="0"/>
                        <w:spacing w:before="0" w:beforeAutospacing="0" w:after="0" w:afterAutospacing="0"/>
                        <w:jc w:val="center"/>
                        <w:rPr>
                          <w:rFonts w:ascii="Arial" w:hAnsi="Arial" w:cs="Arial"/>
                          <w:sz w:val="18"/>
                          <w:szCs w:val="18"/>
                          <w:lang w:val="en-US"/>
                        </w:rPr>
                      </w:pPr>
                      <w:r w:rsidRPr="000D2245">
                        <w:rPr>
                          <w:rFonts w:ascii="Arial" w:hAnsi="Arial" w:cs="Arial"/>
                          <w:color w:val="000000" w:themeColor="text1"/>
                          <w:kern w:val="24"/>
                          <w:sz w:val="18"/>
                          <w:szCs w:val="18"/>
                          <w:lang w:val="en-US"/>
                        </w:rPr>
                        <w:t xml:space="preserve"> Modernizing infrastructure and management of wholesale markets and improving access to market price information</w:t>
                      </w:r>
                    </w:p>
                  </w:txbxContent>
                </v:textbox>
                <w10:wrap anchorx="margin"/>
              </v:rect>
            </w:pict>
          </mc:Fallback>
        </mc:AlternateContent>
      </w:r>
      <w:r w:rsidR="000D2245" w:rsidRPr="00A9238B">
        <w:rPr>
          <w:rFonts w:ascii="Times New Roman" w:hAnsi="Times New Roman" w:cs="Times New Roman"/>
          <w:noProof/>
        </w:rPr>
        <mc:AlternateContent>
          <mc:Choice Requires="wps">
            <w:drawing>
              <wp:anchor distT="0" distB="0" distL="114300" distR="114300" simplePos="0" relativeHeight="251678720" behindDoc="0" locked="0" layoutInCell="1" allowOverlap="1" wp14:anchorId="20EE7457" wp14:editId="76F1E68C">
                <wp:simplePos x="0" y="0"/>
                <wp:positionH relativeFrom="column">
                  <wp:posOffset>3170583</wp:posOffset>
                </wp:positionH>
                <wp:positionV relativeFrom="paragraph">
                  <wp:posOffset>532902</wp:posOffset>
                </wp:positionV>
                <wp:extent cx="911225" cy="1837911"/>
                <wp:effectExtent l="0" t="0" r="3175" b="0"/>
                <wp:wrapNone/>
                <wp:docPr id="34" name="Rectangle 16"/>
                <wp:cNvGraphicFramePr/>
                <a:graphic xmlns:a="http://schemas.openxmlformats.org/drawingml/2006/main">
                  <a:graphicData uri="http://schemas.microsoft.com/office/word/2010/wordprocessingShape">
                    <wps:wsp>
                      <wps:cNvSpPr/>
                      <wps:spPr>
                        <a:xfrm>
                          <a:off x="0" y="0"/>
                          <a:ext cx="911225" cy="1837911"/>
                        </a:xfrm>
                        <a:prstGeom prst="rect">
                          <a:avLst/>
                        </a:prstGeom>
                        <a:solidFill>
                          <a:schemeClr val="bg1">
                            <a:lumMod val="85000"/>
                          </a:schemeClr>
                        </a:solidFill>
                        <a:ln>
                          <a:noFill/>
                        </a:ln>
                      </wps:spPr>
                      <wps:style>
                        <a:lnRef idx="1">
                          <a:schemeClr val="accent3"/>
                        </a:lnRef>
                        <a:fillRef idx="3">
                          <a:schemeClr val="accent3"/>
                        </a:fillRef>
                        <a:effectRef idx="2">
                          <a:schemeClr val="accent3"/>
                        </a:effectRef>
                        <a:fontRef idx="minor">
                          <a:schemeClr val="lt1"/>
                        </a:fontRef>
                      </wps:style>
                      <wps:txbx>
                        <w:txbxContent>
                          <w:p w14:paraId="1C42C075" w14:textId="77777777" w:rsidR="00A677A0" w:rsidRPr="009D7C3C" w:rsidRDefault="00A677A0" w:rsidP="000D2245">
                            <w:pPr>
                              <w:pStyle w:val="NormalWeb"/>
                              <w:kinsoku w:val="0"/>
                              <w:overflowPunct w:val="0"/>
                              <w:spacing w:before="0" w:beforeAutospacing="0" w:after="0" w:afterAutospacing="0"/>
                              <w:jc w:val="center"/>
                              <w:rPr>
                                <w:rFonts w:ascii="Arial" w:hAnsi="Arial" w:cs="Arial"/>
                                <w:sz w:val="18"/>
                                <w:szCs w:val="18"/>
                              </w:rPr>
                            </w:pPr>
                            <w:r w:rsidRPr="009D7C3C">
                              <w:rPr>
                                <w:rFonts w:ascii="Arial" w:hAnsi="Arial" w:cs="Arial"/>
                                <w:color w:val="000000" w:themeColor="text1"/>
                                <w:kern w:val="24"/>
                                <w:sz w:val="18"/>
                                <w:szCs w:val="18"/>
                              </w:rPr>
                              <w:t>Promotion of quality standards</w:t>
                            </w:r>
                          </w:p>
                        </w:txbxContent>
                      </wps:txbx>
                      <wps:bodyPr wrap="square" lIns="76197" tIns="38098" rIns="76197" bIns="38098" rtlCol="0" anchor="t">
                        <a:noAutofit/>
                      </wps:bodyPr>
                    </wps:wsp>
                  </a:graphicData>
                </a:graphic>
                <wp14:sizeRelH relativeFrom="margin">
                  <wp14:pctWidth>0</wp14:pctWidth>
                </wp14:sizeRelH>
                <wp14:sizeRelV relativeFrom="margin">
                  <wp14:pctHeight>0</wp14:pctHeight>
                </wp14:sizeRelV>
              </wp:anchor>
            </w:drawing>
          </mc:Choice>
          <mc:Fallback>
            <w:pict>
              <v:rect w14:anchorId="20EE7457" id="Rectangle 16" o:spid="_x0000_s1035" style="position:absolute;left:0;text-align:left;margin-left:249.65pt;margin-top:41.95pt;width:71.75pt;height:144.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" fillcolor="#d8d8d8 [2732]" stroked="f">
                <v:shadow on="t" color="black" opacity="22937f" origin=",.5" offset="0,.63889mm"/>
                <v:textbox inset="2.11658mm,1.0583mm,2.11658mm,1.0583mm">
                  <w:txbxContent>
                    <w:p w14:paraId="1C42C075" w14:textId="77777777" w:rsidR="00A677A0" w:rsidRPr="009D7C3C" w:rsidRDefault="00A677A0" w:rsidP="000D2245">
                      <w:pPr>
                        <w:pStyle w:val="NormalWeb"/>
                        <w:kinsoku w:val="0"/>
                        <w:overflowPunct w:val="0"/>
                        <w:spacing w:before="0" w:beforeAutospacing="0" w:after="0" w:afterAutospacing="0"/>
                        <w:jc w:val="center"/>
                        <w:rPr>
                          <w:rFonts w:ascii="Arial" w:hAnsi="Arial" w:cs="Arial"/>
                          <w:sz w:val="18"/>
                          <w:szCs w:val="18"/>
                        </w:rPr>
                      </w:pPr>
                      <w:r w:rsidRPr="009D7C3C">
                        <w:rPr>
                          <w:rFonts w:ascii="Arial" w:hAnsi="Arial" w:cs="Arial"/>
                          <w:color w:val="000000" w:themeColor="text1"/>
                          <w:kern w:val="24"/>
                          <w:sz w:val="18"/>
                          <w:szCs w:val="18"/>
                        </w:rPr>
                        <w:t>Promotion of quality standards</w:t>
                      </w:r>
                    </w:p>
                  </w:txbxContent>
                </v:textbox>
              </v:rect>
            </w:pict>
          </mc:Fallback>
        </mc:AlternateContent>
      </w:r>
      <w:r w:rsidR="000D2245" w:rsidRPr="00A9238B">
        <w:rPr>
          <w:rFonts w:ascii="Times New Roman" w:hAnsi="Times New Roman" w:cs="Times New Roman"/>
          <w:noProof/>
        </w:rPr>
        <mc:AlternateContent>
          <mc:Choice Requires="wps">
            <w:drawing>
              <wp:anchor distT="0" distB="0" distL="114300" distR="114300" simplePos="0" relativeHeight="251677696" behindDoc="0" locked="0" layoutInCell="1" allowOverlap="1" wp14:anchorId="39268ADC" wp14:editId="16A9F975">
                <wp:simplePos x="0" y="0"/>
                <wp:positionH relativeFrom="margin">
                  <wp:posOffset>2156791</wp:posOffset>
                </wp:positionH>
                <wp:positionV relativeFrom="paragraph">
                  <wp:posOffset>522964</wp:posOffset>
                </wp:positionV>
                <wp:extent cx="963930" cy="1848457"/>
                <wp:effectExtent l="0" t="0" r="7620" b="0"/>
                <wp:wrapNone/>
                <wp:docPr id="35" name="Rectangle 15"/>
                <wp:cNvGraphicFramePr/>
                <a:graphic xmlns:a="http://schemas.openxmlformats.org/drawingml/2006/main">
                  <a:graphicData uri="http://schemas.microsoft.com/office/word/2010/wordprocessingShape">
                    <wps:wsp>
                      <wps:cNvSpPr/>
                      <wps:spPr>
                        <a:xfrm>
                          <a:off x="0" y="0"/>
                          <a:ext cx="963930" cy="1848457"/>
                        </a:xfrm>
                        <a:prstGeom prst="rect">
                          <a:avLst/>
                        </a:prstGeom>
                        <a:solidFill>
                          <a:schemeClr val="bg1">
                            <a:lumMod val="85000"/>
                          </a:schemeClr>
                        </a:solidFill>
                        <a:ln>
                          <a:noFill/>
                        </a:ln>
                      </wps:spPr>
                      <wps:style>
                        <a:lnRef idx="1">
                          <a:schemeClr val="accent3"/>
                        </a:lnRef>
                        <a:fillRef idx="3">
                          <a:schemeClr val="accent3"/>
                        </a:fillRef>
                        <a:effectRef idx="2">
                          <a:schemeClr val="accent3"/>
                        </a:effectRef>
                        <a:fontRef idx="minor">
                          <a:schemeClr val="lt1"/>
                        </a:fontRef>
                      </wps:style>
                      <wps:txbx>
                        <w:txbxContent>
                          <w:p w14:paraId="2CA8005F" w14:textId="3BA5A9EC" w:rsidR="00A677A0" w:rsidRPr="00FC411A" w:rsidRDefault="00A677A0" w:rsidP="000D2245">
                            <w:pPr>
                              <w:pStyle w:val="NormalWeb"/>
                              <w:kinsoku w:val="0"/>
                              <w:overflowPunct w:val="0"/>
                              <w:spacing w:before="0" w:beforeAutospacing="0" w:after="0" w:afterAutospacing="0"/>
                              <w:jc w:val="center"/>
                              <w:rPr>
                                <w:rFonts w:ascii="Arial" w:hAnsi="Arial" w:cs="Arial"/>
                                <w:color w:val="000000" w:themeColor="text1"/>
                                <w:kern w:val="24"/>
                                <w:sz w:val="18"/>
                                <w:szCs w:val="18"/>
                              </w:rPr>
                            </w:pPr>
                            <w:r w:rsidRPr="00FC411A">
                              <w:rPr>
                                <w:rFonts w:ascii="Arial" w:hAnsi="Arial" w:cs="Arial"/>
                                <w:color w:val="000000" w:themeColor="text1"/>
                                <w:kern w:val="24"/>
                                <w:sz w:val="18"/>
                                <w:szCs w:val="18"/>
                              </w:rPr>
                              <w:t>Str</w:t>
                            </w:r>
                            <w:r>
                              <w:rPr>
                                <w:rFonts w:ascii="Arial" w:hAnsi="Arial" w:cs="Arial"/>
                                <w:color w:val="000000" w:themeColor="text1"/>
                                <w:kern w:val="24"/>
                                <w:sz w:val="18"/>
                                <w:szCs w:val="18"/>
                              </w:rPr>
                              <w:t>engthening of ONSSA</w:t>
                            </w:r>
                          </w:p>
                        </w:txbxContent>
                      </wps:txbx>
                      <wps:bodyPr wrap="square" lIns="76197" tIns="38098" rIns="76197" bIns="38098" rtlCol="0" anchor="t">
                        <a:noAutofit/>
                      </wps:bodyPr>
                    </wps:wsp>
                  </a:graphicData>
                </a:graphic>
                <wp14:sizeRelH relativeFrom="margin">
                  <wp14:pctWidth>0</wp14:pctWidth>
                </wp14:sizeRelH>
                <wp14:sizeRelV relativeFrom="margin">
                  <wp14:pctHeight>0</wp14:pctHeight>
                </wp14:sizeRelV>
              </wp:anchor>
            </w:drawing>
          </mc:Choice>
          <mc:Fallback>
            <w:pict>
              <v:rect w14:anchorId="39268ADC" id="Rectangle 15" o:spid="_x0000_s1036" style="position:absolute;left:0;text-align:left;margin-left:169.85pt;margin-top:41.2pt;width:75.9pt;height:145.5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" fillcolor="#d8d8d8 [2732]" stroked="f">
                <v:shadow on="t" color="black" opacity="22937f" origin=",.5" offset="0,.63889mm"/>
                <v:textbox inset="2.11658mm,1.0583mm,2.11658mm,1.0583mm">
                  <w:txbxContent>
                    <w:p w14:paraId="2CA8005F" w14:textId="3BA5A9EC" w:rsidR="00A677A0" w:rsidRPr="00FC411A" w:rsidRDefault="00A677A0" w:rsidP="000D2245">
                      <w:pPr>
                        <w:pStyle w:val="NormalWeb"/>
                        <w:kinsoku w:val="0"/>
                        <w:overflowPunct w:val="0"/>
                        <w:spacing w:before="0" w:beforeAutospacing="0" w:after="0" w:afterAutospacing="0"/>
                        <w:jc w:val="center"/>
                        <w:rPr>
                          <w:rFonts w:ascii="Arial" w:hAnsi="Arial" w:cs="Arial"/>
                          <w:color w:val="000000" w:themeColor="text1"/>
                          <w:kern w:val="24"/>
                          <w:sz w:val="18"/>
                          <w:szCs w:val="18"/>
                        </w:rPr>
                      </w:pPr>
                      <w:r w:rsidRPr="00FC411A">
                        <w:rPr>
                          <w:rFonts w:ascii="Arial" w:hAnsi="Arial" w:cs="Arial"/>
                          <w:color w:val="000000" w:themeColor="text1"/>
                          <w:kern w:val="24"/>
                          <w:sz w:val="18"/>
                          <w:szCs w:val="18"/>
                        </w:rPr>
                        <w:t>Str</w:t>
                      </w:r>
                      <w:r>
                        <w:rPr>
                          <w:rFonts w:ascii="Arial" w:hAnsi="Arial" w:cs="Arial"/>
                          <w:color w:val="000000" w:themeColor="text1"/>
                          <w:kern w:val="24"/>
                          <w:sz w:val="18"/>
                          <w:szCs w:val="18"/>
                        </w:rPr>
                        <w:t>engthening of ONSSA</w:t>
                      </w:r>
                    </w:p>
                  </w:txbxContent>
                </v:textbox>
                <w10:wrap anchorx="margin"/>
              </v:rect>
            </w:pict>
          </mc:Fallback>
        </mc:AlternateContent>
      </w:r>
      <w:r w:rsidR="000D2245" w:rsidRPr="00A9238B">
        <w:rPr>
          <w:rFonts w:ascii="Times New Roman" w:hAnsi="Times New Roman" w:cs="Times New Roman"/>
          <w:noProof/>
        </w:rPr>
        <mc:AlternateContent>
          <mc:Choice Requires="wps">
            <w:drawing>
              <wp:anchor distT="0" distB="0" distL="114300" distR="114300" simplePos="0" relativeHeight="251682816" behindDoc="0" locked="0" layoutInCell="1" allowOverlap="1" wp14:anchorId="11D3C7B0" wp14:editId="04A057AC">
                <wp:simplePos x="0" y="0"/>
                <wp:positionH relativeFrom="column">
                  <wp:posOffset>4173855</wp:posOffset>
                </wp:positionH>
                <wp:positionV relativeFrom="paragraph">
                  <wp:posOffset>552450</wp:posOffset>
                </wp:positionV>
                <wp:extent cx="914400" cy="1818640"/>
                <wp:effectExtent l="0" t="0" r="0" b="0"/>
                <wp:wrapNone/>
                <wp:docPr id="36" name="Rectangle 25"/>
                <wp:cNvGraphicFramePr/>
                <a:graphic xmlns:a="http://schemas.openxmlformats.org/drawingml/2006/main">
                  <a:graphicData uri="http://schemas.microsoft.com/office/word/2010/wordprocessingShape">
                    <wps:wsp>
                      <wps:cNvSpPr/>
                      <wps:spPr>
                        <a:xfrm>
                          <a:off x="0" y="0"/>
                          <a:ext cx="914400" cy="1818640"/>
                        </a:xfrm>
                        <a:prstGeom prst="rect">
                          <a:avLst/>
                        </a:prstGeom>
                        <a:solidFill>
                          <a:schemeClr val="bg1">
                            <a:lumMod val="85000"/>
                          </a:schemeClr>
                        </a:solidFill>
                        <a:ln>
                          <a:noFill/>
                        </a:ln>
                      </wps:spPr>
                      <wps:style>
                        <a:lnRef idx="1">
                          <a:schemeClr val="accent3"/>
                        </a:lnRef>
                        <a:fillRef idx="3">
                          <a:schemeClr val="accent3"/>
                        </a:fillRef>
                        <a:effectRef idx="2">
                          <a:schemeClr val="accent3"/>
                        </a:effectRef>
                        <a:fontRef idx="minor">
                          <a:schemeClr val="lt1"/>
                        </a:fontRef>
                      </wps:style>
                      <wps:txbx>
                        <w:txbxContent>
                          <w:p w14:paraId="0E37ADBD" w14:textId="77777777" w:rsidR="00A677A0" w:rsidRPr="00FC411A" w:rsidRDefault="00A677A0" w:rsidP="000D2245">
                            <w:pPr>
                              <w:pStyle w:val="NormalWeb"/>
                              <w:kinsoku w:val="0"/>
                              <w:overflowPunct w:val="0"/>
                              <w:spacing w:before="0" w:beforeAutospacing="0" w:after="0" w:afterAutospacing="0"/>
                              <w:jc w:val="center"/>
                              <w:rPr>
                                <w:rFonts w:ascii="Arial" w:hAnsi="Arial" w:cs="Arial"/>
                                <w:color w:val="000000" w:themeColor="text1"/>
                                <w:kern w:val="24"/>
                                <w:sz w:val="18"/>
                                <w:szCs w:val="18"/>
                              </w:rPr>
                            </w:pPr>
                            <w:r w:rsidRPr="00FC411A">
                              <w:rPr>
                                <w:rFonts w:ascii="Arial" w:hAnsi="Arial" w:cs="Arial"/>
                                <w:color w:val="000000" w:themeColor="text1"/>
                                <w:kern w:val="24"/>
                                <w:sz w:val="18"/>
                                <w:szCs w:val="18"/>
                              </w:rPr>
                              <w:t>Agri-food Innovation Centers</w:t>
                            </w:r>
                          </w:p>
                        </w:txbxContent>
                      </wps:txbx>
                      <wps:bodyPr wrap="square" lIns="76197" tIns="38098" rIns="76197" bIns="38098" rtlCol="0" anchor="t">
                        <a:noAutofit/>
                      </wps:bodyPr>
                    </wps:wsp>
                  </a:graphicData>
                </a:graphic>
                <wp14:sizeRelH relativeFrom="margin">
                  <wp14:pctWidth>0</wp14:pctWidth>
                </wp14:sizeRelH>
                <wp14:sizeRelV relativeFrom="margin">
                  <wp14:pctHeight>0</wp14:pctHeight>
                </wp14:sizeRelV>
              </wp:anchor>
            </w:drawing>
          </mc:Choice>
          <mc:Fallback>
            <w:pict>
              <v:rect w14:anchorId="11D3C7B0" id="Rectangle 25" o:spid="_x0000_s1037" style="position:absolute;left:0;text-align:left;margin-left:328.65pt;margin-top:43.5pt;width:1in;height:143.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" fillcolor="#d8d8d8 [2732]" stroked="f">
                <v:shadow on="t" color="black" opacity="22937f" origin=",.5" offset="0,.63889mm"/>
                <v:textbox inset="2.11658mm,1.0583mm,2.11658mm,1.0583mm">
                  <w:txbxContent>
                    <w:p w14:paraId="0E37ADBD" w14:textId="77777777" w:rsidR="00A677A0" w:rsidRPr="00FC411A" w:rsidRDefault="00A677A0" w:rsidP="000D2245">
                      <w:pPr>
                        <w:pStyle w:val="NormalWeb"/>
                        <w:kinsoku w:val="0"/>
                        <w:overflowPunct w:val="0"/>
                        <w:spacing w:before="0" w:beforeAutospacing="0" w:after="0" w:afterAutospacing="0"/>
                        <w:jc w:val="center"/>
                        <w:rPr>
                          <w:rFonts w:ascii="Arial" w:hAnsi="Arial" w:cs="Arial"/>
                          <w:color w:val="000000" w:themeColor="text1"/>
                          <w:kern w:val="24"/>
                          <w:sz w:val="18"/>
                          <w:szCs w:val="18"/>
                        </w:rPr>
                      </w:pPr>
                      <w:r w:rsidRPr="00FC411A">
                        <w:rPr>
                          <w:rFonts w:ascii="Arial" w:hAnsi="Arial" w:cs="Arial"/>
                          <w:color w:val="000000" w:themeColor="text1"/>
                          <w:kern w:val="24"/>
                          <w:sz w:val="18"/>
                          <w:szCs w:val="18"/>
                        </w:rPr>
                        <w:t>Agri-food Innovation Centers</w:t>
                      </w:r>
                    </w:p>
                  </w:txbxContent>
                </v:textbox>
              </v:rect>
            </w:pict>
          </mc:Fallback>
        </mc:AlternateContent>
      </w:r>
      <w:r w:rsidR="000D2245" w:rsidRPr="00A9238B">
        <w:rPr>
          <w:rFonts w:ascii="Times New Roman" w:hAnsi="Times New Roman" w:cs="Times New Roman"/>
          <w:noProof/>
        </w:rPr>
        <mc:AlternateContent>
          <mc:Choice Requires="wps">
            <w:drawing>
              <wp:anchor distT="0" distB="0" distL="114300" distR="114300" simplePos="0" relativeHeight="251683840" behindDoc="0" locked="0" layoutInCell="1" allowOverlap="1" wp14:anchorId="165025D2" wp14:editId="1BC7B5F1">
                <wp:simplePos x="0" y="0"/>
                <wp:positionH relativeFrom="column">
                  <wp:posOffset>5128591</wp:posOffset>
                </wp:positionH>
                <wp:positionV relativeFrom="paragraph">
                  <wp:posOffset>552780</wp:posOffset>
                </wp:positionV>
                <wp:extent cx="914400" cy="1818861"/>
                <wp:effectExtent l="0" t="0" r="0" b="0"/>
                <wp:wrapNone/>
                <wp:docPr id="37" name="Rectangle 25"/>
                <wp:cNvGraphicFramePr/>
                <a:graphic xmlns:a="http://schemas.openxmlformats.org/drawingml/2006/main">
                  <a:graphicData uri="http://schemas.microsoft.com/office/word/2010/wordprocessingShape">
                    <wps:wsp>
                      <wps:cNvSpPr/>
                      <wps:spPr>
                        <a:xfrm>
                          <a:off x="0" y="0"/>
                          <a:ext cx="914400" cy="1818861"/>
                        </a:xfrm>
                        <a:prstGeom prst="rect">
                          <a:avLst/>
                        </a:prstGeom>
                        <a:solidFill>
                          <a:schemeClr val="bg1">
                            <a:lumMod val="85000"/>
                          </a:schemeClr>
                        </a:solidFill>
                        <a:ln>
                          <a:noFill/>
                        </a:ln>
                      </wps:spPr>
                      <wps:style>
                        <a:lnRef idx="1">
                          <a:schemeClr val="accent3"/>
                        </a:lnRef>
                        <a:fillRef idx="3">
                          <a:schemeClr val="accent3"/>
                        </a:fillRef>
                        <a:effectRef idx="2">
                          <a:schemeClr val="accent3"/>
                        </a:effectRef>
                        <a:fontRef idx="minor">
                          <a:schemeClr val="lt1"/>
                        </a:fontRef>
                      </wps:style>
                      <wps:txbx>
                        <w:txbxContent>
                          <w:p w14:paraId="6598270B" w14:textId="6A8A3B19" w:rsidR="00A677A0" w:rsidRPr="002403B5" w:rsidRDefault="00A677A0" w:rsidP="000D2245">
                            <w:pPr>
                              <w:pStyle w:val="NormalWeb"/>
                              <w:kinsoku w:val="0"/>
                              <w:overflowPunct w:val="0"/>
                              <w:spacing w:before="0" w:beforeAutospacing="0" w:after="0" w:afterAutospacing="0"/>
                              <w:jc w:val="center"/>
                              <w:rPr>
                                <w:rFonts w:ascii="Arial" w:hAnsi="Arial" w:cs="Arial"/>
                                <w:color w:val="000000" w:themeColor="text1"/>
                                <w:kern w:val="24"/>
                                <w:sz w:val="18"/>
                                <w:szCs w:val="18"/>
                              </w:rPr>
                            </w:pPr>
                            <w:r>
                              <w:rPr>
                                <w:rFonts w:ascii="Arial" w:hAnsi="Arial" w:cs="Arial"/>
                                <w:color w:val="000000" w:themeColor="text1"/>
                                <w:kern w:val="24"/>
                                <w:sz w:val="18"/>
                                <w:szCs w:val="18"/>
                              </w:rPr>
                              <w:t>Financing i</w:t>
                            </w:r>
                            <w:r w:rsidRPr="002403B5">
                              <w:rPr>
                                <w:rFonts w:ascii="Arial" w:hAnsi="Arial" w:cs="Arial"/>
                                <w:color w:val="000000" w:themeColor="text1"/>
                                <w:kern w:val="24"/>
                                <w:sz w:val="18"/>
                                <w:szCs w:val="18"/>
                              </w:rPr>
                              <w:t>nno</w:t>
                            </w:r>
                            <w:r>
                              <w:rPr>
                                <w:rFonts w:ascii="Arial" w:hAnsi="Arial" w:cs="Arial"/>
                                <w:color w:val="000000" w:themeColor="text1"/>
                                <w:kern w:val="24"/>
                                <w:sz w:val="18"/>
                                <w:szCs w:val="18"/>
                              </w:rPr>
                              <w:t>vation</w:t>
                            </w:r>
                          </w:p>
                        </w:txbxContent>
                      </wps:txbx>
                      <wps:bodyPr wrap="square" lIns="76197" tIns="38098" rIns="76197" bIns="38098" rtlCol="0" anchor="t">
                        <a:noAutofit/>
                      </wps:bodyPr>
                    </wps:wsp>
                  </a:graphicData>
                </a:graphic>
                <wp14:sizeRelH relativeFrom="margin">
                  <wp14:pctWidth>0</wp14:pctWidth>
                </wp14:sizeRelH>
                <wp14:sizeRelV relativeFrom="margin">
                  <wp14:pctHeight>0</wp14:pctHeight>
                </wp14:sizeRelV>
              </wp:anchor>
            </w:drawing>
          </mc:Choice>
          <mc:Fallback>
            <w:pict>
              <v:rect w14:anchorId="165025D2" id="_x0000_s1038" style="position:absolute;left:0;text-align:left;margin-left:403.85pt;margin-top:43.55pt;width:1in;height:143.2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" fillcolor="#d8d8d8 [2732]" stroked="f">
                <v:shadow on="t" color="black" opacity="22937f" origin=",.5" offset="0,.63889mm"/>
                <v:textbox inset="2.11658mm,1.0583mm,2.11658mm,1.0583mm">
                  <w:txbxContent>
                    <w:p w14:paraId="6598270B" w14:textId="6A8A3B19" w:rsidR="00A677A0" w:rsidRPr="002403B5" w:rsidRDefault="00A677A0" w:rsidP="000D2245">
                      <w:pPr>
                        <w:pStyle w:val="NormalWeb"/>
                        <w:kinsoku w:val="0"/>
                        <w:overflowPunct w:val="0"/>
                        <w:spacing w:before="0" w:beforeAutospacing="0" w:after="0" w:afterAutospacing="0"/>
                        <w:jc w:val="center"/>
                        <w:rPr>
                          <w:rFonts w:ascii="Arial" w:hAnsi="Arial" w:cs="Arial"/>
                          <w:color w:val="000000" w:themeColor="text1"/>
                          <w:kern w:val="24"/>
                          <w:sz w:val="18"/>
                          <w:szCs w:val="18"/>
                        </w:rPr>
                      </w:pPr>
                      <w:r>
                        <w:rPr>
                          <w:rFonts w:ascii="Arial" w:hAnsi="Arial" w:cs="Arial"/>
                          <w:color w:val="000000" w:themeColor="text1"/>
                          <w:kern w:val="24"/>
                          <w:sz w:val="18"/>
                          <w:szCs w:val="18"/>
                        </w:rPr>
                        <w:t>Financing i</w:t>
                      </w:r>
                      <w:r w:rsidRPr="002403B5">
                        <w:rPr>
                          <w:rFonts w:ascii="Arial" w:hAnsi="Arial" w:cs="Arial"/>
                          <w:color w:val="000000" w:themeColor="text1"/>
                          <w:kern w:val="24"/>
                          <w:sz w:val="18"/>
                          <w:szCs w:val="18"/>
                        </w:rPr>
                        <w:t>nno</w:t>
                      </w:r>
                      <w:r>
                        <w:rPr>
                          <w:rFonts w:ascii="Arial" w:hAnsi="Arial" w:cs="Arial"/>
                          <w:color w:val="000000" w:themeColor="text1"/>
                          <w:kern w:val="24"/>
                          <w:sz w:val="18"/>
                          <w:szCs w:val="18"/>
                        </w:rPr>
                        <w:t>vation</w:t>
                      </w:r>
                    </w:p>
                  </w:txbxContent>
                </v:textbox>
              </v:rect>
            </w:pict>
          </mc:Fallback>
        </mc:AlternateContent>
      </w:r>
      <w:r w:rsidR="000D2245" w:rsidRPr="00A9238B">
        <w:rPr>
          <w:rFonts w:ascii="Times New Roman" w:hAnsi="Times New Roman" w:cs="Times New Roman"/>
          <w:noProof/>
        </w:rPr>
        <mc:AlternateContent>
          <mc:Choice Requires="wps">
            <w:drawing>
              <wp:anchor distT="0" distB="0" distL="114300" distR="114300" simplePos="0" relativeHeight="251679744" behindDoc="0" locked="0" layoutInCell="1" allowOverlap="1" wp14:anchorId="579BB16C" wp14:editId="0AF25208">
                <wp:simplePos x="0" y="0"/>
                <wp:positionH relativeFrom="column">
                  <wp:posOffset>2246243</wp:posOffset>
                </wp:positionH>
                <wp:positionV relativeFrom="paragraph">
                  <wp:posOffset>1258460</wp:posOffset>
                </wp:positionV>
                <wp:extent cx="1796912" cy="397565"/>
                <wp:effectExtent l="0" t="0" r="0" b="2540"/>
                <wp:wrapNone/>
                <wp:docPr id="38" name="Rectangle 20"/>
                <wp:cNvGraphicFramePr/>
                <a:graphic xmlns:a="http://schemas.openxmlformats.org/drawingml/2006/main">
                  <a:graphicData uri="http://schemas.microsoft.com/office/word/2010/wordprocessingShape">
                    <wps:wsp>
                      <wps:cNvSpPr/>
                      <wps:spPr>
                        <a:xfrm>
                          <a:off x="0" y="0"/>
                          <a:ext cx="1796912" cy="397565"/>
                        </a:xfrm>
                        <a:prstGeom prst="rect">
                          <a:avLst/>
                        </a:prstGeom>
                        <a:solidFill>
                          <a:schemeClr val="tx2">
                            <a:lumMod val="25000"/>
                            <a:lumOff val="75000"/>
                          </a:schemeClr>
                        </a:solidFill>
                        <a:ln>
                          <a:noFill/>
                        </a:ln>
                      </wps:spPr>
                      <wps:style>
                        <a:lnRef idx="1">
                          <a:schemeClr val="accent3"/>
                        </a:lnRef>
                        <a:fillRef idx="3">
                          <a:schemeClr val="accent3"/>
                        </a:fillRef>
                        <a:effectRef idx="2">
                          <a:schemeClr val="accent3"/>
                        </a:effectRef>
                        <a:fontRef idx="minor">
                          <a:schemeClr val="lt1"/>
                        </a:fontRef>
                      </wps:style>
                      <wps:txbx>
                        <w:txbxContent>
                          <w:p w14:paraId="4A5E5077" w14:textId="77777777" w:rsidR="00A677A0" w:rsidRPr="000D2245" w:rsidRDefault="00A677A0" w:rsidP="000D2245">
                            <w:pPr>
                              <w:pStyle w:val="NormalWeb"/>
                              <w:kinsoku w:val="0"/>
                              <w:overflowPunct w:val="0"/>
                              <w:spacing w:before="0" w:beforeAutospacing="0" w:after="0" w:afterAutospacing="0"/>
                              <w:jc w:val="center"/>
                              <w:rPr>
                                <w:rFonts w:asciiTheme="minorHAnsi" w:hAnsi="Calibri" w:cstheme="minorBidi"/>
                                <w:color w:val="000000" w:themeColor="text1"/>
                                <w:kern w:val="24"/>
                                <w:sz w:val="18"/>
                                <w:szCs w:val="18"/>
                                <w:lang w:val="en-US"/>
                              </w:rPr>
                            </w:pPr>
                            <w:r w:rsidRPr="000D2245">
                              <w:rPr>
                                <w:rFonts w:asciiTheme="minorHAnsi" w:hAnsi="Calibri" w:cstheme="minorBidi"/>
                                <w:color w:val="000000" w:themeColor="text1"/>
                                <w:kern w:val="24"/>
                                <w:sz w:val="18"/>
                                <w:szCs w:val="18"/>
                                <w:lang w:val="en-US"/>
                              </w:rPr>
                              <w:t>Improve prevention of</w:t>
                            </w:r>
                            <w:r w:rsidRPr="000D2245">
                              <w:rPr>
                                <w:rFonts w:asciiTheme="minorHAnsi" w:hAnsi="Calibri" w:cstheme="minorBidi"/>
                                <w:color w:val="000000" w:themeColor="text1"/>
                                <w:kern w:val="24"/>
                                <w:sz w:val="22"/>
                                <w:szCs w:val="22"/>
                                <w:lang w:val="en-US"/>
                              </w:rPr>
                              <w:t xml:space="preserve"> </w:t>
                            </w:r>
                            <w:r w:rsidRPr="000D2245">
                              <w:rPr>
                                <w:rFonts w:asciiTheme="minorHAnsi" w:hAnsi="Calibri" w:cstheme="minorBidi"/>
                                <w:color w:val="000000" w:themeColor="text1"/>
                                <w:kern w:val="24"/>
                                <w:sz w:val="18"/>
                                <w:szCs w:val="18"/>
                                <w:lang w:val="en-US"/>
                              </w:rPr>
                              <w:t>Mediterranean fruit fly</w:t>
                            </w:r>
                          </w:p>
                        </w:txbxContent>
                      </wps:txbx>
                      <wps:bodyPr wrap="square" lIns="76197" tIns="38098" rIns="76197" bIns="38098" rtlCol="0" anchor="ctr">
                        <a:noAutofit/>
                      </wps:bodyPr>
                    </wps:wsp>
                  </a:graphicData>
                </a:graphic>
                <wp14:sizeRelH relativeFrom="margin">
                  <wp14:pctWidth>0</wp14:pctWidth>
                </wp14:sizeRelH>
                <wp14:sizeRelV relativeFrom="margin">
                  <wp14:pctHeight>0</wp14:pctHeight>
                </wp14:sizeRelV>
              </wp:anchor>
            </w:drawing>
          </mc:Choice>
          <mc:Fallback>
            <w:pict>
              <v:rect w14:anchorId="579BB16C" id="Rectangle 20" o:spid="_x0000_s1039" style="position:absolute;left:0;text-align:left;margin-left:176.85pt;margin-top:99.1pt;width:141.5pt;height:31.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" fillcolor="#b8d0ed [831]" stroked="f">
                <v:shadow on="t" color="black" opacity="22937f" origin=",.5" offset="0,.63889mm"/>
                <v:textbox inset="2.11658mm,1.0583mm,2.11658mm,1.0583mm">
                  <w:txbxContent>
                    <w:p w14:paraId="4A5E5077" w14:textId="77777777" w:rsidR="00A677A0" w:rsidRPr="000D2245" w:rsidRDefault="00A677A0" w:rsidP="000D2245">
                      <w:pPr>
                        <w:pStyle w:val="NormalWeb"/>
                        <w:kinsoku w:val="0"/>
                        <w:overflowPunct w:val="0"/>
                        <w:spacing w:before="0" w:beforeAutospacing="0" w:after="0" w:afterAutospacing="0"/>
                        <w:jc w:val="center"/>
                        <w:rPr>
                          <w:rFonts w:asciiTheme="minorHAnsi" w:hAnsi="Calibri" w:cstheme="minorBidi"/>
                          <w:color w:val="000000" w:themeColor="text1"/>
                          <w:kern w:val="24"/>
                          <w:sz w:val="18"/>
                          <w:szCs w:val="18"/>
                          <w:lang w:val="en-US"/>
                        </w:rPr>
                      </w:pPr>
                      <w:r w:rsidRPr="000D2245">
                        <w:rPr>
                          <w:rFonts w:asciiTheme="minorHAnsi" w:hAnsi="Calibri" w:cstheme="minorBidi"/>
                          <w:color w:val="000000" w:themeColor="text1"/>
                          <w:kern w:val="24"/>
                          <w:sz w:val="18"/>
                          <w:szCs w:val="18"/>
                          <w:lang w:val="en-US"/>
                        </w:rPr>
                        <w:t>Improve prevention of</w:t>
                      </w:r>
                      <w:r w:rsidRPr="000D2245">
                        <w:rPr>
                          <w:rFonts w:asciiTheme="minorHAnsi" w:hAnsi="Calibri" w:cstheme="minorBidi"/>
                          <w:color w:val="000000" w:themeColor="text1"/>
                          <w:kern w:val="24"/>
                          <w:sz w:val="22"/>
                          <w:szCs w:val="22"/>
                          <w:lang w:val="en-US"/>
                        </w:rPr>
                        <w:t xml:space="preserve"> </w:t>
                      </w:r>
                      <w:r w:rsidRPr="000D2245">
                        <w:rPr>
                          <w:rFonts w:asciiTheme="minorHAnsi" w:hAnsi="Calibri" w:cstheme="minorBidi"/>
                          <w:color w:val="000000" w:themeColor="text1"/>
                          <w:kern w:val="24"/>
                          <w:sz w:val="18"/>
                          <w:szCs w:val="18"/>
                          <w:lang w:val="en-US"/>
                        </w:rPr>
                        <w:t>Mediterranean fruit fly</w:t>
                      </w:r>
                    </w:p>
                  </w:txbxContent>
                </v:textbox>
              </v:rect>
            </w:pict>
          </mc:Fallback>
        </mc:AlternateContent>
      </w:r>
      <w:r w:rsidR="000D2245" w:rsidRPr="00A9238B">
        <w:rPr>
          <w:rFonts w:ascii="Times New Roman" w:hAnsi="Times New Roman" w:cs="Times New Roman"/>
          <w:noProof/>
        </w:rPr>
        <w:drawing>
          <wp:inline distT="0" distB="0" distL="0" distR="0" wp14:anchorId="0D41AF90" wp14:editId="2BF8D2B3">
            <wp:extent cx="6546850" cy="2520950"/>
            <wp:effectExtent l="0" t="0" r="0" b="0"/>
            <wp:docPr id="39" name="Diagram 3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2" r:lo="rId23" r:qs="rId24" r:cs="rId25"/>
              </a:graphicData>
            </a:graphic>
          </wp:inline>
        </w:drawing>
      </w:r>
    </w:p>
    <w:p w14:paraId="5663DD62" w14:textId="77777777" w:rsidR="000D2245" w:rsidRPr="00BC7BB5" w:rsidRDefault="000D2245" w:rsidP="000D2245">
      <w:pPr>
        <w:pStyle w:val="ListParagraph"/>
        <w:rPr>
          <w:rFonts w:ascii="Times New Roman" w:hAnsi="Times New Roman" w:cs="Times New Roman"/>
          <w:b/>
        </w:rPr>
      </w:pPr>
    </w:p>
    <w:p w14:paraId="07C7F29D" w14:textId="5E31A0C4" w:rsidR="00335921" w:rsidRPr="00BC7BB5" w:rsidRDefault="000879EC" w:rsidP="00F561E8">
      <w:pPr>
        <w:pStyle w:val="ListParagraph"/>
        <w:numPr>
          <w:ilvl w:val="0"/>
          <w:numId w:val="26"/>
        </w:numPr>
        <w:spacing w:after="0" w:line="240" w:lineRule="auto"/>
        <w:ind w:left="0" w:firstLine="0"/>
        <w:jc w:val="both"/>
        <w:rPr>
          <w:rFonts w:ascii="Times New Roman" w:hAnsi="Times New Roman" w:cs="Times New Roman"/>
          <w:color w:val="000000" w:themeColor="text1"/>
        </w:rPr>
      </w:pPr>
      <w:r w:rsidRPr="00BC7BB5">
        <w:rPr>
          <w:rFonts w:ascii="Times New Roman" w:hAnsi="Times New Roman" w:cs="Times New Roman"/>
          <w:b/>
        </w:rPr>
        <w:t>In addition to its two</w:t>
      </w:r>
      <w:r w:rsidR="00D14192" w:rsidRPr="00BC7BB5">
        <w:rPr>
          <w:rFonts w:ascii="Times New Roman" w:hAnsi="Times New Roman" w:cs="Times New Roman"/>
          <w:b/>
        </w:rPr>
        <w:t xml:space="preserve"> </w:t>
      </w:r>
      <w:r w:rsidRPr="00BC7BB5">
        <w:rPr>
          <w:rFonts w:ascii="Times New Roman" w:hAnsi="Times New Roman" w:cs="Times New Roman"/>
          <w:b/>
        </w:rPr>
        <w:t>R</w:t>
      </w:r>
      <w:r w:rsidR="00101311" w:rsidRPr="00BC7BB5">
        <w:rPr>
          <w:rFonts w:ascii="Times New Roman" w:hAnsi="Times New Roman" w:cs="Times New Roman"/>
          <w:b/>
        </w:rPr>
        <w:t xml:space="preserve">esult areas, the Program would support and finance improvements to implementing agencies’ capacity for </w:t>
      </w:r>
      <w:r w:rsidR="00D14192" w:rsidRPr="00BC7BB5">
        <w:rPr>
          <w:rFonts w:ascii="Times New Roman" w:hAnsi="Times New Roman" w:cs="Times New Roman"/>
          <w:b/>
        </w:rPr>
        <w:t xml:space="preserve">financial management and program </w:t>
      </w:r>
      <w:r w:rsidR="00101311" w:rsidRPr="00BC7BB5">
        <w:rPr>
          <w:rFonts w:ascii="Times New Roman" w:hAnsi="Times New Roman" w:cs="Times New Roman"/>
          <w:b/>
        </w:rPr>
        <w:t>monitoring and evaluation (M&amp;E), as well as enhancements to the existing M&amp;E systems</w:t>
      </w:r>
      <w:r w:rsidR="008B55B5" w:rsidRPr="00BC7BB5">
        <w:rPr>
          <w:rFonts w:ascii="Times New Roman" w:hAnsi="Times New Roman" w:cs="Times New Roman"/>
          <w:b/>
        </w:rPr>
        <w:t>.</w:t>
      </w:r>
      <w:r w:rsidR="00101311" w:rsidRPr="00BC7BB5">
        <w:rPr>
          <w:rFonts w:ascii="Times New Roman" w:hAnsi="Times New Roman" w:cs="Times New Roman"/>
          <w:b/>
        </w:rPr>
        <w:t xml:space="preserve">  </w:t>
      </w:r>
      <w:r w:rsidR="00101311" w:rsidRPr="00BC7BB5">
        <w:rPr>
          <w:rFonts w:ascii="Times New Roman" w:hAnsi="Times New Roman" w:cs="Times New Roman"/>
        </w:rPr>
        <w:t>Specific activities have been included to that end in the Program</w:t>
      </w:r>
      <w:r w:rsidR="00D14192" w:rsidRPr="00BC7BB5">
        <w:rPr>
          <w:rFonts w:ascii="Times New Roman" w:hAnsi="Times New Roman" w:cs="Times New Roman"/>
        </w:rPr>
        <w:t xml:space="preserve"> Action Plan (PAP)</w:t>
      </w:r>
      <w:r w:rsidR="00101311" w:rsidRPr="00BC7BB5">
        <w:rPr>
          <w:rFonts w:ascii="Times New Roman" w:hAnsi="Times New Roman" w:cs="Times New Roman"/>
        </w:rPr>
        <w:t>.</w:t>
      </w:r>
    </w:p>
    <w:p w14:paraId="6B6A1BD2" w14:textId="77777777" w:rsidR="00A9238B" w:rsidRDefault="00A9238B" w:rsidP="00093AA4">
      <w:pPr>
        <w:jc w:val="both"/>
        <w:rPr>
          <w:rFonts w:ascii="Times New Roman" w:hAnsi="Times New Roman" w:cs="Times New Roman"/>
          <w:b/>
          <w:i/>
          <w:color w:val="000000" w:themeColor="text1"/>
        </w:rPr>
      </w:pPr>
    </w:p>
    <w:p w14:paraId="013123F3" w14:textId="32D9DFC3" w:rsidR="00093AA4" w:rsidRPr="00BC7BB5" w:rsidRDefault="00093AA4" w:rsidP="00093AA4">
      <w:pPr>
        <w:jc w:val="both"/>
        <w:rPr>
          <w:rFonts w:ascii="Times New Roman" w:hAnsi="Times New Roman" w:cs="Times New Roman"/>
          <w:b/>
          <w:i/>
          <w:color w:val="000000" w:themeColor="text1"/>
        </w:rPr>
      </w:pPr>
      <w:r w:rsidRPr="00BC7BB5">
        <w:rPr>
          <w:rFonts w:ascii="Times New Roman" w:hAnsi="Times New Roman" w:cs="Times New Roman"/>
          <w:b/>
          <w:i/>
          <w:color w:val="000000" w:themeColor="text1"/>
        </w:rPr>
        <w:t>Program Implementation Arrangements</w:t>
      </w:r>
    </w:p>
    <w:p w14:paraId="553CE1F1" w14:textId="6937CEAA" w:rsidR="00093AA4" w:rsidRPr="00BC7BB5" w:rsidRDefault="00093AA4" w:rsidP="00F561E8">
      <w:pPr>
        <w:pStyle w:val="ListParagraph"/>
        <w:numPr>
          <w:ilvl w:val="0"/>
          <w:numId w:val="26"/>
        </w:numPr>
        <w:spacing w:after="0" w:line="240" w:lineRule="auto"/>
        <w:ind w:left="0" w:firstLine="0"/>
        <w:jc w:val="both"/>
        <w:rPr>
          <w:rFonts w:ascii="Times New Roman" w:hAnsi="Times New Roman" w:cs="Times New Roman"/>
        </w:rPr>
      </w:pPr>
      <w:r w:rsidRPr="00BC7BB5">
        <w:rPr>
          <w:rFonts w:ascii="Times New Roman" w:hAnsi="Times New Roman" w:cs="Times New Roman"/>
          <w:b/>
        </w:rPr>
        <w:t>The Program’s institutional architecture relies on multiple stakeholders with clear roles and accountability lines.</w:t>
      </w:r>
      <w:r w:rsidRPr="00BC7BB5">
        <w:rPr>
          <w:rFonts w:ascii="Times New Roman" w:hAnsi="Times New Roman" w:cs="Times New Roman"/>
        </w:rPr>
        <w:t xml:space="preserve"> </w:t>
      </w:r>
      <w:r w:rsidRPr="00BC7BB5">
        <w:rPr>
          <w:rFonts w:ascii="Times New Roman" w:hAnsi="Times New Roman" w:cs="Times New Roman"/>
          <w:color w:val="222222"/>
        </w:rPr>
        <w:t xml:space="preserve">Given the multi-dimensional character of the </w:t>
      </w:r>
      <w:r w:rsidR="00D776F9" w:rsidRPr="00BC7BB5">
        <w:rPr>
          <w:rFonts w:ascii="Times New Roman" w:hAnsi="Times New Roman" w:cs="Times New Roman"/>
          <w:color w:val="222222"/>
        </w:rPr>
        <w:t>proposed P</w:t>
      </w:r>
      <w:r w:rsidRPr="00BC7BB5">
        <w:rPr>
          <w:rFonts w:ascii="Times New Roman" w:hAnsi="Times New Roman" w:cs="Times New Roman"/>
          <w:color w:val="222222"/>
        </w:rPr>
        <w:t xml:space="preserve">rogram, its </w:t>
      </w:r>
      <w:r w:rsidRPr="00BC7BB5">
        <w:rPr>
          <w:rFonts w:ascii="Times New Roman" w:hAnsi="Times New Roman" w:cs="Times New Roman"/>
        </w:rPr>
        <w:t xml:space="preserve">good implementation </w:t>
      </w:r>
      <w:r w:rsidR="00D776F9" w:rsidRPr="00BC7BB5">
        <w:rPr>
          <w:rFonts w:ascii="Times New Roman" w:hAnsi="Times New Roman" w:cs="Times New Roman"/>
        </w:rPr>
        <w:t>will require</w:t>
      </w:r>
      <w:r w:rsidRPr="00BC7BB5">
        <w:rPr>
          <w:rFonts w:ascii="Times New Roman" w:hAnsi="Times New Roman" w:cs="Times New Roman"/>
        </w:rPr>
        <w:t xml:space="preserve"> the combined intervention of key stakeholders comprising MAPMDREF departments, agencies under the supervision of MAPMDREF, and partner institutions linked to MAPMDREF through specific agreements:</w:t>
      </w:r>
    </w:p>
    <w:p w14:paraId="1BB4AB07" w14:textId="77777777" w:rsidR="00093AA4" w:rsidRPr="00BC7BB5" w:rsidRDefault="00093AA4" w:rsidP="00093AA4">
      <w:pPr>
        <w:spacing w:after="0" w:line="240" w:lineRule="auto"/>
        <w:jc w:val="both"/>
        <w:rPr>
          <w:rFonts w:ascii="Times New Roman" w:hAnsi="Times New Roman" w:cs="Times New Roman"/>
        </w:rPr>
      </w:pPr>
    </w:p>
    <w:p w14:paraId="7D11EDA0" w14:textId="5BF4CA2F" w:rsidR="00093AA4" w:rsidRPr="00BC7BB5" w:rsidRDefault="00093AA4" w:rsidP="00F561E8">
      <w:pPr>
        <w:pStyle w:val="ListParagraph"/>
        <w:numPr>
          <w:ilvl w:val="1"/>
          <w:numId w:val="26"/>
        </w:numPr>
        <w:spacing w:after="0" w:line="240" w:lineRule="auto"/>
        <w:ind w:left="720"/>
        <w:jc w:val="both"/>
        <w:rPr>
          <w:rFonts w:ascii="Times New Roman" w:hAnsi="Times New Roman" w:cs="Times New Roman"/>
        </w:rPr>
      </w:pPr>
      <w:r w:rsidRPr="00BC7BB5">
        <w:rPr>
          <w:rFonts w:ascii="Times New Roman" w:hAnsi="Times New Roman" w:cs="Times New Roman"/>
          <w:b/>
          <w:i/>
        </w:rPr>
        <w:t xml:space="preserve">MAPMDREF Departments and deconcentrated services: </w:t>
      </w:r>
      <w:r w:rsidR="00651E8D">
        <w:rPr>
          <w:rFonts w:ascii="Times New Roman" w:hAnsi="Times New Roman" w:cs="Times New Roman"/>
        </w:rPr>
        <w:t>Three</w:t>
      </w:r>
      <w:r w:rsidRPr="00BC7BB5">
        <w:rPr>
          <w:rFonts w:ascii="Times New Roman" w:hAnsi="Times New Roman" w:cs="Times New Roman"/>
        </w:rPr>
        <w:t xml:space="preserve"> departments out of nine would be involved in Program implementation: the </w:t>
      </w:r>
      <w:r w:rsidRPr="00BC7BB5">
        <w:rPr>
          <w:rFonts w:ascii="Times New Roman" w:hAnsi="Times New Roman" w:cs="Times New Roman"/>
          <w:color w:val="000000" w:themeColor="text1"/>
        </w:rPr>
        <w:t>Directorate in charge of the Development of Value-Chains</w:t>
      </w:r>
      <w:r w:rsidRPr="00BC7BB5">
        <w:rPr>
          <w:rFonts w:ascii="Times New Roman" w:hAnsi="Times New Roman" w:cs="Times New Roman"/>
        </w:rPr>
        <w:t xml:space="preserve"> (DDFP</w:t>
      </w:r>
      <w:r w:rsidR="007B7EA1">
        <w:rPr>
          <w:rFonts w:ascii="Times New Roman" w:hAnsi="Times New Roman" w:cs="Times New Roman"/>
        </w:rPr>
        <w:fldChar w:fldCharType="begin"/>
      </w:r>
      <w:r w:rsidR="007B7EA1">
        <w:instrText xml:space="preserve"> XE "</w:instrText>
      </w:r>
      <w:r w:rsidR="007B7EA1" w:rsidRPr="005D3D23">
        <w:rPr>
          <w:rFonts w:ascii="Times New Roman" w:hAnsi="Times New Roman" w:cs="Times New Roman"/>
        </w:rPr>
        <w:instrText>DDFP:</w:instrText>
      </w:r>
      <w:r w:rsidR="007B7EA1" w:rsidRPr="005D3D23">
        <w:instrText>Directorate in charge of the Development of Value-Chains</w:instrText>
      </w:r>
      <w:r w:rsidR="007B7EA1">
        <w:instrText xml:space="preserve">" </w:instrText>
      </w:r>
      <w:r w:rsidR="007B7EA1">
        <w:rPr>
          <w:rFonts w:ascii="Times New Roman" w:hAnsi="Times New Roman" w:cs="Times New Roman"/>
        </w:rPr>
        <w:fldChar w:fldCharType="end"/>
      </w:r>
      <w:r w:rsidRPr="00BC7BB5">
        <w:rPr>
          <w:rFonts w:ascii="Times New Roman" w:hAnsi="Times New Roman" w:cs="Times New Roman"/>
        </w:rPr>
        <w:t>), the Directorate of Fin</w:t>
      </w:r>
      <w:r w:rsidR="00651E8D">
        <w:rPr>
          <w:rFonts w:ascii="Times New Roman" w:hAnsi="Times New Roman" w:cs="Times New Roman"/>
        </w:rPr>
        <w:t>ance (DF) and</w:t>
      </w:r>
      <w:r w:rsidRPr="00BC7BB5">
        <w:rPr>
          <w:rFonts w:ascii="Times New Roman" w:hAnsi="Times New Roman" w:cs="Times New Roman"/>
        </w:rPr>
        <w:t xml:space="preserve"> the Directorate of Strategy and Statistics</w:t>
      </w:r>
      <w:r w:rsidRPr="00BC7BB5">
        <w:rPr>
          <w:rFonts w:ascii="Times New Roman" w:hAnsi="Times New Roman" w:cs="Times New Roman"/>
          <w:i/>
        </w:rPr>
        <w:t xml:space="preserve"> </w:t>
      </w:r>
      <w:r w:rsidRPr="00BC7BB5">
        <w:rPr>
          <w:rFonts w:ascii="Times New Roman" w:hAnsi="Times New Roman" w:cs="Times New Roman"/>
        </w:rPr>
        <w:t>(DSS</w:t>
      </w:r>
      <w:r w:rsidR="007B7EA1">
        <w:rPr>
          <w:rFonts w:ascii="Times New Roman" w:hAnsi="Times New Roman" w:cs="Times New Roman"/>
        </w:rPr>
        <w:fldChar w:fldCharType="begin"/>
      </w:r>
      <w:r w:rsidR="007B7EA1">
        <w:instrText xml:space="preserve"> XE "</w:instrText>
      </w:r>
      <w:r w:rsidR="007B7EA1" w:rsidRPr="00410B21">
        <w:rPr>
          <w:rFonts w:ascii="Times New Roman" w:hAnsi="Times New Roman" w:cs="Times New Roman"/>
        </w:rPr>
        <w:instrText>DSS:</w:instrText>
      </w:r>
      <w:r w:rsidR="007B7EA1" w:rsidRPr="00410B21">
        <w:instrText>Directorate of Strategy and Statistics</w:instrText>
      </w:r>
      <w:r w:rsidR="007B7EA1">
        <w:instrText xml:space="preserve">" </w:instrText>
      </w:r>
      <w:r w:rsidR="007B7EA1">
        <w:rPr>
          <w:rFonts w:ascii="Times New Roman" w:hAnsi="Times New Roman" w:cs="Times New Roman"/>
        </w:rPr>
        <w:fldChar w:fldCharType="end"/>
      </w:r>
      <w:r w:rsidR="00651E8D">
        <w:rPr>
          <w:rFonts w:ascii="Times New Roman" w:hAnsi="Times New Roman" w:cs="Times New Roman"/>
        </w:rPr>
        <w:t>)</w:t>
      </w:r>
      <w:r w:rsidR="007B7EA1">
        <w:rPr>
          <w:rFonts w:ascii="Times New Roman" w:hAnsi="Times New Roman" w:cs="Times New Roman"/>
        </w:rPr>
        <w:fldChar w:fldCharType="begin"/>
      </w:r>
      <w:r w:rsidR="007B7EA1">
        <w:instrText xml:space="preserve"> XE "</w:instrText>
      </w:r>
      <w:r w:rsidR="007B7EA1" w:rsidRPr="009E70DB">
        <w:rPr>
          <w:rFonts w:ascii="Times New Roman" w:hAnsi="Times New Roman" w:cs="Times New Roman"/>
        </w:rPr>
        <w:instrText>DEFR:</w:instrText>
      </w:r>
      <w:r w:rsidR="007B7EA1" w:rsidRPr="009E70DB">
        <w:instrText>Directorate for Education, Training and Research</w:instrText>
      </w:r>
      <w:r w:rsidR="007B7EA1">
        <w:instrText xml:space="preserve">" </w:instrText>
      </w:r>
      <w:r w:rsidR="007B7EA1">
        <w:rPr>
          <w:rFonts w:ascii="Times New Roman" w:hAnsi="Times New Roman" w:cs="Times New Roman"/>
        </w:rPr>
        <w:fldChar w:fldCharType="end"/>
      </w:r>
      <w:r w:rsidRPr="00BC7BB5">
        <w:rPr>
          <w:rFonts w:ascii="Times New Roman" w:hAnsi="Times New Roman" w:cs="Times New Roman"/>
        </w:rPr>
        <w:t>.</w:t>
      </w:r>
      <w:r w:rsidRPr="00BC7BB5">
        <w:rPr>
          <w:rFonts w:ascii="Times New Roman" w:hAnsi="Times New Roman" w:cs="Times New Roman"/>
          <w:i/>
        </w:rPr>
        <w:t xml:space="preserve">  </w:t>
      </w:r>
      <w:r w:rsidRPr="00BC7BB5">
        <w:rPr>
          <w:rFonts w:ascii="Times New Roman" w:eastAsia="Times New Roman" w:hAnsi="Times New Roman" w:cs="Times New Roman"/>
          <w:color w:val="222222"/>
        </w:rPr>
        <w:t xml:space="preserve">At subnational level, MAPMDREF relies on its network of deconcentrated </w:t>
      </w:r>
      <w:r w:rsidR="00651E8D">
        <w:rPr>
          <w:rFonts w:ascii="Times New Roman" w:eastAsia="Times New Roman" w:hAnsi="Times New Roman" w:cs="Times New Roman"/>
          <w:color w:val="222222"/>
        </w:rPr>
        <w:t>services</w:t>
      </w:r>
      <w:r w:rsidRPr="00BC7BB5">
        <w:rPr>
          <w:rFonts w:ascii="Times New Roman" w:eastAsia="Times New Roman" w:hAnsi="Times New Roman" w:cs="Times New Roman"/>
          <w:color w:val="222222"/>
        </w:rPr>
        <w:t xml:space="preserve"> in regions and provinces. The </w:t>
      </w:r>
      <w:r w:rsidRPr="00BC7BB5">
        <w:rPr>
          <w:rFonts w:ascii="Times New Roman" w:eastAsia="Times New Roman" w:hAnsi="Times New Roman" w:cs="Times New Roman"/>
          <w:i/>
          <w:color w:val="222222"/>
        </w:rPr>
        <w:t>Regional Directions for Agriculture</w:t>
      </w:r>
      <w:r w:rsidRPr="00BC7BB5">
        <w:rPr>
          <w:rFonts w:ascii="Times New Roman" w:eastAsia="Times New Roman" w:hAnsi="Times New Roman" w:cs="Times New Roman"/>
          <w:color w:val="222222"/>
        </w:rPr>
        <w:t xml:space="preserve"> (DRA) oversee the development, programming and </w:t>
      </w:r>
      <w:r w:rsidRPr="00BC7BB5">
        <w:rPr>
          <w:rFonts w:ascii="Times New Roman" w:hAnsi="Times New Roman" w:cs="Times New Roman"/>
          <w:color w:val="222222"/>
        </w:rPr>
        <w:t>monitoring of the implementation of regional agricultural development plans, and they are supported in their missions by the provincial directorates of agriculture (DPA) under their authority. The DRAs and DPAs play a central role in identifying Pillar I and Pillar II projects that are in line</w:t>
      </w:r>
      <w:r w:rsidRPr="00BC7BB5">
        <w:rPr>
          <w:rFonts w:ascii="Times New Roman" w:eastAsia="Times New Roman" w:hAnsi="Times New Roman" w:cs="Times New Roman"/>
          <w:color w:val="222222"/>
        </w:rPr>
        <w:t xml:space="preserve"> with the regional agriculture strategy and </w:t>
      </w:r>
      <w:r w:rsidR="00D776F9" w:rsidRPr="00BC7BB5">
        <w:rPr>
          <w:rFonts w:ascii="Times New Roman" w:eastAsia="Times New Roman" w:hAnsi="Times New Roman" w:cs="Times New Roman"/>
          <w:color w:val="222222"/>
        </w:rPr>
        <w:t>in appraising and implementing P</w:t>
      </w:r>
      <w:r w:rsidRPr="00BC7BB5">
        <w:rPr>
          <w:rFonts w:ascii="Times New Roman" w:eastAsia="Times New Roman" w:hAnsi="Times New Roman" w:cs="Times New Roman"/>
          <w:color w:val="222222"/>
        </w:rPr>
        <w:t xml:space="preserve">illar II projects. They also host the </w:t>
      </w:r>
      <w:r w:rsidRPr="00BC7BB5">
        <w:rPr>
          <w:rFonts w:ascii="Times New Roman" w:hAnsi="Times New Roman" w:cs="Times New Roman"/>
          <w:color w:val="000000"/>
        </w:rPr>
        <w:t>FDA one-stop-</w:t>
      </w:r>
      <w:r w:rsidR="00D776F9" w:rsidRPr="00BC7BB5">
        <w:rPr>
          <w:rFonts w:ascii="Times New Roman" w:hAnsi="Times New Roman" w:cs="Times New Roman"/>
          <w:color w:val="000000"/>
        </w:rPr>
        <w:t>window</w:t>
      </w:r>
      <w:r w:rsidRPr="00BC7BB5">
        <w:rPr>
          <w:rFonts w:ascii="Times New Roman" w:hAnsi="Times New Roman" w:cs="Times New Roman"/>
          <w:color w:val="000000"/>
        </w:rPr>
        <w:t xml:space="preserve"> </w:t>
      </w:r>
      <w:r w:rsidRPr="00BC7BB5">
        <w:rPr>
          <w:rFonts w:ascii="Times New Roman" w:hAnsi="Times New Roman" w:cs="Times New Roman"/>
          <w:i/>
          <w:color w:val="000000"/>
        </w:rPr>
        <w:t>(guichet unique</w:t>
      </w:r>
      <w:r w:rsidRPr="00BC7BB5">
        <w:rPr>
          <w:rFonts w:ascii="Times New Roman" w:hAnsi="Times New Roman" w:cs="Times New Roman"/>
          <w:color w:val="000000"/>
        </w:rPr>
        <w:t xml:space="preserve">), </w:t>
      </w:r>
      <w:r w:rsidRPr="00BC7BB5">
        <w:rPr>
          <w:rFonts w:ascii="Times New Roman" w:hAnsi="Times New Roman" w:cs="Times New Roman"/>
          <w:color w:val="222222"/>
        </w:rPr>
        <w:t xml:space="preserve">which is the point of contact </w:t>
      </w:r>
      <w:r w:rsidRPr="00BC7BB5">
        <w:rPr>
          <w:rFonts w:ascii="Times New Roman" w:hAnsi="Times New Roman" w:cs="Times New Roman"/>
          <w:color w:val="222222"/>
        </w:rPr>
        <w:lastRenderedPageBreak/>
        <w:t xml:space="preserve">for </w:t>
      </w:r>
      <w:r w:rsidR="00D776F9" w:rsidRPr="00BC7BB5">
        <w:rPr>
          <w:rFonts w:ascii="Times New Roman" w:hAnsi="Times New Roman" w:cs="Times New Roman"/>
          <w:color w:val="222222"/>
        </w:rPr>
        <w:t>producers</w:t>
      </w:r>
      <w:r w:rsidRPr="00BC7BB5">
        <w:rPr>
          <w:rFonts w:ascii="Times New Roman" w:hAnsi="Times New Roman" w:cs="Times New Roman"/>
          <w:color w:val="222222"/>
        </w:rPr>
        <w:t xml:space="preserve"> applying for financial aids granted by the Agriculture Development Fund (Fond de Développement Agricole, FDA);</w:t>
      </w:r>
    </w:p>
    <w:p w14:paraId="33D61B45" w14:textId="77777777" w:rsidR="00093AA4" w:rsidRPr="00BC7BB5" w:rsidRDefault="00093AA4" w:rsidP="00093AA4">
      <w:pPr>
        <w:spacing w:after="0" w:line="240" w:lineRule="auto"/>
        <w:ind w:left="720"/>
        <w:jc w:val="both"/>
        <w:rPr>
          <w:rFonts w:ascii="Times New Roman" w:hAnsi="Times New Roman" w:cs="Times New Roman"/>
        </w:rPr>
      </w:pPr>
    </w:p>
    <w:p w14:paraId="37E1018E" w14:textId="5E807886" w:rsidR="00093AA4" w:rsidRPr="00BC7BB5" w:rsidRDefault="00093AA4" w:rsidP="00F561E8">
      <w:pPr>
        <w:pStyle w:val="ListParagraph"/>
        <w:numPr>
          <w:ilvl w:val="1"/>
          <w:numId w:val="26"/>
        </w:numPr>
        <w:spacing w:after="0" w:line="240" w:lineRule="auto"/>
        <w:ind w:left="720"/>
        <w:jc w:val="both"/>
        <w:rPr>
          <w:rFonts w:ascii="Times New Roman" w:hAnsi="Times New Roman" w:cs="Times New Roman"/>
        </w:rPr>
      </w:pPr>
      <w:r w:rsidRPr="00BC7BB5">
        <w:rPr>
          <w:rFonts w:ascii="Times New Roman" w:hAnsi="Times New Roman" w:cs="Times New Roman"/>
          <w:i/>
        </w:rPr>
        <w:t>ONSSA.</w:t>
      </w:r>
      <w:r w:rsidRPr="00BC7BB5">
        <w:rPr>
          <w:rFonts w:ascii="Times New Roman" w:hAnsi="Times New Roman" w:cs="Times New Roman"/>
          <w:b/>
          <w:i/>
        </w:rPr>
        <w:t xml:space="preserve"> </w:t>
      </w:r>
      <w:r w:rsidRPr="00BC7BB5">
        <w:rPr>
          <w:rFonts w:ascii="Times New Roman" w:hAnsi="Times New Roman" w:cs="Times New Roman"/>
          <w:color w:val="000000"/>
        </w:rPr>
        <w:t>ONSSA (</w:t>
      </w:r>
      <w:r w:rsidRPr="00BC7BB5">
        <w:rPr>
          <w:rFonts w:ascii="Times New Roman" w:hAnsi="Times New Roman" w:cs="Times New Roman"/>
          <w:i/>
          <w:iCs/>
          <w:color w:val="000000"/>
        </w:rPr>
        <w:t>Office National de Sécurité Sanitaire des produits Alimentaires</w:t>
      </w:r>
      <w:r w:rsidRPr="00BC7BB5">
        <w:rPr>
          <w:rFonts w:ascii="Times New Roman" w:hAnsi="Times New Roman" w:cs="Times New Roman"/>
          <w:color w:val="000000"/>
        </w:rPr>
        <w:t xml:space="preserve">) is the </w:t>
      </w:r>
      <w:r w:rsidRPr="00BC7BB5">
        <w:rPr>
          <w:rFonts w:ascii="Times New Roman" w:hAnsi="Times New Roman" w:cs="Times New Roman"/>
          <w:color w:val="222222"/>
        </w:rPr>
        <w:t>national food safety authority and</w:t>
      </w:r>
      <w:r w:rsidR="00572FDE" w:rsidRPr="00BC7BB5">
        <w:rPr>
          <w:rFonts w:ascii="Times New Roman" w:hAnsi="Times New Roman" w:cs="Times New Roman"/>
          <w:color w:val="222222"/>
        </w:rPr>
        <w:t xml:space="preserve"> controls the application</w:t>
      </w:r>
      <w:r w:rsidRPr="00BC7BB5">
        <w:rPr>
          <w:rFonts w:ascii="Times New Roman" w:hAnsi="Times New Roman" w:cs="Times New Roman"/>
          <w:color w:val="222222"/>
        </w:rPr>
        <w:t xml:space="preserve"> of norms and regulations related to food safety and SPS (phytosanitary products, varieties, pests and diseases, traceabil</w:t>
      </w:r>
      <w:r w:rsidR="00651E8D">
        <w:rPr>
          <w:rFonts w:ascii="Times New Roman" w:hAnsi="Times New Roman" w:cs="Times New Roman"/>
          <w:color w:val="222222"/>
        </w:rPr>
        <w:t>ity). It was established in 2009</w:t>
      </w:r>
      <w:r w:rsidRPr="00BC7BB5">
        <w:rPr>
          <w:rFonts w:ascii="Times New Roman" w:hAnsi="Times New Roman" w:cs="Times New Roman"/>
          <w:color w:val="222222"/>
        </w:rPr>
        <w:t xml:space="preserve"> through Law 25-08. The Office is administered by a board of directors composed of </w:t>
      </w:r>
      <w:r w:rsidR="00D776F9" w:rsidRPr="00BC7BB5">
        <w:rPr>
          <w:rFonts w:ascii="Times New Roman" w:hAnsi="Times New Roman" w:cs="Times New Roman"/>
          <w:color w:val="222222"/>
        </w:rPr>
        <w:t xml:space="preserve">government </w:t>
      </w:r>
      <w:r w:rsidRPr="00BC7BB5">
        <w:rPr>
          <w:rFonts w:ascii="Times New Roman" w:hAnsi="Times New Roman" w:cs="Times New Roman"/>
          <w:color w:val="222222"/>
        </w:rPr>
        <w:t>representatives and managed by a Di</w:t>
      </w:r>
      <w:r w:rsidR="00651E8D">
        <w:rPr>
          <w:rFonts w:ascii="Times New Roman" w:hAnsi="Times New Roman" w:cs="Times New Roman"/>
          <w:color w:val="222222"/>
        </w:rPr>
        <w:t>rector General. While the Office</w:t>
      </w:r>
      <w:r w:rsidRPr="00BC7BB5">
        <w:rPr>
          <w:rFonts w:ascii="Times New Roman" w:hAnsi="Times New Roman" w:cs="Times New Roman"/>
          <w:color w:val="222222"/>
        </w:rPr>
        <w:t xml:space="preserve"> is fairly recent, it has gained international recognition following the audits carried out by the European Commission and various countries to which Morocco exports agri-food products. ONSSA is organized around f</w:t>
      </w:r>
      <w:r w:rsidR="00651E8D">
        <w:rPr>
          <w:rFonts w:ascii="Times New Roman" w:hAnsi="Times New Roman" w:cs="Times New Roman"/>
          <w:color w:val="222222"/>
        </w:rPr>
        <w:t>ive</w:t>
      </w:r>
      <w:r w:rsidRPr="00BC7BB5">
        <w:rPr>
          <w:rFonts w:ascii="Times New Roman" w:hAnsi="Times New Roman" w:cs="Times New Roman"/>
          <w:color w:val="222222"/>
        </w:rPr>
        <w:t xml:space="preserve"> central directorates, with around 350 staff, as well as regional and provincial structures covering the entire territory with 1,446 staff. Its integrated structure is aligned with international best practices recommending that each country should have a single coordinating body for food chain controls "from farm to fork";</w:t>
      </w:r>
    </w:p>
    <w:p w14:paraId="4E05761B" w14:textId="77777777" w:rsidR="00093AA4" w:rsidRPr="00BC7BB5" w:rsidRDefault="00093AA4" w:rsidP="00093AA4">
      <w:pPr>
        <w:spacing w:after="0" w:line="240" w:lineRule="auto"/>
        <w:ind w:left="720"/>
        <w:jc w:val="both"/>
        <w:rPr>
          <w:rFonts w:ascii="Times New Roman" w:hAnsi="Times New Roman" w:cs="Times New Roman"/>
        </w:rPr>
      </w:pPr>
    </w:p>
    <w:p w14:paraId="4290DBA0" w14:textId="7F9F03D0" w:rsidR="00093AA4" w:rsidRPr="00BC7BB5" w:rsidRDefault="00093AA4" w:rsidP="00F561E8">
      <w:pPr>
        <w:pStyle w:val="ListParagraph"/>
        <w:numPr>
          <w:ilvl w:val="1"/>
          <w:numId w:val="26"/>
        </w:numPr>
        <w:spacing w:after="0" w:line="240" w:lineRule="auto"/>
        <w:ind w:left="720"/>
        <w:jc w:val="both"/>
        <w:rPr>
          <w:rFonts w:ascii="Times New Roman" w:hAnsi="Times New Roman" w:cs="Times New Roman"/>
        </w:rPr>
      </w:pPr>
      <w:r w:rsidRPr="00BC7BB5">
        <w:rPr>
          <w:rFonts w:ascii="Times New Roman" w:hAnsi="Times New Roman" w:cs="Times New Roman"/>
          <w:i/>
        </w:rPr>
        <w:t xml:space="preserve">ADA </w:t>
      </w:r>
      <w:r w:rsidRPr="00BC7BB5">
        <w:rPr>
          <w:rFonts w:ascii="Times New Roman" w:hAnsi="Times New Roman" w:cs="Times New Roman"/>
          <w:i/>
          <w:color w:val="000000"/>
        </w:rPr>
        <w:t>(</w:t>
      </w:r>
      <w:r w:rsidRPr="00BC7BB5">
        <w:rPr>
          <w:rFonts w:ascii="Times New Roman" w:hAnsi="Times New Roman" w:cs="Times New Roman"/>
          <w:i/>
          <w:iCs/>
          <w:color w:val="000000"/>
        </w:rPr>
        <w:t>Agence</w:t>
      </w:r>
      <w:r w:rsidR="00651E8D">
        <w:rPr>
          <w:rFonts w:ascii="Times New Roman" w:hAnsi="Times New Roman" w:cs="Times New Roman"/>
          <w:i/>
          <w:iCs/>
          <w:color w:val="000000"/>
        </w:rPr>
        <w:t xml:space="preserve"> pour le</w:t>
      </w:r>
      <w:r w:rsidRPr="00BC7BB5">
        <w:rPr>
          <w:rFonts w:ascii="Times New Roman" w:hAnsi="Times New Roman" w:cs="Times New Roman"/>
          <w:i/>
          <w:iCs/>
          <w:color w:val="000000"/>
        </w:rPr>
        <w:t xml:space="preserve"> Développement Agricole</w:t>
      </w:r>
      <w:r w:rsidRPr="00BC7BB5">
        <w:rPr>
          <w:rFonts w:ascii="Times New Roman" w:hAnsi="Times New Roman" w:cs="Times New Roman"/>
          <w:color w:val="000000"/>
        </w:rPr>
        <w:t xml:space="preserve">) was created in 2008 through Law 42-08. Its mission is to contribute to the implementation of the national policy and strategy for agriculture development.  </w:t>
      </w:r>
      <w:r w:rsidRPr="00BC7BB5">
        <w:rPr>
          <w:rFonts w:ascii="Times New Roman" w:hAnsi="Times New Roman" w:cs="Times New Roman"/>
          <w:color w:val="222222"/>
        </w:rPr>
        <w:t>The Agency is responsible for proposing to the government action plans to support the development of high-potential value chains with a view to improving productivity and oversee</w:t>
      </w:r>
      <w:r w:rsidR="00D776F9" w:rsidRPr="00BC7BB5">
        <w:rPr>
          <w:rFonts w:ascii="Times New Roman" w:hAnsi="Times New Roman" w:cs="Times New Roman"/>
          <w:color w:val="222222"/>
        </w:rPr>
        <w:t>s the implementation of Pillar I and II</w:t>
      </w:r>
      <w:r w:rsidRPr="00BC7BB5">
        <w:rPr>
          <w:rFonts w:ascii="Times New Roman" w:hAnsi="Times New Roman" w:cs="Times New Roman"/>
          <w:color w:val="222222"/>
        </w:rPr>
        <w:t xml:space="preserve"> projects under the PMV;</w:t>
      </w:r>
    </w:p>
    <w:p w14:paraId="4A465F98" w14:textId="77777777" w:rsidR="00093AA4" w:rsidRPr="00BC7BB5" w:rsidRDefault="00093AA4" w:rsidP="00093AA4">
      <w:pPr>
        <w:spacing w:after="0" w:line="240" w:lineRule="auto"/>
        <w:ind w:left="720"/>
        <w:jc w:val="both"/>
        <w:rPr>
          <w:rFonts w:ascii="Times New Roman" w:hAnsi="Times New Roman" w:cs="Times New Roman"/>
        </w:rPr>
      </w:pPr>
    </w:p>
    <w:p w14:paraId="08CE153A" w14:textId="056DB643" w:rsidR="00093AA4" w:rsidRPr="00BC7BB5" w:rsidRDefault="00093AA4" w:rsidP="00F561E8">
      <w:pPr>
        <w:pStyle w:val="ListParagraph"/>
        <w:numPr>
          <w:ilvl w:val="1"/>
          <w:numId w:val="26"/>
        </w:numPr>
        <w:spacing w:after="0" w:line="240" w:lineRule="auto"/>
        <w:ind w:left="720"/>
        <w:jc w:val="both"/>
        <w:rPr>
          <w:rFonts w:ascii="Times New Roman" w:hAnsi="Times New Roman" w:cs="Times New Roman"/>
        </w:rPr>
      </w:pPr>
      <w:r w:rsidRPr="00BC7BB5">
        <w:rPr>
          <w:rFonts w:ascii="Times New Roman" w:hAnsi="Times New Roman" w:cs="Times New Roman"/>
          <w:i/>
        </w:rPr>
        <w:t>Interprofessions.</w:t>
      </w:r>
      <w:r w:rsidRPr="00BC7BB5">
        <w:rPr>
          <w:rFonts w:ascii="Times New Roman" w:hAnsi="Times New Roman" w:cs="Times New Roman"/>
          <w:b/>
          <w:i/>
        </w:rPr>
        <w:t xml:space="preserve"> </w:t>
      </w:r>
      <w:r w:rsidRPr="00BC7BB5">
        <w:rPr>
          <w:rFonts w:ascii="Times New Roman" w:hAnsi="Times New Roman" w:cs="Times New Roman"/>
          <w:color w:val="222222"/>
        </w:rPr>
        <w:t>In 2012, the GoM adopted Law 03-12 establishing a regulatory framework for agricultural and fisheries professional organizations, “</w:t>
      </w:r>
      <w:r w:rsidRPr="00BC7BB5">
        <w:rPr>
          <w:rFonts w:ascii="Times New Roman" w:hAnsi="Times New Roman" w:cs="Times New Roman"/>
          <w:i/>
          <w:color w:val="222222"/>
        </w:rPr>
        <w:t>interprofessions”</w:t>
      </w:r>
      <w:r w:rsidRPr="00BC7BB5">
        <w:rPr>
          <w:rFonts w:ascii="Times New Roman" w:hAnsi="Times New Roman" w:cs="Times New Roman"/>
          <w:color w:val="222222"/>
        </w:rPr>
        <w:t xml:space="preserve">. The role of the </w:t>
      </w:r>
      <w:r w:rsidRPr="00BC7BB5">
        <w:rPr>
          <w:rFonts w:ascii="Times New Roman" w:hAnsi="Times New Roman" w:cs="Times New Roman"/>
          <w:i/>
          <w:color w:val="222222"/>
        </w:rPr>
        <w:t>interprofession</w:t>
      </w:r>
      <w:r w:rsidRPr="00BC7BB5">
        <w:rPr>
          <w:rFonts w:ascii="Times New Roman" w:hAnsi="Times New Roman" w:cs="Times New Roman"/>
          <w:color w:val="222222"/>
        </w:rPr>
        <w:t xml:space="preserve"> is to organize the operators at all levels of the value chain (production, processing, and marketing) around a concerted vision and objectives and to coordinate efforts for the development of the value chain in areas such as research, extension, transfer of technology, dissemination of information, product promotion and market development. The </w:t>
      </w:r>
      <w:r w:rsidRPr="00BC7BB5">
        <w:rPr>
          <w:rFonts w:ascii="Times New Roman" w:hAnsi="Times New Roman" w:cs="Times New Roman"/>
          <w:i/>
          <w:color w:val="222222"/>
        </w:rPr>
        <w:t>interprofessions</w:t>
      </w:r>
      <w:r w:rsidRPr="00BC7BB5">
        <w:rPr>
          <w:rFonts w:ascii="Times New Roman" w:hAnsi="Times New Roman" w:cs="Times New Roman"/>
          <w:color w:val="222222"/>
        </w:rPr>
        <w:t xml:space="preserve"> must meet criteria of representativeness of stakeholders in their specific value chain in order to be recognized and to benefit from public support in the framework of mutually agreed Contrat-Programmes. Seven interprofessions have been approved by April 2017, among them </w:t>
      </w:r>
      <w:r w:rsidRPr="00BC7BB5">
        <w:rPr>
          <w:rFonts w:ascii="Times New Roman" w:hAnsi="Times New Roman" w:cs="Times New Roman"/>
          <w:i/>
          <w:color w:val="222222"/>
        </w:rPr>
        <w:t>Maroc Citrus</w:t>
      </w:r>
      <w:r w:rsidRPr="00BC7BB5">
        <w:rPr>
          <w:rFonts w:ascii="Times New Roman" w:hAnsi="Times New Roman" w:cs="Times New Roman"/>
          <w:color w:val="222222"/>
        </w:rPr>
        <w:t xml:space="preserve">, for the citrus sub-sector. The olive value chain organization called </w:t>
      </w:r>
      <w:r w:rsidRPr="00BC7BB5">
        <w:rPr>
          <w:rFonts w:ascii="Times New Roman" w:hAnsi="Times New Roman" w:cs="Times New Roman"/>
          <w:i/>
          <w:color w:val="222222"/>
        </w:rPr>
        <w:t>Interprolive</w:t>
      </w:r>
      <w:r w:rsidRPr="00BC7BB5">
        <w:rPr>
          <w:rFonts w:ascii="Times New Roman" w:hAnsi="Times New Roman" w:cs="Times New Roman"/>
          <w:color w:val="222222"/>
        </w:rPr>
        <w:t xml:space="preserve"> is in the process of being recognized as the interprofession representing the olive sub-sector. Most interprofessions are newly created and have limited in-house capacities and resources;</w:t>
      </w:r>
    </w:p>
    <w:p w14:paraId="226FACCA" w14:textId="77777777" w:rsidR="002854C3" w:rsidRPr="00BC7BB5" w:rsidRDefault="002854C3" w:rsidP="002854C3">
      <w:pPr>
        <w:spacing w:after="0" w:line="240" w:lineRule="auto"/>
        <w:ind w:left="360"/>
        <w:jc w:val="both"/>
        <w:rPr>
          <w:rFonts w:ascii="Times New Roman" w:hAnsi="Times New Roman" w:cs="Times New Roman"/>
        </w:rPr>
      </w:pPr>
    </w:p>
    <w:p w14:paraId="3CA80537" w14:textId="2A818873" w:rsidR="00011FBC" w:rsidRPr="00BC7BB5" w:rsidRDefault="002854C3" w:rsidP="00011FBC">
      <w:pPr>
        <w:pStyle w:val="ListParagraph"/>
        <w:numPr>
          <w:ilvl w:val="1"/>
          <w:numId w:val="8"/>
        </w:numPr>
        <w:spacing w:after="0" w:line="240" w:lineRule="auto"/>
        <w:ind w:left="720"/>
        <w:jc w:val="both"/>
        <w:rPr>
          <w:rFonts w:ascii="Times New Roman" w:hAnsi="Times New Roman" w:cs="Times New Roman"/>
          <w:color w:val="222222"/>
        </w:rPr>
      </w:pPr>
      <w:r w:rsidRPr="00BC7BB5">
        <w:rPr>
          <w:rFonts w:ascii="Times New Roman" w:hAnsi="Times New Roman" w:cs="Times New Roman"/>
          <w:color w:val="222222"/>
        </w:rPr>
        <w:t xml:space="preserve">The </w:t>
      </w:r>
      <w:r w:rsidR="00011FBC" w:rsidRPr="00BC7BB5">
        <w:rPr>
          <w:rFonts w:ascii="Times New Roman" w:hAnsi="Times New Roman" w:cs="Times New Roman"/>
          <w:i/>
          <w:color w:val="222222"/>
        </w:rPr>
        <w:t>Wilaya</w:t>
      </w:r>
      <w:r w:rsidR="00011FBC" w:rsidRPr="00BC7BB5">
        <w:rPr>
          <w:rFonts w:ascii="Times New Roman" w:hAnsi="Times New Roman" w:cs="Times New Roman"/>
          <w:color w:val="222222"/>
        </w:rPr>
        <w:t xml:space="preserve"> is the Regional governorate</w:t>
      </w:r>
      <w:r w:rsidR="00011FBC">
        <w:rPr>
          <w:rFonts w:ascii="Times New Roman" w:hAnsi="Times New Roman" w:cs="Times New Roman"/>
          <w:color w:val="222222"/>
        </w:rPr>
        <w:t xml:space="preserve"> under the Ministry of Interior (MI). </w:t>
      </w:r>
      <w:r w:rsidR="00011FBC" w:rsidRPr="00E17356">
        <w:rPr>
          <w:rFonts w:ascii="Times New Roman" w:hAnsi="Times New Roman" w:cs="Times New Roman"/>
          <w:i/>
          <w:color w:val="222222"/>
        </w:rPr>
        <w:t>Walis</w:t>
      </w:r>
      <w:r w:rsidR="00011FBC">
        <w:rPr>
          <w:rFonts w:ascii="Times New Roman" w:hAnsi="Times New Roman" w:cs="Times New Roman"/>
          <w:color w:val="222222"/>
        </w:rPr>
        <w:t xml:space="preserve"> represent</w:t>
      </w:r>
      <w:r w:rsidR="00011FBC" w:rsidRPr="00BC7BB5">
        <w:rPr>
          <w:rFonts w:ascii="Times New Roman" w:hAnsi="Times New Roman" w:cs="Times New Roman"/>
          <w:color w:val="222222"/>
        </w:rPr>
        <w:t xml:space="preserve"> the central Government at the regional level. </w:t>
      </w:r>
      <w:r w:rsidR="00011FBC" w:rsidRPr="00BC7BB5">
        <w:rPr>
          <w:rFonts w:ascii="Times New Roman" w:hAnsi="Times New Roman" w:cs="Times New Roman"/>
          <w:i/>
          <w:color w:val="222222"/>
        </w:rPr>
        <w:t>Walis</w:t>
      </w:r>
      <w:r w:rsidR="00011FBC" w:rsidRPr="00BC7BB5">
        <w:rPr>
          <w:rFonts w:ascii="Times New Roman" w:hAnsi="Times New Roman" w:cs="Times New Roman"/>
          <w:color w:val="222222"/>
        </w:rPr>
        <w:t xml:space="preserve"> (region governors) are ap</w:t>
      </w:r>
      <w:r w:rsidR="00011FBC">
        <w:rPr>
          <w:rFonts w:ascii="Times New Roman" w:hAnsi="Times New Roman" w:cs="Times New Roman"/>
          <w:color w:val="222222"/>
        </w:rPr>
        <w:t>pointed by His Majesty the King</w:t>
      </w:r>
      <w:r w:rsidR="00011FBC" w:rsidRPr="00BC7BB5">
        <w:rPr>
          <w:rFonts w:ascii="Times New Roman" w:hAnsi="Times New Roman" w:cs="Times New Roman"/>
          <w:color w:val="222222"/>
        </w:rPr>
        <w:t xml:space="preserve"> and </w:t>
      </w:r>
      <w:r w:rsidR="00011FBC">
        <w:rPr>
          <w:rFonts w:ascii="Times New Roman" w:hAnsi="Times New Roman" w:cs="Times New Roman"/>
          <w:color w:val="222222"/>
        </w:rPr>
        <w:t xml:space="preserve">they </w:t>
      </w:r>
      <w:r w:rsidR="00011FBC" w:rsidRPr="00BC7BB5">
        <w:rPr>
          <w:rFonts w:ascii="Times New Roman" w:hAnsi="Times New Roman" w:cs="Times New Roman"/>
          <w:color w:val="222222"/>
        </w:rPr>
        <w:t xml:space="preserve">have a coordination role between deconcentrated services at regional level. The Wilaya oversees multi-stakeholder projects such as wholesale markets;  </w:t>
      </w:r>
    </w:p>
    <w:p w14:paraId="6510FEBA" w14:textId="77777777" w:rsidR="00093AA4" w:rsidRPr="00BC7BB5" w:rsidRDefault="00093AA4" w:rsidP="00093AA4">
      <w:pPr>
        <w:spacing w:after="0" w:line="240" w:lineRule="auto"/>
        <w:ind w:left="720"/>
        <w:jc w:val="both"/>
        <w:rPr>
          <w:rFonts w:ascii="Times New Roman" w:hAnsi="Times New Roman" w:cs="Times New Roman"/>
        </w:rPr>
      </w:pPr>
      <w:r w:rsidRPr="00BC7BB5">
        <w:rPr>
          <w:rFonts w:ascii="Times New Roman" w:hAnsi="Times New Roman" w:cs="Times New Roman"/>
          <w:color w:val="222222"/>
        </w:rPr>
        <w:t xml:space="preserve"> </w:t>
      </w:r>
    </w:p>
    <w:p w14:paraId="5809094C" w14:textId="7E2DD733" w:rsidR="00093AA4" w:rsidRPr="00BC7BB5" w:rsidRDefault="00093AA4" w:rsidP="00F561E8">
      <w:pPr>
        <w:pStyle w:val="ListParagraph"/>
        <w:numPr>
          <w:ilvl w:val="1"/>
          <w:numId w:val="26"/>
        </w:numPr>
        <w:spacing w:after="0" w:line="240" w:lineRule="auto"/>
        <w:ind w:left="720"/>
        <w:jc w:val="both"/>
        <w:rPr>
          <w:rFonts w:ascii="Times New Roman" w:hAnsi="Times New Roman" w:cs="Times New Roman"/>
        </w:rPr>
      </w:pPr>
      <w:r w:rsidRPr="00BC7BB5">
        <w:rPr>
          <w:rFonts w:ascii="Times New Roman" w:hAnsi="Times New Roman" w:cs="Times New Roman"/>
          <w:i/>
          <w:color w:val="222222"/>
        </w:rPr>
        <w:t xml:space="preserve">Rabat </w:t>
      </w:r>
      <w:r w:rsidR="007276E4" w:rsidRPr="00BC7BB5">
        <w:rPr>
          <w:rFonts w:ascii="Times New Roman" w:hAnsi="Times New Roman" w:cs="Times New Roman"/>
          <w:i/>
          <w:color w:val="222222"/>
        </w:rPr>
        <w:t xml:space="preserve">Région </w:t>
      </w:r>
      <w:r w:rsidRPr="00BC7BB5">
        <w:rPr>
          <w:rFonts w:ascii="Times New Roman" w:hAnsi="Times New Roman" w:cs="Times New Roman"/>
          <w:i/>
          <w:color w:val="222222"/>
        </w:rPr>
        <w:t>Aménagement</w:t>
      </w:r>
      <w:r w:rsidRPr="00BC7BB5">
        <w:rPr>
          <w:rFonts w:ascii="Times New Roman" w:hAnsi="Times New Roman" w:cs="Times New Roman"/>
          <w:color w:val="222222"/>
        </w:rPr>
        <w:t xml:space="preserve"> is a state-owned enterprise created in 2014 for the execution of structuring projects in the region of Rabat-</w:t>
      </w:r>
      <w:r w:rsidR="00802E2E">
        <w:rPr>
          <w:rFonts w:ascii="Times New Roman" w:hAnsi="Times New Roman" w:cs="Times New Roman"/>
          <w:color w:val="222222"/>
        </w:rPr>
        <w:t>Salé-Ké</w:t>
      </w:r>
      <w:r w:rsidRPr="00BC7BB5">
        <w:rPr>
          <w:rFonts w:ascii="Times New Roman" w:hAnsi="Times New Roman" w:cs="Times New Roman"/>
          <w:color w:val="222222"/>
        </w:rPr>
        <w:t xml:space="preserve">nitra. The company would </w:t>
      </w:r>
      <w:r w:rsidR="00123ED7">
        <w:rPr>
          <w:rFonts w:ascii="Times New Roman" w:hAnsi="Times New Roman" w:cs="Times New Roman"/>
          <w:color w:val="222222"/>
        </w:rPr>
        <w:t xml:space="preserve">be responsible for and </w:t>
      </w:r>
      <w:r w:rsidRPr="00BC7BB5">
        <w:rPr>
          <w:rFonts w:ascii="Times New Roman" w:hAnsi="Times New Roman" w:cs="Times New Roman"/>
          <w:color w:val="222222"/>
        </w:rPr>
        <w:t>oversee the construction of the wholesale market in Rabat</w:t>
      </w:r>
      <w:r w:rsidR="00802E2E">
        <w:rPr>
          <w:rFonts w:ascii="Times New Roman" w:hAnsi="Times New Roman" w:cs="Times New Roman"/>
          <w:color w:val="222222"/>
        </w:rPr>
        <w:t>-Salé-Kénitra</w:t>
      </w:r>
      <w:r w:rsidRPr="00BC7BB5">
        <w:rPr>
          <w:rFonts w:ascii="Times New Roman" w:hAnsi="Times New Roman" w:cs="Times New Roman"/>
          <w:color w:val="222222"/>
        </w:rPr>
        <w:t>, under the draft agreement (</w:t>
      </w:r>
      <w:r w:rsidRPr="00BC7BB5">
        <w:rPr>
          <w:rFonts w:ascii="Times New Roman" w:hAnsi="Times New Roman" w:cs="Times New Roman"/>
          <w:i/>
          <w:color w:val="222222"/>
        </w:rPr>
        <w:t>convention</w:t>
      </w:r>
      <w:r w:rsidRPr="00BC7BB5">
        <w:rPr>
          <w:rFonts w:ascii="Times New Roman" w:hAnsi="Times New Roman" w:cs="Times New Roman"/>
          <w:color w:val="222222"/>
        </w:rPr>
        <w:t xml:space="preserve">) </w:t>
      </w:r>
      <w:r w:rsidR="00274211">
        <w:rPr>
          <w:rFonts w:ascii="Times New Roman" w:hAnsi="Times New Roman" w:cs="Times New Roman"/>
          <w:color w:val="222222"/>
        </w:rPr>
        <w:t>to be signed by the</w:t>
      </w:r>
      <w:r w:rsidRPr="00BC7BB5">
        <w:rPr>
          <w:rFonts w:ascii="Times New Roman" w:hAnsi="Times New Roman" w:cs="Times New Roman"/>
          <w:color w:val="222222"/>
        </w:rPr>
        <w:t xml:space="preserve"> MAPMDREF, MI</w:t>
      </w:r>
      <w:r w:rsidR="00204D1D" w:rsidRPr="00BC7BB5">
        <w:rPr>
          <w:rFonts w:ascii="Times New Roman" w:hAnsi="Times New Roman" w:cs="Times New Roman"/>
          <w:color w:val="222222"/>
        </w:rPr>
        <w:t>I</w:t>
      </w:r>
      <w:r w:rsidRPr="00BC7BB5">
        <w:rPr>
          <w:rFonts w:ascii="Times New Roman" w:hAnsi="Times New Roman" w:cs="Times New Roman"/>
          <w:color w:val="222222"/>
        </w:rPr>
        <w:t>CE</w:t>
      </w:r>
      <w:r w:rsidR="00204D1D" w:rsidRPr="00BC7BB5">
        <w:rPr>
          <w:rFonts w:ascii="Times New Roman" w:hAnsi="Times New Roman" w:cs="Times New Roman"/>
          <w:color w:val="222222"/>
        </w:rPr>
        <w:t>N</w:t>
      </w:r>
      <w:r w:rsidRPr="00BC7BB5">
        <w:rPr>
          <w:rFonts w:ascii="Times New Roman" w:hAnsi="Times New Roman" w:cs="Times New Roman"/>
          <w:color w:val="222222"/>
        </w:rPr>
        <w:t>, MI</w:t>
      </w:r>
      <w:r w:rsidR="00256DCE" w:rsidRPr="00BC7BB5">
        <w:rPr>
          <w:rFonts w:ascii="Times New Roman" w:hAnsi="Times New Roman" w:cs="Times New Roman"/>
          <w:color w:val="222222"/>
        </w:rPr>
        <w:t>, the Regional Council of the Rabat-Salé-Kénitra Region</w:t>
      </w:r>
      <w:r w:rsidR="00123ED7">
        <w:rPr>
          <w:rFonts w:ascii="Times New Roman" w:hAnsi="Times New Roman" w:cs="Times New Roman"/>
          <w:color w:val="222222"/>
        </w:rPr>
        <w:t>,</w:t>
      </w:r>
      <w:r w:rsidRPr="00BC7BB5">
        <w:rPr>
          <w:rFonts w:ascii="Times New Roman" w:hAnsi="Times New Roman" w:cs="Times New Roman"/>
          <w:color w:val="222222"/>
        </w:rPr>
        <w:t xml:space="preserve"> the Wilaya of Rabat-</w:t>
      </w:r>
      <w:r w:rsidR="00256DCE" w:rsidRPr="00BC7BB5">
        <w:rPr>
          <w:rFonts w:ascii="Times New Roman" w:hAnsi="Times New Roman" w:cs="Times New Roman"/>
          <w:color w:val="222222"/>
        </w:rPr>
        <w:t>Salé-Ké</w:t>
      </w:r>
      <w:r w:rsidRPr="00BC7BB5">
        <w:rPr>
          <w:rFonts w:ascii="Times New Roman" w:hAnsi="Times New Roman" w:cs="Times New Roman"/>
          <w:color w:val="222222"/>
        </w:rPr>
        <w:t>nitra region</w:t>
      </w:r>
      <w:r w:rsidR="00123ED7">
        <w:rPr>
          <w:rFonts w:ascii="Times New Roman" w:hAnsi="Times New Roman" w:cs="Times New Roman"/>
          <w:color w:val="222222"/>
        </w:rPr>
        <w:t>, Rabat Région Aménagement and the communes involved</w:t>
      </w:r>
      <w:r w:rsidRPr="00BC7BB5">
        <w:rPr>
          <w:rFonts w:ascii="Times New Roman" w:hAnsi="Times New Roman" w:cs="Times New Roman"/>
          <w:color w:val="222222"/>
        </w:rPr>
        <w:t xml:space="preserve">. </w:t>
      </w:r>
      <w:r w:rsidR="00636E5F" w:rsidRPr="00BC7BB5">
        <w:rPr>
          <w:rFonts w:ascii="Times New Roman" w:hAnsi="Times New Roman" w:cs="Times New Roman"/>
          <w:color w:val="222222"/>
        </w:rPr>
        <w:t>T</w:t>
      </w:r>
      <w:r w:rsidRPr="00BC7BB5">
        <w:rPr>
          <w:rFonts w:ascii="Times New Roman" w:hAnsi="Times New Roman" w:cs="Times New Roman"/>
          <w:color w:val="222222"/>
        </w:rPr>
        <w:t xml:space="preserve">he new market would be managed by a </w:t>
      </w:r>
      <w:r w:rsidRPr="00BC7BB5">
        <w:rPr>
          <w:rFonts w:ascii="Times New Roman" w:hAnsi="Times New Roman" w:cs="Times New Roman"/>
          <w:i/>
          <w:color w:val="222222"/>
        </w:rPr>
        <w:t>Société de Dévelopment Local</w:t>
      </w:r>
      <w:r w:rsidR="00123ED7">
        <w:rPr>
          <w:rFonts w:ascii="Times New Roman" w:hAnsi="Times New Roman" w:cs="Times New Roman"/>
          <w:i/>
          <w:color w:val="222222"/>
        </w:rPr>
        <w:t>/Régional</w:t>
      </w:r>
      <w:r w:rsidRPr="00BC7BB5">
        <w:rPr>
          <w:rFonts w:ascii="Times New Roman" w:hAnsi="Times New Roman" w:cs="Times New Roman"/>
          <w:color w:val="222222"/>
        </w:rPr>
        <w:t xml:space="preserve"> (SDL</w:t>
      </w:r>
      <w:r w:rsidR="00123ED7">
        <w:rPr>
          <w:rFonts w:ascii="Times New Roman" w:hAnsi="Times New Roman" w:cs="Times New Roman"/>
          <w:color w:val="222222"/>
        </w:rPr>
        <w:t>/SDR</w:t>
      </w:r>
      <w:r w:rsidRPr="00BC7BB5">
        <w:rPr>
          <w:rFonts w:ascii="Times New Roman" w:hAnsi="Times New Roman" w:cs="Times New Roman"/>
          <w:color w:val="222222"/>
        </w:rPr>
        <w:t xml:space="preserve">) which would also be part of the implementing arrangement of the Program once it is created in virtue of the agreement on the wholesale market. </w:t>
      </w:r>
    </w:p>
    <w:p w14:paraId="6DB69FBE" w14:textId="77777777" w:rsidR="00093AA4" w:rsidRPr="00BC7BB5" w:rsidRDefault="00093AA4" w:rsidP="00093AA4">
      <w:pPr>
        <w:spacing w:after="0" w:line="240" w:lineRule="auto"/>
        <w:jc w:val="both"/>
        <w:rPr>
          <w:rFonts w:ascii="Times New Roman" w:hAnsi="Times New Roman" w:cs="Times New Roman"/>
          <w:color w:val="000000" w:themeColor="text1"/>
        </w:rPr>
      </w:pPr>
    </w:p>
    <w:p w14:paraId="121B34E3" w14:textId="1626EE3F" w:rsidR="00093AA4" w:rsidRPr="00BC7BB5" w:rsidRDefault="00093AA4" w:rsidP="00F561E8">
      <w:pPr>
        <w:pStyle w:val="ListParagraph"/>
        <w:numPr>
          <w:ilvl w:val="0"/>
          <w:numId w:val="26"/>
        </w:numPr>
        <w:spacing w:after="0" w:line="240" w:lineRule="auto"/>
        <w:ind w:left="0" w:firstLine="0"/>
        <w:jc w:val="both"/>
        <w:rPr>
          <w:rFonts w:ascii="Times New Roman" w:hAnsi="Times New Roman" w:cs="Times New Roman"/>
          <w:color w:val="000000"/>
        </w:rPr>
      </w:pPr>
      <w:r w:rsidRPr="00BC7BB5">
        <w:rPr>
          <w:rFonts w:ascii="Times New Roman" w:hAnsi="Times New Roman" w:cs="Times New Roman"/>
          <w:b/>
          <w:color w:val="000000" w:themeColor="text1"/>
        </w:rPr>
        <w:t>The</w:t>
      </w:r>
      <w:r w:rsidRPr="00BC7BB5">
        <w:rPr>
          <w:rFonts w:ascii="Times New Roman" w:hAnsi="Times New Roman" w:cs="Times New Roman"/>
          <w:b/>
        </w:rPr>
        <w:t xml:space="preserve"> institutional arrangements for the supervision and implementation of the proposed Program includes two levels of decision-making</w:t>
      </w:r>
      <w:r w:rsidR="00484CAC" w:rsidRPr="00BC7BB5">
        <w:rPr>
          <w:rFonts w:ascii="Times New Roman" w:hAnsi="Times New Roman" w:cs="Times New Roman"/>
        </w:rPr>
        <w:t xml:space="preserve">, </w:t>
      </w:r>
      <w:r w:rsidRPr="00BC7BB5">
        <w:rPr>
          <w:rFonts w:ascii="Times New Roman" w:hAnsi="Times New Roman" w:cs="Times New Roman"/>
        </w:rPr>
        <w:t xml:space="preserve">a Steering Committee for strategic oversight and </w:t>
      </w:r>
      <w:r w:rsidRPr="00BC7BB5">
        <w:rPr>
          <w:rFonts w:ascii="Times New Roman" w:hAnsi="Times New Roman" w:cs="Times New Roman"/>
        </w:rPr>
        <w:lastRenderedPageBreak/>
        <w:t>guidance and</w:t>
      </w:r>
      <w:r w:rsidR="00484CAC" w:rsidRPr="00BC7BB5">
        <w:rPr>
          <w:rFonts w:ascii="Times New Roman" w:hAnsi="Times New Roman" w:cs="Times New Roman"/>
        </w:rPr>
        <w:t xml:space="preserve"> MAPMDREF supported by a Program Management Unit</w:t>
      </w:r>
      <w:r w:rsidRPr="00BC7BB5">
        <w:rPr>
          <w:rFonts w:ascii="Times New Roman" w:hAnsi="Times New Roman" w:cs="Times New Roman"/>
        </w:rPr>
        <w:t xml:space="preserve"> for overall coordination of Program implementation, monitoring and evaluation.</w:t>
      </w:r>
    </w:p>
    <w:p w14:paraId="38C89B7E" w14:textId="77777777" w:rsidR="00093AA4" w:rsidRPr="00BC7BB5" w:rsidRDefault="00093AA4" w:rsidP="00093AA4">
      <w:pPr>
        <w:pStyle w:val="ListParagraph"/>
        <w:spacing w:after="0" w:line="240" w:lineRule="auto"/>
        <w:rPr>
          <w:rFonts w:ascii="Times New Roman" w:hAnsi="Times New Roman" w:cs="Times New Roman"/>
          <w:color w:val="000000"/>
        </w:rPr>
      </w:pPr>
    </w:p>
    <w:p w14:paraId="0301FF01" w14:textId="77777777" w:rsidR="00093AA4" w:rsidRPr="00BC7BB5" w:rsidRDefault="00093AA4" w:rsidP="00DF7330">
      <w:pPr>
        <w:spacing w:after="0" w:line="240" w:lineRule="auto"/>
        <w:ind w:firstLine="720"/>
        <w:jc w:val="both"/>
        <w:rPr>
          <w:rFonts w:ascii="Times New Roman" w:hAnsi="Times New Roman" w:cs="Times New Roman"/>
          <w:b/>
          <w:i/>
          <w:color w:val="000000"/>
        </w:rPr>
      </w:pPr>
      <w:r w:rsidRPr="00BC7BB5">
        <w:rPr>
          <w:rFonts w:ascii="Times New Roman" w:hAnsi="Times New Roman" w:cs="Times New Roman"/>
          <w:b/>
          <w:i/>
          <w:color w:val="000000"/>
        </w:rPr>
        <w:t>Strategic oversight</w:t>
      </w:r>
    </w:p>
    <w:p w14:paraId="7EA06EC0" w14:textId="77777777" w:rsidR="00093AA4" w:rsidRPr="00BC7BB5" w:rsidRDefault="00093AA4" w:rsidP="00093AA4">
      <w:pPr>
        <w:pStyle w:val="ListParagraph"/>
        <w:rPr>
          <w:rFonts w:ascii="Times New Roman" w:hAnsi="Times New Roman" w:cs="Times New Roman"/>
          <w:color w:val="000000"/>
        </w:rPr>
      </w:pPr>
    </w:p>
    <w:p w14:paraId="6BC5AE17" w14:textId="7F8FEEFE" w:rsidR="00093AA4" w:rsidRPr="00BC7BB5" w:rsidRDefault="00093AA4" w:rsidP="00F561E8">
      <w:pPr>
        <w:pStyle w:val="ListParagraph"/>
        <w:numPr>
          <w:ilvl w:val="0"/>
          <w:numId w:val="26"/>
        </w:numPr>
        <w:spacing w:after="0" w:line="240" w:lineRule="auto"/>
        <w:ind w:left="0" w:firstLine="0"/>
        <w:jc w:val="both"/>
        <w:rPr>
          <w:rFonts w:ascii="Times New Roman" w:hAnsi="Times New Roman" w:cs="Times New Roman"/>
          <w:b/>
          <w:color w:val="000000"/>
        </w:rPr>
      </w:pPr>
      <w:r w:rsidRPr="00BC7BB5">
        <w:rPr>
          <w:rFonts w:ascii="Times New Roman" w:hAnsi="Times New Roman" w:cs="Times New Roman"/>
          <w:b/>
          <w:color w:val="000000" w:themeColor="text1"/>
        </w:rPr>
        <w:t>Steering Committee (Comité de Pilotage).</w:t>
      </w:r>
      <w:r w:rsidRPr="00BC7BB5">
        <w:rPr>
          <w:rFonts w:ascii="Times New Roman" w:hAnsi="Times New Roman" w:cs="Times New Roman"/>
          <w:color w:val="000000" w:themeColor="text1"/>
        </w:rPr>
        <w:t xml:space="preserve"> Strategic decision-making responsibilities w</w:t>
      </w:r>
      <w:r w:rsidR="00011FBC">
        <w:rPr>
          <w:rFonts w:ascii="Times New Roman" w:hAnsi="Times New Roman" w:cs="Times New Roman"/>
          <w:color w:val="000000" w:themeColor="text1"/>
        </w:rPr>
        <w:t>ill</w:t>
      </w:r>
      <w:r w:rsidRPr="00BC7BB5">
        <w:rPr>
          <w:rFonts w:ascii="Times New Roman" w:hAnsi="Times New Roman" w:cs="Times New Roman"/>
          <w:color w:val="000000" w:themeColor="text1"/>
        </w:rPr>
        <w:t xml:space="preserve"> rest with a Steering Committee co</w:t>
      </w:r>
      <w:r w:rsidR="00802E2E">
        <w:rPr>
          <w:rFonts w:ascii="Times New Roman" w:hAnsi="Times New Roman" w:cs="Times New Roman"/>
          <w:color w:val="000000" w:themeColor="text1"/>
        </w:rPr>
        <w:t xml:space="preserve">mprising representatives of </w:t>
      </w:r>
      <w:r w:rsidRPr="00BC7BB5">
        <w:rPr>
          <w:rFonts w:ascii="Times New Roman" w:hAnsi="Times New Roman" w:cs="Times New Roman"/>
          <w:color w:val="000000" w:themeColor="text1"/>
        </w:rPr>
        <w:t>MAPMDREF (PMU and relevant directorates), the Ministry of Economy and Finance (MEF</w:t>
      </w:r>
      <w:r w:rsidR="007B7EA1">
        <w:rPr>
          <w:rFonts w:ascii="Times New Roman" w:hAnsi="Times New Roman" w:cs="Times New Roman"/>
          <w:color w:val="000000" w:themeColor="text1"/>
        </w:rPr>
        <w:fldChar w:fldCharType="begin"/>
      </w:r>
      <w:r w:rsidR="007B7EA1">
        <w:instrText xml:space="preserve"> XE "</w:instrText>
      </w:r>
      <w:r w:rsidR="007B7EA1" w:rsidRPr="00825D00">
        <w:rPr>
          <w:rFonts w:ascii="Times New Roman" w:hAnsi="Times New Roman" w:cs="Times New Roman"/>
          <w:color w:val="000000" w:themeColor="text1"/>
        </w:rPr>
        <w:instrText>MEF:</w:instrText>
      </w:r>
      <w:r w:rsidR="007B7EA1" w:rsidRPr="00825D00">
        <w:instrText>Ministry of Economy and Finance</w:instrText>
      </w:r>
      <w:r w:rsidR="007B7EA1">
        <w:instrText xml:space="preserve">" </w:instrText>
      </w:r>
      <w:r w:rsidR="007B7EA1">
        <w:rPr>
          <w:rFonts w:ascii="Times New Roman" w:hAnsi="Times New Roman" w:cs="Times New Roman"/>
          <w:color w:val="000000" w:themeColor="text1"/>
        </w:rPr>
        <w:fldChar w:fldCharType="end"/>
      </w:r>
      <w:r w:rsidRPr="00BC7BB5">
        <w:rPr>
          <w:rFonts w:ascii="Times New Roman" w:hAnsi="Times New Roman" w:cs="Times New Roman"/>
          <w:color w:val="000000" w:themeColor="text1"/>
        </w:rPr>
        <w:t>), the Ministry of Industry, Commerce, Investment and Digital Economy (MIICEN</w:t>
      </w:r>
      <w:r w:rsidR="007B7EA1">
        <w:rPr>
          <w:rFonts w:ascii="Times New Roman" w:hAnsi="Times New Roman" w:cs="Times New Roman"/>
          <w:color w:val="000000" w:themeColor="text1"/>
        </w:rPr>
        <w:fldChar w:fldCharType="begin"/>
      </w:r>
      <w:r w:rsidR="007B7EA1">
        <w:instrText xml:space="preserve"> XE "</w:instrText>
      </w:r>
      <w:r w:rsidR="007B7EA1" w:rsidRPr="00F365C3">
        <w:rPr>
          <w:rFonts w:ascii="Times New Roman" w:hAnsi="Times New Roman" w:cs="Times New Roman"/>
          <w:color w:val="000000" w:themeColor="text1"/>
        </w:rPr>
        <w:instrText>MIICEN:</w:instrText>
      </w:r>
      <w:r w:rsidR="007B7EA1" w:rsidRPr="00F365C3">
        <w:instrText>Ministry of Industry, Commerce, Investment and Digital Economy</w:instrText>
      </w:r>
      <w:r w:rsidR="007B7EA1">
        <w:instrText xml:space="preserve">" </w:instrText>
      </w:r>
      <w:r w:rsidR="007B7EA1">
        <w:rPr>
          <w:rFonts w:ascii="Times New Roman" w:hAnsi="Times New Roman" w:cs="Times New Roman"/>
          <w:color w:val="000000" w:themeColor="text1"/>
        </w:rPr>
        <w:fldChar w:fldCharType="end"/>
      </w:r>
      <w:r w:rsidRPr="00BC7BB5">
        <w:rPr>
          <w:rFonts w:ascii="Times New Roman" w:hAnsi="Times New Roman" w:cs="Times New Roman"/>
          <w:color w:val="000000" w:themeColor="text1"/>
        </w:rPr>
        <w:t xml:space="preserve">), </w:t>
      </w:r>
      <w:r w:rsidR="000B17B0" w:rsidRPr="00BC7BB5">
        <w:rPr>
          <w:rFonts w:ascii="Times New Roman" w:hAnsi="Times New Roman" w:cs="Times New Roman"/>
          <w:color w:val="000000" w:themeColor="text1"/>
        </w:rPr>
        <w:t xml:space="preserve">the </w:t>
      </w:r>
      <w:r w:rsidRPr="00BC7BB5">
        <w:rPr>
          <w:rFonts w:ascii="Times New Roman" w:hAnsi="Times New Roman" w:cs="Times New Roman"/>
          <w:color w:val="000000" w:themeColor="text1"/>
        </w:rPr>
        <w:t>Ministry of Interior (MI</w:t>
      </w:r>
      <w:r w:rsidR="007B7EA1">
        <w:rPr>
          <w:rFonts w:ascii="Times New Roman" w:hAnsi="Times New Roman" w:cs="Times New Roman"/>
          <w:color w:val="000000" w:themeColor="text1"/>
        </w:rPr>
        <w:fldChar w:fldCharType="begin"/>
      </w:r>
      <w:r w:rsidR="007B7EA1">
        <w:instrText xml:space="preserve"> XE "</w:instrText>
      </w:r>
      <w:r w:rsidR="007B7EA1" w:rsidRPr="00975D96">
        <w:rPr>
          <w:rFonts w:ascii="Times New Roman" w:hAnsi="Times New Roman" w:cs="Times New Roman"/>
          <w:color w:val="000000" w:themeColor="text1"/>
        </w:rPr>
        <w:instrText>MI:</w:instrText>
      </w:r>
      <w:r w:rsidR="007B7EA1" w:rsidRPr="00975D96">
        <w:instrText>Ministry of Interior</w:instrText>
      </w:r>
      <w:r w:rsidR="007B7EA1">
        <w:instrText xml:space="preserve">" </w:instrText>
      </w:r>
      <w:r w:rsidR="007B7EA1">
        <w:rPr>
          <w:rFonts w:ascii="Times New Roman" w:hAnsi="Times New Roman" w:cs="Times New Roman"/>
          <w:color w:val="000000" w:themeColor="text1"/>
        </w:rPr>
        <w:fldChar w:fldCharType="end"/>
      </w:r>
      <w:r w:rsidRPr="00BC7BB5">
        <w:rPr>
          <w:rFonts w:ascii="Times New Roman" w:hAnsi="Times New Roman" w:cs="Times New Roman"/>
          <w:color w:val="000000" w:themeColor="text1"/>
        </w:rPr>
        <w:t>)</w:t>
      </w:r>
      <w:r w:rsidR="00204D1D" w:rsidRPr="00BC7BB5">
        <w:rPr>
          <w:rFonts w:ascii="Times New Roman" w:hAnsi="Times New Roman" w:cs="Times New Roman"/>
          <w:color w:val="000000" w:themeColor="text1"/>
        </w:rPr>
        <w:t xml:space="preserve">, </w:t>
      </w:r>
      <w:r w:rsidR="00123ED7">
        <w:rPr>
          <w:rFonts w:ascii="Times New Roman" w:hAnsi="Times New Roman" w:cs="Times New Roman"/>
          <w:color w:val="000000" w:themeColor="text1"/>
        </w:rPr>
        <w:t xml:space="preserve">the State Secretariat for Sustainable Development, </w:t>
      </w:r>
      <w:r w:rsidR="00204D1D" w:rsidRPr="00BC7BB5">
        <w:rPr>
          <w:rFonts w:ascii="Times New Roman" w:hAnsi="Times New Roman" w:cs="Times New Roman"/>
          <w:color w:val="000000" w:themeColor="text1"/>
        </w:rPr>
        <w:t>the Wilaya of Rabat</w:t>
      </w:r>
      <w:r w:rsidR="00123ED7">
        <w:rPr>
          <w:rFonts w:ascii="Times New Roman" w:hAnsi="Times New Roman" w:cs="Times New Roman"/>
          <w:color w:val="000000" w:themeColor="text1"/>
        </w:rPr>
        <w:t>, Rabat Région Aménagement</w:t>
      </w:r>
      <w:r w:rsidRPr="00BC7BB5">
        <w:rPr>
          <w:rFonts w:ascii="Times New Roman" w:hAnsi="Times New Roman" w:cs="Times New Roman"/>
          <w:color w:val="000000" w:themeColor="text1"/>
        </w:rPr>
        <w:t xml:space="preserve"> and </w:t>
      </w:r>
      <w:r w:rsidR="000B17B0" w:rsidRPr="00BC7BB5">
        <w:rPr>
          <w:rFonts w:ascii="Times New Roman" w:hAnsi="Times New Roman" w:cs="Times New Roman"/>
          <w:color w:val="000000" w:themeColor="text1"/>
        </w:rPr>
        <w:t>representatives of the private sector</w:t>
      </w:r>
      <w:r w:rsidR="00D776F9" w:rsidRPr="00BC7BB5">
        <w:rPr>
          <w:rFonts w:ascii="Times New Roman" w:hAnsi="Times New Roman" w:cs="Times New Roman"/>
          <w:color w:val="000000" w:themeColor="text1"/>
        </w:rPr>
        <w:t xml:space="preserve"> (interprofessions)</w:t>
      </w:r>
      <w:r w:rsidRPr="00BC7BB5">
        <w:rPr>
          <w:rFonts w:ascii="Times New Roman" w:hAnsi="Times New Roman" w:cs="Times New Roman"/>
          <w:color w:val="000000" w:themeColor="text1"/>
        </w:rPr>
        <w:t>. This Steering Committee w</w:t>
      </w:r>
      <w:r w:rsidR="00011FBC">
        <w:rPr>
          <w:rFonts w:ascii="Times New Roman" w:hAnsi="Times New Roman" w:cs="Times New Roman"/>
          <w:color w:val="000000" w:themeColor="text1"/>
        </w:rPr>
        <w:t>ill</w:t>
      </w:r>
      <w:r w:rsidRPr="00BC7BB5">
        <w:rPr>
          <w:rFonts w:ascii="Times New Roman" w:hAnsi="Times New Roman" w:cs="Times New Roman"/>
          <w:color w:val="000000" w:themeColor="text1"/>
        </w:rPr>
        <w:t xml:space="preserve"> be chaired by the Secretary General of the MAPMDREF (or his/her representative) and w</w:t>
      </w:r>
      <w:r w:rsidR="00011FBC">
        <w:rPr>
          <w:rFonts w:ascii="Times New Roman" w:hAnsi="Times New Roman" w:cs="Times New Roman"/>
          <w:color w:val="000000" w:themeColor="text1"/>
        </w:rPr>
        <w:t>ill</w:t>
      </w:r>
      <w:r w:rsidRPr="00BC7BB5">
        <w:rPr>
          <w:rFonts w:ascii="Times New Roman" w:hAnsi="Times New Roman" w:cs="Times New Roman"/>
          <w:color w:val="000000" w:themeColor="text1"/>
        </w:rPr>
        <w:t xml:space="preserve"> meet every six months to review progress and make decisions required for effective Program implementation.</w:t>
      </w:r>
    </w:p>
    <w:p w14:paraId="19B4A051" w14:textId="77777777" w:rsidR="00093AA4" w:rsidRPr="00BC7BB5" w:rsidRDefault="00093AA4" w:rsidP="00093AA4">
      <w:pPr>
        <w:spacing w:after="0" w:line="240" w:lineRule="auto"/>
        <w:jc w:val="both"/>
        <w:rPr>
          <w:rFonts w:ascii="Times New Roman" w:hAnsi="Times New Roman" w:cs="Times New Roman"/>
          <w:b/>
          <w:color w:val="000000" w:themeColor="text1"/>
        </w:rPr>
      </w:pPr>
    </w:p>
    <w:p w14:paraId="417715EC" w14:textId="77777777" w:rsidR="00093AA4" w:rsidRPr="00BC7BB5" w:rsidRDefault="00093AA4" w:rsidP="00DF7330">
      <w:pPr>
        <w:spacing w:after="0" w:line="240" w:lineRule="auto"/>
        <w:ind w:firstLine="720"/>
        <w:jc w:val="both"/>
        <w:rPr>
          <w:rFonts w:ascii="Times New Roman" w:hAnsi="Times New Roman" w:cs="Times New Roman"/>
          <w:b/>
          <w:i/>
          <w:color w:val="000000" w:themeColor="text1"/>
        </w:rPr>
      </w:pPr>
      <w:r w:rsidRPr="00BC7BB5">
        <w:rPr>
          <w:rFonts w:ascii="Times New Roman" w:hAnsi="Times New Roman" w:cs="Times New Roman"/>
          <w:b/>
          <w:i/>
          <w:color w:val="000000" w:themeColor="text1"/>
        </w:rPr>
        <w:t>Overall coordination of Program implementation</w:t>
      </w:r>
    </w:p>
    <w:p w14:paraId="1090D80D" w14:textId="77777777" w:rsidR="00093AA4" w:rsidRPr="00BC7BB5" w:rsidRDefault="00093AA4" w:rsidP="00093AA4">
      <w:pPr>
        <w:spacing w:after="0" w:line="240" w:lineRule="auto"/>
        <w:jc w:val="both"/>
        <w:rPr>
          <w:rFonts w:ascii="Times New Roman" w:hAnsi="Times New Roman" w:cs="Times New Roman"/>
          <w:b/>
          <w:color w:val="000000"/>
        </w:rPr>
      </w:pPr>
    </w:p>
    <w:p w14:paraId="1FBD31FB" w14:textId="1B9E364B" w:rsidR="00093AA4" w:rsidRPr="00BC7BB5" w:rsidRDefault="00093AA4" w:rsidP="00F561E8">
      <w:pPr>
        <w:pStyle w:val="ListParagraph"/>
        <w:numPr>
          <w:ilvl w:val="0"/>
          <w:numId w:val="26"/>
        </w:numPr>
        <w:spacing w:after="0" w:line="240" w:lineRule="auto"/>
        <w:ind w:left="0" w:firstLine="0"/>
        <w:jc w:val="both"/>
        <w:rPr>
          <w:rFonts w:ascii="Times New Roman" w:hAnsi="Times New Roman" w:cs="Times New Roman"/>
          <w:color w:val="000000" w:themeColor="text1"/>
        </w:rPr>
      </w:pPr>
      <w:r w:rsidRPr="00BC7BB5">
        <w:rPr>
          <w:rFonts w:ascii="Times New Roman" w:hAnsi="Times New Roman" w:cs="Times New Roman"/>
          <w:b/>
          <w:color w:val="000000" w:themeColor="text1"/>
        </w:rPr>
        <w:t xml:space="preserve">Overall coordination of Program implementation. </w:t>
      </w:r>
      <w:r w:rsidRPr="00BC7BB5">
        <w:rPr>
          <w:rFonts w:ascii="Times New Roman" w:hAnsi="Times New Roman" w:cs="Times New Roman"/>
          <w:color w:val="000000" w:themeColor="text1"/>
        </w:rPr>
        <w:t xml:space="preserve">The Ministry of Agriculture, </w:t>
      </w:r>
      <w:r w:rsidR="00802E2E">
        <w:rPr>
          <w:rFonts w:ascii="Times New Roman" w:hAnsi="Times New Roman" w:cs="Times New Roman"/>
          <w:color w:val="000000" w:themeColor="text1"/>
        </w:rPr>
        <w:t xml:space="preserve">Marine Fisheries, </w:t>
      </w:r>
      <w:r w:rsidRPr="00BC7BB5">
        <w:rPr>
          <w:rFonts w:ascii="Times New Roman" w:hAnsi="Times New Roman" w:cs="Times New Roman"/>
          <w:color w:val="000000" w:themeColor="text1"/>
        </w:rPr>
        <w:t>Rural Development</w:t>
      </w:r>
      <w:r w:rsidR="00802E2E">
        <w:rPr>
          <w:rFonts w:ascii="Times New Roman" w:hAnsi="Times New Roman" w:cs="Times New Roman"/>
          <w:color w:val="000000" w:themeColor="text1"/>
        </w:rPr>
        <w:t>, Water and Forests</w:t>
      </w:r>
      <w:r w:rsidRPr="00BC7BB5">
        <w:rPr>
          <w:rFonts w:ascii="Times New Roman" w:hAnsi="Times New Roman" w:cs="Times New Roman"/>
          <w:color w:val="000000" w:themeColor="text1"/>
        </w:rPr>
        <w:t xml:space="preserve"> (MAPMDREF) w</w:t>
      </w:r>
      <w:r w:rsidR="00011FBC">
        <w:rPr>
          <w:rFonts w:ascii="Times New Roman" w:hAnsi="Times New Roman" w:cs="Times New Roman"/>
          <w:color w:val="000000" w:themeColor="text1"/>
        </w:rPr>
        <w:t>ill</w:t>
      </w:r>
      <w:r w:rsidRPr="00BC7BB5">
        <w:rPr>
          <w:rFonts w:ascii="Times New Roman" w:hAnsi="Times New Roman" w:cs="Times New Roman"/>
          <w:color w:val="000000" w:themeColor="text1"/>
        </w:rPr>
        <w:t xml:space="preserve"> be responsible for the coordination of overall Program implementation, through the </w:t>
      </w:r>
      <w:r w:rsidRPr="00BC7BB5">
        <w:rPr>
          <w:rFonts w:ascii="Times New Roman" w:hAnsi="Times New Roman" w:cs="Times New Roman"/>
          <w:i/>
          <w:color w:val="000000" w:themeColor="text1"/>
        </w:rPr>
        <w:t>Direction de Développement des Filières de Production</w:t>
      </w:r>
      <w:r w:rsidRPr="00BC7BB5">
        <w:rPr>
          <w:rFonts w:ascii="Times New Roman" w:hAnsi="Times New Roman" w:cs="Times New Roman"/>
          <w:color w:val="000000" w:themeColor="text1"/>
        </w:rPr>
        <w:t xml:space="preserve"> (DDFP, Directorate for the Development of Value-Chains), and more specifically its Agribusiness Division. </w:t>
      </w:r>
      <w:r w:rsidRPr="00BC7BB5">
        <w:rPr>
          <w:rFonts w:ascii="Times New Roman" w:hAnsi="Times New Roman" w:cs="Times New Roman"/>
          <w:color w:val="222222"/>
        </w:rPr>
        <w:t>DDFP is organized into five divisions and is responsible for</w:t>
      </w:r>
      <w:r w:rsidR="00274211">
        <w:rPr>
          <w:rFonts w:ascii="Times New Roman" w:hAnsi="Times New Roman" w:cs="Times New Roman"/>
          <w:color w:val="222222"/>
        </w:rPr>
        <w:t>:</w:t>
      </w:r>
      <w:r w:rsidRPr="00BC7BB5">
        <w:rPr>
          <w:rFonts w:ascii="Times New Roman" w:hAnsi="Times New Roman" w:cs="Times New Roman"/>
          <w:color w:val="222222"/>
        </w:rPr>
        <w:t xml:space="preserve"> (i) </w:t>
      </w:r>
      <w:r w:rsidRPr="00BC7BB5">
        <w:rPr>
          <w:rFonts w:ascii="Times New Roman" w:eastAsia="Times New Roman" w:hAnsi="Times New Roman" w:cs="Times New Roman"/>
          <w:color w:val="222222"/>
        </w:rPr>
        <w:t>the approval and coordination of the regional development plans of agriculture (plants and livestock) and agribusiness, (ii) monitoring the supply of agricultural inputs, (iii) monitoring and regulation of markets for agricultural products, (iv) support to private actors and professional agricultural organizations in the framework of program contracts, and  (v) the development and promotion of products quality labels and certifications.</w:t>
      </w:r>
    </w:p>
    <w:p w14:paraId="38333A0F" w14:textId="77777777" w:rsidR="00093AA4" w:rsidRPr="00BC7BB5" w:rsidRDefault="00093AA4" w:rsidP="00093AA4">
      <w:pPr>
        <w:spacing w:after="0" w:line="240" w:lineRule="auto"/>
        <w:jc w:val="both"/>
        <w:rPr>
          <w:rFonts w:ascii="Times New Roman" w:hAnsi="Times New Roman" w:cs="Times New Roman"/>
          <w:color w:val="000000" w:themeColor="text1"/>
        </w:rPr>
      </w:pPr>
      <w:r w:rsidRPr="00BC7BB5">
        <w:rPr>
          <w:rFonts w:ascii="Times New Roman" w:eastAsia="Times New Roman" w:hAnsi="Times New Roman" w:cs="Times New Roman"/>
          <w:color w:val="222222"/>
        </w:rPr>
        <w:t xml:space="preserve"> </w:t>
      </w:r>
    </w:p>
    <w:p w14:paraId="20471D0E" w14:textId="4E68121B" w:rsidR="00093AA4" w:rsidRPr="00BC7BB5" w:rsidRDefault="00093AA4" w:rsidP="00F561E8">
      <w:pPr>
        <w:pStyle w:val="ListParagraph"/>
        <w:numPr>
          <w:ilvl w:val="0"/>
          <w:numId w:val="26"/>
        </w:numPr>
        <w:spacing w:after="0" w:line="240" w:lineRule="auto"/>
        <w:ind w:left="0" w:firstLine="0"/>
        <w:jc w:val="both"/>
        <w:rPr>
          <w:rFonts w:ascii="Times New Roman" w:hAnsi="Times New Roman" w:cs="Times New Roman"/>
          <w:color w:val="000000" w:themeColor="text1"/>
        </w:rPr>
      </w:pPr>
      <w:r w:rsidRPr="00BC7BB5">
        <w:rPr>
          <w:rFonts w:ascii="Times New Roman" w:hAnsi="Times New Roman" w:cs="Times New Roman"/>
          <w:b/>
          <w:color w:val="000000" w:themeColor="text1"/>
        </w:rPr>
        <w:t>A Program management unit (PMU)</w:t>
      </w:r>
      <w:r w:rsidRPr="00BC7BB5">
        <w:rPr>
          <w:rFonts w:ascii="Times New Roman" w:hAnsi="Times New Roman" w:cs="Times New Roman"/>
          <w:color w:val="000000" w:themeColor="text1"/>
        </w:rPr>
        <w:t xml:space="preserve"> </w:t>
      </w:r>
      <w:r w:rsidR="00895F30">
        <w:rPr>
          <w:rFonts w:ascii="Times New Roman" w:hAnsi="Times New Roman" w:cs="Times New Roman"/>
          <w:b/>
          <w:color w:val="000000" w:themeColor="text1"/>
        </w:rPr>
        <w:t>has been</w:t>
      </w:r>
      <w:r w:rsidRPr="00FF2130">
        <w:rPr>
          <w:rFonts w:ascii="Times New Roman" w:hAnsi="Times New Roman" w:cs="Times New Roman"/>
          <w:b/>
          <w:color w:val="000000" w:themeColor="text1"/>
        </w:rPr>
        <w:t xml:space="preserve"> established within DDFP</w:t>
      </w:r>
      <w:r w:rsidRPr="00BC7BB5">
        <w:rPr>
          <w:rFonts w:ascii="Times New Roman" w:hAnsi="Times New Roman" w:cs="Times New Roman"/>
          <w:color w:val="000000" w:themeColor="text1"/>
        </w:rPr>
        <w:t xml:space="preserve"> to carry out day-to-day program coordination, management, and monitoring and evaluation responsibilities, including on social and environmental aspects. It </w:t>
      </w:r>
      <w:r w:rsidR="00895F30">
        <w:rPr>
          <w:rFonts w:ascii="Times New Roman" w:hAnsi="Times New Roman" w:cs="Times New Roman"/>
          <w:color w:val="000000" w:themeColor="text1"/>
        </w:rPr>
        <w:t xml:space="preserve">will </w:t>
      </w:r>
      <w:r w:rsidRPr="00BC7BB5">
        <w:rPr>
          <w:rFonts w:ascii="Times New Roman" w:hAnsi="Times New Roman" w:cs="Times New Roman"/>
          <w:color w:val="000000" w:themeColor="text1"/>
        </w:rPr>
        <w:t>include technical specialists, social and environmental specialists, and monitoring and evaluation specialists. Its roles w</w:t>
      </w:r>
      <w:r w:rsidR="00011FBC">
        <w:rPr>
          <w:rFonts w:ascii="Times New Roman" w:hAnsi="Times New Roman" w:cs="Times New Roman"/>
          <w:color w:val="000000" w:themeColor="text1"/>
        </w:rPr>
        <w:t>ill</w:t>
      </w:r>
      <w:r w:rsidRPr="00BC7BB5">
        <w:rPr>
          <w:rFonts w:ascii="Times New Roman" w:hAnsi="Times New Roman" w:cs="Times New Roman"/>
          <w:color w:val="000000" w:themeColor="text1"/>
        </w:rPr>
        <w:t xml:space="preserve"> include: (i) Program monitoring and evaluation, (ii) </w:t>
      </w:r>
      <w:r w:rsidR="00274211">
        <w:rPr>
          <w:rFonts w:ascii="Times New Roman" w:hAnsi="Times New Roman" w:cs="Times New Roman"/>
          <w:color w:val="000000" w:themeColor="text1"/>
        </w:rPr>
        <w:t>c</w:t>
      </w:r>
      <w:r w:rsidRPr="00BC7BB5">
        <w:rPr>
          <w:rFonts w:ascii="Times New Roman" w:hAnsi="Times New Roman" w:cs="Times New Roman"/>
          <w:color w:val="000000" w:themeColor="text1"/>
        </w:rPr>
        <w:t xml:space="preserve">oordination of the Program’s stakeholders at the operational level, within the extended Program Management Unit, and (iii) </w:t>
      </w:r>
      <w:r w:rsidR="00274211">
        <w:rPr>
          <w:rFonts w:ascii="Times New Roman" w:hAnsi="Times New Roman" w:cs="Times New Roman"/>
          <w:color w:val="000000" w:themeColor="text1"/>
        </w:rPr>
        <w:t>s</w:t>
      </w:r>
      <w:r w:rsidRPr="00BC7BB5">
        <w:rPr>
          <w:rFonts w:ascii="Times New Roman" w:hAnsi="Times New Roman" w:cs="Times New Roman"/>
          <w:color w:val="000000" w:themeColor="text1"/>
        </w:rPr>
        <w:t>ecretariat of the Steering Committee.  The PMU w</w:t>
      </w:r>
      <w:r w:rsidR="00011FBC">
        <w:rPr>
          <w:rFonts w:ascii="Times New Roman" w:hAnsi="Times New Roman" w:cs="Times New Roman"/>
          <w:color w:val="000000" w:themeColor="text1"/>
        </w:rPr>
        <w:t>ill</w:t>
      </w:r>
      <w:r w:rsidRPr="00BC7BB5">
        <w:rPr>
          <w:rFonts w:ascii="Times New Roman" w:hAnsi="Times New Roman" w:cs="Times New Roman"/>
          <w:color w:val="000000" w:themeColor="text1"/>
        </w:rPr>
        <w:t xml:space="preserve"> have its dedicated staff withi</w:t>
      </w:r>
      <w:r w:rsidR="00D776F9" w:rsidRPr="00BC7BB5">
        <w:rPr>
          <w:rFonts w:ascii="Times New Roman" w:hAnsi="Times New Roman" w:cs="Times New Roman"/>
          <w:color w:val="000000" w:themeColor="text1"/>
        </w:rPr>
        <w:t>n DDFP and an extended Program Management U</w:t>
      </w:r>
      <w:r w:rsidRPr="00BC7BB5">
        <w:rPr>
          <w:rFonts w:ascii="Times New Roman" w:hAnsi="Times New Roman" w:cs="Times New Roman"/>
          <w:color w:val="000000" w:themeColor="text1"/>
        </w:rPr>
        <w:t xml:space="preserve">nit would include representatives of all departments and institutions involved in Program implementation, namely DF, DSS, ONSSA, ADA, </w:t>
      </w:r>
      <w:r w:rsidR="000B17B0" w:rsidRPr="00BC7BB5">
        <w:rPr>
          <w:rFonts w:ascii="Times New Roman" w:hAnsi="Times New Roman" w:cs="Times New Roman"/>
          <w:color w:val="000000" w:themeColor="text1"/>
        </w:rPr>
        <w:t>the Wilaya of Rabat</w:t>
      </w:r>
      <w:r w:rsidR="00FF2130">
        <w:rPr>
          <w:rFonts w:ascii="Times New Roman" w:hAnsi="Times New Roman" w:cs="Times New Roman"/>
          <w:color w:val="000000" w:themeColor="text1"/>
        </w:rPr>
        <w:t>-Salé-Kénitra</w:t>
      </w:r>
      <w:r w:rsidR="000B17B0" w:rsidRPr="00BC7BB5">
        <w:rPr>
          <w:rFonts w:ascii="Times New Roman" w:hAnsi="Times New Roman" w:cs="Times New Roman"/>
          <w:color w:val="000000" w:themeColor="text1"/>
        </w:rPr>
        <w:t xml:space="preserve">, </w:t>
      </w:r>
      <w:r w:rsidR="00D776F9" w:rsidRPr="00BC7BB5">
        <w:rPr>
          <w:rFonts w:ascii="Times New Roman" w:hAnsi="Times New Roman" w:cs="Times New Roman"/>
          <w:color w:val="000000" w:themeColor="text1"/>
        </w:rPr>
        <w:t xml:space="preserve">Rabat </w:t>
      </w:r>
      <w:r w:rsidR="00FF2130">
        <w:rPr>
          <w:rFonts w:ascii="Times New Roman" w:hAnsi="Times New Roman" w:cs="Times New Roman"/>
          <w:color w:val="000000" w:themeColor="text1"/>
        </w:rPr>
        <w:t xml:space="preserve">Région </w:t>
      </w:r>
      <w:r w:rsidR="00D776F9" w:rsidRPr="00BC7BB5">
        <w:rPr>
          <w:rFonts w:ascii="Times New Roman" w:hAnsi="Times New Roman" w:cs="Times New Roman"/>
          <w:color w:val="000000" w:themeColor="text1"/>
        </w:rPr>
        <w:t>Amé</w:t>
      </w:r>
      <w:r w:rsidRPr="00BC7BB5">
        <w:rPr>
          <w:rFonts w:ascii="Times New Roman" w:hAnsi="Times New Roman" w:cs="Times New Roman"/>
          <w:color w:val="000000" w:themeColor="text1"/>
        </w:rPr>
        <w:t>nagement, the wholesale market SDL</w:t>
      </w:r>
      <w:r w:rsidR="00123ED7">
        <w:rPr>
          <w:rFonts w:ascii="Times New Roman" w:hAnsi="Times New Roman" w:cs="Times New Roman"/>
          <w:color w:val="000000" w:themeColor="text1"/>
        </w:rPr>
        <w:t>/SDR</w:t>
      </w:r>
      <w:r w:rsidRPr="00BC7BB5">
        <w:rPr>
          <w:rFonts w:ascii="Times New Roman" w:hAnsi="Times New Roman" w:cs="Times New Roman"/>
          <w:color w:val="000000" w:themeColor="text1"/>
        </w:rPr>
        <w:t xml:space="preserve"> (to be created), and Interprofessions (Int</w:t>
      </w:r>
      <w:r w:rsidR="00A0082A" w:rsidRPr="00BC7BB5">
        <w:rPr>
          <w:rFonts w:ascii="Times New Roman" w:hAnsi="Times New Roman" w:cs="Times New Roman"/>
          <w:color w:val="000000" w:themeColor="text1"/>
        </w:rPr>
        <w:t>erprolive and Maroc Citrus). Tho</w:t>
      </w:r>
      <w:r w:rsidRPr="00BC7BB5">
        <w:rPr>
          <w:rFonts w:ascii="Times New Roman" w:hAnsi="Times New Roman" w:cs="Times New Roman"/>
          <w:color w:val="000000" w:themeColor="text1"/>
        </w:rPr>
        <w:t xml:space="preserve">se representatives or focal points </w:t>
      </w:r>
      <w:r w:rsidR="00314608">
        <w:rPr>
          <w:rFonts w:ascii="Times New Roman" w:hAnsi="Times New Roman" w:cs="Times New Roman"/>
          <w:color w:val="000000" w:themeColor="text1"/>
        </w:rPr>
        <w:t>are</w:t>
      </w:r>
      <w:r w:rsidRPr="00BC7BB5">
        <w:rPr>
          <w:rFonts w:ascii="Times New Roman" w:hAnsi="Times New Roman" w:cs="Times New Roman"/>
          <w:color w:val="000000" w:themeColor="text1"/>
        </w:rPr>
        <w:t xml:space="preserve"> designated by their </w:t>
      </w:r>
      <w:r w:rsidR="00314608">
        <w:rPr>
          <w:rFonts w:ascii="Times New Roman" w:hAnsi="Times New Roman" w:cs="Times New Roman"/>
          <w:color w:val="000000" w:themeColor="text1"/>
        </w:rPr>
        <w:t xml:space="preserve">respective </w:t>
      </w:r>
      <w:r w:rsidRPr="00BC7BB5">
        <w:rPr>
          <w:rFonts w:ascii="Times New Roman" w:hAnsi="Times New Roman" w:cs="Times New Roman"/>
          <w:color w:val="000000" w:themeColor="text1"/>
        </w:rPr>
        <w:t>departments.</w:t>
      </w:r>
    </w:p>
    <w:p w14:paraId="63326020" w14:textId="77777777" w:rsidR="00093AA4" w:rsidRPr="00BC7BB5" w:rsidRDefault="00093AA4" w:rsidP="00093AA4">
      <w:pPr>
        <w:pStyle w:val="ListParagraph"/>
        <w:spacing w:line="240" w:lineRule="auto"/>
        <w:ind w:left="900"/>
        <w:jc w:val="both"/>
        <w:rPr>
          <w:rFonts w:ascii="Times New Roman" w:hAnsi="Times New Roman" w:cs="Times New Roman"/>
        </w:rPr>
      </w:pPr>
    </w:p>
    <w:p w14:paraId="1E9E94C0" w14:textId="283EFB8D" w:rsidR="00093AA4" w:rsidRPr="00BC7BB5" w:rsidRDefault="00093AA4" w:rsidP="00F561E8">
      <w:pPr>
        <w:pStyle w:val="ListParagraph"/>
        <w:numPr>
          <w:ilvl w:val="0"/>
          <w:numId w:val="26"/>
        </w:numPr>
        <w:spacing w:after="0" w:line="240" w:lineRule="auto"/>
        <w:ind w:left="0" w:firstLine="0"/>
        <w:jc w:val="both"/>
        <w:rPr>
          <w:rFonts w:ascii="Times New Roman" w:eastAsia="ヒラギノ角ゴ Pro W3" w:hAnsi="Times New Roman" w:cs="Times New Roman"/>
        </w:rPr>
      </w:pPr>
      <w:r w:rsidRPr="00BC7BB5">
        <w:rPr>
          <w:rFonts w:ascii="Times New Roman" w:hAnsi="Times New Roman" w:cs="Times New Roman"/>
          <w:b/>
          <w:color w:val="000000" w:themeColor="text1"/>
        </w:rPr>
        <w:t>The PMU would be supported throughout Program implementation by technical assistance.</w:t>
      </w:r>
      <w:r w:rsidRPr="00BC7BB5">
        <w:rPr>
          <w:rFonts w:ascii="Times New Roman" w:hAnsi="Times New Roman" w:cs="Times New Roman"/>
          <w:color w:val="000000" w:themeColor="text1"/>
        </w:rPr>
        <w:t xml:space="preserve"> DDFP has good technical capacities, </w:t>
      </w:r>
      <w:r w:rsidR="00D776F9" w:rsidRPr="00BC7BB5">
        <w:rPr>
          <w:rFonts w:ascii="Times New Roman" w:hAnsi="Times New Roman" w:cs="Times New Roman"/>
          <w:color w:val="000000" w:themeColor="text1"/>
        </w:rPr>
        <w:t xml:space="preserve">it </w:t>
      </w:r>
      <w:r w:rsidRPr="00BC7BB5">
        <w:rPr>
          <w:rFonts w:ascii="Times New Roman" w:hAnsi="Times New Roman" w:cs="Times New Roman"/>
          <w:color w:val="000000" w:themeColor="text1"/>
        </w:rPr>
        <w:t xml:space="preserve">has experience in managing </w:t>
      </w:r>
      <w:r w:rsidR="00130423">
        <w:rPr>
          <w:rFonts w:ascii="Times New Roman" w:hAnsi="Times New Roman" w:cs="Times New Roman"/>
          <w:color w:val="000000" w:themeColor="text1"/>
        </w:rPr>
        <w:t>complex programs such as the MCC</w:t>
      </w:r>
      <w:r w:rsidRPr="00BC7BB5">
        <w:rPr>
          <w:rFonts w:ascii="Times New Roman" w:hAnsi="Times New Roman" w:cs="Times New Roman"/>
          <w:color w:val="000000" w:themeColor="text1"/>
        </w:rPr>
        <w:t xml:space="preserve"> progra</w:t>
      </w:r>
      <w:r w:rsidR="00D776F9" w:rsidRPr="00BC7BB5">
        <w:rPr>
          <w:rFonts w:ascii="Times New Roman" w:hAnsi="Times New Roman" w:cs="Times New Roman"/>
          <w:color w:val="000000" w:themeColor="text1"/>
        </w:rPr>
        <w:t>m implemented from 2009 to 2014</w:t>
      </w:r>
      <w:r w:rsidRPr="00BC7BB5">
        <w:rPr>
          <w:rFonts w:ascii="Times New Roman" w:hAnsi="Times New Roman" w:cs="Times New Roman"/>
          <w:color w:val="000000" w:themeColor="text1"/>
        </w:rPr>
        <w:t xml:space="preserve"> and substantial capillarity in the field through the DRAs which support local implementation and monitoring of MAPMDREF programs. However, the capacity of DDFP is constrained at central level by limited staff resources and monitoring systems. </w:t>
      </w:r>
      <w:r w:rsidRPr="00BC7BB5">
        <w:rPr>
          <w:rFonts w:ascii="Times New Roman" w:hAnsi="Times New Roman" w:cs="Times New Roman"/>
          <w:color w:val="222222"/>
        </w:rPr>
        <w:t>Technical assistance w</w:t>
      </w:r>
      <w:r w:rsidR="00011FBC">
        <w:rPr>
          <w:rFonts w:ascii="Times New Roman" w:hAnsi="Times New Roman" w:cs="Times New Roman"/>
          <w:color w:val="222222"/>
        </w:rPr>
        <w:t>ill</w:t>
      </w:r>
      <w:r w:rsidRPr="00BC7BB5">
        <w:rPr>
          <w:rFonts w:ascii="Times New Roman" w:hAnsi="Times New Roman" w:cs="Times New Roman"/>
          <w:color w:val="222222"/>
        </w:rPr>
        <w:t xml:space="preserve"> be mobilized to strengthen the DDFP for the monitoring and implementation of activities at central and field level, monitoring the financial management of the Program, preparing progress reports and data collection, and the management and reporting of performance indicators related to disbursement. Terms of reference for the technical assistance to t</w:t>
      </w:r>
      <w:r w:rsidR="00D776F9" w:rsidRPr="00BC7BB5">
        <w:rPr>
          <w:rFonts w:ascii="Times New Roman" w:hAnsi="Times New Roman" w:cs="Times New Roman"/>
          <w:color w:val="222222"/>
        </w:rPr>
        <w:t>he PMU have been prepared by</w:t>
      </w:r>
      <w:r w:rsidRPr="00BC7BB5">
        <w:rPr>
          <w:rFonts w:ascii="Times New Roman" w:hAnsi="Times New Roman" w:cs="Times New Roman"/>
          <w:color w:val="222222"/>
        </w:rPr>
        <w:t xml:space="preserve"> MAPMDREF.</w:t>
      </w:r>
    </w:p>
    <w:p w14:paraId="01392BD2" w14:textId="484AF3FD" w:rsidR="00445393" w:rsidRPr="00BC7BB5" w:rsidRDefault="00445393" w:rsidP="00445393">
      <w:pPr>
        <w:pStyle w:val="ListParagraph"/>
        <w:spacing w:after="0" w:line="240" w:lineRule="auto"/>
        <w:rPr>
          <w:rFonts w:ascii="Times New Roman" w:hAnsi="Times New Roman" w:cs="Times New Roman"/>
        </w:rPr>
      </w:pPr>
    </w:p>
    <w:p w14:paraId="0166DB6E" w14:textId="06B15B12" w:rsidR="00445393" w:rsidRPr="00BC7BB5" w:rsidRDefault="00D776F9" w:rsidP="00F561E8">
      <w:pPr>
        <w:pStyle w:val="NoSpacing"/>
        <w:numPr>
          <w:ilvl w:val="0"/>
          <w:numId w:val="26"/>
        </w:numPr>
        <w:ind w:left="0" w:firstLine="0"/>
        <w:jc w:val="both"/>
        <w:rPr>
          <w:rFonts w:ascii="Times New Roman" w:hAnsi="Times New Roman" w:cs="Times New Roman"/>
          <w:b/>
        </w:rPr>
      </w:pPr>
      <w:r w:rsidRPr="00BC7BB5">
        <w:rPr>
          <w:rFonts w:ascii="Times New Roman" w:hAnsi="Times New Roman" w:cs="Times New Roman"/>
          <w:b/>
        </w:rPr>
        <w:t>Monitoring and evaluation r</w:t>
      </w:r>
      <w:r w:rsidR="00445393" w:rsidRPr="00BC7BB5">
        <w:rPr>
          <w:rFonts w:ascii="Times New Roman" w:hAnsi="Times New Roman" w:cs="Times New Roman"/>
          <w:b/>
        </w:rPr>
        <w:t>esponsibilities</w:t>
      </w:r>
      <w:r w:rsidR="00445393" w:rsidRPr="00BC7BB5">
        <w:rPr>
          <w:rFonts w:ascii="Times New Roman" w:hAnsi="Times New Roman" w:cs="Times New Roman"/>
        </w:rPr>
        <w:t xml:space="preserve">. </w:t>
      </w:r>
      <w:r w:rsidRPr="00BC7BB5">
        <w:rPr>
          <w:rFonts w:ascii="Times New Roman" w:hAnsi="Times New Roman" w:cs="Times New Roman"/>
        </w:rPr>
        <w:t>MAPMDREF, through the DDFP, w</w:t>
      </w:r>
      <w:r w:rsidR="00011FBC">
        <w:rPr>
          <w:rFonts w:ascii="Times New Roman" w:hAnsi="Times New Roman" w:cs="Times New Roman"/>
        </w:rPr>
        <w:t>ill</w:t>
      </w:r>
      <w:r w:rsidR="00445393" w:rsidRPr="00BC7BB5">
        <w:rPr>
          <w:rFonts w:ascii="Times New Roman" w:hAnsi="Times New Roman" w:cs="Times New Roman"/>
        </w:rPr>
        <w:t xml:space="preserve"> be responsible for the following tasks: (i) compiling and consolidating data and verification documents, (ii) ensuring data quality, and (iii) preparing and submitting the reports to the Bank</w:t>
      </w:r>
      <w:r w:rsidRPr="00BC7BB5">
        <w:rPr>
          <w:rFonts w:ascii="Times New Roman" w:hAnsi="Times New Roman" w:cs="Times New Roman"/>
        </w:rPr>
        <w:t xml:space="preserve"> on a timely basis.</w:t>
      </w:r>
      <w:r w:rsidR="00445393" w:rsidRPr="00BC7BB5">
        <w:rPr>
          <w:rFonts w:ascii="Times New Roman" w:hAnsi="Times New Roman" w:cs="Times New Roman"/>
        </w:rPr>
        <w:t xml:space="preserve"> In line </w:t>
      </w:r>
      <w:r w:rsidR="00445393" w:rsidRPr="00BC7BB5">
        <w:rPr>
          <w:rFonts w:ascii="Times New Roman" w:hAnsi="Times New Roman" w:cs="Times New Roman"/>
        </w:rPr>
        <w:lastRenderedPageBreak/>
        <w:t>with the impl</w:t>
      </w:r>
      <w:r w:rsidR="00130423">
        <w:rPr>
          <w:rFonts w:ascii="Times New Roman" w:hAnsi="Times New Roman" w:cs="Times New Roman"/>
        </w:rPr>
        <w:t>ementation arrangements of the P</w:t>
      </w:r>
      <w:r w:rsidR="00445393" w:rsidRPr="00BC7BB5">
        <w:rPr>
          <w:rFonts w:ascii="Times New Roman" w:hAnsi="Times New Roman" w:cs="Times New Roman"/>
        </w:rPr>
        <w:t>rogram, the followin</w:t>
      </w:r>
      <w:r w:rsidRPr="00BC7BB5">
        <w:rPr>
          <w:rFonts w:ascii="Times New Roman" w:hAnsi="Times New Roman" w:cs="Times New Roman"/>
        </w:rPr>
        <w:t>g directorates and agencies would</w:t>
      </w:r>
      <w:r w:rsidR="00445393" w:rsidRPr="00BC7BB5">
        <w:rPr>
          <w:rFonts w:ascii="Times New Roman" w:hAnsi="Times New Roman" w:cs="Times New Roman"/>
        </w:rPr>
        <w:t xml:space="preserve"> engage in data collection: </w:t>
      </w:r>
    </w:p>
    <w:p w14:paraId="61FCAF26" w14:textId="77777777" w:rsidR="00445393" w:rsidRPr="00BC7BB5" w:rsidRDefault="00445393" w:rsidP="00445393">
      <w:pPr>
        <w:pStyle w:val="NoSpacing"/>
        <w:jc w:val="both"/>
        <w:rPr>
          <w:rFonts w:ascii="Times New Roman" w:hAnsi="Times New Roman" w:cs="Times New Roman"/>
          <w:b/>
        </w:rPr>
      </w:pPr>
    </w:p>
    <w:p w14:paraId="35D83ABE" w14:textId="0E537883" w:rsidR="00445393" w:rsidRPr="00BC7BB5" w:rsidRDefault="00445393" w:rsidP="00F561E8">
      <w:pPr>
        <w:pStyle w:val="NoSpacing"/>
        <w:numPr>
          <w:ilvl w:val="1"/>
          <w:numId w:val="33"/>
        </w:numPr>
        <w:ind w:left="720"/>
        <w:jc w:val="both"/>
        <w:rPr>
          <w:rFonts w:ascii="Times New Roman" w:hAnsi="Times New Roman" w:cs="Times New Roman"/>
        </w:rPr>
      </w:pPr>
      <w:r w:rsidRPr="00BC7BB5">
        <w:rPr>
          <w:rFonts w:ascii="Times New Roman" w:hAnsi="Times New Roman" w:cs="Times New Roman"/>
        </w:rPr>
        <w:t>The DDFP, in addition to i</w:t>
      </w:r>
      <w:r w:rsidR="00D776F9" w:rsidRPr="00BC7BB5">
        <w:rPr>
          <w:rFonts w:ascii="Times New Roman" w:hAnsi="Times New Roman" w:cs="Times New Roman"/>
        </w:rPr>
        <w:t>ts role as M&amp;E coordinator, w</w:t>
      </w:r>
      <w:r w:rsidR="00011FBC">
        <w:rPr>
          <w:rFonts w:ascii="Times New Roman" w:hAnsi="Times New Roman" w:cs="Times New Roman"/>
        </w:rPr>
        <w:t>ill</w:t>
      </w:r>
      <w:r w:rsidRPr="00BC7BB5">
        <w:rPr>
          <w:rFonts w:ascii="Times New Roman" w:hAnsi="Times New Roman" w:cs="Times New Roman"/>
        </w:rPr>
        <w:t xml:space="preserve"> collect data for the following fields and indicators: (i) producti</w:t>
      </w:r>
      <w:r w:rsidR="00D776F9" w:rsidRPr="00BC7BB5">
        <w:rPr>
          <w:rFonts w:ascii="Times New Roman" w:hAnsi="Times New Roman" w:cs="Times New Roman"/>
        </w:rPr>
        <w:t>ve investments and support to i</w:t>
      </w:r>
      <w:r w:rsidRPr="00BC7BB5">
        <w:rPr>
          <w:rFonts w:ascii="Times New Roman" w:hAnsi="Times New Roman" w:cs="Times New Roman"/>
        </w:rPr>
        <w:t>nterprofessions under Result Area 1</w:t>
      </w:r>
      <w:r w:rsidR="00123ED7">
        <w:rPr>
          <w:rFonts w:ascii="Times New Roman" w:hAnsi="Times New Roman" w:cs="Times New Roman"/>
        </w:rPr>
        <w:t>, with the support of the DF</w:t>
      </w:r>
      <w:r w:rsidRPr="00BC7BB5">
        <w:rPr>
          <w:rFonts w:ascii="Times New Roman" w:hAnsi="Times New Roman" w:cs="Times New Roman"/>
        </w:rPr>
        <w:t xml:space="preserve">; (ii) promotion of and certification under organic and geographical indication schemes and coverage of the </w:t>
      </w:r>
      <w:r w:rsidR="005D0951" w:rsidRPr="00BC7BB5">
        <w:rPr>
          <w:rFonts w:ascii="Times New Roman" w:hAnsi="Times New Roman" w:cs="Times New Roman"/>
        </w:rPr>
        <w:t>CIAs</w:t>
      </w:r>
      <w:r w:rsidRPr="00BC7BB5">
        <w:rPr>
          <w:rFonts w:ascii="Times New Roman" w:hAnsi="Times New Roman" w:cs="Times New Roman"/>
        </w:rPr>
        <w:t xml:space="preserve"> under Result Area </w:t>
      </w:r>
      <w:r w:rsidR="00204D1D" w:rsidRPr="00BC7BB5">
        <w:rPr>
          <w:rFonts w:ascii="Times New Roman" w:hAnsi="Times New Roman" w:cs="Times New Roman"/>
        </w:rPr>
        <w:t>2</w:t>
      </w:r>
      <w:r w:rsidRPr="00BC7BB5">
        <w:rPr>
          <w:rFonts w:ascii="Times New Roman" w:hAnsi="Times New Roman" w:cs="Times New Roman"/>
        </w:rPr>
        <w:t>;</w:t>
      </w:r>
    </w:p>
    <w:p w14:paraId="43526C95" w14:textId="0CF7B288" w:rsidR="00445393" w:rsidRPr="00BC7BB5" w:rsidRDefault="005D0951" w:rsidP="00F561E8">
      <w:pPr>
        <w:pStyle w:val="NoSpacing"/>
        <w:numPr>
          <w:ilvl w:val="1"/>
          <w:numId w:val="33"/>
        </w:numPr>
        <w:ind w:left="720"/>
        <w:jc w:val="both"/>
        <w:rPr>
          <w:rFonts w:ascii="Times New Roman" w:hAnsi="Times New Roman" w:cs="Times New Roman"/>
        </w:rPr>
      </w:pPr>
      <w:r w:rsidRPr="00BC7BB5">
        <w:rPr>
          <w:rFonts w:ascii="Times New Roman" w:hAnsi="Times New Roman" w:cs="Times New Roman"/>
        </w:rPr>
        <w:t>ADA w</w:t>
      </w:r>
      <w:r w:rsidR="00011FBC">
        <w:rPr>
          <w:rFonts w:ascii="Times New Roman" w:hAnsi="Times New Roman" w:cs="Times New Roman"/>
        </w:rPr>
        <w:t>ill</w:t>
      </w:r>
      <w:r w:rsidR="00445393" w:rsidRPr="00BC7BB5">
        <w:rPr>
          <w:rFonts w:ascii="Times New Roman" w:hAnsi="Times New Roman" w:cs="Times New Roman"/>
        </w:rPr>
        <w:t xml:space="preserve"> also provide field data for aggregation projects, </w:t>
      </w:r>
      <w:r w:rsidR="00123ED7">
        <w:rPr>
          <w:rFonts w:ascii="Times New Roman" w:hAnsi="Times New Roman" w:cs="Times New Roman"/>
        </w:rPr>
        <w:t xml:space="preserve">with regards to number of producers aggregated in olive and citrus, </w:t>
      </w:r>
      <w:r w:rsidR="00445393" w:rsidRPr="00BC7BB5">
        <w:rPr>
          <w:rFonts w:ascii="Times New Roman" w:hAnsi="Times New Roman" w:cs="Times New Roman"/>
        </w:rPr>
        <w:t>under Results Area 1, with the support of DRAs;</w:t>
      </w:r>
    </w:p>
    <w:p w14:paraId="7C66A6D0" w14:textId="3661930E" w:rsidR="00130423" w:rsidRDefault="00445393" w:rsidP="00F561E8">
      <w:pPr>
        <w:pStyle w:val="NoSpacing"/>
        <w:numPr>
          <w:ilvl w:val="1"/>
          <w:numId w:val="33"/>
        </w:numPr>
        <w:ind w:left="720"/>
        <w:jc w:val="both"/>
        <w:rPr>
          <w:rFonts w:ascii="Times New Roman" w:hAnsi="Times New Roman" w:cs="Times New Roman"/>
        </w:rPr>
      </w:pPr>
      <w:r w:rsidRPr="00BC7BB5">
        <w:rPr>
          <w:rFonts w:ascii="Times New Roman" w:hAnsi="Times New Roman" w:cs="Times New Roman"/>
        </w:rPr>
        <w:t>The Directorate of St</w:t>
      </w:r>
      <w:r w:rsidR="005D0951" w:rsidRPr="00BC7BB5">
        <w:rPr>
          <w:rFonts w:ascii="Times New Roman" w:hAnsi="Times New Roman" w:cs="Times New Roman"/>
        </w:rPr>
        <w:t>rategy and Statistics (DSS) w</w:t>
      </w:r>
      <w:r w:rsidR="00011FBC">
        <w:rPr>
          <w:rFonts w:ascii="Times New Roman" w:hAnsi="Times New Roman" w:cs="Times New Roman"/>
        </w:rPr>
        <w:t>ill</w:t>
      </w:r>
      <w:r w:rsidR="00314608">
        <w:rPr>
          <w:rFonts w:ascii="Times New Roman" w:hAnsi="Times New Roman" w:cs="Times New Roman"/>
        </w:rPr>
        <w:t>:</w:t>
      </w:r>
      <w:r w:rsidRPr="00BC7BB5">
        <w:rPr>
          <w:rFonts w:ascii="Times New Roman" w:hAnsi="Times New Roman" w:cs="Times New Roman"/>
        </w:rPr>
        <w:t xml:space="preserve"> (i) oversee a survey to be carried out under th</w:t>
      </w:r>
      <w:r w:rsidR="005D0951" w:rsidRPr="00BC7BB5">
        <w:rPr>
          <w:rFonts w:ascii="Times New Roman" w:hAnsi="Times New Roman" w:cs="Times New Roman"/>
        </w:rPr>
        <w:t>e Program to measure the first PDO indicator with regards to volumes of quality olive oil commercialized,</w:t>
      </w:r>
      <w:r w:rsidRPr="00BC7BB5">
        <w:rPr>
          <w:rFonts w:ascii="Times New Roman" w:hAnsi="Times New Roman" w:cs="Times New Roman"/>
        </w:rPr>
        <w:t xml:space="preserve"> and (ii) gather data on the users of the market information system (Result Area 1);</w:t>
      </w:r>
      <w:r w:rsidR="005D0951" w:rsidRPr="00BC7BB5">
        <w:rPr>
          <w:rFonts w:ascii="Times New Roman" w:hAnsi="Times New Roman" w:cs="Times New Roman"/>
        </w:rPr>
        <w:t xml:space="preserve"> </w:t>
      </w:r>
    </w:p>
    <w:p w14:paraId="4C1C56A3" w14:textId="0EE83E02" w:rsidR="00445393" w:rsidRPr="00BC7BB5" w:rsidRDefault="00130423" w:rsidP="00F561E8">
      <w:pPr>
        <w:pStyle w:val="NoSpacing"/>
        <w:numPr>
          <w:ilvl w:val="1"/>
          <w:numId w:val="33"/>
        </w:numPr>
        <w:ind w:left="720"/>
        <w:jc w:val="both"/>
        <w:rPr>
          <w:rFonts w:ascii="Times New Roman" w:hAnsi="Times New Roman" w:cs="Times New Roman"/>
        </w:rPr>
      </w:pPr>
      <w:r>
        <w:rPr>
          <w:rFonts w:ascii="Times New Roman" w:hAnsi="Times New Roman" w:cs="Times New Roman"/>
        </w:rPr>
        <w:t>The Directorate of Finance (DF) w</w:t>
      </w:r>
      <w:r w:rsidR="00011FBC">
        <w:rPr>
          <w:rFonts w:ascii="Times New Roman" w:hAnsi="Times New Roman" w:cs="Times New Roman"/>
        </w:rPr>
        <w:t>ill</w:t>
      </w:r>
      <w:r>
        <w:rPr>
          <w:rFonts w:ascii="Times New Roman" w:hAnsi="Times New Roman" w:cs="Times New Roman"/>
        </w:rPr>
        <w:t xml:space="preserve"> provide financial data on Program implementation; </w:t>
      </w:r>
      <w:r w:rsidR="005D0951" w:rsidRPr="00BC7BB5">
        <w:rPr>
          <w:rFonts w:ascii="Times New Roman" w:hAnsi="Times New Roman" w:cs="Times New Roman"/>
        </w:rPr>
        <w:t>and</w:t>
      </w:r>
    </w:p>
    <w:p w14:paraId="76348221" w14:textId="32D5FE97" w:rsidR="00445393" w:rsidRPr="00BC7BB5" w:rsidRDefault="005D0951" w:rsidP="00F561E8">
      <w:pPr>
        <w:pStyle w:val="NoSpacing"/>
        <w:numPr>
          <w:ilvl w:val="1"/>
          <w:numId w:val="33"/>
        </w:numPr>
        <w:ind w:left="720"/>
        <w:jc w:val="both"/>
        <w:rPr>
          <w:rFonts w:ascii="Times New Roman" w:hAnsi="Times New Roman" w:cs="Times New Roman"/>
        </w:rPr>
      </w:pPr>
      <w:r w:rsidRPr="00BC7BB5">
        <w:rPr>
          <w:rFonts w:ascii="Times New Roman" w:hAnsi="Times New Roman" w:cs="Times New Roman"/>
        </w:rPr>
        <w:t xml:space="preserve"> ONSSA w</w:t>
      </w:r>
      <w:r w:rsidR="00011FBC">
        <w:rPr>
          <w:rFonts w:ascii="Times New Roman" w:hAnsi="Times New Roman" w:cs="Times New Roman"/>
        </w:rPr>
        <w:t>ill</w:t>
      </w:r>
      <w:r w:rsidR="00445393" w:rsidRPr="00BC7BB5">
        <w:rPr>
          <w:rFonts w:ascii="Times New Roman" w:hAnsi="Times New Roman" w:cs="Times New Roman"/>
        </w:rPr>
        <w:t xml:space="preserve"> record data for the activities and indicators included under Result Area 2</w:t>
      </w:r>
      <w:r w:rsidRPr="00BC7BB5">
        <w:rPr>
          <w:rFonts w:ascii="Times New Roman" w:hAnsi="Times New Roman" w:cs="Times New Roman"/>
        </w:rPr>
        <w:t xml:space="preserve"> related to food safety.</w:t>
      </w:r>
    </w:p>
    <w:p w14:paraId="2A043935" w14:textId="77777777" w:rsidR="00445393" w:rsidRPr="00BC7BB5" w:rsidRDefault="00445393" w:rsidP="00445393">
      <w:pPr>
        <w:pStyle w:val="NoSpacing"/>
        <w:jc w:val="both"/>
        <w:rPr>
          <w:rFonts w:ascii="Times New Roman" w:hAnsi="Times New Roman" w:cs="Times New Roman"/>
          <w:highlight w:val="yellow"/>
        </w:rPr>
      </w:pPr>
    </w:p>
    <w:p w14:paraId="7F136CD5" w14:textId="519F425B" w:rsidR="00445393" w:rsidRPr="00BC7BB5" w:rsidRDefault="00151A7B" w:rsidP="00F561E8">
      <w:pPr>
        <w:pStyle w:val="NoSpacing"/>
        <w:numPr>
          <w:ilvl w:val="0"/>
          <w:numId w:val="26"/>
        </w:numPr>
        <w:ind w:left="0" w:firstLine="0"/>
        <w:jc w:val="both"/>
        <w:rPr>
          <w:rFonts w:ascii="Times New Roman" w:hAnsi="Times New Roman" w:cs="Times New Roman"/>
        </w:rPr>
      </w:pPr>
      <w:r>
        <w:rPr>
          <w:rFonts w:ascii="Times New Roman" w:hAnsi="Times New Roman" w:cs="Times New Roman"/>
        </w:rPr>
        <w:t>The IGA of</w:t>
      </w:r>
      <w:r w:rsidR="00445393" w:rsidRPr="00BC7BB5">
        <w:rPr>
          <w:rFonts w:ascii="Times New Roman" w:hAnsi="Times New Roman" w:cs="Times New Roman"/>
        </w:rPr>
        <w:t xml:space="preserve"> the MAPM</w:t>
      </w:r>
      <w:r w:rsidR="00204D1D" w:rsidRPr="00BC7BB5">
        <w:rPr>
          <w:rFonts w:ascii="Times New Roman" w:hAnsi="Times New Roman" w:cs="Times New Roman"/>
        </w:rPr>
        <w:t>DREF</w:t>
      </w:r>
      <w:r w:rsidR="00445393" w:rsidRPr="00BC7BB5">
        <w:rPr>
          <w:rFonts w:ascii="Times New Roman" w:hAnsi="Times New Roman" w:cs="Times New Roman"/>
        </w:rPr>
        <w:t xml:space="preserve"> will act as the independent verification agency (IVA) to verify the DLIs.</w:t>
      </w:r>
    </w:p>
    <w:p w14:paraId="27432BA1" w14:textId="77777777" w:rsidR="00445393" w:rsidRPr="00BC7BB5" w:rsidRDefault="00445393" w:rsidP="00445393">
      <w:pPr>
        <w:spacing w:after="0" w:line="240" w:lineRule="auto"/>
        <w:ind w:left="360"/>
        <w:rPr>
          <w:rFonts w:ascii="Times New Roman" w:hAnsi="Times New Roman" w:cs="Times New Roman"/>
        </w:rPr>
      </w:pPr>
    </w:p>
    <w:p w14:paraId="56ED89E4" w14:textId="361EB809" w:rsidR="00445393" w:rsidRPr="00BC7BB5" w:rsidRDefault="00445393" w:rsidP="00F561E8">
      <w:pPr>
        <w:pStyle w:val="NoSpacing"/>
        <w:numPr>
          <w:ilvl w:val="0"/>
          <w:numId w:val="26"/>
        </w:numPr>
        <w:ind w:left="0" w:firstLine="0"/>
        <w:jc w:val="both"/>
        <w:rPr>
          <w:rFonts w:ascii="Times New Roman" w:hAnsi="Times New Roman" w:cs="Times New Roman"/>
        </w:rPr>
      </w:pPr>
      <w:r w:rsidRPr="00BC7BB5">
        <w:rPr>
          <w:rFonts w:ascii="Times New Roman" w:hAnsi="Times New Roman" w:cs="Times New Roman"/>
          <w:b/>
        </w:rPr>
        <w:t>Data collection, records and administration.</w:t>
      </w:r>
      <w:r w:rsidRPr="00BC7BB5">
        <w:rPr>
          <w:rFonts w:ascii="Times New Roman" w:hAnsi="Times New Roman" w:cs="Times New Roman"/>
        </w:rPr>
        <w:t xml:space="preserve"> To collect, consolidate and report achievement of results and DLIs, the Program will build on the multiple tracking mechanisms and types of records put in place for the monitoring of the PMV. Most of the data will be gathered on an ongoing basis during implementation, as part of the workflow of each of the implementing agencies. For instance, investments under FDA are regularly recorded through a Microsoft-based database that manages the info</w:t>
      </w:r>
      <w:r w:rsidR="00123ED7">
        <w:rPr>
          <w:rFonts w:ascii="Times New Roman" w:hAnsi="Times New Roman" w:cs="Times New Roman"/>
        </w:rPr>
        <w:t>rmation on applicants, projects</w:t>
      </w:r>
      <w:r w:rsidRPr="00BC7BB5">
        <w:rPr>
          <w:rFonts w:ascii="Times New Roman" w:hAnsi="Times New Roman" w:cs="Times New Roman"/>
        </w:rPr>
        <w:t xml:space="preserve">, and awarded incentives. With regards to agricultural production information, a more sophisticated online-based platform (STATAGRI), administered at central level by the DSS, helps manage data such as cultivated surface, crop yields, and livestock heads, collected by MAPMDREF’s subnational </w:t>
      </w:r>
      <w:r w:rsidR="00123ED7">
        <w:rPr>
          <w:rFonts w:ascii="Times New Roman" w:hAnsi="Times New Roman" w:cs="Times New Roman"/>
        </w:rPr>
        <w:t>service</w:t>
      </w:r>
      <w:r w:rsidRPr="00BC7BB5">
        <w:rPr>
          <w:rFonts w:ascii="Times New Roman" w:hAnsi="Times New Roman" w:cs="Times New Roman"/>
        </w:rPr>
        <w:t>s by means of surveys and administrative records. Regarding aggregation projects, ADA uses a</w:t>
      </w:r>
      <w:r w:rsidR="00123ED7">
        <w:rPr>
          <w:rFonts w:ascii="Times New Roman" w:hAnsi="Times New Roman" w:cs="Times New Roman"/>
        </w:rPr>
        <w:t>n</w:t>
      </w:r>
      <w:r w:rsidRPr="00BC7BB5">
        <w:rPr>
          <w:rFonts w:ascii="Times New Roman" w:hAnsi="Times New Roman" w:cs="Times New Roman"/>
        </w:rPr>
        <w:t xml:space="preserve"> </w:t>
      </w:r>
      <w:r w:rsidR="00123ED7">
        <w:rPr>
          <w:rFonts w:ascii="Times New Roman" w:hAnsi="Times New Roman" w:cs="Times New Roman"/>
        </w:rPr>
        <w:t>information system</w:t>
      </w:r>
      <w:r w:rsidRPr="00BC7BB5">
        <w:rPr>
          <w:rFonts w:ascii="Times New Roman" w:hAnsi="Times New Roman" w:cs="Times New Roman"/>
        </w:rPr>
        <w:t xml:space="preserve"> to collect field data from the projects (e.g.</w:t>
      </w:r>
      <w:r w:rsidR="00314608">
        <w:rPr>
          <w:rFonts w:ascii="Times New Roman" w:hAnsi="Times New Roman" w:cs="Times New Roman"/>
        </w:rPr>
        <w:t>,</w:t>
      </w:r>
      <w:r w:rsidRPr="00BC7BB5">
        <w:rPr>
          <w:rFonts w:ascii="Times New Roman" w:hAnsi="Times New Roman" w:cs="Times New Roman"/>
        </w:rPr>
        <w:t xml:space="preserve"> number of producers participating in the aggregation scheme, </w:t>
      </w:r>
      <w:r w:rsidR="00123ED7">
        <w:rPr>
          <w:rFonts w:ascii="Times New Roman" w:hAnsi="Times New Roman" w:cs="Times New Roman"/>
        </w:rPr>
        <w:t>aggregated area</w:t>
      </w:r>
      <w:r w:rsidRPr="00BC7BB5">
        <w:rPr>
          <w:rFonts w:ascii="Times New Roman" w:hAnsi="Times New Roman" w:cs="Times New Roman"/>
        </w:rPr>
        <w:t xml:space="preserve">, and so on) and then processes and consolidates them at central level. Some indicators refer to self-reported progress, such as the strengthening of the interprofessions, for which qualitative information will be systematized and provided by the executing entity. Self-reporting also applies to reporting compliance with social and environmental Bank standards for the entire </w:t>
      </w:r>
      <w:r w:rsidR="00314608">
        <w:rPr>
          <w:rFonts w:ascii="Times New Roman" w:hAnsi="Times New Roman" w:cs="Times New Roman"/>
        </w:rPr>
        <w:t>P</w:t>
      </w:r>
      <w:r w:rsidRPr="00BC7BB5">
        <w:rPr>
          <w:rFonts w:ascii="Times New Roman" w:hAnsi="Times New Roman" w:cs="Times New Roman"/>
        </w:rPr>
        <w:t>rogram. Data collected in real-time following formal processes will be administered in the existing official records, from which different extracts will serve as basis to verify achievement of results and DLIs.</w:t>
      </w:r>
      <w:r w:rsidR="0041345D" w:rsidRPr="00BC7BB5">
        <w:rPr>
          <w:rFonts w:ascii="Times New Roman" w:hAnsi="Times New Roman" w:cs="Times New Roman"/>
        </w:rPr>
        <w:t xml:space="preserve"> A simple,</w:t>
      </w:r>
      <w:r w:rsidR="00101311" w:rsidRPr="00BC7BB5">
        <w:rPr>
          <w:rFonts w:ascii="Times New Roman" w:hAnsi="Times New Roman" w:cs="Times New Roman"/>
        </w:rPr>
        <w:t xml:space="preserve"> integrated </w:t>
      </w:r>
      <w:r w:rsidR="0041787E" w:rsidRPr="00BC7BB5">
        <w:rPr>
          <w:rFonts w:ascii="Times New Roman" w:hAnsi="Times New Roman" w:cs="Times New Roman"/>
        </w:rPr>
        <w:t xml:space="preserve">Management Information System </w:t>
      </w:r>
      <w:r w:rsidR="00101311" w:rsidRPr="00BC7BB5">
        <w:rPr>
          <w:rFonts w:ascii="Times New Roman" w:hAnsi="Times New Roman" w:cs="Times New Roman"/>
        </w:rPr>
        <w:t>w</w:t>
      </w:r>
      <w:r w:rsidR="00011FBC">
        <w:rPr>
          <w:rFonts w:ascii="Times New Roman" w:hAnsi="Times New Roman" w:cs="Times New Roman"/>
        </w:rPr>
        <w:t>ill</w:t>
      </w:r>
      <w:r w:rsidR="00101311" w:rsidRPr="00BC7BB5">
        <w:rPr>
          <w:rFonts w:ascii="Times New Roman" w:hAnsi="Times New Roman" w:cs="Times New Roman"/>
        </w:rPr>
        <w:t xml:space="preserve"> be developed under the Program to address those weaknesses.</w:t>
      </w:r>
    </w:p>
    <w:p w14:paraId="71CFD7D3" w14:textId="77777777" w:rsidR="00445393" w:rsidRPr="00BC7BB5" w:rsidRDefault="00445393" w:rsidP="00445393">
      <w:pPr>
        <w:spacing w:after="0" w:line="240" w:lineRule="auto"/>
        <w:ind w:left="360"/>
        <w:jc w:val="both"/>
        <w:rPr>
          <w:rFonts w:ascii="Times New Roman" w:hAnsi="Times New Roman" w:cs="Times New Roman"/>
        </w:rPr>
      </w:pPr>
    </w:p>
    <w:p w14:paraId="71D40AE8" w14:textId="0501CEFC" w:rsidR="00445393" w:rsidRPr="00BC7BB5" w:rsidRDefault="00445393" w:rsidP="00F561E8">
      <w:pPr>
        <w:pStyle w:val="NoSpacing"/>
        <w:numPr>
          <w:ilvl w:val="0"/>
          <w:numId w:val="26"/>
        </w:numPr>
        <w:ind w:left="0" w:firstLine="0"/>
        <w:jc w:val="both"/>
        <w:rPr>
          <w:rFonts w:ascii="Times New Roman" w:hAnsi="Times New Roman" w:cs="Times New Roman"/>
        </w:rPr>
      </w:pPr>
      <w:r w:rsidRPr="00BC7BB5">
        <w:rPr>
          <w:rFonts w:ascii="Times New Roman" w:hAnsi="Times New Roman" w:cs="Times New Roman"/>
          <w:b/>
        </w:rPr>
        <w:t xml:space="preserve">Reporting. </w:t>
      </w:r>
      <w:r w:rsidR="00FA3763" w:rsidRPr="00BC7BB5">
        <w:rPr>
          <w:rFonts w:ascii="Times New Roman" w:hAnsi="Times New Roman" w:cs="Times New Roman"/>
        </w:rPr>
        <w:t>The DDFP w</w:t>
      </w:r>
      <w:r w:rsidR="00011FBC">
        <w:rPr>
          <w:rFonts w:ascii="Times New Roman" w:hAnsi="Times New Roman" w:cs="Times New Roman"/>
        </w:rPr>
        <w:t>ill</w:t>
      </w:r>
      <w:r w:rsidRPr="00BC7BB5">
        <w:rPr>
          <w:rFonts w:ascii="Times New Roman" w:hAnsi="Times New Roman" w:cs="Times New Roman"/>
        </w:rPr>
        <w:t xml:space="preserve"> report to the Bank on a semiannual basis, covering, among others, the following items: (i) expenditures; (ii) physical progress; (iii) results framework indicators; (iv) disbursement linked indicators (DLIs); (v) compliance with social and environmental safeguards; and (vi) grievances and any allegations on fraud and corruption. Verification documents, such as signed agreements (conventions</w:t>
      </w:r>
      <w:r w:rsidR="00FA3763" w:rsidRPr="00BC7BB5">
        <w:rPr>
          <w:rFonts w:ascii="Times New Roman" w:hAnsi="Times New Roman" w:cs="Times New Roman"/>
        </w:rPr>
        <w:t>) or extracts from records, w</w:t>
      </w:r>
      <w:r w:rsidR="00011FBC">
        <w:rPr>
          <w:rFonts w:ascii="Times New Roman" w:hAnsi="Times New Roman" w:cs="Times New Roman"/>
        </w:rPr>
        <w:t>ill</w:t>
      </w:r>
      <w:r w:rsidRPr="00BC7BB5">
        <w:rPr>
          <w:rFonts w:ascii="Times New Roman" w:hAnsi="Times New Roman" w:cs="Times New Roman"/>
        </w:rPr>
        <w:t xml:space="preserve"> be an integral part of the reports, in accordance with the definition and verification protocol for each indicator.</w:t>
      </w:r>
    </w:p>
    <w:p w14:paraId="7D6FB849" w14:textId="77777777" w:rsidR="00093AA4" w:rsidRPr="00BC7BB5" w:rsidRDefault="00093AA4" w:rsidP="00093AA4">
      <w:pPr>
        <w:pStyle w:val="ListParagraph"/>
        <w:spacing w:after="0" w:line="240" w:lineRule="auto"/>
        <w:ind w:left="360"/>
        <w:jc w:val="both"/>
        <w:rPr>
          <w:rFonts w:ascii="Times New Roman" w:hAnsi="Times New Roman" w:cs="Times New Roman"/>
        </w:rPr>
      </w:pPr>
    </w:p>
    <w:p w14:paraId="41FDC520" w14:textId="0C3A12DB" w:rsidR="00093AA4" w:rsidRPr="00BC7BB5" w:rsidRDefault="00093AA4" w:rsidP="00F561E8">
      <w:pPr>
        <w:pStyle w:val="ListParagraph"/>
        <w:numPr>
          <w:ilvl w:val="0"/>
          <w:numId w:val="26"/>
        </w:numPr>
        <w:spacing w:after="0" w:line="240" w:lineRule="auto"/>
        <w:ind w:left="0" w:firstLine="0"/>
        <w:jc w:val="both"/>
        <w:rPr>
          <w:rFonts w:ascii="Times New Roman" w:hAnsi="Times New Roman" w:cs="Times New Roman"/>
        </w:rPr>
      </w:pPr>
      <w:r w:rsidRPr="00BC7BB5">
        <w:rPr>
          <w:rFonts w:ascii="Times New Roman" w:hAnsi="Times New Roman" w:cs="Times New Roman"/>
          <w:b/>
        </w:rPr>
        <w:t>Results verification</w:t>
      </w:r>
      <w:r w:rsidRPr="00BC7BB5">
        <w:rPr>
          <w:rFonts w:ascii="Times New Roman" w:hAnsi="Times New Roman" w:cs="Times New Roman"/>
          <w:b/>
          <w:i/>
        </w:rPr>
        <w:t>.</w:t>
      </w:r>
      <w:r w:rsidRPr="00BC7BB5">
        <w:rPr>
          <w:rFonts w:ascii="Times New Roman" w:hAnsi="Times New Roman" w:cs="Times New Roman"/>
        </w:rPr>
        <w:t xml:space="preserve"> The General Inspection of Agriculture (IGA) w</w:t>
      </w:r>
      <w:r w:rsidR="00011FBC">
        <w:rPr>
          <w:rFonts w:ascii="Times New Roman" w:hAnsi="Times New Roman" w:cs="Times New Roman"/>
        </w:rPr>
        <w:t>ill</w:t>
      </w:r>
      <w:r w:rsidRPr="00BC7BB5">
        <w:rPr>
          <w:rFonts w:ascii="Times New Roman" w:hAnsi="Times New Roman" w:cs="Times New Roman"/>
        </w:rPr>
        <w:t xml:space="preserve"> act as Verification Agent under the Program. The role of the General Inspectorate of the Department of Agriculture is to regularly inform the Minister, to which it is directly attached, of the functioning of the services, to examine any request entrusted to it and to carry out on its instructions all inspections, surveys and studies. It also monitors audit operations. IGA has a clear inspection role, </w:t>
      </w:r>
      <w:r w:rsidR="00AD7D98" w:rsidRPr="00BC7BB5">
        <w:rPr>
          <w:rFonts w:ascii="Times New Roman" w:hAnsi="Times New Roman" w:cs="Times New Roman"/>
        </w:rPr>
        <w:t xml:space="preserve">and </w:t>
      </w:r>
      <w:r w:rsidRPr="00BC7BB5">
        <w:rPr>
          <w:rFonts w:ascii="Times New Roman" w:hAnsi="Times New Roman" w:cs="Times New Roman"/>
        </w:rPr>
        <w:t>its mi</w:t>
      </w:r>
      <w:r w:rsidR="00AD7D98" w:rsidRPr="00BC7BB5">
        <w:rPr>
          <w:rFonts w:ascii="Times New Roman" w:hAnsi="Times New Roman" w:cs="Times New Roman"/>
        </w:rPr>
        <w:t>ssions have been</w:t>
      </w:r>
      <w:r w:rsidRPr="00BC7BB5">
        <w:rPr>
          <w:rFonts w:ascii="Times New Roman" w:hAnsi="Times New Roman" w:cs="Times New Roman"/>
        </w:rPr>
        <w:t xml:space="preserve"> covering </w:t>
      </w:r>
      <w:r w:rsidR="00AD7D98" w:rsidRPr="00BC7BB5">
        <w:rPr>
          <w:rFonts w:ascii="Times New Roman" w:hAnsi="Times New Roman" w:cs="Times New Roman"/>
        </w:rPr>
        <w:t xml:space="preserve">both </w:t>
      </w:r>
      <w:r w:rsidRPr="00BC7BB5">
        <w:rPr>
          <w:rFonts w:ascii="Times New Roman" w:hAnsi="Times New Roman" w:cs="Times New Roman"/>
        </w:rPr>
        <w:t>financial and management inspections</w:t>
      </w:r>
      <w:r w:rsidR="00314608">
        <w:rPr>
          <w:rFonts w:ascii="Times New Roman" w:hAnsi="Times New Roman" w:cs="Times New Roman"/>
        </w:rPr>
        <w:t>,</w:t>
      </w:r>
      <w:r w:rsidR="00AD7D98" w:rsidRPr="00BC7BB5">
        <w:rPr>
          <w:rFonts w:ascii="Times New Roman" w:hAnsi="Times New Roman" w:cs="Times New Roman"/>
        </w:rPr>
        <w:t xml:space="preserve"> as well as technical audits</w:t>
      </w:r>
      <w:r w:rsidRPr="00BC7BB5">
        <w:rPr>
          <w:rFonts w:ascii="Times New Roman" w:hAnsi="Times New Roman" w:cs="Times New Roman"/>
        </w:rPr>
        <w:t xml:space="preserve">, </w:t>
      </w:r>
      <w:r w:rsidR="00AD7D98" w:rsidRPr="00BC7BB5">
        <w:rPr>
          <w:rFonts w:ascii="Times New Roman" w:hAnsi="Times New Roman" w:cs="Times New Roman"/>
        </w:rPr>
        <w:t>including</w:t>
      </w:r>
      <w:r w:rsidRPr="00BC7BB5">
        <w:rPr>
          <w:rFonts w:ascii="Times New Roman" w:hAnsi="Times New Roman" w:cs="Times New Roman"/>
        </w:rPr>
        <w:t xml:space="preserve"> verify</w:t>
      </w:r>
      <w:r w:rsidR="00AD7D98" w:rsidRPr="00BC7BB5">
        <w:rPr>
          <w:rFonts w:ascii="Times New Roman" w:hAnsi="Times New Roman" w:cs="Times New Roman"/>
        </w:rPr>
        <w:t>ing</w:t>
      </w:r>
      <w:r w:rsidRPr="00BC7BB5">
        <w:rPr>
          <w:rFonts w:ascii="Times New Roman" w:hAnsi="Times New Roman" w:cs="Times New Roman"/>
        </w:rPr>
        <w:t xml:space="preserve"> field-level data. </w:t>
      </w:r>
      <w:r w:rsidR="00AD7D98" w:rsidRPr="00BC7BB5">
        <w:rPr>
          <w:rFonts w:ascii="Times New Roman" w:hAnsi="Times New Roman" w:cs="Times New Roman"/>
        </w:rPr>
        <w:t xml:space="preserve">It is seeking ISO </w:t>
      </w:r>
      <w:r w:rsidR="00AD7D98" w:rsidRPr="00BC7BB5">
        <w:rPr>
          <w:rFonts w:ascii="Times New Roman" w:hAnsi="Times New Roman" w:cs="Times New Roman"/>
        </w:rPr>
        <w:lastRenderedPageBreak/>
        <w:t>9001 certification</w:t>
      </w:r>
      <w:r w:rsidR="00314608">
        <w:rPr>
          <w:rFonts w:ascii="Times New Roman" w:hAnsi="Times New Roman" w:cs="Times New Roman"/>
        </w:rPr>
        <w:t>,</w:t>
      </w:r>
      <w:r w:rsidR="00AD7D98" w:rsidRPr="00BC7BB5">
        <w:rPr>
          <w:rFonts w:ascii="Times New Roman" w:hAnsi="Times New Roman" w:cs="Times New Roman"/>
        </w:rPr>
        <w:t xml:space="preserve"> and it has also been strengthening its capacity for monitoring and evaluation of the performance, effectiveness </w:t>
      </w:r>
      <w:r w:rsidR="00151A7B">
        <w:rPr>
          <w:rFonts w:ascii="Times New Roman" w:hAnsi="Times New Roman" w:cs="Times New Roman"/>
        </w:rPr>
        <w:t>and efficiency of public expenditure programs</w:t>
      </w:r>
      <w:r w:rsidR="00314608">
        <w:rPr>
          <w:rFonts w:ascii="Times New Roman" w:hAnsi="Times New Roman" w:cs="Times New Roman"/>
        </w:rPr>
        <w:t>,</w:t>
      </w:r>
      <w:r w:rsidR="00AD7D98" w:rsidRPr="00BC7BB5">
        <w:rPr>
          <w:rFonts w:ascii="Times New Roman" w:hAnsi="Times New Roman" w:cs="Times New Roman"/>
        </w:rPr>
        <w:t xml:space="preserve"> as well as impact evaluation</w:t>
      </w:r>
      <w:r w:rsidRPr="00BC7BB5">
        <w:rPr>
          <w:rFonts w:ascii="Times New Roman" w:hAnsi="Times New Roman" w:cs="Times New Roman"/>
        </w:rPr>
        <w:t>.</w:t>
      </w:r>
    </w:p>
    <w:p w14:paraId="3F803929" w14:textId="77777777" w:rsidR="00093AA4" w:rsidRPr="00BC7BB5" w:rsidRDefault="00093AA4" w:rsidP="00093AA4">
      <w:pPr>
        <w:spacing w:after="0" w:line="240" w:lineRule="auto"/>
        <w:jc w:val="both"/>
        <w:rPr>
          <w:rFonts w:ascii="Times New Roman" w:hAnsi="Times New Roman" w:cs="Times New Roman"/>
        </w:rPr>
      </w:pPr>
    </w:p>
    <w:p w14:paraId="351DC03F" w14:textId="1977FF78" w:rsidR="00093AA4" w:rsidRPr="00BC7BB5" w:rsidRDefault="00093AA4" w:rsidP="00F561E8">
      <w:pPr>
        <w:pStyle w:val="ListParagraph"/>
        <w:numPr>
          <w:ilvl w:val="0"/>
          <w:numId w:val="26"/>
        </w:numPr>
        <w:spacing w:after="0" w:line="240" w:lineRule="auto"/>
        <w:ind w:left="0" w:firstLine="0"/>
        <w:jc w:val="both"/>
        <w:rPr>
          <w:rFonts w:ascii="Times New Roman" w:hAnsi="Times New Roman" w:cs="Times New Roman"/>
        </w:rPr>
      </w:pPr>
      <w:r w:rsidRPr="00BC7BB5">
        <w:rPr>
          <w:rFonts w:ascii="Times New Roman" w:hAnsi="Times New Roman" w:cs="Times New Roman"/>
          <w:b/>
        </w:rPr>
        <w:t>External audit</w:t>
      </w:r>
      <w:r w:rsidRPr="00BC7BB5">
        <w:rPr>
          <w:rFonts w:ascii="Times New Roman" w:hAnsi="Times New Roman" w:cs="Times New Roman"/>
          <w:b/>
          <w:i/>
        </w:rPr>
        <w:t>.</w:t>
      </w:r>
      <w:r w:rsidRPr="00BC7BB5">
        <w:rPr>
          <w:rFonts w:ascii="Times New Roman" w:hAnsi="Times New Roman" w:cs="Times New Roman"/>
        </w:rPr>
        <w:t xml:space="preserve"> The General Inspectorate of Finance (</w:t>
      </w:r>
      <w:r w:rsidRPr="00BC7BB5">
        <w:rPr>
          <w:rFonts w:ascii="Times New Roman" w:hAnsi="Times New Roman" w:cs="Times New Roman"/>
          <w:i/>
        </w:rPr>
        <w:t>Inspection Générale des Finances</w:t>
      </w:r>
      <w:r w:rsidRPr="00BC7BB5">
        <w:rPr>
          <w:rFonts w:ascii="Times New Roman" w:hAnsi="Times New Roman" w:cs="Times New Roman"/>
        </w:rPr>
        <w:t>, IGF</w:t>
      </w:r>
      <w:r w:rsidR="00730643" w:rsidRPr="00BC7BB5">
        <w:rPr>
          <w:rFonts w:ascii="Times New Roman" w:hAnsi="Times New Roman" w:cs="Times New Roman"/>
        </w:rPr>
        <w:fldChar w:fldCharType="begin"/>
      </w:r>
      <w:r w:rsidR="00730643" w:rsidRPr="00BC7BB5">
        <w:instrText xml:space="preserve"> XE "</w:instrText>
      </w:r>
      <w:r w:rsidR="00730643" w:rsidRPr="00BC7BB5">
        <w:rPr>
          <w:rFonts w:ascii="Times New Roman" w:hAnsi="Times New Roman" w:cs="Times New Roman"/>
        </w:rPr>
        <w:instrText>IGF:</w:instrText>
      </w:r>
      <w:r w:rsidR="00730643" w:rsidRPr="00BC7BB5">
        <w:instrText xml:space="preserve">Inspection Générale des Finances" </w:instrText>
      </w:r>
      <w:r w:rsidR="00730643" w:rsidRPr="00BC7BB5">
        <w:rPr>
          <w:rFonts w:ascii="Times New Roman" w:hAnsi="Times New Roman" w:cs="Times New Roman"/>
        </w:rPr>
        <w:fldChar w:fldCharType="end"/>
      </w:r>
      <w:r w:rsidRPr="00BC7BB5">
        <w:rPr>
          <w:rFonts w:ascii="Times New Roman" w:hAnsi="Times New Roman" w:cs="Times New Roman"/>
        </w:rPr>
        <w:t>) – a Department of the Ministry of Economy and Finance – w</w:t>
      </w:r>
      <w:r w:rsidR="00011FBC">
        <w:rPr>
          <w:rFonts w:ascii="Times New Roman" w:hAnsi="Times New Roman" w:cs="Times New Roman"/>
        </w:rPr>
        <w:t>ill</w:t>
      </w:r>
      <w:r w:rsidRPr="00BC7BB5">
        <w:rPr>
          <w:rFonts w:ascii="Times New Roman" w:hAnsi="Times New Roman" w:cs="Times New Roman"/>
        </w:rPr>
        <w:t xml:space="preserve"> be responsible for the annual external audit of the Program’s financial accounts. IGF has already performed this role satisfactorily under a range of other </w:t>
      </w:r>
      <w:r w:rsidR="00314608">
        <w:rPr>
          <w:rFonts w:ascii="Times New Roman" w:hAnsi="Times New Roman" w:cs="Times New Roman"/>
        </w:rPr>
        <w:t xml:space="preserve">Bank-financed </w:t>
      </w:r>
      <w:r w:rsidR="00151A7B">
        <w:rPr>
          <w:rFonts w:ascii="Times New Roman" w:hAnsi="Times New Roman" w:cs="Times New Roman"/>
        </w:rPr>
        <w:t>P</w:t>
      </w:r>
      <w:r w:rsidR="00314608">
        <w:rPr>
          <w:rFonts w:ascii="Times New Roman" w:hAnsi="Times New Roman" w:cs="Times New Roman"/>
        </w:rPr>
        <w:t>f</w:t>
      </w:r>
      <w:r w:rsidR="00151A7B">
        <w:rPr>
          <w:rFonts w:ascii="Times New Roman" w:hAnsi="Times New Roman" w:cs="Times New Roman"/>
        </w:rPr>
        <w:t>or</w:t>
      </w:r>
      <w:r w:rsidR="00FE4DD8">
        <w:rPr>
          <w:rFonts w:ascii="Times New Roman" w:hAnsi="Times New Roman" w:cs="Times New Roman"/>
        </w:rPr>
        <w:t>R</w:t>
      </w:r>
      <w:r w:rsidRPr="00BC7BB5">
        <w:rPr>
          <w:rFonts w:ascii="Times New Roman" w:hAnsi="Times New Roman" w:cs="Times New Roman"/>
        </w:rPr>
        <w:t xml:space="preserve"> operations in Morocco. </w:t>
      </w:r>
    </w:p>
    <w:p w14:paraId="51650F5F" w14:textId="77777777" w:rsidR="00093AA4" w:rsidRPr="00BC7BB5" w:rsidRDefault="00093AA4" w:rsidP="00093AA4">
      <w:pPr>
        <w:pStyle w:val="ListParagraph"/>
        <w:spacing w:after="0" w:line="240" w:lineRule="auto"/>
        <w:ind w:left="360"/>
        <w:jc w:val="both"/>
        <w:rPr>
          <w:rFonts w:ascii="Times New Roman" w:hAnsi="Times New Roman" w:cs="Times New Roman"/>
          <w:color w:val="000000" w:themeColor="text1"/>
        </w:rPr>
      </w:pPr>
    </w:p>
    <w:p w14:paraId="2D0B8B3A" w14:textId="6F4BA0DD" w:rsidR="00093AA4" w:rsidRPr="00BC7BB5" w:rsidRDefault="00093AA4" w:rsidP="00093AA4">
      <w:pPr>
        <w:pStyle w:val="ListParagraph"/>
        <w:autoSpaceDE w:val="0"/>
        <w:autoSpaceDN w:val="0"/>
        <w:adjustRightInd w:val="0"/>
        <w:spacing w:before="120" w:after="120" w:line="240" w:lineRule="auto"/>
        <w:ind w:left="420"/>
        <w:contextualSpacing w:val="0"/>
        <w:jc w:val="center"/>
        <w:rPr>
          <w:rFonts w:ascii="Times New Roman" w:hAnsi="Times New Roman" w:cs="Times New Roman"/>
          <w:b/>
        </w:rPr>
      </w:pPr>
      <w:r w:rsidRPr="00BC7BB5">
        <w:rPr>
          <w:rFonts w:ascii="Times New Roman" w:hAnsi="Times New Roman" w:cs="Times New Roman"/>
          <w:b/>
        </w:rPr>
        <w:t xml:space="preserve">Figure </w:t>
      </w:r>
      <w:r w:rsidR="00081487" w:rsidRPr="00BC7BB5">
        <w:rPr>
          <w:rFonts w:ascii="Times New Roman" w:hAnsi="Times New Roman" w:cs="Times New Roman"/>
          <w:b/>
        </w:rPr>
        <w:t>A</w:t>
      </w:r>
      <w:r w:rsidRPr="00BC7BB5">
        <w:rPr>
          <w:rFonts w:ascii="Times New Roman" w:hAnsi="Times New Roman" w:cs="Times New Roman"/>
          <w:b/>
        </w:rPr>
        <w:t>1.1 Program institutional arrangements</w:t>
      </w:r>
    </w:p>
    <w:p w14:paraId="581752E8" w14:textId="77777777" w:rsidR="00AC5750" w:rsidRPr="00BC7BB5" w:rsidRDefault="00AC5750" w:rsidP="00A9238B">
      <w:pPr>
        <w:tabs>
          <w:tab w:val="left" w:pos="2207"/>
        </w:tabs>
        <w:spacing w:line="240" w:lineRule="auto"/>
      </w:pPr>
      <w:r w:rsidRPr="00BC7BB5">
        <w:rPr>
          <w:noProof/>
        </w:rPr>
        <mc:AlternateContent>
          <mc:Choice Requires="wps">
            <w:drawing>
              <wp:anchor distT="0" distB="0" distL="114300" distR="114300" simplePos="0" relativeHeight="251660288" behindDoc="0" locked="0" layoutInCell="1" allowOverlap="1" wp14:anchorId="11D4789C" wp14:editId="594CA542">
                <wp:simplePos x="0" y="0"/>
                <wp:positionH relativeFrom="margin">
                  <wp:posOffset>4718050</wp:posOffset>
                </wp:positionH>
                <wp:positionV relativeFrom="paragraph">
                  <wp:posOffset>2217420</wp:posOffset>
                </wp:positionV>
                <wp:extent cx="1842135" cy="1943100"/>
                <wp:effectExtent l="0" t="0" r="5715" b="0"/>
                <wp:wrapNone/>
                <wp:docPr id="24" name="Rectangle 24"/>
                <wp:cNvGraphicFramePr/>
                <a:graphic xmlns:a="http://schemas.openxmlformats.org/drawingml/2006/main">
                  <a:graphicData uri="http://schemas.microsoft.com/office/word/2010/wordprocessingShape">
                    <wps:wsp>
                      <wps:cNvSpPr/>
                      <wps:spPr>
                        <a:xfrm>
                          <a:off x="0" y="0"/>
                          <a:ext cx="1842135" cy="194310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89960D2" w14:textId="77777777" w:rsidR="00A677A0" w:rsidRPr="00925B62" w:rsidRDefault="00A677A0" w:rsidP="00B35A06">
                            <w:pPr>
                              <w:pStyle w:val="ListParagraph"/>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70" w:right="232"/>
                              <w:rPr>
                                <w:sz w:val="18"/>
                                <w:szCs w:val="18"/>
                              </w:rPr>
                            </w:pPr>
                            <w:r w:rsidRPr="00925B62">
                              <w:rPr>
                                <w:sz w:val="18"/>
                                <w:szCs w:val="18"/>
                              </w:rPr>
                              <w:t>Coordinates management of Program with implementing bodies</w:t>
                            </w:r>
                          </w:p>
                          <w:p w14:paraId="2F244C81" w14:textId="783CDEDC" w:rsidR="00A677A0" w:rsidRPr="00925B62" w:rsidRDefault="00A677A0" w:rsidP="00B35A06">
                            <w:pPr>
                              <w:pStyle w:val="ListParagraph"/>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70" w:right="232"/>
                              <w:rPr>
                                <w:sz w:val="18"/>
                                <w:szCs w:val="18"/>
                              </w:rPr>
                            </w:pPr>
                            <w:r w:rsidRPr="00925B62">
                              <w:rPr>
                                <w:sz w:val="18"/>
                                <w:szCs w:val="18"/>
                              </w:rPr>
                              <w:t xml:space="preserve">Ensures </w:t>
                            </w:r>
                            <w:r>
                              <w:rPr>
                                <w:sz w:val="18"/>
                                <w:szCs w:val="18"/>
                              </w:rPr>
                              <w:t>P</w:t>
                            </w:r>
                            <w:r w:rsidRPr="00925B62">
                              <w:rPr>
                                <w:sz w:val="18"/>
                                <w:szCs w:val="18"/>
                              </w:rPr>
                              <w:t>rogram M &amp; E</w:t>
                            </w:r>
                            <w:r>
                              <w:rPr>
                                <w:sz w:val="18"/>
                                <w:szCs w:val="18"/>
                              </w:rPr>
                              <w:t xml:space="preserve"> and social and environmental aspects</w:t>
                            </w:r>
                          </w:p>
                          <w:p w14:paraId="1E97C037" w14:textId="523E95CE" w:rsidR="00A677A0" w:rsidRPr="00925B62" w:rsidRDefault="00A677A0" w:rsidP="00B35A06">
                            <w:pPr>
                              <w:pStyle w:val="ListParagraph"/>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70" w:right="232"/>
                              <w:rPr>
                                <w:sz w:val="18"/>
                                <w:szCs w:val="18"/>
                              </w:rPr>
                            </w:pPr>
                            <w:r w:rsidRPr="00925B62">
                              <w:rPr>
                                <w:sz w:val="18"/>
                                <w:szCs w:val="18"/>
                              </w:rPr>
                              <w:t xml:space="preserve">Supports verification of </w:t>
                            </w:r>
                            <w:r>
                              <w:rPr>
                                <w:sz w:val="18"/>
                                <w:szCs w:val="18"/>
                              </w:rPr>
                              <w:t>DLIs/DLRs</w:t>
                            </w:r>
                          </w:p>
                          <w:p w14:paraId="3EB5BF2B" w14:textId="4605F1A7" w:rsidR="00A677A0" w:rsidRPr="00925B62" w:rsidRDefault="00A677A0" w:rsidP="00B35A06">
                            <w:pPr>
                              <w:pStyle w:val="ListParagraph"/>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70" w:right="232"/>
                              <w:rPr>
                                <w:sz w:val="18"/>
                                <w:szCs w:val="18"/>
                              </w:rPr>
                            </w:pPr>
                            <w:r>
                              <w:rPr>
                                <w:sz w:val="18"/>
                                <w:szCs w:val="18"/>
                              </w:rPr>
                              <w:t>Serves as</w:t>
                            </w:r>
                            <w:r w:rsidRPr="00925B62">
                              <w:rPr>
                                <w:sz w:val="18"/>
                                <w:szCs w:val="18"/>
                              </w:rPr>
                              <w:t xml:space="preserve"> secretariat</w:t>
                            </w:r>
                            <w:r w:rsidRPr="00925B62">
                              <w:rPr>
                                <w:rFonts w:ascii="Courier New" w:eastAsia="Times New Roman" w:hAnsi="Courier New" w:cs="Courier New"/>
                                <w:sz w:val="20"/>
                                <w:szCs w:val="20"/>
                                <w:lang w:val="en"/>
                              </w:rPr>
                              <w:t xml:space="preserve"> </w:t>
                            </w:r>
                            <w:r w:rsidRPr="00925B62">
                              <w:rPr>
                                <w:sz w:val="18"/>
                                <w:szCs w:val="18"/>
                              </w:rPr>
                              <w:t>for the Steering Committee</w:t>
                            </w:r>
                          </w:p>
                          <w:p w14:paraId="5D73AF82" w14:textId="77777777" w:rsidR="00A677A0" w:rsidRPr="00191010" w:rsidRDefault="00A677A0" w:rsidP="00AC5750">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70" w:right="232"/>
                              <w:rPr>
                                <w:sz w:val="18"/>
                                <w:szCs w:val="18"/>
                              </w:rPr>
                            </w:pPr>
                          </w:p>
                          <w:p w14:paraId="3A20F4BB" w14:textId="77777777" w:rsidR="00A677A0" w:rsidRDefault="00A677A0" w:rsidP="00AC5750">
                            <w:pPr>
                              <w:ind w:right="232"/>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D4789C" id="_x0000_s1040" style="position:absolute;margin-left:371.5pt;margin-top:174.6pt;width:145.05pt;height:153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" fillcolor="#4f81bd [3204]" stroked="f" strokeweight="2pt">
                <v:textbox>
                  <w:txbxContent>
                    <w:p w14:paraId="789960D2" w14:textId="77777777" w:rsidR="00A677A0" w:rsidRPr="00925B62" w:rsidRDefault="00A677A0" w:rsidP="00B35A06">
                      <w:pPr>
                        <w:pStyle w:val="ListParagraph"/>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70" w:right="232"/>
                        <w:rPr>
                          <w:sz w:val="18"/>
                          <w:szCs w:val="18"/>
                        </w:rPr>
                      </w:pPr>
                      <w:r w:rsidRPr="00925B62">
                        <w:rPr>
                          <w:sz w:val="18"/>
                          <w:szCs w:val="18"/>
                        </w:rPr>
                        <w:t>Coordinates management of Program with implementing bodies</w:t>
                      </w:r>
                    </w:p>
                    <w:p w14:paraId="2F244C81" w14:textId="783CDEDC" w:rsidR="00A677A0" w:rsidRPr="00925B62" w:rsidRDefault="00A677A0" w:rsidP="00B35A06">
                      <w:pPr>
                        <w:pStyle w:val="ListParagraph"/>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70" w:right="232"/>
                        <w:rPr>
                          <w:sz w:val="18"/>
                          <w:szCs w:val="18"/>
                        </w:rPr>
                      </w:pPr>
                      <w:r w:rsidRPr="00925B62">
                        <w:rPr>
                          <w:sz w:val="18"/>
                          <w:szCs w:val="18"/>
                        </w:rPr>
                        <w:t xml:space="preserve">Ensures </w:t>
                      </w:r>
                      <w:r>
                        <w:rPr>
                          <w:sz w:val="18"/>
                          <w:szCs w:val="18"/>
                        </w:rPr>
                        <w:t>P</w:t>
                      </w:r>
                      <w:r w:rsidRPr="00925B62">
                        <w:rPr>
                          <w:sz w:val="18"/>
                          <w:szCs w:val="18"/>
                        </w:rPr>
                        <w:t>rogram M &amp; E</w:t>
                      </w:r>
                      <w:r>
                        <w:rPr>
                          <w:sz w:val="18"/>
                          <w:szCs w:val="18"/>
                        </w:rPr>
                        <w:t xml:space="preserve"> and social and environmental aspects</w:t>
                      </w:r>
                    </w:p>
                    <w:p w14:paraId="1E97C037" w14:textId="523E95CE" w:rsidR="00A677A0" w:rsidRPr="00925B62" w:rsidRDefault="00A677A0" w:rsidP="00B35A06">
                      <w:pPr>
                        <w:pStyle w:val="ListParagraph"/>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70" w:right="232"/>
                        <w:rPr>
                          <w:sz w:val="18"/>
                          <w:szCs w:val="18"/>
                        </w:rPr>
                      </w:pPr>
                      <w:r w:rsidRPr="00925B62">
                        <w:rPr>
                          <w:sz w:val="18"/>
                          <w:szCs w:val="18"/>
                        </w:rPr>
                        <w:t xml:space="preserve">Supports verification of </w:t>
                      </w:r>
                      <w:r>
                        <w:rPr>
                          <w:sz w:val="18"/>
                          <w:szCs w:val="18"/>
                        </w:rPr>
                        <w:t>DLIs/DLRs</w:t>
                      </w:r>
                    </w:p>
                    <w:p w14:paraId="3EB5BF2B" w14:textId="4605F1A7" w:rsidR="00A677A0" w:rsidRPr="00925B62" w:rsidRDefault="00A677A0" w:rsidP="00B35A06">
                      <w:pPr>
                        <w:pStyle w:val="ListParagraph"/>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70" w:right="232"/>
                        <w:rPr>
                          <w:sz w:val="18"/>
                          <w:szCs w:val="18"/>
                        </w:rPr>
                      </w:pPr>
                      <w:r>
                        <w:rPr>
                          <w:sz w:val="18"/>
                          <w:szCs w:val="18"/>
                        </w:rPr>
                        <w:t>Serves as</w:t>
                      </w:r>
                      <w:r w:rsidRPr="00925B62">
                        <w:rPr>
                          <w:sz w:val="18"/>
                          <w:szCs w:val="18"/>
                        </w:rPr>
                        <w:t xml:space="preserve"> secretariat</w:t>
                      </w:r>
                      <w:r w:rsidRPr="00925B62">
                        <w:rPr>
                          <w:rFonts w:ascii="Courier New" w:eastAsia="Times New Roman" w:hAnsi="Courier New" w:cs="Courier New"/>
                          <w:sz w:val="20"/>
                          <w:szCs w:val="20"/>
                          <w:lang w:val="en"/>
                        </w:rPr>
                        <w:t xml:space="preserve"> </w:t>
                      </w:r>
                      <w:r w:rsidRPr="00925B62">
                        <w:rPr>
                          <w:sz w:val="18"/>
                          <w:szCs w:val="18"/>
                        </w:rPr>
                        <w:t>for the Steering Committee</w:t>
                      </w:r>
                    </w:p>
                    <w:p w14:paraId="5D73AF82" w14:textId="77777777" w:rsidR="00A677A0" w:rsidRPr="00191010" w:rsidRDefault="00A677A0" w:rsidP="00AC5750">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70" w:right="232"/>
                        <w:rPr>
                          <w:sz w:val="18"/>
                          <w:szCs w:val="18"/>
                        </w:rPr>
                      </w:pPr>
                    </w:p>
                    <w:p w14:paraId="3A20F4BB" w14:textId="77777777" w:rsidR="00A677A0" w:rsidRDefault="00A677A0" w:rsidP="00AC5750">
                      <w:pPr>
                        <w:ind w:right="232"/>
                        <w:jc w:val="center"/>
                      </w:pPr>
                    </w:p>
                  </w:txbxContent>
                </v:textbox>
                <w10:wrap anchorx="margin"/>
              </v:rect>
            </w:pict>
          </mc:Fallback>
        </mc:AlternateContent>
      </w:r>
      <w:r w:rsidRPr="00BC7BB5">
        <w:rPr>
          <w:noProof/>
        </w:rPr>
        <mc:AlternateContent>
          <mc:Choice Requires="wps">
            <w:drawing>
              <wp:anchor distT="0" distB="0" distL="114300" distR="114300" simplePos="0" relativeHeight="251659264" behindDoc="0" locked="0" layoutInCell="1" allowOverlap="1" wp14:anchorId="351D3029" wp14:editId="3BCD68D1">
                <wp:simplePos x="0" y="0"/>
                <wp:positionH relativeFrom="margin">
                  <wp:posOffset>4648289</wp:posOffset>
                </wp:positionH>
                <wp:positionV relativeFrom="paragraph">
                  <wp:posOffset>259973</wp:posOffset>
                </wp:positionV>
                <wp:extent cx="1875155" cy="873760"/>
                <wp:effectExtent l="0" t="0" r="0" b="2540"/>
                <wp:wrapNone/>
                <wp:docPr id="23" name="Rectangle 23"/>
                <wp:cNvGraphicFramePr/>
                <a:graphic xmlns:a="http://schemas.openxmlformats.org/drawingml/2006/main">
                  <a:graphicData uri="http://schemas.microsoft.com/office/word/2010/wordprocessingShape">
                    <wps:wsp>
                      <wps:cNvSpPr/>
                      <wps:spPr>
                        <a:xfrm>
                          <a:off x="0" y="0"/>
                          <a:ext cx="1875155" cy="87376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B2A36BF" w14:textId="77777777" w:rsidR="00A677A0" w:rsidRDefault="00A677A0" w:rsidP="00B35A06">
                            <w:pPr>
                              <w:pStyle w:val="ListParagraph"/>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70"/>
                              <w:rPr>
                                <w:sz w:val="18"/>
                                <w:szCs w:val="18"/>
                              </w:rPr>
                            </w:pPr>
                            <w:r>
                              <w:rPr>
                                <w:sz w:val="18"/>
                                <w:szCs w:val="18"/>
                              </w:rPr>
                              <w:t>Reviews overall progress</w:t>
                            </w:r>
                          </w:p>
                          <w:p w14:paraId="6D82FE32" w14:textId="77777777" w:rsidR="00A677A0" w:rsidRDefault="00A677A0" w:rsidP="00B35A06">
                            <w:pPr>
                              <w:pStyle w:val="ListParagraph"/>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70"/>
                              <w:rPr>
                                <w:sz w:val="18"/>
                                <w:szCs w:val="18"/>
                              </w:rPr>
                            </w:pPr>
                            <w:r>
                              <w:rPr>
                                <w:sz w:val="18"/>
                                <w:szCs w:val="18"/>
                              </w:rPr>
                              <w:t>Orients PMU as to priority objectives</w:t>
                            </w:r>
                          </w:p>
                          <w:p w14:paraId="555EC8F0" w14:textId="77777777" w:rsidR="00A677A0" w:rsidRPr="00191010" w:rsidRDefault="00A677A0" w:rsidP="00B35A06">
                            <w:pPr>
                              <w:pStyle w:val="ListParagraph"/>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70"/>
                              <w:rPr>
                                <w:sz w:val="18"/>
                                <w:szCs w:val="18"/>
                              </w:rPr>
                            </w:pPr>
                            <w:r>
                              <w:rPr>
                                <w:sz w:val="18"/>
                                <w:szCs w:val="18"/>
                              </w:rPr>
                              <w:t>Ensures mobilization of</w:t>
                            </w:r>
                            <w:r w:rsidRPr="00191010">
                              <w:rPr>
                                <w:sz w:val="18"/>
                                <w:szCs w:val="18"/>
                              </w:rPr>
                              <w:t xml:space="preserve"> stakeholders</w:t>
                            </w:r>
                          </w:p>
                          <w:p w14:paraId="304F73EF" w14:textId="77777777" w:rsidR="00A677A0" w:rsidRDefault="00A677A0" w:rsidP="00AC575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1D3029" id="Rectangle 23" o:spid="_x0000_s1041" style="position:absolute;margin-left:366pt;margin-top:20.45pt;width:147.65pt;height:68.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" fillcolor="#4f81bd [3204]" stroked="f" strokeweight="2pt">
                <v:textbox>
                  <w:txbxContent>
                    <w:p w14:paraId="0B2A36BF" w14:textId="77777777" w:rsidR="00A677A0" w:rsidRDefault="00A677A0" w:rsidP="00B35A06">
                      <w:pPr>
                        <w:pStyle w:val="ListParagraph"/>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70"/>
                        <w:rPr>
                          <w:sz w:val="18"/>
                          <w:szCs w:val="18"/>
                        </w:rPr>
                      </w:pPr>
                      <w:r>
                        <w:rPr>
                          <w:sz w:val="18"/>
                          <w:szCs w:val="18"/>
                        </w:rPr>
                        <w:t>Reviews overall progress</w:t>
                      </w:r>
                    </w:p>
                    <w:p w14:paraId="6D82FE32" w14:textId="77777777" w:rsidR="00A677A0" w:rsidRDefault="00A677A0" w:rsidP="00B35A06">
                      <w:pPr>
                        <w:pStyle w:val="ListParagraph"/>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70"/>
                        <w:rPr>
                          <w:sz w:val="18"/>
                          <w:szCs w:val="18"/>
                        </w:rPr>
                      </w:pPr>
                      <w:r>
                        <w:rPr>
                          <w:sz w:val="18"/>
                          <w:szCs w:val="18"/>
                        </w:rPr>
                        <w:t>Orients PMU as to priority objectives</w:t>
                      </w:r>
                    </w:p>
                    <w:p w14:paraId="555EC8F0" w14:textId="77777777" w:rsidR="00A677A0" w:rsidRPr="00191010" w:rsidRDefault="00A677A0" w:rsidP="00B35A06">
                      <w:pPr>
                        <w:pStyle w:val="ListParagraph"/>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70"/>
                        <w:rPr>
                          <w:sz w:val="18"/>
                          <w:szCs w:val="18"/>
                        </w:rPr>
                      </w:pPr>
                      <w:r>
                        <w:rPr>
                          <w:sz w:val="18"/>
                          <w:szCs w:val="18"/>
                        </w:rPr>
                        <w:t>Ensures mobilization of</w:t>
                      </w:r>
                      <w:r w:rsidRPr="00191010">
                        <w:rPr>
                          <w:sz w:val="18"/>
                          <w:szCs w:val="18"/>
                        </w:rPr>
                        <w:t xml:space="preserve"> stakeholders</w:t>
                      </w:r>
                    </w:p>
                    <w:p w14:paraId="304F73EF" w14:textId="77777777" w:rsidR="00A677A0" w:rsidRDefault="00A677A0" w:rsidP="00AC5750">
                      <w:pPr>
                        <w:jc w:val="center"/>
                      </w:pPr>
                    </w:p>
                  </w:txbxContent>
                </v:textbox>
                <w10:wrap anchorx="margin"/>
              </v:rect>
            </w:pict>
          </mc:Fallback>
        </mc:AlternateContent>
      </w:r>
      <w:r w:rsidRPr="00BC7BB5">
        <w:rPr>
          <w:noProof/>
          <w:color w:val="1F497D" w:themeColor="text2"/>
        </w:rPr>
        <mc:AlternateContent>
          <mc:Choice Requires="wpc">
            <w:drawing>
              <wp:inline distT="0" distB="0" distL="0" distR="0" wp14:anchorId="523ADE2F" wp14:editId="4973D704">
                <wp:extent cx="5831205" cy="3986127"/>
                <wp:effectExtent l="0" t="0" r="0" b="0"/>
                <wp:docPr id="22" name="Canvas 1"/>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a:ln w="28575">
                          <a:noFill/>
                        </a:ln>
                      </wpc:whole>
                      <wps:wsp>
                        <wps:cNvPr id="3" name="Content Placeholder 1"/>
                        <wps:cNvSpPr txBox="1">
                          <a:spLocks/>
                        </wps:cNvSpPr>
                        <wps:spPr>
                          <a:xfrm>
                            <a:off x="344944" y="2408163"/>
                            <a:ext cx="4260428" cy="1501709"/>
                          </a:xfrm>
                          <a:prstGeom prst="rect">
                            <a:avLst/>
                          </a:prstGeom>
                          <a:solidFill>
                            <a:schemeClr val="bg1">
                              <a:lumMod val="85000"/>
                            </a:schemeClr>
                          </a:solidFill>
                        </wps:spPr>
                        <wps:txbx>
                          <w:txbxContent>
                            <w:p w14:paraId="15199DCF" w14:textId="77777777" w:rsidR="00A677A0" w:rsidRDefault="00A677A0" w:rsidP="00AC5750">
                              <w:pPr>
                                <w:pStyle w:val="NormalWeb"/>
                                <w:spacing w:before="0" w:beforeAutospacing="0" w:after="0" w:afterAutospacing="0"/>
                              </w:pPr>
                            </w:p>
                          </w:txbxContent>
                        </wps:txbx>
                        <wps:bodyPr vert="horz" lIns="91440" tIns="45720" rIns="91440" bIns="45720" rtlCol="0">
                          <a:normAutofit fontScale="77500" lnSpcReduction="20000"/>
                        </wps:bodyPr>
                      </wps:wsp>
                      <wps:wsp>
                        <wps:cNvPr id="4" name="Rectangle 4"/>
                        <wps:cNvSpPr/>
                        <wps:spPr>
                          <a:xfrm>
                            <a:off x="1253866" y="0"/>
                            <a:ext cx="2557247" cy="1104503"/>
                          </a:xfrm>
                          <a:prstGeom prst="rect">
                            <a:avLst/>
                          </a:prstGeom>
                          <a:solidFill>
                            <a:srgbClr val="5B9BD5"/>
                          </a:solidFill>
                          <a:ln w="12700" cap="flat" cmpd="sng" algn="ctr">
                            <a:solidFill>
                              <a:srgbClr val="5B9BD5">
                                <a:shade val="50000"/>
                              </a:srgbClr>
                            </a:solidFill>
                            <a:prstDash val="solid"/>
                            <a:miter lim="800000"/>
                          </a:ln>
                          <a:effectLst/>
                        </wps:spPr>
                        <wps:bodyPr rtlCol="0" anchor="ctr"/>
                      </wps:wsp>
                      <wps:wsp>
                        <wps:cNvPr id="5" name="Content Placeholder 1"/>
                        <wps:cNvSpPr txBox="1">
                          <a:spLocks/>
                        </wps:cNvSpPr>
                        <wps:spPr>
                          <a:xfrm>
                            <a:off x="1267201" y="133350"/>
                            <a:ext cx="2430446" cy="693978"/>
                          </a:xfrm>
                          <a:prstGeom prst="rect">
                            <a:avLst/>
                          </a:prstGeom>
                          <a:noFill/>
                        </wps:spPr>
                        <wps:txbx>
                          <w:txbxContent>
                            <w:p w14:paraId="14919932" w14:textId="77777777" w:rsidR="00A677A0" w:rsidRPr="00294C75" w:rsidRDefault="00A677A0" w:rsidP="00AC5750">
                              <w:pPr>
                                <w:pStyle w:val="NormalWeb"/>
                                <w:spacing w:before="0" w:beforeAutospacing="0" w:after="0" w:afterAutospacing="0"/>
                                <w:jc w:val="center"/>
                                <w:rPr>
                                  <w:b/>
                                  <w:sz w:val="18"/>
                                  <w:szCs w:val="18"/>
                                  <w:lang w:val="en-US"/>
                                </w:rPr>
                              </w:pPr>
                              <w:r w:rsidRPr="00294C75">
                                <w:rPr>
                                  <w:rFonts w:asciiTheme="minorHAnsi" w:hAnsi="Calibri" w:cstheme="minorBidi"/>
                                  <w:b/>
                                  <w:color w:val="000000" w:themeColor="text1"/>
                                  <w:kern w:val="24"/>
                                  <w:sz w:val="18"/>
                                  <w:szCs w:val="18"/>
                                  <w:lang w:val="en-US"/>
                                </w:rPr>
                                <w:t xml:space="preserve">Steering Committee </w:t>
                              </w:r>
                            </w:p>
                            <w:p w14:paraId="30AEC8BD" w14:textId="56DC4E01" w:rsidR="00A677A0" w:rsidRPr="00EF01A0" w:rsidRDefault="00A677A0" w:rsidP="00AC5750">
                              <w:pPr>
                                <w:pStyle w:val="NormalWeb"/>
                                <w:spacing w:before="0" w:beforeAutospacing="0" w:after="0" w:afterAutospacing="0"/>
                                <w:jc w:val="center"/>
                                <w:rPr>
                                  <w:rFonts w:asciiTheme="minorHAnsi" w:hAnsi="Calibri" w:cstheme="minorBidi"/>
                                  <w:i/>
                                  <w:iCs/>
                                  <w:color w:val="000000" w:themeColor="text1"/>
                                  <w:kern w:val="24"/>
                                  <w:sz w:val="18"/>
                                  <w:szCs w:val="18"/>
                                  <w:lang w:val="en-US"/>
                                </w:rPr>
                              </w:pPr>
                              <w:r>
                                <w:rPr>
                                  <w:rFonts w:asciiTheme="minorHAnsi" w:hAnsi="Calibri" w:cstheme="minorBidi"/>
                                  <w:i/>
                                  <w:iCs/>
                                  <w:color w:val="000000" w:themeColor="text1"/>
                                  <w:kern w:val="24"/>
                                  <w:sz w:val="18"/>
                                  <w:szCs w:val="18"/>
                                  <w:lang w:val="en-US"/>
                                </w:rPr>
                                <w:t>MAPMDREF, MEF, MI</w:t>
                              </w:r>
                              <w:r w:rsidRPr="00EF01A0">
                                <w:rPr>
                                  <w:rFonts w:asciiTheme="minorHAnsi" w:hAnsi="Calibri" w:cstheme="minorBidi"/>
                                  <w:i/>
                                  <w:iCs/>
                                  <w:color w:val="000000" w:themeColor="text1"/>
                                  <w:kern w:val="24"/>
                                  <w:sz w:val="18"/>
                                  <w:szCs w:val="18"/>
                                  <w:lang w:val="en-US"/>
                                </w:rPr>
                                <w:t>I</w:t>
                              </w:r>
                              <w:r>
                                <w:rPr>
                                  <w:rFonts w:asciiTheme="minorHAnsi" w:hAnsi="Calibri" w:cstheme="minorBidi"/>
                                  <w:i/>
                                  <w:iCs/>
                                  <w:color w:val="000000" w:themeColor="text1"/>
                                  <w:kern w:val="24"/>
                                  <w:sz w:val="18"/>
                                  <w:szCs w:val="18"/>
                                  <w:lang w:val="en-US"/>
                                </w:rPr>
                                <w:t>C</w:t>
                              </w:r>
                              <w:r w:rsidRPr="00EF01A0">
                                <w:rPr>
                                  <w:rFonts w:asciiTheme="minorHAnsi" w:hAnsi="Calibri" w:cstheme="minorBidi"/>
                                  <w:i/>
                                  <w:iCs/>
                                  <w:color w:val="000000" w:themeColor="text1"/>
                                  <w:kern w:val="24"/>
                                  <w:sz w:val="18"/>
                                  <w:szCs w:val="18"/>
                                  <w:lang w:val="en-US"/>
                                </w:rPr>
                                <w:t>EN, MI</w:t>
                              </w:r>
                            </w:p>
                            <w:p w14:paraId="3C57CFA1" w14:textId="6E605845" w:rsidR="00A677A0" w:rsidRPr="00294C75" w:rsidRDefault="00A677A0" w:rsidP="00AC5750">
                              <w:pPr>
                                <w:pStyle w:val="NormalWeb"/>
                                <w:spacing w:before="0" w:beforeAutospacing="0" w:after="0" w:afterAutospacing="0"/>
                                <w:jc w:val="center"/>
                                <w:rPr>
                                  <w:sz w:val="18"/>
                                  <w:szCs w:val="18"/>
                                </w:rPr>
                              </w:pPr>
                              <w:r w:rsidRPr="00294C75">
                                <w:rPr>
                                  <w:rFonts w:asciiTheme="minorHAnsi" w:hAnsi="Calibri" w:cstheme="minorBidi"/>
                                  <w:i/>
                                  <w:iCs/>
                                  <w:color w:val="000000" w:themeColor="text1"/>
                                  <w:kern w:val="24"/>
                                  <w:sz w:val="18"/>
                                  <w:szCs w:val="18"/>
                                </w:rPr>
                                <w:t xml:space="preserve">ONSSA, ADA, </w:t>
                              </w:r>
                              <w:r>
                                <w:rPr>
                                  <w:rFonts w:asciiTheme="minorHAnsi" w:hAnsi="Calibri" w:cstheme="minorBidi"/>
                                  <w:i/>
                                  <w:iCs/>
                                  <w:color w:val="000000" w:themeColor="text1"/>
                                  <w:kern w:val="24"/>
                                  <w:sz w:val="18"/>
                                  <w:szCs w:val="18"/>
                                </w:rPr>
                                <w:t xml:space="preserve">Wilaya, RRA, SECDD, </w:t>
                              </w:r>
                              <w:r w:rsidRPr="00294C75">
                                <w:rPr>
                                  <w:rFonts w:asciiTheme="minorHAnsi" w:hAnsi="Calibri" w:cstheme="minorBidi"/>
                                  <w:i/>
                                  <w:iCs/>
                                  <w:color w:val="000000" w:themeColor="text1"/>
                                  <w:kern w:val="24"/>
                                  <w:sz w:val="18"/>
                                  <w:szCs w:val="18"/>
                                </w:rPr>
                                <w:t>Interprofession</w:t>
                              </w:r>
                              <w:r>
                                <w:rPr>
                                  <w:rFonts w:asciiTheme="minorHAnsi" w:hAnsi="Calibri" w:cstheme="minorBidi"/>
                                  <w:i/>
                                  <w:iCs/>
                                  <w:color w:val="000000" w:themeColor="text1"/>
                                  <w:kern w:val="24"/>
                                  <w:sz w:val="18"/>
                                  <w:szCs w:val="18"/>
                                </w:rPr>
                                <w:t>s</w:t>
                              </w:r>
                            </w:p>
                          </w:txbxContent>
                        </wps:txbx>
                        <wps:bodyPr vert="horz" lIns="91440" tIns="45720" rIns="91440" bIns="45720" rtlCol="0">
                          <a:normAutofit fontScale="85000" lnSpcReduction="20000"/>
                        </wps:bodyPr>
                      </wps:wsp>
                      <wps:wsp>
                        <wps:cNvPr id="6" name="Content Placeholder 1"/>
                        <wps:cNvSpPr txBox="1">
                          <a:spLocks/>
                        </wps:cNvSpPr>
                        <wps:spPr>
                          <a:xfrm>
                            <a:off x="3489619" y="288392"/>
                            <a:ext cx="2279777" cy="774019"/>
                          </a:xfrm>
                          <a:prstGeom prst="rect">
                            <a:avLst/>
                          </a:prstGeom>
                          <a:noFill/>
                        </wps:spPr>
                        <wps:txbx>
                          <w:txbxContent>
                            <w:p w14:paraId="1A4C027C" w14:textId="77777777" w:rsidR="00A677A0" w:rsidRPr="00191010" w:rsidRDefault="00A677A0" w:rsidP="00AC5750">
                              <w:pPr>
                                <w:tabs>
                                  <w:tab w:val="left" w:pos="90"/>
                                </w:tabs>
                                <w:spacing w:after="0" w:line="240" w:lineRule="auto"/>
                                <w:rPr>
                                  <w:sz w:val="18"/>
                                  <w:szCs w:val="18"/>
                                  <w:lang w:val="fr-FR"/>
                                </w:rPr>
                              </w:pPr>
                            </w:p>
                          </w:txbxContent>
                        </wps:txbx>
                        <wps:bodyPr vert="horz" lIns="91440" tIns="45720" rIns="91440" bIns="45720" rtlCol="0">
                          <a:normAutofit/>
                        </wps:bodyPr>
                      </wps:wsp>
                      <wps:wsp>
                        <wps:cNvPr id="7" name="Straight Connector 7"/>
                        <wps:cNvCnPr>
                          <a:cxnSpLocks/>
                        </wps:cNvCnPr>
                        <wps:spPr>
                          <a:xfrm flipH="1">
                            <a:off x="2599048" y="1104684"/>
                            <a:ext cx="18217" cy="1405153"/>
                          </a:xfrm>
                          <a:prstGeom prst="line">
                            <a:avLst/>
                          </a:prstGeom>
                          <a:noFill/>
                          <a:ln w="19050" cap="flat" cmpd="sng" algn="ctr">
                            <a:solidFill>
                              <a:sysClr val="windowText" lastClr="000000"/>
                            </a:solidFill>
                            <a:prstDash val="solid"/>
                            <a:miter lim="800000"/>
                          </a:ln>
                          <a:effectLst/>
                        </wps:spPr>
                        <wps:bodyPr/>
                      </wps:wsp>
                      <wps:wsp>
                        <wps:cNvPr id="1" name="Rectangle 8"/>
                        <wps:cNvSpPr/>
                        <wps:spPr>
                          <a:xfrm>
                            <a:off x="1777345" y="2501971"/>
                            <a:ext cx="1662967" cy="546954"/>
                          </a:xfrm>
                          <a:prstGeom prst="rect">
                            <a:avLst/>
                          </a:prstGeom>
                          <a:solidFill>
                            <a:srgbClr val="5B9BD5"/>
                          </a:solidFill>
                          <a:ln w="12700" cap="flat" cmpd="sng" algn="ctr">
                            <a:solidFill>
                              <a:srgbClr val="5B9BD5">
                                <a:shade val="50000"/>
                              </a:srgbClr>
                            </a:solidFill>
                            <a:prstDash val="solid"/>
                            <a:miter lim="800000"/>
                          </a:ln>
                          <a:effectLst/>
                        </wps:spPr>
                        <wps:bodyPr rtlCol="0" anchor="ctr"/>
                      </wps:wsp>
                      <wps:wsp>
                        <wps:cNvPr id="9" name="Content Placeholder 1"/>
                        <wps:cNvSpPr txBox="1">
                          <a:spLocks/>
                        </wps:cNvSpPr>
                        <wps:spPr>
                          <a:xfrm>
                            <a:off x="1767630" y="2509976"/>
                            <a:ext cx="1662967" cy="544425"/>
                          </a:xfrm>
                          <a:prstGeom prst="rect">
                            <a:avLst/>
                          </a:prstGeom>
                          <a:noFill/>
                        </wps:spPr>
                        <wps:txbx>
                          <w:txbxContent>
                            <w:p w14:paraId="5BB19C36" w14:textId="77777777" w:rsidR="00A677A0" w:rsidRPr="00294C75" w:rsidRDefault="00A677A0" w:rsidP="00AC5750">
                              <w:pPr>
                                <w:pStyle w:val="NormalWeb"/>
                                <w:spacing w:before="0" w:beforeAutospacing="0" w:after="0" w:afterAutospacing="0"/>
                                <w:jc w:val="center"/>
                                <w:rPr>
                                  <w:rFonts w:asciiTheme="minorHAnsi" w:hAnsi="Calibri" w:cstheme="minorBidi"/>
                                  <w:b/>
                                  <w:color w:val="000000" w:themeColor="text1"/>
                                  <w:kern w:val="24"/>
                                  <w:sz w:val="18"/>
                                  <w:szCs w:val="18"/>
                                </w:rPr>
                              </w:pPr>
                              <w:r w:rsidRPr="00294C75">
                                <w:rPr>
                                  <w:rFonts w:asciiTheme="minorHAnsi" w:hAnsi="Calibri" w:cstheme="minorBidi"/>
                                  <w:b/>
                                  <w:color w:val="000000" w:themeColor="text1"/>
                                  <w:kern w:val="24"/>
                                  <w:sz w:val="18"/>
                                  <w:szCs w:val="18"/>
                                </w:rPr>
                                <w:t>Program Management Unit</w:t>
                              </w:r>
                            </w:p>
                            <w:p w14:paraId="47C2B2BC" w14:textId="77777777" w:rsidR="00A677A0" w:rsidRPr="00F7027D" w:rsidRDefault="00A677A0" w:rsidP="00AC5750">
                              <w:pPr>
                                <w:pStyle w:val="NormalWeb"/>
                                <w:spacing w:before="0" w:beforeAutospacing="0" w:after="0" w:afterAutospacing="0"/>
                                <w:jc w:val="center"/>
                                <w:rPr>
                                  <w:sz w:val="18"/>
                                  <w:szCs w:val="18"/>
                                </w:rPr>
                              </w:pPr>
                              <w:r>
                                <w:rPr>
                                  <w:rFonts w:asciiTheme="minorHAnsi" w:hAnsi="Calibri" w:cstheme="minorBidi"/>
                                  <w:i/>
                                  <w:iCs/>
                                  <w:color w:val="000000" w:themeColor="text1"/>
                                  <w:kern w:val="24"/>
                                  <w:sz w:val="18"/>
                                  <w:szCs w:val="18"/>
                                </w:rPr>
                                <w:t xml:space="preserve">DDFP </w:t>
                              </w:r>
                            </w:p>
                          </w:txbxContent>
                        </wps:txbx>
                        <wps:bodyPr vert="horz" lIns="91440" tIns="45720" rIns="91440" bIns="45720" rtlCol="0">
                          <a:normAutofit fontScale="77500" lnSpcReduction="20000"/>
                        </wps:bodyPr>
                      </wps:wsp>
                      <wps:wsp>
                        <wps:cNvPr id="11" name="Content Placeholder 1"/>
                        <wps:cNvSpPr txBox="1">
                          <a:spLocks/>
                        </wps:cNvSpPr>
                        <wps:spPr>
                          <a:xfrm>
                            <a:off x="450928" y="1215607"/>
                            <a:ext cx="1026913" cy="493173"/>
                          </a:xfrm>
                          <a:prstGeom prst="rect">
                            <a:avLst/>
                          </a:prstGeom>
                          <a:solidFill>
                            <a:srgbClr val="5B9BD5"/>
                          </a:solidFill>
                          <a:ln>
                            <a:solidFill>
                              <a:sysClr val="windowText" lastClr="000000"/>
                            </a:solidFill>
                          </a:ln>
                        </wps:spPr>
                        <wps:txbx>
                          <w:txbxContent>
                            <w:p w14:paraId="754A07AF" w14:textId="77777777" w:rsidR="00A677A0" w:rsidRPr="00F36B60" w:rsidRDefault="00A677A0" w:rsidP="00AC5750">
                              <w:pPr>
                                <w:pStyle w:val="NormalWeb"/>
                                <w:spacing w:before="0" w:beforeAutospacing="0" w:after="0" w:afterAutospacing="0"/>
                                <w:jc w:val="center"/>
                                <w:rPr>
                                  <w:sz w:val="18"/>
                                  <w:szCs w:val="18"/>
                                </w:rPr>
                              </w:pPr>
                              <w:r>
                                <w:rPr>
                                  <w:rFonts w:asciiTheme="minorHAnsi" w:hAnsi="Calibri" w:cstheme="minorBidi"/>
                                  <w:color w:val="000000" w:themeColor="text1"/>
                                  <w:kern w:val="24"/>
                                  <w:sz w:val="18"/>
                                  <w:szCs w:val="18"/>
                                </w:rPr>
                                <w:t xml:space="preserve">Vérification unit </w:t>
                              </w:r>
                              <w:r w:rsidRPr="00F36B60">
                                <w:rPr>
                                  <w:rFonts w:asciiTheme="minorHAnsi" w:hAnsi="Calibri" w:cstheme="minorBidi"/>
                                  <w:color w:val="000000" w:themeColor="text1"/>
                                  <w:kern w:val="24"/>
                                  <w:sz w:val="18"/>
                                  <w:szCs w:val="18"/>
                                </w:rPr>
                                <w:t>:</w:t>
                              </w:r>
                            </w:p>
                            <w:p w14:paraId="3415B079" w14:textId="73532F69" w:rsidR="00A677A0" w:rsidRPr="00F36B60" w:rsidRDefault="00A677A0" w:rsidP="00AC5750">
                              <w:pPr>
                                <w:pStyle w:val="NormalWeb"/>
                                <w:spacing w:before="0" w:beforeAutospacing="0" w:after="0" w:afterAutospacing="0"/>
                                <w:jc w:val="center"/>
                                <w:rPr>
                                  <w:sz w:val="18"/>
                                  <w:szCs w:val="18"/>
                                </w:rPr>
                              </w:pPr>
                              <w:r>
                                <w:rPr>
                                  <w:rFonts w:asciiTheme="minorHAnsi" w:hAnsi="Calibri" w:cstheme="minorBidi"/>
                                  <w:i/>
                                  <w:iCs/>
                                  <w:color w:val="000000" w:themeColor="text1"/>
                                  <w:kern w:val="24"/>
                                  <w:sz w:val="18"/>
                                  <w:szCs w:val="18"/>
                                </w:rPr>
                                <w:t>IGA</w:t>
                              </w:r>
                            </w:p>
                          </w:txbxContent>
                        </wps:txbx>
                        <wps:bodyPr vert="horz" lIns="91440" tIns="45720" rIns="91440" bIns="45720" rtlCol="0">
                          <a:normAutofit/>
                        </wps:bodyPr>
                      </wps:wsp>
                      <wps:wsp>
                        <wps:cNvPr id="12" name="Content Placeholder 1"/>
                        <wps:cNvSpPr txBox="1">
                          <a:spLocks/>
                        </wps:cNvSpPr>
                        <wps:spPr>
                          <a:xfrm>
                            <a:off x="450928" y="1839286"/>
                            <a:ext cx="1026913" cy="493173"/>
                          </a:xfrm>
                          <a:prstGeom prst="rect">
                            <a:avLst/>
                          </a:prstGeom>
                          <a:solidFill>
                            <a:srgbClr val="5B9BD5"/>
                          </a:solidFill>
                          <a:ln>
                            <a:solidFill>
                              <a:sysClr val="windowText" lastClr="000000"/>
                            </a:solidFill>
                          </a:ln>
                        </wps:spPr>
                        <wps:txbx>
                          <w:txbxContent>
                            <w:p w14:paraId="4421DFC0" w14:textId="77777777" w:rsidR="00A677A0" w:rsidRPr="00F36B60" w:rsidRDefault="00A677A0" w:rsidP="00AC5750">
                              <w:pPr>
                                <w:pStyle w:val="NormalWeb"/>
                                <w:spacing w:before="0" w:beforeAutospacing="0" w:after="0" w:afterAutospacing="0"/>
                                <w:jc w:val="center"/>
                                <w:rPr>
                                  <w:sz w:val="18"/>
                                  <w:szCs w:val="18"/>
                                </w:rPr>
                              </w:pPr>
                              <w:r>
                                <w:rPr>
                                  <w:rFonts w:asciiTheme="minorHAnsi" w:hAnsi="Calibri" w:cstheme="minorBidi"/>
                                  <w:color w:val="000000" w:themeColor="text1"/>
                                  <w:kern w:val="24"/>
                                  <w:sz w:val="18"/>
                                  <w:szCs w:val="18"/>
                                </w:rPr>
                                <w:t xml:space="preserve">Program Audit </w:t>
                              </w:r>
                              <w:r w:rsidRPr="00F36B60">
                                <w:rPr>
                                  <w:rFonts w:asciiTheme="minorHAnsi" w:hAnsi="Calibri" w:cstheme="minorBidi"/>
                                  <w:color w:val="000000" w:themeColor="text1"/>
                                  <w:kern w:val="24"/>
                                  <w:sz w:val="18"/>
                                  <w:szCs w:val="18"/>
                                </w:rPr>
                                <w:t>:</w:t>
                              </w:r>
                            </w:p>
                            <w:p w14:paraId="6291A489" w14:textId="77777777" w:rsidR="00A677A0" w:rsidRPr="00F36B60" w:rsidRDefault="00A677A0" w:rsidP="00AC5750">
                              <w:pPr>
                                <w:pStyle w:val="NormalWeb"/>
                                <w:spacing w:before="0" w:beforeAutospacing="0" w:after="0" w:afterAutospacing="0"/>
                                <w:jc w:val="center"/>
                                <w:rPr>
                                  <w:sz w:val="18"/>
                                  <w:szCs w:val="18"/>
                                </w:rPr>
                              </w:pPr>
                              <w:r>
                                <w:rPr>
                                  <w:rFonts w:asciiTheme="minorHAnsi" w:hAnsi="Calibri" w:cstheme="minorBidi"/>
                                  <w:i/>
                                  <w:iCs/>
                                  <w:color w:val="000000" w:themeColor="text1"/>
                                  <w:kern w:val="24"/>
                                  <w:sz w:val="18"/>
                                  <w:szCs w:val="18"/>
                                </w:rPr>
                                <w:t>IGF</w:t>
                              </w:r>
                            </w:p>
                          </w:txbxContent>
                        </wps:txbx>
                        <wps:bodyPr vert="horz" lIns="91440" tIns="45720" rIns="91440" bIns="45720" rtlCol="0">
                          <a:normAutofit/>
                        </wps:bodyPr>
                      </wps:wsp>
                      <wps:wsp>
                        <wps:cNvPr id="15" name="Rectangle 15"/>
                        <wps:cNvSpPr/>
                        <wps:spPr>
                          <a:xfrm>
                            <a:off x="376694" y="3354040"/>
                            <a:ext cx="1096506" cy="405457"/>
                          </a:xfrm>
                          <a:prstGeom prst="rect">
                            <a:avLst/>
                          </a:prstGeom>
                          <a:solidFill>
                            <a:srgbClr val="5B9BD5"/>
                          </a:solidFill>
                          <a:ln w="12700" cap="flat" cmpd="sng" algn="ctr">
                            <a:solidFill>
                              <a:srgbClr val="5B9BD5">
                                <a:shade val="50000"/>
                              </a:srgbClr>
                            </a:solidFill>
                            <a:prstDash val="solid"/>
                            <a:miter lim="800000"/>
                          </a:ln>
                          <a:effectLst/>
                        </wps:spPr>
                        <wps:txbx>
                          <w:txbxContent>
                            <w:p w14:paraId="34067197" w14:textId="77777777" w:rsidR="00A677A0" w:rsidRDefault="00A677A0" w:rsidP="00AC5750">
                              <w:pPr>
                                <w:spacing w:after="0" w:line="240" w:lineRule="auto"/>
                                <w:jc w:val="center"/>
                                <w:rPr>
                                  <w:sz w:val="16"/>
                                </w:rPr>
                              </w:pPr>
                              <w:r>
                                <w:rPr>
                                  <w:sz w:val="16"/>
                                </w:rPr>
                                <w:t xml:space="preserve">MAPMDREF </w:t>
                              </w:r>
                            </w:p>
                            <w:p w14:paraId="764085D1" w14:textId="58906B8E" w:rsidR="00A677A0" w:rsidRPr="007513CC" w:rsidRDefault="00A677A0" w:rsidP="00AC5750">
                              <w:pPr>
                                <w:spacing w:after="0" w:line="240" w:lineRule="auto"/>
                                <w:jc w:val="center"/>
                                <w:rPr>
                                  <w:sz w:val="16"/>
                                </w:rPr>
                              </w:pPr>
                              <w:r>
                                <w:rPr>
                                  <w:sz w:val="16"/>
                                </w:rPr>
                                <w:t>DDFP, DF, DSS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Rectangle 16"/>
                        <wps:cNvSpPr/>
                        <wps:spPr>
                          <a:xfrm>
                            <a:off x="1511299" y="3355930"/>
                            <a:ext cx="564455" cy="405130"/>
                          </a:xfrm>
                          <a:prstGeom prst="rect">
                            <a:avLst/>
                          </a:prstGeom>
                          <a:solidFill>
                            <a:srgbClr val="5B9BD5"/>
                          </a:solidFill>
                          <a:ln w="12700" cap="flat" cmpd="sng" algn="ctr">
                            <a:solidFill>
                              <a:srgbClr val="5B9BD5">
                                <a:shade val="50000"/>
                              </a:srgbClr>
                            </a:solidFill>
                            <a:prstDash val="solid"/>
                            <a:miter lim="800000"/>
                          </a:ln>
                          <a:effectLst/>
                        </wps:spPr>
                        <wps:txbx>
                          <w:txbxContent>
                            <w:p w14:paraId="459B2A71" w14:textId="77777777" w:rsidR="00A677A0" w:rsidRPr="007513CC" w:rsidRDefault="00A677A0" w:rsidP="00AC5750">
                              <w:pPr>
                                <w:pStyle w:val="NormalWeb"/>
                                <w:spacing w:before="0" w:beforeAutospacing="0" w:after="0" w:afterAutospacing="0" w:line="256" w:lineRule="auto"/>
                                <w:jc w:val="center"/>
                                <w:rPr>
                                  <w:lang w:val="en-US"/>
                                </w:rPr>
                              </w:pPr>
                              <w:r>
                                <w:rPr>
                                  <w:rFonts w:ascii="Calibri" w:eastAsia="Calibri" w:hAnsi="Calibri"/>
                                  <w:sz w:val="16"/>
                                  <w:szCs w:val="16"/>
                                  <w:lang w:val="en-US"/>
                                </w:rPr>
                                <w:t>ONSSA</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7" name="Rectangle 17"/>
                        <wps:cNvSpPr/>
                        <wps:spPr>
                          <a:xfrm>
                            <a:off x="2138427" y="3353766"/>
                            <a:ext cx="524680" cy="404495"/>
                          </a:xfrm>
                          <a:prstGeom prst="rect">
                            <a:avLst/>
                          </a:prstGeom>
                          <a:solidFill>
                            <a:srgbClr val="5B9BD5"/>
                          </a:solidFill>
                          <a:ln w="12700" cap="flat" cmpd="sng" algn="ctr">
                            <a:solidFill>
                              <a:srgbClr val="5B9BD5">
                                <a:shade val="50000"/>
                              </a:srgbClr>
                            </a:solidFill>
                            <a:prstDash val="solid"/>
                            <a:miter lim="800000"/>
                          </a:ln>
                          <a:effectLst/>
                        </wps:spPr>
                        <wps:txbx>
                          <w:txbxContent>
                            <w:p w14:paraId="696D16AF" w14:textId="77777777" w:rsidR="00A677A0" w:rsidRPr="007513CC" w:rsidRDefault="00A677A0" w:rsidP="00AC5750">
                              <w:pPr>
                                <w:pStyle w:val="NormalWeb"/>
                                <w:spacing w:before="0" w:beforeAutospacing="0" w:after="0" w:afterAutospacing="0" w:line="254" w:lineRule="auto"/>
                                <w:jc w:val="center"/>
                                <w:rPr>
                                  <w:lang w:val="en-US"/>
                                </w:rPr>
                              </w:pPr>
                              <w:r>
                                <w:rPr>
                                  <w:rFonts w:ascii="Calibri" w:eastAsia="Calibri" w:hAnsi="Calibri"/>
                                  <w:sz w:val="16"/>
                                  <w:szCs w:val="16"/>
                                  <w:lang w:val="en-US"/>
                                </w:rPr>
                                <w:t>ADA</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8" name="Rectangle 18"/>
                        <wps:cNvSpPr/>
                        <wps:spPr>
                          <a:xfrm>
                            <a:off x="2708808" y="3353577"/>
                            <a:ext cx="741981" cy="403860"/>
                          </a:xfrm>
                          <a:prstGeom prst="rect">
                            <a:avLst/>
                          </a:prstGeom>
                          <a:solidFill>
                            <a:srgbClr val="5B9BD5"/>
                          </a:solidFill>
                          <a:ln w="12700" cap="flat" cmpd="sng" algn="ctr">
                            <a:solidFill>
                              <a:srgbClr val="5B9BD5">
                                <a:shade val="50000"/>
                              </a:srgbClr>
                            </a:solidFill>
                            <a:prstDash val="solid"/>
                            <a:miter lim="800000"/>
                          </a:ln>
                          <a:effectLst/>
                        </wps:spPr>
                        <wps:txbx>
                          <w:txbxContent>
                            <w:p w14:paraId="7F77DC01" w14:textId="77777777" w:rsidR="00A677A0" w:rsidRDefault="00A677A0" w:rsidP="00AC5750">
                              <w:pPr>
                                <w:pStyle w:val="NormalWeb"/>
                                <w:spacing w:before="0" w:beforeAutospacing="0" w:after="0" w:afterAutospacing="0" w:line="252" w:lineRule="auto"/>
                                <w:rPr>
                                  <w:rFonts w:ascii="Calibri" w:eastAsia="Calibri" w:hAnsi="Calibri"/>
                                  <w:sz w:val="16"/>
                                  <w:szCs w:val="16"/>
                                  <w:lang w:val="en-US"/>
                                </w:rPr>
                              </w:pPr>
                              <w:r>
                                <w:rPr>
                                  <w:rFonts w:ascii="Calibri" w:eastAsia="Calibri" w:hAnsi="Calibri"/>
                                  <w:sz w:val="16"/>
                                  <w:szCs w:val="16"/>
                                  <w:lang w:val="en-US"/>
                                </w:rPr>
                                <w:t>Maroc Citrus</w:t>
                              </w:r>
                            </w:p>
                            <w:p w14:paraId="344006BA" w14:textId="77777777" w:rsidR="00A677A0" w:rsidRPr="007513CC" w:rsidRDefault="00A677A0" w:rsidP="00AC5750">
                              <w:pPr>
                                <w:pStyle w:val="NormalWeb"/>
                                <w:spacing w:before="0" w:beforeAutospacing="0" w:after="0" w:afterAutospacing="0" w:line="252" w:lineRule="auto"/>
                                <w:rPr>
                                  <w:lang w:val="en-US"/>
                                </w:rPr>
                              </w:pPr>
                              <w:r>
                                <w:rPr>
                                  <w:rFonts w:ascii="Calibri" w:eastAsia="Calibri" w:hAnsi="Calibri"/>
                                  <w:sz w:val="16"/>
                                  <w:szCs w:val="16"/>
                                  <w:lang w:val="en-US"/>
                                </w:rPr>
                                <w:t>Interprolive</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 name="Rectangle 19"/>
                        <wps:cNvSpPr/>
                        <wps:spPr>
                          <a:xfrm>
                            <a:off x="3516283" y="3342959"/>
                            <a:ext cx="936991" cy="403860"/>
                          </a:xfrm>
                          <a:prstGeom prst="rect">
                            <a:avLst/>
                          </a:prstGeom>
                          <a:solidFill>
                            <a:srgbClr val="5B9BD5"/>
                          </a:solidFill>
                          <a:ln w="12700" cap="flat" cmpd="sng" algn="ctr">
                            <a:solidFill>
                              <a:srgbClr val="5B9BD5">
                                <a:shade val="50000"/>
                              </a:srgbClr>
                            </a:solidFill>
                            <a:prstDash val="solid"/>
                            <a:miter lim="800000"/>
                          </a:ln>
                          <a:effectLst/>
                        </wps:spPr>
                        <wps:txbx>
                          <w:txbxContent>
                            <w:p w14:paraId="4994B2DE" w14:textId="77777777" w:rsidR="00A677A0" w:rsidRPr="007513CC" w:rsidRDefault="00A677A0" w:rsidP="00AC5750">
                              <w:pPr>
                                <w:pStyle w:val="NormalWeb"/>
                                <w:spacing w:before="0" w:beforeAutospacing="0" w:after="0" w:afterAutospacing="0" w:line="252" w:lineRule="auto"/>
                                <w:jc w:val="center"/>
                                <w:rPr>
                                  <w:lang w:val="en-US"/>
                                </w:rPr>
                              </w:pPr>
                              <w:r>
                                <w:rPr>
                                  <w:rFonts w:ascii="Calibri" w:eastAsia="Calibri" w:hAnsi="Calibri"/>
                                  <w:sz w:val="16"/>
                                  <w:szCs w:val="16"/>
                                  <w:lang w:val="en-US"/>
                                </w:rPr>
                                <w:t>Wilaya, Rabat Amenagement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1" name="Content Placeholder 1"/>
                        <wps:cNvSpPr txBox="1">
                          <a:spLocks/>
                        </wps:cNvSpPr>
                        <wps:spPr>
                          <a:xfrm>
                            <a:off x="4" y="3123985"/>
                            <a:ext cx="4605368" cy="826134"/>
                          </a:xfrm>
                          <a:prstGeom prst="rect">
                            <a:avLst/>
                          </a:prstGeom>
                          <a:noFill/>
                        </wps:spPr>
                        <wps:txbx>
                          <w:txbxContent>
                            <w:p w14:paraId="2EC331FB" w14:textId="61EF096A" w:rsidR="00A677A0" w:rsidRPr="000B0FC5" w:rsidRDefault="00A677A0" w:rsidP="00AC5750">
                              <w:pPr>
                                <w:pStyle w:val="NormalWeb"/>
                                <w:spacing w:before="0" w:beforeAutospacing="0" w:after="0" w:afterAutospacing="0"/>
                                <w:rPr>
                                  <w:lang w:val="en-US"/>
                                </w:rPr>
                              </w:pPr>
                              <w:r>
                                <w:rPr>
                                  <w:rFonts w:ascii="Calibri" w:eastAsia="Calibri" w:hAnsi="Calibri"/>
                                  <w:sz w:val="18"/>
                                  <w:szCs w:val="18"/>
                                </w:rPr>
                                <w:tab/>
                              </w:r>
                              <w:r w:rsidRPr="000B0FC5">
                                <w:rPr>
                                  <w:rFonts w:ascii="Calibri" w:hAnsi="Calibri"/>
                                  <w:color w:val="000000"/>
                                  <w:kern w:val="24"/>
                                  <w:sz w:val="18"/>
                                  <w:szCs w:val="18"/>
                                  <w:lang w:val="en-US"/>
                                </w:rPr>
                                <w:t xml:space="preserve">Extended PMU </w:t>
                              </w:r>
                              <w:r>
                                <w:rPr>
                                  <w:rFonts w:ascii="Calibri" w:eastAsia="Calibri" w:hAnsi="Calibri"/>
                                  <w:sz w:val="18"/>
                                  <w:szCs w:val="18"/>
                                  <w:lang w:val="en-US"/>
                                </w:rPr>
                                <w:t>Focal P</w:t>
                              </w:r>
                              <w:r w:rsidRPr="000B0FC5">
                                <w:rPr>
                                  <w:rFonts w:ascii="Calibri" w:eastAsia="Calibri" w:hAnsi="Calibri"/>
                                  <w:sz w:val="18"/>
                                  <w:szCs w:val="18"/>
                                  <w:lang w:val="en-US"/>
                                </w:rPr>
                                <w:t>oin</w:t>
                              </w:r>
                              <w:r>
                                <w:rPr>
                                  <w:rFonts w:ascii="Calibri" w:eastAsia="Calibri" w:hAnsi="Calibri"/>
                                  <w:sz w:val="18"/>
                                  <w:szCs w:val="18"/>
                                  <w:lang w:val="en-US"/>
                                </w:rPr>
                                <w:t>ts of implementing stakeholders</w:t>
                              </w:r>
                              <w:r w:rsidRPr="000B0FC5">
                                <w:rPr>
                                  <w:rFonts w:ascii="Calibri" w:eastAsia="Calibri" w:hAnsi="Calibri"/>
                                  <w:sz w:val="18"/>
                                  <w:szCs w:val="18"/>
                                  <w:lang w:val="en-US"/>
                                </w:rPr>
                                <w:t>:</w:t>
                              </w:r>
                            </w:p>
                          </w:txbxContent>
                        </wps:txbx>
                        <wps:bodyPr vert="horz" lIns="91440" tIns="45720" rIns="91440" bIns="45720" rtlCol="0">
                          <a:normAutofit/>
                        </wps:bodyPr>
                      </wps:wsp>
                    </wpc:wpc>
                  </a:graphicData>
                </a:graphic>
              </wp:inline>
            </w:drawing>
          </mc:Choice>
          <mc:Fallback>
            <w:pict>
              <v:group w14:anchorId="523ADE2F" id="Canvas 1" o:spid="_x0000_s1042" editas="canvas" style="width:459.15pt;height:313.85pt;mso-position-horizontal-relative:char;mso-position-vertical-relative:line" coordsize="58312,398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3" type="#_x0000_t75" style="position:absolute;width:58312;height:39858;visibility:visible;mso-wrap-style:square" strokeweight="2.25pt">
                  <v:fill o:detectmouseclick="t"/>
                  <v:path o:connecttype="none"/>
                </v:shape>
                <v:shapetype id="_x0000_t202" coordsize="21600,21600" o:spt="202" path="m,l,21600r21600,l21600,xe">
                  <v:stroke joinstyle="miter"/>
                  <v:path gradientshapeok="t" o:connecttype="rect"/>
                </v:shapetype>
                <v:shape id="Content Placeholder 1" o:spid="_x0000_s1044" type="#_x0000_t202" style="position:absolute;left:3449;top:24081;width:42604;height:150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" fillcolor="#d8d8d8 [2732]" stroked="f">
                  <v:textbox>
                    <w:txbxContent>
                      <w:p w14:paraId="15199DCF" w14:textId="77777777" w:rsidR="00A677A0" w:rsidRDefault="00A677A0" w:rsidP="00AC5750">
                        <w:pPr>
                          <w:pStyle w:val="NormalWeb"/>
                          <w:spacing w:before="0" w:beforeAutospacing="0" w:after="0" w:afterAutospacing="0"/>
                        </w:pPr>
                      </w:p>
                    </w:txbxContent>
                  </v:textbox>
                </v:shape>
                <v:rect id="Rectangle 4" o:spid="_x0000_s1045" style="position:absolute;left:12538;width:25573;height:110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" fillcolor="#5b9bd5" strokecolor="#41719c" strokeweight="1pt"/>
                <v:shape id="Content Placeholder 1" o:spid="_x0000_s1046" type="#_x0000_t202" style="position:absolute;left:12672;top:1333;width:24304;height:69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" filled="f" stroked="f">
                  <v:textbox>
                    <w:txbxContent>
                      <w:p w14:paraId="14919932" w14:textId="77777777" w:rsidR="00A677A0" w:rsidRPr="00294C75" w:rsidRDefault="00A677A0" w:rsidP="00AC5750">
                        <w:pPr>
                          <w:pStyle w:val="NormalWeb"/>
                          <w:spacing w:before="0" w:beforeAutospacing="0" w:after="0" w:afterAutospacing="0"/>
                          <w:jc w:val="center"/>
                          <w:rPr>
                            <w:b/>
                            <w:sz w:val="18"/>
                            <w:szCs w:val="18"/>
                            <w:lang w:val="en-US"/>
                          </w:rPr>
                        </w:pPr>
                        <w:r w:rsidRPr="00294C75">
                          <w:rPr>
                            <w:rFonts w:asciiTheme="minorHAnsi" w:hAnsi="Calibri" w:cstheme="minorBidi"/>
                            <w:b/>
                            <w:color w:val="000000" w:themeColor="text1"/>
                            <w:kern w:val="24"/>
                            <w:sz w:val="18"/>
                            <w:szCs w:val="18"/>
                            <w:lang w:val="en-US"/>
                          </w:rPr>
                          <w:t xml:space="preserve">Steering Committee </w:t>
                        </w:r>
                      </w:p>
                      <w:p w14:paraId="30AEC8BD" w14:textId="56DC4E01" w:rsidR="00A677A0" w:rsidRPr="00EF01A0" w:rsidRDefault="00A677A0" w:rsidP="00AC5750">
                        <w:pPr>
                          <w:pStyle w:val="NormalWeb"/>
                          <w:spacing w:before="0" w:beforeAutospacing="0" w:after="0" w:afterAutospacing="0"/>
                          <w:jc w:val="center"/>
                          <w:rPr>
                            <w:rFonts w:asciiTheme="minorHAnsi" w:hAnsi="Calibri" w:cstheme="minorBidi"/>
                            <w:i/>
                            <w:iCs/>
                            <w:color w:val="000000" w:themeColor="text1"/>
                            <w:kern w:val="24"/>
                            <w:sz w:val="18"/>
                            <w:szCs w:val="18"/>
                            <w:lang w:val="en-US"/>
                          </w:rPr>
                        </w:pPr>
                        <w:r>
                          <w:rPr>
                            <w:rFonts w:asciiTheme="minorHAnsi" w:hAnsi="Calibri" w:cstheme="minorBidi"/>
                            <w:i/>
                            <w:iCs/>
                            <w:color w:val="000000" w:themeColor="text1"/>
                            <w:kern w:val="24"/>
                            <w:sz w:val="18"/>
                            <w:szCs w:val="18"/>
                            <w:lang w:val="en-US"/>
                          </w:rPr>
                          <w:t>MAPMDREF, MEF, MI</w:t>
                        </w:r>
                        <w:r w:rsidRPr="00EF01A0">
                          <w:rPr>
                            <w:rFonts w:asciiTheme="minorHAnsi" w:hAnsi="Calibri" w:cstheme="minorBidi"/>
                            <w:i/>
                            <w:iCs/>
                            <w:color w:val="000000" w:themeColor="text1"/>
                            <w:kern w:val="24"/>
                            <w:sz w:val="18"/>
                            <w:szCs w:val="18"/>
                            <w:lang w:val="en-US"/>
                          </w:rPr>
                          <w:t>I</w:t>
                        </w:r>
                        <w:r>
                          <w:rPr>
                            <w:rFonts w:asciiTheme="minorHAnsi" w:hAnsi="Calibri" w:cstheme="minorBidi"/>
                            <w:i/>
                            <w:iCs/>
                            <w:color w:val="000000" w:themeColor="text1"/>
                            <w:kern w:val="24"/>
                            <w:sz w:val="18"/>
                            <w:szCs w:val="18"/>
                            <w:lang w:val="en-US"/>
                          </w:rPr>
                          <w:t>C</w:t>
                        </w:r>
                        <w:r w:rsidRPr="00EF01A0">
                          <w:rPr>
                            <w:rFonts w:asciiTheme="minorHAnsi" w:hAnsi="Calibri" w:cstheme="minorBidi"/>
                            <w:i/>
                            <w:iCs/>
                            <w:color w:val="000000" w:themeColor="text1"/>
                            <w:kern w:val="24"/>
                            <w:sz w:val="18"/>
                            <w:szCs w:val="18"/>
                            <w:lang w:val="en-US"/>
                          </w:rPr>
                          <w:t>EN, MI</w:t>
                        </w:r>
                      </w:p>
                      <w:p w14:paraId="3C57CFA1" w14:textId="6E605845" w:rsidR="00A677A0" w:rsidRPr="00294C75" w:rsidRDefault="00A677A0" w:rsidP="00AC5750">
                        <w:pPr>
                          <w:pStyle w:val="NormalWeb"/>
                          <w:spacing w:before="0" w:beforeAutospacing="0" w:after="0" w:afterAutospacing="0"/>
                          <w:jc w:val="center"/>
                          <w:rPr>
                            <w:sz w:val="18"/>
                            <w:szCs w:val="18"/>
                          </w:rPr>
                        </w:pPr>
                        <w:r w:rsidRPr="00294C75">
                          <w:rPr>
                            <w:rFonts w:asciiTheme="minorHAnsi" w:hAnsi="Calibri" w:cstheme="minorBidi"/>
                            <w:i/>
                            <w:iCs/>
                            <w:color w:val="000000" w:themeColor="text1"/>
                            <w:kern w:val="24"/>
                            <w:sz w:val="18"/>
                            <w:szCs w:val="18"/>
                          </w:rPr>
                          <w:t xml:space="preserve">ONSSA, ADA, </w:t>
                        </w:r>
                        <w:r>
                          <w:rPr>
                            <w:rFonts w:asciiTheme="minorHAnsi" w:hAnsi="Calibri" w:cstheme="minorBidi"/>
                            <w:i/>
                            <w:iCs/>
                            <w:color w:val="000000" w:themeColor="text1"/>
                            <w:kern w:val="24"/>
                            <w:sz w:val="18"/>
                            <w:szCs w:val="18"/>
                          </w:rPr>
                          <w:t xml:space="preserve">Wilaya, RRA, SECDD, </w:t>
                        </w:r>
                        <w:r w:rsidRPr="00294C75">
                          <w:rPr>
                            <w:rFonts w:asciiTheme="minorHAnsi" w:hAnsi="Calibri" w:cstheme="minorBidi"/>
                            <w:i/>
                            <w:iCs/>
                            <w:color w:val="000000" w:themeColor="text1"/>
                            <w:kern w:val="24"/>
                            <w:sz w:val="18"/>
                            <w:szCs w:val="18"/>
                          </w:rPr>
                          <w:t>Interprofession</w:t>
                        </w:r>
                        <w:r>
                          <w:rPr>
                            <w:rFonts w:asciiTheme="minorHAnsi" w:hAnsi="Calibri" w:cstheme="minorBidi"/>
                            <w:i/>
                            <w:iCs/>
                            <w:color w:val="000000" w:themeColor="text1"/>
                            <w:kern w:val="24"/>
                            <w:sz w:val="18"/>
                            <w:szCs w:val="18"/>
                          </w:rPr>
                          <w:t>s</w:t>
                        </w:r>
                      </w:p>
                    </w:txbxContent>
                  </v:textbox>
                </v:shape>
                <v:shape id="Content Placeholder 1" o:spid="_x0000_s1047" type="#_x0000_t202" style="position:absolute;left:34896;top:2883;width:22797;height:77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" filled="f" stroked="f">
                  <v:textbox>
                    <w:txbxContent>
                      <w:p w14:paraId="1A4C027C" w14:textId="77777777" w:rsidR="00A677A0" w:rsidRPr="00191010" w:rsidRDefault="00A677A0" w:rsidP="00AC5750">
                        <w:pPr>
                          <w:tabs>
                            <w:tab w:val="left" w:pos="90"/>
                          </w:tabs>
                          <w:spacing w:after="0" w:line="240" w:lineRule="auto"/>
                          <w:rPr>
                            <w:sz w:val="18"/>
                            <w:szCs w:val="18"/>
                            <w:lang w:val="fr-FR"/>
                          </w:rPr>
                        </w:pPr>
                      </w:p>
                    </w:txbxContent>
                  </v:textbox>
                </v:shape>
                <v:line id="Straight Connector 7" o:spid="_x0000_s1048" style="position:absolute;flip:x;visibility:visible;mso-wrap-style:square" from="25990,11046" to="26172,250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" strokecolor="windowText" strokeweight="1.5pt">
                  <v:stroke joinstyle="miter"/>
                  <o:lock v:ext="edit" shapetype="f"/>
                </v:line>
                <v:rect id="_x0000_s1049" style="position:absolute;left:17773;top:25019;width:16630;height:54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" fillcolor="#5b9bd5" strokecolor="#41719c" strokeweight="1pt"/>
                <v:shape id="Content Placeholder 1" o:spid="_x0000_s1050" type="#_x0000_t202" style="position:absolute;left:17676;top:25099;width:16629;height:54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" filled="f" stroked="f">
                  <v:textbox>
                    <w:txbxContent>
                      <w:p w14:paraId="5BB19C36" w14:textId="77777777" w:rsidR="00A677A0" w:rsidRPr="00294C75" w:rsidRDefault="00A677A0" w:rsidP="00AC5750">
                        <w:pPr>
                          <w:pStyle w:val="NormalWeb"/>
                          <w:spacing w:before="0" w:beforeAutospacing="0" w:after="0" w:afterAutospacing="0"/>
                          <w:jc w:val="center"/>
                          <w:rPr>
                            <w:rFonts w:asciiTheme="minorHAnsi" w:hAnsi="Calibri" w:cstheme="minorBidi"/>
                            <w:b/>
                            <w:color w:val="000000" w:themeColor="text1"/>
                            <w:kern w:val="24"/>
                            <w:sz w:val="18"/>
                            <w:szCs w:val="18"/>
                          </w:rPr>
                        </w:pPr>
                        <w:r w:rsidRPr="00294C75">
                          <w:rPr>
                            <w:rFonts w:asciiTheme="minorHAnsi" w:hAnsi="Calibri" w:cstheme="minorBidi"/>
                            <w:b/>
                            <w:color w:val="000000" w:themeColor="text1"/>
                            <w:kern w:val="24"/>
                            <w:sz w:val="18"/>
                            <w:szCs w:val="18"/>
                          </w:rPr>
                          <w:t>Program Management Unit</w:t>
                        </w:r>
                      </w:p>
                      <w:p w14:paraId="47C2B2BC" w14:textId="77777777" w:rsidR="00A677A0" w:rsidRPr="00F7027D" w:rsidRDefault="00A677A0" w:rsidP="00AC5750">
                        <w:pPr>
                          <w:pStyle w:val="NormalWeb"/>
                          <w:spacing w:before="0" w:beforeAutospacing="0" w:after="0" w:afterAutospacing="0"/>
                          <w:jc w:val="center"/>
                          <w:rPr>
                            <w:sz w:val="18"/>
                            <w:szCs w:val="18"/>
                          </w:rPr>
                        </w:pPr>
                        <w:r>
                          <w:rPr>
                            <w:rFonts w:asciiTheme="minorHAnsi" w:hAnsi="Calibri" w:cstheme="minorBidi"/>
                            <w:i/>
                            <w:iCs/>
                            <w:color w:val="000000" w:themeColor="text1"/>
                            <w:kern w:val="24"/>
                            <w:sz w:val="18"/>
                            <w:szCs w:val="18"/>
                          </w:rPr>
                          <w:t xml:space="preserve">DDFP </w:t>
                        </w:r>
                      </w:p>
                    </w:txbxContent>
                  </v:textbox>
                </v:shape>
                <v:shape id="Content Placeholder 1" o:spid="_x0000_s1051" type="#_x0000_t202" style="position:absolute;left:4509;top:12156;width:10269;height:49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" fillcolor="#5b9bd5" strokecolor="windowText">
                  <v:path arrowok="t"/>
                  <v:textbox>
                    <w:txbxContent>
                      <w:p w14:paraId="754A07AF" w14:textId="77777777" w:rsidR="00A677A0" w:rsidRPr="00F36B60" w:rsidRDefault="00A677A0" w:rsidP="00AC5750">
                        <w:pPr>
                          <w:pStyle w:val="NormalWeb"/>
                          <w:spacing w:before="0" w:beforeAutospacing="0" w:after="0" w:afterAutospacing="0"/>
                          <w:jc w:val="center"/>
                          <w:rPr>
                            <w:sz w:val="18"/>
                            <w:szCs w:val="18"/>
                          </w:rPr>
                        </w:pPr>
                        <w:r>
                          <w:rPr>
                            <w:rFonts w:asciiTheme="minorHAnsi" w:hAnsi="Calibri" w:cstheme="minorBidi"/>
                            <w:color w:val="000000" w:themeColor="text1"/>
                            <w:kern w:val="24"/>
                            <w:sz w:val="18"/>
                            <w:szCs w:val="18"/>
                          </w:rPr>
                          <w:t xml:space="preserve">Vérification unit </w:t>
                        </w:r>
                        <w:r w:rsidRPr="00F36B60">
                          <w:rPr>
                            <w:rFonts w:asciiTheme="minorHAnsi" w:hAnsi="Calibri" w:cstheme="minorBidi"/>
                            <w:color w:val="000000" w:themeColor="text1"/>
                            <w:kern w:val="24"/>
                            <w:sz w:val="18"/>
                            <w:szCs w:val="18"/>
                          </w:rPr>
                          <w:t>:</w:t>
                        </w:r>
                      </w:p>
                      <w:p w14:paraId="3415B079" w14:textId="73532F69" w:rsidR="00A677A0" w:rsidRPr="00F36B60" w:rsidRDefault="00A677A0" w:rsidP="00AC5750">
                        <w:pPr>
                          <w:pStyle w:val="NormalWeb"/>
                          <w:spacing w:before="0" w:beforeAutospacing="0" w:after="0" w:afterAutospacing="0"/>
                          <w:jc w:val="center"/>
                          <w:rPr>
                            <w:sz w:val="18"/>
                            <w:szCs w:val="18"/>
                          </w:rPr>
                        </w:pPr>
                        <w:r>
                          <w:rPr>
                            <w:rFonts w:asciiTheme="minorHAnsi" w:hAnsi="Calibri" w:cstheme="minorBidi"/>
                            <w:i/>
                            <w:iCs/>
                            <w:color w:val="000000" w:themeColor="text1"/>
                            <w:kern w:val="24"/>
                            <w:sz w:val="18"/>
                            <w:szCs w:val="18"/>
                          </w:rPr>
                          <w:t>IGA</w:t>
                        </w:r>
                      </w:p>
                    </w:txbxContent>
                  </v:textbox>
                </v:shape>
                <v:shape id="Content Placeholder 1" o:spid="_x0000_s1052" type="#_x0000_t202" style="position:absolute;left:4509;top:18392;width:10269;height:49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" fillcolor="#5b9bd5" strokecolor="windowText">
                  <v:path arrowok="t"/>
                  <v:textbox>
                    <w:txbxContent>
                      <w:p w14:paraId="4421DFC0" w14:textId="77777777" w:rsidR="00A677A0" w:rsidRPr="00F36B60" w:rsidRDefault="00A677A0" w:rsidP="00AC5750">
                        <w:pPr>
                          <w:pStyle w:val="NormalWeb"/>
                          <w:spacing w:before="0" w:beforeAutospacing="0" w:after="0" w:afterAutospacing="0"/>
                          <w:jc w:val="center"/>
                          <w:rPr>
                            <w:sz w:val="18"/>
                            <w:szCs w:val="18"/>
                          </w:rPr>
                        </w:pPr>
                        <w:r>
                          <w:rPr>
                            <w:rFonts w:asciiTheme="minorHAnsi" w:hAnsi="Calibri" w:cstheme="minorBidi"/>
                            <w:color w:val="000000" w:themeColor="text1"/>
                            <w:kern w:val="24"/>
                            <w:sz w:val="18"/>
                            <w:szCs w:val="18"/>
                          </w:rPr>
                          <w:t xml:space="preserve">Program Audit </w:t>
                        </w:r>
                        <w:r w:rsidRPr="00F36B60">
                          <w:rPr>
                            <w:rFonts w:asciiTheme="minorHAnsi" w:hAnsi="Calibri" w:cstheme="minorBidi"/>
                            <w:color w:val="000000" w:themeColor="text1"/>
                            <w:kern w:val="24"/>
                            <w:sz w:val="18"/>
                            <w:szCs w:val="18"/>
                          </w:rPr>
                          <w:t>:</w:t>
                        </w:r>
                      </w:p>
                      <w:p w14:paraId="6291A489" w14:textId="77777777" w:rsidR="00A677A0" w:rsidRPr="00F36B60" w:rsidRDefault="00A677A0" w:rsidP="00AC5750">
                        <w:pPr>
                          <w:pStyle w:val="NormalWeb"/>
                          <w:spacing w:before="0" w:beforeAutospacing="0" w:after="0" w:afterAutospacing="0"/>
                          <w:jc w:val="center"/>
                          <w:rPr>
                            <w:sz w:val="18"/>
                            <w:szCs w:val="18"/>
                          </w:rPr>
                        </w:pPr>
                        <w:r>
                          <w:rPr>
                            <w:rFonts w:asciiTheme="minorHAnsi" w:hAnsi="Calibri" w:cstheme="minorBidi"/>
                            <w:i/>
                            <w:iCs/>
                            <w:color w:val="000000" w:themeColor="text1"/>
                            <w:kern w:val="24"/>
                            <w:sz w:val="18"/>
                            <w:szCs w:val="18"/>
                          </w:rPr>
                          <w:t>IGF</w:t>
                        </w:r>
                      </w:p>
                    </w:txbxContent>
                  </v:textbox>
                </v:shape>
                <v:rect id="_x0000_s1053" style="position:absolute;left:3766;top:33540;width:10966;height:40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" fillcolor="#5b9bd5" strokecolor="#41719c" strokeweight="1pt">
                  <v:textbox>
                    <w:txbxContent>
                      <w:p w14:paraId="34067197" w14:textId="77777777" w:rsidR="00A677A0" w:rsidRDefault="00A677A0" w:rsidP="00AC5750">
                        <w:pPr>
                          <w:spacing w:after="0" w:line="240" w:lineRule="auto"/>
                          <w:jc w:val="center"/>
                          <w:rPr>
                            <w:sz w:val="16"/>
                          </w:rPr>
                        </w:pPr>
                        <w:r>
                          <w:rPr>
                            <w:sz w:val="16"/>
                          </w:rPr>
                          <w:t xml:space="preserve">MAPMDREF </w:t>
                        </w:r>
                      </w:p>
                      <w:p w14:paraId="764085D1" w14:textId="58906B8E" w:rsidR="00A677A0" w:rsidRPr="007513CC" w:rsidRDefault="00A677A0" w:rsidP="00AC5750">
                        <w:pPr>
                          <w:spacing w:after="0" w:line="240" w:lineRule="auto"/>
                          <w:jc w:val="center"/>
                          <w:rPr>
                            <w:sz w:val="16"/>
                          </w:rPr>
                        </w:pPr>
                        <w:r>
                          <w:rPr>
                            <w:sz w:val="16"/>
                          </w:rPr>
                          <w:t>DDFP, DF, DSS</w:t>
                        </w:r>
                      </w:p>
                    </w:txbxContent>
                  </v:textbox>
                </v:rect>
                <v:rect id="_x0000_s1054" style="position:absolute;left:15112;top:33559;width:5645;height:40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" fillcolor="#5b9bd5" strokecolor="#41719c" strokeweight="1pt">
                  <v:textbox>
                    <w:txbxContent>
                      <w:p w14:paraId="459B2A71" w14:textId="77777777" w:rsidR="00A677A0" w:rsidRPr="007513CC" w:rsidRDefault="00A677A0" w:rsidP="00AC5750">
                        <w:pPr>
                          <w:pStyle w:val="NormalWeb"/>
                          <w:spacing w:before="0" w:beforeAutospacing="0" w:after="0" w:afterAutospacing="0" w:line="256" w:lineRule="auto"/>
                          <w:jc w:val="center"/>
                          <w:rPr>
                            <w:lang w:val="en-US"/>
                          </w:rPr>
                        </w:pPr>
                        <w:r>
                          <w:rPr>
                            <w:rFonts w:ascii="Calibri" w:eastAsia="Calibri" w:hAnsi="Calibri"/>
                            <w:sz w:val="16"/>
                            <w:szCs w:val="16"/>
                            <w:lang w:val="en-US"/>
                          </w:rPr>
                          <w:t>ONSSA</w:t>
                        </w:r>
                      </w:p>
                    </w:txbxContent>
                  </v:textbox>
                </v:rect>
                <v:rect id="Rectangle 17" o:spid="_x0000_s1055" style="position:absolute;left:21384;top:33537;width:5247;height:40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" fillcolor="#5b9bd5" strokecolor="#41719c" strokeweight="1pt">
                  <v:textbox>
                    <w:txbxContent>
                      <w:p w14:paraId="696D16AF" w14:textId="77777777" w:rsidR="00A677A0" w:rsidRPr="007513CC" w:rsidRDefault="00A677A0" w:rsidP="00AC5750">
                        <w:pPr>
                          <w:pStyle w:val="NormalWeb"/>
                          <w:spacing w:before="0" w:beforeAutospacing="0" w:after="0" w:afterAutospacing="0" w:line="254" w:lineRule="auto"/>
                          <w:jc w:val="center"/>
                          <w:rPr>
                            <w:lang w:val="en-US"/>
                          </w:rPr>
                        </w:pPr>
                        <w:r>
                          <w:rPr>
                            <w:rFonts w:ascii="Calibri" w:eastAsia="Calibri" w:hAnsi="Calibri"/>
                            <w:sz w:val="16"/>
                            <w:szCs w:val="16"/>
                            <w:lang w:val="en-US"/>
                          </w:rPr>
                          <w:t>ADA</w:t>
                        </w:r>
                      </w:p>
                    </w:txbxContent>
                  </v:textbox>
                </v:rect>
                <v:rect id="Rectangle 18" o:spid="_x0000_s1056" style="position:absolute;left:27088;top:33535;width:7419;height:40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" fillcolor="#5b9bd5" strokecolor="#41719c" strokeweight="1pt">
                  <v:textbox>
                    <w:txbxContent>
                      <w:p w14:paraId="7F77DC01" w14:textId="77777777" w:rsidR="00A677A0" w:rsidRDefault="00A677A0" w:rsidP="00AC5750">
                        <w:pPr>
                          <w:pStyle w:val="NormalWeb"/>
                          <w:spacing w:before="0" w:beforeAutospacing="0" w:after="0" w:afterAutospacing="0" w:line="252" w:lineRule="auto"/>
                          <w:rPr>
                            <w:rFonts w:ascii="Calibri" w:eastAsia="Calibri" w:hAnsi="Calibri"/>
                            <w:sz w:val="16"/>
                            <w:szCs w:val="16"/>
                            <w:lang w:val="en-US"/>
                          </w:rPr>
                        </w:pPr>
                        <w:r>
                          <w:rPr>
                            <w:rFonts w:ascii="Calibri" w:eastAsia="Calibri" w:hAnsi="Calibri"/>
                            <w:sz w:val="16"/>
                            <w:szCs w:val="16"/>
                            <w:lang w:val="en-US"/>
                          </w:rPr>
                          <w:t>Maroc Citrus</w:t>
                        </w:r>
                      </w:p>
                      <w:p w14:paraId="344006BA" w14:textId="77777777" w:rsidR="00A677A0" w:rsidRPr="007513CC" w:rsidRDefault="00A677A0" w:rsidP="00AC5750">
                        <w:pPr>
                          <w:pStyle w:val="NormalWeb"/>
                          <w:spacing w:before="0" w:beforeAutospacing="0" w:after="0" w:afterAutospacing="0" w:line="252" w:lineRule="auto"/>
                          <w:rPr>
                            <w:lang w:val="en-US"/>
                          </w:rPr>
                        </w:pPr>
                        <w:r>
                          <w:rPr>
                            <w:rFonts w:ascii="Calibri" w:eastAsia="Calibri" w:hAnsi="Calibri"/>
                            <w:sz w:val="16"/>
                            <w:szCs w:val="16"/>
                            <w:lang w:val="en-US"/>
                          </w:rPr>
                          <w:t>Interprolive</w:t>
                        </w:r>
                      </w:p>
                    </w:txbxContent>
                  </v:textbox>
                </v:rect>
                <v:rect id="Rectangle 19" o:spid="_x0000_s1057" style="position:absolute;left:35162;top:33429;width:9370;height:40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" fillcolor="#5b9bd5" strokecolor="#41719c" strokeweight="1pt">
                  <v:textbox>
                    <w:txbxContent>
                      <w:p w14:paraId="4994B2DE" w14:textId="77777777" w:rsidR="00A677A0" w:rsidRPr="007513CC" w:rsidRDefault="00A677A0" w:rsidP="00AC5750">
                        <w:pPr>
                          <w:pStyle w:val="NormalWeb"/>
                          <w:spacing w:before="0" w:beforeAutospacing="0" w:after="0" w:afterAutospacing="0" w:line="252" w:lineRule="auto"/>
                          <w:jc w:val="center"/>
                          <w:rPr>
                            <w:lang w:val="en-US"/>
                          </w:rPr>
                        </w:pPr>
                        <w:r>
                          <w:rPr>
                            <w:rFonts w:ascii="Calibri" w:eastAsia="Calibri" w:hAnsi="Calibri"/>
                            <w:sz w:val="16"/>
                            <w:szCs w:val="16"/>
                            <w:lang w:val="en-US"/>
                          </w:rPr>
                          <w:t>Wilaya, Rabat Amenagement</w:t>
                        </w:r>
                      </w:p>
                    </w:txbxContent>
                  </v:textbox>
                </v:rect>
                <v:shape id="Content Placeholder 1" o:spid="_x0000_s1058" type="#_x0000_t202" style="position:absolute;top:31239;width:46053;height:82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" filled="f" stroked="f">
                  <v:textbox>
                    <w:txbxContent>
                      <w:p w14:paraId="2EC331FB" w14:textId="61EF096A" w:rsidR="00A677A0" w:rsidRPr="000B0FC5" w:rsidRDefault="00A677A0" w:rsidP="00AC5750">
                        <w:pPr>
                          <w:pStyle w:val="NormalWeb"/>
                          <w:spacing w:before="0" w:beforeAutospacing="0" w:after="0" w:afterAutospacing="0"/>
                          <w:rPr>
                            <w:lang w:val="en-US"/>
                          </w:rPr>
                        </w:pPr>
                        <w:r>
                          <w:rPr>
                            <w:rFonts w:ascii="Calibri" w:eastAsia="Calibri" w:hAnsi="Calibri"/>
                            <w:sz w:val="18"/>
                            <w:szCs w:val="18"/>
                          </w:rPr>
                          <w:tab/>
                        </w:r>
                        <w:r w:rsidRPr="000B0FC5">
                          <w:rPr>
                            <w:rFonts w:ascii="Calibri" w:hAnsi="Calibri"/>
                            <w:color w:val="000000"/>
                            <w:kern w:val="24"/>
                            <w:sz w:val="18"/>
                            <w:szCs w:val="18"/>
                            <w:lang w:val="en-US"/>
                          </w:rPr>
                          <w:t xml:space="preserve">Extended PMU </w:t>
                        </w:r>
                        <w:r>
                          <w:rPr>
                            <w:rFonts w:ascii="Calibri" w:eastAsia="Calibri" w:hAnsi="Calibri"/>
                            <w:sz w:val="18"/>
                            <w:szCs w:val="18"/>
                            <w:lang w:val="en-US"/>
                          </w:rPr>
                          <w:t>Focal P</w:t>
                        </w:r>
                        <w:r w:rsidRPr="000B0FC5">
                          <w:rPr>
                            <w:rFonts w:ascii="Calibri" w:eastAsia="Calibri" w:hAnsi="Calibri"/>
                            <w:sz w:val="18"/>
                            <w:szCs w:val="18"/>
                            <w:lang w:val="en-US"/>
                          </w:rPr>
                          <w:t>oin</w:t>
                        </w:r>
                        <w:r>
                          <w:rPr>
                            <w:rFonts w:ascii="Calibri" w:eastAsia="Calibri" w:hAnsi="Calibri"/>
                            <w:sz w:val="18"/>
                            <w:szCs w:val="18"/>
                            <w:lang w:val="en-US"/>
                          </w:rPr>
                          <w:t>ts of implementing stakeholders</w:t>
                        </w:r>
                        <w:r w:rsidRPr="000B0FC5">
                          <w:rPr>
                            <w:rFonts w:ascii="Calibri" w:eastAsia="Calibri" w:hAnsi="Calibri"/>
                            <w:sz w:val="18"/>
                            <w:szCs w:val="18"/>
                            <w:lang w:val="en-US"/>
                          </w:rPr>
                          <w:t>:</w:t>
                        </w:r>
                      </w:p>
                    </w:txbxContent>
                  </v:textbox>
                </v:shape>
                <w10:anchorlock/>
              </v:group>
            </w:pict>
          </mc:Fallback>
        </mc:AlternateContent>
      </w:r>
    </w:p>
    <w:p w14:paraId="7A570F6D" w14:textId="77777777" w:rsidR="00093AA4" w:rsidRPr="00BC7BB5" w:rsidRDefault="00093AA4" w:rsidP="00093AA4">
      <w:pPr>
        <w:pStyle w:val="ListParagraph"/>
        <w:spacing w:after="0" w:line="240" w:lineRule="auto"/>
        <w:ind w:left="360"/>
        <w:jc w:val="both"/>
        <w:rPr>
          <w:rFonts w:ascii="Times New Roman" w:hAnsi="Times New Roman" w:cs="Times New Roman"/>
          <w:color w:val="000000" w:themeColor="text1"/>
        </w:rPr>
      </w:pPr>
    </w:p>
    <w:p w14:paraId="10604FCD" w14:textId="77777777" w:rsidR="00167AEA" w:rsidRPr="00BC7BB5" w:rsidRDefault="00167AEA" w:rsidP="00167AEA">
      <w:pPr>
        <w:pStyle w:val="NoSpacing"/>
        <w:ind w:left="360"/>
        <w:rPr>
          <w:rFonts w:ascii="Times New Roman" w:hAnsi="Times New Roman" w:cs="Times New Roman"/>
        </w:rPr>
      </w:pPr>
    </w:p>
    <w:p w14:paraId="59E21821" w14:textId="77777777" w:rsidR="00167AEA" w:rsidRPr="00BC7BB5" w:rsidRDefault="00167AEA" w:rsidP="00167AEA">
      <w:pPr>
        <w:pStyle w:val="NoSpacing"/>
        <w:ind w:left="360"/>
        <w:rPr>
          <w:rFonts w:ascii="Times New Roman" w:hAnsi="Times New Roman" w:cs="Times New Roman"/>
        </w:rPr>
      </w:pPr>
    </w:p>
    <w:p w14:paraId="53B2A22A" w14:textId="0649E9D4" w:rsidR="00353F76" w:rsidRPr="00BC7BB5" w:rsidRDefault="001D2940" w:rsidP="00B65FDD">
      <w:pPr>
        <w:jc w:val="both"/>
        <w:rPr>
          <w:rFonts w:ascii="Times New Roman" w:hAnsi="Times New Roman" w:cs="Times New Roman"/>
        </w:rPr>
      </w:pPr>
      <w:r w:rsidRPr="00BC7BB5">
        <w:rPr>
          <w:rFonts w:ascii="Times New Roman" w:hAnsi="Times New Roman" w:cs="Times New Roman"/>
        </w:rPr>
        <w:br w:type="page"/>
      </w:r>
    </w:p>
    <w:p w14:paraId="24F086CE" w14:textId="77777777" w:rsidR="0076605C" w:rsidRPr="00BC7BB5" w:rsidRDefault="0076605C" w:rsidP="008F0A15">
      <w:pPr>
        <w:jc w:val="center"/>
        <w:rPr>
          <w:rFonts w:ascii="Times New Roman" w:hAnsi="Times New Roman" w:cs="Times New Roman"/>
          <w:b/>
        </w:rPr>
        <w:sectPr w:rsidR="0076605C" w:rsidRPr="00BC7BB5" w:rsidSect="0067750E">
          <w:pgSz w:w="12240" w:h="15840"/>
          <w:pgMar w:top="1440" w:right="1440" w:bottom="1440" w:left="1440" w:header="720" w:footer="720" w:gutter="0"/>
          <w:pgNumType w:chapStyle="1"/>
          <w:cols w:space="720"/>
          <w:docGrid w:linePitch="360"/>
        </w:sectPr>
      </w:pPr>
    </w:p>
    <w:p w14:paraId="53B2A22B" w14:textId="18D9CF53" w:rsidR="008F0A15" w:rsidRPr="00BC7BB5" w:rsidRDefault="008F0A15" w:rsidP="005D30EF">
      <w:pPr>
        <w:pStyle w:val="ListParagraph"/>
        <w:ind w:left="0"/>
        <w:jc w:val="center"/>
        <w:outlineLvl w:val="0"/>
        <w:rPr>
          <w:rFonts w:ascii="Times New Roman" w:hAnsi="Times New Roman" w:cs="Times New Roman"/>
          <w:b/>
        </w:rPr>
      </w:pPr>
      <w:bookmarkStart w:id="25" w:name="_Toc499113412"/>
      <w:r w:rsidRPr="00BC7BB5">
        <w:rPr>
          <w:rFonts w:ascii="Times New Roman" w:hAnsi="Times New Roman" w:cs="Times New Roman"/>
          <w:b/>
        </w:rPr>
        <w:lastRenderedPageBreak/>
        <w:t>A</w:t>
      </w:r>
      <w:r w:rsidR="0054579B" w:rsidRPr="00BC7BB5">
        <w:rPr>
          <w:rFonts w:ascii="Times New Roman" w:hAnsi="Times New Roman" w:cs="Times New Roman"/>
          <w:b/>
        </w:rPr>
        <w:t>nnex 2: Results Framework</w:t>
      </w:r>
      <w:bookmarkEnd w:id="25"/>
      <w:r w:rsidRPr="00BC7BB5">
        <w:rPr>
          <w:rFonts w:ascii="Times New Roman" w:hAnsi="Times New Roman" w:cs="Times New Roman"/>
          <w:b/>
        </w:rPr>
        <w:t xml:space="preserve"> </w:t>
      </w:r>
    </w:p>
    <w:tbl>
      <w:tblPr>
        <w:tblStyle w:val="TableGrid1"/>
        <w:tblW w:w="4053" w:type="pct"/>
        <w:jc w:val="center"/>
        <w:tblLayout w:type="fixed"/>
        <w:tblLook w:val="04A0" w:firstRow="1" w:lastRow="0" w:firstColumn="1" w:lastColumn="0" w:noHBand="0" w:noVBand="1"/>
      </w:tblPr>
      <w:tblGrid>
        <w:gridCol w:w="1438"/>
        <w:gridCol w:w="3336"/>
        <w:gridCol w:w="720"/>
        <w:gridCol w:w="1350"/>
        <w:gridCol w:w="2259"/>
        <w:gridCol w:w="1394"/>
      </w:tblGrid>
      <w:tr w:rsidR="007823EE" w:rsidRPr="00BC7BB5" w14:paraId="4223F200" w14:textId="77777777" w:rsidTr="00FA3400">
        <w:trPr>
          <w:jc w:val="center"/>
        </w:trPr>
        <w:tc>
          <w:tcPr>
            <w:tcW w:w="685" w:type="pct"/>
          </w:tcPr>
          <w:p w14:paraId="55EEB475" w14:textId="77777777" w:rsidR="007823EE" w:rsidRPr="00BC7BB5" w:rsidRDefault="007823EE" w:rsidP="00CB471A">
            <w:pPr>
              <w:spacing w:after="120"/>
              <w:jc w:val="center"/>
              <w:rPr>
                <w:rFonts w:ascii="Times New Roman" w:hAnsi="Times New Roman" w:cs="Times New Roman"/>
                <w:b/>
                <w:sz w:val="18"/>
                <w:szCs w:val="18"/>
              </w:rPr>
            </w:pPr>
            <w:r w:rsidRPr="00BC7BB5">
              <w:rPr>
                <w:rFonts w:ascii="Times New Roman" w:hAnsi="Times New Roman" w:cs="Times New Roman"/>
                <w:b/>
                <w:sz w:val="18"/>
                <w:szCs w:val="18"/>
              </w:rPr>
              <w:t xml:space="preserve">Result Areas </w:t>
            </w:r>
          </w:p>
        </w:tc>
        <w:tc>
          <w:tcPr>
            <w:tcW w:w="1589" w:type="pct"/>
          </w:tcPr>
          <w:p w14:paraId="418DD5EE" w14:textId="5C7226FC" w:rsidR="007823EE" w:rsidRPr="00BC7BB5" w:rsidRDefault="007823EE" w:rsidP="00CB471A">
            <w:pPr>
              <w:spacing w:after="120"/>
              <w:jc w:val="center"/>
              <w:rPr>
                <w:rFonts w:ascii="Times New Roman" w:hAnsi="Times New Roman" w:cs="Times New Roman"/>
                <w:b/>
                <w:sz w:val="18"/>
                <w:szCs w:val="18"/>
              </w:rPr>
            </w:pPr>
            <w:r w:rsidRPr="00BC7BB5">
              <w:rPr>
                <w:rFonts w:ascii="Times New Roman" w:hAnsi="Times New Roman" w:cs="Times New Roman"/>
                <w:b/>
                <w:sz w:val="18"/>
                <w:szCs w:val="18"/>
              </w:rPr>
              <w:t>Results Indicators</w:t>
            </w:r>
          </w:p>
        </w:tc>
        <w:tc>
          <w:tcPr>
            <w:tcW w:w="343" w:type="pct"/>
          </w:tcPr>
          <w:p w14:paraId="7954D4BD" w14:textId="77777777" w:rsidR="007823EE" w:rsidRPr="00BC7BB5" w:rsidRDefault="007823EE" w:rsidP="00CB471A">
            <w:pPr>
              <w:spacing w:after="120"/>
              <w:jc w:val="center"/>
              <w:rPr>
                <w:rFonts w:ascii="Times New Roman" w:hAnsi="Times New Roman" w:cs="Times New Roman"/>
                <w:b/>
                <w:sz w:val="18"/>
                <w:szCs w:val="18"/>
              </w:rPr>
            </w:pPr>
            <w:r w:rsidRPr="00BC7BB5">
              <w:rPr>
                <w:rFonts w:ascii="Times New Roman" w:hAnsi="Times New Roman" w:cs="Times New Roman"/>
                <w:b/>
                <w:sz w:val="18"/>
                <w:szCs w:val="18"/>
              </w:rPr>
              <w:t>DLI #</w:t>
            </w:r>
          </w:p>
        </w:tc>
        <w:tc>
          <w:tcPr>
            <w:tcW w:w="643" w:type="pct"/>
          </w:tcPr>
          <w:p w14:paraId="4672493A" w14:textId="77777777" w:rsidR="007823EE" w:rsidRPr="00BC7BB5" w:rsidRDefault="007823EE" w:rsidP="00CB471A">
            <w:pPr>
              <w:spacing w:after="120"/>
              <w:jc w:val="center"/>
              <w:rPr>
                <w:rFonts w:ascii="Times New Roman" w:hAnsi="Times New Roman" w:cs="Times New Roman"/>
                <w:b/>
                <w:sz w:val="18"/>
                <w:szCs w:val="18"/>
              </w:rPr>
            </w:pPr>
            <w:r w:rsidRPr="00BC7BB5">
              <w:rPr>
                <w:rFonts w:ascii="Times New Roman" w:hAnsi="Times New Roman" w:cs="Times New Roman"/>
                <w:b/>
                <w:sz w:val="18"/>
                <w:szCs w:val="18"/>
              </w:rPr>
              <w:t xml:space="preserve">Unit of </w:t>
            </w:r>
          </w:p>
          <w:p w14:paraId="29700592" w14:textId="77777777" w:rsidR="007823EE" w:rsidRPr="00BC7BB5" w:rsidRDefault="007823EE" w:rsidP="00CB471A">
            <w:pPr>
              <w:spacing w:after="120"/>
              <w:jc w:val="center"/>
              <w:rPr>
                <w:rFonts w:ascii="Times New Roman" w:hAnsi="Times New Roman" w:cs="Times New Roman"/>
                <w:b/>
                <w:sz w:val="18"/>
                <w:szCs w:val="18"/>
              </w:rPr>
            </w:pPr>
            <w:r w:rsidRPr="00BC7BB5">
              <w:rPr>
                <w:rFonts w:ascii="Times New Roman" w:hAnsi="Times New Roman" w:cs="Times New Roman"/>
                <w:b/>
                <w:sz w:val="18"/>
                <w:szCs w:val="18"/>
              </w:rPr>
              <w:t>Measurement</w:t>
            </w:r>
          </w:p>
        </w:tc>
        <w:tc>
          <w:tcPr>
            <w:tcW w:w="1076" w:type="pct"/>
          </w:tcPr>
          <w:p w14:paraId="4992812A" w14:textId="28131C3C" w:rsidR="007823EE" w:rsidRPr="00BC7BB5" w:rsidRDefault="007823EE" w:rsidP="00CB471A">
            <w:pPr>
              <w:spacing w:after="120"/>
              <w:jc w:val="center"/>
              <w:rPr>
                <w:rFonts w:ascii="Times New Roman" w:hAnsi="Times New Roman" w:cs="Times New Roman"/>
                <w:b/>
                <w:sz w:val="18"/>
                <w:szCs w:val="18"/>
              </w:rPr>
            </w:pPr>
            <w:r w:rsidRPr="00BC7BB5">
              <w:rPr>
                <w:rFonts w:ascii="Times New Roman" w:hAnsi="Times New Roman" w:cs="Times New Roman"/>
                <w:b/>
                <w:sz w:val="18"/>
                <w:szCs w:val="18"/>
              </w:rPr>
              <w:t>Baseline</w:t>
            </w:r>
          </w:p>
          <w:p w14:paraId="1471FAE8" w14:textId="1CE7486A" w:rsidR="007823EE" w:rsidRPr="00BC7BB5" w:rsidRDefault="007823EE" w:rsidP="00474AAB">
            <w:pPr>
              <w:spacing w:after="120"/>
              <w:jc w:val="center"/>
              <w:rPr>
                <w:rFonts w:ascii="Times New Roman" w:hAnsi="Times New Roman" w:cs="Times New Roman"/>
                <w:b/>
                <w:sz w:val="18"/>
                <w:szCs w:val="18"/>
              </w:rPr>
            </w:pPr>
            <w:r w:rsidRPr="00BC7BB5">
              <w:rPr>
                <w:rFonts w:ascii="Times New Roman" w:hAnsi="Times New Roman" w:cs="Times New Roman"/>
                <w:b/>
                <w:sz w:val="18"/>
                <w:szCs w:val="18"/>
              </w:rPr>
              <w:t>(2017)</w:t>
            </w:r>
            <w:r w:rsidRPr="00BC7BB5">
              <w:rPr>
                <w:rStyle w:val="FootnoteReference"/>
                <w:rFonts w:ascii="Times New Roman" w:hAnsi="Times New Roman" w:cs="Times New Roman"/>
                <w:b/>
                <w:sz w:val="18"/>
                <w:szCs w:val="18"/>
              </w:rPr>
              <w:footnoteReference w:id="22"/>
            </w:r>
          </w:p>
        </w:tc>
        <w:tc>
          <w:tcPr>
            <w:tcW w:w="664" w:type="pct"/>
          </w:tcPr>
          <w:p w14:paraId="73B3572B" w14:textId="77777777" w:rsidR="007823EE" w:rsidRPr="00BC7BB5" w:rsidRDefault="007823EE" w:rsidP="00CB471A">
            <w:pPr>
              <w:spacing w:after="120"/>
              <w:jc w:val="center"/>
              <w:rPr>
                <w:rFonts w:ascii="Times New Roman" w:hAnsi="Times New Roman" w:cs="Times New Roman"/>
                <w:b/>
                <w:sz w:val="18"/>
                <w:szCs w:val="18"/>
              </w:rPr>
            </w:pPr>
            <w:r w:rsidRPr="00BC7BB5">
              <w:rPr>
                <w:rFonts w:ascii="Times New Roman" w:hAnsi="Times New Roman" w:cs="Times New Roman"/>
                <w:b/>
                <w:sz w:val="18"/>
                <w:szCs w:val="18"/>
              </w:rPr>
              <w:t>End Target (2022)</w:t>
            </w:r>
          </w:p>
        </w:tc>
      </w:tr>
      <w:tr w:rsidR="007823EE" w:rsidRPr="00BC7BB5" w14:paraId="7C8E7A64" w14:textId="77777777" w:rsidTr="00FA3400">
        <w:trPr>
          <w:jc w:val="center"/>
        </w:trPr>
        <w:tc>
          <w:tcPr>
            <w:tcW w:w="2274" w:type="pct"/>
            <w:gridSpan w:val="2"/>
          </w:tcPr>
          <w:p w14:paraId="795C82BC" w14:textId="54F0603C" w:rsidR="007823EE" w:rsidRPr="00BC7BB5" w:rsidRDefault="007823EE" w:rsidP="00FA2933">
            <w:pPr>
              <w:rPr>
                <w:rFonts w:ascii="Times New Roman" w:hAnsi="Times New Roman" w:cs="Times New Roman"/>
                <w:sz w:val="18"/>
                <w:szCs w:val="18"/>
              </w:rPr>
            </w:pPr>
            <w:r w:rsidRPr="00FA3400">
              <w:rPr>
                <w:rFonts w:ascii="Times New Roman" w:hAnsi="Times New Roman" w:cs="Times New Roman"/>
                <w:b/>
                <w:sz w:val="18"/>
                <w:szCs w:val="18"/>
              </w:rPr>
              <w:t>PDO Indicator 1</w:t>
            </w:r>
            <w:r w:rsidRPr="00BC7BB5">
              <w:rPr>
                <w:rFonts w:ascii="Times New Roman" w:hAnsi="Times New Roman" w:cs="Times New Roman"/>
                <w:sz w:val="18"/>
                <w:szCs w:val="18"/>
              </w:rPr>
              <w:t>: Volume of conditioned and exported citrus</w:t>
            </w:r>
          </w:p>
          <w:p w14:paraId="24A8CD38" w14:textId="77777777" w:rsidR="007823EE" w:rsidRPr="00BC7BB5" w:rsidRDefault="007823EE" w:rsidP="00FA2933">
            <w:pPr>
              <w:rPr>
                <w:rFonts w:ascii="Times New Roman" w:hAnsi="Times New Roman" w:cs="Times New Roman"/>
                <w:sz w:val="18"/>
                <w:szCs w:val="18"/>
              </w:rPr>
            </w:pPr>
          </w:p>
          <w:p w14:paraId="6D1067C5" w14:textId="75844555" w:rsidR="007823EE" w:rsidRPr="00BC7BB5" w:rsidRDefault="007823EE" w:rsidP="003870AF">
            <w:pPr>
              <w:rPr>
                <w:rFonts w:ascii="Times New Roman" w:hAnsi="Times New Roman" w:cs="Times New Roman"/>
                <w:sz w:val="18"/>
                <w:szCs w:val="18"/>
              </w:rPr>
            </w:pPr>
            <w:r w:rsidRPr="00FA3400">
              <w:rPr>
                <w:rFonts w:ascii="Times New Roman" w:hAnsi="Times New Roman" w:cs="Times New Roman"/>
                <w:b/>
                <w:sz w:val="18"/>
                <w:szCs w:val="18"/>
              </w:rPr>
              <w:t>PDO Indicator 2</w:t>
            </w:r>
            <w:r w:rsidRPr="00BC7BB5">
              <w:rPr>
                <w:rFonts w:ascii="Times New Roman" w:hAnsi="Times New Roman" w:cs="Times New Roman"/>
                <w:sz w:val="18"/>
                <w:szCs w:val="18"/>
              </w:rPr>
              <w:t>: Volume of conditioned and exported olives</w:t>
            </w:r>
          </w:p>
          <w:p w14:paraId="363D3478" w14:textId="77777777" w:rsidR="007823EE" w:rsidRPr="00BC7BB5" w:rsidRDefault="007823EE" w:rsidP="003870AF">
            <w:pPr>
              <w:rPr>
                <w:rFonts w:ascii="Times New Roman" w:hAnsi="Times New Roman" w:cs="Times New Roman"/>
                <w:sz w:val="18"/>
                <w:szCs w:val="18"/>
              </w:rPr>
            </w:pPr>
          </w:p>
          <w:p w14:paraId="5369F7B5" w14:textId="66734BB5" w:rsidR="007823EE" w:rsidRPr="00BC7BB5" w:rsidRDefault="007823EE" w:rsidP="00441ECB">
            <w:pPr>
              <w:spacing w:after="120"/>
              <w:rPr>
                <w:rFonts w:ascii="Times New Roman" w:hAnsi="Times New Roman" w:cs="Times New Roman"/>
                <w:sz w:val="18"/>
                <w:szCs w:val="18"/>
              </w:rPr>
            </w:pPr>
            <w:r w:rsidRPr="00FA3400">
              <w:rPr>
                <w:rFonts w:ascii="Times New Roman" w:hAnsi="Times New Roman" w:cs="Times New Roman"/>
                <w:b/>
                <w:sz w:val="18"/>
                <w:szCs w:val="18"/>
              </w:rPr>
              <w:t>PDO Indicator 3</w:t>
            </w:r>
            <w:r w:rsidRPr="00BC7BB5">
              <w:rPr>
                <w:rFonts w:ascii="Times New Roman" w:hAnsi="Times New Roman" w:cs="Times New Roman"/>
                <w:sz w:val="18"/>
                <w:szCs w:val="18"/>
              </w:rPr>
              <w:t>: Volume of high quality olive oil commercialized</w:t>
            </w:r>
          </w:p>
        </w:tc>
        <w:tc>
          <w:tcPr>
            <w:tcW w:w="343" w:type="pct"/>
            <w:shd w:val="clear" w:color="auto" w:fill="auto"/>
          </w:tcPr>
          <w:p w14:paraId="2350C83A" w14:textId="77777777" w:rsidR="007823EE" w:rsidRPr="00BC7BB5" w:rsidRDefault="007823EE" w:rsidP="00CB471A">
            <w:pPr>
              <w:jc w:val="center"/>
              <w:rPr>
                <w:rFonts w:ascii="Times New Roman" w:hAnsi="Times New Roman" w:cs="Times New Roman"/>
                <w:b/>
                <w:sz w:val="18"/>
                <w:szCs w:val="18"/>
              </w:rPr>
            </w:pPr>
            <w:r w:rsidRPr="00BC7BB5">
              <w:rPr>
                <w:rFonts w:ascii="Times New Roman" w:hAnsi="Times New Roman" w:cs="Times New Roman"/>
                <w:b/>
                <w:sz w:val="18"/>
                <w:szCs w:val="18"/>
              </w:rPr>
              <w:t>--</w:t>
            </w:r>
          </w:p>
        </w:tc>
        <w:tc>
          <w:tcPr>
            <w:tcW w:w="643" w:type="pct"/>
            <w:shd w:val="clear" w:color="auto" w:fill="auto"/>
          </w:tcPr>
          <w:p w14:paraId="6D1E1B01" w14:textId="118CA815" w:rsidR="007823EE" w:rsidRPr="00BC7BB5" w:rsidRDefault="007823EE" w:rsidP="00CB471A">
            <w:pPr>
              <w:jc w:val="center"/>
              <w:rPr>
                <w:rFonts w:ascii="Times New Roman" w:hAnsi="Times New Roman" w:cs="Times New Roman"/>
                <w:b/>
                <w:sz w:val="18"/>
                <w:szCs w:val="18"/>
              </w:rPr>
            </w:pPr>
            <w:r>
              <w:rPr>
                <w:rFonts w:ascii="Times New Roman" w:hAnsi="Times New Roman" w:cs="Times New Roman"/>
                <w:b/>
                <w:sz w:val="18"/>
                <w:szCs w:val="18"/>
              </w:rPr>
              <w:t>MT</w:t>
            </w:r>
          </w:p>
          <w:p w14:paraId="36FEEF92" w14:textId="77777777" w:rsidR="007823EE" w:rsidRPr="00BC7BB5" w:rsidRDefault="007823EE" w:rsidP="00CB471A">
            <w:pPr>
              <w:jc w:val="center"/>
              <w:rPr>
                <w:rFonts w:ascii="Times New Roman" w:hAnsi="Times New Roman" w:cs="Times New Roman"/>
                <w:b/>
                <w:sz w:val="18"/>
                <w:szCs w:val="18"/>
              </w:rPr>
            </w:pPr>
          </w:p>
        </w:tc>
        <w:tc>
          <w:tcPr>
            <w:tcW w:w="1076" w:type="pct"/>
            <w:shd w:val="clear" w:color="auto" w:fill="auto"/>
          </w:tcPr>
          <w:p w14:paraId="6D3997C4" w14:textId="5CF0D564" w:rsidR="007823EE" w:rsidRPr="00BC7BB5" w:rsidRDefault="007823EE" w:rsidP="00FA2933">
            <w:pPr>
              <w:jc w:val="center"/>
              <w:rPr>
                <w:rFonts w:ascii="Times New Roman" w:hAnsi="Times New Roman" w:cs="Times New Roman"/>
                <w:bCs/>
                <w:sz w:val="18"/>
                <w:szCs w:val="18"/>
              </w:rPr>
            </w:pPr>
            <w:r w:rsidRPr="00BC7BB5">
              <w:rPr>
                <w:rFonts w:ascii="Times New Roman" w:hAnsi="Times New Roman" w:cs="Times New Roman"/>
                <w:bCs/>
                <w:sz w:val="18"/>
                <w:szCs w:val="18"/>
              </w:rPr>
              <w:t>556,800</w:t>
            </w:r>
          </w:p>
          <w:p w14:paraId="1E373E36" w14:textId="77777777" w:rsidR="007823EE" w:rsidRPr="00BC7BB5" w:rsidRDefault="007823EE" w:rsidP="00FA2933">
            <w:pPr>
              <w:jc w:val="center"/>
              <w:rPr>
                <w:rFonts w:ascii="Times New Roman" w:hAnsi="Times New Roman" w:cs="Times New Roman"/>
                <w:bCs/>
                <w:sz w:val="18"/>
                <w:szCs w:val="18"/>
              </w:rPr>
            </w:pPr>
          </w:p>
          <w:p w14:paraId="55803157" w14:textId="4AD53E7F" w:rsidR="007823EE" w:rsidRPr="00BC7BB5" w:rsidRDefault="007823EE" w:rsidP="00FA2933">
            <w:pPr>
              <w:jc w:val="center"/>
              <w:rPr>
                <w:rFonts w:ascii="Times New Roman" w:hAnsi="Times New Roman" w:cs="Times New Roman"/>
                <w:bCs/>
                <w:sz w:val="18"/>
                <w:szCs w:val="18"/>
              </w:rPr>
            </w:pPr>
            <w:r w:rsidRPr="00BC7BB5">
              <w:rPr>
                <w:rFonts w:ascii="Times New Roman" w:hAnsi="Times New Roman" w:cs="Times New Roman"/>
                <w:bCs/>
                <w:sz w:val="18"/>
                <w:szCs w:val="18"/>
              </w:rPr>
              <w:t>73,129</w:t>
            </w:r>
          </w:p>
          <w:p w14:paraId="71CB7D8D" w14:textId="77777777" w:rsidR="007823EE" w:rsidRPr="00BC7BB5" w:rsidRDefault="007823EE" w:rsidP="00FA2933">
            <w:pPr>
              <w:jc w:val="center"/>
              <w:rPr>
                <w:rFonts w:ascii="Times New Roman" w:hAnsi="Times New Roman" w:cs="Times New Roman"/>
                <w:bCs/>
                <w:sz w:val="18"/>
                <w:szCs w:val="18"/>
              </w:rPr>
            </w:pPr>
          </w:p>
          <w:p w14:paraId="31F1A941" w14:textId="518F0598" w:rsidR="007823EE" w:rsidRPr="00BC7BB5" w:rsidRDefault="007823EE" w:rsidP="00FA2933">
            <w:pPr>
              <w:jc w:val="center"/>
              <w:rPr>
                <w:rFonts w:ascii="Times New Roman" w:hAnsi="Times New Roman" w:cs="Times New Roman"/>
                <w:b/>
                <w:sz w:val="18"/>
                <w:szCs w:val="18"/>
              </w:rPr>
            </w:pPr>
            <w:r w:rsidRPr="00BC7BB5">
              <w:rPr>
                <w:rFonts w:ascii="Times New Roman" w:hAnsi="Times New Roman" w:cs="Times New Roman"/>
                <w:sz w:val="18"/>
                <w:szCs w:val="18"/>
              </w:rPr>
              <w:t>10,000</w:t>
            </w:r>
            <w:r w:rsidRPr="00BC7BB5">
              <w:rPr>
                <w:rStyle w:val="FootnoteReference"/>
                <w:rFonts w:ascii="Times New Roman" w:hAnsi="Times New Roman" w:cs="Times New Roman"/>
                <w:sz w:val="18"/>
                <w:szCs w:val="18"/>
              </w:rPr>
              <w:footnoteReference w:id="23"/>
            </w:r>
          </w:p>
        </w:tc>
        <w:tc>
          <w:tcPr>
            <w:tcW w:w="664" w:type="pct"/>
            <w:shd w:val="clear" w:color="auto" w:fill="auto"/>
          </w:tcPr>
          <w:p w14:paraId="1EF6E381" w14:textId="6ADFAD4F" w:rsidR="007823EE" w:rsidRPr="00BC7BB5" w:rsidRDefault="007823EE" w:rsidP="00FA2933">
            <w:pPr>
              <w:jc w:val="center"/>
              <w:rPr>
                <w:rFonts w:ascii="Times New Roman" w:hAnsi="Times New Roman" w:cs="Times New Roman"/>
                <w:sz w:val="18"/>
                <w:szCs w:val="18"/>
              </w:rPr>
            </w:pPr>
            <w:r w:rsidRPr="00BC7BB5">
              <w:rPr>
                <w:rFonts w:ascii="Times New Roman" w:hAnsi="Times New Roman" w:cs="Times New Roman"/>
                <w:sz w:val="18"/>
                <w:szCs w:val="18"/>
              </w:rPr>
              <w:t>750,000</w:t>
            </w:r>
          </w:p>
          <w:p w14:paraId="2208B227" w14:textId="77777777" w:rsidR="007823EE" w:rsidRPr="00BC7BB5" w:rsidRDefault="007823EE" w:rsidP="00FA2933">
            <w:pPr>
              <w:jc w:val="center"/>
              <w:rPr>
                <w:rFonts w:ascii="Times New Roman" w:hAnsi="Times New Roman" w:cs="Times New Roman"/>
                <w:sz w:val="18"/>
                <w:szCs w:val="18"/>
              </w:rPr>
            </w:pPr>
          </w:p>
          <w:p w14:paraId="1F927659" w14:textId="26D8EB07" w:rsidR="007823EE" w:rsidRPr="00BC7BB5" w:rsidRDefault="007823EE" w:rsidP="00FA2933">
            <w:pPr>
              <w:jc w:val="center"/>
              <w:rPr>
                <w:rFonts w:ascii="Times New Roman" w:hAnsi="Times New Roman" w:cs="Times New Roman"/>
                <w:sz w:val="18"/>
                <w:szCs w:val="18"/>
              </w:rPr>
            </w:pPr>
            <w:r w:rsidRPr="00BC7BB5">
              <w:rPr>
                <w:rFonts w:ascii="Times New Roman" w:hAnsi="Times New Roman" w:cs="Times New Roman"/>
                <w:sz w:val="18"/>
                <w:szCs w:val="18"/>
              </w:rPr>
              <w:t>98,000</w:t>
            </w:r>
          </w:p>
          <w:p w14:paraId="6ABD429B" w14:textId="77777777" w:rsidR="007823EE" w:rsidRPr="00BC7BB5" w:rsidRDefault="007823EE" w:rsidP="00FA2933">
            <w:pPr>
              <w:jc w:val="center"/>
              <w:rPr>
                <w:rFonts w:ascii="Times New Roman" w:hAnsi="Times New Roman" w:cs="Times New Roman"/>
                <w:sz w:val="18"/>
                <w:szCs w:val="18"/>
              </w:rPr>
            </w:pPr>
          </w:p>
          <w:p w14:paraId="48F510B3" w14:textId="6CBB17F6" w:rsidR="007823EE" w:rsidRPr="00BC7BB5" w:rsidRDefault="007823EE" w:rsidP="00FA2933">
            <w:pPr>
              <w:jc w:val="center"/>
              <w:rPr>
                <w:rFonts w:ascii="Times New Roman" w:hAnsi="Times New Roman" w:cs="Times New Roman"/>
                <w:sz w:val="18"/>
                <w:szCs w:val="18"/>
              </w:rPr>
            </w:pPr>
            <w:r w:rsidRPr="00BC7BB5">
              <w:rPr>
                <w:rFonts w:ascii="Times New Roman" w:hAnsi="Times New Roman" w:cs="Times New Roman"/>
                <w:sz w:val="18"/>
                <w:szCs w:val="18"/>
              </w:rPr>
              <w:t>20,000</w:t>
            </w:r>
          </w:p>
        </w:tc>
      </w:tr>
      <w:tr w:rsidR="007823EE" w:rsidRPr="00BC7BB5" w14:paraId="5DAF5850" w14:textId="77777777" w:rsidTr="00FA3400">
        <w:trPr>
          <w:jc w:val="center"/>
        </w:trPr>
        <w:tc>
          <w:tcPr>
            <w:tcW w:w="685" w:type="pct"/>
            <w:vMerge w:val="restart"/>
          </w:tcPr>
          <w:p w14:paraId="1A7C4496" w14:textId="77777777" w:rsidR="007823EE" w:rsidRPr="00BC7BB5" w:rsidRDefault="007823EE" w:rsidP="003870AF">
            <w:pPr>
              <w:spacing w:after="120"/>
              <w:rPr>
                <w:rFonts w:ascii="Times New Roman" w:hAnsi="Times New Roman" w:cs="Times New Roman"/>
                <w:b/>
                <w:sz w:val="18"/>
                <w:szCs w:val="18"/>
              </w:rPr>
            </w:pPr>
            <w:r w:rsidRPr="00BC7BB5">
              <w:rPr>
                <w:rFonts w:ascii="Times New Roman" w:hAnsi="Times New Roman" w:cs="Times New Roman"/>
                <w:b/>
                <w:sz w:val="18"/>
                <w:szCs w:val="18"/>
              </w:rPr>
              <w:t>Result Area 1:</w:t>
            </w:r>
          </w:p>
          <w:p w14:paraId="1C72D6DD" w14:textId="2C5FDDA0" w:rsidR="007823EE" w:rsidRPr="00BC7BB5" w:rsidRDefault="007823EE" w:rsidP="003870AF">
            <w:pPr>
              <w:spacing w:after="120"/>
              <w:rPr>
                <w:rFonts w:ascii="Times New Roman" w:hAnsi="Times New Roman" w:cs="Times New Roman"/>
                <w:b/>
                <w:sz w:val="18"/>
                <w:szCs w:val="18"/>
              </w:rPr>
            </w:pPr>
            <w:r w:rsidRPr="00BC7BB5">
              <w:rPr>
                <w:rFonts w:ascii="Times New Roman" w:hAnsi="Times New Roman" w:cs="Times New Roman"/>
                <w:b/>
                <w:sz w:val="18"/>
                <w:szCs w:val="18"/>
              </w:rPr>
              <w:t>Increased market efficiency and integration</w:t>
            </w:r>
          </w:p>
        </w:tc>
        <w:tc>
          <w:tcPr>
            <w:tcW w:w="1589" w:type="pct"/>
            <w:shd w:val="clear" w:color="auto" w:fill="auto"/>
          </w:tcPr>
          <w:p w14:paraId="7CA9A51D" w14:textId="4B71763D" w:rsidR="007823EE" w:rsidRPr="00BC7BB5" w:rsidRDefault="007823EE" w:rsidP="00CB471A">
            <w:pPr>
              <w:spacing w:after="120"/>
              <w:rPr>
                <w:rFonts w:ascii="Times New Roman" w:hAnsi="Times New Roman" w:cs="Times New Roman"/>
                <w:sz w:val="18"/>
                <w:szCs w:val="18"/>
              </w:rPr>
            </w:pPr>
            <w:r w:rsidRPr="00BC7BB5">
              <w:rPr>
                <w:rFonts w:ascii="Times New Roman" w:hAnsi="Times New Roman" w:cs="Times New Roman"/>
                <w:b/>
                <w:sz w:val="18"/>
                <w:szCs w:val="18"/>
              </w:rPr>
              <w:t>IR Indicator 1.1</w:t>
            </w:r>
            <w:r w:rsidRPr="00BC7BB5">
              <w:rPr>
                <w:rFonts w:ascii="Times New Roman" w:hAnsi="Times New Roman" w:cs="Times New Roman"/>
                <w:sz w:val="18"/>
                <w:szCs w:val="18"/>
              </w:rPr>
              <w:t>: Interprofes</w:t>
            </w:r>
            <w:r>
              <w:rPr>
                <w:rFonts w:ascii="Times New Roman" w:hAnsi="Times New Roman" w:cs="Times New Roman"/>
                <w:sz w:val="18"/>
                <w:szCs w:val="18"/>
              </w:rPr>
              <w:t>sions with business plans approved and intra-branch agreements adopted</w:t>
            </w:r>
            <w:r w:rsidRPr="00BC7BB5">
              <w:rPr>
                <w:rFonts w:ascii="Times New Roman" w:hAnsi="Times New Roman" w:cs="Times New Roman"/>
                <w:sz w:val="18"/>
                <w:szCs w:val="18"/>
              </w:rPr>
              <w:t xml:space="preserve"> to ensure sustainability </w:t>
            </w:r>
          </w:p>
        </w:tc>
        <w:tc>
          <w:tcPr>
            <w:tcW w:w="343" w:type="pct"/>
            <w:shd w:val="clear" w:color="auto" w:fill="auto"/>
          </w:tcPr>
          <w:p w14:paraId="13304429" w14:textId="77777777" w:rsidR="007823EE" w:rsidRPr="00BC7BB5" w:rsidRDefault="007823EE" w:rsidP="00CB471A">
            <w:pPr>
              <w:spacing w:after="120"/>
              <w:jc w:val="center"/>
              <w:rPr>
                <w:rFonts w:ascii="Times New Roman" w:hAnsi="Times New Roman" w:cs="Times New Roman"/>
                <w:b/>
                <w:sz w:val="18"/>
                <w:szCs w:val="18"/>
              </w:rPr>
            </w:pPr>
            <w:r w:rsidRPr="00BC7BB5">
              <w:rPr>
                <w:rFonts w:ascii="Times New Roman" w:hAnsi="Times New Roman" w:cs="Times New Roman"/>
                <w:b/>
                <w:sz w:val="18"/>
                <w:szCs w:val="18"/>
              </w:rPr>
              <w:t>1</w:t>
            </w:r>
          </w:p>
        </w:tc>
        <w:tc>
          <w:tcPr>
            <w:tcW w:w="643" w:type="pct"/>
            <w:shd w:val="clear" w:color="auto" w:fill="auto"/>
          </w:tcPr>
          <w:p w14:paraId="3DB38314" w14:textId="77777777" w:rsidR="007823EE" w:rsidRPr="00BC7BB5" w:rsidRDefault="007823EE" w:rsidP="00CB471A">
            <w:pPr>
              <w:spacing w:after="120"/>
              <w:jc w:val="center"/>
              <w:rPr>
                <w:rFonts w:ascii="Times New Roman" w:hAnsi="Times New Roman" w:cs="Times New Roman"/>
                <w:b/>
                <w:sz w:val="18"/>
                <w:szCs w:val="18"/>
              </w:rPr>
            </w:pPr>
            <w:r w:rsidRPr="00BC7BB5">
              <w:rPr>
                <w:rFonts w:ascii="Times New Roman" w:hAnsi="Times New Roman" w:cs="Times New Roman"/>
                <w:b/>
                <w:sz w:val="18"/>
                <w:szCs w:val="18"/>
              </w:rPr>
              <w:t>Number</w:t>
            </w:r>
          </w:p>
        </w:tc>
        <w:tc>
          <w:tcPr>
            <w:tcW w:w="1076" w:type="pct"/>
            <w:shd w:val="clear" w:color="auto" w:fill="auto"/>
          </w:tcPr>
          <w:p w14:paraId="2AB87A39" w14:textId="77777777" w:rsidR="007823EE" w:rsidRPr="00BC7BB5" w:rsidRDefault="007823EE" w:rsidP="00CB471A">
            <w:pPr>
              <w:spacing w:after="120"/>
              <w:jc w:val="center"/>
              <w:rPr>
                <w:rFonts w:ascii="Times New Roman" w:hAnsi="Times New Roman" w:cs="Times New Roman"/>
                <w:sz w:val="18"/>
                <w:szCs w:val="18"/>
              </w:rPr>
            </w:pPr>
            <w:r w:rsidRPr="00BC7BB5">
              <w:rPr>
                <w:rFonts w:ascii="Times New Roman" w:hAnsi="Times New Roman" w:cs="Times New Roman"/>
                <w:sz w:val="18"/>
                <w:szCs w:val="18"/>
              </w:rPr>
              <w:t>0</w:t>
            </w:r>
          </w:p>
        </w:tc>
        <w:tc>
          <w:tcPr>
            <w:tcW w:w="664" w:type="pct"/>
            <w:shd w:val="clear" w:color="auto" w:fill="auto"/>
          </w:tcPr>
          <w:p w14:paraId="02359C07" w14:textId="77777777" w:rsidR="007823EE" w:rsidRPr="00BC7BB5" w:rsidRDefault="007823EE" w:rsidP="00CB471A">
            <w:pPr>
              <w:spacing w:after="120"/>
              <w:jc w:val="center"/>
              <w:rPr>
                <w:rFonts w:ascii="Times New Roman" w:hAnsi="Times New Roman" w:cs="Times New Roman"/>
                <w:sz w:val="18"/>
                <w:szCs w:val="18"/>
              </w:rPr>
            </w:pPr>
            <w:r w:rsidRPr="00BC7BB5">
              <w:rPr>
                <w:rFonts w:ascii="Times New Roman" w:hAnsi="Times New Roman" w:cs="Times New Roman"/>
                <w:sz w:val="18"/>
                <w:szCs w:val="18"/>
              </w:rPr>
              <w:t>2</w:t>
            </w:r>
          </w:p>
        </w:tc>
      </w:tr>
      <w:tr w:rsidR="007823EE" w:rsidRPr="00BC7BB5" w14:paraId="17B14629" w14:textId="77777777" w:rsidTr="00FA3400">
        <w:trPr>
          <w:trHeight w:val="50"/>
          <w:jc w:val="center"/>
        </w:trPr>
        <w:tc>
          <w:tcPr>
            <w:tcW w:w="685" w:type="pct"/>
            <w:vMerge/>
          </w:tcPr>
          <w:p w14:paraId="4DB45B8F" w14:textId="77777777" w:rsidR="007823EE" w:rsidRPr="00BC7BB5" w:rsidRDefault="007823EE" w:rsidP="00CB471A">
            <w:pPr>
              <w:spacing w:after="120"/>
              <w:rPr>
                <w:rFonts w:ascii="Times New Roman" w:hAnsi="Times New Roman" w:cs="Times New Roman"/>
                <w:b/>
                <w:sz w:val="18"/>
                <w:szCs w:val="18"/>
              </w:rPr>
            </w:pPr>
          </w:p>
        </w:tc>
        <w:tc>
          <w:tcPr>
            <w:tcW w:w="1589" w:type="pct"/>
            <w:shd w:val="clear" w:color="auto" w:fill="auto"/>
          </w:tcPr>
          <w:p w14:paraId="1B2952AB" w14:textId="483120F7" w:rsidR="007823EE" w:rsidRPr="00BC7BB5" w:rsidRDefault="007823EE" w:rsidP="00CB471A">
            <w:pPr>
              <w:spacing w:after="120"/>
              <w:rPr>
                <w:rFonts w:ascii="Times New Roman" w:hAnsi="Times New Roman" w:cs="Times New Roman"/>
                <w:sz w:val="18"/>
                <w:szCs w:val="18"/>
              </w:rPr>
            </w:pPr>
            <w:r w:rsidRPr="00BC7BB5">
              <w:rPr>
                <w:rFonts w:ascii="Times New Roman" w:hAnsi="Times New Roman" w:cs="Times New Roman"/>
                <w:b/>
                <w:sz w:val="18"/>
                <w:szCs w:val="18"/>
              </w:rPr>
              <w:t>IR Indicator 1.2</w:t>
            </w:r>
            <w:r w:rsidRPr="00BC7BB5">
              <w:rPr>
                <w:rFonts w:ascii="Times New Roman" w:hAnsi="Times New Roman" w:cs="Times New Roman"/>
                <w:sz w:val="18"/>
                <w:szCs w:val="18"/>
              </w:rPr>
              <w:t xml:space="preserve">: Private investments in conditioning, </w:t>
            </w:r>
            <w:r>
              <w:rPr>
                <w:rFonts w:ascii="Times New Roman" w:hAnsi="Times New Roman" w:cs="Times New Roman"/>
                <w:sz w:val="18"/>
                <w:szCs w:val="18"/>
              </w:rPr>
              <w:t xml:space="preserve">cold </w:t>
            </w:r>
            <w:r w:rsidRPr="00BC7BB5">
              <w:rPr>
                <w:rFonts w:ascii="Times New Roman" w:hAnsi="Times New Roman" w:cs="Times New Roman"/>
                <w:sz w:val="18"/>
                <w:szCs w:val="18"/>
              </w:rPr>
              <w:t>storage and processing units (olive, citrus) gener</w:t>
            </w:r>
            <w:r>
              <w:rPr>
                <w:rFonts w:ascii="Times New Roman" w:hAnsi="Times New Roman" w:cs="Times New Roman"/>
                <w:sz w:val="18"/>
                <w:szCs w:val="18"/>
              </w:rPr>
              <w:t>ated through FDA</w:t>
            </w:r>
            <w:r w:rsidRPr="00BC7BB5">
              <w:rPr>
                <w:rFonts w:ascii="Times New Roman" w:hAnsi="Times New Roman" w:cs="Times New Roman"/>
                <w:sz w:val="18"/>
                <w:szCs w:val="18"/>
              </w:rPr>
              <w:t xml:space="preserve"> incentives</w:t>
            </w:r>
          </w:p>
        </w:tc>
        <w:tc>
          <w:tcPr>
            <w:tcW w:w="343" w:type="pct"/>
            <w:shd w:val="clear" w:color="auto" w:fill="auto"/>
          </w:tcPr>
          <w:p w14:paraId="1B553C2C" w14:textId="77777777" w:rsidR="007823EE" w:rsidRPr="00BC7BB5" w:rsidRDefault="007823EE" w:rsidP="00CB471A">
            <w:pPr>
              <w:spacing w:after="120"/>
              <w:jc w:val="center"/>
              <w:rPr>
                <w:rFonts w:ascii="Times New Roman" w:hAnsi="Times New Roman" w:cs="Times New Roman"/>
                <w:b/>
                <w:sz w:val="18"/>
                <w:szCs w:val="18"/>
              </w:rPr>
            </w:pPr>
          </w:p>
        </w:tc>
        <w:tc>
          <w:tcPr>
            <w:tcW w:w="643" w:type="pct"/>
            <w:shd w:val="clear" w:color="auto" w:fill="auto"/>
          </w:tcPr>
          <w:p w14:paraId="2FF2137D" w14:textId="26989135" w:rsidR="007823EE" w:rsidRPr="00BC7BB5" w:rsidRDefault="007823EE" w:rsidP="00CB471A">
            <w:pPr>
              <w:spacing w:after="120"/>
              <w:jc w:val="center"/>
              <w:rPr>
                <w:rFonts w:ascii="Times New Roman" w:hAnsi="Times New Roman" w:cs="Times New Roman"/>
                <w:b/>
                <w:sz w:val="18"/>
                <w:szCs w:val="18"/>
              </w:rPr>
            </w:pPr>
            <w:r>
              <w:rPr>
                <w:rFonts w:ascii="Times New Roman" w:hAnsi="Times New Roman" w:cs="Times New Roman"/>
                <w:b/>
                <w:sz w:val="18"/>
                <w:szCs w:val="18"/>
              </w:rPr>
              <w:t>Value (MDH</w:t>
            </w:r>
            <w:r w:rsidRPr="00BC7BB5">
              <w:rPr>
                <w:rFonts w:ascii="Times New Roman" w:hAnsi="Times New Roman" w:cs="Times New Roman"/>
                <w:b/>
                <w:sz w:val="18"/>
                <w:szCs w:val="18"/>
              </w:rPr>
              <w:t>)</w:t>
            </w:r>
          </w:p>
        </w:tc>
        <w:tc>
          <w:tcPr>
            <w:tcW w:w="1076" w:type="pct"/>
            <w:shd w:val="clear" w:color="auto" w:fill="auto"/>
          </w:tcPr>
          <w:p w14:paraId="74E28264" w14:textId="34277753" w:rsidR="007823EE" w:rsidRPr="00BC7BB5" w:rsidRDefault="007823EE" w:rsidP="00CB471A">
            <w:pPr>
              <w:spacing w:after="120"/>
              <w:jc w:val="center"/>
              <w:rPr>
                <w:rFonts w:ascii="Times New Roman" w:hAnsi="Times New Roman" w:cs="Times New Roman"/>
                <w:sz w:val="18"/>
                <w:szCs w:val="18"/>
              </w:rPr>
            </w:pPr>
            <w:r w:rsidRPr="00BC7BB5">
              <w:rPr>
                <w:rFonts w:ascii="Times New Roman" w:hAnsi="Times New Roman" w:cs="Times New Roman"/>
                <w:sz w:val="18"/>
                <w:szCs w:val="18"/>
              </w:rPr>
              <w:t>0</w:t>
            </w:r>
          </w:p>
        </w:tc>
        <w:tc>
          <w:tcPr>
            <w:tcW w:w="664" w:type="pct"/>
            <w:shd w:val="clear" w:color="auto" w:fill="auto"/>
          </w:tcPr>
          <w:p w14:paraId="30B12A52" w14:textId="6933AACC" w:rsidR="007823EE" w:rsidRPr="00BC7BB5" w:rsidRDefault="007823EE" w:rsidP="00CB471A">
            <w:pPr>
              <w:spacing w:after="120"/>
              <w:jc w:val="center"/>
              <w:rPr>
                <w:rFonts w:ascii="Times New Roman" w:hAnsi="Times New Roman" w:cs="Times New Roman"/>
                <w:sz w:val="18"/>
                <w:szCs w:val="18"/>
              </w:rPr>
            </w:pPr>
            <w:r>
              <w:rPr>
                <w:rFonts w:ascii="Times New Roman" w:hAnsi="Times New Roman" w:cs="Times New Roman"/>
                <w:sz w:val="18"/>
                <w:szCs w:val="18"/>
              </w:rPr>
              <w:t>700</w:t>
            </w:r>
            <w:r w:rsidRPr="00BC7BB5">
              <w:rPr>
                <w:rFonts w:ascii="Times New Roman" w:hAnsi="Times New Roman" w:cs="Times New Roman"/>
                <w:sz w:val="18"/>
                <w:szCs w:val="18"/>
              </w:rPr>
              <w:t xml:space="preserve"> </w:t>
            </w:r>
          </w:p>
        </w:tc>
      </w:tr>
      <w:tr w:rsidR="007823EE" w:rsidRPr="00BC7BB5" w14:paraId="257C6A47" w14:textId="77777777" w:rsidTr="00FA3400">
        <w:trPr>
          <w:jc w:val="center"/>
        </w:trPr>
        <w:tc>
          <w:tcPr>
            <w:tcW w:w="685" w:type="pct"/>
            <w:vMerge/>
          </w:tcPr>
          <w:p w14:paraId="4DF98AA9" w14:textId="77777777" w:rsidR="007823EE" w:rsidRPr="00BC7BB5" w:rsidRDefault="007823EE" w:rsidP="003870AF">
            <w:pPr>
              <w:spacing w:after="120"/>
              <w:rPr>
                <w:rFonts w:ascii="Times New Roman" w:hAnsi="Times New Roman" w:cs="Times New Roman"/>
                <w:b/>
                <w:sz w:val="18"/>
                <w:szCs w:val="18"/>
              </w:rPr>
            </w:pPr>
          </w:p>
        </w:tc>
        <w:tc>
          <w:tcPr>
            <w:tcW w:w="1589" w:type="pct"/>
            <w:shd w:val="clear" w:color="auto" w:fill="auto"/>
          </w:tcPr>
          <w:p w14:paraId="794961AA" w14:textId="43DD04F6" w:rsidR="007823EE" w:rsidRPr="00BC7BB5" w:rsidRDefault="007823EE" w:rsidP="00CB471A">
            <w:pPr>
              <w:spacing w:after="120"/>
              <w:rPr>
                <w:rFonts w:ascii="Times New Roman" w:hAnsi="Times New Roman" w:cs="Times New Roman"/>
                <w:b/>
                <w:sz w:val="18"/>
                <w:szCs w:val="18"/>
              </w:rPr>
            </w:pPr>
            <w:r w:rsidRPr="00BC7BB5">
              <w:rPr>
                <w:rFonts w:ascii="Times New Roman" w:hAnsi="Times New Roman" w:cs="Times New Roman"/>
                <w:b/>
                <w:sz w:val="18"/>
                <w:szCs w:val="18"/>
              </w:rPr>
              <w:t xml:space="preserve">IR Indicator 1.3: </w:t>
            </w:r>
            <w:r w:rsidRPr="00BC7BB5">
              <w:rPr>
                <w:rFonts w:ascii="Times New Roman" w:hAnsi="Times New Roman" w:cs="Times New Roman"/>
                <w:sz w:val="18"/>
                <w:szCs w:val="18"/>
              </w:rPr>
              <w:t xml:space="preserve">Amended Law </w:t>
            </w:r>
            <w:r>
              <w:rPr>
                <w:rFonts w:ascii="Times New Roman" w:hAnsi="Times New Roman" w:cs="Times New Roman"/>
                <w:sz w:val="18"/>
                <w:szCs w:val="18"/>
              </w:rPr>
              <w:t xml:space="preserve">no. 4-12 </w:t>
            </w:r>
            <w:r w:rsidRPr="00BC7BB5">
              <w:rPr>
                <w:rFonts w:ascii="Times New Roman" w:hAnsi="Times New Roman" w:cs="Times New Roman"/>
                <w:sz w:val="18"/>
                <w:szCs w:val="18"/>
              </w:rPr>
              <w:t xml:space="preserve">on </w:t>
            </w:r>
            <w:r>
              <w:rPr>
                <w:rFonts w:ascii="Times New Roman" w:hAnsi="Times New Roman" w:cs="Times New Roman"/>
                <w:sz w:val="18"/>
                <w:szCs w:val="18"/>
              </w:rPr>
              <w:t xml:space="preserve">agricultural </w:t>
            </w:r>
            <w:r w:rsidRPr="00BC7BB5">
              <w:rPr>
                <w:rFonts w:ascii="Times New Roman" w:hAnsi="Times New Roman" w:cs="Times New Roman"/>
                <w:sz w:val="18"/>
                <w:szCs w:val="18"/>
              </w:rPr>
              <w:t xml:space="preserve">aggregation </w:t>
            </w:r>
            <w:r>
              <w:rPr>
                <w:rFonts w:ascii="Times New Roman" w:hAnsi="Times New Roman" w:cs="Times New Roman"/>
                <w:sz w:val="18"/>
                <w:szCs w:val="18"/>
              </w:rPr>
              <w:t>dated 2012 is under implementation</w:t>
            </w:r>
          </w:p>
        </w:tc>
        <w:tc>
          <w:tcPr>
            <w:tcW w:w="343" w:type="pct"/>
            <w:shd w:val="clear" w:color="auto" w:fill="auto"/>
          </w:tcPr>
          <w:p w14:paraId="0F34A2A8" w14:textId="0C41EF90" w:rsidR="007823EE" w:rsidRPr="00BC7BB5" w:rsidRDefault="007823EE" w:rsidP="00CB471A">
            <w:pPr>
              <w:spacing w:after="120"/>
              <w:jc w:val="center"/>
              <w:rPr>
                <w:rFonts w:ascii="Times New Roman" w:hAnsi="Times New Roman" w:cs="Times New Roman"/>
                <w:b/>
                <w:sz w:val="18"/>
                <w:szCs w:val="18"/>
              </w:rPr>
            </w:pPr>
            <w:r w:rsidRPr="00BC7BB5">
              <w:rPr>
                <w:rFonts w:ascii="Times New Roman" w:hAnsi="Times New Roman" w:cs="Times New Roman"/>
                <w:b/>
                <w:sz w:val="18"/>
                <w:szCs w:val="18"/>
              </w:rPr>
              <w:t>2</w:t>
            </w:r>
          </w:p>
        </w:tc>
        <w:tc>
          <w:tcPr>
            <w:tcW w:w="643" w:type="pct"/>
            <w:shd w:val="clear" w:color="auto" w:fill="auto"/>
          </w:tcPr>
          <w:p w14:paraId="7150D015" w14:textId="4853DCF9" w:rsidR="007823EE" w:rsidRPr="00BC7BB5" w:rsidRDefault="007823EE" w:rsidP="00CB471A">
            <w:pPr>
              <w:spacing w:after="120"/>
              <w:jc w:val="center"/>
              <w:rPr>
                <w:rFonts w:ascii="Times New Roman" w:hAnsi="Times New Roman" w:cs="Times New Roman"/>
                <w:b/>
                <w:sz w:val="18"/>
                <w:szCs w:val="18"/>
              </w:rPr>
            </w:pPr>
            <w:r w:rsidRPr="00BC7BB5">
              <w:rPr>
                <w:rFonts w:ascii="Times New Roman" w:hAnsi="Times New Roman" w:cs="Times New Roman"/>
                <w:b/>
                <w:sz w:val="18"/>
                <w:szCs w:val="18"/>
              </w:rPr>
              <w:t>Yes/No</w:t>
            </w:r>
          </w:p>
        </w:tc>
        <w:tc>
          <w:tcPr>
            <w:tcW w:w="1076" w:type="pct"/>
            <w:shd w:val="clear" w:color="auto" w:fill="auto"/>
          </w:tcPr>
          <w:p w14:paraId="444BB9A7" w14:textId="6E883155" w:rsidR="007823EE" w:rsidRPr="00BC7BB5" w:rsidRDefault="007823EE" w:rsidP="00CB471A">
            <w:pPr>
              <w:spacing w:after="120"/>
              <w:jc w:val="center"/>
              <w:rPr>
                <w:rFonts w:ascii="Times New Roman" w:hAnsi="Times New Roman" w:cs="Times New Roman"/>
                <w:sz w:val="18"/>
                <w:szCs w:val="18"/>
              </w:rPr>
            </w:pPr>
            <w:r w:rsidRPr="00BC7BB5">
              <w:rPr>
                <w:rFonts w:ascii="Times New Roman" w:hAnsi="Times New Roman" w:cs="Times New Roman"/>
                <w:sz w:val="18"/>
                <w:szCs w:val="18"/>
              </w:rPr>
              <w:t>No</w:t>
            </w:r>
          </w:p>
        </w:tc>
        <w:tc>
          <w:tcPr>
            <w:tcW w:w="664" w:type="pct"/>
            <w:shd w:val="clear" w:color="auto" w:fill="auto"/>
          </w:tcPr>
          <w:p w14:paraId="281E179B" w14:textId="22FF66EC" w:rsidR="007823EE" w:rsidRPr="00BC7BB5" w:rsidRDefault="007823EE" w:rsidP="00CB471A">
            <w:pPr>
              <w:spacing w:after="120"/>
              <w:jc w:val="center"/>
              <w:rPr>
                <w:rFonts w:ascii="Times New Roman" w:hAnsi="Times New Roman" w:cs="Times New Roman"/>
                <w:sz w:val="18"/>
                <w:szCs w:val="18"/>
              </w:rPr>
            </w:pPr>
            <w:r w:rsidRPr="00BC7BB5">
              <w:rPr>
                <w:rFonts w:ascii="Times New Roman" w:hAnsi="Times New Roman" w:cs="Times New Roman"/>
                <w:sz w:val="18"/>
                <w:szCs w:val="18"/>
              </w:rPr>
              <w:t>Yes</w:t>
            </w:r>
          </w:p>
        </w:tc>
      </w:tr>
      <w:tr w:rsidR="007823EE" w:rsidRPr="00BC7BB5" w14:paraId="5DEB8397" w14:textId="77777777" w:rsidTr="00FA3400">
        <w:trPr>
          <w:jc w:val="center"/>
        </w:trPr>
        <w:tc>
          <w:tcPr>
            <w:tcW w:w="685" w:type="pct"/>
            <w:vMerge/>
          </w:tcPr>
          <w:p w14:paraId="74BE7B34" w14:textId="7308BEEA" w:rsidR="007823EE" w:rsidRPr="00BC7BB5" w:rsidRDefault="007823EE" w:rsidP="003870AF">
            <w:pPr>
              <w:spacing w:after="120"/>
              <w:rPr>
                <w:rFonts w:ascii="Times New Roman" w:hAnsi="Times New Roman" w:cs="Times New Roman"/>
                <w:b/>
                <w:sz w:val="18"/>
                <w:szCs w:val="18"/>
              </w:rPr>
            </w:pPr>
          </w:p>
        </w:tc>
        <w:tc>
          <w:tcPr>
            <w:tcW w:w="1589" w:type="pct"/>
            <w:shd w:val="clear" w:color="auto" w:fill="auto"/>
          </w:tcPr>
          <w:p w14:paraId="4A896A95" w14:textId="7E014BCD" w:rsidR="007823EE" w:rsidRPr="00BC7BB5" w:rsidRDefault="007823EE" w:rsidP="00CB471A">
            <w:pPr>
              <w:spacing w:after="120"/>
              <w:rPr>
                <w:rFonts w:ascii="Times New Roman" w:hAnsi="Times New Roman" w:cs="Times New Roman"/>
                <w:sz w:val="18"/>
                <w:szCs w:val="18"/>
              </w:rPr>
            </w:pPr>
            <w:r w:rsidRPr="00BC7BB5">
              <w:rPr>
                <w:rFonts w:ascii="Times New Roman" w:hAnsi="Times New Roman" w:cs="Times New Roman"/>
                <w:b/>
                <w:sz w:val="18"/>
                <w:szCs w:val="18"/>
              </w:rPr>
              <w:t>IR Indicator 1.4</w:t>
            </w:r>
            <w:r w:rsidRPr="00BC7BB5">
              <w:rPr>
                <w:rFonts w:ascii="Times New Roman" w:hAnsi="Times New Roman" w:cs="Times New Roman"/>
                <w:sz w:val="18"/>
                <w:szCs w:val="18"/>
              </w:rPr>
              <w:t xml:space="preserve">: Additional producers aggregated (olives, citrus) </w:t>
            </w:r>
          </w:p>
        </w:tc>
        <w:tc>
          <w:tcPr>
            <w:tcW w:w="343" w:type="pct"/>
            <w:shd w:val="clear" w:color="auto" w:fill="auto"/>
          </w:tcPr>
          <w:p w14:paraId="14CAB72A" w14:textId="12850AF5" w:rsidR="007823EE" w:rsidRPr="00BC7BB5" w:rsidRDefault="007823EE" w:rsidP="00CB471A">
            <w:pPr>
              <w:spacing w:after="120"/>
              <w:jc w:val="center"/>
              <w:rPr>
                <w:rFonts w:ascii="Times New Roman" w:hAnsi="Times New Roman" w:cs="Times New Roman"/>
                <w:b/>
                <w:sz w:val="18"/>
                <w:szCs w:val="18"/>
              </w:rPr>
            </w:pPr>
          </w:p>
        </w:tc>
        <w:tc>
          <w:tcPr>
            <w:tcW w:w="643" w:type="pct"/>
            <w:shd w:val="clear" w:color="auto" w:fill="auto"/>
          </w:tcPr>
          <w:p w14:paraId="3FE1825A" w14:textId="2830D1A8" w:rsidR="007823EE" w:rsidRPr="00BC7BB5" w:rsidRDefault="007823EE" w:rsidP="00CB471A">
            <w:pPr>
              <w:spacing w:after="120"/>
              <w:jc w:val="center"/>
              <w:rPr>
                <w:rFonts w:ascii="Times New Roman" w:hAnsi="Times New Roman" w:cs="Times New Roman"/>
                <w:b/>
                <w:sz w:val="18"/>
                <w:szCs w:val="18"/>
              </w:rPr>
            </w:pPr>
            <w:r w:rsidRPr="00BC7BB5">
              <w:rPr>
                <w:rFonts w:ascii="Times New Roman" w:hAnsi="Times New Roman" w:cs="Times New Roman"/>
                <w:b/>
                <w:sz w:val="18"/>
                <w:szCs w:val="18"/>
              </w:rPr>
              <w:t>Number</w:t>
            </w:r>
          </w:p>
        </w:tc>
        <w:tc>
          <w:tcPr>
            <w:tcW w:w="1076" w:type="pct"/>
            <w:shd w:val="clear" w:color="auto" w:fill="auto"/>
          </w:tcPr>
          <w:p w14:paraId="49528419" w14:textId="1E7C9C9C" w:rsidR="007823EE" w:rsidRPr="00BC7BB5" w:rsidRDefault="007823EE" w:rsidP="00CB471A">
            <w:pPr>
              <w:spacing w:after="120"/>
              <w:jc w:val="center"/>
              <w:rPr>
                <w:rFonts w:ascii="Times New Roman" w:hAnsi="Times New Roman" w:cs="Times New Roman"/>
                <w:sz w:val="18"/>
                <w:szCs w:val="18"/>
                <w:highlight w:val="lightGray"/>
              </w:rPr>
            </w:pPr>
            <w:r w:rsidRPr="00BC7BB5">
              <w:rPr>
                <w:rFonts w:ascii="Times New Roman" w:hAnsi="Times New Roman" w:cs="Times New Roman"/>
                <w:sz w:val="18"/>
                <w:szCs w:val="18"/>
              </w:rPr>
              <w:t>0</w:t>
            </w:r>
          </w:p>
        </w:tc>
        <w:tc>
          <w:tcPr>
            <w:tcW w:w="664" w:type="pct"/>
            <w:shd w:val="clear" w:color="auto" w:fill="auto"/>
          </w:tcPr>
          <w:p w14:paraId="7DA27EE8" w14:textId="77777777" w:rsidR="007823EE" w:rsidRPr="00BC7BB5" w:rsidRDefault="007823EE" w:rsidP="00CB471A">
            <w:pPr>
              <w:spacing w:after="120"/>
              <w:jc w:val="center"/>
              <w:rPr>
                <w:rFonts w:ascii="Times New Roman" w:hAnsi="Times New Roman" w:cs="Times New Roman"/>
                <w:sz w:val="18"/>
                <w:szCs w:val="18"/>
                <w:highlight w:val="lightGray"/>
              </w:rPr>
            </w:pPr>
            <w:r w:rsidRPr="00BC7BB5">
              <w:rPr>
                <w:rFonts w:ascii="Times New Roman" w:hAnsi="Times New Roman" w:cs="Times New Roman"/>
                <w:sz w:val="18"/>
                <w:szCs w:val="18"/>
              </w:rPr>
              <w:t>1,500</w:t>
            </w:r>
          </w:p>
        </w:tc>
      </w:tr>
      <w:tr w:rsidR="007823EE" w:rsidRPr="00BC7BB5" w14:paraId="6ECE93EE" w14:textId="77777777" w:rsidTr="00FA3400">
        <w:trPr>
          <w:jc w:val="center"/>
        </w:trPr>
        <w:tc>
          <w:tcPr>
            <w:tcW w:w="685" w:type="pct"/>
            <w:vMerge/>
          </w:tcPr>
          <w:p w14:paraId="163AA62A" w14:textId="77777777" w:rsidR="007823EE" w:rsidRPr="00BC7BB5" w:rsidRDefault="007823EE" w:rsidP="00CB471A">
            <w:pPr>
              <w:spacing w:after="120"/>
              <w:rPr>
                <w:rFonts w:ascii="Times New Roman" w:hAnsi="Times New Roman" w:cs="Times New Roman"/>
                <w:b/>
                <w:sz w:val="18"/>
                <w:szCs w:val="18"/>
              </w:rPr>
            </w:pPr>
          </w:p>
        </w:tc>
        <w:tc>
          <w:tcPr>
            <w:tcW w:w="1589" w:type="pct"/>
            <w:shd w:val="clear" w:color="auto" w:fill="auto"/>
          </w:tcPr>
          <w:p w14:paraId="63056742" w14:textId="17131566" w:rsidR="007823EE" w:rsidRPr="00BC7BB5" w:rsidRDefault="007823EE" w:rsidP="00CB471A">
            <w:pPr>
              <w:spacing w:after="120"/>
              <w:rPr>
                <w:rFonts w:ascii="Times New Roman" w:hAnsi="Times New Roman" w:cs="Times New Roman"/>
                <w:sz w:val="18"/>
                <w:szCs w:val="18"/>
              </w:rPr>
            </w:pPr>
            <w:r w:rsidRPr="00BC7BB5">
              <w:rPr>
                <w:rFonts w:ascii="Times New Roman" w:hAnsi="Times New Roman" w:cs="Times New Roman"/>
                <w:b/>
                <w:sz w:val="18"/>
                <w:szCs w:val="18"/>
              </w:rPr>
              <w:t>IR Indicator 1.5</w:t>
            </w:r>
            <w:r w:rsidRPr="00BC7BB5">
              <w:rPr>
                <w:rFonts w:ascii="Times New Roman" w:hAnsi="Times New Roman" w:cs="Times New Roman"/>
                <w:sz w:val="18"/>
                <w:szCs w:val="18"/>
              </w:rPr>
              <w:t>: At least one wholesale market is operating and applying the new management model</w:t>
            </w:r>
            <w:r>
              <w:rPr>
                <w:rFonts w:ascii="Times New Roman" w:hAnsi="Times New Roman" w:cs="Times New Roman"/>
                <w:sz w:val="18"/>
                <w:szCs w:val="18"/>
              </w:rPr>
              <w:t xml:space="preserve"> as defined in the POM</w:t>
            </w:r>
          </w:p>
        </w:tc>
        <w:tc>
          <w:tcPr>
            <w:tcW w:w="343" w:type="pct"/>
            <w:shd w:val="clear" w:color="auto" w:fill="auto"/>
          </w:tcPr>
          <w:p w14:paraId="61572C30" w14:textId="77777777" w:rsidR="007823EE" w:rsidRPr="00BC7BB5" w:rsidRDefault="007823EE" w:rsidP="00CB471A">
            <w:pPr>
              <w:spacing w:after="120"/>
              <w:jc w:val="center"/>
              <w:rPr>
                <w:rFonts w:ascii="Times New Roman" w:hAnsi="Times New Roman" w:cs="Times New Roman"/>
                <w:b/>
                <w:sz w:val="18"/>
                <w:szCs w:val="18"/>
              </w:rPr>
            </w:pPr>
            <w:r w:rsidRPr="00BC7BB5">
              <w:rPr>
                <w:rFonts w:ascii="Times New Roman" w:hAnsi="Times New Roman" w:cs="Times New Roman"/>
                <w:b/>
                <w:sz w:val="18"/>
                <w:szCs w:val="18"/>
              </w:rPr>
              <w:t>4</w:t>
            </w:r>
          </w:p>
        </w:tc>
        <w:tc>
          <w:tcPr>
            <w:tcW w:w="643" w:type="pct"/>
            <w:shd w:val="clear" w:color="auto" w:fill="auto"/>
          </w:tcPr>
          <w:p w14:paraId="684705C7" w14:textId="77777777" w:rsidR="007823EE" w:rsidRPr="00BC7BB5" w:rsidRDefault="007823EE" w:rsidP="00CB471A">
            <w:pPr>
              <w:spacing w:after="120"/>
              <w:jc w:val="center"/>
              <w:rPr>
                <w:rFonts w:ascii="Times New Roman" w:hAnsi="Times New Roman" w:cs="Times New Roman"/>
                <w:b/>
                <w:sz w:val="18"/>
                <w:szCs w:val="18"/>
              </w:rPr>
            </w:pPr>
            <w:r w:rsidRPr="00BC7BB5">
              <w:rPr>
                <w:rFonts w:ascii="Times New Roman" w:hAnsi="Times New Roman" w:cs="Times New Roman"/>
                <w:b/>
                <w:sz w:val="18"/>
                <w:szCs w:val="18"/>
              </w:rPr>
              <w:t>Yes/No</w:t>
            </w:r>
          </w:p>
        </w:tc>
        <w:tc>
          <w:tcPr>
            <w:tcW w:w="1076" w:type="pct"/>
            <w:shd w:val="clear" w:color="auto" w:fill="auto"/>
          </w:tcPr>
          <w:p w14:paraId="07B5830E" w14:textId="77777777" w:rsidR="007823EE" w:rsidRPr="00BC7BB5" w:rsidRDefault="007823EE" w:rsidP="00CB471A">
            <w:pPr>
              <w:spacing w:after="120"/>
              <w:jc w:val="center"/>
              <w:rPr>
                <w:rFonts w:ascii="Times New Roman" w:hAnsi="Times New Roman" w:cs="Times New Roman"/>
                <w:sz w:val="18"/>
                <w:szCs w:val="18"/>
              </w:rPr>
            </w:pPr>
            <w:r w:rsidRPr="00BC7BB5">
              <w:rPr>
                <w:rFonts w:ascii="Times New Roman" w:hAnsi="Times New Roman" w:cs="Times New Roman"/>
                <w:sz w:val="18"/>
                <w:szCs w:val="18"/>
              </w:rPr>
              <w:t>No</w:t>
            </w:r>
          </w:p>
        </w:tc>
        <w:tc>
          <w:tcPr>
            <w:tcW w:w="664" w:type="pct"/>
            <w:shd w:val="clear" w:color="auto" w:fill="auto"/>
          </w:tcPr>
          <w:p w14:paraId="597168CE" w14:textId="77777777" w:rsidR="007823EE" w:rsidRPr="00BC7BB5" w:rsidRDefault="007823EE" w:rsidP="00CB471A">
            <w:pPr>
              <w:spacing w:after="120"/>
              <w:jc w:val="center"/>
              <w:rPr>
                <w:rFonts w:ascii="Times New Roman" w:hAnsi="Times New Roman" w:cs="Times New Roman"/>
                <w:sz w:val="18"/>
                <w:szCs w:val="18"/>
              </w:rPr>
            </w:pPr>
            <w:r w:rsidRPr="00BC7BB5">
              <w:rPr>
                <w:rFonts w:ascii="Times New Roman" w:hAnsi="Times New Roman" w:cs="Times New Roman"/>
                <w:sz w:val="18"/>
                <w:szCs w:val="18"/>
              </w:rPr>
              <w:t>Yes</w:t>
            </w:r>
          </w:p>
        </w:tc>
      </w:tr>
      <w:tr w:rsidR="007823EE" w:rsidRPr="00BC7BB5" w14:paraId="79F81B6B" w14:textId="77777777" w:rsidTr="00FA3400">
        <w:trPr>
          <w:jc w:val="center"/>
        </w:trPr>
        <w:tc>
          <w:tcPr>
            <w:tcW w:w="685" w:type="pct"/>
            <w:vMerge/>
          </w:tcPr>
          <w:p w14:paraId="61BA9BAE" w14:textId="77777777" w:rsidR="007823EE" w:rsidRPr="00BC7BB5" w:rsidRDefault="007823EE" w:rsidP="00CB471A">
            <w:pPr>
              <w:spacing w:after="120"/>
              <w:rPr>
                <w:rFonts w:ascii="Times New Roman" w:hAnsi="Times New Roman" w:cs="Times New Roman"/>
                <w:b/>
                <w:sz w:val="18"/>
                <w:szCs w:val="18"/>
              </w:rPr>
            </w:pPr>
          </w:p>
        </w:tc>
        <w:tc>
          <w:tcPr>
            <w:tcW w:w="1589" w:type="pct"/>
            <w:shd w:val="clear" w:color="auto" w:fill="auto"/>
          </w:tcPr>
          <w:p w14:paraId="4EF34AF6" w14:textId="1C4E1FED" w:rsidR="007823EE" w:rsidRPr="00BC7BB5" w:rsidRDefault="007823EE" w:rsidP="00CB471A">
            <w:pPr>
              <w:spacing w:after="120"/>
              <w:rPr>
                <w:rFonts w:ascii="Times New Roman" w:hAnsi="Times New Roman" w:cs="Times New Roman"/>
                <w:sz w:val="18"/>
                <w:szCs w:val="18"/>
              </w:rPr>
            </w:pPr>
            <w:r w:rsidRPr="00BC7BB5">
              <w:rPr>
                <w:rFonts w:ascii="Times New Roman" w:hAnsi="Times New Roman" w:cs="Times New Roman"/>
                <w:b/>
                <w:sz w:val="18"/>
                <w:szCs w:val="18"/>
              </w:rPr>
              <w:t>IR Indicator 1.6</w:t>
            </w:r>
            <w:r w:rsidRPr="00BC7BB5">
              <w:rPr>
                <w:rFonts w:ascii="Times New Roman" w:hAnsi="Times New Roman" w:cs="Times New Roman"/>
                <w:sz w:val="18"/>
                <w:szCs w:val="18"/>
              </w:rPr>
              <w:t xml:space="preserve">: Use of market information services for mobile phones and of the application Publi-Asaar </w:t>
            </w:r>
          </w:p>
        </w:tc>
        <w:tc>
          <w:tcPr>
            <w:tcW w:w="343" w:type="pct"/>
            <w:shd w:val="clear" w:color="auto" w:fill="auto"/>
          </w:tcPr>
          <w:p w14:paraId="668F96A8" w14:textId="77777777" w:rsidR="007823EE" w:rsidRPr="00BC7BB5" w:rsidRDefault="007823EE" w:rsidP="00CB471A">
            <w:pPr>
              <w:spacing w:after="120"/>
              <w:jc w:val="center"/>
              <w:rPr>
                <w:rFonts w:ascii="Times New Roman" w:hAnsi="Times New Roman" w:cs="Times New Roman"/>
                <w:b/>
                <w:sz w:val="18"/>
                <w:szCs w:val="18"/>
              </w:rPr>
            </w:pPr>
          </w:p>
        </w:tc>
        <w:tc>
          <w:tcPr>
            <w:tcW w:w="643" w:type="pct"/>
            <w:shd w:val="clear" w:color="auto" w:fill="auto"/>
          </w:tcPr>
          <w:p w14:paraId="2D939C53" w14:textId="77777777" w:rsidR="007823EE" w:rsidRPr="00BC7BB5" w:rsidRDefault="007823EE" w:rsidP="00CB471A">
            <w:pPr>
              <w:spacing w:after="120"/>
              <w:jc w:val="center"/>
              <w:rPr>
                <w:rFonts w:ascii="Times New Roman" w:hAnsi="Times New Roman" w:cs="Times New Roman"/>
                <w:b/>
                <w:sz w:val="18"/>
                <w:szCs w:val="18"/>
              </w:rPr>
            </w:pPr>
            <w:r w:rsidRPr="00BC7BB5">
              <w:rPr>
                <w:rFonts w:ascii="Times New Roman" w:hAnsi="Times New Roman" w:cs="Times New Roman"/>
                <w:b/>
                <w:sz w:val="18"/>
                <w:szCs w:val="18"/>
              </w:rPr>
              <w:t xml:space="preserve">Number  </w:t>
            </w:r>
          </w:p>
        </w:tc>
        <w:tc>
          <w:tcPr>
            <w:tcW w:w="1076" w:type="pct"/>
            <w:shd w:val="clear" w:color="auto" w:fill="auto"/>
          </w:tcPr>
          <w:p w14:paraId="12E0E835" w14:textId="77777777" w:rsidR="007823EE" w:rsidRPr="00BC7BB5" w:rsidRDefault="007823EE" w:rsidP="00CB471A">
            <w:pPr>
              <w:spacing w:after="120"/>
              <w:jc w:val="center"/>
              <w:rPr>
                <w:rFonts w:ascii="Times New Roman" w:hAnsi="Times New Roman" w:cs="Times New Roman"/>
                <w:sz w:val="18"/>
                <w:szCs w:val="18"/>
              </w:rPr>
            </w:pPr>
            <w:r w:rsidRPr="00BC7BB5">
              <w:rPr>
                <w:rFonts w:ascii="Times New Roman" w:hAnsi="Times New Roman" w:cs="Times New Roman"/>
                <w:sz w:val="18"/>
                <w:szCs w:val="18"/>
              </w:rPr>
              <w:t>0</w:t>
            </w:r>
          </w:p>
        </w:tc>
        <w:tc>
          <w:tcPr>
            <w:tcW w:w="664" w:type="pct"/>
            <w:shd w:val="clear" w:color="auto" w:fill="auto"/>
          </w:tcPr>
          <w:p w14:paraId="5938FABD" w14:textId="77777777" w:rsidR="007823EE" w:rsidRPr="00BC7BB5" w:rsidRDefault="007823EE" w:rsidP="00CB471A">
            <w:pPr>
              <w:spacing w:after="120"/>
              <w:jc w:val="center"/>
              <w:rPr>
                <w:rFonts w:ascii="Times New Roman" w:hAnsi="Times New Roman" w:cs="Times New Roman"/>
                <w:sz w:val="18"/>
                <w:szCs w:val="18"/>
              </w:rPr>
            </w:pPr>
            <w:r w:rsidRPr="00BC7BB5">
              <w:rPr>
                <w:rFonts w:ascii="Times New Roman" w:hAnsi="Times New Roman" w:cs="Times New Roman"/>
                <w:sz w:val="18"/>
                <w:szCs w:val="18"/>
              </w:rPr>
              <w:t>200,000</w:t>
            </w:r>
          </w:p>
        </w:tc>
      </w:tr>
      <w:tr w:rsidR="007823EE" w:rsidRPr="00BC7BB5" w14:paraId="1FCAE82F" w14:textId="77777777" w:rsidTr="00FA3400">
        <w:trPr>
          <w:jc w:val="center"/>
        </w:trPr>
        <w:tc>
          <w:tcPr>
            <w:tcW w:w="685" w:type="pct"/>
            <w:vMerge/>
          </w:tcPr>
          <w:p w14:paraId="7CC3E28C" w14:textId="77777777" w:rsidR="007823EE" w:rsidRPr="00BC7BB5" w:rsidRDefault="007823EE" w:rsidP="00CB471A">
            <w:pPr>
              <w:spacing w:after="120"/>
              <w:rPr>
                <w:rFonts w:ascii="Times New Roman" w:hAnsi="Times New Roman" w:cs="Times New Roman"/>
                <w:b/>
                <w:sz w:val="18"/>
                <w:szCs w:val="18"/>
              </w:rPr>
            </w:pPr>
          </w:p>
        </w:tc>
        <w:tc>
          <w:tcPr>
            <w:tcW w:w="1589" w:type="pct"/>
            <w:shd w:val="clear" w:color="auto" w:fill="auto"/>
          </w:tcPr>
          <w:p w14:paraId="01D71EBB" w14:textId="489AB930" w:rsidR="007823EE" w:rsidRPr="00BC7BB5" w:rsidRDefault="007823EE" w:rsidP="00CB471A">
            <w:pPr>
              <w:spacing w:after="120"/>
              <w:rPr>
                <w:rFonts w:ascii="Times New Roman" w:hAnsi="Times New Roman" w:cs="Times New Roman"/>
                <w:b/>
                <w:sz w:val="18"/>
                <w:szCs w:val="18"/>
              </w:rPr>
            </w:pPr>
            <w:r w:rsidRPr="00BC7BB5">
              <w:rPr>
                <w:rFonts w:ascii="Times New Roman" w:hAnsi="Times New Roman" w:cs="Times New Roman"/>
                <w:b/>
                <w:sz w:val="18"/>
                <w:szCs w:val="18"/>
              </w:rPr>
              <w:t>IR Indicator 1.7:</w:t>
            </w:r>
            <w:r>
              <w:rPr>
                <w:rFonts w:ascii="Times New Roman" w:hAnsi="Times New Roman" w:cs="Times New Roman"/>
                <w:b/>
                <w:sz w:val="18"/>
                <w:szCs w:val="18"/>
              </w:rPr>
              <w:t xml:space="preserve"> </w:t>
            </w:r>
            <w:r w:rsidRPr="00D507C5">
              <w:rPr>
                <w:rFonts w:ascii="Times New Roman" w:hAnsi="Times New Roman" w:cs="Times New Roman"/>
                <w:sz w:val="18"/>
                <w:szCs w:val="18"/>
              </w:rPr>
              <w:t>At least o</w:t>
            </w:r>
            <w:r>
              <w:rPr>
                <w:rFonts w:ascii="Times New Roman" w:hAnsi="Times New Roman" w:cs="Times New Roman"/>
                <w:sz w:val="18"/>
                <w:szCs w:val="18"/>
              </w:rPr>
              <w:t xml:space="preserve">ne public consultation </w:t>
            </w:r>
            <w:r w:rsidRPr="00D507C5">
              <w:rPr>
                <w:rFonts w:ascii="Times New Roman" w:hAnsi="Times New Roman" w:cs="Times New Roman"/>
                <w:sz w:val="18"/>
                <w:szCs w:val="18"/>
              </w:rPr>
              <w:t>on the Program</w:t>
            </w:r>
            <w:r>
              <w:rPr>
                <w:rFonts w:ascii="Times New Roman" w:hAnsi="Times New Roman" w:cs="Times New Roman"/>
                <w:sz w:val="18"/>
                <w:szCs w:val="18"/>
              </w:rPr>
              <w:t xml:space="preserve"> carried out each year by MAMPDREF</w:t>
            </w:r>
          </w:p>
        </w:tc>
        <w:tc>
          <w:tcPr>
            <w:tcW w:w="343" w:type="pct"/>
            <w:shd w:val="clear" w:color="auto" w:fill="auto"/>
          </w:tcPr>
          <w:p w14:paraId="34C2A7CD" w14:textId="77777777" w:rsidR="007823EE" w:rsidRPr="00BC7BB5" w:rsidRDefault="007823EE" w:rsidP="00CB471A">
            <w:pPr>
              <w:spacing w:after="120"/>
              <w:jc w:val="center"/>
              <w:rPr>
                <w:rFonts w:ascii="Times New Roman" w:hAnsi="Times New Roman" w:cs="Times New Roman"/>
                <w:b/>
                <w:sz w:val="18"/>
                <w:szCs w:val="18"/>
              </w:rPr>
            </w:pPr>
          </w:p>
        </w:tc>
        <w:tc>
          <w:tcPr>
            <w:tcW w:w="643" w:type="pct"/>
            <w:shd w:val="clear" w:color="auto" w:fill="auto"/>
          </w:tcPr>
          <w:p w14:paraId="2AAC4256" w14:textId="06276926" w:rsidR="007823EE" w:rsidRPr="00BC7BB5" w:rsidRDefault="007823EE" w:rsidP="00CB471A">
            <w:pPr>
              <w:spacing w:after="120"/>
              <w:jc w:val="center"/>
              <w:rPr>
                <w:rFonts w:ascii="Times New Roman" w:hAnsi="Times New Roman" w:cs="Times New Roman"/>
                <w:b/>
                <w:sz w:val="18"/>
                <w:szCs w:val="18"/>
              </w:rPr>
            </w:pPr>
            <w:r>
              <w:rPr>
                <w:rFonts w:ascii="Times New Roman" w:hAnsi="Times New Roman" w:cs="Times New Roman"/>
                <w:b/>
                <w:sz w:val="18"/>
                <w:szCs w:val="18"/>
              </w:rPr>
              <w:t>Yes/No</w:t>
            </w:r>
          </w:p>
        </w:tc>
        <w:tc>
          <w:tcPr>
            <w:tcW w:w="1076" w:type="pct"/>
            <w:shd w:val="clear" w:color="auto" w:fill="auto"/>
          </w:tcPr>
          <w:p w14:paraId="2D79A613" w14:textId="28868852" w:rsidR="007823EE" w:rsidRPr="00BC7BB5" w:rsidRDefault="007823EE" w:rsidP="00CB471A">
            <w:pPr>
              <w:spacing w:after="120"/>
              <w:jc w:val="center"/>
              <w:rPr>
                <w:rFonts w:ascii="Times New Roman" w:hAnsi="Times New Roman" w:cs="Times New Roman"/>
                <w:sz w:val="18"/>
                <w:szCs w:val="18"/>
              </w:rPr>
            </w:pPr>
            <w:r>
              <w:rPr>
                <w:rFonts w:ascii="Times New Roman" w:hAnsi="Times New Roman" w:cs="Times New Roman"/>
                <w:sz w:val="18"/>
                <w:szCs w:val="18"/>
              </w:rPr>
              <w:t>No</w:t>
            </w:r>
          </w:p>
        </w:tc>
        <w:tc>
          <w:tcPr>
            <w:tcW w:w="664" w:type="pct"/>
            <w:shd w:val="clear" w:color="auto" w:fill="auto"/>
          </w:tcPr>
          <w:p w14:paraId="2EE4EFA9" w14:textId="0FC8296B" w:rsidR="007823EE" w:rsidRPr="00BC7BB5" w:rsidRDefault="007823EE" w:rsidP="00CB471A">
            <w:pPr>
              <w:spacing w:after="120"/>
              <w:jc w:val="center"/>
              <w:rPr>
                <w:rFonts w:ascii="Times New Roman" w:hAnsi="Times New Roman" w:cs="Times New Roman"/>
                <w:sz w:val="18"/>
                <w:szCs w:val="18"/>
              </w:rPr>
            </w:pPr>
            <w:r>
              <w:rPr>
                <w:rFonts w:ascii="Times New Roman" w:hAnsi="Times New Roman" w:cs="Times New Roman"/>
                <w:sz w:val="18"/>
                <w:szCs w:val="18"/>
              </w:rPr>
              <w:t>Yes</w:t>
            </w:r>
          </w:p>
        </w:tc>
      </w:tr>
      <w:tr w:rsidR="007823EE" w:rsidRPr="00BC7BB5" w14:paraId="5C3BE8AF" w14:textId="77777777" w:rsidTr="00FA3400">
        <w:trPr>
          <w:jc w:val="center"/>
        </w:trPr>
        <w:tc>
          <w:tcPr>
            <w:tcW w:w="685" w:type="pct"/>
            <w:vMerge w:val="restart"/>
          </w:tcPr>
          <w:p w14:paraId="581B892B" w14:textId="77777777" w:rsidR="007823EE" w:rsidRPr="00BC7BB5" w:rsidRDefault="007823EE" w:rsidP="00CB471A">
            <w:pPr>
              <w:spacing w:after="120"/>
              <w:rPr>
                <w:rFonts w:ascii="Times New Roman" w:hAnsi="Times New Roman" w:cs="Times New Roman"/>
                <w:b/>
                <w:sz w:val="18"/>
                <w:szCs w:val="18"/>
              </w:rPr>
            </w:pPr>
            <w:r w:rsidRPr="00BC7BB5">
              <w:rPr>
                <w:rFonts w:ascii="Times New Roman" w:hAnsi="Times New Roman" w:cs="Times New Roman"/>
                <w:b/>
                <w:sz w:val="18"/>
                <w:szCs w:val="18"/>
              </w:rPr>
              <w:lastRenderedPageBreak/>
              <w:t>Result Area 2:</w:t>
            </w:r>
          </w:p>
          <w:p w14:paraId="336A225E" w14:textId="00CFD9E8" w:rsidR="007823EE" w:rsidRPr="00BC7BB5" w:rsidRDefault="007823EE" w:rsidP="00CB471A">
            <w:pPr>
              <w:spacing w:after="120"/>
              <w:rPr>
                <w:rFonts w:ascii="Times New Roman" w:hAnsi="Times New Roman" w:cs="Times New Roman"/>
                <w:b/>
                <w:sz w:val="18"/>
                <w:szCs w:val="18"/>
              </w:rPr>
            </w:pPr>
            <w:r w:rsidRPr="00BC7BB5">
              <w:rPr>
                <w:rFonts w:ascii="Times New Roman" w:hAnsi="Times New Roman" w:cs="Times New Roman"/>
                <w:b/>
                <w:sz w:val="18"/>
                <w:szCs w:val="18"/>
              </w:rPr>
              <w:t>Improved added-value of agri-food products</w:t>
            </w:r>
          </w:p>
        </w:tc>
        <w:tc>
          <w:tcPr>
            <w:tcW w:w="1589" w:type="pct"/>
            <w:shd w:val="clear" w:color="auto" w:fill="auto"/>
          </w:tcPr>
          <w:p w14:paraId="0604FF9B" w14:textId="49904422" w:rsidR="007823EE" w:rsidRPr="00BC7BB5" w:rsidRDefault="007823EE" w:rsidP="00CB471A">
            <w:pPr>
              <w:spacing w:after="120"/>
              <w:rPr>
                <w:rFonts w:ascii="Times New Roman" w:hAnsi="Times New Roman" w:cs="Times New Roman"/>
                <w:sz w:val="18"/>
                <w:szCs w:val="18"/>
              </w:rPr>
            </w:pPr>
            <w:r w:rsidRPr="00BC7BB5">
              <w:rPr>
                <w:rFonts w:ascii="Times New Roman" w:hAnsi="Times New Roman" w:cs="Times New Roman"/>
                <w:b/>
                <w:sz w:val="18"/>
                <w:szCs w:val="18"/>
              </w:rPr>
              <w:t>IR Indicator 2.1</w:t>
            </w:r>
            <w:r w:rsidRPr="00BC7BB5">
              <w:rPr>
                <w:rFonts w:ascii="Times New Roman" w:hAnsi="Times New Roman" w:cs="Times New Roman"/>
                <w:sz w:val="18"/>
                <w:szCs w:val="18"/>
              </w:rPr>
              <w:t xml:space="preserve">: </w:t>
            </w:r>
            <w:r>
              <w:rPr>
                <w:rFonts w:ascii="Times New Roman" w:hAnsi="Times New Roman" w:cs="Times New Roman"/>
                <w:sz w:val="18"/>
                <w:szCs w:val="18"/>
              </w:rPr>
              <w:t xml:space="preserve">Small and/or medium agri-food </w:t>
            </w:r>
            <w:r w:rsidRPr="00BC7BB5">
              <w:rPr>
                <w:rFonts w:ascii="Times New Roman" w:hAnsi="Times New Roman" w:cs="Times New Roman"/>
                <w:sz w:val="18"/>
                <w:szCs w:val="18"/>
              </w:rPr>
              <w:t xml:space="preserve">enterprises authorized by ONSSA </w:t>
            </w:r>
          </w:p>
          <w:p w14:paraId="09B551A2" w14:textId="27DD6F1A" w:rsidR="007823EE" w:rsidRPr="00BC7BB5" w:rsidRDefault="007823EE" w:rsidP="00CB471A">
            <w:pPr>
              <w:spacing w:after="120"/>
              <w:rPr>
                <w:rFonts w:ascii="Times New Roman" w:hAnsi="Times New Roman" w:cs="Times New Roman"/>
                <w:sz w:val="18"/>
                <w:szCs w:val="18"/>
              </w:rPr>
            </w:pPr>
            <w:r w:rsidRPr="00BC7BB5">
              <w:rPr>
                <w:rFonts w:ascii="Times New Roman" w:hAnsi="Times New Roman" w:cs="Times New Roman"/>
                <w:sz w:val="18"/>
                <w:szCs w:val="18"/>
              </w:rPr>
              <w:t xml:space="preserve">Of which, women-owned: </w:t>
            </w:r>
          </w:p>
        </w:tc>
        <w:tc>
          <w:tcPr>
            <w:tcW w:w="343" w:type="pct"/>
            <w:shd w:val="clear" w:color="auto" w:fill="auto"/>
          </w:tcPr>
          <w:p w14:paraId="0C097365" w14:textId="056C671B" w:rsidR="007823EE" w:rsidRPr="00BC7BB5" w:rsidRDefault="007823EE" w:rsidP="00CB471A">
            <w:pPr>
              <w:spacing w:after="120"/>
              <w:jc w:val="center"/>
              <w:rPr>
                <w:rFonts w:ascii="Times New Roman" w:hAnsi="Times New Roman" w:cs="Times New Roman"/>
                <w:b/>
                <w:sz w:val="18"/>
                <w:szCs w:val="18"/>
              </w:rPr>
            </w:pPr>
            <w:r w:rsidRPr="00BC7BB5">
              <w:rPr>
                <w:rFonts w:ascii="Times New Roman" w:hAnsi="Times New Roman" w:cs="Times New Roman"/>
                <w:b/>
                <w:sz w:val="18"/>
                <w:szCs w:val="18"/>
              </w:rPr>
              <w:t>5</w:t>
            </w:r>
          </w:p>
        </w:tc>
        <w:tc>
          <w:tcPr>
            <w:tcW w:w="643" w:type="pct"/>
            <w:shd w:val="clear" w:color="auto" w:fill="auto"/>
          </w:tcPr>
          <w:p w14:paraId="06D98030" w14:textId="77777777" w:rsidR="007823EE" w:rsidRPr="00BC7BB5" w:rsidRDefault="007823EE" w:rsidP="00CB471A">
            <w:pPr>
              <w:spacing w:after="120"/>
              <w:jc w:val="center"/>
              <w:rPr>
                <w:rFonts w:ascii="Times New Roman Bold" w:hAnsi="Times New Roman Bold" w:cs="Times New Roman"/>
                <w:b/>
                <w:sz w:val="18"/>
                <w:szCs w:val="18"/>
                <w:vertAlign w:val="superscript"/>
              </w:rPr>
            </w:pPr>
            <w:r w:rsidRPr="00BC7BB5">
              <w:rPr>
                <w:rFonts w:ascii="Times New Roman" w:hAnsi="Times New Roman" w:cs="Times New Roman"/>
                <w:b/>
                <w:sz w:val="18"/>
                <w:szCs w:val="18"/>
              </w:rPr>
              <w:t xml:space="preserve">Number </w:t>
            </w:r>
            <w:r w:rsidRPr="00BC7BB5">
              <w:rPr>
                <w:rFonts w:ascii="Times New Roman Bold" w:hAnsi="Times New Roman Bold" w:cs="Times New Roman"/>
                <w:b/>
                <w:sz w:val="18"/>
                <w:szCs w:val="18"/>
                <w:vertAlign w:val="superscript"/>
              </w:rPr>
              <w:t>(g)</w:t>
            </w:r>
          </w:p>
          <w:p w14:paraId="74D49148" w14:textId="77777777" w:rsidR="007823EE" w:rsidRPr="00BC7BB5" w:rsidRDefault="007823EE" w:rsidP="00CB471A">
            <w:pPr>
              <w:spacing w:after="120"/>
              <w:jc w:val="center"/>
              <w:rPr>
                <w:rFonts w:ascii="Times New Roman Bold" w:hAnsi="Times New Roman Bold" w:cs="Times New Roman"/>
                <w:b/>
                <w:sz w:val="18"/>
                <w:szCs w:val="18"/>
                <w:vertAlign w:val="superscript"/>
              </w:rPr>
            </w:pPr>
          </w:p>
          <w:p w14:paraId="619C9E5D" w14:textId="56B0580A" w:rsidR="007823EE" w:rsidRPr="00BC7BB5" w:rsidRDefault="007823EE" w:rsidP="004F6010">
            <w:pPr>
              <w:spacing w:after="120"/>
              <w:jc w:val="center"/>
              <w:rPr>
                <w:rFonts w:ascii="Times New Roman" w:hAnsi="Times New Roman" w:cs="Times New Roman"/>
                <w:b/>
                <w:sz w:val="18"/>
                <w:szCs w:val="18"/>
              </w:rPr>
            </w:pPr>
            <w:r w:rsidRPr="00BC7BB5">
              <w:rPr>
                <w:rFonts w:ascii="Times New Roman Bold" w:hAnsi="Times New Roman Bold" w:cs="Times New Roman"/>
                <w:b/>
                <w:sz w:val="18"/>
                <w:szCs w:val="18"/>
              </w:rPr>
              <w:t>Number</w:t>
            </w:r>
          </w:p>
        </w:tc>
        <w:tc>
          <w:tcPr>
            <w:tcW w:w="1076" w:type="pct"/>
            <w:shd w:val="clear" w:color="auto" w:fill="auto"/>
          </w:tcPr>
          <w:p w14:paraId="50744A39" w14:textId="4CF0C48E" w:rsidR="007823EE" w:rsidRPr="00BC7BB5" w:rsidRDefault="007823EE" w:rsidP="00CB471A">
            <w:pPr>
              <w:spacing w:after="120"/>
              <w:jc w:val="center"/>
              <w:rPr>
                <w:rFonts w:ascii="Times New Roman" w:hAnsi="Times New Roman" w:cs="Times New Roman"/>
                <w:sz w:val="18"/>
                <w:szCs w:val="18"/>
              </w:rPr>
            </w:pPr>
            <w:r>
              <w:rPr>
                <w:rFonts w:ascii="Times New Roman" w:hAnsi="Times New Roman" w:cs="Times New Roman"/>
                <w:sz w:val="18"/>
                <w:szCs w:val="18"/>
              </w:rPr>
              <w:t>5,0</w:t>
            </w:r>
            <w:r w:rsidRPr="00BC7BB5">
              <w:rPr>
                <w:rFonts w:ascii="Times New Roman" w:hAnsi="Times New Roman" w:cs="Times New Roman"/>
                <w:sz w:val="18"/>
                <w:szCs w:val="18"/>
              </w:rPr>
              <w:t>00</w:t>
            </w:r>
          </w:p>
        </w:tc>
        <w:tc>
          <w:tcPr>
            <w:tcW w:w="664" w:type="pct"/>
            <w:shd w:val="clear" w:color="auto" w:fill="auto"/>
          </w:tcPr>
          <w:p w14:paraId="2615A3C5" w14:textId="4E2DA98F" w:rsidR="007823EE" w:rsidRPr="00BC7BB5" w:rsidRDefault="007823EE" w:rsidP="00CB471A">
            <w:pPr>
              <w:spacing w:after="120"/>
              <w:jc w:val="center"/>
              <w:rPr>
                <w:rFonts w:ascii="Times New Roman" w:hAnsi="Times New Roman" w:cs="Times New Roman"/>
                <w:sz w:val="18"/>
                <w:szCs w:val="18"/>
              </w:rPr>
            </w:pPr>
            <w:r>
              <w:rPr>
                <w:rFonts w:ascii="Times New Roman" w:hAnsi="Times New Roman" w:cs="Times New Roman"/>
                <w:sz w:val="18"/>
                <w:szCs w:val="18"/>
              </w:rPr>
              <w:t>6,0</w:t>
            </w:r>
            <w:r w:rsidRPr="00BC7BB5">
              <w:rPr>
                <w:rFonts w:ascii="Times New Roman" w:hAnsi="Times New Roman" w:cs="Times New Roman"/>
                <w:sz w:val="18"/>
                <w:szCs w:val="18"/>
              </w:rPr>
              <w:t>00</w:t>
            </w:r>
          </w:p>
          <w:p w14:paraId="73BBDDF1" w14:textId="77777777" w:rsidR="007823EE" w:rsidRPr="00BC7BB5" w:rsidRDefault="007823EE" w:rsidP="00CB471A">
            <w:pPr>
              <w:spacing w:after="120"/>
              <w:jc w:val="center"/>
              <w:rPr>
                <w:rFonts w:ascii="Times New Roman" w:hAnsi="Times New Roman" w:cs="Times New Roman"/>
                <w:sz w:val="18"/>
                <w:szCs w:val="18"/>
              </w:rPr>
            </w:pPr>
          </w:p>
          <w:p w14:paraId="185050E4" w14:textId="212EA05A" w:rsidR="007823EE" w:rsidRPr="00BC7BB5" w:rsidRDefault="007823EE" w:rsidP="00CB471A">
            <w:pPr>
              <w:spacing w:after="120"/>
              <w:jc w:val="center"/>
              <w:rPr>
                <w:rFonts w:ascii="Times New Roman" w:hAnsi="Times New Roman" w:cs="Times New Roman"/>
                <w:sz w:val="18"/>
                <w:szCs w:val="18"/>
              </w:rPr>
            </w:pPr>
            <w:r w:rsidRPr="00BC7BB5">
              <w:rPr>
                <w:rFonts w:ascii="Times New Roman" w:hAnsi="Times New Roman" w:cs="Times New Roman"/>
                <w:sz w:val="18"/>
                <w:szCs w:val="18"/>
              </w:rPr>
              <w:t>+100</w:t>
            </w:r>
            <w:r w:rsidRPr="00BC7BB5">
              <w:rPr>
                <w:rStyle w:val="FootnoteReference"/>
                <w:rFonts w:ascii="Times New Roman" w:hAnsi="Times New Roman" w:cs="Times New Roman"/>
                <w:sz w:val="18"/>
                <w:szCs w:val="18"/>
              </w:rPr>
              <w:footnoteReference w:id="24"/>
            </w:r>
          </w:p>
        </w:tc>
      </w:tr>
      <w:tr w:rsidR="007823EE" w:rsidRPr="00BC7BB5" w14:paraId="758195CE" w14:textId="77777777" w:rsidTr="00FA3400">
        <w:trPr>
          <w:jc w:val="center"/>
        </w:trPr>
        <w:tc>
          <w:tcPr>
            <w:tcW w:w="685" w:type="pct"/>
            <w:vMerge/>
          </w:tcPr>
          <w:p w14:paraId="03633852" w14:textId="77777777" w:rsidR="007823EE" w:rsidRPr="00BC7BB5" w:rsidRDefault="007823EE" w:rsidP="00CB471A">
            <w:pPr>
              <w:spacing w:after="120"/>
              <w:rPr>
                <w:rFonts w:ascii="Times New Roman" w:hAnsi="Times New Roman" w:cs="Times New Roman"/>
                <w:b/>
                <w:sz w:val="18"/>
                <w:szCs w:val="18"/>
              </w:rPr>
            </w:pPr>
          </w:p>
        </w:tc>
        <w:tc>
          <w:tcPr>
            <w:tcW w:w="1589" w:type="pct"/>
            <w:shd w:val="clear" w:color="auto" w:fill="auto"/>
          </w:tcPr>
          <w:p w14:paraId="107453EC" w14:textId="6B4E879E" w:rsidR="007823EE" w:rsidRPr="00BC7BB5" w:rsidRDefault="007823EE" w:rsidP="00CB471A">
            <w:pPr>
              <w:spacing w:after="120"/>
              <w:rPr>
                <w:rFonts w:ascii="Times New Roman" w:hAnsi="Times New Roman" w:cs="Times New Roman"/>
                <w:sz w:val="18"/>
                <w:szCs w:val="18"/>
              </w:rPr>
            </w:pPr>
            <w:r w:rsidRPr="00BC7BB5">
              <w:rPr>
                <w:rFonts w:ascii="Times New Roman" w:hAnsi="Times New Roman" w:cs="Times New Roman"/>
                <w:b/>
                <w:sz w:val="18"/>
                <w:szCs w:val="18"/>
              </w:rPr>
              <w:t>IR Indicator 2.2</w:t>
            </w:r>
            <w:r w:rsidRPr="00BC7BB5">
              <w:rPr>
                <w:rFonts w:ascii="Times New Roman" w:hAnsi="Times New Roman" w:cs="Times New Roman"/>
                <w:sz w:val="18"/>
                <w:szCs w:val="18"/>
              </w:rPr>
              <w:t>: Area treated for Mediterranean fruit fly through the new Center</w:t>
            </w:r>
          </w:p>
        </w:tc>
        <w:tc>
          <w:tcPr>
            <w:tcW w:w="343" w:type="pct"/>
            <w:shd w:val="clear" w:color="auto" w:fill="auto"/>
          </w:tcPr>
          <w:p w14:paraId="59C43133" w14:textId="354DE30D" w:rsidR="007823EE" w:rsidRPr="00BC7BB5" w:rsidRDefault="007823EE" w:rsidP="00CB471A">
            <w:pPr>
              <w:spacing w:after="120"/>
              <w:jc w:val="center"/>
              <w:rPr>
                <w:rFonts w:ascii="Times New Roman" w:hAnsi="Times New Roman" w:cs="Times New Roman"/>
                <w:b/>
                <w:sz w:val="18"/>
                <w:szCs w:val="18"/>
              </w:rPr>
            </w:pPr>
          </w:p>
        </w:tc>
        <w:tc>
          <w:tcPr>
            <w:tcW w:w="643" w:type="pct"/>
            <w:shd w:val="clear" w:color="auto" w:fill="auto"/>
          </w:tcPr>
          <w:p w14:paraId="56A04F65" w14:textId="77777777" w:rsidR="007823EE" w:rsidRPr="00BC7BB5" w:rsidRDefault="007823EE" w:rsidP="00CB471A">
            <w:pPr>
              <w:spacing w:after="120"/>
              <w:jc w:val="center"/>
              <w:rPr>
                <w:rFonts w:ascii="Times New Roman" w:hAnsi="Times New Roman" w:cs="Times New Roman"/>
                <w:b/>
                <w:sz w:val="18"/>
                <w:szCs w:val="18"/>
              </w:rPr>
            </w:pPr>
            <w:r w:rsidRPr="00BC7BB5">
              <w:rPr>
                <w:rFonts w:ascii="Times New Roman" w:hAnsi="Times New Roman" w:cs="Times New Roman"/>
                <w:b/>
                <w:sz w:val="18"/>
                <w:szCs w:val="18"/>
              </w:rPr>
              <w:t>Hectares</w:t>
            </w:r>
          </w:p>
        </w:tc>
        <w:tc>
          <w:tcPr>
            <w:tcW w:w="1076" w:type="pct"/>
            <w:shd w:val="clear" w:color="auto" w:fill="auto"/>
          </w:tcPr>
          <w:p w14:paraId="5F12A7E3" w14:textId="77777777" w:rsidR="007823EE" w:rsidRPr="00BC7BB5" w:rsidRDefault="007823EE" w:rsidP="00CB471A">
            <w:pPr>
              <w:spacing w:after="120"/>
              <w:jc w:val="center"/>
              <w:rPr>
                <w:rFonts w:ascii="Times New Roman" w:hAnsi="Times New Roman" w:cs="Times New Roman"/>
                <w:sz w:val="18"/>
                <w:szCs w:val="18"/>
              </w:rPr>
            </w:pPr>
            <w:r w:rsidRPr="00BC7BB5">
              <w:rPr>
                <w:rFonts w:ascii="Times New Roman" w:hAnsi="Times New Roman" w:cs="Times New Roman"/>
                <w:sz w:val="18"/>
                <w:szCs w:val="18"/>
              </w:rPr>
              <w:t>0</w:t>
            </w:r>
          </w:p>
        </w:tc>
        <w:tc>
          <w:tcPr>
            <w:tcW w:w="664" w:type="pct"/>
            <w:shd w:val="clear" w:color="auto" w:fill="auto"/>
          </w:tcPr>
          <w:p w14:paraId="69BF9344" w14:textId="77777777" w:rsidR="007823EE" w:rsidRPr="00BC7BB5" w:rsidRDefault="007823EE" w:rsidP="00CB471A">
            <w:pPr>
              <w:spacing w:after="120"/>
              <w:jc w:val="center"/>
              <w:rPr>
                <w:rFonts w:ascii="Times New Roman" w:hAnsi="Times New Roman" w:cs="Times New Roman"/>
                <w:sz w:val="18"/>
                <w:szCs w:val="18"/>
              </w:rPr>
            </w:pPr>
            <w:r w:rsidRPr="00BC7BB5">
              <w:rPr>
                <w:rFonts w:ascii="Times New Roman" w:hAnsi="Times New Roman" w:cs="Times New Roman"/>
                <w:sz w:val="18"/>
                <w:szCs w:val="18"/>
              </w:rPr>
              <w:t>20,000</w:t>
            </w:r>
          </w:p>
        </w:tc>
      </w:tr>
      <w:tr w:rsidR="007823EE" w:rsidRPr="00BC7BB5" w14:paraId="605F6B4C" w14:textId="77777777" w:rsidTr="00FA3400">
        <w:trPr>
          <w:trHeight w:val="485"/>
          <w:jc w:val="center"/>
        </w:trPr>
        <w:tc>
          <w:tcPr>
            <w:tcW w:w="685" w:type="pct"/>
            <w:vMerge/>
          </w:tcPr>
          <w:p w14:paraId="141F853F" w14:textId="77777777" w:rsidR="007823EE" w:rsidRPr="00BC7BB5" w:rsidRDefault="007823EE" w:rsidP="00CB471A">
            <w:pPr>
              <w:spacing w:after="120"/>
              <w:rPr>
                <w:rFonts w:ascii="Times New Roman" w:hAnsi="Times New Roman" w:cs="Times New Roman"/>
                <w:b/>
                <w:sz w:val="18"/>
                <w:szCs w:val="18"/>
              </w:rPr>
            </w:pPr>
          </w:p>
        </w:tc>
        <w:tc>
          <w:tcPr>
            <w:tcW w:w="1589" w:type="pct"/>
            <w:shd w:val="clear" w:color="auto" w:fill="auto"/>
          </w:tcPr>
          <w:p w14:paraId="3DB16831" w14:textId="77777777" w:rsidR="007823EE" w:rsidRPr="00BC7BB5" w:rsidRDefault="007823EE" w:rsidP="00CB471A">
            <w:pPr>
              <w:spacing w:after="120"/>
              <w:rPr>
                <w:rFonts w:ascii="Times New Roman" w:hAnsi="Times New Roman" w:cs="Times New Roman"/>
                <w:sz w:val="18"/>
                <w:szCs w:val="18"/>
              </w:rPr>
            </w:pPr>
            <w:r w:rsidRPr="00BC7BB5">
              <w:rPr>
                <w:rFonts w:ascii="Times New Roman" w:hAnsi="Times New Roman" w:cs="Times New Roman"/>
                <w:b/>
                <w:sz w:val="18"/>
                <w:szCs w:val="18"/>
              </w:rPr>
              <w:t>IR Indicator 2.3:</w:t>
            </w:r>
            <w:r w:rsidRPr="00BC7BB5">
              <w:rPr>
                <w:rFonts w:ascii="Times New Roman" w:hAnsi="Times New Roman" w:cs="Times New Roman"/>
                <w:sz w:val="18"/>
                <w:szCs w:val="18"/>
              </w:rPr>
              <w:t xml:space="preserve"> Producers with an input register in the Souss-Massa region</w:t>
            </w:r>
          </w:p>
          <w:p w14:paraId="18476D33" w14:textId="5314DE05" w:rsidR="007823EE" w:rsidRPr="00BC7BB5" w:rsidRDefault="007823EE" w:rsidP="00CB471A">
            <w:pPr>
              <w:spacing w:after="120"/>
              <w:rPr>
                <w:rFonts w:ascii="Times New Roman" w:hAnsi="Times New Roman" w:cs="Times New Roman"/>
                <w:b/>
                <w:sz w:val="18"/>
                <w:szCs w:val="18"/>
              </w:rPr>
            </w:pPr>
            <w:r w:rsidRPr="00BC7BB5">
              <w:rPr>
                <w:rFonts w:ascii="Times New Roman" w:hAnsi="Times New Roman" w:cs="Times New Roman"/>
                <w:sz w:val="18"/>
                <w:szCs w:val="18"/>
              </w:rPr>
              <w:t>Of which, women:</w:t>
            </w:r>
          </w:p>
        </w:tc>
        <w:tc>
          <w:tcPr>
            <w:tcW w:w="343" w:type="pct"/>
            <w:shd w:val="clear" w:color="auto" w:fill="auto"/>
          </w:tcPr>
          <w:p w14:paraId="0734F08F" w14:textId="77777777" w:rsidR="007823EE" w:rsidRPr="00BC7BB5" w:rsidRDefault="007823EE" w:rsidP="00CB471A">
            <w:pPr>
              <w:spacing w:after="120"/>
              <w:jc w:val="center"/>
              <w:rPr>
                <w:rFonts w:ascii="Times New Roman" w:hAnsi="Times New Roman" w:cs="Times New Roman"/>
                <w:b/>
                <w:sz w:val="18"/>
                <w:szCs w:val="18"/>
              </w:rPr>
            </w:pPr>
          </w:p>
        </w:tc>
        <w:tc>
          <w:tcPr>
            <w:tcW w:w="643" w:type="pct"/>
            <w:shd w:val="clear" w:color="auto" w:fill="auto"/>
          </w:tcPr>
          <w:p w14:paraId="14FD45D0" w14:textId="77777777" w:rsidR="007823EE" w:rsidRPr="00BC7BB5" w:rsidRDefault="007823EE" w:rsidP="00CB471A">
            <w:pPr>
              <w:spacing w:after="120"/>
              <w:jc w:val="center"/>
              <w:rPr>
                <w:rFonts w:ascii="Times New Roman" w:hAnsi="Times New Roman" w:cs="Times New Roman"/>
                <w:b/>
                <w:sz w:val="18"/>
                <w:szCs w:val="18"/>
              </w:rPr>
            </w:pPr>
            <w:r w:rsidRPr="00BC7BB5">
              <w:rPr>
                <w:rFonts w:ascii="Times New Roman" w:hAnsi="Times New Roman" w:cs="Times New Roman"/>
                <w:b/>
                <w:sz w:val="18"/>
                <w:szCs w:val="18"/>
              </w:rPr>
              <w:t xml:space="preserve">Number </w:t>
            </w:r>
            <w:r w:rsidRPr="00BC7BB5">
              <w:rPr>
                <w:rFonts w:ascii="Times New Roman Bold" w:hAnsi="Times New Roman Bold" w:cs="Times New Roman"/>
                <w:b/>
                <w:sz w:val="18"/>
                <w:szCs w:val="18"/>
                <w:vertAlign w:val="superscript"/>
              </w:rPr>
              <w:t>(g)</w:t>
            </w:r>
          </w:p>
        </w:tc>
        <w:tc>
          <w:tcPr>
            <w:tcW w:w="1076" w:type="pct"/>
            <w:shd w:val="clear" w:color="auto" w:fill="auto"/>
          </w:tcPr>
          <w:p w14:paraId="3EED55BE" w14:textId="1EEC874C" w:rsidR="007823EE" w:rsidRPr="00BC7BB5" w:rsidRDefault="007823EE" w:rsidP="002777C3">
            <w:pPr>
              <w:jc w:val="center"/>
              <w:rPr>
                <w:rFonts w:ascii="Times New Roman" w:hAnsi="Times New Roman" w:cs="Times New Roman"/>
                <w:sz w:val="18"/>
                <w:szCs w:val="18"/>
              </w:rPr>
            </w:pPr>
            <w:r w:rsidRPr="00BC7BB5">
              <w:rPr>
                <w:rFonts w:ascii="Times New Roman" w:hAnsi="Times New Roman" w:cs="Times New Roman"/>
                <w:sz w:val="18"/>
                <w:szCs w:val="18"/>
              </w:rPr>
              <w:t>0</w:t>
            </w:r>
          </w:p>
          <w:p w14:paraId="0E261AF1" w14:textId="77777777" w:rsidR="007823EE" w:rsidRPr="00BC7BB5" w:rsidRDefault="007823EE" w:rsidP="00D1402A">
            <w:pPr>
              <w:spacing w:after="120"/>
              <w:jc w:val="center"/>
              <w:rPr>
                <w:rFonts w:ascii="Times New Roman" w:hAnsi="Times New Roman" w:cs="Times New Roman"/>
                <w:sz w:val="18"/>
                <w:szCs w:val="18"/>
              </w:rPr>
            </w:pPr>
          </w:p>
          <w:p w14:paraId="536C0850" w14:textId="5DEDFD95" w:rsidR="007823EE" w:rsidRPr="00BC7BB5" w:rsidRDefault="007823EE" w:rsidP="00D1402A">
            <w:pPr>
              <w:spacing w:after="120"/>
              <w:jc w:val="center"/>
              <w:rPr>
                <w:rFonts w:ascii="Times New Roman" w:hAnsi="Times New Roman" w:cs="Times New Roman"/>
                <w:sz w:val="18"/>
                <w:szCs w:val="18"/>
              </w:rPr>
            </w:pPr>
            <w:r w:rsidRPr="00BC7BB5">
              <w:rPr>
                <w:rFonts w:ascii="Times New Roman" w:hAnsi="Times New Roman" w:cs="Times New Roman"/>
                <w:sz w:val="18"/>
                <w:szCs w:val="18"/>
              </w:rPr>
              <w:t>0</w:t>
            </w:r>
          </w:p>
        </w:tc>
        <w:tc>
          <w:tcPr>
            <w:tcW w:w="664" w:type="pct"/>
            <w:shd w:val="clear" w:color="auto" w:fill="auto"/>
          </w:tcPr>
          <w:p w14:paraId="1B085300" w14:textId="77777777" w:rsidR="007823EE" w:rsidRPr="00BC7BB5" w:rsidRDefault="007823EE" w:rsidP="002777C3">
            <w:pPr>
              <w:jc w:val="center"/>
              <w:rPr>
                <w:rFonts w:ascii="Times New Roman" w:hAnsi="Times New Roman" w:cs="Times New Roman"/>
                <w:sz w:val="18"/>
                <w:szCs w:val="18"/>
              </w:rPr>
            </w:pPr>
            <w:r w:rsidRPr="00BC7BB5">
              <w:rPr>
                <w:rFonts w:ascii="Times New Roman" w:hAnsi="Times New Roman" w:cs="Times New Roman"/>
                <w:sz w:val="18"/>
                <w:szCs w:val="18"/>
              </w:rPr>
              <w:t>2,000</w:t>
            </w:r>
          </w:p>
          <w:p w14:paraId="34601E90" w14:textId="77777777" w:rsidR="007823EE" w:rsidRPr="00BC7BB5" w:rsidRDefault="007823EE" w:rsidP="002777C3">
            <w:pPr>
              <w:spacing w:after="120"/>
              <w:jc w:val="center"/>
              <w:rPr>
                <w:rFonts w:ascii="Times New Roman" w:hAnsi="Times New Roman" w:cs="Times New Roman"/>
                <w:sz w:val="18"/>
                <w:szCs w:val="18"/>
              </w:rPr>
            </w:pPr>
          </w:p>
          <w:p w14:paraId="7287D766" w14:textId="291ACDD3" w:rsidR="007823EE" w:rsidRPr="00BC7BB5" w:rsidRDefault="007823EE" w:rsidP="002777C3">
            <w:pPr>
              <w:spacing w:after="120"/>
              <w:jc w:val="center"/>
              <w:rPr>
                <w:rFonts w:ascii="Times New Roman" w:hAnsi="Times New Roman" w:cs="Times New Roman"/>
                <w:sz w:val="18"/>
                <w:szCs w:val="18"/>
              </w:rPr>
            </w:pPr>
            <w:r w:rsidRPr="00BC7BB5">
              <w:rPr>
                <w:rFonts w:ascii="Times New Roman" w:hAnsi="Times New Roman" w:cs="Times New Roman"/>
                <w:sz w:val="18"/>
                <w:szCs w:val="18"/>
              </w:rPr>
              <w:t>100</w:t>
            </w:r>
          </w:p>
        </w:tc>
      </w:tr>
      <w:tr w:rsidR="007823EE" w:rsidRPr="00BC7BB5" w14:paraId="1142BE1B" w14:textId="77777777" w:rsidTr="00FA3400">
        <w:trPr>
          <w:trHeight w:val="485"/>
          <w:jc w:val="center"/>
        </w:trPr>
        <w:tc>
          <w:tcPr>
            <w:tcW w:w="685" w:type="pct"/>
            <w:vMerge/>
          </w:tcPr>
          <w:p w14:paraId="02DAC04B" w14:textId="77777777" w:rsidR="007823EE" w:rsidRPr="00BC7BB5" w:rsidRDefault="007823EE" w:rsidP="00CB471A">
            <w:pPr>
              <w:spacing w:after="120"/>
              <w:rPr>
                <w:rFonts w:ascii="Times New Roman" w:hAnsi="Times New Roman" w:cs="Times New Roman"/>
                <w:b/>
                <w:sz w:val="18"/>
                <w:szCs w:val="18"/>
              </w:rPr>
            </w:pPr>
          </w:p>
        </w:tc>
        <w:tc>
          <w:tcPr>
            <w:tcW w:w="1589" w:type="pct"/>
            <w:shd w:val="clear" w:color="auto" w:fill="auto"/>
          </w:tcPr>
          <w:p w14:paraId="1D0F9DD8" w14:textId="701F9E45" w:rsidR="007823EE" w:rsidRPr="00BC7BB5" w:rsidRDefault="007823EE" w:rsidP="00CB471A">
            <w:pPr>
              <w:spacing w:after="120"/>
              <w:rPr>
                <w:rFonts w:ascii="Times New Roman" w:hAnsi="Times New Roman" w:cs="Times New Roman"/>
                <w:sz w:val="18"/>
                <w:szCs w:val="18"/>
              </w:rPr>
            </w:pPr>
            <w:r w:rsidRPr="00BC7BB5">
              <w:rPr>
                <w:rFonts w:ascii="Times New Roman" w:hAnsi="Times New Roman" w:cs="Times New Roman"/>
                <w:b/>
                <w:sz w:val="18"/>
                <w:szCs w:val="18"/>
              </w:rPr>
              <w:t>IR Indicator 2.4</w:t>
            </w:r>
            <w:r w:rsidRPr="00BC7BB5">
              <w:rPr>
                <w:rFonts w:ascii="Times New Roman" w:hAnsi="Times New Roman" w:cs="Times New Roman"/>
                <w:sz w:val="18"/>
                <w:szCs w:val="18"/>
              </w:rPr>
              <w:t xml:space="preserve">: SDOQ Products certified by the </w:t>
            </w:r>
            <w:r>
              <w:rPr>
                <w:rFonts w:ascii="Times New Roman" w:hAnsi="Times New Roman" w:cs="Times New Roman"/>
                <w:sz w:val="18"/>
                <w:szCs w:val="18"/>
              </w:rPr>
              <w:t>Certification and Control Agency (</w:t>
            </w:r>
            <w:r w:rsidRPr="00BC7BB5">
              <w:rPr>
                <w:rFonts w:ascii="Times New Roman" w:hAnsi="Times New Roman" w:cs="Times New Roman"/>
                <w:sz w:val="18"/>
                <w:szCs w:val="18"/>
              </w:rPr>
              <w:t>OCC</w:t>
            </w:r>
            <w:r>
              <w:rPr>
                <w:rFonts w:ascii="Times New Roman" w:hAnsi="Times New Roman" w:cs="Times New Roman"/>
                <w:sz w:val="18"/>
                <w:szCs w:val="18"/>
              </w:rPr>
              <w:t>)</w:t>
            </w:r>
          </w:p>
        </w:tc>
        <w:tc>
          <w:tcPr>
            <w:tcW w:w="343" w:type="pct"/>
            <w:shd w:val="clear" w:color="auto" w:fill="auto"/>
          </w:tcPr>
          <w:p w14:paraId="7B271B78" w14:textId="77777777" w:rsidR="007823EE" w:rsidRPr="00BC7BB5" w:rsidRDefault="007823EE" w:rsidP="00CB471A">
            <w:pPr>
              <w:spacing w:after="120"/>
              <w:jc w:val="center"/>
              <w:rPr>
                <w:rFonts w:ascii="Times New Roman" w:hAnsi="Times New Roman" w:cs="Times New Roman"/>
                <w:b/>
                <w:sz w:val="18"/>
                <w:szCs w:val="18"/>
              </w:rPr>
            </w:pPr>
          </w:p>
        </w:tc>
        <w:tc>
          <w:tcPr>
            <w:tcW w:w="643" w:type="pct"/>
            <w:shd w:val="clear" w:color="auto" w:fill="auto"/>
          </w:tcPr>
          <w:p w14:paraId="2655BDAF" w14:textId="77777777" w:rsidR="007823EE" w:rsidRPr="00BC7BB5" w:rsidRDefault="007823EE" w:rsidP="00CB471A">
            <w:pPr>
              <w:spacing w:after="120"/>
              <w:jc w:val="center"/>
              <w:rPr>
                <w:rFonts w:ascii="Times New Roman" w:hAnsi="Times New Roman" w:cs="Times New Roman"/>
                <w:b/>
                <w:sz w:val="18"/>
                <w:szCs w:val="18"/>
              </w:rPr>
            </w:pPr>
            <w:r w:rsidRPr="00BC7BB5">
              <w:rPr>
                <w:rFonts w:ascii="Times New Roman" w:hAnsi="Times New Roman" w:cs="Times New Roman"/>
                <w:b/>
                <w:sz w:val="18"/>
                <w:szCs w:val="18"/>
              </w:rPr>
              <w:t>Number</w:t>
            </w:r>
          </w:p>
        </w:tc>
        <w:tc>
          <w:tcPr>
            <w:tcW w:w="1076" w:type="pct"/>
            <w:shd w:val="clear" w:color="auto" w:fill="auto"/>
          </w:tcPr>
          <w:p w14:paraId="425ABC6A" w14:textId="77777777" w:rsidR="007823EE" w:rsidRPr="00BC7BB5" w:rsidRDefault="007823EE" w:rsidP="00CB471A">
            <w:pPr>
              <w:spacing w:after="120"/>
              <w:jc w:val="center"/>
              <w:rPr>
                <w:rFonts w:ascii="Times New Roman" w:hAnsi="Times New Roman" w:cs="Times New Roman"/>
                <w:sz w:val="18"/>
                <w:szCs w:val="18"/>
              </w:rPr>
            </w:pPr>
            <w:r w:rsidRPr="00BC7BB5">
              <w:rPr>
                <w:rFonts w:ascii="Times New Roman" w:hAnsi="Times New Roman" w:cs="Times New Roman"/>
                <w:sz w:val="18"/>
                <w:szCs w:val="18"/>
              </w:rPr>
              <w:t>8</w:t>
            </w:r>
          </w:p>
        </w:tc>
        <w:tc>
          <w:tcPr>
            <w:tcW w:w="664" w:type="pct"/>
            <w:shd w:val="clear" w:color="auto" w:fill="auto"/>
          </w:tcPr>
          <w:p w14:paraId="2DFB002E" w14:textId="77777777" w:rsidR="007823EE" w:rsidRPr="00BC7BB5" w:rsidRDefault="007823EE" w:rsidP="00CB471A">
            <w:pPr>
              <w:spacing w:after="120"/>
              <w:jc w:val="center"/>
              <w:rPr>
                <w:rFonts w:ascii="Times New Roman" w:hAnsi="Times New Roman" w:cs="Times New Roman"/>
                <w:sz w:val="18"/>
                <w:szCs w:val="18"/>
              </w:rPr>
            </w:pPr>
            <w:r w:rsidRPr="00BC7BB5">
              <w:rPr>
                <w:rFonts w:ascii="Times New Roman" w:hAnsi="Times New Roman" w:cs="Times New Roman"/>
                <w:sz w:val="18"/>
                <w:szCs w:val="18"/>
              </w:rPr>
              <w:t>28</w:t>
            </w:r>
          </w:p>
        </w:tc>
      </w:tr>
      <w:tr w:rsidR="007823EE" w:rsidRPr="00BC7BB5" w14:paraId="523F1F56" w14:textId="77777777" w:rsidTr="00FA3400">
        <w:trPr>
          <w:trHeight w:val="485"/>
          <w:jc w:val="center"/>
        </w:trPr>
        <w:tc>
          <w:tcPr>
            <w:tcW w:w="685" w:type="pct"/>
            <w:vMerge/>
          </w:tcPr>
          <w:p w14:paraId="0076C73E" w14:textId="77777777" w:rsidR="007823EE" w:rsidRPr="00BC7BB5" w:rsidRDefault="007823EE" w:rsidP="00CB471A">
            <w:pPr>
              <w:spacing w:after="120"/>
              <w:rPr>
                <w:rFonts w:ascii="Times New Roman" w:hAnsi="Times New Roman" w:cs="Times New Roman"/>
                <w:b/>
                <w:sz w:val="18"/>
                <w:szCs w:val="18"/>
              </w:rPr>
            </w:pPr>
          </w:p>
        </w:tc>
        <w:tc>
          <w:tcPr>
            <w:tcW w:w="1589" w:type="pct"/>
            <w:shd w:val="clear" w:color="auto" w:fill="auto"/>
          </w:tcPr>
          <w:p w14:paraId="5C3BDF1B" w14:textId="2210F365" w:rsidR="007823EE" w:rsidRPr="00BC7BB5" w:rsidRDefault="007823EE" w:rsidP="00CB471A">
            <w:pPr>
              <w:spacing w:after="120"/>
              <w:rPr>
                <w:rFonts w:ascii="Times New Roman" w:hAnsi="Times New Roman" w:cs="Times New Roman"/>
                <w:sz w:val="18"/>
                <w:szCs w:val="18"/>
              </w:rPr>
            </w:pPr>
            <w:r w:rsidRPr="00BC7BB5">
              <w:rPr>
                <w:rFonts w:ascii="Times New Roman" w:hAnsi="Times New Roman" w:cs="Times New Roman"/>
                <w:b/>
                <w:sz w:val="18"/>
                <w:szCs w:val="18"/>
              </w:rPr>
              <w:t>IR Indicator 2.5</w:t>
            </w:r>
            <w:r w:rsidRPr="00BC7BB5">
              <w:rPr>
                <w:rFonts w:ascii="Times New Roman" w:hAnsi="Times New Roman" w:cs="Times New Roman"/>
                <w:sz w:val="18"/>
                <w:szCs w:val="18"/>
              </w:rPr>
              <w:t>: Small- and medium-size producers and</w:t>
            </w:r>
            <w:r>
              <w:rPr>
                <w:rFonts w:ascii="Times New Roman" w:hAnsi="Times New Roman" w:cs="Times New Roman"/>
                <w:sz w:val="18"/>
                <w:szCs w:val="18"/>
              </w:rPr>
              <w:t>/or</w:t>
            </w:r>
            <w:r w:rsidRPr="00BC7BB5">
              <w:rPr>
                <w:rFonts w:ascii="Times New Roman" w:hAnsi="Times New Roman" w:cs="Times New Roman"/>
                <w:sz w:val="18"/>
                <w:szCs w:val="18"/>
              </w:rPr>
              <w:t xml:space="preserve"> enterprises assisted by the Agri-food Innovation Centers (CIAs) </w:t>
            </w:r>
          </w:p>
          <w:p w14:paraId="67C63B23" w14:textId="7054CF29" w:rsidR="007823EE" w:rsidRPr="00BC7BB5" w:rsidRDefault="007823EE" w:rsidP="00CB471A">
            <w:pPr>
              <w:spacing w:after="120"/>
              <w:rPr>
                <w:rFonts w:ascii="Times New Roman" w:hAnsi="Times New Roman" w:cs="Times New Roman"/>
                <w:sz w:val="18"/>
                <w:szCs w:val="18"/>
              </w:rPr>
            </w:pPr>
            <w:r w:rsidRPr="00BC7BB5">
              <w:rPr>
                <w:rFonts w:ascii="Times New Roman" w:hAnsi="Times New Roman" w:cs="Times New Roman"/>
                <w:sz w:val="18"/>
                <w:szCs w:val="18"/>
              </w:rPr>
              <w:t>Of which, women:</w:t>
            </w:r>
          </w:p>
        </w:tc>
        <w:tc>
          <w:tcPr>
            <w:tcW w:w="343" w:type="pct"/>
            <w:shd w:val="clear" w:color="auto" w:fill="auto"/>
          </w:tcPr>
          <w:p w14:paraId="3AD78E99" w14:textId="77777777" w:rsidR="007823EE" w:rsidRPr="00BC7BB5" w:rsidRDefault="007823EE" w:rsidP="00CB471A">
            <w:pPr>
              <w:spacing w:after="120"/>
              <w:jc w:val="center"/>
              <w:rPr>
                <w:rFonts w:ascii="Times New Roman" w:hAnsi="Times New Roman" w:cs="Times New Roman"/>
                <w:b/>
                <w:sz w:val="18"/>
                <w:szCs w:val="18"/>
              </w:rPr>
            </w:pPr>
            <w:r w:rsidRPr="00BC7BB5">
              <w:rPr>
                <w:rFonts w:ascii="Times New Roman" w:hAnsi="Times New Roman" w:cs="Times New Roman"/>
                <w:b/>
                <w:sz w:val="18"/>
                <w:szCs w:val="18"/>
              </w:rPr>
              <w:t>7</w:t>
            </w:r>
          </w:p>
        </w:tc>
        <w:tc>
          <w:tcPr>
            <w:tcW w:w="643" w:type="pct"/>
            <w:shd w:val="clear" w:color="auto" w:fill="auto"/>
          </w:tcPr>
          <w:p w14:paraId="6FBBC134" w14:textId="77777777" w:rsidR="007823EE" w:rsidRPr="00BC7BB5" w:rsidRDefault="007823EE" w:rsidP="00CB471A">
            <w:pPr>
              <w:spacing w:after="120"/>
              <w:jc w:val="center"/>
              <w:rPr>
                <w:rFonts w:ascii="Times New Roman Bold" w:hAnsi="Times New Roman Bold" w:cs="Times New Roman"/>
                <w:b/>
                <w:sz w:val="18"/>
                <w:szCs w:val="18"/>
                <w:vertAlign w:val="superscript"/>
              </w:rPr>
            </w:pPr>
            <w:r w:rsidRPr="00BC7BB5">
              <w:rPr>
                <w:rFonts w:ascii="Times New Roman" w:hAnsi="Times New Roman" w:cs="Times New Roman"/>
                <w:b/>
                <w:sz w:val="18"/>
                <w:szCs w:val="18"/>
              </w:rPr>
              <w:t xml:space="preserve">Number </w:t>
            </w:r>
            <w:r w:rsidRPr="00BC7BB5">
              <w:rPr>
                <w:rFonts w:ascii="Times New Roman Bold" w:hAnsi="Times New Roman Bold" w:cs="Times New Roman"/>
                <w:b/>
                <w:sz w:val="18"/>
                <w:szCs w:val="18"/>
                <w:vertAlign w:val="superscript"/>
              </w:rPr>
              <w:t>(g)</w:t>
            </w:r>
          </w:p>
          <w:p w14:paraId="587D2A59" w14:textId="77777777" w:rsidR="007823EE" w:rsidRPr="00BC7BB5" w:rsidRDefault="007823EE" w:rsidP="00CB471A">
            <w:pPr>
              <w:spacing w:after="120"/>
              <w:jc w:val="center"/>
              <w:rPr>
                <w:rFonts w:ascii="Times New Roman Bold" w:hAnsi="Times New Roman Bold" w:cs="Times New Roman"/>
                <w:b/>
                <w:sz w:val="18"/>
                <w:szCs w:val="18"/>
                <w:vertAlign w:val="superscript"/>
              </w:rPr>
            </w:pPr>
          </w:p>
          <w:p w14:paraId="619334A9" w14:textId="77777777" w:rsidR="007823EE" w:rsidRPr="00BC7BB5" w:rsidRDefault="007823EE" w:rsidP="00CB471A">
            <w:pPr>
              <w:spacing w:after="120"/>
              <w:jc w:val="center"/>
              <w:rPr>
                <w:rFonts w:ascii="Times New Roman Bold" w:hAnsi="Times New Roman Bold" w:cs="Times New Roman"/>
                <w:b/>
                <w:sz w:val="18"/>
                <w:szCs w:val="18"/>
                <w:vertAlign w:val="superscript"/>
              </w:rPr>
            </w:pPr>
          </w:p>
          <w:p w14:paraId="7A866390" w14:textId="52FE27C8" w:rsidR="007823EE" w:rsidRPr="00BC7BB5" w:rsidRDefault="007823EE" w:rsidP="00C37754">
            <w:pPr>
              <w:spacing w:after="120"/>
              <w:jc w:val="center"/>
              <w:rPr>
                <w:rFonts w:ascii="Times New Roman" w:hAnsi="Times New Roman" w:cs="Times New Roman"/>
                <w:b/>
                <w:sz w:val="18"/>
                <w:szCs w:val="18"/>
              </w:rPr>
            </w:pPr>
            <w:r w:rsidRPr="00BC7BB5">
              <w:rPr>
                <w:rFonts w:ascii="Times New Roman Bold" w:hAnsi="Times New Roman Bold" w:cs="Times New Roman"/>
                <w:b/>
                <w:sz w:val="18"/>
                <w:szCs w:val="18"/>
              </w:rPr>
              <w:t>Number</w:t>
            </w:r>
          </w:p>
        </w:tc>
        <w:tc>
          <w:tcPr>
            <w:tcW w:w="1076" w:type="pct"/>
            <w:shd w:val="clear" w:color="auto" w:fill="auto"/>
          </w:tcPr>
          <w:p w14:paraId="0872F6F3" w14:textId="77777777" w:rsidR="007823EE" w:rsidRPr="00BC7BB5" w:rsidRDefault="007823EE" w:rsidP="00CB471A">
            <w:pPr>
              <w:spacing w:after="120"/>
              <w:jc w:val="center"/>
              <w:rPr>
                <w:rFonts w:ascii="Times New Roman" w:hAnsi="Times New Roman" w:cs="Times New Roman"/>
                <w:sz w:val="18"/>
                <w:szCs w:val="18"/>
              </w:rPr>
            </w:pPr>
            <w:r w:rsidRPr="00BC7BB5">
              <w:rPr>
                <w:rFonts w:ascii="Times New Roman" w:hAnsi="Times New Roman" w:cs="Times New Roman"/>
                <w:sz w:val="18"/>
                <w:szCs w:val="18"/>
              </w:rPr>
              <w:t>0</w:t>
            </w:r>
          </w:p>
          <w:p w14:paraId="16DFB2C5" w14:textId="77777777" w:rsidR="007823EE" w:rsidRPr="00BC7BB5" w:rsidRDefault="007823EE" w:rsidP="00CB471A">
            <w:pPr>
              <w:spacing w:after="120"/>
              <w:jc w:val="center"/>
              <w:rPr>
                <w:rFonts w:ascii="Times New Roman" w:hAnsi="Times New Roman" w:cs="Times New Roman"/>
                <w:sz w:val="18"/>
                <w:szCs w:val="18"/>
              </w:rPr>
            </w:pPr>
          </w:p>
          <w:p w14:paraId="10563131" w14:textId="77777777" w:rsidR="007823EE" w:rsidRPr="00BC7BB5" w:rsidRDefault="007823EE" w:rsidP="00C37754">
            <w:pPr>
              <w:spacing w:after="120"/>
              <w:jc w:val="center"/>
              <w:rPr>
                <w:rFonts w:ascii="Times New Roman" w:hAnsi="Times New Roman" w:cs="Times New Roman"/>
                <w:sz w:val="18"/>
                <w:szCs w:val="18"/>
              </w:rPr>
            </w:pPr>
          </w:p>
          <w:p w14:paraId="10A67F4E" w14:textId="034F4D32" w:rsidR="007823EE" w:rsidRPr="00BC7BB5" w:rsidRDefault="007823EE" w:rsidP="00C37754">
            <w:pPr>
              <w:spacing w:after="120"/>
              <w:jc w:val="center"/>
              <w:rPr>
                <w:rFonts w:ascii="Times New Roman" w:hAnsi="Times New Roman" w:cs="Times New Roman"/>
                <w:sz w:val="18"/>
                <w:szCs w:val="18"/>
              </w:rPr>
            </w:pPr>
            <w:r w:rsidRPr="00BC7BB5">
              <w:rPr>
                <w:rFonts w:ascii="Times New Roman" w:hAnsi="Times New Roman" w:cs="Times New Roman"/>
                <w:sz w:val="18"/>
                <w:szCs w:val="18"/>
              </w:rPr>
              <w:t>0</w:t>
            </w:r>
          </w:p>
        </w:tc>
        <w:tc>
          <w:tcPr>
            <w:tcW w:w="664" w:type="pct"/>
            <w:shd w:val="clear" w:color="auto" w:fill="auto"/>
          </w:tcPr>
          <w:p w14:paraId="41BA0CC9" w14:textId="77777777" w:rsidR="007823EE" w:rsidRPr="00BC7BB5" w:rsidRDefault="007823EE" w:rsidP="00CB471A">
            <w:pPr>
              <w:spacing w:after="120"/>
              <w:jc w:val="center"/>
              <w:rPr>
                <w:rFonts w:ascii="Times New Roman" w:hAnsi="Times New Roman" w:cs="Times New Roman"/>
                <w:sz w:val="18"/>
                <w:szCs w:val="18"/>
              </w:rPr>
            </w:pPr>
            <w:r w:rsidRPr="00BC7BB5">
              <w:rPr>
                <w:rFonts w:ascii="Times New Roman" w:hAnsi="Times New Roman" w:cs="Times New Roman"/>
                <w:sz w:val="18"/>
                <w:szCs w:val="18"/>
              </w:rPr>
              <w:t>50</w:t>
            </w:r>
          </w:p>
          <w:p w14:paraId="26A4C626" w14:textId="77777777" w:rsidR="007823EE" w:rsidRPr="00BC7BB5" w:rsidRDefault="007823EE" w:rsidP="00CB471A">
            <w:pPr>
              <w:spacing w:after="120"/>
              <w:jc w:val="center"/>
              <w:rPr>
                <w:rFonts w:ascii="Times New Roman" w:hAnsi="Times New Roman" w:cs="Times New Roman"/>
                <w:sz w:val="18"/>
                <w:szCs w:val="18"/>
              </w:rPr>
            </w:pPr>
          </w:p>
          <w:p w14:paraId="7E67EA3B" w14:textId="77777777" w:rsidR="007823EE" w:rsidRPr="00BC7BB5" w:rsidRDefault="007823EE" w:rsidP="00CB471A">
            <w:pPr>
              <w:spacing w:after="120"/>
              <w:jc w:val="center"/>
              <w:rPr>
                <w:rFonts w:ascii="Times New Roman" w:hAnsi="Times New Roman" w:cs="Times New Roman"/>
                <w:sz w:val="18"/>
                <w:szCs w:val="18"/>
              </w:rPr>
            </w:pPr>
          </w:p>
          <w:p w14:paraId="5E6E8DB4" w14:textId="1244F2BC" w:rsidR="007823EE" w:rsidRPr="00BC7BB5" w:rsidRDefault="007823EE" w:rsidP="00CB471A">
            <w:pPr>
              <w:spacing w:after="120"/>
              <w:jc w:val="center"/>
              <w:rPr>
                <w:rFonts w:ascii="Times New Roman" w:hAnsi="Times New Roman" w:cs="Times New Roman"/>
                <w:sz w:val="18"/>
                <w:szCs w:val="18"/>
              </w:rPr>
            </w:pPr>
            <w:r>
              <w:rPr>
                <w:rFonts w:ascii="Times New Roman" w:hAnsi="Times New Roman" w:cs="Times New Roman"/>
                <w:sz w:val="18"/>
                <w:szCs w:val="18"/>
              </w:rPr>
              <w:t>5</w:t>
            </w:r>
          </w:p>
        </w:tc>
      </w:tr>
      <w:tr w:rsidR="007823EE" w:rsidRPr="00BC7BB5" w14:paraId="72558DDD" w14:textId="77777777" w:rsidTr="00FA3400">
        <w:trPr>
          <w:trHeight w:val="485"/>
          <w:jc w:val="center"/>
        </w:trPr>
        <w:tc>
          <w:tcPr>
            <w:tcW w:w="685" w:type="pct"/>
            <w:vMerge/>
          </w:tcPr>
          <w:p w14:paraId="14853052" w14:textId="77777777" w:rsidR="007823EE" w:rsidRPr="00BC7BB5" w:rsidRDefault="007823EE" w:rsidP="00CB471A">
            <w:pPr>
              <w:spacing w:after="120"/>
              <w:rPr>
                <w:rFonts w:ascii="Times New Roman" w:hAnsi="Times New Roman" w:cs="Times New Roman"/>
                <w:b/>
                <w:sz w:val="18"/>
                <w:szCs w:val="18"/>
              </w:rPr>
            </w:pPr>
          </w:p>
        </w:tc>
        <w:tc>
          <w:tcPr>
            <w:tcW w:w="1589" w:type="pct"/>
            <w:shd w:val="clear" w:color="auto" w:fill="auto"/>
          </w:tcPr>
          <w:p w14:paraId="549B7475" w14:textId="77777777" w:rsidR="007823EE" w:rsidRPr="00BC7BB5" w:rsidRDefault="007823EE" w:rsidP="00CB471A">
            <w:pPr>
              <w:spacing w:after="120"/>
              <w:rPr>
                <w:rFonts w:ascii="Times New Roman" w:hAnsi="Times New Roman" w:cs="Times New Roman"/>
                <w:sz w:val="18"/>
                <w:szCs w:val="18"/>
              </w:rPr>
            </w:pPr>
            <w:r w:rsidRPr="00BC7BB5">
              <w:rPr>
                <w:rFonts w:ascii="Times New Roman" w:hAnsi="Times New Roman" w:cs="Times New Roman"/>
                <w:b/>
                <w:sz w:val="18"/>
                <w:szCs w:val="18"/>
              </w:rPr>
              <w:t>IR Indicator 2.6</w:t>
            </w:r>
            <w:r w:rsidRPr="00BC7BB5">
              <w:rPr>
                <w:rFonts w:ascii="Times New Roman" w:hAnsi="Times New Roman" w:cs="Times New Roman"/>
                <w:sz w:val="18"/>
                <w:szCs w:val="18"/>
              </w:rPr>
              <w:t xml:space="preserve">: Projects using green practices and technologies implemented by beneficiaries of the Program </w:t>
            </w:r>
          </w:p>
        </w:tc>
        <w:tc>
          <w:tcPr>
            <w:tcW w:w="343" w:type="pct"/>
            <w:shd w:val="clear" w:color="auto" w:fill="auto"/>
          </w:tcPr>
          <w:p w14:paraId="6ACF8EF5" w14:textId="77777777" w:rsidR="007823EE" w:rsidRPr="00BC7BB5" w:rsidRDefault="007823EE" w:rsidP="00CB471A">
            <w:pPr>
              <w:spacing w:after="120"/>
              <w:jc w:val="center"/>
              <w:rPr>
                <w:rFonts w:ascii="Times New Roman" w:hAnsi="Times New Roman" w:cs="Times New Roman"/>
                <w:b/>
                <w:sz w:val="18"/>
                <w:szCs w:val="18"/>
              </w:rPr>
            </w:pPr>
          </w:p>
        </w:tc>
        <w:tc>
          <w:tcPr>
            <w:tcW w:w="643" w:type="pct"/>
            <w:shd w:val="clear" w:color="auto" w:fill="auto"/>
          </w:tcPr>
          <w:p w14:paraId="37AC40C5" w14:textId="77777777" w:rsidR="007823EE" w:rsidRPr="00BC7BB5" w:rsidRDefault="007823EE" w:rsidP="00CB471A">
            <w:pPr>
              <w:spacing w:after="120"/>
              <w:jc w:val="center"/>
              <w:rPr>
                <w:rFonts w:ascii="Times New Roman" w:hAnsi="Times New Roman" w:cs="Times New Roman"/>
                <w:b/>
                <w:sz w:val="18"/>
                <w:szCs w:val="18"/>
              </w:rPr>
            </w:pPr>
            <w:r w:rsidRPr="00BC7BB5">
              <w:rPr>
                <w:rFonts w:ascii="Times New Roman" w:hAnsi="Times New Roman" w:cs="Times New Roman"/>
                <w:b/>
                <w:sz w:val="18"/>
                <w:szCs w:val="18"/>
              </w:rPr>
              <w:t>Number</w:t>
            </w:r>
          </w:p>
        </w:tc>
        <w:tc>
          <w:tcPr>
            <w:tcW w:w="1076" w:type="pct"/>
            <w:shd w:val="clear" w:color="auto" w:fill="auto"/>
          </w:tcPr>
          <w:p w14:paraId="663D9177" w14:textId="77777777" w:rsidR="007823EE" w:rsidRPr="00BC7BB5" w:rsidRDefault="007823EE" w:rsidP="00CB471A">
            <w:pPr>
              <w:spacing w:after="120"/>
              <w:jc w:val="center"/>
              <w:rPr>
                <w:rFonts w:ascii="Times New Roman" w:hAnsi="Times New Roman" w:cs="Times New Roman"/>
                <w:sz w:val="18"/>
                <w:szCs w:val="18"/>
              </w:rPr>
            </w:pPr>
            <w:r w:rsidRPr="00BC7BB5">
              <w:rPr>
                <w:rFonts w:ascii="Times New Roman" w:hAnsi="Times New Roman" w:cs="Times New Roman"/>
                <w:sz w:val="18"/>
                <w:szCs w:val="18"/>
              </w:rPr>
              <w:t>0</w:t>
            </w:r>
          </w:p>
        </w:tc>
        <w:tc>
          <w:tcPr>
            <w:tcW w:w="664" w:type="pct"/>
            <w:shd w:val="clear" w:color="auto" w:fill="auto"/>
          </w:tcPr>
          <w:p w14:paraId="63028282" w14:textId="77777777" w:rsidR="007823EE" w:rsidRPr="00BC7BB5" w:rsidRDefault="007823EE" w:rsidP="00CB471A">
            <w:pPr>
              <w:spacing w:after="120"/>
              <w:jc w:val="center"/>
              <w:rPr>
                <w:rFonts w:ascii="Times New Roman" w:hAnsi="Times New Roman" w:cs="Times New Roman"/>
                <w:sz w:val="18"/>
                <w:szCs w:val="18"/>
                <w:highlight w:val="lightGray"/>
              </w:rPr>
            </w:pPr>
            <w:r w:rsidRPr="00BC7BB5">
              <w:rPr>
                <w:rFonts w:ascii="Times New Roman" w:hAnsi="Times New Roman" w:cs="Times New Roman"/>
                <w:sz w:val="18"/>
                <w:szCs w:val="18"/>
              </w:rPr>
              <w:t>10</w:t>
            </w:r>
          </w:p>
        </w:tc>
      </w:tr>
    </w:tbl>
    <w:p w14:paraId="573052EA" w14:textId="6A46E8F3" w:rsidR="006A0D48" w:rsidRPr="00BC7BB5" w:rsidRDefault="006A0D48" w:rsidP="006A0D48">
      <w:pPr>
        <w:pStyle w:val="ListParagraph"/>
        <w:spacing w:after="0" w:line="240" w:lineRule="auto"/>
        <w:ind w:left="390"/>
        <w:rPr>
          <w:rFonts w:ascii="Times New Roman" w:hAnsi="Times New Roman" w:cs="Times New Roman"/>
          <w:sz w:val="18"/>
          <w:szCs w:val="18"/>
        </w:rPr>
      </w:pPr>
      <w:r w:rsidRPr="00BC7BB5">
        <w:rPr>
          <w:rFonts w:ascii="Times New Roman" w:hAnsi="Times New Roman" w:cs="Times New Roman"/>
          <w:sz w:val="18"/>
          <w:szCs w:val="18"/>
        </w:rPr>
        <w:t xml:space="preserve">(g) </w:t>
      </w:r>
      <w:r w:rsidR="006C2A92">
        <w:rPr>
          <w:rFonts w:ascii="Times New Roman" w:hAnsi="Times New Roman" w:cs="Times New Roman"/>
          <w:sz w:val="18"/>
          <w:szCs w:val="18"/>
        </w:rPr>
        <w:t>gender-</w:t>
      </w:r>
      <w:r w:rsidRPr="00BC7BB5">
        <w:rPr>
          <w:rFonts w:ascii="Times New Roman" w:hAnsi="Times New Roman" w:cs="Times New Roman"/>
          <w:sz w:val="18"/>
          <w:szCs w:val="18"/>
        </w:rPr>
        <w:t>disaggregated</w:t>
      </w:r>
    </w:p>
    <w:p w14:paraId="73E9D01E" w14:textId="77777777" w:rsidR="006A0D48" w:rsidRPr="00BC7BB5" w:rsidRDefault="006A0D48" w:rsidP="006A0D48">
      <w:pPr>
        <w:pStyle w:val="ListParagraph"/>
        <w:ind w:left="390"/>
        <w:jc w:val="center"/>
        <w:rPr>
          <w:rFonts w:ascii="Times New Roman" w:hAnsi="Times New Roman" w:cs="Times New Roman"/>
          <w:b/>
        </w:rPr>
      </w:pPr>
    </w:p>
    <w:p w14:paraId="1A6A1577" w14:textId="77777777" w:rsidR="006A0D48" w:rsidRPr="00BC7BB5" w:rsidRDefault="006A0D48" w:rsidP="006A0D48">
      <w:pPr>
        <w:pStyle w:val="ListParagraph"/>
        <w:ind w:left="390"/>
        <w:jc w:val="center"/>
        <w:rPr>
          <w:rFonts w:ascii="Times New Roman" w:hAnsi="Times New Roman" w:cs="Times New Roman"/>
          <w:b/>
        </w:rPr>
      </w:pPr>
      <w:r w:rsidRPr="00BC7BB5">
        <w:rPr>
          <w:rFonts w:ascii="Times New Roman" w:hAnsi="Times New Roman" w:cs="Times New Roman"/>
          <w:b/>
        </w:rPr>
        <w:t xml:space="preserve">Indicator Description </w:t>
      </w:r>
    </w:p>
    <w:tbl>
      <w:tblPr>
        <w:tblStyle w:val="TableGrid"/>
        <w:tblW w:w="14312" w:type="dxa"/>
        <w:jc w:val="center"/>
        <w:tblLayout w:type="fixed"/>
        <w:tblLook w:val="04A0" w:firstRow="1" w:lastRow="0" w:firstColumn="1" w:lastColumn="0" w:noHBand="0" w:noVBand="1"/>
      </w:tblPr>
      <w:tblGrid>
        <w:gridCol w:w="1795"/>
        <w:gridCol w:w="3510"/>
        <w:gridCol w:w="1069"/>
        <w:gridCol w:w="1451"/>
        <w:gridCol w:w="1890"/>
        <w:gridCol w:w="1762"/>
        <w:gridCol w:w="1418"/>
        <w:gridCol w:w="1417"/>
      </w:tblGrid>
      <w:tr w:rsidR="006A0D48" w:rsidRPr="00BC7BB5" w14:paraId="31E97873" w14:textId="77777777" w:rsidTr="00FB4889">
        <w:trPr>
          <w:jc w:val="center"/>
        </w:trPr>
        <w:tc>
          <w:tcPr>
            <w:tcW w:w="1795" w:type="dxa"/>
          </w:tcPr>
          <w:p w14:paraId="72C630D2" w14:textId="77777777" w:rsidR="006A0D48" w:rsidRPr="00BC7BB5" w:rsidRDefault="006A0D48" w:rsidP="00CB471A">
            <w:pPr>
              <w:spacing w:after="120"/>
              <w:rPr>
                <w:rFonts w:ascii="Times New Roman" w:hAnsi="Times New Roman" w:cs="Times New Roman"/>
                <w:b/>
                <w:sz w:val="18"/>
                <w:szCs w:val="18"/>
              </w:rPr>
            </w:pPr>
            <w:r w:rsidRPr="00BC7BB5">
              <w:rPr>
                <w:rFonts w:ascii="Times New Roman" w:hAnsi="Times New Roman" w:cs="Times New Roman"/>
                <w:b/>
                <w:sz w:val="18"/>
                <w:szCs w:val="18"/>
              </w:rPr>
              <w:t>Indicator Name (#)</w:t>
            </w:r>
          </w:p>
        </w:tc>
        <w:tc>
          <w:tcPr>
            <w:tcW w:w="3510" w:type="dxa"/>
          </w:tcPr>
          <w:p w14:paraId="384BEA24" w14:textId="77777777" w:rsidR="006A0D48" w:rsidRPr="00BC7BB5" w:rsidRDefault="006A0D48" w:rsidP="00CB471A">
            <w:pPr>
              <w:pStyle w:val="Default"/>
              <w:autoSpaceDE/>
              <w:autoSpaceDN/>
              <w:adjustRightInd/>
              <w:spacing w:after="120"/>
              <w:rPr>
                <w:b/>
                <w:sz w:val="18"/>
                <w:szCs w:val="18"/>
              </w:rPr>
            </w:pPr>
            <w:r w:rsidRPr="00BC7BB5">
              <w:rPr>
                <w:b/>
                <w:sz w:val="18"/>
                <w:szCs w:val="18"/>
              </w:rPr>
              <w:t>Description</w:t>
            </w:r>
          </w:p>
          <w:p w14:paraId="536238AD" w14:textId="77777777" w:rsidR="006A0D48" w:rsidRPr="00BC7BB5" w:rsidRDefault="006A0D48" w:rsidP="00CB471A">
            <w:pPr>
              <w:spacing w:after="120"/>
              <w:rPr>
                <w:rFonts w:ascii="Times New Roman" w:hAnsi="Times New Roman" w:cs="Times New Roman"/>
                <w:b/>
                <w:sz w:val="18"/>
                <w:szCs w:val="18"/>
              </w:rPr>
            </w:pPr>
          </w:p>
        </w:tc>
        <w:tc>
          <w:tcPr>
            <w:tcW w:w="1069" w:type="dxa"/>
          </w:tcPr>
          <w:p w14:paraId="7A251744" w14:textId="77777777" w:rsidR="006A0D48" w:rsidRPr="00BC7BB5" w:rsidRDefault="006A0D48" w:rsidP="00CB471A">
            <w:pPr>
              <w:spacing w:after="120"/>
              <w:rPr>
                <w:rFonts w:ascii="Times New Roman" w:hAnsi="Times New Roman" w:cs="Times New Roman"/>
                <w:b/>
                <w:sz w:val="18"/>
                <w:szCs w:val="18"/>
              </w:rPr>
            </w:pPr>
            <w:r w:rsidRPr="00BC7BB5">
              <w:rPr>
                <w:rFonts w:ascii="Times New Roman" w:hAnsi="Times New Roman" w:cs="Times New Roman"/>
                <w:b/>
                <w:sz w:val="18"/>
                <w:szCs w:val="18"/>
              </w:rPr>
              <w:t>Frequency</w:t>
            </w:r>
          </w:p>
        </w:tc>
        <w:tc>
          <w:tcPr>
            <w:tcW w:w="1451" w:type="dxa"/>
          </w:tcPr>
          <w:p w14:paraId="7BFA8469" w14:textId="77777777" w:rsidR="006A0D48" w:rsidRPr="00BC7BB5" w:rsidRDefault="006A0D48" w:rsidP="00CB471A">
            <w:pPr>
              <w:spacing w:after="120"/>
              <w:jc w:val="center"/>
              <w:rPr>
                <w:rFonts w:ascii="Times New Roman" w:hAnsi="Times New Roman" w:cs="Times New Roman"/>
                <w:b/>
                <w:sz w:val="18"/>
                <w:szCs w:val="18"/>
              </w:rPr>
            </w:pPr>
            <w:r w:rsidRPr="00BC7BB5">
              <w:rPr>
                <w:rFonts w:ascii="Times New Roman" w:hAnsi="Times New Roman" w:cs="Times New Roman"/>
                <w:b/>
                <w:sz w:val="18"/>
                <w:szCs w:val="18"/>
              </w:rPr>
              <w:t>Data Source</w:t>
            </w:r>
          </w:p>
        </w:tc>
        <w:tc>
          <w:tcPr>
            <w:tcW w:w="1890" w:type="dxa"/>
          </w:tcPr>
          <w:p w14:paraId="54B6A1F6" w14:textId="77777777" w:rsidR="006A0D48" w:rsidRPr="00BC7BB5" w:rsidRDefault="006A0D48" w:rsidP="00CB471A">
            <w:pPr>
              <w:spacing w:after="120"/>
              <w:jc w:val="center"/>
              <w:rPr>
                <w:rFonts w:ascii="Times New Roman" w:hAnsi="Times New Roman" w:cs="Times New Roman"/>
                <w:b/>
                <w:sz w:val="18"/>
                <w:szCs w:val="18"/>
              </w:rPr>
            </w:pPr>
            <w:r w:rsidRPr="00BC7BB5">
              <w:rPr>
                <w:rFonts w:ascii="Times New Roman" w:hAnsi="Times New Roman" w:cs="Times New Roman"/>
                <w:b/>
                <w:sz w:val="18"/>
                <w:szCs w:val="18"/>
              </w:rPr>
              <w:t>Methodology for data collection</w:t>
            </w:r>
          </w:p>
        </w:tc>
        <w:tc>
          <w:tcPr>
            <w:tcW w:w="1762" w:type="dxa"/>
          </w:tcPr>
          <w:p w14:paraId="7D7030E8" w14:textId="77777777" w:rsidR="006A0D48" w:rsidRPr="00BC7BB5" w:rsidRDefault="006A0D48" w:rsidP="00CB471A">
            <w:pPr>
              <w:spacing w:after="120"/>
              <w:jc w:val="center"/>
              <w:rPr>
                <w:rFonts w:ascii="Times New Roman" w:hAnsi="Times New Roman" w:cs="Times New Roman"/>
                <w:b/>
                <w:sz w:val="18"/>
                <w:szCs w:val="18"/>
              </w:rPr>
            </w:pPr>
            <w:r w:rsidRPr="00BC7BB5">
              <w:rPr>
                <w:rFonts w:ascii="Times New Roman" w:hAnsi="Times New Roman" w:cs="Times New Roman"/>
                <w:b/>
                <w:sz w:val="18"/>
                <w:szCs w:val="18"/>
              </w:rPr>
              <w:t>Responsibility for Data Collection</w:t>
            </w:r>
          </w:p>
        </w:tc>
        <w:tc>
          <w:tcPr>
            <w:tcW w:w="2835" w:type="dxa"/>
            <w:gridSpan w:val="2"/>
          </w:tcPr>
          <w:p w14:paraId="54112C9D" w14:textId="77777777" w:rsidR="006A0D48" w:rsidRPr="00BC7BB5" w:rsidRDefault="006A0D48" w:rsidP="00CB471A">
            <w:pPr>
              <w:spacing w:after="120"/>
              <w:jc w:val="center"/>
              <w:rPr>
                <w:rFonts w:ascii="Times New Roman" w:hAnsi="Times New Roman" w:cs="Times New Roman"/>
                <w:b/>
                <w:sz w:val="18"/>
                <w:szCs w:val="18"/>
              </w:rPr>
            </w:pPr>
            <w:r w:rsidRPr="00BC7BB5">
              <w:rPr>
                <w:rFonts w:ascii="Times New Roman" w:hAnsi="Times New Roman" w:cs="Times New Roman"/>
                <w:b/>
                <w:sz w:val="18"/>
                <w:szCs w:val="18"/>
              </w:rPr>
              <w:t>DLI</w:t>
            </w:r>
          </w:p>
        </w:tc>
      </w:tr>
      <w:tr w:rsidR="006A0D48" w:rsidRPr="00BC7BB5" w14:paraId="2DCB9D01" w14:textId="77777777" w:rsidTr="00FB4889">
        <w:trPr>
          <w:jc w:val="center"/>
        </w:trPr>
        <w:tc>
          <w:tcPr>
            <w:tcW w:w="1795" w:type="dxa"/>
          </w:tcPr>
          <w:p w14:paraId="64BE9F74" w14:textId="77777777" w:rsidR="006A0D48" w:rsidRPr="00BC7BB5" w:rsidRDefault="006A0D48" w:rsidP="00CB471A">
            <w:pPr>
              <w:spacing w:after="120"/>
              <w:jc w:val="center"/>
              <w:rPr>
                <w:rFonts w:ascii="Times New Roman" w:hAnsi="Times New Roman" w:cs="Times New Roman"/>
                <w:b/>
                <w:sz w:val="18"/>
                <w:szCs w:val="18"/>
              </w:rPr>
            </w:pPr>
          </w:p>
        </w:tc>
        <w:tc>
          <w:tcPr>
            <w:tcW w:w="3510" w:type="dxa"/>
          </w:tcPr>
          <w:p w14:paraId="7FF81082" w14:textId="77777777" w:rsidR="006A0D48" w:rsidRPr="00BC7BB5" w:rsidRDefault="006A0D48" w:rsidP="00CB471A">
            <w:pPr>
              <w:spacing w:after="120"/>
              <w:rPr>
                <w:rFonts w:ascii="Times New Roman" w:hAnsi="Times New Roman" w:cs="Times New Roman"/>
                <w:sz w:val="18"/>
                <w:szCs w:val="18"/>
              </w:rPr>
            </w:pPr>
          </w:p>
        </w:tc>
        <w:tc>
          <w:tcPr>
            <w:tcW w:w="1069" w:type="dxa"/>
          </w:tcPr>
          <w:p w14:paraId="6A9E5697" w14:textId="77777777" w:rsidR="006A0D48" w:rsidRPr="00BC7BB5" w:rsidRDefault="006A0D48" w:rsidP="00CB471A">
            <w:pPr>
              <w:spacing w:after="120"/>
              <w:rPr>
                <w:rFonts w:ascii="Times New Roman" w:hAnsi="Times New Roman" w:cs="Times New Roman"/>
                <w:sz w:val="18"/>
                <w:szCs w:val="18"/>
              </w:rPr>
            </w:pPr>
          </w:p>
        </w:tc>
        <w:tc>
          <w:tcPr>
            <w:tcW w:w="1451" w:type="dxa"/>
          </w:tcPr>
          <w:p w14:paraId="576CD95D" w14:textId="77777777" w:rsidR="006A0D48" w:rsidRPr="00BC7BB5" w:rsidRDefault="006A0D48" w:rsidP="00CB471A">
            <w:pPr>
              <w:spacing w:after="120"/>
              <w:jc w:val="center"/>
              <w:rPr>
                <w:rFonts w:ascii="Times New Roman" w:hAnsi="Times New Roman" w:cs="Times New Roman"/>
                <w:b/>
                <w:sz w:val="18"/>
                <w:szCs w:val="18"/>
              </w:rPr>
            </w:pPr>
          </w:p>
        </w:tc>
        <w:tc>
          <w:tcPr>
            <w:tcW w:w="1890" w:type="dxa"/>
          </w:tcPr>
          <w:p w14:paraId="05DB9DF4" w14:textId="77777777" w:rsidR="006A0D48" w:rsidRPr="00BC7BB5" w:rsidRDefault="006A0D48" w:rsidP="00CB471A">
            <w:pPr>
              <w:spacing w:after="120"/>
              <w:jc w:val="center"/>
              <w:rPr>
                <w:rFonts w:ascii="Times New Roman" w:hAnsi="Times New Roman" w:cs="Times New Roman"/>
                <w:sz w:val="18"/>
                <w:szCs w:val="18"/>
              </w:rPr>
            </w:pPr>
          </w:p>
        </w:tc>
        <w:tc>
          <w:tcPr>
            <w:tcW w:w="1762" w:type="dxa"/>
          </w:tcPr>
          <w:p w14:paraId="554752F6" w14:textId="77777777" w:rsidR="006A0D48" w:rsidRPr="00BC7BB5" w:rsidRDefault="006A0D48" w:rsidP="00CB471A">
            <w:pPr>
              <w:spacing w:after="120"/>
              <w:jc w:val="center"/>
              <w:rPr>
                <w:rFonts w:ascii="Times New Roman" w:hAnsi="Times New Roman" w:cs="Times New Roman"/>
                <w:b/>
                <w:sz w:val="18"/>
                <w:szCs w:val="18"/>
              </w:rPr>
            </w:pPr>
          </w:p>
        </w:tc>
        <w:tc>
          <w:tcPr>
            <w:tcW w:w="1418" w:type="dxa"/>
            <w:shd w:val="clear" w:color="auto" w:fill="auto"/>
          </w:tcPr>
          <w:p w14:paraId="2C467F7C" w14:textId="77777777" w:rsidR="006A0D48" w:rsidRPr="00BC7BB5" w:rsidRDefault="006A0D48" w:rsidP="00CB471A">
            <w:pPr>
              <w:spacing w:after="120"/>
              <w:jc w:val="center"/>
              <w:rPr>
                <w:rFonts w:ascii="Times New Roman" w:hAnsi="Times New Roman" w:cs="Times New Roman"/>
                <w:b/>
                <w:sz w:val="18"/>
                <w:szCs w:val="18"/>
              </w:rPr>
            </w:pPr>
            <w:r w:rsidRPr="00BC7BB5">
              <w:rPr>
                <w:rFonts w:ascii="Times New Roman" w:hAnsi="Times New Roman" w:cs="Times New Roman"/>
                <w:sz w:val="18"/>
                <w:szCs w:val="18"/>
              </w:rPr>
              <w:t>Responsibility for Data Verification</w:t>
            </w:r>
          </w:p>
        </w:tc>
        <w:tc>
          <w:tcPr>
            <w:tcW w:w="1417" w:type="dxa"/>
            <w:shd w:val="clear" w:color="auto" w:fill="auto"/>
          </w:tcPr>
          <w:p w14:paraId="279582E7" w14:textId="77777777" w:rsidR="006A0D48" w:rsidRPr="00BC7BB5" w:rsidRDefault="006A0D48" w:rsidP="00CB471A">
            <w:pPr>
              <w:spacing w:after="120"/>
              <w:jc w:val="center"/>
              <w:rPr>
                <w:rFonts w:ascii="Times New Roman" w:hAnsi="Times New Roman" w:cs="Times New Roman"/>
                <w:b/>
                <w:sz w:val="18"/>
                <w:szCs w:val="18"/>
              </w:rPr>
            </w:pPr>
            <w:r w:rsidRPr="00BC7BB5">
              <w:rPr>
                <w:rFonts w:ascii="Times New Roman" w:hAnsi="Times New Roman" w:cs="Times New Roman"/>
                <w:sz w:val="18"/>
                <w:szCs w:val="18"/>
              </w:rPr>
              <w:t>Scalability of Disbursement (Yes/No)</w:t>
            </w:r>
          </w:p>
        </w:tc>
      </w:tr>
      <w:tr w:rsidR="006A0D48" w:rsidRPr="00BC7BB5" w14:paraId="7ABE9D33" w14:textId="77777777" w:rsidTr="00FB4889">
        <w:trPr>
          <w:jc w:val="center"/>
        </w:trPr>
        <w:tc>
          <w:tcPr>
            <w:tcW w:w="1795" w:type="dxa"/>
          </w:tcPr>
          <w:p w14:paraId="7752F4F8" w14:textId="5FA50DD7" w:rsidR="006A0D48" w:rsidRPr="00BC7BB5" w:rsidRDefault="006A0D48" w:rsidP="00CB471A">
            <w:pPr>
              <w:spacing w:after="120"/>
              <w:rPr>
                <w:rFonts w:ascii="Times New Roman" w:hAnsi="Times New Roman" w:cs="Times New Roman"/>
                <w:b/>
                <w:i/>
                <w:sz w:val="18"/>
                <w:szCs w:val="18"/>
              </w:rPr>
            </w:pPr>
            <w:r w:rsidRPr="00BC7BB5">
              <w:rPr>
                <w:rFonts w:ascii="Times New Roman" w:hAnsi="Times New Roman" w:cs="Times New Roman"/>
                <w:sz w:val="18"/>
                <w:szCs w:val="18"/>
              </w:rPr>
              <w:t xml:space="preserve">PDO: </w:t>
            </w:r>
            <w:r w:rsidR="00D71165" w:rsidRPr="00BC7BB5">
              <w:rPr>
                <w:rFonts w:ascii="Times New Roman" w:hAnsi="Times New Roman" w:cs="Times New Roman"/>
                <w:sz w:val="18"/>
                <w:szCs w:val="18"/>
              </w:rPr>
              <w:t>Volume of</w:t>
            </w:r>
            <w:r w:rsidRPr="00BC7BB5">
              <w:rPr>
                <w:rFonts w:ascii="Times New Roman" w:hAnsi="Times New Roman" w:cs="Times New Roman"/>
                <w:sz w:val="18"/>
                <w:szCs w:val="18"/>
              </w:rPr>
              <w:t xml:space="preserve"> added-value products commercialized</w:t>
            </w:r>
          </w:p>
        </w:tc>
        <w:tc>
          <w:tcPr>
            <w:tcW w:w="3510" w:type="dxa"/>
          </w:tcPr>
          <w:p w14:paraId="448CC47B" w14:textId="77777777" w:rsidR="006A0D48" w:rsidRPr="00BC7BB5" w:rsidRDefault="006A0D48" w:rsidP="00CB471A">
            <w:pPr>
              <w:spacing w:after="120"/>
              <w:rPr>
                <w:rFonts w:ascii="Times New Roman" w:hAnsi="Times New Roman" w:cs="Times New Roman"/>
                <w:sz w:val="18"/>
                <w:szCs w:val="18"/>
              </w:rPr>
            </w:pPr>
            <w:r w:rsidRPr="00BC7BB5">
              <w:rPr>
                <w:rFonts w:ascii="Times New Roman" w:hAnsi="Times New Roman" w:cs="Times New Roman"/>
                <w:sz w:val="18"/>
                <w:szCs w:val="18"/>
              </w:rPr>
              <w:t>The indicator includes the following:</w:t>
            </w:r>
          </w:p>
          <w:p w14:paraId="675A7C39" w14:textId="77777777" w:rsidR="006A0D48" w:rsidRPr="00BC7BB5" w:rsidRDefault="006A0D48" w:rsidP="00CB471A">
            <w:pPr>
              <w:spacing w:after="120"/>
              <w:rPr>
                <w:rFonts w:ascii="Times New Roman" w:hAnsi="Times New Roman" w:cs="Times New Roman"/>
                <w:sz w:val="18"/>
                <w:szCs w:val="18"/>
              </w:rPr>
            </w:pPr>
            <w:r w:rsidRPr="00BC7BB5">
              <w:rPr>
                <w:rFonts w:ascii="Times New Roman" w:hAnsi="Times New Roman" w:cs="Times New Roman"/>
                <w:sz w:val="18"/>
                <w:szCs w:val="18"/>
              </w:rPr>
              <w:t xml:space="preserve">(i) Volume of conditioned and exported citrus </w:t>
            </w:r>
          </w:p>
          <w:p w14:paraId="155C72DF" w14:textId="77777777" w:rsidR="006A0D48" w:rsidRPr="00BC7BB5" w:rsidRDefault="006A0D48" w:rsidP="00CB471A">
            <w:pPr>
              <w:spacing w:after="120"/>
              <w:rPr>
                <w:rFonts w:ascii="Times New Roman" w:hAnsi="Times New Roman" w:cs="Times New Roman"/>
                <w:sz w:val="18"/>
                <w:szCs w:val="18"/>
              </w:rPr>
            </w:pPr>
            <w:r w:rsidRPr="00BC7BB5">
              <w:rPr>
                <w:rFonts w:ascii="Times New Roman" w:hAnsi="Times New Roman" w:cs="Times New Roman"/>
                <w:sz w:val="18"/>
                <w:szCs w:val="18"/>
              </w:rPr>
              <w:lastRenderedPageBreak/>
              <w:t>(ii) Volume of conditioned and exported olives</w:t>
            </w:r>
          </w:p>
          <w:p w14:paraId="16AF9886" w14:textId="0ABD8BA1" w:rsidR="006A0D48" w:rsidRPr="00BC7BB5" w:rsidRDefault="006A0D48" w:rsidP="00CB471A">
            <w:pPr>
              <w:spacing w:after="120"/>
              <w:rPr>
                <w:rFonts w:ascii="Times New Roman" w:hAnsi="Times New Roman" w:cs="Times New Roman"/>
                <w:i/>
                <w:sz w:val="18"/>
                <w:szCs w:val="18"/>
              </w:rPr>
            </w:pPr>
            <w:r w:rsidRPr="00BC7BB5">
              <w:rPr>
                <w:rFonts w:ascii="Times New Roman" w:hAnsi="Times New Roman" w:cs="Times New Roman"/>
                <w:sz w:val="18"/>
                <w:szCs w:val="18"/>
              </w:rPr>
              <w:t xml:space="preserve">(iii) Volume of high quality olive oil commercialized (i.e. quality </w:t>
            </w:r>
            <w:r w:rsidR="00D71165" w:rsidRPr="00BC7BB5">
              <w:rPr>
                <w:rFonts w:ascii="Times New Roman" w:hAnsi="Times New Roman" w:cs="Times New Roman"/>
                <w:sz w:val="18"/>
                <w:szCs w:val="18"/>
              </w:rPr>
              <w:t xml:space="preserve">is </w:t>
            </w:r>
            <w:r w:rsidRPr="00BC7BB5">
              <w:rPr>
                <w:rFonts w:ascii="Times New Roman" w:hAnsi="Times New Roman" w:cs="Times New Roman"/>
                <w:sz w:val="18"/>
                <w:szCs w:val="18"/>
              </w:rPr>
              <w:t xml:space="preserve">higher than </w:t>
            </w:r>
            <w:r w:rsidRPr="00BC7BB5">
              <w:rPr>
                <w:rFonts w:ascii="Times New Roman" w:hAnsi="Times New Roman" w:cs="Times New Roman"/>
                <w:i/>
                <w:sz w:val="18"/>
                <w:szCs w:val="18"/>
              </w:rPr>
              <w:t>lampante</w:t>
            </w:r>
            <w:r w:rsidRPr="00BC7BB5">
              <w:rPr>
                <w:rFonts w:ascii="Times New Roman" w:hAnsi="Times New Roman" w:cs="Times New Roman"/>
                <w:sz w:val="18"/>
                <w:szCs w:val="18"/>
              </w:rPr>
              <w:t>)</w:t>
            </w:r>
          </w:p>
        </w:tc>
        <w:tc>
          <w:tcPr>
            <w:tcW w:w="1069" w:type="dxa"/>
          </w:tcPr>
          <w:p w14:paraId="697B1967" w14:textId="77777777" w:rsidR="006A0D48" w:rsidRPr="00BC7BB5" w:rsidRDefault="006A0D48" w:rsidP="00CB471A">
            <w:pPr>
              <w:spacing w:after="120"/>
              <w:rPr>
                <w:rFonts w:ascii="Times New Roman" w:hAnsi="Times New Roman" w:cs="Times New Roman"/>
                <w:sz w:val="18"/>
                <w:szCs w:val="18"/>
              </w:rPr>
            </w:pPr>
            <w:r w:rsidRPr="00BC7BB5">
              <w:rPr>
                <w:rFonts w:ascii="Times New Roman" w:hAnsi="Times New Roman" w:cs="Times New Roman"/>
                <w:sz w:val="18"/>
                <w:szCs w:val="18"/>
              </w:rPr>
              <w:lastRenderedPageBreak/>
              <w:t>Annual</w:t>
            </w:r>
          </w:p>
        </w:tc>
        <w:tc>
          <w:tcPr>
            <w:tcW w:w="1451" w:type="dxa"/>
          </w:tcPr>
          <w:p w14:paraId="328A849F" w14:textId="77777777" w:rsidR="006A0D48" w:rsidRPr="00BC7BB5" w:rsidRDefault="006A0D48" w:rsidP="00CB471A">
            <w:pPr>
              <w:spacing w:after="120"/>
              <w:rPr>
                <w:rFonts w:ascii="Times New Roman" w:hAnsi="Times New Roman" w:cs="Times New Roman"/>
                <w:sz w:val="18"/>
                <w:szCs w:val="18"/>
              </w:rPr>
            </w:pPr>
            <w:r w:rsidRPr="00BC7BB5">
              <w:rPr>
                <w:rFonts w:ascii="Times New Roman" w:hAnsi="Times New Roman" w:cs="Times New Roman"/>
                <w:sz w:val="18"/>
                <w:szCs w:val="18"/>
              </w:rPr>
              <w:t xml:space="preserve">Private businesses’ </w:t>
            </w:r>
            <w:r w:rsidRPr="00BC7BB5">
              <w:rPr>
                <w:rFonts w:ascii="Times New Roman" w:hAnsi="Times New Roman" w:cs="Times New Roman"/>
                <w:sz w:val="18"/>
                <w:szCs w:val="18"/>
              </w:rPr>
              <w:lastRenderedPageBreak/>
              <w:t>records and official records</w:t>
            </w:r>
          </w:p>
        </w:tc>
        <w:tc>
          <w:tcPr>
            <w:tcW w:w="1890" w:type="dxa"/>
          </w:tcPr>
          <w:p w14:paraId="070E9970" w14:textId="3128DF87" w:rsidR="006A0D48" w:rsidRPr="00BC7BB5" w:rsidRDefault="006A0D48" w:rsidP="00CB471A">
            <w:pPr>
              <w:spacing w:after="120"/>
              <w:rPr>
                <w:rFonts w:ascii="Times New Roman" w:hAnsi="Times New Roman" w:cs="Times New Roman"/>
                <w:sz w:val="18"/>
                <w:szCs w:val="18"/>
              </w:rPr>
            </w:pPr>
            <w:r w:rsidRPr="00BC7BB5">
              <w:rPr>
                <w:rFonts w:ascii="Times New Roman" w:hAnsi="Times New Roman" w:cs="Times New Roman"/>
                <w:sz w:val="18"/>
                <w:szCs w:val="18"/>
              </w:rPr>
              <w:lastRenderedPageBreak/>
              <w:t>(i) and (ii) based</w:t>
            </w:r>
            <w:r w:rsidR="00B6105C">
              <w:rPr>
                <w:rFonts w:ascii="Times New Roman" w:hAnsi="Times New Roman" w:cs="Times New Roman"/>
                <w:sz w:val="18"/>
                <w:szCs w:val="18"/>
              </w:rPr>
              <w:t xml:space="preserve"> on export approvals by EACCE</w:t>
            </w:r>
          </w:p>
          <w:p w14:paraId="562110B6" w14:textId="075B9FBA" w:rsidR="006A0D48" w:rsidRPr="00BC7BB5" w:rsidRDefault="006A0D48" w:rsidP="00CB471A">
            <w:pPr>
              <w:spacing w:after="120"/>
              <w:rPr>
                <w:rFonts w:ascii="Times New Roman" w:hAnsi="Times New Roman" w:cs="Times New Roman"/>
                <w:sz w:val="18"/>
                <w:szCs w:val="18"/>
              </w:rPr>
            </w:pPr>
            <w:r w:rsidRPr="00BC7BB5">
              <w:rPr>
                <w:rFonts w:ascii="Times New Roman" w:hAnsi="Times New Roman" w:cs="Times New Roman"/>
                <w:sz w:val="18"/>
                <w:szCs w:val="18"/>
              </w:rPr>
              <w:lastRenderedPageBreak/>
              <w:t>(iii) survey</w:t>
            </w:r>
            <w:r w:rsidR="00D71165" w:rsidRPr="00BC7BB5">
              <w:rPr>
                <w:rFonts w:ascii="Times New Roman" w:hAnsi="Times New Roman" w:cs="Times New Roman"/>
                <w:sz w:val="18"/>
                <w:szCs w:val="18"/>
              </w:rPr>
              <w:t xml:space="preserve"> by DSS</w:t>
            </w:r>
          </w:p>
        </w:tc>
        <w:tc>
          <w:tcPr>
            <w:tcW w:w="1762" w:type="dxa"/>
          </w:tcPr>
          <w:p w14:paraId="4D8B0AB5" w14:textId="77777777" w:rsidR="006A0D48" w:rsidRPr="00BC7BB5" w:rsidRDefault="006A0D48" w:rsidP="00CB471A">
            <w:pPr>
              <w:spacing w:after="120"/>
              <w:rPr>
                <w:rFonts w:ascii="Times New Roman" w:hAnsi="Times New Roman" w:cs="Times New Roman"/>
                <w:sz w:val="18"/>
                <w:szCs w:val="18"/>
              </w:rPr>
            </w:pPr>
            <w:r w:rsidRPr="00BC7BB5">
              <w:rPr>
                <w:rFonts w:ascii="Times New Roman" w:hAnsi="Times New Roman" w:cs="Times New Roman"/>
                <w:sz w:val="18"/>
                <w:szCs w:val="18"/>
              </w:rPr>
              <w:lastRenderedPageBreak/>
              <w:t>(i) Maroc citrus</w:t>
            </w:r>
          </w:p>
          <w:p w14:paraId="6A268D81" w14:textId="77777777" w:rsidR="006A0D48" w:rsidRPr="00BC7BB5" w:rsidRDefault="006A0D48" w:rsidP="00CB471A">
            <w:pPr>
              <w:spacing w:after="120"/>
              <w:rPr>
                <w:rFonts w:ascii="Times New Roman" w:hAnsi="Times New Roman" w:cs="Times New Roman"/>
                <w:sz w:val="18"/>
                <w:szCs w:val="18"/>
              </w:rPr>
            </w:pPr>
            <w:r w:rsidRPr="00BC7BB5">
              <w:rPr>
                <w:rFonts w:ascii="Times New Roman" w:hAnsi="Times New Roman" w:cs="Times New Roman"/>
                <w:sz w:val="18"/>
                <w:szCs w:val="18"/>
              </w:rPr>
              <w:t>(i) and (ii) EACCE</w:t>
            </w:r>
          </w:p>
          <w:p w14:paraId="640F8034" w14:textId="77777777" w:rsidR="006A0D48" w:rsidRPr="00BC7BB5" w:rsidRDefault="006A0D48" w:rsidP="00CB471A">
            <w:pPr>
              <w:spacing w:after="120"/>
              <w:rPr>
                <w:rFonts w:ascii="Times New Roman" w:hAnsi="Times New Roman" w:cs="Times New Roman"/>
                <w:sz w:val="18"/>
                <w:szCs w:val="18"/>
              </w:rPr>
            </w:pPr>
            <w:r w:rsidRPr="00BC7BB5">
              <w:rPr>
                <w:rFonts w:ascii="Times New Roman" w:hAnsi="Times New Roman" w:cs="Times New Roman"/>
                <w:sz w:val="18"/>
                <w:szCs w:val="18"/>
              </w:rPr>
              <w:lastRenderedPageBreak/>
              <w:t>(iii) DSS</w:t>
            </w:r>
          </w:p>
          <w:p w14:paraId="41B62BC6" w14:textId="77777777" w:rsidR="006A0D48" w:rsidRPr="00BC7BB5" w:rsidRDefault="006A0D48" w:rsidP="00CB471A">
            <w:pPr>
              <w:spacing w:after="120"/>
              <w:rPr>
                <w:rFonts w:ascii="Times New Roman" w:hAnsi="Times New Roman" w:cs="Times New Roman"/>
                <w:sz w:val="18"/>
                <w:szCs w:val="18"/>
              </w:rPr>
            </w:pPr>
          </w:p>
          <w:p w14:paraId="04BA1F74" w14:textId="77777777" w:rsidR="006A0D48" w:rsidRPr="00BC7BB5" w:rsidRDefault="006A0D48" w:rsidP="00CB471A">
            <w:pPr>
              <w:spacing w:after="120"/>
              <w:rPr>
                <w:rFonts w:ascii="Times New Roman" w:hAnsi="Times New Roman" w:cs="Times New Roman"/>
                <w:sz w:val="18"/>
                <w:szCs w:val="18"/>
              </w:rPr>
            </w:pPr>
            <w:r w:rsidRPr="00BC7BB5">
              <w:rPr>
                <w:rFonts w:ascii="Times New Roman" w:hAnsi="Times New Roman" w:cs="Times New Roman"/>
                <w:sz w:val="18"/>
                <w:szCs w:val="18"/>
              </w:rPr>
              <w:t>Data to be consolidated by the DDFP</w:t>
            </w:r>
          </w:p>
        </w:tc>
        <w:tc>
          <w:tcPr>
            <w:tcW w:w="1418" w:type="dxa"/>
            <w:shd w:val="clear" w:color="auto" w:fill="auto"/>
          </w:tcPr>
          <w:p w14:paraId="7355546B" w14:textId="77777777" w:rsidR="006A0D48" w:rsidRPr="00BC7BB5" w:rsidRDefault="006A0D48" w:rsidP="00CB471A">
            <w:pPr>
              <w:spacing w:after="120"/>
              <w:rPr>
                <w:rFonts w:ascii="Times New Roman" w:hAnsi="Times New Roman" w:cs="Times New Roman"/>
                <w:sz w:val="18"/>
                <w:szCs w:val="18"/>
              </w:rPr>
            </w:pPr>
            <w:r w:rsidRPr="00BC7BB5">
              <w:rPr>
                <w:rFonts w:ascii="Times New Roman" w:hAnsi="Times New Roman" w:cs="Times New Roman"/>
                <w:sz w:val="18"/>
                <w:szCs w:val="18"/>
              </w:rPr>
              <w:lastRenderedPageBreak/>
              <w:t>--</w:t>
            </w:r>
          </w:p>
        </w:tc>
        <w:tc>
          <w:tcPr>
            <w:tcW w:w="1417" w:type="dxa"/>
            <w:shd w:val="clear" w:color="auto" w:fill="auto"/>
          </w:tcPr>
          <w:p w14:paraId="2B947E50" w14:textId="77777777" w:rsidR="006A0D48" w:rsidRPr="00BC7BB5" w:rsidRDefault="006A0D48" w:rsidP="00CB471A">
            <w:pPr>
              <w:spacing w:after="120"/>
              <w:rPr>
                <w:rFonts w:ascii="Times New Roman" w:hAnsi="Times New Roman" w:cs="Times New Roman"/>
                <w:sz w:val="18"/>
                <w:szCs w:val="18"/>
              </w:rPr>
            </w:pPr>
            <w:r w:rsidRPr="00BC7BB5">
              <w:rPr>
                <w:rFonts w:ascii="Times New Roman" w:hAnsi="Times New Roman" w:cs="Times New Roman"/>
                <w:sz w:val="18"/>
                <w:szCs w:val="18"/>
              </w:rPr>
              <w:t>--</w:t>
            </w:r>
          </w:p>
        </w:tc>
      </w:tr>
      <w:tr w:rsidR="006A0D48" w:rsidRPr="00BC7BB5" w14:paraId="068586DF" w14:textId="77777777" w:rsidTr="00FB4889">
        <w:trPr>
          <w:jc w:val="center"/>
        </w:trPr>
        <w:tc>
          <w:tcPr>
            <w:tcW w:w="1795" w:type="dxa"/>
          </w:tcPr>
          <w:p w14:paraId="7DA19B12" w14:textId="265D1DBE" w:rsidR="006A0D48" w:rsidRPr="00BC7BB5" w:rsidRDefault="006A0D48" w:rsidP="00CB471A">
            <w:pPr>
              <w:spacing w:after="120"/>
              <w:rPr>
                <w:rFonts w:ascii="Times New Roman" w:hAnsi="Times New Roman" w:cs="Times New Roman"/>
                <w:sz w:val="18"/>
                <w:szCs w:val="18"/>
              </w:rPr>
            </w:pPr>
            <w:r w:rsidRPr="00BC7BB5">
              <w:rPr>
                <w:rFonts w:ascii="Times New Roman" w:hAnsi="Times New Roman" w:cs="Times New Roman"/>
                <w:sz w:val="18"/>
                <w:szCs w:val="18"/>
              </w:rPr>
              <w:t xml:space="preserve">IR 1.1: </w:t>
            </w:r>
            <w:r w:rsidRPr="00BC7BB5">
              <w:rPr>
                <w:rFonts w:ascii="Times New Roman" w:hAnsi="Times New Roman" w:cs="Times New Roman"/>
                <w:i/>
                <w:sz w:val="18"/>
                <w:szCs w:val="18"/>
              </w:rPr>
              <w:t xml:space="preserve">Interprofessions </w:t>
            </w:r>
            <w:r w:rsidRPr="00BC7BB5">
              <w:rPr>
                <w:rFonts w:ascii="Times New Roman" w:hAnsi="Times New Roman" w:cs="Times New Roman"/>
                <w:sz w:val="18"/>
                <w:szCs w:val="18"/>
              </w:rPr>
              <w:t xml:space="preserve">with business plan </w:t>
            </w:r>
            <w:r w:rsidR="00FA1FAE">
              <w:rPr>
                <w:rFonts w:ascii="Times New Roman" w:hAnsi="Times New Roman" w:cs="Times New Roman"/>
                <w:sz w:val="18"/>
                <w:szCs w:val="18"/>
              </w:rPr>
              <w:t xml:space="preserve">approved </w:t>
            </w:r>
            <w:r w:rsidRPr="00BC7BB5">
              <w:rPr>
                <w:rFonts w:ascii="Times New Roman" w:hAnsi="Times New Roman" w:cs="Times New Roman"/>
                <w:sz w:val="18"/>
                <w:szCs w:val="18"/>
              </w:rPr>
              <w:t xml:space="preserve">and intra-branch agreement </w:t>
            </w:r>
            <w:r w:rsidR="009A3E2A">
              <w:rPr>
                <w:rFonts w:ascii="Times New Roman" w:hAnsi="Times New Roman" w:cs="Times New Roman"/>
                <w:sz w:val="18"/>
                <w:szCs w:val="18"/>
              </w:rPr>
              <w:t>adopted</w:t>
            </w:r>
            <w:r w:rsidRPr="00BC7BB5">
              <w:rPr>
                <w:rFonts w:ascii="Times New Roman" w:hAnsi="Times New Roman" w:cs="Times New Roman"/>
                <w:sz w:val="18"/>
                <w:szCs w:val="18"/>
              </w:rPr>
              <w:t xml:space="preserve"> to ensure sustainability</w:t>
            </w:r>
          </w:p>
        </w:tc>
        <w:tc>
          <w:tcPr>
            <w:tcW w:w="3510" w:type="dxa"/>
          </w:tcPr>
          <w:p w14:paraId="5A16C4BD" w14:textId="3BFCC913" w:rsidR="006A0D48" w:rsidRPr="00BC7BB5" w:rsidRDefault="006A0D48" w:rsidP="000B035F">
            <w:pPr>
              <w:spacing w:after="120"/>
              <w:rPr>
                <w:rFonts w:ascii="Times New Roman" w:hAnsi="Times New Roman" w:cs="Times New Roman"/>
                <w:sz w:val="18"/>
                <w:szCs w:val="18"/>
              </w:rPr>
            </w:pPr>
            <w:r w:rsidRPr="00BC7BB5">
              <w:rPr>
                <w:rFonts w:ascii="Times New Roman" w:hAnsi="Times New Roman" w:cs="Times New Roman"/>
                <w:sz w:val="18"/>
                <w:szCs w:val="18"/>
              </w:rPr>
              <w:t xml:space="preserve">The two milestones to strengthen the </w:t>
            </w:r>
            <w:r w:rsidRPr="00BC7BB5">
              <w:rPr>
                <w:rFonts w:ascii="Times New Roman" w:hAnsi="Times New Roman" w:cs="Times New Roman"/>
                <w:i/>
                <w:sz w:val="18"/>
                <w:szCs w:val="18"/>
              </w:rPr>
              <w:t>Interprofessions</w:t>
            </w:r>
            <w:r w:rsidRPr="00BC7BB5">
              <w:rPr>
                <w:rFonts w:ascii="Times New Roman" w:hAnsi="Times New Roman" w:cs="Times New Roman"/>
                <w:sz w:val="18"/>
                <w:szCs w:val="18"/>
              </w:rPr>
              <w:t xml:space="preserve"> (approval of a business plan </w:t>
            </w:r>
            <w:r w:rsidR="00B6105C">
              <w:rPr>
                <w:rFonts w:ascii="Times New Roman" w:hAnsi="Times New Roman" w:cs="Times New Roman"/>
                <w:sz w:val="18"/>
                <w:szCs w:val="18"/>
              </w:rPr>
              <w:t>by the management</w:t>
            </w:r>
            <w:r w:rsidR="00C423FE" w:rsidRPr="00BC7BB5">
              <w:rPr>
                <w:rFonts w:ascii="Times New Roman" w:hAnsi="Times New Roman" w:cs="Times New Roman"/>
                <w:sz w:val="18"/>
                <w:szCs w:val="18"/>
              </w:rPr>
              <w:t xml:space="preserve"> of the interprofession and </w:t>
            </w:r>
            <w:r w:rsidR="00ED6C9F" w:rsidRPr="00BC7BB5">
              <w:rPr>
                <w:rFonts w:ascii="Times New Roman" w:hAnsi="Times New Roman" w:cs="Times New Roman"/>
                <w:sz w:val="18"/>
                <w:szCs w:val="18"/>
              </w:rPr>
              <w:t xml:space="preserve">by </w:t>
            </w:r>
            <w:r w:rsidR="00C423FE" w:rsidRPr="00BC7BB5">
              <w:rPr>
                <w:rFonts w:ascii="Times New Roman" w:hAnsi="Times New Roman" w:cs="Times New Roman"/>
                <w:sz w:val="18"/>
                <w:szCs w:val="18"/>
              </w:rPr>
              <w:t xml:space="preserve">MAPMDREF, </w:t>
            </w:r>
            <w:r w:rsidR="00B6105C">
              <w:rPr>
                <w:rFonts w:ascii="Times New Roman" w:hAnsi="Times New Roman" w:cs="Times New Roman"/>
                <w:sz w:val="18"/>
                <w:szCs w:val="18"/>
              </w:rPr>
              <w:t>and adoption</w:t>
            </w:r>
            <w:r w:rsidRPr="00BC7BB5">
              <w:rPr>
                <w:rFonts w:ascii="Times New Roman" w:hAnsi="Times New Roman" w:cs="Times New Roman"/>
                <w:sz w:val="18"/>
                <w:szCs w:val="18"/>
              </w:rPr>
              <w:t xml:space="preserve"> of an </w:t>
            </w:r>
            <w:r w:rsidRPr="00BC7BB5">
              <w:rPr>
                <w:rFonts w:ascii="Times New Roman" w:hAnsi="Times New Roman" w:cs="Times New Roman"/>
                <w:i/>
                <w:sz w:val="18"/>
                <w:szCs w:val="18"/>
              </w:rPr>
              <w:t>Accord Interprofessionnel</w:t>
            </w:r>
            <w:r w:rsidR="00C423FE" w:rsidRPr="00BC7BB5">
              <w:rPr>
                <w:rFonts w:ascii="Times New Roman" w:hAnsi="Times New Roman" w:cs="Times New Roman"/>
                <w:i/>
                <w:sz w:val="18"/>
                <w:szCs w:val="18"/>
              </w:rPr>
              <w:t xml:space="preserve"> </w:t>
            </w:r>
            <w:r w:rsidR="00C423FE" w:rsidRPr="00BC7BB5">
              <w:rPr>
                <w:rFonts w:ascii="Times New Roman" w:hAnsi="Times New Roman" w:cs="Times New Roman"/>
                <w:sz w:val="18"/>
                <w:szCs w:val="18"/>
              </w:rPr>
              <w:t>by members of the interprofession</w:t>
            </w:r>
            <w:r w:rsidR="00B6105C">
              <w:rPr>
                <w:rFonts w:ascii="Times New Roman" w:hAnsi="Times New Roman" w:cs="Times New Roman"/>
                <w:sz w:val="18"/>
                <w:szCs w:val="18"/>
              </w:rPr>
              <w:t xml:space="preserve"> through its General Assembly</w:t>
            </w:r>
            <w:r w:rsidRPr="00BC7BB5">
              <w:rPr>
                <w:rFonts w:ascii="Times New Roman" w:hAnsi="Times New Roman" w:cs="Times New Roman"/>
                <w:sz w:val="18"/>
                <w:szCs w:val="18"/>
              </w:rPr>
              <w:t>) have been completed</w:t>
            </w:r>
          </w:p>
        </w:tc>
        <w:tc>
          <w:tcPr>
            <w:tcW w:w="1069" w:type="dxa"/>
          </w:tcPr>
          <w:p w14:paraId="3686696B" w14:textId="77777777" w:rsidR="006A0D48" w:rsidRPr="00BC7BB5" w:rsidRDefault="006A0D48" w:rsidP="00CB471A">
            <w:pPr>
              <w:spacing w:after="120"/>
              <w:rPr>
                <w:rFonts w:ascii="Times New Roman" w:hAnsi="Times New Roman" w:cs="Times New Roman"/>
                <w:sz w:val="18"/>
                <w:szCs w:val="18"/>
              </w:rPr>
            </w:pPr>
            <w:r w:rsidRPr="00BC7BB5">
              <w:rPr>
                <w:rFonts w:ascii="Times New Roman" w:hAnsi="Times New Roman" w:cs="Times New Roman"/>
                <w:sz w:val="18"/>
                <w:szCs w:val="18"/>
              </w:rPr>
              <w:t>Semiannual</w:t>
            </w:r>
          </w:p>
        </w:tc>
        <w:tc>
          <w:tcPr>
            <w:tcW w:w="1451" w:type="dxa"/>
          </w:tcPr>
          <w:p w14:paraId="5D86F0C8" w14:textId="77777777" w:rsidR="006A0D48" w:rsidRPr="00BC7BB5" w:rsidRDefault="006A0D48" w:rsidP="00CB471A">
            <w:pPr>
              <w:spacing w:after="120"/>
              <w:rPr>
                <w:rFonts w:ascii="Times New Roman" w:hAnsi="Times New Roman" w:cs="Times New Roman"/>
                <w:sz w:val="18"/>
                <w:szCs w:val="18"/>
              </w:rPr>
            </w:pPr>
            <w:r w:rsidRPr="00BC7BB5">
              <w:rPr>
                <w:rFonts w:ascii="Times New Roman" w:hAnsi="Times New Roman" w:cs="Times New Roman"/>
                <w:sz w:val="18"/>
                <w:szCs w:val="18"/>
              </w:rPr>
              <w:t xml:space="preserve">Records of the </w:t>
            </w:r>
            <w:r w:rsidRPr="00BC7BB5">
              <w:rPr>
                <w:rFonts w:ascii="Times New Roman" w:hAnsi="Times New Roman" w:cs="Times New Roman"/>
                <w:i/>
                <w:sz w:val="18"/>
                <w:szCs w:val="18"/>
              </w:rPr>
              <w:t>Interprofessions</w:t>
            </w:r>
          </w:p>
        </w:tc>
        <w:tc>
          <w:tcPr>
            <w:tcW w:w="1890" w:type="dxa"/>
          </w:tcPr>
          <w:p w14:paraId="1CD00A5D" w14:textId="77777777" w:rsidR="006A0D48" w:rsidRPr="00BC7BB5" w:rsidRDefault="006A0D48" w:rsidP="00CB471A">
            <w:pPr>
              <w:spacing w:after="120"/>
              <w:rPr>
                <w:rFonts w:ascii="Times New Roman" w:hAnsi="Times New Roman" w:cs="Times New Roman"/>
                <w:sz w:val="18"/>
                <w:szCs w:val="18"/>
              </w:rPr>
            </w:pPr>
            <w:r w:rsidRPr="00BC7BB5">
              <w:rPr>
                <w:rFonts w:ascii="Times New Roman" w:hAnsi="Times New Roman" w:cs="Times New Roman"/>
                <w:sz w:val="18"/>
                <w:szCs w:val="18"/>
              </w:rPr>
              <w:t>Self-reporting</w:t>
            </w:r>
          </w:p>
        </w:tc>
        <w:tc>
          <w:tcPr>
            <w:tcW w:w="1762" w:type="dxa"/>
          </w:tcPr>
          <w:p w14:paraId="742A663A" w14:textId="77777777" w:rsidR="006A0D48" w:rsidRPr="00BC7BB5" w:rsidRDefault="006A0D48" w:rsidP="00CB471A">
            <w:pPr>
              <w:spacing w:after="120"/>
              <w:rPr>
                <w:rFonts w:ascii="Times New Roman" w:hAnsi="Times New Roman" w:cs="Times New Roman"/>
                <w:sz w:val="18"/>
                <w:szCs w:val="18"/>
              </w:rPr>
            </w:pPr>
            <w:r w:rsidRPr="00BC7BB5">
              <w:rPr>
                <w:rFonts w:ascii="Times New Roman" w:hAnsi="Times New Roman" w:cs="Times New Roman"/>
                <w:sz w:val="18"/>
                <w:szCs w:val="18"/>
              </w:rPr>
              <w:t xml:space="preserve">Data provided by the </w:t>
            </w:r>
            <w:r w:rsidRPr="00BC7BB5">
              <w:rPr>
                <w:rFonts w:ascii="Times New Roman" w:hAnsi="Times New Roman" w:cs="Times New Roman"/>
                <w:i/>
                <w:sz w:val="18"/>
                <w:szCs w:val="18"/>
              </w:rPr>
              <w:t>Interprofessions</w:t>
            </w:r>
            <w:r w:rsidRPr="00BC7BB5">
              <w:rPr>
                <w:rFonts w:ascii="Times New Roman" w:hAnsi="Times New Roman" w:cs="Times New Roman"/>
                <w:sz w:val="18"/>
                <w:szCs w:val="18"/>
              </w:rPr>
              <w:t>, information validated by the DDFP</w:t>
            </w:r>
          </w:p>
        </w:tc>
        <w:tc>
          <w:tcPr>
            <w:tcW w:w="1418" w:type="dxa"/>
            <w:shd w:val="clear" w:color="auto" w:fill="auto"/>
          </w:tcPr>
          <w:p w14:paraId="19A0B41C" w14:textId="77777777" w:rsidR="006A0D48" w:rsidRPr="00BC7BB5" w:rsidRDefault="006A0D48" w:rsidP="00CB471A">
            <w:pPr>
              <w:spacing w:after="120"/>
              <w:rPr>
                <w:rFonts w:ascii="Times New Roman" w:hAnsi="Times New Roman" w:cs="Times New Roman"/>
                <w:sz w:val="18"/>
                <w:szCs w:val="18"/>
              </w:rPr>
            </w:pPr>
            <w:r w:rsidRPr="00BC7BB5">
              <w:rPr>
                <w:rFonts w:ascii="Times New Roman" w:hAnsi="Times New Roman" w:cs="Times New Roman"/>
                <w:sz w:val="18"/>
                <w:szCs w:val="18"/>
              </w:rPr>
              <w:t>IGA</w:t>
            </w:r>
          </w:p>
        </w:tc>
        <w:tc>
          <w:tcPr>
            <w:tcW w:w="1417" w:type="dxa"/>
            <w:shd w:val="clear" w:color="auto" w:fill="auto"/>
          </w:tcPr>
          <w:p w14:paraId="452A6585" w14:textId="77777777" w:rsidR="006A0D48" w:rsidRPr="00BC7BB5" w:rsidRDefault="006A0D48" w:rsidP="00CB471A">
            <w:pPr>
              <w:spacing w:after="120"/>
              <w:rPr>
                <w:rFonts w:ascii="Times New Roman" w:hAnsi="Times New Roman" w:cs="Times New Roman"/>
                <w:sz w:val="18"/>
                <w:szCs w:val="18"/>
              </w:rPr>
            </w:pPr>
            <w:r w:rsidRPr="00BC7BB5">
              <w:rPr>
                <w:rFonts w:ascii="Times New Roman" w:hAnsi="Times New Roman" w:cs="Times New Roman"/>
                <w:sz w:val="18"/>
                <w:szCs w:val="18"/>
              </w:rPr>
              <w:t>Yes</w:t>
            </w:r>
          </w:p>
        </w:tc>
      </w:tr>
      <w:tr w:rsidR="006A0D48" w:rsidRPr="00BC7BB5" w14:paraId="158F8226" w14:textId="77777777" w:rsidTr="00FB4889">
        <w:trPr>
          <w:jc w:val="center"/>
        </w:trPr>
        <w:tc>
          <w:tcPr>
            <w:tcW w:w="1795" w:type="dxa"/>
          </w:tcPr>
          <w:p w14:paraId="4B93CD89" w14:textId="6B7A1F58" w:rsidR="006A0D48" w:rsidRPr="00BC7BB5" w:rsidRDefault="006A0D48" w:rsidP="00CB471A">
            <w:pPr>
              <w:spacing w:after="120"/>
              <w:rPr>
                <w:rFonts w:ascii="Times New Roman" w:hAnsi="Times New Roman" w:cs="Times New Roman"/>
                <w:b/>
                <w:i/>
                <w:sz w:val="18"/>
                <w:szCs w:val="18"/>
              </w:rPr>
            </w:pPr>
            <w:r w:rsidRPr="00BC7BB5">
              <w:rPr>
                <w:rFonts w:ascii="Times New Roman" w:hAnsi="Times New Roman" w:cs="Times New Roman"/>
                <w:sz w:val="18"/>
                <w:szCs w:val="18"/>
              </w:rPr>
              <w:t xml:space="preserve">IR 1.2: </w:t>
            </w:r>
            <w:r w:rsidR="00ED6C9F" w:rsidRPr="00BC7BB5">
              <w:rPr>
                <w:rFonts w:ascii="Times New Roman" w:hAnsi="Times New Roman" w:cs="Times New Roman"/>
                <w:sz w:val="18"/>
                <w:szCs w:val="18"/>
              </w:rPr>
              <w:t xml:space="preserve">Private investments in conditioning, </w:t>
            </w:r>
            <w:r w:rsidR="009A3E2A">
              <w:rPr>
                <w:rFonts w:ascii="Times New Roman" w:hAnsi="Times New Roman" w:cs="Times New Roman"/>
                <w:sz w:val="18"/>
                <w:szCs w:val="18"/>
              </w:rPr>
              <w:t xml:space="preserve">cold </w:t>
            </w:r>
            <w:r w:rsidR="00ED6C9F" w:rsidRPr="00BC7BB5">
              <w:rPr>
                <w:rFonts w:ascii="Times New Roman" w:hAnsi="Times New Roman" w:cs="Times New Roman"/>
                <w:sz w:val="18"/>
                <w:szCs w:val="18"/>
              </w:rPr>
              <w:t>storage and</w:t>
            </w:r>
            <w:r w:rsidR="009A3E2A">
              <w:rPr>
                <w:rFonts w:ascii="Times New Roman" w:hAnsi="Times New Roman" w:cs="Times New Roman"/>
                <w:sz w:val="18"/>
                <w:szCs w:val="18"/>
              </w:rPr>
              <w:t>/or</w:t>
            </w:r>
            <w:r w:rsidR="00ED6C9F" w:rsidRPr="00BC7BB5">
              <w:rPr>
                <w:rFonts w:ascii="Times New Roman" w:hAnsi="Times New Roman" w:cs="Times New Roman"/>
                <w:sz w:val="18"/>
                <w:szCs w:val="18"/>
              </w:rPr>
              <w:t xml:space="preserve"> processing </w:t>
            </w:r>
            <w:r w:rsidR="00976F7F" w:rsidRPr="00BC7BB5">
              <w:rPr>
                <w:rFonts w:ascii="Times New Roman" w:hAnsi="Times New Roman" w:cs="Times New Roman"/>
                <w:sz w:val="18"/>
                <w:szCs w:val="18"/>
              </w:rPr>
              <w:t>unit</w:t>
            </w:r>
            <w:r w:rsidR="00ED6C9F" w:rsidRPr="00BC7BB5">
              <w:rPr>
                <w:rFonts w:ascii="Times New Roman" w:hAnsi="Times New Roman" w:cs="Times New Roman"/>
                <w:sz w:val="18"/>
                <w:szCs w:val="18"/>
              </w:rPr>
              <w:t xml:space="preserve">s (olive, citrus) generated through </w:t>
            </w:r>
            <w:r w:rsidR="009A3E2A">
              <w:rPr>
                <w:rFonts w:ascii="Times New Roman" w:hAnsi="Times New Roman" w:cs="Times New Roman"/>
                <w:sz w:val="18"/>
                <w:szCs w:val="18"/>
              </w:rPr>
              <w:t>FDA</w:t>
            </w:r>
            <w:r w:rsidR="00ED6C9F" w:rsidRPr="00BC7BB5">
              <w:rPr>
                <w:rFonts w:ascii="Times New Roman" w:hAnsi="Times New Roman" w:cs="Times New Roman"/>
                <w:sz w:val="18"/>
                <w:szCs w:val="18"/>
              </w:rPr>
              <w:t xml:space="preserve"> incentives</w:t>
            </w:r>
          </w:p>
        </w:tc>
        <w:tc>
          <w:tcPr>
            <w:tcW w:w="3510" w:type="dxa"/>
          </w:tcPr>
          <w:p w14:paraId="54F52E7D" w14:textId="374725D5" w:rsidR="006A0D48" w:rsidRPr="00BC7BB5" w:rsidRDefault="006A0D48" w:rsidP="00666F1E">
            <w:pPr>
              <w:spacing w:after="120"/>
              <w:rPr>
                <w:rFonts w:ascii="Times New Roman" w:hAnsi="Times New Roman" w:cs="Times New Roman"/>
                <w:sz w:val="18"/>
                <w:szCs w:val="18"/>
              </w:rPr>
            </w:pPr>
            <w:r w:rsidRPr="00BC7BB5">
              <w:rPr>
                <w:rFonts w:ascii="Times New Roman" w:hAnsi="Times New Roman" w:cs="Times New Roman"/>
                <w:sz w:val="18"/>
                <w:szCs w:val="18"/>
              </w:rPr>
              <w:t>Value of private inve</w:t>
            </w:r>
            <w:r w:rsidR="00F04D47" w:rsidRPr="00BC7BB5">
              <w:rPr>
                <w:rFonts w:ascii="Times New Roman" w:hAnsi="Times New Roman" w:cs="Times New Roman"/>
                <w:sz w:val="18"/>
                <w:szCs w:val="18"/>
              </w:rPr>
              <w:t xml:space="preserve">stment in conditioning, </w:t>
            </w:r>
            <w:r w:rsidR="009A3E2A">
              <w:rPr>
                <w:rFonts w:ascii="Times New Roman" w:hAnsi="Times New Roman" w:cs="Times New Roman"/>
                <w:sz w:val="18"/>
                <w:szCs w:val="18"/>
              </w:rPr>
              <w:t xml:space="preserve">cold </w:t>
            </w:r>
            <w:r w:rsidRPr="00BC7BB5">
              <w:rPr>
                <w:rFonts w:ascii="Times New Roman" w:hAnsi="Times New Roman" w:cs="Times New Roman"/>
                <w:sz w:val="18"/>
                <w:szCs w:val="18"/>
              </w:rPr>
              <w:t>storage and</w:t>
            </w:r>
            <w:r w:rsidR="009A3E2A">
              <w:rPr>
                <w:rFonts w:ascii="Times New Roman" w:hAnsi="Times New Roman" w:cs="Times New Roman"/>
                <w:sz w:val="18"/>
                <w:szCs w:val="18"/>
              </w:rPr>
              <w:t>/or</w:t>
            </w:r>
            <w:r w:rsidRPr="00BC7BB5">
              <w:rPr>
                <w:rFonts w:ascii="Times New Roman" w:hAnsi="Times New Roman" w:cs="Times New Roman"/>
                <w:sz w:val="18"/>
                <w:szCs w:val="18"/>
              </w:rPr>
              <w:t xml:space="preserve"> processing </w:t>
            </w:r>
            <w:r w:rsidR="00976F7F" w:rsidRPr="00BC7BB5">
              <w:rPr>
                <w:rFonts w:ascii="Times New Roman" w:hAnsi="Times New Roman" w:cs="Times New Roman"/>
                <w:sz w:val="18"/>
                <w:szCs w:val="18"/>
              </w:rPr>
              <w:t>units</w:t>
            </w:r>
            <w:r w:rsidRPr="00BC7BB5">
              <w:rPr>
                <w:rFonts w:ascii="Times New Roman" w:hAnsi="Times New Roman" w:cs="Times New Roman"/>
                <w:sz w:val="18"/>
                <w:szCs w:val="18"/>
              </w:rPr>
              <w:t xml:space="preserve"> for projects receiving incentives from the FDA (olive, citrus)</w:t>
            </w:r>
            <w:r w:rsidR="00666F1E" w:rsidRPr="00BC7BB5">
              <w:rPr>
                <w:rFonts w:ascii="Times New Roman" w:hAnsi="Times New Roman" w:cs="Times New Roman"/>
                <w:sz w:val="18"/>
                <w:szCs w:val="18"/>
              </w:rPr>
              <w:t xml:space="preserve"> under adjusted modalities</w:t>
            </w:r>
            <w:r w:rsidR="00ED6C9F" w:rsidRPr="00BC7BB5">
              <w:rPr>
                <w:rFonts w:ascii="Times New Roman" w:hAnsi="Times New Roman" w:cs="Times New Roman"/>
                <w:sz w:val="18"/>
                <w:szCs w:val="18"/>
              </w:rPr>
              <w:t xml:space="preserve"> for appraisal and monitoring by MAPMDREF.</w:t>
            </w:r>
          </w:p>
        </w:tc>
        <w:tc>
          <w:tcPr>
            <w:tcW w:w="1069" w:type="dxa"/>
          </w:tcPr>
          <w:p w14:paraId="5D0544E1" w14:textId="77777777" w:rsidR="006A0D48" w:rsidRPr="00BC7BB5" w:rsidRDefault="006A0D48" w:rsidP="00CB471A">
            <w:pPr>
              <w:spacing w:after="120"/>
              <w:rPr>
                <w:rFonts w:ascii="Times New Roman" w:hAnsi="Times New Roman" w:cs="Times New Roman"/>
                <w:sz w:val="18"/>
                <w:szCs w:val="18"/>
              </w:rPr>
            </w:pPr>
            <w:r w:rsidRPr="00BC7BB5">
              <w:rPr>
                <w:rFonts w:ascii="Times New Roman" w:hAnsi="Times New Roman" w:cs="Times New Roman"/>
                <w:sz w:val="18"/>
                <w:szCs w:val="18"/>
              </w:rPr>
              <w:t>Annual</w:t>
            </w:r>
          </w:p>
        </w:tc>
        <w:tc>
          <w:tcPr>
            <w:tcW w:w="1451" w:type="dxa"/>
          </w:tcPr>
          <w:p w14:paraId="2E30614D" w14:textId="77777777" w:rsidR="006A0D48" w:rsidRPr="00BC7BB5" w:rsidRDefault="006A0D48" w:rsidP="00CB471A">
            <w:pPr>
              <w:spacing w:after="120"/>
              <w:rPr>
                <w:rFonts w:ascii="Times New Roman" w:hAnsi="Times New Roman" w:cs="Times New Roman"/>
                <w:sz w:val="18"/>
                <w:szCs w:val="18"/>
              </w:rPr>
            </w:pPr>
            <w:r w:rsidRPr="00BC7BB5">
              <w:rPr>
                <w:rFonts w:ascii="Times New Roman" w:hAnsi="Times New Roman" w:cs="Times New Roman"/>
                <w:sz w:val="18"/>
                <w:szCs w:val="18"/>
              </w:rPr>
              <w:t>Official records of the DF</w:t>
            </w:r>
          </w:p>
        </w:tc>
        <w:tc>
          <w:tcPr>
            <w:tcW w:w="1890" w:type="dxa"/>
          </w:tcPr>
          <w:p w14:paraId="1111A097" w14:textId="77777777" w:rsidR="006A0D48" w:rsidRPr="00BC7BB5" w:rsidRDefault="006A0D48" w:rsidP="00CB471A">
            <w:pPr>
              <w:spacing w:after="120"/>
              <w:rPr>
                <w:rFonts w:ascii="Times New Roman" w:hAnsi="Times New Roman" w:cs="Times New Roman"/>
                <w:sz w:val="18"/>
                <w:szCs w:val="18"/>
                <w:highlight w:val="lightGray"/>
              </w:rPr>
            </w:pPr>
            <w:r w:rsidRPr="00BC7BB5">
              <w:rPr>
                <w:rFonts w:ascii="Times New Roman" w:hAnsi="Times New Roman" w:cs="Times New Roman"/>
                <w:sz w:val="18"/>
                <w:szCs w:val="18"/>
              </w:rPr>
              <w:t xml:space="preserve">Data collected by DF through the </w:t>
            </w:r>
            <w:r w:rsidRPr="00BC7BB5">
              <w:rPr>
                <w:rFonts w:ascii="Times New Roman" w:hAnsi="Times New Roman" w:cs="Times New Roman"/>
                <w:i/>
                <w:sz w:val="18"/>
                <w:szCs w:val="18"/>
              </w:rPr>
              <w:t>guichets uniques</w:t>
            </w:r>
            <w:r w:rsidRPr="00BC7BB5">
              <w:rPr>
                <w:rFonts w:ascii="Times New Roman" w:hAnsi="Times New Roman" w:cs="Times New Roman"/>
                <w:sz w:val="18"/>
                <w:szCs w:val="18"/>
              </w:rPr>
              <w:t xml:space="preserve"> as part of information provided by proponents </w:t>
            </w:r>
          </w:p>
        </w:tc>
        <w:tc>
          <w:tcPr>
            <w:tcW w:w="1762" w:type="dxa"/>
          </w:tcPr>
          <w:p w14:paraId="6C4A7D9F" w14:textId="77777777" w:rsidR="006A0D48" w:rsidRPr="00BC7BB5" w:rsidRDefault="006A0D48" w:rsidP="00CB471A">
            <w:pPr>
              <w:spacing w:after="120"/>
              <w:rPr>
                <w:rFonts w:ascii="Times New Roman" w:hAnsi="Times New Roman" w:cs="Times New Roman"/>
                <w:sz w:val="18"/>
                <w:szCs w:val="18"/>
              </w:rPr>
            </w:pPr>
            <w:r w:rsidRPr="00BC7BB5">
              <w:rPr>
                <w:rFonts w:ascii="Times New Roman" w:hAnsi="Times New Roman" w:cs="Times New Roman"/>
                <w:sz w:val="18"/>
                <w:szCs w:val="18"/>
              </w:rPr>
              <w:t xml:space="preserve">DF </w:t>
            </w:r>
          </w:p>
        </w:tc>
        <w:tc>
          <w:tcPr>
            <w:tcW w:w="1418" w:type="dxa"/>
            <w:shd w:val="clear" w:color="auto" w:fill="auto"/>
          </w:tcPr>
          <w:p w14:paraId="00C22285" w14:textId="77777777" w:rsidR="006A0D48" w:rsidRPr="00BC7BB5" w:rsidRDefault="006A0D48" w:rsidP="00CB471A">
            <w:pPr>
              <w:spacing w:after="120"/>
              <w:rPr>
                <w:rFonts w:ascii="Times New Roman" w:hAnsi="Times New Roman" w:cs="Times New Roman"/>
                <w:sz w:val="18"/>
                <w:szCs w:val="18"/>
                <w:highlight w:val="lightGray"/>
              </w:rPr>
            </w:pPr>
            <w:r w:rsidRPr="00BC7BB5">
              <w:rPr>
                <w:rFonts w:ascii="Times New Roman" w:hAnsi="Times New Roman" w:cs="Times New Roman"/>
                <w:sz w:val="18"/>
                <w:szCs w:val="18"/>
              </w:rPr>
              <w:t>--</w:t>
            </w:r>
          </w:p>
        </w:tc>
        <w:tc>
          <w:tcPr>
            <w:tcW w:w="1417" w:type="dxa"/>
            <w:shd w:val="clear" w:color="auto" w:fill="auto"/>
          </w:tcPr>
          <w:p w14:paraId="32B2EF35" w14:textId="77777777" w:rsidR="006A0D48" w:rsidRPr="00BC7BB5" w:rsidRDefault="006A0D48" w:rsidP="00CB471A">
            <w:pPr>
              <w:spacing w:after="120"/>
              <w:rPr>
                <w:rFonts w:ascii="Times New Roman" w:hAnsi="Times New Roman" w:cs="Times New Roman"/>
                <w:sz w:val="18"/>
                <w:szCs w:val="18"/>
              </w:rPr>
            </w:pPr>
            <w:r w:rsidRPr="00BC7BB5">
              <w:rPr>
                <w:rFonts w:ascii="Times New Roman" w:hAnsi="Times New Roman" w:cs="Times New Roman"/>
                <w:sz w:val="18"/>
                <w:szCs w:val="18"/>
              </w:rPr>
              <w:t>--</w:t>
            </w:r>
          </w:p>
        </w:tc>
      </w:tr>
      <w:tr w:rsidR="00C83346" w:rsidRPr="00BC7BB5" w14:paraId="1F815115" w14:textId="77777777" w:rsidTr="00FB4889">
        <w:trPr>
          <w:jc w:val="center"/>
        </w:trPr>
        <w:tc>
          <w:tcPr>
            <w:tcW w:w="1795" w:type="dxa"/>
          </w:tcPr>
          <w:p w14:paraId="4BD6515F" w14:textId="44115B5A" w:rsidR="00C83346" w:rsidRPr="00BC7BB5" w:rsidRDefault="00C83346" w:rsidP="00CB471A">
            <w:pPr>
              <w:spacing w:after="120"/>
              <w:rPr>
                <w:rFonts w:ascii="Times New Roman" w:hAnsi="Times New Roman" w:cs="Times New Roman"/>
                <w:sz w:val="18"/>
                <w:szCs w:val="18"/>
              </w:rPr>
            </w:pPr>
            <w:r w:rsidRPr="00BC7BB5">
              <w:rPr>
                <w:rFonts w:ascii="Times New Roman" w:hAnsi="Times New Roman" w:cs="Times New Roman"/>
                <w:sz w:val="18"/>
                <w:szCs w:val="18"/>
              </w:rPr>
              <w:t>IR 1.3: Amended Law</w:t>
            </w:r>
            <w:r w:rsidR="009A3E2A">
              <w:rPr>
                <w:rFonts w:ascii="Times New Roman" w:hAnsi="Times New Roman" w:cs="Times New Roman"/>
                <w:sz w:val="18"/>
                <w:szCs w:val="18"/>
              </w:rPr>
              <w:t xml:space="preserve"> no. 4-12</w:t>
            </w:r>
            <w:r w:rsidRPr="00BC7BB5">
              <w:rPr>
                <w:rFonts w:ascii="Times New Roman" w:hAnsi="Times New Roman" w:cs="Times New Roman"/>
                <w:sz w:val="18"/>
                <w:szCs w:val="18"/>
              </w:rPr>
              <w:t xml:space="preserve"> on </w:t>
            </w:r>
            <w:r w:rsidR="006C2A92">
              <w:rPr>
                <w:rFonts w:ascii="Times New Roman" w:hAnsi="Times New Roman" w:cs="Times New Roman"/>
                <w:sz w:val="18"/>
                <w:szCs w:val="18"/>
              </w:rPr>
              <w:t xml:space="preserve">agricultural </w:t>
            </w:r>
            <w:r w:rsidRPr="00BC7BB5">
              <w:rPr>
                <w:rFonts w:ascii="Times New Roman" w:hAnsi="Times New Roman" w:cs="Times New Roman"/>
                <w:sz w:val="18"/>
                <w:szCs w:val="18"/>
              </w:rPr>
              <w:t xml:space="preserve">aggregation </w:t>
            </w:r>
            <w:r w:rsidR="006C2A92">
              <w:rPr>
                <w:rFonts w:ascii="Times New Roman" w:hAnsi="Times New Roman" w:cs="Times New Roman"/>
                <w:sz w:val="18"/>
                <w:szCs w:val="18"/>
              </w:rPr>
              <w:t xml:space="preserve">dated 2012 </w:t>
            </w:r>
            <w:r w:rsidR="009A3E2A">
              <w:rPr>
                <w:rFonts w:ascii="Times New Roman" w:hAnsi="Times New Roman" w:cs="Times New Roman"/>
                <w:sz w:val="18"/>
                <w:szCs w:val="18"/>
              </w:rPr>
              <w:t>is under implementation</w:t>
            </w:r>
          </w:p>
        </w:tc>
        <w:tc>
          <w:tcPr>
            <w:tcW w:w="3510" w:type="dxa"/>
          </w:tcPr>
          <w:p w14:paraId="77FC8BD1" w14:textId="1BC79530" w:rsidR="00C83346" w:rsidRPr="00BC7BB5" w:rsidRDefault="00C83346" w:rsidP="00CB471A">
            <w:pPr>
              <w:spacing w:after="120"/>
              <w:rPr>
                <w:rFonts w:ascii="Times New Roman" w:hAnsi="Times New Roman" w:cs="Times New Roman"/>
                <w:sz w:val="18"/>
                <w:szCs w:val="18"/>
              </w:rPr>
            </w:pPr>
            <w:r w:rsidRPr="00BC7BB5">
              <w:rPr>
                <w:rFonts w:ascii="Times New Roman" w:hAnsi="Times New Roman" w:cs="Times New Roman"/>
                <w:sz w:val="18"/>
                <w:szCs w:val="18"/>
              </w:rPr>
              <w:t xml:space="preserve">The Law on aggregation has been amended to allow direct sales of products from aggregation projects to supermarkets and other modern commercial entities. </w:t>
            </w:r>
            <w:r w:rsidR="00067D12" w:rsidRPr="00BC7BB5">
              <w:rPr>
                <w:rFonts w:ascii="Times New Roman" w:hAnsi="Times New Roman" w:cs="Times New Roman"/>
                <w:sz w:val="18"/>
                <w:szCs w:val="18"/>
              </w:rPr>
              <w:t xml:space="preserve">The related Implementation Decree and </w:t>
            </w:r>
            <w:r w:rsidR="00067D12" w:rsidRPr="00BC7BB5">
              <w:rPr>
                <w:rFonts w:ascii="Times New Roman" w:hAnsi="Times New Roman" w:cs="Times New Roman"/>
                <w:i/>
                <w:sz w:val="18"/>
                <w:szCs w:val="18"/>
              </w:rPr>
              <w:t>arrêtés</w:t>
            </w:r>
            <w:r w:rsidR="00067D12" w:rsidRPr="00BC7BB5">
              <w:rPr>
                <w:rFonts w:ascii="Times New Roman" w:hAnsi="Times New Roman" w:cs="Times New Roman"/>
                <w:sz w:val="18"/>
                <w:szCs w:val="18"/>
              </w:rPr>
              <w:t xml:space="preserve"> have been published. </w:t>
            </w:r>
          </w:p>
        </w:tc>
        <w:tc>
          <w:tcPr>
            <w:tcW w:w="1069" w:type="dxa"/>
          </w:tcPr>
          <w:p w14:paraId="2E8CB6C1" w14:textId="49DF9367" w:rsidR="00C83346" w:rsidRPr="00BC7BB5" w:rsidRDefault="00067D12" w:rsidP="00CB471A">
            <w:pPr>
              <w:spacing w:after="120"/>
              <w:rPr>
                <w:rFonts w:ascii="Times New Roman" w:hAnsi="Times New Roman" w:cs="Times New Roman"/>
                <w:sz w:val="18"/>
                <w:szCs w:val="18"/>
              </w:rPr>
            </w:pPr>
            <w:r w:rsidRPr="00BC7BB5">
              <w:rPr>
                <w:rFonts w:ascii="Times New Roman" w:hAnsi="Times New Roman" w:cs="Times New Roman"/>
                <w:sz w:val="18"/>
                <w:szCs w:val="18"/>
              </w:rPr>
              <w:t>Annual</w:t>
            </w:r>
          </w:p>
        </w:tc>
        <w:tc>
          <w:tcPr>
            <w:tcW w:w="1451" w:type="dxa"/>
          </w:tcPr>
          <w:p w14:paraId="15180F7D" w14:textId="77777777" w:rsidR="00C83346" w:rsidRDefault="00067D12" w:rsidP="00CB471A">
            <w:pPr>
              <w:spacing w:after="120"/>
              <w:rPr>
                <w:rFonts w:ascii="Times New Roman" w:hAnsi="Times New Roman" w:cs="Times New Roman"/>
                <w:sz w:val="18"/>
                <w:szCs w:val="18"/>
              </w:rPr>
            </w:pPr>
            <w:r w:rsidRPr="00BC7BB5">
              <w:rPr>
                <w:rFonts w:ascii="Times New Roman" w:hAnsi="Times New Roman" w:cs="Times New Roman"/>
                <w:sz w:val="18"/>
                <w:szCs w:val="18"/>
              </w:rPr>
              <w:t>Official Bulletin</w:t>
            </w:r>
          </w:p>
          <w:p w14:paraId="674BDE41" w14:textId="78B8D5DC" w:rsidR="009A3E2A" w:rsidRPr="009A3E2A" w:rsidRDefault="009A3E2A" w:rsidP="00CB471A">
            <w:pPr>
              <w:spacing w:after="120"/>
              <w:rPr>
                <w:rFonts w:ascii="Times New Roman" w:hAnsi="Times New Roman" w:cs="Times New Roman"/>
                <w:sz w:val="20"/>
                <w:szCs w:val="20"/>
              </w:rPr>
            </w:pPr>
            <w:r w:rsidRPr="009A3E2A">
              <w:rPr>
                <w:rFonts w:ascii="Times New Roman" w:hAnsi="Times New Roman" w:cs="Times New Roman"/>
                <w:sz w:val="20"/>
                <w:szCs w:val="20"/>
              </w:rPr>
              <w:t>Minutes of the Government Council</w:t>
            </w:r>
          </w:p>
        </w:tc>
        <w:tc>
          <w:tcPr>
            <w:tcW w:w="1890" w:type="dxa"/>
          </w:tcPr>
          <w:p w14:paraId="649A6324" w14:textId="57A3A20D" w:rsidR="00C83346" w:rsidRPr="00BC7BB5" w:rsidRDefault="00067D12" w:rsidP="00CB471A">
            <w:pPr>
              <w:spacing w:after="120"/>
              <w:rPr>
                <w:rFonts w:ascii="Times New Roman" w:hAnsi="Times New Roman" w:cs="Times New Roman"/>
                <w:sz w:val="18"/>
                <w:szCs w:val="18"/>
              </w:rPr>
            </w:pPr>
            <w:r w:rsidRPr="00BC7BB5">
              <w:rPr>
                <w:rFonts w:ascii="Times New Roman" w:hAnsi="Times New Roman" w:cs="Times New Roman"/>
                <w:sz w:val="18"/>
                <w:szCs w:val="18"/>
              </w:rPr>
              <w:t>Official Bulletin publications, collected by DDFP</w:t>
            </w:r>
          </w:p>
        </w:tc>
        <w:tc>
          <w:tcPr>
            <w:tcW w:w="1762" w:type="dxa"/>
          </w:tcPr>
          <w:p w14:paraId="11DA3BC4" w14:textId="1A9444AA" w:rsidR="00C83346" w:rsidRPr="00BC7BB5" w:rsidRDefault="00067D12" w:rsidP="00CB471A">
            <w:pPr>
              <w:spacing w:after="120"/>
              <w:rPr>
                <w:rFonts w:ascii="Times New Roman" w:hAnsi="Times New Roman" w:cs="Times New Roman"/>
                <w:sz w:val="18"/>
                <w:szCs w:val="18"/>
              </w:rPr>
            </w:pPr>
            <w:r w:rsidRPr="00BC7BB5">
              <w:rPr>
                <w:rFonts w:ascii="Times New Roman" w:hAnsi="Times New Roman" w:cs="Times New Roman"/>
                <w:sz w:val="18"/>
                <w:szCs w:val="18"/>
              </w:rPr>
              <w:t>DDFP</w:t>
            </w:r>
            <w:r w:rsidR="009A3E2A">
              <w:rPr>
                <w:rFonts w:ascii="Times New Roman" w:hAnsi="Times New Roman" w:cs="Times New Roman"/>
                <w:sz w:val="18"/>
                <w:szCs w:val="18"/>
              </w:rPr>
              <w:t>/ADA</w:t>
            </w:r>
          </w:p>
        </w:tc>
        <w:tc>
          <w:tcPr>
            <w:tcW w:w="1418" w:type="dxa"/>
            <w:shd w:val="clear" w:color="auto" w:fill="auto"/>
          </w:tcPr>
          <w:p w14:paraId="7C337FF4" w14:textId="128D3CB2" w:rsidR="00C83346" w:rsidRPr="00BC7BB5" w:rsidRDefault="00067D12" w:rsidP="00CB471A">
            <w:pPr>
              <w:spacing w:after="120"/>
              <w:rPr>
                <w:rFonts w:ascii="Times New Roman" w:hAnsi="Times New Roman" w:cs="Times New Roman"/>
                <w:sz w:val="18"/>
                <w:szCs w:val="18"/>
              </w:rPr>
            </w:pPr>
            <w:r w:rsidRPr="00BC7BB5">
              <w:rPr>
                <w:rFonts w:ascii="Times New Roman" w:hAnsi="Times New Roman" w:cs="Times New Roman"/>
                <w:sz w:val="18"/>
                <w:szCs w:val="18"/>
              </w:rPr>
              <w:t>IGA</w:t>
            </w:r>
          </w:p>
        </w:tc>
        <w:tc>
          <w:tcPr>
            <w:tcW w:w="1417" w:type="dxa"/>
            <w:shd w:val="clear" w:color="auto" w:fill="auto"/>
          </w:tcPr>
          <w:p w14:paraId="5EC0A4DB" w14:textId="5CF38B45" w:rsidR="00C83346" w:rsidRPr="00BC7BB5" w:rsidRDefault="00067D12" w:rsidP="00CB471A">
            <w:pPr>
              <w:spacing w:after="120"/>
              <w:rPr>
                <w:rFonts w:ascii="Times New Roman" w:hAnsi="Times New Roman" w:cs="Times New Roman"/>
                <w:sz w:val="18"/>
                <w:szCs w:val="18"/>
              </w:rPr>
            </w:pPr>
            <w:r w:rsidRPr="00BC7BB5">
              <w:rPr>
                <w:rFonts w:ascii="Times New Roman" w:hAnsi="Times New Roman" w:cs="Times New Roman"/>
                <w:sz w:val="18"/>
                <w:szCs w:val="18"/>
              </w:rPr>
              <w:t>No</w:t>
            </w:r>
          </w:p>
        </w:tc>
      </w:tr>
      <w:tr w:rsidR="006A0D48" w:rsidRPr="00BC7BB5" w14:paraId="4ACE7FE7" w14:textId="77777777" w:rsidTr="00FB4889">
        <w:trPr>
          <w:jc w:val="center"/>
        </w:trPr>
        <w:tc>
          <w:tcPr>
            <w:tcW w:w="1795" w:type="dxa"/>
          </w:tcPr>
          <w:p w14:paraId="3D80AC22" w14:textId="320C18DE" w:rsidR="006A0D48" w:rsidRPr="00BC7BB5" w:rsidRDefault="006A0D48" w:rsidP="00CB471A">
            <w:pPr>
              <w:spacing w:after="120"/>
              <w:rPr>
                <w:rFonts w:ascii="Times New Roman" w:hAnsi="Times New Roman" w:cs="Times New Roman"/>
                <w:sz w:val="18"/>
                <w:szCs w:val="18"/>
              </w:rPr>
            </w:pPr>
            <w:r w:rsidRPr="00BC7BB5">
              <w:rPr>
                <w:rFonts w:ascii="Times New Roman" w:hAnsi="Times New Roman" w:cs="Times New Roman"/>
                <w:sz w:val="18"/>
                <w:szCs w:val="18"/>
              </w:rPr>
              <w:t xml:space="preserve">IR </w:t>
            </w:r>
            <w:r w:rsidR="00C74D2C" w:rsidRPr="00BC7BB5">
              <w:rPr>
                <w:rFonts w:ascii="Times New Roman" w:hAnsi="Times New Roman" w:cs="Times New Roman"/>
                <w:sz w:val="18"/>
                <w:szCs w:val="18"/>
              </w:rPr>
              <w:t>1.4</w:t>
            </w:r>
            <w:r w:rsidRPr="00BC7BB5">
              <w:rPr>
                <w:rFonts w:ascii="Times New Roman" w:hAnsi="Times New Roman" w:cs="Times New Roman"/>
                <w:sz w:val="18"/>
                <w:szCs w:val="18"/>
              </w:rPr>
              <w:t>:  Additional producers aggregated (olive, citrus)</w:t>
            </w:r>
          </w:p>
        </w:tc>
        <w:tc>
          <w:tcPr>
            <w:tcW w:w="3510" w:type="dxa"/>
          </w:tcPr>
          <w:p w14:paraId="0C5858A7" w14:textId="77777777" w:rsidR="006A0D48" w:rsidRPr="00BC7BB5" w:rsidRDefault="006A0D48" w:rsidP="00CB471A">
            <w:pPr>
              <w:spacing w:after="120"/>
              <w:rPr>
                <w:rFonts w:ascii="Times New Roman" w:hAnsi="Times New Roman" w:cs="Times New Roman"/>
                <w:sz w:val="18"/>
                <w:szCs w:val="18"/>
              </w:rPr>
            </w:pPr>
            <w:r w:rsidRPr="00BC7BB5">
              <w:rPr>
                <w:rFonts w:ascii="Times New Roman" w:hAnsi="Times New Roman" w:cs="Times New Roman"/>
                <w:sz w:val="18"/>
                <w:szCs w:val="18"/>
              </w:rPr>
              <w:t>Number of additional producers aggregated within the scope of the Program, disaggregated by gender</w:t>
            </w:r>
          </w:p>
        </w:tc>
        <w:tc>
          <w:tcPr>
            <w:tcW w:w="1069" w:type="dxa"/>
          </w:tcPr>
          <w:p w14:paraId="344DB49E" w14:textId="77777777" w:rsidR="006A0D48" w:rsidRPr="00BC7BB5" w:rsidRDefault="006A0D48" w:rsidP="00CB471A">
            <w:pPr>
              <w:spacing w:after="120"/>
              <w:rPr>
                <w:rFonts w:ascii="Times New Roman" w:hAnsi="Times New Roman" w:cs="Times New Roman"/>
                <w:sz w:val="18"/>
                <w:szCs w:val="18"/>
              </w:rPr>
            </w:pPr>
            <w:r w:rsidRPr="00BC7BB5">
              <w:rPr>
                <w:rFonts w:ascii="Times New Roman" w:hAnsi="Times New Roman" w:cs="Times New Roman"/>
                <w:sz w:val="18"/>
                <w:szCs w:val="18"/>
              </w:rPr>
              <w:t>Semiannual</w:t>
            </w:r>
          </w:p>
        </w:tc>
        <w:tc>
          <w:tcPr>
            <w:tcW w:w="1451" w:type="dxa"/>
          </w:tcPr>
          <w:p w14:paraId="2416E2D9" w14:textId="77777777" w:rsidR="006A0D48" w:rsidRPr="00BC7BB5" w:rsidRDefault="006A0D48" w:rsidP="00CB471A">
            <w:pPr>
              <w:spacing w:after="120"/>
              <w:rPr>
                <w:rFonts w:ascii="Times New Roman" w:hAnsi="Times New Roman" w:cs="Times New Roman"/>
                <w:sz w:val="18"/>
                <w:szCs w:val="18"/>
              </w:rPr>
            </w:pPr>
            <w:r w:rsidRPr="00BC7BB5">
              <w:rPr>
                <w:rFonts w:ascii="Times New Roman" w:hAnsi="Times New Roman" w:cs="Times New Roman"/>
                <w:sz w:val="18"/>
                <w:szCs w:val="18"/>
              </w:rPr>
              <w:t>ADA’s official records</w:t>
            </w:r>
          </w:p>
        </w:tc>
        <w:tc>
          <w:tcPr>
            <w:tcW w:w="1890" w:type="dxa"/>
          </w:tcPr>
          <w:p w14:paraId="1D096352" w14:textId="77777777" w:rsidR="006A0D48" w:rsidRPr="00BC7BB5" w:rsidRDefault="006A0D48" w:rsidP="00CB471A">
            <w:pPr>
              <w:spacing w:after="120"/>
              <w:rPr>
                <w:rFonts w:ascii="Times New Roman" w:hAnsi="Times New Roman" w:cs="Times New Roman"/>
                <w:sz w:val="18"/>
                <w:szCs w:val="18"/>
              </w:rPr>
            </w:pPr>
            <w:r w:rsidRPr="00BC7BB5">
              <w:rPr>
                <w:rFonts w:ascii="Times New Roman" w:hAnsi="Times New Roman" w:cs="Times New Roman"/>
                <w:sz w:val="18"/>
                <w:szCs w:val="18"/>
              </w:rPr>
              <w:t xml:space="preserve">Producer aggregation certificates granted by ADA </w:t>
            </w:r>
          </w:p>
        </w:tc>
        <w:tc>
          <w:tcPr>
            <w:tcW w:w="1762" w:type="dxa"/>
          </w:tcPr>
          <w:p w14:paraId="0C33F504" w14:textId="77777777" w:rsidR="006A0D48" w:rsidRPr="00BC7BB5" w:rsidRDefault="006A0D48" w:rsidP="00CB471A">
            <w:pPr>
              <w:spacing w:after="120"/>
              <w:rPr>
                <w:rFonts w:ascii="Times New Roman" w:hAnsi="Times New Roman" w:cs="Times New Roman"/>
                <w:sz w:val="18"/>
                <w:szCs w:val="18"/>
              </w:rPr>
            </w:pPr>
            <w:r w:rsidRPr="00BC7BB5">
              <w:rPr>
                <w:rFonts w:ascii="Times New Roman" w:hAnsi="Times New Roman" w:cs="Times New Roman"/>
                <w:sz w:val="18"/>
                <w:szCs w:val="18"/>
              </w:rPr>
              <w:t xml:space="preserve">ADA </w:t>
            </w:r>
          </w:p>
          <w:p w14:paraId="404B6515" w14:textId="77777777" w:rsidR="006A0D48" w:rsidRPr="00BC7BB5" w:rsidRDefault="006A0D48" w:rsidP="00CB471A">
            <w:pPr>
              <w:spacing w:after="120"/>
              <w:rPr>
                <w:rFonts w:ascii="Times New Roman" w:hAnsi="Times New Roman" w:cs="Times New Roman"/>
                <w:sz w:val="18"/>
                <w:szCs w:val="18"/>
              </w:rPr>
            </w:pPr>
          </w:p>
        </w:tc>
        <w:tc>
          <w:tcPr>
            <w:tcW w:w="1418" w:type="dxa"/>
            <w:shd w:val="clear" w:color="auto" w:fill="auto"/>
          </w:tcPr>
          <w:p w14:paraId="2771AD2C" w14:textId="77777777" w:rsidR="006A0D48" w:rsidRPr="00BC7BB5" w:rsidRDefault="006A0D48" w:rsidP="00CB471A">
            <w:pPr>
              <w:spacing w:after="120"/>
              <w:rPr>
                <w:rFonts w:ascii="Times New Roman" w:hAnsi="Times New Roman" w:cs="Times New Roman"/>
                <w:sz w:val="18"/>
                <w:szCs w:val="18"/>
              </w:rPr>
            </w:pPr>
            <w:r w:rsidRPr="00BC7BB5">
              <w:rPr>
                <w:rFonts w:ascii="Times New Roman" w:hAnsi="Times New Roman" w:cs="Times New Roman"/>
                <w:sz w:val="18"/>
                <w:szCs w:val="18"/>
              </w:rPr>
              <w:t>--</w:t>
            </w:r>
          </w:p>
        </w:tc>
        <w:tc>
          <w:tcPr>
            <w:tcW w:w="1417" w:type="dxa"/>
            <w:shd w:val="clear" w:color="auto" w:fill="auto"/>
          </w:tcPr>
          <w:p w14:paraId="4F0D42F5" w14:textId="77777777" w:rsidR="006A0D48" w:rsidRPr="00BC7BB5" w:rsidRDefault="006A0D48" w:rsidP="00CB471A">
            <w:pPr>
              <w:spacing w:after="120"/>
              <w:rPr>
                <w:rFonts w:ascii="Times New Roman" w:hAnsi="Times New Roman" w:cs="Times New Roman"/>
                <w:sz w:val="18"/>
                <w:szCs w:val="18"/>
              </w:rPr>
            </w:pPr>
            <w:r w:rsidRPr="00BC7BB5">
              <w:rPr>
                <w:rFonts w:ascii="Times New Roman" w:hAnsi="Times New Roman" w:cs="Times New Roman"/>
                <w:sz w:val="18"/>
                <w:szCs w:val="18"/>
              </w:rPr>
              <w:t>--</w:t>
            </w:r>
          </w:p>
        </w:tc>
      </w:tr>
      <w:tr w:rsidR="006A0D48" w:rsidRPr="00BC7BB5" w14:paraId="58D0C5DF" w14:textId="77777777" w:rsidTr="00FB4889">
        <w:trPr>
          <w:jc w:val="center"/>
        </w:trPr>
        <w:tc>
          <w:tcPr>
            <w:tcW w:w="1795" w:type="dxa"/>
          </w:tcPr>
          <w:p w14:paraId="6F0DA505" w14:textId="73A1590D" w:rsidR="006A0D48" w:rsidRPr="00BC7BB5" w:rsidRDefault="006A0D48" w:rsidP="00CB471A">
            <w:pPr>
              <w:spacing w:after="120"/>
              <w:rPr>
                <w:rFonts w:ascii="Times New Roman" w:hAnsi="Times New Roman" w:cs="Times New Roman"/>
                <w:sz w:val="18"/>
                <w:szCs w:val="18"/>
              </w:rPr>
            </w:pPr>
            <w:r w:rsidRPr="00BC7BB5">
              <w:rPr>
                <w:rFonts w:ascii="Times New Roman" w:hAnsi="Times New Roman" w:cs="Times New Roman"/>
                <w:sz w:val="18"/>
                <w:szCs w:val="18"/>
              </w:rPr>
              <w:t xml:space="preserve">IR </w:t>
            </w:r>
            <w:r w:rsidR="00C74D2C" w:rsidRPr="00BC7BB5">
              <w:rPr>
                <w:rFonts w:ascii="Times New Roman" w:hAnsi="Times New Roman" w:cs="Times New Roman"/>
                <w:sz w:val="18"/>
                <w:szCs w:val="18"/>
              </w:rPr>
              <w:t>1.5</w:t>
            </w:r>
            <w:r w:rsidRPr="00BC7BB5">
              <w:rPr>
                <w:rFonts w:ascii="Times New Roman" w:hAnsi="Times New Roman" w:cs="Times New Roman"/>
                <w:sz w:val="18"/>
                <w:szCs w:val="18"/>
              </w:rPr>
              <w:t>:</w:t>
            </w:r>
            <w:r w:rsidRPr="00BC7BB5">
              <w:rPr>
                <w:rFonts w:ascii="Times New Roman" w:hAnsi="Times New Roman" w:cs="Times New Roman"/>
                <w:b/>
                <w:sz w:val="18"/>
                <w:szCs w:val="18"/>
              </w:rPr>
              <w:t xml:space="preserve"> </w:t>
            </w:r>
            <w:r w:rsidRPr="00BC7BB5">
              <w:rPr>
                <w:rFonts w:ascii="Times New Roman" w:hAnsi="Times New Roman" w:cs="Times New Roman"/>
                <w:sz w:val="18"/>
                <w:szCs w:val="18"/>
              </w:rPr>
              <w:t>At least one wholesale market is operating and applying the new management model</w:t>
            </w:r>
            <w:r w:rsidR="006C2A92">
              <w:rPr>
                <w:rFonts w:ascii="Times New Roman" w:hAnsi="Times New Roman" w:cs="Times New Roman"/>
                <w:sz w:val="18"/>
                <w:szCs w:val="18"/>
              </w:rPr>
              <w:t xml:space="preserve"> as defined in the POM</w:t>
            </w:r>
          </w:p>
        </w:tc>
        <w:tc>
          <w:tcPr>
            <w:tcW w:w="3510" w:type="dxa"/>
          </w:tcPr>
          <w:p w14:paraId="7980A46D" w14:textId="2DF656C2" w:rsidR="006A0D48" w:rsidRPr="00BC7BB5" w:rsidRDefault="009E61AD" w:rsidP="00CB471A">
            <w:pPr>
              <w:spacing w:after="120"/>
              <w:rPr>
                <w:rFonts w:ascii="Times New Roman" w:hAnsi="Times New Roman" w:cs="Times New Roman"/>
                <w:sz w:val="18"/>
                <w:szCs w:val="18"/>
              </w:rPr>
            </w:pPr>
            <w:r w:rsidRPr="00BC7BB5">
              <w:rPr>
                <w:rFonts w:ascii="Times New Roman" w:hAnsi="Times New Roman" w:cs="Times New Roman"/>
                <w:sz w:val="18"/>
                <w:szCs w:val="18"/>
              </w:rPr>
              <w:t>At least one wholesale market</w:t>
            </w:r>
            <w:r w:rsidR="006A0D48" w:rsidRPr="00BC7BB5">
              <w:rPr>
                <w:rFonts w:ascii="Times New Roman" w:hAnsi="Times New Roman" w:cs="Times New Roman"/>
                <w:sz w:val="18"/>
                <w:szCs w:val="18"/>
              </w:rPr>
              <w:t xml:space="preserve"> has been built and is operating; operators from other markets are transferred to the new market in line with the social plan.   </w:t>
            </w:r>
          </w:p>
        </w:tc>
        <w:tc>
          <w:tcPr>
            <w:tcW w:w="1069" w:type="dxa"/>
          </w:tcPr>
          <w:p w14:paraId="5730F44A" w14:textId="77777777" w:rsidR="006A0D48" w:rsidRPr="00BC7BB5" w:rsidRDefault="006A0D48" w:rsidP="00CB471A">
            <w:pPr>
              <w:spacing w:after="120"/>
              <w:rPr>
                <w:rFonts w:ascii="Times New Roman" w:hAnsi="Times New Roman" w:cs="Times New Roman"/>
                <w:sz w:val="18"/>
                <w:szCs w:val="18"/>
              </w:rPr>
            </w:pPr>
            <w:r w:rsidRPr="00BC7BB5">
              <w:rPr>
                <w:rFonts w:ascii="Times New Roman" w:hAnsi="Times New Roman" w:cs="Times New Roman"/>
                <w:sz w:val="18"/>
                <w:szCs w:val="18"/>
              </w:rPr>
              <w:t>Semiannual</w:t>
            </w:r>
          </w:p>
        </w:tc>
        <w:tc>
          <w:tcPr>
            <w:tcW w:w="1451" w:type="dxa"/>
          </w:tcPr>
          <w:p w14:paraId="0C189D1E" w14:textId="24507A5E" w:rsidR="006A0D48" w:rsidRPr="00BC7BB5" w:rsidRDefault="00B02438" w:rsidP="00CB471A">
            <w:pPr>
              <w:spacing w:after="120"/>
              <w:rPr>
                <w:rFonts w:ascii="Times New Roman" w:hAnsi="Times New Roman" w:cs="Times New Roman"/>
                <w:sz w:val="18"/>
                <w:szCs w:val="18"/>
              </w:rPr>
            </w:pPr>
            <w:r w:rsidRPr="00BC7BB5">
              <w:rPr>
                <w:rFonts w:ascii="Times New Roman" w:hAnsi="Times New Roman" w:cs="Times New Roman"/>
                <w:sz w:val="18"/>
                <w:szCs w:val="18"/>
              </w:rPr>
              <w:t>Wilaya</w:t>
            </w:r>
          </w:p>
        </w:tc>
        <w:tc>
          <w:tcPr>
            <w:tcW w:w="1890" w:type="dxa"/>
          </w:tcPr>
          <w:p w14:paraId="27504065" w14:textId="73B21F55" w:rsidR="006A0D48" w:rsidRPr="00BC7BB5" w:rsidRDefault="006A0D48" w:rsidP="00CB471A">
            <w:pPr>
              <w:spacing w:after="120"/>
              <w:rPr>
                <w:rFonts w:ascii="Times New Roman" w:hAnsi="Times New Roman" w:cs="Times New Roman"/>
                <w:sz w:val="18"/>
                <w:szCs w:val="18"/>
              </w:rPr>
            </w:pPr>
            <w:r w:rsidRPr="00BC7BB5">
              <w:rPr>
                <w:rFonts w:ascii="Times New Roman" w:hAnsi="Times New Roman" w:cs="Times New Roman"/>
                <w:sz w:val="18"/>
                <w:szCs w:val="18"/>
              </w:rPr>
              <w:t>Monitoring by DDFP</w:t>
            </w:r>
            <w:r w:rsidR="00B73F7B" w:rsidRPr="00BC7BB5">
              <w:rPr>
                <w:rFonts w:ascii="Times New Roman" w:hAnsi="Times New Roman" w:cs="Times New Roman"/>
                <w:sz w:val="18"/>
                <w:szCs w:val="18"/>
              </w:rPr>
              <w:t xml:space="preserve">, </w:t>
            </w:r>
            <w:r w:rsidRPr="00BC7BB5">
              <w:rPr>
                <w:rFonts w:ascii="Times New Roman" w:hAnsi="Times New Roman" w:cs="Times New Roman"/>
                <w:sz w:val="18"/>
                <w:szCs w:val="18"/>
              </w:rPr>
              <w:t xml:space="preserve">the Wilaya </w:t>
            </w:r>
            <w:r w:rsidR="00B73F7B" w:rsidRPr="00BC7BB5">
              <w:rPr>
                <w:rFonts w:ascii="Times New Roman" w:hAnsi="Times New Roman" w:cs="Times New Roman"/>
                <w:sz w:val="18"/>
                <w:szCs w:val="18"/>
              </w:rPr>
              <w:t xml:space="preserve">and Rabat </w:t>
            </w:r>
            <w:r w:rsidR="000B035F">
              <w:rPr>
                <w:rFonts w:ascii="Times New Roman" w:hAnsi="Times New Roman" w:cs="Times New Roman"/>
                <w:sz w:val="18"/>
                <w:szCs w:val="18"/>
              </w:rPr>
              <w:t xml:space="preserve">Région </w:t>
            </w:r>
            <w:r w:rsidR="00B73F7B" w:rsidRPr="00BC7BB5">
              <w:rPr>
                <w:rFonts w:ascii="Times New Roman" w:hAnsi="Times New Roman" w:cs="Times New Roman"/>
                <w:sz w:val="18"/>
                <w:szCs w:val="18"/>
              </w:rPr>
              <w:t xml:space="preserve">Aménagement </w:t>
            </w:r>
            <w:r w:rsidRPr="00BC7BB5">
              <w:rPr>
                <w:rFonts w:ascii="Times New Roman" w:hAnsi="Times New Roman" w:cs="Times New Roman"/>
                <w:sz w:val="18"/>
                <w:szCs w:val="18"/>
              </w:rPr>
              <w:t>through the wholesale market</w:t>
            </w:r>
            <w:r w:rsidR="000B035F">
              <w:rPr>
                <w:rFonts w:ascii="Times New Roman" w:hAnsi="Times New Roman" w:cs="Times New Roman"/>
                <w:sz w:val="18"/>
                <w:szCs w:val="18"/>
              </w:rPr>
              <w:t xml:space="preserve"> convention</w:t>
            </w:r>
          </w:p>
        </w:tc>
        <w:tc>
          <w:tcPr>
            <w:tcW w:w="1762" w:type="dxa"/>
          </w:tcPr>
          <w:p w14:paraId="4CC33AE2" w14:textId="77777777" w:rsidR="006A0D48" w:rsidRPr="00BC7BB5" w:rsidRDefault="006A0D48" w:rsidP="00CB471A">
            <w:pPr>
              <w:spacing w:after="120"/>
              <w:rPr>
                <w:rFonts w:ascii="Times New Roman" w:hAnsi="Times New Roman" w:cs="Times New Roman"/>
                <w:sz w:val="18"/>
                <w:szCs w:val="18"/>
              </w:rPr>
            </w:pPr>
            <w:r w:rsidRPr="00BC7BB5">
              <w:rPr>
                <w:rFonts w:ascii="Times New Roman" w:hAnsi="Times New Roman" w:cs="Times New Roman"/>
                <w:sz w:val="18"/>
                <w:szCs w:val="18"/>
              </w:rPr>
              <w:t>DDFP</w:t>
            </w:r>
          </w:p>
        </w:tc>
        <w:tc>
          <w:tcPr>
            <w:tcW w:w="1418" w:type="dxa"/>
            <w:shd w:val="clear" w:color="auto" w:fill="auto"/>
          </w:tcPr>
          <w:p w14:paraId="78B6C1EC" w14:textId="77777777" w:rsidR="006A0D48" w:rsidRPr="00BC7BB5" w:rsidRDefault="006A0D48" w:rsidP="00CB471A">
            <w:pPr>
              <w:spacing w:after="120"/>
              <w:rPr>
                <w:rFonts w:ascii="Times New Roman" w:hAnsi="Times New Roman" w:cs="Times New Roman"/>
                <w:sz w:val="18"/>
                <w:szCs w:val="18"/>
              </w:rPr>
            </w:pPr>
            <w:r w:rsidRPr="00BC7BB5">
              <w:rPr>
                <w:rFonts w:ascii="Times New Roman" w:hAnsi="Times New Roman" w:cs="Times New Roman"/>
                <w:sz w:val="18"/>
                <w:szCs w:val="18"/>
              </w:rPr>
              <w:t>IGA</w:t>
            </w:r>
          </w:p>
        </w:tc>
        <w:tc>
          <w:tcPr>
            <w:tcW w:w="1417" w:type="dxa"/>
            <w:shd w:val="clear" w:color="auto" w:fill="auto"/>
          </w:tcPr>
          <w:p w14:paraId="163A6210" w14:textId="77777777" w:rsidR="006A0D48" w:rsidRPr="00BC7BB5" w:rsidRDefault="006A0D48" w:rsidP="00CB471A">
            <w:pPr>
              <w:spacing w:after="120"/>
              <w:rPr>
                <w:rFonts w:ascii="Times New Roman" w:hAnsi="Times New Roman" w:cs="Times New Roman"/>
                <w:sz w:val="18"/>
                <w:szCs w:val="18"/>
              </w:rPr>
            </w:pPr>
            <w:r w:rsidRPr="00BC7BB5">
              <w:rPr>
                <w:rFonts w:ascii="Times New Roman" w:hAnsi="Times New Roman" w:cs="Times New Roman"/>
                <w:sz w:val="18"/>
                <w:szCs w:val="18"/>
              </w:rPr>
              <w:t>Yes</w:t>
            </w:r>
          </w:p>
        </w:tc>
      </w:tr>
      <w:tr w:rsidR="006A0D48" w:rsidRPr="00BC7BB5" w14:paraId="5915E5B6" w14:textId="77777777" w:rsidTr="00FB4889">
        <w:trPr>
          <w:jc w:val="center"/>
        </w:trPr>
        <w:tc>
          <w:tcPr>
            <w:tcW w:w="1795" w:type="dxa"/>
          </w:tcPr>
          <w:p w14:paraId="5C43CF7B" w14:textId="26BFA604" w:rsidR="006A0D48" w:rsidRPr="00BC7BB5" w:rsidRDefault="006A0D48" w:rsidP="00CB471A">
            <w:pPr>
              <w:spacing w:after="120"/>
              <w:rPr>
                <w:rFonts w:ascii="Times New Roman" w:hAnsi="Times New Roman" w:cs="Times New Roman"/>
                <w:sz w:val="18"/>
                <w:szCs w:val="18"/>
              </w:rPr>
            </w:pPr>
            <w:r w:rsidRPr="00BC7BB5">
              <w:rPr>
                <w:rFonts w:ascii="Times New Roman" w:hAnsi="Times New Roman" w:cs="Times New Roman"/>
                <w:sz w:val="18"/>
                <w:szCs w:val="18"/>
              </w:rPr>
              <w:t xml:space="preserve">IR </w:t>
            </w:r>
            <w:r w:rsidR="00C74D2C" w:rsidRPr="00BC7BB5">
              <w:rPr>
                <w:rFonts w:ascii="Times New Roman" w:hAnsi="Times New Roman" w:cs="Times New Roman"/>
                <w:sz w:val="18"/>
                <w:szCs w:val="18"/>
              </w:rPr>
              <w:t>1.6</w:t>
            </w:r>
            <w:r w:rsidRPr="00BC7BB5">
              <w:rPr>
                <w:rFonts w:ascii="Times New Roman" w:hAnsi="Times New Roman" w:cs="Times New Roman"/>
                <w:sz w:val="18"/>
                <w:szCs w:val="18"/>
              </w:rPr>
              <w:t xml:space="preserve">: </w:t>
            </w:r>
            <w:r w:rsidR="00CB471A" w:rsidRPr="00BC7BB5">
              <w:rPr>
                <w:rFonts w:ascii="Times New Roman" w:hAnsi="Times New Roman" w:cs="Times New Roman"/>
                <w:sz w:val="18"/>
                <w:szCs w:val="18"/>
              </w:rPr>
              <w:t>U</w:t>
            </w:r>
            <w:r w:rsidRPr="00BC7BB5">
              <w:rPr>
                <w:rFonts w:ascii="Times New Roman" w:hAnsi="Times New Roman" w:cs="Times New Roman"/>
                <w:sz w:val="18"/>
                <w:szCs w:val="18"/>
              </w:rPr>
              <w:t xml:space="preserve">se of market information services for mobile phones </w:t>
            </w:r>
            <w:r w:rsidRPr="00BC7BB5">
              <w:rPr>
                <w:rFonts w:ascii="Times New Roman" w:hAnsi="Times New Roman" w:cs="Times New Roman"/>
                <w:sz w:val="18"/>
                <w:szCs w:val="18"/>
              </w:rPr>
              <w:lastRenderedPageBreak/>
              <w:t>and of the application Publi-Asaar</w:t>
            </w:r>
          </w:p>
        </w:tc>
        <w:tc>
          <w:tcPr>
            <w:tcW w:w="3510" w:type="dxa"/>
          </w:tcPr>
          <w:p w14:paraId="307B88DC" w14:textId="77777777" w:rsidR="006A0D48" w:rsidRPr="00BC7BB5" w:rsidRDefault="006A0D48" w:rsidP="00CB471A">
            <w:pPr>
              <w:spacing w:after="120"/>
              <w:rPr>
                <w:rFonts w:ascii="Times New Roman" w:hAnsi="Times New Roman" w:cs="Times New Roman"/>
                <w:sz w:val="18"/>
                <w:szCs w:val="18"/>
              </w:rPr>
            </w:pPr>
            <w:r w:rsidRPr="00BC7BB5">
              <w:rPr>
                <w:rFonts w:ascii="Times New Roman" w:hAnsi="Times New Roman" w:cs="Times New Roman"/>
                <w:sz w:val="18"/>
                <w:szCs w:val="18"/>
              </w:rPr>
              <w:lastRenderedPageBreak/>
              <w:t xml:space="preserve">This indicator aggregates the following: (i) additional SMS sent to users (160,000 at </w:t>
            </w:r>
            <w:r w:rsidRPr="00BC7BB5">
              <w:rPr>
                <w:rFonts w:ascii="Times New Roman" w:hAnsi="Times New Roman" w:cs="Times New Roman"/>
                <w:sz w:val="18"/>
                <w:szCs w:val="18"/>
              </w:rPr>
              <w:lastRenderedPageBreak/>
              <w:t>EOP), and (ii) additional downloads of the mobile application (40,000 at EOP)</w:t>
            </w:r>
          </w:p>
        </w:tc>
        <w:tc>
          <w:tcPr>
            <w:tcW w:w="1069" w:type="dxa"/>
          </w:tcPr>
          <w:p w14:paraId="0E3E3E56" w14:textId="77777777" w:rsidR="006A0D48" w:rsidRPr="00BC7BB5" w:rsidRDefault="006A0D48" w:rsidP="00CB471A">
            <w:pPr>
              <w:spacing w:after="120"/>
              <w:rPr>
                <w:rFonts w:ascii="Times New Roman" w:hAnsi="Times New Roman" w:cs="Times New Roman"/>
                <w:sz w:val="18"/>
                <w:szCs w:val="18"/>
              </w:rPr>
            </w:pPr>
            <w:r w:rsidRPr="00BC7BB5">
              <w:rPr>
                <w:rFonts w:ascii="Times New Roman" w:hAnsi="Times New Roman" w:cs="Times New Roman"/>
                <w:sz w:val="18"/>
                <w:szCs w:val="18"/>
              </w:rPr>
              <w:lastRenderedPageBreak/>
              <w:t>Semiannual</w:t>
            </w:r>
          </w:p>
        </w:tc>
        <w:tc>
          <w:tcPr>
            <w:tcW w:w="1451" w:type="dxa"/>
          </w:tcPr>
          <w:p w14:paraId="04EA17A0" w14:textId="77777777" w:rsidR="006A0D48" w:rsidRPr="00BC7BB5" w:rsidRDefault="006A0D48" w:rsidP="00CB471A">
            <w:pPr>
              <w:spacing w:after="120"/>
              <w:rPr>
                <w:rFonts w:ascii="Times New Roman" w:hAnsi="Times New Roman" w:cs="Times New Roman"/>
                <w:sz w:val="18"/>
                <w:szCs w:val="18"/>
              </w:rPr>
            </w:pPr>
            <w:r w:rsidRPr="00BC7BB5">
              <w:rPr>
                <w:rFonts w:ascii="Times New Roman" w:hAnsi="Times New Roman" w:cs="Times New Roman"/>
                <w:sz w:val="18"/>
                <w:szCs w:val="18"/>
              </w:rPr>
              <w:t xml:space="preserve">DSS’s database </w:t>
            </w:r>
          </w:p>
        </w:tc>
        <w:tc>
          <w:tcPr>
            <w:tcW w:w="1890" w:type="dxa"/>
          </w:tcPr>
          <w:p w14:paraId="23991950" w14:textId="77777777" w:rsidR="006A0D48" w:rsidRPr="00BC7BB5" w:rsidRDefault="006A0D48" w:rsidP="00CB471A">
            <w:pPr>
              <w:spacing w:after="120"/>
              <w:rPr>
                <w:rFonts w:ascii="Times New Roman" w:hAnsi="Times New Roman" w:cs="Times New Roman"/>
                <w:sz w:val="18"/>
                <w:szCs w:val="18"/>
              </w:rPr>
            </w:pPr>
            <w:r w:rsidRPr="00BC7BB5">
              <w:rPr>
                <w:rFonts w:ascii="Times New Roman" w:hAnsi="Times New Roman" w:cs="Times New Roman"/>
                <w:sz w:val="18"/>
                <w:szCs w:val="18"/>
              </w:rPr>
              <w:t xml:space="preserve">Automatic record of SMS sent and downloads </w:t>
            </w:r>
          </w:p>
        </w:tc>
        <w:tc>
          <w:tcPr>
            <w:tcW w:w="1762" w:type="dxa"/>
          </w:tcPr>
          <w:p w14:paraId="436CD0C7" w14:textId="77777777" w:rsidR="006A0D48" w:rsidRPr="00BC7BB5" w:rsidRDefault="006A0D48" w:rsidP="00CB471A">
            <w:pPr>
              <w:spacing w:after="120"/>
              <w:rPr>
                <w:rFonts w:ascii="Times New Roman" w:hAnsi="Times New Roman" w:cs="Times New Roman"/>
                <w:sz w:val="18"/>
                <w:szCs w:val="18"/>
              </w:rPr>
            </w:pPr>
            <w:r w:rsidRPr="00BC7BB5">
              <w:rPr>
                <w:rFonts w:ascii="Times New Roman" w:hAnsi="Times New Roman" w:cs="Times New Roman"/>
                <w:sz w:val="18"/>
                <w:szCs w:val="18"/>
              </w:rPr>
              <w:t>DSS</w:t>
            </w:r>
          </w:p>
        </w:tc>
        <w:tc>
          <w:tcPr>
            <w:tcW w:w="1418" w:type="dxa"/>
          </w:tcPr>
          <w:p w14:paraId="40923D68" w14:textId="77777777" w:rsidR="006A0D48" w:rsidRPr="00BC7BB5" w:rsidRDefault="006A0D48" w:rsidP="00CB471A">
            <w:pPr>
              <w:spacing w:after="120"/>
              <w:rPr>
                <w:rFonts w:ascii="Times New Roman" w:hAnsi="Times New Roman" w:cs="Times New Roman"/>
                <w:sz w:val="18"/>
                <w:szCs w:val="18"/>
              </w:rPr>
            </w:pPr>
            <w:r w:rsidRPr="00BC7BB5">
              <w:rPr>
                <w:rFonts w:ascii="Times New Roman" w:hAnsi="Times New Roman" w:cs="Times New Roman"/>
                <w:sz w:val="18"/>
                <w:szCs w:val="18"/>
              </w:rPr>
              <w:t>--</w:t>
            </w:r>
          </w:p>
        </w:tc>
        <w:tc>
          <w:tcPr>
            <w:tcW w:w="1417" w:type="dxa"/>
          </w:tcPr>
          <w:p w14:paraId="454A93D3" w14:textId="77777777" w:rsidR="006A0D48" w:rsidRPr="00BC7BB5" w:rsidRDefault="006A0D48" w:rsidP="00CB471A">
            <w:pPr>
              <w:spacing w:after="120"/>
              <w:rPr>
                <w:rFonts w:ascii="Times New Roman" w:hAnsi="Times New Roman" w:cs="Times New Roman"/>
                <w:sz w:val="18"/>
                <w:szCs w:val="18"/>
              </w:rPr>
            </w:pPr>
            <w:r w:rsidRPr="00BC7BB5">
              <w:rPr>
                <w:rFonts w:ascii="Times New Roman" w:hAnsi="Times New Roman" w:cs="Times New Roman"/>
                <w:sz w:val="18"/>
                <w:szCs w:val="18"/>
              </w:rPr>
              <w:t>--</w:t>
            </w:r>
          </w:p>
        </w:tc>
      </w:tr>
      <w:tr w:rsidR="00C74D2C" w:rsidRPr="00BC7BB5" w14:paraId="5AE18A7B" w14:textId="77777777" w:rsidTr="00FB4889">
        <w:trPr>
          <w:jc w:val="center"/>
        </w:trPr>
        <w:tc>
          <w:tcPr>
            <w:tcW w:w="1795" w:type="dxa"/>
          </w:tcPr>
          <w:p w14:paraId="4DD99F42" w14:textId="5617D113" w:rsidR="00C74D2C" w:rsidRPr="00BC7BB5" w:rsidRDefault="00C74D2C" w:rsidP="00CB471A">
            <w:pPr>
              <w:spacing w:after="120"/>
              <w:rPr>
                <w:rFonts w:ascii="Times New Roman" w:hAnsi="Times New Roman" w:cs="Times New Roman"/>
                <w:sz w:val="18"/>
                <w:szCs w:val="18"/>
              </w:rPr>
            </w:pPr>
            <w:r w:rsidRPr="00BC7BB5">
              <w:rPr>
                <w:rFonts w:ascii="Times New Roman" w:hAnsi="Times New Roman" w:cs="Times New Roman"/>
                <w:sz w:val="18"/>
                <w:szCs w:val="18"/>
              </w:rPr>
              <w:t xml:space="preserve">IR 1.7: </w:t>
            </w:r>
            <w:r w:rsidR="003B56E7" w:rsidRPr="00D507C5">
              <w:rPr>
                <w:rFonts w:ascii="Times New Roman" w:hAnsi="Times New Roman" w:cs="Times New Roman"/>
                <w:sz w:val="18"/>
                <w:szCs w:val="18"/>
              </w:rPr>
              <w:t>At least o</w:t>
            </w:r>
            <w:r w:rsidR="003B56E7">
              <w:rPr>
                <w:rFonts w:ascii="Times New Roman" w:hAnsi="Times New Roman" w:cs="Times New Roman"/>
                <w:sz w:val="18"/>
                <w:szCs w:val="18"/>
              </w:rPr>
              <w:t xml:space="preserve">ne public consultation </w:t>
            </w:r>
            <w:r w:rsidR="003B56E7" w:rsidRPr="00D507C5">
              <w:rPr>
                <w:rFonts w:ascii="Times New Roman" w:hAnsi="Times New Roman" w:cs="Times New Roman"/>
                <w:sz w:val="18"/>
                <w:szCs w:val="18"/>
              </w:rPr>
              <w:t>on the Program</w:t>
            </w:r>
            <w:r w:rsidR="003B56E7">
              <w:rPr>
                <w:rFonts w:ascii="Times New Roman" w:hAnsi="Times New Roman" w:cs="Times New Roman"/>
                <w:sz w:val="18"/>
                <w:szCs w:val="18"/>
              </w:rPr>
              <w:t xml:space="preserve"> carried out each year by MAMPDREF</w:t>
            </w:r>
          </w:p>
        </w:tc>
        <w:tc>
          <w:tcPr>
            <w:tcW w:w="3510" w:type="dxa"/>
          </w:tcPr>
          <w:p w14:paraId="30BF9460" w14:textId="6BFC140B" w:rsidR="00C74D2C" w:rsidRPr="00BC7BB5" w:rsidRDefault="00C74D2C" w:rsidP="003B56E7">
            <w:pPr>
              <w:rPr>
                <w:rFonts w:ascii="Times New Roman" w:hAnsi="Times New Roman" w:cs="Times New Roman"/>
                <w:sz w:val="18"/>
                <w:szCs w:val="18"/>
              </w:rPr>
            </w:pPr>
            <w:r w:rsidRPr="00BC7BB5">
              <w:rPr>
                <w:rFonts w:ascii="Times New Roman" w:hAnsi="Times New Roman" w:cs="Times New Roman"/>
                <w:sz w:val="18"/>
                <w:szCs w:val="18"/>
              </w:rPr>
              <w:t xml:space="preserve">This indicator measures citizen </w:t>
            </w:r>
            <w:r w:rsidRPr="003B56E7">
              <w:rPr>
                <w:rFonts w:ascii="Times New Roman" w:hAnsi="Times New Roman" w:cs="Times New Roman"/>
                <w:sz w:val="18"/>
                <w:szCs w:val="18"/>
              </w:rPr>
              <w:t>engagement.</w:t>
            </w:r>
            <w:r w:rsidR="003B56E7" w:rsidRPr="003B56E7">
              <w:rPr>
                <w:rFonts w:ascii="Times New Roman" w:hAnsi="Times New Roman" w:cs="Times New Roman"/>
                <w:sz w:val="18"/>
                <w:szCs w:val="18"/>
              </w:rPr>
              <w:t xml:space="preserve"> The schedule and detailed content of the consultation will be defined in accordance with the Program implementation schedule for each activity.</w:t>
            </w:r>
            <w:r w:rsidR="003B56E7">
              <w:rPr>
                <w:rFonts w:ascii="Times New Roman" w:hAnsi="Times New Roman" w:cs="Times New Roman"/>
                <w:sz w:val="18"/>
                <w:szCs w:val="18"/>
              </w:rPr>
              <w:t xml:space="preserve"> </w:t>
            </w:r>
            <w:r w:rsidR="003B56E7" w:rsidRPr="003B56E7">
              <w:rPr>
                <w:rFonts w:ascii="Times New Roman" w:hAnsi="Times New Roman" w:cs="Times New Roman"/>
                <w:sz w:val="18"/>
                <w:szCs w:val="18"/>
              </w:rPr>
              <w:t xml:space="preserve">It will systematically include </w:t>
            </w:r>
            <w:r w:rsidR="003B56E7">
              <w:rPr>
                <w:rFonts w:ascii="Times New Roman" w:hAnsi="Times New Roman" w:cs="Times New Roman"/>
                <w:sz w:val="18"/>
                <w:szCs w:val="18"/>
              </w:rPr>
              <w:t>progress on the wholesale market. A report on the consultation will be prepared by the DDFP.</w:t>
            </w:r>
          </w:p>
        </w:tc>
        <w:tc>
          <w:tcPr>
            <w:tcW w:w="1069" w:type="dxa"/>
          </w:tcPr>
          <w:p w14:paraId="40ABE1D8" w14:textId="58E2AC7A" w:rsidR="00C74D2C" w:rsidRPr="00BC7BB5" w:rsidRDefault="00C74D2C" w:rsidP="00CB471A">
            <w:pPr>
              <w:spacing w:after="120"/>
              <w:rPr>
                <w:rFonts w:ascii="Times New Roman" w:hAnsi="Times New Roman" w:cs="Times New Roman"/>
                <w:sz w:val="18"/>
                <w:szCs w:val="18"/>
              </w:rPr>
            </w:pPr>
            <w:r w:rsidRPr="00BC7BB5">
              <w:rPr>
                <w:rFonts w:ascii="Times New Roman" w:hAnsi="Times New Roman" w:cs="Times New Roman"/>
                <w:sz w:val="18"/>
                <w:szCs w:val="18"/>
              </w:rPr>
              <w:t>Annual</w:t>
            </w:r>
          </w:p>
        </w:tc>
        <w:tc>
          <w:tcPr>
            <w:tcW w:w="1451" w:type="dxa"/>
          </w:tcPr>
          <w:p w14:paraId="1D03F370" w14:textId="0E5A63EC" w:rsidR="00C74D2C" w:rsidRPr="00BC7BB5" w:rsidRDefault="003B56E7" w:rsidP="00CB471A">
            <w:pPr>
              <w:spacing w:after="120"/>
              <w:rPr>
                <w:rFonts w:ascii="Times New Roman" w:hAnsi="Times New Roman" w:cs="Times New Roman"/>
                <w:sz w:val="18"/>
                <w:szCs w:val="18"/>
              </w:rPr>
            </w:pPr>
            <w:r>
              <w:rPr>
                <w:rFonts w:ascii="Times New Roman" w:hAnsi="Times New Roman" w:cs="Times New Roman"/>
                <w:sz w:val="18"/>
                <w:szCs w:val="18"/>
              </w:rPr>
              <w:t>DDFP</w:t>
            </w:r>
            <w:r w:rsidR="00C74D2C" w:rsidRPr="00BC7BB5">
              <w:rPr>
                <w:rFonts w:ascii="Times New Roman" w:hAnsi="Times New Roman" w:cs="Times New Roman"/>
                <w:sz w:val="18"/>
                <w:szCs w:val="18"/>
              </w:rPr>
              <w:t>’s reports</w:t>
            </w:r>
          </w:p>
        </w:tc>
        <w:tc>
          <w:tcPr>
            <w:tcW w:w="1890" w:type="dxa"/>
          </w:tcPr>
          <w:p w14:paraId="3B9ECC9B" w14:textId="4FAC610F" w:rsidR="00C74D2C" w:rsidRPr="00BC7BB5" w:rsidRDefault="003B56E7" w:rsidP="00CB471A">
            <w:pPr>
              <w:spacing w:after="120"/>
              <w:rPr>
                <w:rFonts w:ascii="Times New Roman" w:hAnsi="Times New Roman" w:cs="Times New Roman"/>
                <w:sz w:val="18"/>
                <w:szCs w:val="18"/>
              </w:rPr>
            </w:pPr>
            <w:r>
              <w:rPr>
                <w:rFonts w:ascii="Times New Roman" w:hAnsi="Times New Roman" w:cs="Times New Roman"/>
                <w:sz w:val="18"/>
                <w:szCs w:val="18"/>
              </w:rPr>
              <w:t>DDFP reports</w:t>
            </w:r>
          </w:p>
        </w:tc>
        <w:tc>
          <w:tcPr>
            <w:tcW w:w="1762" w:type="dxa"/>
          </w:tcPr>
          <w:p w14:paraId="561C23A2" w14:textId="37EBBE0D" w:rsidR="00C74D2C" w:rsidRPr="00BC7BB5" w:rsidRDefault="003B56E7" w:rsidP="00CB471A">
            <w:pPr>
              <w:spacing w:after="120"/>
              <w:rPr>
                <w:rFonts w:ascii="Times New Roman" w:hAnsi="Times New Roman" w:cs="Times New Roman"/>
                <w:sz w:val="18"/>
                <w:szCs w:val="18"/>
              </w:rPr>
            </w:pPr>
            <w:r>
              <w:rPr>
                <w:rFonts w:ascii="Times New Roman" w:hAnsi="Times New Roman" w:cs="Times New Roman"/>
                <w:sz w:val="18"/>
                <w:szCs w:val="18"/>
              </w:rPr>
              <w:t>DDFP</w:t>
            </w:r>
          </w:p>
        </w:tc>
        <w:tc>
          <w:tcPr>
            <w:tcW w:w="1418" w:type="dxa"/>
          </w:tcPr>
          <w:p w14:paraId="108FE914" w14:textId="11EDB569" w:rsidR="00C74D2C" w:rsidRPr="00BC7BB5" w:rsidRDefault="00C74D2C" w:rsidP="00CB471A">
            <w:pPr>
              <w:spacing w:after="120"/>
              <w:rPr>
                <w:rFonts w:ascii="Times New Roman" w:hAnsi="Times New Roman" w:cs="Times New Roman"/>
                <w:sz w:val="18"/>
                <w:szCs w:val="18"/>
              </w:rPr>
            </w:pPr>
            <w:r w:rsidRPr="00BC7BB5">
              <w:rPr>
                <w:rFonts w:ascii="Times New Roman" w:hAnsi="Times New Roman" w:cs="Times New Roman"/>
                <w:sz w:val="18"/>
                <w:szCs w:val="18"/>
              </w:rPr>
              <w:t>--</w:t>
            </w:r>
          </w:p>
        </w:tc>
        <w:tc>
          <w:tcPr>
            <w:tcW w:w="1417" w:type="dxa"/>
          </w:tcPr>
          <w:p w14:paraId="7BED54F7" w14:textId="18D15D50" w:rsidR="00C74D2C" w:rsidRPr="00BC7BB5" w:rsidRDefault="00C74D2C" w:rsidP="00CB471A">
            <w:pPr>
              <w:spacing w:after="120"/>
              <w:rPr>
                <w:rFonts w:ascii="Times New Roman" w:hAnsi="Times New Roman" w:cs="Times New Roman"/>
                <w:sz w:val="18"/>
                <w:szCs w:val="18"/>
              </w:rPr>
            </w:pPr>
            <w:r w:rsidRPr="00BC7BB5">
              <w:rPr>
                <w:rFonts w:ascii="Times New Roman" w:hAnsi="Times New Roman" w:cs="Times New Roman"/>
                <w:sz w:val="18"/>
                <w:szCs w:val="18"/>
              </w:rPr>
              <w:t>--</w:t>
            </w:r>
          </w:p>
        </w:tc>
      </w:tr>
      <w:tr w:rsidR="006A0D48" w:rsidRPr="00BC7BB5" w14:paraId="11AC90A9" w14:textId="77777777" w:rsidTr="00FB4889">
        <w:trPr>
          <w:jc w:val="center"/>
        </w:trPr>
        <w:tc>
          <w:tcPr>
            <w:tcW w:w="1795" w:type="dxa"/>
          </w:tcPr>
          <w:p w14:paraId="381A4BB6" w14:textId="5E8A7795" w:rsidR="006A0D48" w:rsidRPr="00BC7BB5" w:rsidRDefault="006A0D48" w:rsidP="00CB471A">
            <w:pPr>
              <w:spacing w:after="120"/>
              <w:rPr>
                <w:rFonts w:ascii="Times New Roman" w:hAnsi="Times New Roman" w:cs="Times New Roman"/>
                <w:b/>
                <w:sz w:val="18"/>
                <w:szCs w:val="18"/>
              </w:rPr>
            </w:pPr>
            <w:r w:rsidRPr="00BC7BB5">
              <w:rPr>
                <w:rFonts w:ascii="Times New Roman" w:hAnsi="Times New Roman" w:cs="Times New Roman"/>
                <w:sz w:val="18"/>
                <w:szCs w:val="18"/>
              </w:rPr>
              <w:t xml:space="preserve">IR 2.1: </w:t>
            </w:r>
            <w:r w:rsidR="007046FE">
              <w:rPr>
                <w:rFonts w:ascii="Times New Roman" w:hAnsi="Times New Roman" w:cs="Times New Roman"/>
                <w:sz w:val="18"/>
                <w:szCs w:val="18"/>
              </w:rPr>
              <w:t>Small and/or medium</w:t>
            </w:r>
            <w:r w:rsidRPr="00BC7BB5">
              <w:rPr>
                <w:rFonts w:ascii="Times New Roman" w:hAnsi="Times New Roman" w:cs="Times New Roman"/>
                <w:sz w:val="18"/>
                <w:szCs w:val="18"/>
              </w:rPr>
              <w:t xml:space="preserve"> enterprises </w:t>
            </w:r>
            <w:r w:rsidR="009D3B21">
              <w:rPr>
                <w:rFonts w:ascii="Times New Roman" w:hAnsi="Times New Roman" w:cs="Times New Roman"/>
                <w:sz w:val="18"/>
                <w:szCs w:val="18"/>
              </w:rPr>
              <w:t xml:space="preserve">agri-food </w:t>
            </w:r>
            <w:r w:rsidRPr="00BC7BB5">
              <w:rPr>
                <w:rFonts w:ascii="Times New Roman" w:hAnsi="Times New Roman" w:cs="Times New Roman"/>
                <w:sz w:val="18"/>
                <w:szCs w:val="18"/>
              </w:rPr>
              <w:t xml:space="preserve">authorized by ONSSA </w:t>
            </w:r>
          </w:p>
        </w:tc>
        <w:tc>
          <w:tcPr>
            <w:tcW w:w="3510" w:type="dxa"/>
          </w:tcPr>
          <w:p w14:paraId="63D761BA" w14:textId="4C667B83" w:rsidR="006A0D48" w:rsidRPr="00BC7BB5" w:rsidRDefault="006A0D48" w:rsidP="00CB471A">
            <w:pPr>
              <w:spacing w:after="120"/>
              <w:rPr>
                <w:rFonts w:ascii="Times New Roman" w:hAnsi="Times New Roman" w:cs="Times New Roman"/>
                <w:sz w:val="18"/>
                <w:szCs w:val="18"/>
              </w:rPr>
            </w:pPr>
            <w:r w:rsidRPr="00BC7BB5">
              <w:rPr>
                <w:rFonts w:ascii="Times New Roman" w:hAnsi="Times New Roman" w:cs="Times New Roman"/>
                <w:sz w:val="18"/>
                <w:szCs w:val="18"/>
              </w:rPr>
              <w:t xml:space="preserve">This indicator refers to the number of additional </w:t>
            </w:r>
            <w:r w:rsidR="007046FE">
              <w:rPr>
                <w:rFonts w:ascii="Times New Roman" w:hAnsi="Times New Roman" w:cs="Times New Roman"/>
                <w:sz w:val="18"/>
                <w:szCs w:val="18"/>
              </w:rPr>
              <w:t>small and/or medium</w:t>
            </w:r>
            <w:r w:rsidRPr="00BC7BB5">
              <w:rPr>
                <w:rFonts w:ascii="Times New Roman" w:hAnsi="Times New Roman" w:cs="Times New Roman"/>
                <w:sz w:val="18"/>
                <w:szCs w:val="18"/>
              </w:rPr>
              <w:t xml:space="preserve"> enterprises </w:t>
            </w:r>
            <w:r w:rsidR="009E5017">
              <w:rPr>
                <w:rFonts w:ascii="Times New Roman" w:hAnsi="Times New Roman" w:cs="Times New Roman"/>
                <w:sz w:val="18"/>
                <w:szCs w:val="18"/>
              </w:rPr>
              <w:t xml:space="preserve">(as defined by Maroc PME), </w:t>
            </w:r>
            <w:r w:rsidRPr="00BC7BB5">
              <w:rPr>
                <w:rFonts w:ascii="Times New Roman" w:hAnsi="Times New Roman" w:cs="Times New Roman"/>
                <w:sz w:val="18"/>
                <w:szCs w:val="18"/>
              </w:rPr>
              <w:t>authorized by ONSSA, reflecting their compliance with the food safety law. This indicator will be disaggregated by gender (owner in case of enterprises)</w:t>
            </w:r>
          </w:p>
        </w:tc>
        <w:tc>
          <w:tcPr>
            <w:tcW w:w="1069" w:type="dxa"/>
          </w:tcPr>
          <w:p w14:paraId="58CD09E4" w14:textId="77777777" w:rsidR="006A0D48" w:rsidRPr="00BC7BB5" w:rsidRDefault="006A0D48" w:rsidP="00CB471A">
            <w:pPr>
              <w:spacing w:after="120"/>
              <w:rPr>
                <w:rFonts w:ascii="Times New Roman" w:hAnsi="Times New Roman" w:cs="Times New Roman"/>
                <w:sz w:val="18"/>
                <w:szCs w:val="18"/>
              </w:rPr>
            </w:pPr>
            <w:r w:rsidRPr="00BC7BB5">
              <w:rPr>
                <w:rFonts w:ascii="Times New Roman" w:hAnsi="Times New Roman" w:cs="Times New Roman"/>
                <w:sz w:val="18"/>
                <w:szCs w:val="18"/>
              </w:rPr>
              <w:t xml:space="preserve">Semiannual </w:t>
            </w:r>
          </w:p>
        </w:tc>
        <w:tc>
          <w:tcPr>
            <w:tcW w:w="1451" w:type="dxa"/>
          </w:tcPr>
          <w:p w14:paraId="4D014A31" w14:textId="77777777" w:rsidR="006A0D48" w:rsidRPr="00BC7BB5" w:rsidRDefault="006A0D48" w:rsidP="00CB471A">
            <w:pPr>
              <w:spacing w:after="120"/>
              <w:rPr>
                <w:rFonts w:ascii="Times New Roman" w:hAnsi="Times New Roman" w:cs="Times New Roman"/>
                <w:sz w:val="18"/>
                <w:szCs w:val="18"/>
              </w:rPr>
            </w:pPr>
            <w:r w:rsidRPr="00BC7BB5">
              <w:rPr>
                <w:rFonts w:ascii="Times New Roman" w:hAnsi="Times New Roman" w:cs="Times New Roman"/>
                <w:sz w:val="18"/>
                <w:szCs w:val="18"/>
              </w:rPr>
              <w:t>Records of ONSSA</w:t>
            </w:r>
          </w:p>
        </w:tc>
        <w:tc>
          <w:tcPr>
            <w:tcW w:w="1890" w:type="dxa"/>
          </w:tcPr>
          <w:p w14:paraId="458815E3" w14:textId="77777777" w:rsidR="006A0D48" w:rsidRPr="00BC7BB5" w:rsidRDefault="006A0D48" w:rsidP="00CB471A">
            <w:pPr>
              <w:spacing w:after="120"/>
              <w:rPr>
                <w:rFonts w:ascii="Times New Roman" w:hAnsi="Times New Roman" w:cs="Times New Roman"/>
                <w:sz w:val="18"/>
                <w:szCs w:val="18"/>
              </w:rPr>
            </w:pPr>
            <w:r w:rsidRPr="00BC7BB5">
              <w:rPr>
                <w:rFonts w:ascii="Times New Roman" w:hAnsi="Times New Roman" w:cs="Times New Roman"/>
                <w:sz w:val="18"/>
                <w:szCs w:val="18"/>
              </w:rPr>
              <w:t xml:space="preserve">Use of official documents </w:t>
            </w:r>
          </w:p>
        </w:tc>
        <w:tc>
          <w:tcPr>
            <w:tcW w:w="1762" w:type="dxa"/>
          </w:tcPr>
          <w:p w14:paraId="10BC8860" w14:textId="77777777" w:rsidR="006A0D48" w:rsidRPr="00BC7BB5" w:rsidRDefault="006A0D48" w:rsidP="00CB471A">
            <w:pPr>
              <w:spacing w:after="120"/>
              <w:rPr>
                <w:rFonts w:ascii="Times New Roman" w:hAnsi="Times New Roman" w:cs="Times New Roman"/>
                <w:sz w:val="18"/>
                <w:szCs w:val="18"/>
              </w:rPr>
            </w:pPr>
            <w:r w:rsidRPr="00BC7BB5">
              <w:rPr>
                <w:rFonts w:ascii="Times New Roman" w:hAnsi="Times New Roman" w:cs="Times New Roman"/>
                <w:sz w:val="18"/>
                <w:szCs w:val="18"/>
              </w:rPr>
              <w:t>ONSSA</w:t>
            </w:r>
          </w:p>
        </w:tc>
        <w:tc>
          <w:tcPr>
            <w:tcW w:w="1418" w:type="dxa"/>
          </w:tcPr>
          <w:p w14:paraId="2BC8755C" w14:textId="28A504D7" w:rsidR="006A0D48" w:rsidRPr="00BC7BB5" w:rsidRDefault="00223F1E" w:rsidP="00CB471A">
            <w:pPr>
              <w:spacing w:after="120"/>
              <w:rPr>
                <w:rFonts w:ascii="Times New Roman" w:hAnsi="Times New Roman" w:cs="Times New Roman"/>
                <w:sz w:val="18"/>
                <w:szCs w:val="18"/>
              </w:rPr>
            </w:pPr>
            <w:r w:rsidRPr="00BC7BB5">
              <w:rPr>
                <w:rFonts w:ascii="Times New Roman" w:hAnsi="Times New Roman" w:cs="Times New Roman"/>
                <w:sz w:val="18"/>
                <w:szCs w:val="18"/>
              </w:rPr>
              <w:t>IGA</w:t>
            </w:r>
          </w:p>
        </w:tc>
        <w:tc>
          <w:tcPr>
            <w:tcW w:w="1417" w:type="dxa"/>
          </w:tcPr>
          <w:p w14:paraId="444B23E3" w14:textId="7E3C72EC" w:rsidR="006A0D48" w:rsidRPr="00BC7BB5" w:rsidRDefault="00223F1E" w:rsidP="00CB471A">
            <w:pPr>
              <w:spacing w:after="120"/>
              <w:rPr>
                <w:rFonts w:ascii="Times New Roman" w:hAnsi="Times New Roman" w:cs="Times New Roman"/>
                <w:sz w:val="18"/>
                <w:szCs w:val="18"/>
              </w:rPr>
            </w:pPr>
            <w:r w:rsidRPr="00BC7BB5">
              <w:rPr>
                <w:rFonts w:ascii="Times New Roman" w:hAnsi="Times New Roman" w:cs="Times New Roman"/>
                <w:sz w:val="18"/>
                <w:szCs w:val="18"/>
              </w:rPr>
              <w:t>Yes</w:t>
            </w:r>
          </w:p>
        </w:tc>
      </w:tr>
      <w:tr w:rsidR="006A0D48" w:rsidRPr="00BC7BB5" w14:paraId="6248DDCE" w14:textId="77777777" w:rsidTr="00FB4889">
        <w:trPr>
          <w:jc w:val="center"/>
        </w:trPr>
        <w:tc>
          <w:tcPr>
            <w:tcW w:w="1795" w:type="dxa"/>
          </w:tcPr>
          <w:p w14:paraId="24366B07" w14:textId="3CB336BA" w:rsidR="006A0D48" w:rsidRPr="00BC7BB5" w:rsidRDefault="006A0D48" w:rsidP="00CB471A">
            <w:pPr>
              <w:spacing w:after="120"/>
              <w:rPr>
                <w:rFonts w:ascii="Times New Roman" w:hAnsi="Times New Roman" w:cs="Times New Roman"/>
                <w:sz w:val="18"/>
                <w:szCs w:val="18"/>
              </w:rPr>
            </w:pPr>
            <w:r w:rsidRPr="00BC7BB5">
              <w:rPr>
                <w:rFonts w:ascii="Times New Roman" w:hAnsi="Times New Roman" w:cs="Times New Roman"/>
                <w:sz w:val="18"/>
                <w:szCs w:val="18"/>
              </w:rPr>
              <w:t xml:space="preserve">IR 2.2: </w:t>
            </w:r>
            <w:r w:rsidR="00C55036" w:rsidRPr="00BC7BB5">
              <w:rPr>
                <w:rFonts w:ascii="Times New Roman" w:hAnsi="Times New Roman" w:cs="Times New Roman"/>
                <w:sz w:val="18"/>
                <w:szCs w:val="18"/>
              </w:rPr>
              <w:t>A</w:t>
            </w:r>
            <w:r w:rsidRPr="00BC7BB5">
              <w:rPr>
                <w:rFonts w:ascii="Times New Roman" w:hAnsi="Times New Roman" w:cs="Times New Roman"/>
                <w:sz w:val="18"/>
                <w:szCs w:val="18"/>
              </w:rPr>
              <w:t>rea treated for Mediterranean fruit fly through the new Center</w:t>
            </w:r>
          </w:p>
        </w:tc>
        <w:tc>
          <w:tcPr>
            <w:tcW w:w="3510" w:type="dxa"/>
          </w:tcPr>
          <w:p w14:paraId="56B4B7E5" w14:textId="77777777" w:rsidR="006A0D48" w:rsidRPr="00BC7BB5" w:rsidRDefault="006A0D48" w:rsidP="00CB471A">
            <w:pPr>
              <w:spacing w:after="120"/>
              <w:rPr>
                <w:rFonts w:ascii="Times New Roman" w:hAnsi="Times New Roman" w:cs="Times New Roman"/>
                <w:sz w:val="18"/>
                <w:szCs w:val="18"/>
              </w:rPr>
            </w:pPr>
            <w:r w:rsidRPr="00BC7BB5">
              <w:rPr>
                <w:rFonts w:ascii="Times New Roman" w:hAnsi="Times New Roman" w:cs="Times New Roman"/>
                <w:sz w:val="18"/>
                <w:szCs w:val="18"/>
              </w:rPr>
              <w:t xml:space="preserve">This indicator refers to the citrus production area (hectares) treated once the Center is built, fully equipped and staffed, and it starts to provide treatment for producers  </w:t>
            </w:r>
          </w:p>
        </w:tc>
        <w:tc>
          <w:tcPr>
            <w:tcW w:w="1069" w:type="dxa"/>
          </w:tcPr>
          <w:p w14:paraId="6DFFA98D" w14:textId="77777777" w:rsidR="006A0D48" w:rsidRPr="00BC7BB5" w:rsidRDefault="006A0D48" w:rsidP="00CB471A">
            <w:pPr>
              <w:spacing w:after="120"/>
              <w:rPr>
                <w:rFonts w:ascii="Times New Roman" w:hAnsi="Times New Roman" w:cs="Times New Roman"/>
                <w:sz w:val="18"/>
                <w:szCs w:val="18"/>
              </w:rPr>
            </w:pPr>
            <w:r w:rsidRPr="00BC7BB5">
              <w:rPr>
                <w:rFonts w:ascii="Times New Roman" w:hAnsi="Times New Roman" w:cs="Times New Roman"/>
                <w:sz w:val="18"/>
                <w:szCs w:val="18"/>
              </w:rPr>
              <w:t>Annual</w:t>
            </w:r>
          </w:p>
        </w:tc>
        <w:tc>
          <w:tcPr>
            <w:tcW w:w="1451" w:type="dxa"/>
          </w:tcPr>
          <w:p w14:paraId="04186C81" w14:textId="77777777" w:rsidR="006A0D48" w:rsidRPr="00BC7BB5" w:rsidRDefault="006A0D48" w:rsidP="00CB471A">
            <w:pPr>
              <w:spacing w:after="120"/>
              <w:rPr>
                <w:rFonts w:ascii="Times New Roman" w:hAnsi="Times New Roman" w:cs="Times New Roman"/>
                <w:sz w:val="18"/>
                <w:szCs w:val="18"/>
              </w:rPr>
            </w:pPr>
            <w:r w:rsidRPr="00BC7BB5">
              <w:rPr>
                <w:rFonts w:ascii="Times New Roman" w:hAnsi="Times New Roman" w:cs="Times New Roman"/>
                <w:sz w:val="18"/>
                <w:szCs w:val="18"/>
              </w:rPr>
              <w:t>Records of ONSSA</w:t>
            </w:r>
          </w:p>
        </w:tc>
        <w:tc>
          <w:tcPr>
            <w:tcW w:w="1890" w:type="dxa"/>
          </w:tcPr>
          <w:p w14:paraId="38074218" w14:textId="77777777" w:rsidR="006A0D48" w:rsidRPr="00BC7BB5" w:rsidRDefault="006A0D48" w:rsidP="00CB471A">
            <w:pPr>
              <w:spacing w:after="120"/>
              <w:rPr>
                <w:rFonts w:ascii="Times New Roman" w:hAnsi="Times New Roman" w:cs="Times New Roman"/>
                <w:sz w:val="18"/>
                <w:szCs w:val="18"/>
              </w:rPr>
            </w:pPr>
            <w:r w:rsidRPr="00BC7BB5">
              <w:rPr>
                <w:rFonts w:ascii="Times New Roman" w:hAnsi="Times New Roman" w:cs="Times New Roman"/>
                <w:sz w:val="18"/>
                <w:szCs w:val="18"/>
              </w:rPr>
              <w:t xml:space="preserve">Use of official documents </w:t>
            </w:r>
          </w:p>
        </w:tc>
        <w:tc>
          <w:tcPr>
            <w:tcW w:w="1762" w:type="dxa"/>
          </w:tcPr>
          <w:p w14:paraId="097F5329" w14:textId="77777777" w:rsidR="006A0D48" w:rsidRPr="00BC7BB5" w:rsidRDefault="006A0D48" w:rsidP="00CB471A">
            <w:pPr>
              <w:spacing w:after="120"/>
              <w:rPr>
                <w:rFonts w:ascii="Times New Roman" w:hAnsi="Times New Roman" w:cs="Times New Roman"/>
                <w:sz w:val="18"/>
                <w:szCs w:val="18"/>
              </w:rPr>
            </w:pPr>
            <w:r w:rsidRPr="00BC7BB5">
              <w:rPr>
                <w:rFonts w:ascii="Times New Roman" w:hAnsi="Times New Roman" w:cs="Times New Roman"/>
                <w:sz w:val="18"/>
                <w:szCs w:val="18"/>
              </w:rPr>
              <w:t>ONSSA</w:t>
            </w:r>
          </w:p>
        </w:tc>
        <w:tc>
          <w:tcPr>
            <w:tcW w:w="1418" w:type="dxa"/>
          </w:tcPr>
          <w:p w14:paraId="74A60776" w14:textId="77777777" w:rsidR="006A0D48" w:rsidRPr="00BC7BB5" w:rsidRDefault="006A0D48" w:rsidP="00CB471A">
            <w:pPr>
              <w:spacing w:after="120"/>
              <w:rPr>
                <w:rFonts w:ascii="Times New Roman" w:hAnsi="Times New Roman" w:cs="Times New Roman"/>
                <w:sz w:val="18"/>
                <w:szCs w:val="18"/>
              </w:rPr>
            </w:pPr>
            <w:r w:rsidRPr="00BC7BB5">
              <w:rPr>
                <w:rFonts w:ascii="Times New Roman" w:hAnsi="Times New Roman" w:cs="Times New Roman"/>
                <w:sz w:val="18"/>
                <w:szCs w:val="18"/>
              </w:rPr>
              <w:t>IGA</w:t>
            </w:r>
          </w:p>
        </w:tc>
        <w:tc>
          <w:tcPr>
            <w:tcW w:w="1417" w:type="dxa"/>
          </w:tcPr>
          <w:p w14:paraId="20792338" w14:textId="2D7DDE2E" w:rsidR="006A0D48" w:rsidRPr="00BC7BB5" w:rsidRDefault="00A861AC" w:rsidP="00CB471A">
            <w:pPr>
              <w:spacing w:after="120"/>
              <w:rPr>
                <w:rFonts w:ascii="Times New Roman" w:hAnsi="Times New Roman" w:cs="Times New Roman"/>
                <w:sz w:val="18"/>
                <w:szCs w:val="18"/>
              </w:rPr>
            </w:pPr>
            <w:r w:rsidRPr="00BC7BB5">
              <w:rPr>
                <w:rFonts w:ascii="Times New Roman" w:hAnsi="Times New Roman" w:cs="Times New Roman"/>
                <w:sz w:val="18"/>
                <w:szCs w:val="18"/>
              </w:rPr>
              <w:t>No</w:t>
            </w:r>
          </w:p>
        </w:tc>
      </w:tr>
      <w:tr w:rsidR="006A0D48" w:rsidRPr="00BC7BB5" w14:paraId="2CB5C04C" w14:textId="77777777" w:rsidTr="00FB4889">
        <w:trPr>
          <w:jc w:val="center"/>
        </w:trPr>
        <w:tc>
          <w:tcPr>
            <w:tcW w:w="1795" w:type="dxa"/>
          </w:tcPr>
          <w:p w14:paraId="20720619" w14:textId="77777777" w:rsidR="006A0D48" w:rsidRPr="00BC7BB5" w:rsidRDefault="006A0D48" w:rsidP="00CB471A">
            <w:pPr>
              <w:spacing w:after="120"/>
              <w:rPr>
                <w:rFonts w:ascii="Times New Roman" w:hAnsi="Times New Roman" w:cs="Times New Roman"/>
                <w:sz w:val="18"/>
                <w:szCs w:val="18"/>
              </w:rPr>
            </w:pPr>
            <w:r w:rsidRPr="00BC7BB5">
              <w:rPr>
                <w:rFonts w:ascii="Times New Roman" w:hAnsi="Times New Roman" w:cs="Times New Roman"/>
                <w:sz w:val="18"/>
                <w:szCs w:val="18"/>
              </w:rPr>
              <w:t>IR 2.3: Producers with an input register in the Souss-Massa region</w:t>
            </w:r>
          </w:p>
        </w:tc>
        <w:tc>
          <w:tcPr>
            <w:tcW w:w="3510" w:type="dxa"/>
          </w:tcPr>
          <w:p w14:paraId="5160B3E3" w14:textId="2E51005B" w:rsidR="006A0D48" w:rsidRPr="00BC7BB5" w:rsidRDefault="006A0D48" w:rsidP="00CB471A">
            <w:pPr>
              <w:spacing w:after="120"/>
              <w:rPr>
                <w:rFonts w:ascii="Times New Roman" w:hAnsi="Times New Roman" w:cs="Times New Roman"/>
                <w:sz w:val="18"/>
                <w:szCs w:val="18"/>
              </w:rPr>
            </w:pPr>
            <w:r w:rsidRPr="00BC7BB5">
              <w:rPr>
                <w:rFonts w:ascii="Times New Roman" w:hAnsi="Times New Roman" w:cs="Times New Roman"/>
                <w:sz w:val="18"/>
                <w:szCs w:val="18"/>
              </w:rPr>
              <w:t>This indicator includes the number of agricultural producers who are using an input register in the Souss-Massa region</w:t>
            </w:r>
            <w:r w:rsidR="00214F40" w:rsidRPr="00BC7BB5">
              <w:rPr>
                <w:rFonts w:ascii="Times New Roman" w:hAnsi="Times New Roman" w:cs="Times New Roman"/>
                <w:sz w:val="18"/>
                <w:szCs w:val="18"/>
              </w:rPr>
              <w:t>, disaggregated by gender</w:t>
            </w:r>
          </w:p>
        </w:tc>
        <w:tc>
          <w:tcPr>
            <w:tcW w:w="1069" w:type="dxa"/>
          </w:tcPr>
          <w:p w14:paraId="05E1FE42" w14:textId="77777777" w:rsidR="006A0D48" w:rsidRPr="00BC7BB5" w:rsidRDefault="006A0D48" w:rsidP="00CB471A">
            <w:pPr>
              <w:spacing w:after="120"/>
              <w:rPr>
                <w:rFonts w:ascii="Times New Roman" w:hAnsi="Times New Roman" w:cs="Times New Roman"/>
                <w:sz w:val="18"/>
                <w:szCs w:val="18"/>
              </w:rPr>
            </w:pPr>
            <w:r w:rsidRPr="00BC7BB5">
              <w:rPr>
                <w:rFonts w:ascii="Times New Roman" w:hAnsi="Times New Roman" w:cs="Times New Roman"/>
                <w:sz w:val="18"/>
                <w:szCs w:val="18"/>
              </w:rPr>
              <w:t>Annual</w:t>
            </w:r>
          </w:p>
        </w:tc>
        <w:tc>
          <w:tcPr>
            <w:tcW w:w="1451" w:type="dxa"/>
          </w:tcPr>
          <w:p w14:paraId="49E3E7F1" w14:textId="77777777" w:rsidR="006A0D48" w:rsidRPr="00BC7BB5" w:rsidRDefault="006A0D48" w:rsidP="00CB471A">
            <w:pPr>
              <w:spacing w:after="120"/>
              <w:rPr>
                <w:rFonts w:ascii="Times New Roman" w:hAnsi="Times New Roman" w:cs="Times New Roman"/>
                <w:sz w:val="18"/>
                <w:szCs w:val="18"/>
              </w:rPr>
            </w:pPr>
            <w:r w:rsidRPr="00BC7BB5">
              <w:rPr>
                <w:rFonts w:ascii="Times New Roman" w:hAnsi="Times New Roman" w:cs="Times New Roman"/>
                <w:sz w:val="18"/>
                <w:szCs w:val="18"/>
              </w:rPr>
              <w:t>Records of ONSSA</w:t>
            </w:r>
          </w:p>
        </w:tc>
        <w:tc>
          <w:tcPr>
            <w:tcW w:w="1890" w:type="dxa"/>
          </w:tcPr>
          <w:p w14:paraId="4745EAB5" w14:textId="77777777" w:rsidR="006A0D48" w:rsidRPr="00BC7BB5" w:rsidRDefault="006A0D48" w:rsidP="00CB471A">
            <w:pPr>
              <w:spacing w:after="120"/>
              <w:rPr>
                <w:rFonts w:ascii="Times New Roman" w:hAnsi="Times New Roman" w:cs="Times New Roman"/>
                <w:sz w:val="18"/>
                <w:szCs w:val="18"/>
              </w:rPr>
            </w:pPr>
            <w:r w:rsidRPr="00BC7BB5">
              <w:rPr>
                <w:rFonts w:ascii="Times New Roman" w:hAnsi="Times New Roman" w:cs="Times New Roman"/>
                <w:sz w:val="18"/>
                <w:szCs w:val="18"/>
              </w:rPr>
              <w:t>Use of official documents</w:t>
            </w:r>
          </w:p>
        </w:tc>
        <w:tc>
          <w:tcPr>
            <w:tcW w:w="1762" w:type="dxa"/>
          </w:tcPr>
          <w:p w14:paraId="6049F9A5" w14:textId="77777777" w:rsidR="006A0D48" w:rsidRPr="00BC7BB5" w:rsidRDefault="006A0D48" w:rsidP="00CB471A">
            <w:pPr>
              <w:spacing w:after="120"/>
              <w:rPr>
                <w:rFonts w:ascii="Times New Roman" w:hAnsi="Times New Roman" w:cs="Times New Roman"/>
                <w:sz w:val="18"/>
                <w:szCs w:val="18"/>
              </w:rPr>
            </w:pPr>
            <w:r w:rsidRPr="00BC7BB5">
              <w:rPr>
                <w:rFonts w:ascii="Times New Roman" w:hAnsi="Times New Roman" w:cs="Times New Roman"/>
                <w:sz w:val="18"/>
                <w:szCs w:val="18"/>
              </w:rPr>
              <w:t>ONSSA</w:t>
            </w:r>
          </w:p>
        </w:tc>
        <w:tc>
          <w:tcPr>
            <w:tcW w:w="1418" w:type="dxa"/>
          </w:tcPr>
          <w:p w14:paraId="10FB0B42" w14:textId="77777777" w:rsidR="006A0D48" w:rsidRPr="00BC7BB5" w:rsidRDefault="006A0D48" w:rsidP="00CB471A">
            <w:pPr>
              <w:spacing w:after="120"/>
              <w:rPr>
                <w:rFonts w:ascii="Times New Roman" w:hAnsi="Times New Roman" w:cs="Times New Roman"/>
                <w:sz w:val="18"/>
                <w:szCs w:val="18"/>
              </w:rPr>
            </w:pPr>
            <w:r w:rsidRPr="00BC7BB5">
              <w:rPr>
                <w:rFonts w:ascii="Times New Roman" w:hAnsi="Times New Roman" w:cs="Times New Roman"/>
                <w:sz w:val="18"/>
                <w:szCs w:val="18"/>
              </w:rPr>
              <w:t>--</w:t>
            </w:r>
          </w:p>
        </w:tc>
        <w:tc>
          <w:tcPr>
            <w:tcW w:w="1417" w:type="dxa"/>
          </w:tcPr>
          <w:p w14:paraId="09EB8E10" w14:textId="77777777" w:rsidR="006A0D48" w:rsidRPr="00BC7BB5" w:rsidRDefault="006A0D48" w:rsidP="00CB471A">
            <w:pPr>
              <w:spacing w:after="120"/>
              <w:rPr>
                <w:rFonts w:ascii="Times New Roman" w:hAnsi="Times New Roman" w:cs="Times New Roman"/>
                <w:sz w:val="18"/>
                <w:szCs w:val="18"/>
              </w:rPr>
            </w:pPr>
            <w:r w:rsidRPr="00BC7BB5">
              <w:rPr>
                <w:rFonts w:ascii="Times New Roman" w:hAnsi="Times New Roman" w:cs="Times New Roman"/>
                <w:sz w:val="18"/>
                <w:szCs w:val="18"/>
              </w:rPr>
              <w:t>--</w:t>
            </w:r>
          </w:p>
        </w:tc>
      </w:tr>
      <w:tr w:rsidR="006A0D48" w:rsidRPr="00BC7BB5" w14:paraId="287D2BBB" w14:textId="77777777" w:rsidTr="00FB4889">
        <w:trPr>
          <w:jc w:val="center"/>
        </w:trPr>
        <w:tc>
          <w:tcPr>
            <w:tcW w:w="1795" w:type="dxa"/>
          </w:tcPr>
          <w:p w14:paraId="539EFE32" w14:textId="77777777" w:rsidR="006A0D48" w:rsidRPr="00BC7BB5" w:rsidRDefault="006A0D48" w:rsidP="00CB471A">
            <w:pPr>
              <w:spacing w:after="120"/>
              <w:rPr>
                <w:rFonts w:ascii="Times New Roman" w:hAnsi="Times New Roman" w:cs="Times New Roman"/>
                <w:sz w:val="18"/>
                <w:szCs w:val="18"/>
              </w:rPr>
            </w:pPr>
            <w:r w:rsidRPr="00BC7BB5">
              <w:rPr>
                <w:rFonts w:ascii="Times New Roman" w:hAnsi="Times New Roman" w:cs="Times New Roman"/>
                <w:sz w:val="18"/>
                <w:szCs w:val="18"/>
              </w:rPr>
              <w:t>IR 2.4:</w:t>
            </w:r>
            <w:r w:rsidRPr="00BC7BB5">
              <w:rPr>
                <w:rFonts w:ascii="Times New Roman" w:hAnsi="Times New Roman" w:cs="Times New Roman"/>
                <w:b/>
                <w:sz w:val="18"/>
                <w:szCs w:val="18"/>
              </w:rPr>
              <w:t xml:space="preserve"> </w:t>
            </w:r>
            <w:r w:rsidRPr="00BC7BB5">
              <w:rPr>
                <w:rFonts w:ascii="Times New Roman" w:hAnsi="Times New Roman" w:cs="Times New Roman"/>
                <w:sz w:val="18"/>
                <w:szCs w:val="18"/>
              </w:rPr>
              <w:t xml:space="preserve">SDOQ Products certified by the OCC </w:t>
            </w:r>
          </w:p>
        </w:tc>
        <w:tc>
          <w:tcPr>
            <w:tcW w:w="3510" w:type="dxa"/>
          </w:tcPr>
          <w:p w14:paraId="158AB529" w14:textId="77777777" w:rsidR="006A0D48" w:rsidRPr="00BC7BB5" w:rsidRDefault="006A0D48" w:rsidP="00CB471A">
            <w:pPr>
              <w:spacing w:after="120"/>
              <w:rPr>
                <w:rFonts w:ascii="Times New Roman" w:hAnsi="Times New Roman" w:cs="Times New Roman"/>
                <w:sz w:val="18"/>
                <w:szCs w:val="18"/>
              </w:rPr>
            </w:pPr>
            <w:r w:rsidRPr="00BC7BB5">
              <w:rPr>
                <w:rFonts w:ascii="Times New Roman" w:hAnsi="Times New Roman" w:cs="Times New Roman"/>
                <w:sz w:val="18"/>
                <w:szCs w:val="18"/>
              </w:rPr>
              <w:t xml:space="preserve">Number of SDOQ products with a certificate granted by the OCC </w:t>
            </w:r>
          </w:p>
        </w:tc>
        <w:tc>
          <w:tcPr>
            <w:tcW w:w="1069" w:type="dxa"/>
          </w:tcPr>
          <w:p w14:paraId="05549614" w14:textId="77777777" w:rsidR="006A0D48" w:rsidRPr="00BC7BB5" w:rsidRDefault="006A0D48" w:rsidP="00CB471A">
            <w:pPr>
              <w:spacing w:after="120"/>
              <w:rPr>
                <w:rFonts w:ascii="Times New Roman" w:hAnsi="Times New Roman" w:cs="Times New Roman"/>
                <w:sz w:val="18"/>
                <w:szCs w:val="18"/>
              </w:rPr>
            </w:pPr>
            <w:r w:rsidRPr="00BC7BB5">
              <w:rPr>
                <w:rFonts w:ascii="Times New Roman" w:hAnsi="Times New Roman" w:cs="Times New Roman"/>
                <w:sz w:val="18"/>
                <w:szCs w:val="18"/>
              </w:rPr>
              <w:t>Annual</w:t>
            </w:r>
          </w:p>
        </w:tc>
        <w:tc>
          <w:tcPr>
            <w:tcW w:w="1451" w:type="dxa"/>
          </w:tcPr>
          <w:p w14:paraId="190E28E0" w14:textId="77777777" w:rsidR="006A0D48" w:rsidRPr="00BC7BB5" w:rsidRDefault="006A0D48" w:rsidP="00CB471A">
            <w:pPr>
              <w:spacing w:after="120"/>
              <w:rPr>
                <w:rFonts w:ascii="Times New Roman" w:hAnsi="Times New Roman" w:cs="Times New Roman"/>
                <w:sz w:val="18"/>
                <w:szCs w:val="18"/>
              </w:rPr>
            </w:pPr>
            <w:r w:rsidRPr="00BC7BB5">
              <w:rPr>
                <w:rFonts w:ascii="Times New Roman" w:hAnsi="Times New Roman" w:cs="Times New Roman"/>
                <w:sz w:val="18"/>
                <w:szCs w:val="18"/>
              </w:rPr>
              <w:t xml:space="preserve">Records of OCC </w:t>
            </w:r>
          </w:p>
        </w:tc>
        <w:tc>
          <w:tcPr>
            <w:tcW w:w="1890" w:type="dxa"/>
          </w:tcPr>
          <w:p w14:paraId="4F42E846" w14:textId="77777777" w:rsidR="006A0D48" w:rsidRPr="00BC7BB5" w:rsidRDefault="006A0D48" w:rsidP="00CB471A">
            <w:pPr>
              <w:spacing w:after="120"/>
              <w:rPr>
                <w:rFonts w:ascii="Times New Roman" w:hAnsi="Times New Roman" w:cs="Times New Roman"/>
                <w:sz w:val="18"/>
                <w:szCs w:val="18"/>
              </w:rPr>
            </w:pPr>
            <w:r w:rsidRPr="00BC7BB5">
              <w:rPr>
                <w:rFonts w:ascii="Times New Roman" w:hAnsi="Times New Roman" w:cs="Times New Roman"/>
                <w:sz w:val="18"/>
                <w:szCs w:val="18"/>
              </w:rPr>
              <w:t>Use of Annual report of the OCC</w:t>
            </w:r>
          </w:p>
        </w:tc>
        <w:tc>
          <w:tcPr>
            <w:tcW w:w="1762" w:type="dxa"/>
          </w:tcPr>
          <w:p w14:paraId="54D5A988" w14:textId="77777777" w:rsidR="006A0D48" w:rsidRPr="00BC7BB5" w:rsidRDefault="006A0D48" w:rsidP="00CB471A">
            <w:pPr>
              <w:spacing w:after="120"/>
              <w:rPr>
                <w:rFonts w:ascii="Times New Roman" w:hAnsi="Times New Roman" w:cs="Times New Roman"/>
                <w:sz w:val="18"/>
                <w:szCs w:val="18"/>
              </w:rPr>
            </w:pPr>
            <w:r w:rsidRPr="00BC7BB5">
              <w:rPr>
                <w:rFonts w:ascii="Times New Roman" w:hAnsi="Times New Roman" w:cs="Times New Roman"/>
                <w:sz w:val="18"/>
                <w:szCs w:val="18"/>
              </w:rPr>
              <w:t>DDFP</w:t>
            </w:r>
          </w:p>
        </w:tc>
        <w:tc>
          <w:tcPr>
            <w:tcW w:w="1418" w:type="dxa"/>
          </w:tcPr>
          <w:p w14:paraId="23D5BA06" w14:textId="32549819" w:rsidR="006A0D48" w:rsidRPr="00BC7BB5" w:rsidRDefault="00320563" w:rsidP="00CB471A">
            <w:pPr>
              <w:spacing w:after="120"/>
              <w:rPr>
                <w:rFonts w:ascii="Times New Roman" w:hAnsi="Times New Roman" w:cs="Times New Roman"/>
                <w:sz w:val="18"/>
                <w:szCs w:val="18"/>
              </w:rPr>
            </w:pPr>
            <w:r w:rsidRPr="00BC7BB5">
              <w:rPr>
                <w:rFonts w:ascii="Times New Roman" w:hAnsi="Times New Roman" w:cs="Times New Roman"/>
                <w:sz w:val="18"/>
                <w:szCs w:val="18"/>
              </w:rPr>
              <w:t>--</w:t>
            </w:r>
          </w:p>
        </w:tc>
        <w:tc>
          <w:tcPr>
            <w:tcW w:w="1417" w:type="dxa"/>
          </w:tcPr>
          <w:p w14:paraId="594E3612" w14:textId="6553BB76" w:rsidR="006A0D48" w:rsidRPr="00BC7BB5" w:rsidRDefault="00320563" w:rsidP="00CB471A">
            <w:pPr>
              <w:spacing w:after="120"/>
              <w:rPr>
                <w:rFonts w:ascii="Times New Roman" w:hAnsi="Times New Roman" w:cs="Times New Roman"/>
                <w:sz w:val="18"/>
                <w:szCs w:val="18"/>
              </w:rPr>
            </w:pPr>
            <w:r w:rsidRPr="00BC7BB5">
              <w:rPr>
                <w:rFonts w:ascii="Times New Roman" w:hAnsi="Times New Roman" w:cs="Times New Roman"/>
                <w:sz w:val="18"/>
                <w:szCs w:val="18"/>
              </w:rPr>
              <w:t>--</w:t>
            </w:r>
          </w:p>
        </w:tc>
      </w:tr>
      <w:tr w:rsidR="006A0D48" w:rsidRPr="00BC7BB5" w14:paraId="096801BC" w14:textId="77777777" w:rsidTr="00FB4889">
        <w:trPr>
          <w:jc w:val="center"/>
        </w:trPr>
        <w:tc>
          <w:tcPr>
            <w:tcW w:w="1795" w:type="dxa"/>
          </w:tcPr>
          <w:p w14:paraId="65035A95" w14:textId="363B2958" w:rsidR="006A0D48" w:rsidRPr="00BC7BB5" w:rsidRDefault="006A0D48" w:rsidP="00CB471A">
            <w:pPr>
              <w:spacing w:after="120"/>
              <w:rPr>
                <w:rFonts w:ascii="Times New Roman" w:hAnsi="Times New Roman" w:cs="Times New Roman"/>
                <w:sz w:val="18"/>
                <w:szCs w:val="18"/>
              </w:rPr>
            </w:pPr>
            <w:r w:rsidRPr="00BC7BB5">
              <w:rPr>
                <w:rFonts w:ascii="Times New Roman" w:hAnsi="Times New Roman" w:cs="Times New Roman"/>
                <w:sz w:val="18"/>
                <w:szCs w:val="18"/>
              </w:rPr>
              <w:t xml:space="preserve">IR 2.5: </w:t>
            </w:r>
            <w:r w:rsidR="00647B30" w:rsidRPr="00BC7BB5">
              <w:rPr>
                <w:rFonts w:ascii="Times New Roman" w:hAnsi="Times New Roman" w:cs="Times New Roman"/>
                <w:sz w:val="18"/>
                <w:szCs w:val="18"/>
              </w:rPr>
              <w:t>S</w:t>
            </w:r>
            <w:r w:rsidR="00561A46" w:rsidRPr="00BC7BB5">
              <w:rPr>
                <w:rFonts w:ascii="Times New Roman" w:hAnsi="Times New Roman" w:cs="Times New Roman"/>
                <w:sz w:val="18"/>
                <w:szCs w:val="18"/>
              </w:rPr>
              <w:t>mall- and</w:t>
            </w:r>
            <w:r w:rsidR="007046FE">
              <w:rPr>
                <w:rFonts w:ascii="Times New Roman" w:hAnsi="Times New Roman" w:cs="Times New Roman"/>
                <w:sz w:val="18"/>
                <w:szCs w:val="18"/>
              </w:rPr>
              <w:t>/or</w:t>
            </w:r>
            <w:r w:rsidR="00561A46" w:rsidRPr="00BC7BB5">
              <w:rPr>
                <w:rFonts w:ascii="Times New Roman" w:hAnsi="Times New Roman" w:cs="Times New Roman"/>
                <w:sz w:val="18"/>
                <w:szCs w:val="18"/>
              </w:rPr>
              <w:t xml:space="preserve"> medium</w:t>
            </w:r>
            <w:r w:rsidR="00647B30" w:rsidRPr="00BC7BB5">
              <w:rPr>
                <w:rFonts w:ascii="Times New Roman" w:hAnsi="Times New Roman" w:cs="Times New Roman"/>
                <w:sz w:val="18"/>
                <w:szCs w:val="18"/>
              </w:rPr>
              <w:t>-size producers and</w:t>
            </w:r>
            <w:r w:rsidR="00E4476F">
              <w:rPr>
                <w:rFonts w:ascii="Times New Roman" w:hAnsi="Times New Roman" w:cs="Times New Roman"/>
                <w:sz w:val="18"/>
                <w:szCs w:val="18"/>
              </w:rPr>
              <w:t>/or</w:t>
            </w:r>
            <w:r w:rsidR="00647B30" w:rsidRPr="00BC7BB5">
              <w:rPr>
                <w:rFonts w:ascii="Times New Roman" w:hAnsi="Times New Roman" w:cs="Times New Roman"/>
                <w:sz w:val="18"/>
                <w:szCs w:val="18"/>
              </w:rPr>
              <w:t xml:space="preserve"> enterprises</w:t>
            </w:r>
            <w:r w:rsidR="00561A46" w:rsidRPr="00BC7BB5">
              <w:rPr>
                <w:rFonts w:ascii="Times New Roman" w:hAnsi="Times New Roman" w:cs="Times New Roman"/>
                <w:sz w:val="18"/>
                <w:szCs w:val="18"/>
              </w:rPr>
              <w:t xml:space="preserve"> assisted by the Agri-food Innovation Centers (CIAs)</w:t>
            </w:r>
          </w:p>
        </w:tc>
        <w:tc>
          <w:tcPr>
            <w:tcW w:w="3510" w:type="dxa"/>
          </w:tcPr>
          <w:p w14:paraId="6ADADFCC" w14:textId="7A3F6666" w:rsidR="00933A1E" w:rsidRPr="00BC7BB5" w:rsidRDefault="006A0D48" w:rsidP="00933A1E">
            <w:pPr>
              <w:ind w:left="10"/>
              <w:rPr>
                <w:rFonts w:ascii="Times New Roman" w:eastAsia="Times New Roman" w:hAnsi="Times New Roman" w:cs="Times New Roman"/>
                <w:sz w:val="18"/>
                <w:szCs w:val="18"/>
              </w:rPr>
            </w:pPr>
            <w:r w:rsidRPr="00BC7BB5">
              <w:rPr>
                <w:rFonts w:ascii="Times New Roman" w:hAnsi="Times New Roman" w:cs="Times New Roman"/>
                <w:sz w:val="18"/>
                <w:szCs w:val="18"/>
              </w:rPr>
              <w:t>Small- and</w:t>
            </w:r>
            <w:r w:rsidR="007046FE">
              <w:rPr>
                <w:rFonts w:ascii="Times New Roman" w:hAnsi="Times New Roman" w:cs="Times New Roman"/>
                <w:sz w:val="18"/>
                <w:szCs w:val="18"/>
              </w:rPr>
              <w:t>/or</w:t>
            </w:r>
            <w:r w:rsidRPr="00BC7BB5">
              <w:rPr>
                <w:rFonts w:ascii="Times New Roman" w:hAnsi="Times New Roman" w:cs="Times New Roman"/>
                <w:sz w:val="18"/>
                <w:szCs w:val="18"/>
              </w:rPr>
              <w:t xml:space="preserve"> medium-size producers and enterprises </w:t>
            </w:r>
            <w:r w:rsidR="00933A1E" w:rsidRPr="00BC7BB5">
              <w:rPr>
                <w:rFonts w:ascii="Times New Roman" w:hAnsi="Times New Roman" w:cs="Times New Roman"/>
                <w:sz w:val="18"/>
                <w:szCs w:val="18"/>
              </w:rPr>
              <w:t xml:space="preserve">with value-addition projects </w:t>
            </w:r>
            <w:r w:rsidRPr="00BC7BB5">
              <w:rPr>
                <w:rFonts w:ascii="Times New Roman" w:hAnsi="Times New Roman" w:cs="Times New Roman"/>
                <w:sz w:val="18"/>
                <w:szCs w:val="18"/>
              </w:rPr>
              <w:t xml:space="preserve">that have </w:t>
            </w:r>
            <w:r w:rsidR="00933A1E" w:rsidRPr="00BC7BB5">
              <w:rPr>
                <w:rFonts w:ascii="Times New Roman" w:hAnsi="Times New Roman" w:cs="Times New Roman"/>
                <w:sz w:val="18"/>
                <w:szCs w:val="18"/>
              </w:rPr>
              <w:t xml:space="preserve">requested and </w:t>
            </w:r>
            <w:r w:rsidRPr="00BC7BB5">
              <w:rPr>
                <w:rFonts w:ascii="Times New Roman" w:hAnsi="Times New Roman" w:cs="Times New Roman"/>
                <w:sz w:val="18"/>
                <w:szCs w:val="18"/>
              </w:rPr>
              <w:t xml:space="preserve">benefitted from </w:t>
            </w:r>
            <w:r w:rsidR="00933A1E" w:rsidRPr="00BC7BB5">
              <w:rPr>
                <w:rFonts w:ascii="Times New Roman" w:hAnsi="Times New Roman" w:cs="Times New Roman"/>
                <w:sz w:val="18"/>
                <w:szCs w:val="18"/>
              </w:rPr>
              <w:t xml:space="preserve">at least one of </w:t>
            </w:r>
            <w:r w:rsidRPr="00BC7BB5">
              <w:rPr>
                <w:rFonts w:ascii="Times New Roman" w:hAnsi="Times New Roman" w:cs="Times New Roman"/>
                <w:sz w:val="18"/>
                <w:szCs w:val="18"/>
              </w:rPr>
              <w:t>the services offered by the CIAs</w:t>
            </w:r>
            <w:r w:rsidR="00933A1E" w:rsidRPr="00BC7BB5">
              <w:rPr>
                <w:rFonts w:ascii="Times New Roman" w:hAnsi="Times New Roman" w:cs="Times New Roman"/>
                <w:sz w:val="18"/>
                <w:szCs w:val="18"/>
              </w:rPr>
              <w:t xml:space="preserve"> (</w:t>
            </w:r>
            <w:r w:rsidR="00933A1E" w:rsidRPr="00BC7BB5">
              <w:rPr>
                <w:rFonts w:ascii="Times New Roman" w:eastAsia="Times New Roman" w:hAnsi="Times New Roman" w:cs="Times New Roman"/>
                <w:sz w:val="18"/>
                <w:szCs w:val="18"/>
              </w:rPr>
              <w:t>technical support services; management support services; knowledge and market access support services; incubation support services, and networking services).</w:t>
            </w:r>
            <w:r w:rsidR="00933A1E" w:rsidRPr="00BC7BB5">
              <w:rPr>
                <w:rFonts w:ascii="Times New Roman" w:eastAsia="Times New Roman" w:hAnsi="Times New Roman" w:cs="Times New Roman"/>
                <w:color w:val="000000"/>
              </w:rPr>
              <w:t xml:space="preserve"> </w:t>
            </w:r>
          </w:p>
          <w:p w14:paraId="4CB6E211" w14:textId="6EF6A896" w:rsidR="006A0D48" w:rsidRPr="00BC7BB5" w:rsidRDefault="006A0D48" w:rsidP="00CB471A">
            <w:pPr>
              <w:spacing w:after="120"/>
              <w:rPr>
                <w:rFonts w:ascii="Times New Roman" w:hAnsi="Times New Roman" w:cs="Times New Roman"/>
                <w:sz w:val="18"/>
                <w:szCs w:val="18"/>
              </w:rPr>
            </w:pPr>
            <w:r w:rsidRPr="00BC7BB5">
              <w:rPr>
                <w:rFonts w:ascii="Times New Roman" w:hAnsi="Times New Roman" w:cs="Times New Roman"/>
                <w:sz w:val="18"/>
                <w:szCs w:val="18"/>
              </w:rPr>
              <w:t>This indicator will be disaggregated by gender (owner in case of enterprises)</w:t>
            </w:r>
          </w:p>
        </w:tc>
        <w:tc>
          <w:tcPr>
            <w:tcW w:w="1069" w:type="dxa"/>
          </w:tcPr>
          <w:p w14:paraId="1F0B7B26" w14:textId="77777777" w:rsidR="006A0D48" w:rsidRPr="00BC7BB5" w:rsidRDefault="006A0D48" w:rsidP="00CB471A">
            <w:pPr>
              <w:spacing w:after="120"/>
              <w:rPr>
                <w:rFonts w:ascii="Times New Roman" w:hAnsi="Times New Roman" w:cs="Times New Roman"/>
                <w:sz w:val="18"/>
                <w:szCs w:val="18"/>
              </w:rPr>
            </w:pPr>
            <w:r w:rsidRPr="00BC7BB5">
              <w:rPr>
                <w:rFonts w:ascii="Times New Roman" w:hAnsi="Times New Roman" w:cs="Times New Roman"/>
                <w:sz w:val="18"/>
                <w:szCs w:val="18"/>
              </w:rPr>
              <w:t xml:space="preserve">Annual after having established the CIAs </w:t>
            </w:r>
          </w:p>
        </w:tc>
        <w:tc>
          <w:tcPr>
            <w:tcW w:w="1451" w:type="dxa"/>
          </w:tcPr>
          <w:p w14:paraId="16801389" w14:textId="77777777" w:rsidR="006A0D48" w:rsidRPr="00BC7BB5" w:rsidRDefault="006A0D48" w:rsidP="00CB471A">
            <w:pPr>
              <w:spacing w:after="120"/>
              <w:rPr>
                <w:rFonts w:ascii="Times New Roman" w:hAnsi="Times New Roman" w:cs="Times New Roman"/>
                <w:sz w:val="18"/>
                <w:szCs w:val="18"/>
              </w:rPr>
            </w:pPr>
            <w:r w:rsidRPr="00BC7BB5">
              <w:rPr>
                <w:rFonts w:ascii="Times New Roman" w:hAnsi="Times New Roman" w:cs="Times New Roman"/>
                <w:sz w:val="18"/>
                <w:szCs w:val="18"/>
              </w:rPr>
              <w:t>Record/data base of the CIAs</w:t>
            </w:r>
          </w:p>
        </w:tc>
        <w:tc>
          <w:tcPr>
            <w:tcW w:w="1890" w:type="dxa"/>
          </w:tcPr>
          <w:p w14:paraId="4A7A211F" w14:textId="77777777" w:rsidR="006A0D48" w:rsidRPr="00BC7BB5" w:rsidRDefault="006A0D48" w:rsidP="00CB471A">
            <w:pPr>
              <w:spacing w:after="120"/>
              <w:rPr>
                <w:rFonts w:ascii="Times New Roman" w:hAnsi="Times New Roman" w:cs="Times New Roman"/>
                <w:sz w:val="18"/>
                <w:szCs w:val="18"/>
              </w:rPr>
            </w:pPr>
            <w:r w:rsidRPr="00BC7BB5">
              <w:rPr>
                <w:rFonts w:ascii="Times New Roman" w:hAnsi="Times New Roman" w:cs="Times New Roman"/>
                <w:sz w:val="18"/>
                <w:szCs w:val="18"/>
              </w:rPr>
              <w:t>Use of formal record established in each center</w:t>
            </w:r>
          </w:p>
          <w:p w14:paraId="4A557E80" w14:textId="77777777" w:rsidR="006A0D48" w:rsidRPr="00BC7BB5" w:rsidRDefault="006A0D48" w:rsidP="00CB471A">
            <w:pPr>
              <w:spacing w:after="120"/>
              <w:rPr>
                <w:rFonts w:ascii="Times New Roman" w:hAnsi="Times New Roman" w:cs="Times New Roman"/>
                <w:sz w:val="18"/>
                <w:szCs w:val="18"/>
              </w:rPr>
            </w:pPr>
          </w:p>
        </w:tc>
        <w:tc>
          <w:tcPr>
            <w:tcW w:w="1762" w:type="dxa"/>
          </w:tcPr>
          <w:p w14:paraId="4CE2BEFA" w14:textId="77777777" w:rsidR="006A0D48" w:rsidRPr="00BC7BB5" w:rsidRDefault="006A0D48" w:rsidP="00CB471A">
            <w:pPr>
              <w:spacing w:after="120"/>
              <w:rPr>
                <w:rFonts w:ascii="Times New Roman" w:hAnsi="Times New Roman" w:cs="Times New Roman"/>
                <w:sz w:val="18"/>
                <w:szCs w:val="18"/>
                <w:highlight w:val="lightGray"/>
              </w:rPr>
            </w:pPr>
            <w:r w:rsidRPr="00BC7BB5">
              <w:rPr>
                <w:rFonts w:ascii="Times New Roman" w:hAnsi="Times New Roman" w:cs="Times New Roman"/>
                <w:sz w:val="18"/>
                <w:szCs w:val="18"/>
              </w:rPr>
              <w:t>DDFP</w:t>
            </w:r>
          </w:p>
        </w:tc>
        <w:tc>
          <w:tcPr>
            <w:tcW w:w="1418" w:type="dxa"/>
          </w:tcPr>
          <w:p w14:paraId="31C56BCA" w14:textId="77777777" w:rsidR="006A0D48" w:rsidRPr="00BC7BB5" w:rsidRDefault="006A0D48" w:rsidP="00CB471A">
            <w:pPr>
              <w:spacing w:after="120"/>
              <w:rPr>
                <w:rFonts w:ascii="Times New Roman" w:hAnsi="Times New Roman" w:cs="Times New Roman"/>
                <w:sz w:val="18"/>
                <w:szCs w:val="18"/>
              </w:rPr>
            </w:pPr>
            <w:r w:rsidRPr="00BC7BB5">
              <w:rPr>
                <w:rFonts w:ascii="Times New Roman" w:hAnsi="Times New Roman" w:cs="Times New Roman"/>
                <w:sz w:val="18"/>
                <w:szCs w:val="18"/>
              </w:rPr>
              <w:t>IGA</w:t>
            </w:r>
          </w:p>
        </w:tc>
        <w:tc>
          <w:tcPr>
            <w:tcW w:w="1417" w:type="dxa"/>
          </w:tcPr>
          <w:p w14:paraId="7DC4FE98" w14:textId="77777777" w:rsidR="006A0D48" w:rsidRPr="00BC7BB5" w:rsidRDefault="006A0D48" w:rsidP="00CB471A">
            <w:pPr>
              <w:spacing w:after="120"/>
              <w:rPr>
                <w:rFonts w:ascii="Times New Roman" w:hAnsi="Times New Roman" w:cs="Times New Roman"/>
                <w:sz w:val="18"/>
                <w:szCs w:val="18"/>
              </w:rPr>
            </w:pPr>
            <w:r w:rsidRPr="00BC7BB5">
              <w:rPr>
                <w:rFonts w:ascii="Times New Roman" w:hAnsi="Times New Roman" w:cs="Times New Roman"/>
                <w:sz w:val="18"/>
                <w:szCs w:val="18"/>
              </w:rPr>
              <w:t>Yes</w:t>
            </w:r>
          </w:p>
        </w:tc>
      </w:tr>
      <w:tr w:rsidR="006A0D48" w:rsidRPr="00BC7BB5" w14:paraId="364B820D" w14:textId="77777777" w:rsidTr="00FB4889">
        <w:trPr>
          <w:jc w:val="center"/>
        </w:trPr>
        <w:tc>
          <w:tcPr>
            <w:tcW w:w="1795" w:type="dxa"/>
          </w:tcPr>
          <w:p w14:paraId="76174E27" w14:textId="77777777" w:rsidR="006A0D48" w:rsidRPr="00BC7BB5" w:rsidRDefault="006A0D48" w:rsidP="00CB471A">
            <w:pPr>
              <w:spacing w:after="120"/>
              <w:rPr>
                <w:rFonts w:ascii="Times New Roman" w:hAnsi="Times New Roman" w:cs="Times New Roman"/>
                <w:sz w:val="18"/>
                <w:szCs w:val="18"/>
              </w:rPr>
            </w:pPr>
            <w:r w:rsidRPr="00BC7BB5">
              <w:rPr>
                <w:rFonts w:ascii="Times New Roman" w:hAnsi="Times New Roman" w:cs="Times New Roman"/>
                <w:sz w:val="18"/>
                <w:szCs w:val="18"/>
              </w:rPr>
              <w:t xml:space="preserve">IR 2.6: Projects using green practices and technologies </w:t>
            </w:r>
            <w:r w:rsidRPr="00BC7BB5">
              <w:rPr>
                <w:rFonts w:ascii="Times New Roman" w:hAnsi="Times New Roman" w:cs="Times New Roman"/>
                <w:sz w:val="18"/>
                <w:szCs w:val="18"/>
              </w:rPr>
              <w:lastRenderedPageBreak/>
              <w:t>implemented by beneficiaries of the Program</w:t>
            </w:r>
          </w:p>
        </w:tc>
        <w:tc>
          <w:tcPr>
            <w:tcW w:w="3510" w:type="dxa"/>
          </w:tcPr>
          <w:p w14:paraId="771E2B98" w14:textId="2EC8491D" w:rsidR="006A0D48" w:rsidRPr="00BC7BB5" w:rsidRDefault="006A0D48" w:rsidP="000B035F">
            <w:pPr>
              <w:spacing w:after="120"/>
              <w:rPr>
                <w:rFonts w:ascii="Times New Roman" w:hAnsi="Times New Roman" w:cs="Times New Roman"/>
                <w:sz w:val="18"/>
                <w:szCs w:val="18"/>
              </w:rPr>
            </w:pPr>
            <w:r w:rsidRPr="00BC7BB5">
              <w:rPr>
                <w:rFonts w:ascii="Times New Roman" w:hAnsi="Times New Roman" w:cs="Times New Roman"/>
                <w:sz w:val="18"/>
                <w:szCs w:val="18"/>
              </w:rPr>
              <w:lastRenderedPageBreak/>
              <w:t xml:space="preserve">The indicator aggregates all projects adopting green practices and technologies, including those to treat residues and enhance climate </w:t>
            </w:r>
            <w:r w:rsidRPr="00BC7BB5">
              <w:rPr>
                <w:rFonts w:ascii="Times New Roman" w:hAnsi="Times New Roman" w:cs="Times New Roman"/>
                <w:sz w:val="18"/>
                <w:szCs w:val="18"/>
              </w:rPr>
              <w:lastRenderedPageBreak/>
              <w:t xml:space="preserve">adaptation and mitigation, either as a result of the support provided by the CIAs or within the scope of FDA’s financial support </w:t>
            </w:r>
          </w:p>
        </w:tc>
        <w:tc>
          <w:tcPr>
            <w:tcW w:w="1069" w:type="dxa"/>
          </w:tcPr>
          <w:p w14:paraId="5B7B691E" w14:textId="77777777" w:rsidR="006A0D48" w:rsidRPr="00BC7BB5" w:rsidRDefault="006A0D48" w:rsidP="00CB471A">
            <w:pPr>
              <w:spacing w:after="120"/>
              <w:rPr>
                <w:rFonts w:ascii="Times New Roman" w:hAnsi="Times New Roman" w:cs="Times New Roman"/>
                <w:sz w:val="18"/>
                <w:szCs w:val="18"/>
              </w:rPr>
            </w:pPr>
            <w:r w:rsidRPr="00BC7BB5">
              <w:rPr>
                <w:rFonts w:ascii="Times New Roman" w:hAnsi="Times New Roman" w:cs="Times New Roman"/>
                <w:sz w:val="18"/>
                <w:szCs w:val="18"/>
              </w:rPr>
              <w:lastRenderedPageBreak/>
              <w:t>Annual</w:t>
            </w:r>
          </w:p>
        </w:tc>
        <w:tc>
          <w:tcPr>
            <w:tcW w:w="1451" w:type="dxa"/>
          </w:tcPr>
          <w:p w14:paraId="287C8A54" w14:textId="77777777" w:rsidR="006A0D48" w:rsidRPr="00BC7BB5" w:rsidRDefault="006A0D48" w:rsidP="00CB471A">
            <w:pPr>
              <w:spacing w:after="120"/>
              <w:rPr>
                <w:rFonts w:ascii="Times New Roman" w:hAnsi="Times New Roman" w:cs="Times New Roman"/>
                <w:sz w:val="18"/>
                <w:szCs w:val="18"/>
              </w:rPr>
            </w:pPr>
            <w:r w:rsidRPr="00BC7BB5">
              <w:rPr>
                <w:rFonts w:ascii="Times New Roman" w:hAnsi="Times New Roman" w:cs="Times New Roman"/>
                <w:sz w:val="18"/>
                <w:szCs w:val="18"/>
              </w:rPr>
              <w:t>Record/data base of the CIAs</w:t>
            </w:r>
          </w:p>
          <w:p w14:paraId="4CD3779B" w14:textId="77777777" w:rsidR="006A0D48" w:rsidRPr="00BC7BB5" w:rsidRDefault="006A0D48" w:rsidP="00CB471A">
            <w:pPr>
              <w:spacing w:after="120"/>
              <w:rPr>
                <w:rFonts w:ascii="Times New Roman" w:hAnsi="Times New Roman" w:cs="Times New Roman"/>
                <w:sz w:val="18"/>
                <w:szCs w:val="18"/>
              </w:rPr>
            </w:pPr>
          </w:p>
          <w:p w14:paraId="67A04CE6" w14:textId="77777777" w:rsidR="006A0D48" w:rsidRPr="00BC7BB5" w:rsidRDefault="006A0D48" w:rsidP="00CB471A">
            <w:pPr>
              <w:spacing w:after="120"/>
              <w:rPr>
                <w:rFonts w:ascii="Times New Roman" w:hAnsi="Times New Roman" w:cs="Times New Roman"/>
                <w:sz w:val="18"/>
                <w:szCs w:val="18"/>
              </w:rPr>
            </w:pPr>
            <w:r w:rsidRPr="00BC7BB5">
              <w:rPr>
                <w:rFonts w:ascii="Times New Roman" w:hAnsi="Times New Roman" w:cs="Times New Roman"/>
                <w:sz w:val="18"/>
                <w:szCs w:val="18"/>
              </w:rPr>
              <w:t>DF records on FDA</w:t>
            </w:r>
          </w:p>
        </w:tc>
        <w:tc>
          <w:tcPr>
            <w:tcW w:w="1890" w:type="dxa"/>
          </w:tcPr>
          <w:p w14:paraId="0BB2FA5C" w14:textId="77777777" w:rsidR="006A0D48" w:rsidRPr="00BC7BB5" w:rsidRDefault="006A0D48" w:rsidP="00CB471A">
            <w:pPr>
              <w:spacing w:after="120"/>
              <w:rPr>
                <w:rFonts w:ascii="Times New Roman" w:hAnsi="Times New Roman" w:cs="Times New Roman"/>
                <w:sz w:val="18"/>
                <w:szCs w:val="18"/>
              </w:rPr>
            </w:pPr>
            <w:r w:rsidRPr="00BC7BB5">
              <w:rPr>
                <w:rFonts w:ascii="Times New Roman" w:hAnsi="Times New Roman" w:cs="Times New Roman"/>
                <w:sz w:val="18"/>
                <w:szCs w:val="18"/>
              </w:rPr>
              <w:lastRenderedPageBreak/>
              <w:t xml:space="preserve">Use of formal record established in each center and of the </w:t>
            </w:r>
            <w:r w:rsidRPr="00BC7BB5">
              <w:rPr>
                <w:rFonts w:ascii="Times New Roman" w:hAnsi="Times New Roman" w:cs="Times New Roman"/>
                <w:sz w:val="18"/>
                <w:szCs w:val="18"/>
              </w:rPr>
              <w:lastRenderedPageBreak/>
              <w:t>records of FDA (maintained by the DF)</w:t>
            </w:r>
          </w:p>
          <w:p w14:paraId="6C3B56FD" w14:textId="77777777" w:rsidR="006A0D48" w:rsidRPr="00BC7BB5" w:rsidRDefault="006A0D48" w:rsidP="00CB471A">
            <w:pPr>
              <w:spacing w:after="120"/>
              <w:rPr>
                <w:rFonts w:ascii="Times New Roman" w:hAnsi="Times New Roman" w:cs="Times New Roman"/>
                <w:sz w:val="18"/>
                <w:szCs w:val="18"/>
              </w:rPr>
            </w:pPr>
          </w:p>
        </w:tc>
        <w:tc>
          <w:tcPr>
            <w:tcW w:w="1762" w:type="dxa"/>
          </w:tcPr>
          <w:p w14:paraId="3B851143" w14:textId="77777777" w:rsidR="006A0D48" w:rsidRPr="00BC7BB5" w:rsidRDefault="006A0D48" w:rsidP="00CB471A">
            <w:pPr>
              <w:spacing w:after="120"/>
              <w:rPr>
                <w:rFonts w:ascii="Times New Roman" w:hAnsi="Times New Roman" w:cs="Times New Roman"/>
                <w:sz w:val="18"/>
                <w:szCs w:val="18"/>
              </w:rPr>
            </w:pPr>
            <w:r w:rsidRPr="00BC7BB5">
              <w:rPr>
                <w:rFonts w:ascii="Times New Roman" w:hAnsi="Times New Roman" w:cs="Times New Roman"/>
                <w:sz w:val="18"/>
                <w:szCs w:val="18"/>
              </w:rPr>
              <w:lastRenderedPageBreak/>
              <w:t>DDFP and</w:t>
            </w:r>
          </w:p>
          <w:p w14:paraId="7AF3F9CC" w14:textId="77777777" w:rsidR="006A0D48" w:rsidRPr="00BC7BB5" w:rsidRDefault="006A0D48" w:rsidP="00CB471A">
            <w:pPr>
              <w:spacing w:after="120"/>
              <w:rPr>
                <w:rFonts w:ascii="Times New Roman" w:hAnsi="Times New Roman" w:cs="Times New Roman"/>
                <w:sz w:val="18"/>
                <w:szCs w:val="18"/>
              </w:rPr>
            </w:pPr>
            <w:r w:rsidRPr="00BC7BB5">
              <w:rPr>
                <w:rFonts w:ascii="Times New Roman" w:hAnsi="Times New Roman" w:cs="Times New Roman"/>
                <w:sz w:val="18"/>
                <w:szCs w:val="18"/>
              </w:rPr>
              <w:t>DF</w:t>
            </w:r>
          </w:p>
        </w:tc>
        <w:tc>
          <w:tcPr>
            <w:tcW w:w="1418" w:type="dxa"/>
          </w:tcPr>
          <w:p w14:paraId="7CC30BBB" w14:textId="77777777" w:rsidR="006A0D48" w:rsidRPr="00BC7BB5" w:rsidRDefault="006A0D48" w:rsidP="00CB471A">
            <w:pPr>
              <w:spacing w:after="120"/>
              <w:rPr>
                <w:rFonts w:ascii="Times New Roman" w:hAnsi="Times New Roman" w:cs="Times New Roman"/>
                <w:sz w:val="18"/>
                <w:szCs w:val="18"/>
              </w:rPr>
            </w:pPr>
            <w:r w:rsidRPr="00BC7BB5">
              <w:rPr>
                <w:rFonts w:ascii="Times New Roman" w:hAnsi="Times New Roman" w:cs="Times New Roman"/>
                <w:sz w:val="18"/>
                <w:szCs w:val="18"/>
              </w:rPr>
              <w:t>--</w:t>
            </w:r>
          </w:p>
        </w:tc>
        <w:tc>
          <w:tcPr>
            <w:tcW w:w="1417" w:type="dxa"/>
          </w:tcPr>
          <w:p w14:paraId="61A5F241" w14:textId="77777777" w:rsidR="006A0D48" w:rsidRPr="00BC7BB5" w:rsidRDefault="006A0D48" w:rsidP="00CB471A">
            <w:pPr>
              <w:spacing w:after="120"/>
              <w:rPr>
                <w:rFonts w:ascii="Times New Roman" w:hAnsi="Times New Roman" w:cs="Times New Roman"/>
                <w:sz w:val="18"/>
                <w:szCs w:val="18"/>
              </w:rPr>
            </w:pPr>
            <w:r w:rsidRPr="00BC7BB5">
              <w:rPr>
                <w:rFonts w:ascii="Times New Roman" w:hAnsi="Times New Roman" w:cs="Times New Roman"/>
                <w:sz w:val="18"/>
                <w:szCs w:val="18"/>
              </w:rPr>
              <w:t>--</w:t>
            </w:r>
          </w:p>
        </w:tc>
      </w:tr>
    </w:tbl>
    <w:p w14:paraId="09C90FC8" w14:textId="2C61C19E" w:rsidR="006A0D48" w:rsidRPr="00BC7BB5" w:rsidRDefault="006A0D48" w:rsidP="006A0D48">
      <w:pPr>
        <w:pStyle w:val="ListParagraph"/>
        <w:ind w:left="0"/>
        <w:jc w:val="center"/>
        <w:outlineLvl w:val="0"/>
        <w:rPr>
          <w:rFonts w:ascii="Times New Roman" w:hAnsi="Times New Roman" w:cs="Times New Roman"/>
          <w:b/>
        </w:rPr>
      </w:pPr>
    </w:p>
    <w:p w14:paraId="6F236C05" w14:textId="77777777" w:rsidR="00BB6BC6" w:rsidRDefault="00BB6BC6">
      <w:pPr>
        <w:rPr>
          <w:rFonts w:ascii="Times New Roman" w:hAnsi="Times New Roman" w:cs="Times New Roman"/>
          <w:b/>
        </w:rPr>
      </w:pPr>
      <w:bookmarkStart w:id="26" w:name="_Toc499113413"/>
      <w:r>
        <w:rPr>
          <w:rFonts w:ascii="Times New Roman" w:hAnsi="Times New Roman" w:cs="Times New Roman"/>
          <w:b/>
        </w:rPr>
        <w:br w:type="page"/>
      </w:r>
    </w:p>
    <w:p w14:paraId="016F2415" w14:textId="25B36B2D" w:rsidR="006A0D48" w:rsidRPr="00BC7BB5" w:rsidRDefault="006A0D48" w:rsidP="006A0D48">
      <w:pPr>
        <w:pStyle w:val="ListParagraph"/>
        <w:ind w:left="0"/>
        <w:jc w:val="center"/>
        <w:outlineLvl w:val="0"/>
        <w:rPr>
          <w:rFonts w:ascii="Times New Roman" w:hAnsi="Times New Roman" w:cs="Times New Roman"/>
          <w:b/>
        </w:rPr>
      </w:pPr>
      <w:r w:rsidRPr="00BC7BB5">
        <w:rPr>
          <w:rFonts w:ascii="Times New Roman" w:hAnsi="Times New Roman" w:cs="Times New Roman"/>
          <w:b/>
        </w:rPr>
        <w:lastRenderedPageBreak/>
        <w:t>Annex 3: Disbursement Linked Indicators, Disbursement Arrangements and Verification Protocols</w:t>
      </w:r>
      <w:bookmarkEnd w:id="26"/>
    </w:p>
    <w:p w14:paraId="5295655A" w14:textId="77777777" w:rsidR="006A0D48" w:rsidRPr="00BC7BB5" w:rsidRDefault="006A0D48" w:rsidP="006A0D48">
      <w:pPr>
        <w:pStyle w:val="Attachmenttitle"/>
        <w:jc w:val="center"/>
        <w:rPr>
          <w:sz w:val="22"/>
          <w:szCs w:val="22"/>
        </w:rPr>
      </w:pPr>
      <w:r w:rsidRPr="00BC7BB5">
        <w:rPr>
          <w:sz w:val="22"/>
          <w:szCs w:val="22"/>
        </w:rPr>
        <w:t>Disbursement-Linked Indicator Matrix</w:t>
      </w:r>
      <w:r w:rsidRPr="00BC7BB5">
        <w:rPr>
          <w:rStyle w:val="FootnoteReference"/>
          <w:sz w:val="22"/>
          <w:szCs w:val="22"/>
        </w:rPr>
        <w:footnoteReference w:id="25"/>
      </w:r>
      <w:r w:rsidRPr="00BC7BB5">
        <w:rPr>
          <w:sz w:val="22"/>
          <w:szCs w:val="22"/>
        </w:rPr>
        <w:t xml:space="preserve"> </w:t>
      </w:r>
    </w:p>
    <w:tbl>
      <w:tblPr>
        <w:tblStyle w:val="TableGrid"/>
        <w:tblW w:w="5000" w:type="pct"/>
        <w:jc w:val="center"/>
        <w:tblLook w:val="04A0" w:firstRow="1" w:lastRow="0" w:firstColumn="1" w:lastColumn="0" w:noHBand="0" w:noVBand="1"/>
      </w:tblPr>
      <w:tblGrid>
        <w:gridCol w:w="2697"/>
        <w:gridCol w:w="1124"/>
        <w:gridCol w:w="1256"/>
        <w:gridCol w:w="1471"/>
        <w:gridCol w:w="1277"/>
        <w:gridCol w:w="1279"/>
        <w:gridCol w:w="1279"/>
        <w:gridCol w:w="1272"/>
        <w:gridCol w:w="1295"/>
      </w:tblGrid>
      <w:tr w:rsidR="006A0D48" w:rsidRPr="00BC7BB5" w14:paraId="3921D15F" w14:textId="77777777" w:rsidTr="00CB471A">
        <w:trPr>
          <w:trHeight w:val="620"/>
          <w:jc w:val="center"/>
        </w:trPr>
        <w:tc>
          <w:tcPr>
            <w:tcW w:w="1041" w:type="pct"/>
            <w:shd w:val="clear" w:color="auto" w:fill="F2F2F2" w:themeFill="background1" w:themeFillShade="F2"/>
            <w:vAlign w:val="center"/>
          </w:tcPr>
          <w:p w14:paraId="485E2026" w14:textId="77777777" w:rsidR="006A0D48" w:rsidRPr="00BC7BB5" w:rsidRDefault="006A0D48" w:rsidP="00CB471A">
            <w:pPr>
              <w:pStyle w:val="ListParagraph"/>
              <w:spacing w:after="120"/>
              <w:ind w:left="0"/>
              <w:rPr>
                <w:rFonts w:ascii="Times New Roman" w:hAnsi="Times New Roman" w:cs="Times New Roman"/>
                <w:b/>
                <w:sz w:val="18"/>
                <w:szCs w:val="18"/>
              </w:rPr>
            </w:pPr>
          </w:p>
        </w:tc>
        <w:tc>
          <w:tcPr>
            <w:tcW w:w="434" w:type="pct"/>
            <w:shd w:val="clear" w:color="auto" w:fill="F2F2F2" w:themeFill="background1" w:themeFillShade="F2"/>
            <w:vAlign w:val="center"/>
          </w:tcPr>
          <w:p w14:paraId="5E0429EB" w14:textId="77777777" w:rsidR="006A0D48" w:rsidRPr="00BC7BB5" w:rsidRDefault="006A0D48" w:rsidP="00CB471A">
            <w:pPr>
              <w:spacing w:after="120"/>
              <w:jc w:val="center"/>
              <w:rPr>
                <w:rFonts w:ascii="Times New Roman" w:hAnsi="Times New Roman" w:cs="Times New Roman"/>
                <w:b/>
                <w:i/>
                <w:sz w:val="18"/>
                <w:szCs w:val="18"/>
              </w:rPr>
            </w:pPr>
            <w:r w:rsidRPr="00BC7BB5">
              <w:rPr>
                <w:rFonts w:ascii="Times New Roman" w:hAnsi="Times New Roman" w:cs="Times New Roman"/>
                <w:b/>
                <w:i/>
                <w:sz w:val="18"/>
                <w:szCs w:val="18"/>
              </w:rPr>
              <w:t>Total Financing Allocated to DLI</w:t>
            </w:r>
          </w:p>
          <w:p w14:paraId="60C90D96" w14:textId="77777777" w:rsidR="006A0D48" w:rsidRPr="00BC7BB5" w:rsidRDefault="006A0D48" w:rsidP="00CB471A">
            <w:pPr>
              <w:spacing w:after="120"/>
              <w:jc w:val="center"/>
              <w:rPr>
                <w:rFonts w:ascii="Times New Roman" w:hAnsi="Times New Roman" w:cs="Times New Roman"/>
                <w:sz w:val="18"/>
                <w:szCs w:val="18"/>
              </w:rPr>
            </w:pPr>
            <w:r w:rsidRPr="00BC7BB5">
              <w:rPr>
                <w:rFonts w:ascii="Times New Roman" w:hAnsi="Times New Roman" w:cs="Times New Roman"/>
                <w:b/>
                <w:i/>
                <w:sz w:val="18"/>
                <w:szCs w:val="18"/>
              </w:rPr>
              <w:t xml:space="preserve"> (US$ m)</w:t>
            </w:r>
          </w:p>
        </w:tc>
        <w:tc>
          <w:tcPr>
            <w:tcW w:w="485" w:type="pct"/>
            <w:shd w:val="clear" w:color="auto" w:fill="F2F2F2" w:themeFill="background1" w:themeFillShade="F2"/>
            <w:vAlign w:val="center"/>
          </w:tcPr>
          <w:p w14:paraId="1C1B1EF1" w14:textId="77777777" w:rsidR="006A0D48" w:rsidRPr="00BC7BB5" w:rsidRDefault="006A0D48" w:rsidP="00CB471A">
            <w:pPr>
              <w:spacing w:after="120"/>
              <w:jc w:val="center"/>
              <w:rPr>
                <w:rFonts w:ascii="Times New Roman" w:hAnsi="Times New Roman" w:cs="Times New Roman"/>
                <w:sz w:val="18"/>
                <w:szCs w:val="18"/>
              </w:rPr>
            </w:pPr>
            <w:r w:rsidRPr="00BC7BB5">
              <w:rPr>
                <w:rFonts w:ascii="Times New Roman" w:hAnsi="Times New Roman" w:cs="Times New Roman"/>
                <w:b/>
                <w:i/>
                <w:sz w:val="18"/>
                <w:szCs w:val="18"/>
              </w:rPr>
              <w:t>As % of Total Financing Amount</w:t>
            </w:r>
          </w:p>
        </w:tc>
        <w:tc>
          <w:tcPr>
            <w:tcW w:w="568" w:type="pct"/>
            <w:shd w:val="clear" w:color="auto" w:fill="F2F2F2" w:themeFill="background1" w:themeFillShade="F2"/>
            <w:vAlign w:val="center"/>
          </w:tcPr>
          <w:p w14:paraId="577EC928" w14:textId="77777777" w:rsidR="006A0D48" w:rsidRPr="00BC7BB5" w:rsidRDefault="006A0D48" w:rsidP="00CB471A">
            <w:pPr>
              <w:spacing w:after="120"/>
              <w:jc w:val="center"/>
              <w:rPr>
                <w:rFonts w:ascii="Times New Roman" w:hAnsi="Times New Roman" w:cs="Times New Roman"/>
                <w:b/>
                <w:i/>
                <w:sz w:val="18"/>
                <w:szCs w:val="18"/>
              </w:rPr>
            </w:pPr>
            <w:r w:rsidRPr="00BC7BB5">
              <w:rPr>
                <w:rFonts w:ascii="Times New Roman" w:hAnsi="Times New Roman" w:cs="Times New Roman"/>
                <w:b/>
                <w:i/>
                <w:sz w:val="18"/>
                <w:szCs w:val="18"/>
              </w:rPr>
              <w:t>DLI Baseline</w:t>
            </w:r>
          </w:p>
          <w:p w14:paraId="35F7F9EB" w14:textId="77777777" w:rsidR="006A0D48" w:rsidRPr="00BC7BB5" w:rsidRDefault="006A0D48" w:rsidP="00CB471A">
            <w:pPr>
              <w:spacing w:after="120"/>
              <w:jc w:val="center"/>
              <w:rPr>
                <w:rFonts w:ascii="Times New Roman" w:hAnsi="Times New Roman" w:cs="Times New Roman"/>
                <w:sz w:val="18"/>
                <w:szCs w:val="18"/>
              </w:rPr>
            </w:pPr>
            <w:r w:rsidRPr="00BC7BB5">
              <w:rPr>
                <w:rFonts w:ascii="Times New Roman" w:hAnsi="Times New Roman" w:cs="Times New Roman"/>
                <w:b/>
                <w:i/>
                <w:sz w:val="18"/>
                <w:szCs w:val="18"/>
              </w:rPr>
              <w:t>(2017)</w:t>
            </w:r>
          </w:p>
        </w:tc>
        <w:tc>
          <w:tcPr>
            <w:tcW w:w="493" w:type="pct"/>
            <w:shd w:val="clear" w:color="auto" w:fill="F2F2F2" w:themeFill="background1" w:themeFillShade="F2"/>
            <w:vAlign w:val="center"/>
          </w:tcPr>
          <w:p w14:paraId="053B85EA" w14:textId="13203191" w:rsidR="006A0D48" w:rsidRPr="00BC7BB5" w:rsidRDefault="006A0D48" w:rsidP="00CB471A">
            <w:pPr>
              <w:spacing w:after="120"/>
              <w:jc w:val="center"/>
              <w:rPr>
                <w:rFonts w:ascii="Times New Roman" w:hAnsi="Times New Roman" w:cs="Times New Roman"/>
                <w:sz w:val="18"/>
                <w:szCs w:val="18"/>
              </w:rPr>
            </w:pPr>
            <w:r w:rsidRPr="00BC7BB5">
              <w:rPr>
                <w:rFonts w:ascii="Times New Roman" w:hAnsi="Times New Roman" w:cs="Times New Roman"/>
                <w:b/>
                <w:i/>
                <w:sz w:val="18"/>
                <w:szCs w:val="18"/>
              </w:rPr>
              <w:t>Year</w:t>
            </w:r>
            <w:r w:rsidR="006A33FE">
              <w:rPr>
                <w:rStyle w:val="FootnoteReference"/>
                <w:rFonts w:ascii="Times New Roman" w:hAnsi="Times New Roman" w:cs="Times New Roman"/>
                <w:b/>
                <w:i/>
                <w:sz w:val="18"/>
                <w:szCs w:val="18"/>
              </w:rPr>
              <w:footnoteReference w:id="26"/>
            </w:r>
            <w:r w:rsidRPr="00BC7BB5">
              <w:rPr>
                <w:rFonts w:ascii="Times New Roman" w:hAnsi="Times New Roman" w:cs="Times New Roman"/>
                <w:b/>
                <w:i/>
                <w:sz w:val="18"/>
                <w:szCs w:val="18"/>
              </w:rPr>
              <w:t xml:space="preserve"> 1 (2018)</w:t>
            </w:r>
          </w:p>
        </w:tc>
        <w:tc>
          <w:tcPr>
            <w:tcW w:w="494" w:type="pct"/>
            <w:shd w:val="clear" w:color="auto" w:fill="F2F2F2" w:themeFill="background1" w:themeFillShade="F2"/>
            <w:vAlign w:val="center"/>
          </w:tcPr>
          <w:p w14:paraId="578D17CE" w14:textId="77777777" w:rsidR="006A0D48" w:rsidRPr="00BC7BB5" w:rsidRDefault="006A0D48" w:rsidP="00CB471A">
            <w:pPr>
              <w:spacing w:after="120"/>
              <w:jc w:val="center"/>
              <w:rPr>
                <w:rFonts w:ascii="Times New Roman" w:hAnsi="Times New Roman" w:cs="Times New Roman"/>
                <w:sz w:val="18"/>
                <w:szCs w:val="18"/>
              </w:rPr>
            </w:pPr>
            <w:r w:rsidRPr="00BC7BB5">
              <w:rPr>
                <w:rFonts w:ascii="Times New Roman" w:hAnsi="Times New Roman" w:cs="Times New Roman"/>
                <w:b/>
                <w:i/>
                <w:sz w:val="18"/>
                <w:szCs w:val="18"/>
              </w:rPr>
              <w:t>Year 2 (2019)</w:t>
            </w:r>
          </w:p>
        </w:tc>
        <w:tc>
          <w:tcPr>
            <w:tcW w:w="494" w:type="pct"/>
            <w:shd w:val="clear" w:color="auto" w:fill="F2F2F2" w:themeFill="background1" w:themeFillShade="F2"/>
            <w:vAlign w:val="center"/>
          </w:tcPr>
          <w:p w14:paraId="5AD723B5" w14:textId="77777777" w:rsidR="006A0D48" w:rsidRPr="00BC7BB5" w:rsidRDefault="006A0D48" w:rsidP="00CB471A">
            <w:pPr>
              <w:spacing w:after="120"/>
              <w:jc w:val="center"/>
              <w:rPr>
                <w:rFonts w:ascii="Times New Roman" w:hAnsi="Times New Roman" w:cs="Times New Roman"/>
                <w:sz w:val="18"/>
                <w:szCs w:val="18"/>
              </w:rPr>
            </w:pPr>
            <w:r w:rsidRPr="00BC7BB5">
              <w:rPr>
                <w:rFonts w:ascii="Times New Roman" w:hAnsi="Times New Roman" w:cs="Times New Roman"/>
                <w:b/>
                <w:i/>
                <w:sz w:val="18"/>
                <w:szCs w:val="18"/>
              </w:rPr>
              <w:t>Year 3 (2020)</w:t>
            </w:r>
          </w:p>
        </w:tc>
        <w:tc>
          <w:tcPr>
            <w:tcW w:w="491" w:type="pct"/>
            <w:shd w:val="clear" w:color="auto" w:fill="F2F2F2" w:themeFill="background1" w:themeFillShade="F2"/>
            <w:vAlign w:val="center"/>
          </w:tcPr>
          <w:p w14:paraId="0A81C9D9" w14:textId="77777777" w:rsidR="006A0D48" w:rsidRPr="00BC7BB5" w:rsidRDefault="006A0D48" w:rsidP="00CB471A">
            <w:pPr>
              <w:spacing w:after="120"/>
              <w:jc w:val="center"/>
              <w:rPr>
                <w:rFonts w:ascii="Times New Roman" w:hAnsi="Times New Roman" w:cs="Times New Roman"/>
                <w:sz w:val="18"/>
                <w:szCs w:val="18"/>
              </w:rPr>
            </w:pPr>
            <w:r w:rsidRPr="00BC7BB5">
              <w:rPr>
                <w:rFonts w:ascii="Times New Roman" w:hAnsi="Times New Roman" w:cs="Times New Roman"/>
                <w:b/>
                <w:i/>
                <w:sz w:val="18"/>
                <w:szCs w:val="18"/>
              </w:rPr>
              <w:t>Year 4 (2021)</w:t>
            </w:r>
          </w:p>
        </w:tc>
        <w:tc>
          <w:tcPr>
            <w:tcW w:w="500" w:type="pct"/>
            <w:shd w:val="clear" w:color="auto" w:fill="F2F2F2" w:themeFill="background1" w:themeFillShade="F2"/>
            <w:vAlign w:val="center"/>
          </w:tcPr>
          <w:p w14:paraId="30293D4F" w14:textId="77777777" w:rsidR="006A0D48" w:rsidRPr="00BC7BB5" w:rsidRDefault="006A0D48" w:rsidP="00CB471A">
            <w:pPr>
              <w:spacing w:after="120"/>
              <w:jc w:val="center"/>
              <w:rPr>
                <w:rFonts w:ascii="Times New Roman" w:hAnsi="Times New Roman" w:cs="Times New Roman"/>
                <w:b/>
                <w:i/>
                <w:sz w:val="18"/>
                <w:szCs w:val="18"/>
              </w:rPr>
            </w:pPr>
            <w:r w:rsidRPr="00BC7BB5">
              <w:rPr>
                <w:rFonts w:ascii="Times New Roman" w:hAnsi="Times New Roman" w:cs="Times New Roman"/>
                <w:b/>
                <w:i/>
                <w:sz w:val="18"/>
                <w:szCs w:val="18"/>
              </w:rPr>
              <w:t>Year 5 (2022)</w:t>
            </w:r>
          </w:p>
        </w:tc>
      </w:tr>
      <w:tr w:rsidR="006A0D48" w:rsidRPr="00BC7BB5" w14:paraId="12B77424" w14:textId="77777777" w:rsidTr="00CB471A">
        <w:trPr>
          <w:trHeight w:val="620"/>
          <w:jc w:val="center"/>
        </w:trPr>
        <w:tc>
          <w:tcPr>
            <w:tcW w:w="1041" w:type="pct"/>
            <w:shd w:val="clear" w:color="auto" w:fill="auto"/>
            <w:vAlign w:val="center"/>
          </w:tcPr>
          <w:p w14:paraId="616A02E6" w14:textId="765607F5" w:rsidR="006A0D48" w:rsidRPr="00BC7BB5" w:rsidRDefault="006A0D48" w:rsidP="00CB471A">
            <w:pPr>
              <w:pStyle w:val="ListParagraph"/>
              <w:spacing w:after="120"/>
              <w:ind w:left="0"/>
              <w:rPr>
                <w:rFonts w:ascii="Times New Roman" w:hAnsi="Times New Roman" w:cs="Times New Roman"/>
                <w:i/>
                <w:sz w:val="18"/>
                <w:szCs w:val="18"/>
              </w:rPr>
            </w:pPr>
            <w:r w:rsidRPr="00BC7BB5">
              <w:rPr>
                <w:rFonts w:ascii="Times New Roman" w:hAnsi="Times New Roman" w:cs="Times New Roman"/>
                <w:b/>
                <w:sz w:val="18"/>
                <w:szCs w:val="18"/>
              </w:rPr>
              <w:t>DLI 1</w:t>
            </w:r>
            <w:r w:rsidRPr="00BC7BB5">
              <w:rPr>
                <w:rFonts w:ascii="Times New Roman" w:hAnsi="Times New Roman" w:cs="Times New Roman"/>
                <w:sz w:val="18"/>
                <w:szCs w:val="18"/>
              </w:rPr>
              <w:t xml:space="preserve">: </w:t>
            </w:r>
            <w:r w:rsidR="00B656F6">
              <w:rPr>
                <w:rFonts w:ascii="Times New Roman" w:hAnsi="Times New Roman" w:cs="Times New Roman"/>
                <w:sz w:val="18"/>
                <w:szCs w:val="18"/>
              </w:rPr>
              <w:t xml:space="preserve">Number of </w:t>
            </w:r>
            <w:r w:rsidRPr="00BC7BB5">
              <w:rPr>
                <w:rFonts w:ascii="Times New Roman" w:hAnsi="Times New Roman" w:cs="Times New Roman"/>
                <w:i/>
                <w:sz w:val="18"/>
                <w:szCs w:val="18"/>
              </w:rPr>
              <w:t>Interprofessions</w:t>
            </w:r>
            <w:r w:rsidRPr="00BC7BB5">
              <w:rPr>
                <w:rFonts w:ascii="Times New Roman" w:hAnsi="Times New Roman" w:cs="Times New Roman"/>
                <w:sz w:val="18"/>
                <w:szCs w:val="18"/>
              </w:rPr>
              <w:t xml:space="preserve"> with business plans approved and intra-branch agreements </w:t>
            </w:r>
            <w:r w:rsidR="00FA1FAE">
              <w:rPr>
                <w:rFonts w:ascii="Times New Roman" w:hAnsi="Times New Roman" w:cs="Times New Roman"/>
                <w:sz w:val="18"/>
                <w:szCs w:val="18"/>
              </w:rPr>
              <w:t>(</w:t>
            </w:r>
            <w:r w:rsidR="00FA1FAE" w:rsidRPr="00FA1FAE">
              <w:rPr>
                <w:rFonts w:ascii="Times New Roman" w:hAnsi="Times New Roman" w:cs="Times New Roman"/>
                <w:i/>
                <w:sz w:val="18"/>
                <w:szCs w:val="18"/>
              </w:rPr>
              <w:t>Accords Interprofessionnels</w:t>
            </w:r>
            <w:r w:rsidR="00FA1FAE">
              <w:rPr>
                <w:rFonts w:ascii="Times New Roman" w:hAnsi="Times New Roman" w:cs="Times New Roman"/>
                <w:sz w:val="18"/>
                <w:szCs w:val="18"/>
              </w:rPr>
              <w:t>) adopted</w:t>
            </w:r>
            <w:r w:rsidRPr="00BC7BB5">
              <w:rPr>
                <w:rFonts w:ascii="Times New Roman" w:hAnsi="Times New Roman" w:cs="Times New Roman"/>
                <w:sz w:val="18"/>
                <w:szCs w:val="18"/>
              </w:rPr>
              <w:t xml:space="preserve"> to ensure sustainability</w:t>
            </w:r>
          </w:p>
        </w:tc>
        <w:tc>
          <w:tcPr>
            <w:tcW w:w="434" w:type="pct"/>
            <w:shd w:val="clear" w:color="auto" w:fill="auto"/>
            <w:vAlign w:val="center"/>
          </w:tcPr>
          <w:p w14:paraId="3AFE2625" w14:textId="77777777" w:rsidR="006A0D48" w:rsidRPr="00BC7BB5" w:rsidRDefault="006A0D48" w:rsidP="00CB471A">
            <w:pPr>
              <w:spacing w:after="120"/>
              <w:jc w:val="center"/>
              <w:rPr>
                <w:rFonts w:ascii="Times New Roman" w:hAnsi="Times New Roman" w:cs="Times New Roman"/>
                <w:i/>
                <w:sz w:val="18"/>
                <w:szCs w:val="18"/>
              </w:rPr>
            </w:pPr>
          </w:p>
        </w:tc>
        <w:tc>
          <w:tcPr>
            <w:tcW w:w="485" w:type="pct"/>
            <w:shd w:val="clear" w:color="auto" w:fill="auto"/>
            <w:vAlign w:val="center"/>
          </w:tcPr>
          <w:p w14:paraId="430A2532" w14:textId="77777777" w:rsidR="006A0D48" w:rsidRPr="00BC7BB5" w:rsidRDefault="006A0D48" w:rsidP="00CB471A">
            <w:pPr>
              <w:spacing w:after="120"/>
              <w:jc w:val="center"/>
              <w:rPr>
                <w:rFonts w:ascii="Times New Roman" w:hAnsi="Times New Roman" w:cs="Times New Roman"/>
                <w:i/>
                <w:sz w:val="18"/>
                <w:szCs w:val="18"/>
              </w:rPr>
            </w:pPr>
          </w:p>
        </w:tc>
        <w:tc>
          <w:tcPr>
            <w:tcW w:w="568" w:type="pct"/>
            <w:shd w:val="clear" w:color="auto" w:fill="auto"/>
            <w:vAlign w:val="center"/>
          </w:tcPr>
          <w:p w14:paraId="7741BB23" w14:textId="77777777" w:rsidR="006A0D48" w:rsidRPr="00BC7BB5" w:rsidRDefault="006A0D48" w:rsidP="00CB471A">
            <w:pPr>
              <w:spacing w:after="120"/>
              <w:jc w:val="center"/>
              <w:rPr>
                <w:rFonts w:ascii="Times New Roman" w:hAnsi="Times New Roman" w:cs="Times New Roman"/>
                <w:i/>
                <w:sz w:val="18"/>
                <w:szCs w:val="18"/>
                <w:highlight w:val="lightGray"/>
              </w:rPr>
            </w:pPr>
            <w:r w:rsidRPr="00BC7BB5">
              <w:rPr>
                <w:rFonts w:ascii="Times New Roman" w:hAnsi="Times New Roman" w:cs="Times New Roman"/>
                <w:i/>
                <w:sz w:val="18"/>
                <w:szCs w:val="18"/>
              </w:rPr>
              <w:t>0</w:t>
            </w:r>
          </w:p>
        </w:tc>
        <w:tc>
          <w:tcPr>
            <w:tcW w:w="493" w:type="pct"/>
            <w:shd w:val="clear" w:color="auto" w:fill="DDD9C3" w:themeFill="background2" w:themeFillShade="E6"/>
            <w:vAlign w:val="center"/>
          </w:tcPr>
          <w:p w14:paraId="2FB534F6" w14:textId="77777777" w:rsidR="006A0D48" w:rsidRPr="00BC7BB5" w:rsidRDefault="006A0D48" w:rsidP="00CB471A">
            <w:pPr>
              <w:spacing w:after="120"/>
              <w:jc w:val="center"/>
              <w:rPr>
                <w:rFonts w:ascii="Times New Roman" w:hAnsi="Times New Roman" w:cs="Times New Roman"/>
                <w:i/>
                <w:sz w:val="18"/>
                <w:szCs w:val="18"/>
              </w:rPr>
            </w:pPr>
          </w:p>
        </w:tc>
        <w:tc>
          <w:tcPr>
            <w:tcW w:w="494" w:type="pct"/>
            <w:shd w:val="clear" w:color="auto" w:fill="auto"/>
            <w:vAlign w:val="center"/>
          </w:tcPr>
          <w:p w14:paraId="55BD95F6" w14:textId="77777777" w:rsidR="006A0D48" w:rsidRPr="00BC7BB5" w:rsidRDefault="006A0D48" w:rsidP="00CB471A">
            <w:pPr>
              <w:spacing w:after="120"/>
              <w:jc w:val="center"/>
              <w:rPr>
                <w:rFonts w:ascii="Times New Roman" w:hAnsi="Times New Roman" w:cs="Times New Roman"/>
                <w:i/>
                <w:sz w:val="18"/>
                <w:szCs w:val="18"/>
              </w:rPr>
            </w:pPr>
            <w:r w:rsidRPr="00BC7BB5">
              <w:rPr>
                <w:rFonts w:ascii="Times New Roman" w:hAnsi="Times New Roman" w:cs="Times New Roman"/>
                <w:i/>
                <w:sz w:val="18"/>
                <w:szCs w:val="18"/>
              </w:rPr>
              <w:t>1</w:t>
            </w:r>
          </w:p>
        </w:tc>
        <w:tc>
          <w:tcPr>
            <w:tcW w:w="494" w:type="pct"/>
            <w:shd w:val="clear" w:color="auto" w:fill="auto"/>
            <w:vAlign w:val="center"/>
          </w:tcPr>
          <w:p w14:paraId="652EDAFA" w14:textId="77777777" w:rsidR="006A0D48" w:rsidRPr="00BC7BB5" w:rsidRDefault="006A0D48" w:rsidP="00CB471A">
            <w:pPr>
              <w:spacing w:after="120"/>
              <w:jc w:val="center"/>
              <w:rPr>
                <w:rFonts w:ascii="Times New Roman" w:hAnsi="Times New Roman" w:cs="Times New Roman"/>
                <w:i/>
                <w:sz w:val="18"/>
                <w:szCs w:val="18"/>
              </w:rPr>
            </w:pPr>
            <w:r w:rsidRPr="00BC7BB5">
              <w:rPr>
                <w:rFonts w:ascii="Times New Roman" w:hAnsi="Times New Roman" w:cs="Times New Roman"/>
                <w:i/>
                <w:sz w:val="18"/>
                <w:szCs w:val="18"/>
              </w:rPr>
              <w:t>2</w:t>
            </w:r>
          </w:p>
        </w:tc>
        <w:tc>
          <w:tcPr>
            <w:tcW w:w="491" w:type="pct"/>
            <w:shd w:val="clear" w:color="auto" w:fill="DDD9C3" w:themeFill="background2" w:themeFillShade="E6"/>
            <w:vAlign w:val="center"/>
          </w:tcPr>
          <w:p w14:paraId="51939624" w14:textId="77777777" w:rsidR="006A0D48" w:rsidRPr="00BC7BB5" w:rsidRDefault="006A0D48" w:rsidP="00CB471A">
            <w:pPr>
              <w:spacing w:after="120"/>
              <w:jc w:val="center"/>
              <w:rPr>
                <w:rFonts w:ascii="Times New Roman" w:hAnsi="Times New Roman" w:cs="Times New Roman"/>
                <w:i/>
                <w:sz w:val="18"/>
                <w:szCs w:val="18"/>
              </w:rPr>
            </w:pPr>
          </w:p>
        </w:tc>
        <w:tc>
          <w:tcPr>
            <w:tcW w:w="500" w:type="pct"/>
            <w:shd w:val="clear" w:color="auto" w:fill="DDD9C3" w:themeFill="background2" w:themeFillShade="E6"/>
            <w:vAlign w:val="center"/>
          </w:tcPr>
          <w:p w14:paraId="25F3BD72" w14:textId="77777777" w:rsidR="006A0D48" w:rsidRPr="00BC7BB5" w:rsidRDefault="006A0D48" w:rsidP="00CB471A">
            <w:pPr>
              <w:spacing w:after="120"/>
              <w:jc w:val="center"/>
              <w:rPr>
                <w:rFonts w:ascii="Times New Roman" w:hAnsi="Times New Roman" w:cs="Times New Roman"/>
                <w:i/>
                <w:color w:val="00B050"/>
                <w:sz w:val="18"/>
                <w:szCs w:val="18"/>
              </w:rPr>
            </w:pPr>
          </w:p>
        </w:tc>
      </w:tr>
      <w:tr w:rsidR="006A0D48" w:rsidRPr="00BC7BB5" w14:paraId="26C71E72" w14:textId="77777777" w:rsidTr="00CB471A">
        <w:trPr>
          <w:trHeight w:val="305"/>
          <w:jc w:val="center"/>
        </w:trPr>
        <w:tc>
          <w:tcPr>
            <w:tcW w:w="1041" w:type="pct"/>
            <w:shd w:val="clear" w:color="auto" w:fill="auto"/>
            <w:vAlign w:val="center"/>
          </w:tcPr>
          <w:p w14:paraId="22EF459F" w14:textId="77777777" w:rsidR="006A0D48" w:rsidRPr="00BC7BB5" w:rsidRDefault="006A0D48" w:rsidP="00CB471A">
            <w:pPr>
              <w:pStyle w:val="ListParagraph"/>
              <w:spacing w:after="120"/>
              <w:ind w:left="0"/>
              <w:rPr>
                <w:rFonts w:ascii="Times New Roman" w:hAnsi="Times New Roman" w:cs="Times New Roman"/>
                <w:i/>
                <w:sz w:val="18"/>
                <w:szCs w:val="18"/>
              </w:rPr>
            </w:pPr>
            <w:r w:rsidRPr="00BC7BB5">
              <w:rPr>
                <w:rFonts w:ascii="Times New Roman" w:hAnsi="Times New Roman" w:cs="Times New Roman"/>
                <w:i/>
                <w:sz w:val="18"/>
                <w:szCs w:val="18"/>
              </w:rPr>
              <w:t>Allocated amount:</w:t>
            </w:r>
          </w:p>
        </w:tc>
        <w:tc>
          <w:tcPr>
            <w:tcW w:w="434" w:type="pct"/>
            <w:shd w:val="clear" w:color="auto" w:fill="auto"/>
            <w:vAlign w:val="center"/>
          </w:tcPr>
          <w:p w14:paraId="504EB59C" w14:textId="77777777" w:rsidR="006A0D48" w:rsidRPr="00BC7BB5" w:rsidRDefault="006A0D48" w:rsidP="00CB471A">
            <w:pPr>
              <w:spacing w:after="120"/>
              <w:jc w:val="center"/>
              <w:rPr>
                <w:rFonts w:ascii="Times New Roman" w:hAnsi="Times New Roman" w:cs="Times New Roman"/>
                <w:i/>
                <w:sz w:val="18"/>
                <w:szCs w:val="18"/>
              </w:rPr>
            </w:pPr>
            <w:r w:rsidRPr="00BC7BB5">
              <w:rPr>
                <w:rFonts w:ascii="Times New Roman" w:hAnsi="Times New Roman" w:cs="Times New Roman"/>
                <w:i/>
                <w:sz w:val="18"/>
                <w:szCs w:val="18"/>
              </w:rPr>
              <w:t>10.0</w:t>
            </w:r>
          </w:p>
        </w:tc>
        <w:tc>
          <w:tcPr>
            <w:tcW w:w="485" w:type="pct"/>
            <w:shd w:val="clear" w:color="auto" w:fill="auto"/>
            <w:vAlign w:val="center"/>
          </w:tcPr>
          <w:p w14:paraId="7699FB22" w14:textId="77777777" w:rsidR="006A0D48" w:rsidRPr="00BC7BB5" w:rsidRDefault="006A0D48" w:rsidP="00CB471A">
            <w:pPr>
              <w:spacing w:after="120"/>
              <w:jc w:val="center"/>
              <w:rPr>
                <w:rFonts w:ascii="Times New Roman" w:hAnsi="Times New Roman" w:cs="Times New Roman"/>
                <w:i/>
                <w:sz w:val="18"/>
                <w:szCs w:val="18"/>
              </w:rPr>
            </w:pPr>
            <w:r w:rsidRPr="00BC7BB5">
              <w:rPr>
                <w:rFonts w:ascii="Times New Roman" w:hAnsi="Times New Roman" w:cs="Times New Roman"/>
                <w:i/>
                <w:sz w:val="18"/>
                <w:szCs w:val="18"/>
              </w:rPr>
              <w:t>5%</w:t>
            </w:r>
          </w:p>
        </w:tc>
        <w:tc>
          <w:tcPr>
            <w:tcW w:w="568" w:type="pct"/>
            <w:shd w:val="clear" w:color="auto" w:fill="auto"/>
            <w:vAlign w:val="center"/>
          </w:tcPr>
          <w:p w14:paraId="0C4442E9" w14:textId="77777777" w:rsidR="006A0D48" w:rsidRPr="00BC7BB5" w:rsidRDefault="006A0D48" w:rsidP="00CB471A">
            <w:pPr>
              <w:spacing w:after="120"/>
              <w:jc w:val="center"/>
              <w:rPr>
                <w:rFonts w:ascii="Times New Roman" w:hAnsi="Times New Roman" w:cs="Times New Roman"/>
                <w:i/>
                <w:sz w:val="18"/>
                <w:szCs w:val="18"/>
                <w:highlight w:val="lightGray"/>
              </w:rPr>
            </w:pPr>
          </w:p>
        </w:tc>
        <w:tc>
          <w:tcPr>
            <w:tcW w:w="493" w:type="pct"/>
            <w:shd w:val="clear" w:color="auto" w:fill="auto"/>
            <w:vAlign w:val="center"/>
          </w:tcPr>
          <w:p w14:paraId="31C7AC5A" w14:textId="77777777" w:rsidR="006A0D48" w:rsidRPr="00BC7BB5" w:rsidRDefault="006A0D48" w:rsidP="00CB471A">
            <w:pPr>
              <w:spacing w:after="120"/>
              <w:jc w:val="center"/>
              <w:rPr>
                <w:rFonts w:ascii="Times New Roman" w:hAnsi="Times New Roman" w:cs="Times New Roman"/>
                <w:i/>
                <w:sz w:val="18"/>
                <w:szCs w:val="18"/>
              </w:rPr>
            </w:pPr>
          </w:p>
        </w:tc>
        <w:tc>
          <w:tcPr>
            <w:tcW w:w="494" w:type="pct"/>
            <w:shd w:val="clear" w:color="auto" w:fill="auto"/>
            <w:vAlign w:val="center"/>
          </w:tcPr>
          <w:p w14:paraId="542BCC04" w14:textId="77777777" w:rsidR="006A0D48" w:rsidRPr="00BC7BB5" w:rsidRDefault="006A0D48" w:rsidP="00CB471A">
            <w:pPr>
              <w:spacing w:after="120"/>
              <w:jc w:val="center"/>
              <w:rPr>
                <w:rFonts w:ascii="Times New Roman" w:hAnsi="Times New Roman" w:cs="Times New Roman"/>
                <w:i/>
                <w:sz w:val="18"/>
                <w:szCs w:val="18"/>
              </w:rPr>
            </w:pPr>
            <w:r w:rsidRPr="00BC7BB5">
              <w:rPr>
                <w:rFonts w:ascii="Times New Roman" w:hAnsi="Times New Roman" w:cs="Times New Roman"/>
                <w:i/>
                <w:sz w:val="18"/>
                <w:szCs w:val="18"/>
              </w:rPr>
              <w:t>5.0</w:t>
            </w:r>
          </w:p>
        </w:tc>
        <w:tc>
          <w:tcPr>
            <w:tcW w:w="494" w:type="pct"/>
            <w:shd w:val="clear" w:color="auto" w:fill="auto"/>
            <w:vAlign w:val="center"/>
          </w:tcPr>
          <w:p w14:paraId="2F3E8EB2" w14:textId="77777777" w:rsidR="006A0D48" w:rsidRPr="00BC7BB5" w:rsidRDefault="006A0D48" w:rsidP="00CB471A">
            <w:pPr>
              <w:spacing w:after="120"/>
              <w:jc w:val="center"/>
              <w:rPr>
                <w:rFonts w:ascii="Times New Roman" w:hAnsi="Times New Roman" w:cs="Times New Roman"/>
                <w:i/>
                <w:sz w:val="18"/>
                <w:szCs w:val="18"/>
              </w:rPr>
            </w:pPr>
            <w:r w:rsidRPr="00BC7BB5">
              <w:rPr>
                <w:rFonts w:ascii="Times New Roman" w:hAnsi="Times New Roman" w:cs="Times New Roman"/>
                <w:i/>
                <w:sz w:val="18"/>
                <w:szCs w:val="18"/>
              </w:rPr>
              <w:t>5.0</w:t>
            </w:r>
          </w:p>
        </w:tc>
        <w:tc>
          <w:tcPr>
            <w:tcW w:w="491" w:type="pct"/>
            <w:shd w:val="clear" w:color="auto" w:fill="auto"/>
            <w:vAlign w:val="center"/>
          </w:tcPr>
          <w:p w14:paraId="0DF502F5" w14:textId="77777777" w:rsidR="006A0D48" w:rsidRPr="00BC7BB5" w:rsidRDefault="006A0D48" w:rsidP="00CB471A">
            <w:pPr>
              <w:spacing w:after="120"/>
              <w:jc w:val="center"/>
              <w:rPr>
                <w:rFonts w:ascii="Times New Roman" w:hAnsi="Times New Roman" w:cs="Times New Roman"/>
                <w:i/>
                <w:sz w:val="18"/>
                <w:szCs w:val="18"/>
              </w:rPr>
            </w:pPr>
          </w:p>
        </w:tc>
        <w:tc>
          <w:tcPr>
            <w:tcW w:w="500" w:type="pct"/>
            <w:shd w:val="clear" w:color="auto" w:fill="auto"/>
            <w:vAlign w:val="center"/>
          </w:tcPr>
          <w:p w14:paraId="0B7F1EA4" w14:textId="77777777" w:rsidR="006A0D48" w:rsidRPr="00BC7BB5" w:rsidRDefault="006A0D48" w:rsidP="00CB471A">
            <w:pPr>
              <w:spacing w:after="120"/>
              <w:jc w:val="center"/>
              <w:rPr>
                <w:rFonts w:ascii="Times New Roman" w:hAnsi="Times New Roman" w:cs="Times New Roman"/>
                <w:i/>
                <w:sz w:val="18"/>
                <w:szCs w:val="18"/>
              </w:rPr>
            </w:pPr>
          </w:p>
        </w:tc>
      </w:tr>
      <w:tr w:rsidR="006A0D48" w:rsidRPr="00BC7BB5" w14:paraId="331317FC" w14:textId="77777777" w:rsidTr="00FA1FAE">
        <w:trPr>
          <w:trHeight w:val="341"/>
          <w:jc w:val="center"/>
        </w:trPr>
        <w:tc>
          <w:tcPr>
            <w:tcW w:w="1041" w:type="pct"/>
            <w:shd w:val="clear" w:color="auto" w:fill="auto"/>
            <w:vAlign w:val="center"/>
          </w:tcPr>
          <w:p w14:paraId="3FE7BCFA" w14:textId="2FD6722D" w:rsidR="006A0D48" w:rsidRPr="00BC7BB5" w:rsidRDefault="006A0D48" w:rsidP="00CB471A">
            <w:pPr>
              <w:rPr>
                <w:rFonts w:ascii="Times New Roman" w:hAnsi="Times New Roman" w:cs="Times New Roman"/>
                <w:sz w:val="18"/>
                <w:szCs w:val="18"/>
              </w:rPr>
            </w:pPr>
            <w:r w:rsidRPr="00BC7BB5">
              <w:rPr>
                <w:rFonts w:ascii="Times New Roman" w:hAnsi="Times New Roman" w:cs="Times New Roman"/>
                <w:b/>
                <w:sz w:val="18"/>
                <w:szCs w:val="18"/>
              </w:rPr>
              <w:t>DLI 2</w:t>
            </w:r>
            <w:r w:rsidRPr="00BC7BB5">
              <w:rPr>
                <w:rFonts w:ascii="Times New Roman" w:hAnsi="Times New Roman" w:cs="Times New Roman"/>
                <w:sz w:val="18"/>
                <w:szCs w:val="18"/>
              </w:rPr>
              <w:t xml:space="preserve">: Amended Law </w:t>
            </w:r>
            <w:r w:rsidR="00FA1FAE">
              <w:rPr>
                <w:rFonts w:ascii="Times New Roman" w:hAnsi="Times New Roman" w:cs="Times New Roman"/>
                <w:sz w:val="18"/>
                <w:szCs w:val="18"/>
              </w:rPr>
              <w:t xml:space="preserve">no. 4-12 </w:t>
            </w:r>
            <w:r w:rsidRPr="00BC7BB5">
              <w:rPr>
                <w:rFonts w:ascii="Times New Roman" w:hAnsi="Times New Roman" w:cs="Times New Roman"/>
                <w:sz w:val="18"/>
                <w:szCs w:val="18"/>
              </w:rPr>
              <w:t xml:space="preserve">on </w:t>
            </w:r>
            <w:r w:rsidR="00B656F6">
              <w:rPr>
                <w:rFonts w:ascii="Times New Roman" w:hAnsi="Times New Roman" w:cs="Times New Roman"/>
                <w:sz w:val="18"/>
                <w:szCs w:val="18"/>
              </w:rPr>
              <w:t>Agricultur</w:t>
            </w:r>
            <w:r w:rsidR="009D3B21">
              <w:rPr>
                <w:rFonts w:ascii="Times New Roman" w:hAnsi="Times New Roman" w:cs="Times New Roman"/>
                <w:sz w:val="18"/>
                <w:szCs w:val="18"/>
              </w:rPr>
              <w:t>al</w:t>
            </w:r>
            <w:r w:rsidR="00B656F6">
              <w:rPr>
                <w:rFonts w:ascii="Times New Roman" w:hAnsi="Times New Roman" w:cs="Times New Roman"/>
                <w:sz w:val="18"/>
                <w:szCs w:val="18"/>
              </w:rPr>
              <w:t xml:space="preserve"> A</w:t>
            </w:r>
            <w:r w:rsidRPr="00BC7BB5">
              <w:rPr>
                <w:rFonts w:ascii="Times New Roman" w:hAnsi="Times New Roman" w:cs="Times New Roman"/>
                <w:sz w:val="18"/>
                <w:szCs w:val="18"/>
              </w:rPr>
              <w:t xml:space="preserve">ggregation </w:t>
            </w:r>
            <w:r w:rsidR="00FA1FAE">
              <w:rPr>
                <w:rFonts w:ascii="Times New Roman" w:hAnsi="Times New Roman" w:cs="Times New Roman"/>
                <w:sz w:val="18"/>
                <w:szCs w:val="18"/>
              </w:rPr>
              <w:t>dated 2012 is under implementation</w:t>
            </w:r>
            <w:r w:rsidRPr="00BC7BB5">
              <w:rPr>
                <w:rFonts w:ascii="Times New Roman" w:hAnsi="Times New Roman" w:cs="Times New Roman"/>
                <w:sz w:val="18"/>
                <w:szCs w:val="18"/>
              </w:rPr>
              <w:t>:</w:t>
            </w:r>
          </w:p>
          <w:p w14:paraId="3C61CFE1" w14:textId="77777777" w:rsidR="00FA1FAE" w:rsidRDefault="00FA1FAE" w:rsidP="00CB471A">
            <w:pPr>
              <w:rPr>
                <w:rFonts w:ascii="Times New Roman" w:hAnsi="Times New Roman" w:cs="Times New Roman"/>
                <w:sz w:val="18"/>
                <w:szCs w:val="18"/>
              </w:rPr>
            </w:pPr>
            <w:r>
              <w:rPr>
                <w:rFonts w:ascii="Times New Roman" w:hAnsi="Times New Roman" w:cs="Times New Roman"/>
                <w:sz w:val="18"/>
                <w:szCs w:val="18"/>
              </w:rPr>
              <w:t>2.1 Adoption by the Council of Government</w:t>
            </w:r>
          </w:p>
          <w:p w14:paraId="38499A30" w14:textId="2EB52F91" w:rsidR="006A0D48" w:rsidRPr="00BC7BB5" w:rsidRDefault="00FA1FAE" w:rsidP="00CB471A">
            <w:pPr>
              <w:rPr>
                <w:rFonts w:ascii="Times New Roman" w:hAnsi="Times New Roman" w:cs="Times New Roman"/>
                <w:sz w:val="18"/>
                <w:szCs w:val="18"/>
              </w:rPr>
            </w:pPr>
            <w:r>
              <w:rPr>
                <w:rFonts w:ascii="Times New Roman" w:hAnsi="Times New Roman" w:cs="Times New Roman"/>
                <w:sz w:val="18"/>
                <w:szCs w:val="18"/>
              </w:rPr>
              <w:t>2.2</w:t>
            </w:r>
            <w:r w:rsidR="006A0D48" w:rsidRPr="00BC7BB5">
              <w:rPr>
                <w:rFonts w:ascii="Times New Roman" w:hAnsi="Times New Roman" w:cs="Times New Roman"/>
                <w:sz w:val="18"/>
                <w:szCs w:val="18"/>
              </w:rPr>
              <w:t xml:space="preserve"> Amende</w:t>
            </w:r>
            <w:r>
              <w:rPr>
                <w:rFonts w:ascii="Times New Roman" w:hAnsi="Times New Roman" w:cs="Times New Roman"/>
                <w:sz w:val="18"/>
                <w:szCs w:val="18"/>
              </w:rPr>
              <w:t>d</w:t>
            </w:r>
            <w:r w:rsidR="006A0D48" w:rsidRPr="00BC7BB5">
              <w:rPr>
                <w:rFonts w:ascii="Times New Roman" w:hAnsi="Times New Roman" w:cs="Times New Roman"/>
                <w:sz w:val="18"/>
                <w:szCs w:val="18"/>
              </w:rPr>
              <w:t xml:space="preserve"> Law published </w:t>
            </w:r>
          </w:p>
          <w:p w14:paraId="7AACF555" w14:textId="3CBF419B" w:rsidR="006A0D48" w:rsidRPr="00BC7BB5" w:rsidRDefault="00FA1FAE" w:rsidP="00CB471A">
            <w:pPr>
              <w:spacing w:after="120"/>
              <w:rPr>
                <w:rFonts w:ascii="Times New Roman" w:hAnsi="Times New Roman" w:cs="Times New Roman"/>
                <w:i/>
                <w:sz w:val="18"/>
                <w:szCs w:val="18"/>
              </w:rPr>
            </w:pPr>
            <w:r>
              <w:rPr>
                <w:rFonts w:ascii="Times New Roman" w:hAnsi="Times New Roman" w:cs="Times New Roman"/>
                <w:sz w:val="18"/>
                <w:szCs w:val="18"/>
              </w:rPr>
              <w:t>2.3</w:t>
            </w:r>
            <w:r w:rsidR="006A0D48" w:rsidRPr="00BC7BB5">
              <w:rPr>
                <w:rFonts w:ascii="Times New Roman" w:hAnsi="Times New Roman" w:cs="Times New Roman"/>
                <w:sz w:val="18"/>
                <w:szCs w:val="18"/>
              </w:rPr>
              <w:t xml:space="preserve"> Implementation Decree and </w:t>
            </w:r>
            <w:r w:rsidR="006A0D48" w:rsidRPr="00BC7BB5">
              <w:rPr>
                <w:rFonts w:ascii="Times New Roman" w:hAnsi="Times New Roman" w:cs="Times New Roman"/>
                <w:i/>
                <w:sz w:val="18"/>
                <w:szCs w:val="18"/>
              </w:rPr>
              <w:t>arrêté</w:t>
            </w:r>
            <w:r w:rsidR="006A0D48" w:rsidRPr="00BC7BB5">
              <w:rPr>
                <w:rFonts w:ascii="Times New Roman" w:hAnsi="Times New Roman" w:cs="Times New Roman"/>
                <w:sz w:val="18"/>
                <w:szCs w:val="18"/>
              </w:rPr>
              <w:t xml:space="preserve"> published </w:t>
            </w:r>
          </w:p>
        </w:tc>
        <w:tc>
          <w:tcPr>
            <w:tcW w:w="434" w:type="pct"/>
            <w:shd w:val="clear" w:color="auto" w:fill="auto"/>
            <w:vAlign w:val="center"/>
          </w:tcPr>
          <w:p w14:paraId="584CAC2C" w14:textId="77777777" w:rsidR="006A0D48" w:rsidRPr="00BC7BB5" w:rsidRDefault="006A0D48" w:rsidP="00CB471A">
            <w:pPr>
              <w:spacing w:after="120"/>
              <w:jc w:val="center"/>
              <w:rPr>
                <w:rFonts w:ascii="Times New Roman" w:hAnsi="Times New Roman" w:cs="Times New Roman"/>
                <w:i/>
                <w:sz w:val="18"/>
                <w:szCs w:val="18"/>
              </w:rPr>
            </w:pPr>
          </w:p>
        </w:tc>
        <w:tc>
          <w:tcPr>
            <w:tcW w:w="485" w:type="pct"/>
            <w:shd w:val="clear" w:color="auto" w:fill="auto"/>
            <w:vAlign w:val="center"/>
          </w:tcPr>
          <w:p w14:paraId="1075FC36" w14:textId="77777777" w:rsidR="006A0D48" w:rsidRPr="00BC7BB5" w:rsidRDefault="006A0D48" w:rsidP="00CB471A">
            <w:pPr>
              <w:spacing w:after="120"/>
              <w:jc w:val="center"/>
              <w:rPr>
                <w:rFonts w:ascii="Times New Roman" w:hAnsi="Times New Roman" w:cs="Times New Roman"/>
                <w:i/>
                <w:sz w:val="18"/>
                <w:szCs w:val="18"/>
              </w:rPr>
            </w:pPr>
          </w:p>
        </w:tc>
        <w:tc>
          <w:tcPr>
            <w:tcW w:w="568" w:type="pct"/>
            <w:shd w:val="clear" w:color="auto" w:fill="auto"/>
            <w:vAlign w:val="center"/>
          </w:tcPr>
          <w:p w14:paraId="1959707F" w14:textId="77777777" w:rsidR="006A0D48" w:rsidRPr="00BC7BB5" w:rsidRDefault="006A0D48" w:rsidP="00CB471A">
            <w:pPr>
              <w:jc w:val="center"/>
              <w:rPr>
                <w:rFonts w:ascii="Times New Roman" w:hAnsi="Times New Roman" w:cs="Times New Roman"/>
                <w:i/>
                <w:sz w:val="18"/>
                <w:szCs w:val="18"/>
              </w:rPr>
            </w:pPr>
          </w:p>
          <w:p w14:paraId="173D798D" w14:textId="77777777" w:rsidR="006A0D48" w:rsidRPr="00BC7BB5" w:rsidRDefault="006A0D48" w:rsidP="00CB471A">
            <w:pPr>
              <w:jc w:val="center"/>
              <w:rPr>
                <w:rFonts w:ascii="Times New Roman" w:hAnsi="Times New Roman" w:cs="Times New Roman"/>
                <w:i/>
                <w:sz w:val="18"/>
                <w:szCs w:val="18"/>
              </w:rPr>
            </w:pPr>
            <w:r w:rsidRPr="00BC7BB5">
              <w:rPr>
                <w:rFonts w:ascii="Times New Roman" w:hAnsi="Times New Roman" w:cs="Times New Roman"/>
                <w:i/>
                <w:sz w:val="18"/>
                <w:szCs w:val="18"/>
              </w:rPr>
              <w:t>2.1 No</w:t>
            </w:r>
          </w:p>
          <w:p w14:paraId="5FF5D861" w14:textId="77777777" w:rsidR="006A0D48" w:rsidRDefault="006A0D48" w:rsidP="00FA1FAE">
            <w:pPr>
              <w:jc w:val="center"/>
              <w:rPr>
                <w:rFonts w:ascii="Times New Roman" w:hAnsi="Times New Roman" w:cs="Times New Roman"/>
                <w:i/>
                <w:sz w:val="18"/>
                <w:szCs w:val="18"/>
              </w:rPr>
            </w:pPr>
            <w:r w:rsidRPr="00BC7BB5">
              <w:rPr>
                <w:rFonts w:ascii="Times New Roman" w:hAnsi="Times New Roman" w:cs="Times New Roman"/>
                <w:i/>
                <w:sz w:val="18"/>
                <w:szCs w:val="18"/>
              </w:rPr>
              <w:t>2.2 No</w:t>
            </w:r>
          </w:p>
          <w:p w14:paraId="2C6CDFA7" w14:textId="5955DF16" w:rsidR="00FA1FAE" w:rsidRPr="00BC7BB5" w:rsidRDefault="00FA1FAE" w:rsidP="00CB471A">
            <w:pPr>
              <w:spacing w:after="120"/>
              <w:jc w:val="center"/>
              <w:rPr>
                <w:rFonts w:ascii="Times New Roman" w:hAnsi="Times New Roman" w:cs="Times New Roman"/>
                <w:i/>
                <w:sz w:val="18"/>
                <w:szCs w:val="18"/>
              </w:rPr>
            </w:pPr>
            <w:r>
              <w:rPr>
                <w:rFonts w:ascii="Times New Roman" w:hAnsi="Times New Roman" w:cs="Times New Roman"/>
                <w:i/>
                <w:sz w:val="18"/>
                <w:szCs w:val="18"/>
              </w:rPr>
              <w:t>2.3 No</w:t>
            </w:r>
          </w:p>
        </w:tc>
        <w:tc>
          <w:tcPr>
            <w:tcW w:w="493" w:type="pct"/>
            <w:shd w:val="clear" w:color="auto" w:fill="auto"/>
            <w:vAlign w:val="center"/>
          </w:tcPr>
          <w:p w14:paraId="67CCE3CE" w14:textId="58A374A0" w:rsidR="006A0D48" w:rsidRPr="00BC7BB5" w:rsidRDefault="00FA1FAE" w:rsidP="00CB471A">
            <w:pPr>
              <w:spacing w:after="120"/>
              <w:jc w:val="center"/>
              <w:rPr>
                <w:rFonts w:ascii="Times New Roman" w:hAnsi="Times New Roman" w:cs="Times New Roman"/>
                <w:i/>
                <w:sz w:val="18"/>
                <w:szCs w:val="18"/>
              </w:rPr>
            </w:pPr>
            <w:r>
              <w:rPr>
                <w:rFonts w:ascii="Times New Roman" w:hAnsi="Times New Roman" w:cs="Times New Roman"/>
                <w:i/>
                <w:sz w:val="18"/>
                <w:szCs w:val="18"/>
              </w:rPr>
              <w:t>2.1 Yes</w:t>
            </w:r>
          </w:p>
        </w:tc>
        <w:tc>
          <w:tcPr>
            <w:tcW w:w="494" w:type="pct"/>
            <w:shd w:val="clear" w:color="auto" w:fill="auto"/>
            <w:vAlign w:val="center"/>
          </w:tcPr>
          <w:p w14:paraId="3A4C4362" w14:textId="274F1ECD" w:rsidR="006A0D48" w:rsidRPr="00BC7BB5" w:rsidRDefault="00FA1FAE" w:rsidP="00CB471A">
            <w:pPr>
              <w:spacing w:after="120"/>
              <w:jc w:val="center"/>
              <w:rPr>
                <w:rFonts w:ascii="Times New Roman" w:hAnsi="Times New Roman" w:cs="Times New Roman"/>
                <w:i/>
                <w:sz w:val="18"/>
                <w:szCs w:val="18"/>
              </w:rPr>
            </w:pPr>
            <w:r>
              <w:rPr>
                <w:rFonts w:ascii="Times New Roman" w:hAnsi="Times New Roman" w:cs="Times New Roman"/>
                <w:i/>
                <w:sz w:val="18"/>
                <w:szCs w:val="18"/>
              </w:rPr>
              <w:t>2.2 Yes</w:t>
            </w:r>
            <w:r w:rsidR="006A0D48" w:rsidRPr="00BC7BB5">
              <w:rPr>
                <w:rFonts w:ascii="Times New Roman" w:hAnsi="Times New Roman" w:cs="Times New Roman"/>
                <w:i/>
                <w:sz w:val="18"/>
                <w:szCs w:val="18"/>
              </w:rPr>
              <w:t xml:space="preserve"> </w:t>
            </w:r>
          </w:p>
        </w:tc>
        <w:tc>
          <w:tcPr>
            <w:tcW w:w="494" w:type="pct"/>
            <w:shd w:val="clear" w:color="auto" w:fill="FFFFFF" w:themeFill="background1"/>
            <w:vAlign w:val="center"/>
          </w:tcPr>
          <w:p w14:paraId="1AC1CF82" w14:textId="641B6AC4" w:rsidR="006A0D48" w:rsidRPr="00BC7BB5" w:rsidRDefault="00FA1FAE" w:rsidP="00CB471A">
            <w:pPr>
              <w:spacing w:after="120"/>
              <w:jc w:val="center"/>
              <w:rPr>
                <w:rFonts w:ascii="Times New Roman" w:hAnsi="Times New Roman" w:cs="Times New Roman"/>
                <w:i/>
                <w:sz w:val="18"/>
                <w:szCs w:val="18"/>
              </w:rPr>
            </w:pPr>
            <w:r>
              <w:rPr>
                <w:rFonts w:ascii="Times New Roman" w:hAnsi="Times New Roman" w:cs="Times New Roman"/>
                <w:i/>
                <w:sz w:val="18"/>
                <w:szCs w:val="18"/>
              </w:rPr>
              <w:t>2.3</w:t>
            </w:r>
            <w:r w:rsidR="00CE6A17" w:rsidRPr="00BC7BB5">
              <w:rPr>
                <w:rFonts w:ascii="Times New Roman" w:hAnsi="Times New Roman" w:cs="Times New Roman"/>
                <w:i/>
                <w:sz w:val="18"/>
                <w:szCs w:val="18"/>
              </w:rPr>
              <w:t xml:space="preserve"> Yes</w:t>
            </w:r>
          </w:p>
        </w:tc>
        <w:tc>
          <w:tcPr>
            <w:tcW w:w="491" w:type="pct"/>
            <w:shd w:val="clear" w:color="auto" w:fill="DDD9C3" w:themeFill="background2" w:themeFillShade="E6"/>
            <w:vAlign w:val="center"/>
          </w:tcPr>
          <w:p w14:paraId="18427DF4" w14:textId="199DD27A" w:rsidR="006A0D48" w:rsidRPr="00BC7BB5" w:rsidRDefault="006A0D48" w:rsidP="00CB471A">
            <w:pPr>
              <w:spacing w:after="120"/>
              <w:jc w:val="center"/>
              <w:rPr>
                <w:rFonts w:ascii="Times New Roman" w:hAnsi="Times New Roman" w:cs="Times New Roman"/>
                <w:i/>
                <w:sz w:val="18"/>
                <w:szCs w:val="18"/>
              </w:rPr>
            </w:pPr>
          </w:p>
        </w:tc>
        <w:tc>
          <w:tcPr>
            <w:tcW w:w="500" w:type="pct"/>
            <w:shd w:val="clear" w:color="auto" w:fill="DDD9C3" w:themeFill="background2" w:themeFillShade="E6"/>
            <w:vAlign w:val="center"/>
          </w:tcPr>
          <w:p w14:paraId="49E6B74E" w14:textId="77777777" w:rsidR="006A0D48" w:rsidRPr="00BC7BB5" w:rsidRDefault="006A0D48" w:rsidP="00CB471A">
            <w:pPr>
              <w:spacing w:after="120"/>
              <w:jc w:val="center"/>
              <w:rPr>
                <w:rFonts w:ascii="Times New Roman" w:hAnsi="Times New Roman" w:cs="Times New Roman"/>
                <w:i/>
                <w:sz w:val="18"/>
                <w:szCs w:val="18"/>
              </w:rPr>
            </w:pPr>
          </w:p>
        </w:tc>
      </w:tr>
      <w:tr w:rsidR="006A0D48" w:rsidRPr="00BC7BB5" w14:paraId="110B3D35" w14:textId="77777777" w:rsidTr="00CB471A">
        <w:trPr>
          <w:trHeight w:val="341"/>
          <w:jc w:val="center"/>
        </w:trPr>
        <w:tc>
          <w:tcPr>
            <w:tcW w:w="1041" w:type="pct"/>
            <w:shd w:val="clear" w:color="auto" w:fill="auto"/>
            <w:vAlign w:val="center"/>
          </w:tcPr>
          <w:p w14:paraId="7E8BE08E" w14:textId="77777777" w:rsidR="006A0D48" w:rsidRPr="00BC7BB5" w:rsidRDefault="006A0D48" w:rsidP="00CB471A">
            <w:pPr>
              <w:spacing w:after="120"/>
              <w:rPr>
                <w:rFonts w:ascii="Times New Roman" w:hAnsi="Times New Roman" w:cs="Times New Roman"/>
                <w:i/>
                <w:sz w:val="18"/>
                <w:szCs w:val="18"/>
              </w:rPr>
            </w:pPr>
            <w:r w:rsidRPr="00BC7BB5">
              <w:rPr>
                <w:rFonts w:ascii="Times New Roman" w:hAnsi="Times New Roman" w:cs="Times New Roman"/>
                <w:i/>
                <w:sz w:val="18"/>
                <w:szCs w:val="18"/>
              </w:rPr>
              <w:t>Allocated amount:</w:t>
            </w:r>
          </w:p>
        </w:tc>
        <w:tc>
          <w:tcPr>
            <w:tcW w:w="434" w:type="pct"/>
            <w:shd w:val="clear" w:color="auto" w:fill="auto"/>
            <w:vAlign w:val="center"/>
          </w:tcPr>
          <w:p w14:paraId="5732A8C3" w14:textId="77777777" w:rsidR="006A0D48" w:rsidRPr="00BC7BB5" w:rsidRDefault="006A0D48" w:rsidP="00CB471A">
            <w:pPr>
              <w:spacing w:after="120"/>
              <w:jc w:val="center"/>
              <w:rPr>
                <w:rFonts w:ascii="Times New Roman" w:hAnsi="Times New Roman" w:cs="Times New Roman"/>
                <w:i/>
                <w:sz w:val="18"/>
                <w:szCs w:val="18"/>
              </w:rPr>
            </w:pPr>
            <w:r w:rsidRPr="00BC7BB5">
              <w:rPr>
                <w:rFonts w:ascii="Times New Roman" w:hAnsi="Times New Roman" w:cs="Times New Roman"/>
                <w:i/>
                <w:sz w:val="18"/>
                <w:szCs w:val="18"/>
              </w:rPr>
              <w:t>10.0</w:t>
            </w:r>
          </w:p>
        </w:tc>
        <w:tc>
          <w:tcPr>
            <w:tcW w:w="485" w:type="pct"/>
            <w:shd w:val="clear" w:color="auto" w:fill="auto"/>
            <w:vAlign w:val="center"/>
          </w:tcPr>
          <w:p w14:paraId="4D81205F" w14:textId="77777777" w:rsidR="006A0D48" w:rsidRPr="00BC7BB5" w:rsidRDefault="006A0D48" w:rsidP="00CB471A">
            <w:pPr>
              <w:spacing w:after="120"/>
              <w:jc w:val="center"/>
              <w:rPr>
                <w:rFonts w:ascii="Times New Roman" w:hAnsi="Times New Roman" w:cs="Times New Roman"/>
                <w:i/>
                <w:sz w:val="18"/>
                <w:szCs w:val="18"/>
              </w:rPr>
            </w:pPr>
            <w:r w:rsidRPr="00BC7BB5">
              <w:rPr>
                <w:rFonts w:ascii="Times New Roman" w:hAnsi="Times New Roman" w:cs="Times New Roman"/>
                <w:i/>
                <w:sz w:val="18"/>
                <w:szCs w:val="18"/>
              </w:rPr>
              <w:t>5.0%</w:t>
            </w:r>
          </w:p>
        </w:tc>
        <w:tc>
          <w:tcPr>
            <w:tcW w:w="568" w:type="pct"/>
            <w:shd w:val="clear" w:color="auto" w:fill="auto"/>
            <w:vAlign w:val="center"/>
          </w:tcPr>
          <w:p w14:paraId="6DC3CD0D" w14:textId="77777777" w:rsidR="006A0D48" w:rsidRPr="00BC7BB5" w:rsidRDefault="006A0D48" w:rsidP="00CB471A">
            <w:pPr>
              <w:spacing w:after="120"/>
              <w:jc w:val="center"/>
              <w:rPr>
                <w:rFonts w:ascii="Times New Roman" w:hAnsi="Times New Roman" w:cs="Times New Roman"/>
                <w:i/>
                <w:sz w:val="18"/>
                <w:szCs w:val="18"/>
              </w:rPr>
            </w:pPr>
          </w:p>
        </w:tc>
        <w:tc>
          <w:tcPr>
            <w:tcW w:w="493" w:type="pct"/>
            <w:shd w:val="clear" w:color="auto" w:fill="auto"/>
            <w:vAlign w:val="center"/>
          </w:tcPr>
          <w:p w14:paraId="0B9E652F" w14:textId="21AAC596" w:rsidR="006A0D48" w:rsidRPr="00BC7BB5" w:rsidRDefault="00FA1FAE" w:rsidP="00CB471A">
            <w:pPr>
              <w:spacing w:after="120"/>
              <w:jc w:val="center"/>
              <w:rPr>
                <w:rFonts w:ascii="Times New Roman" w:hAnsi="Times New Roman" w:cs="Times New Roman"/>
                <w:i/>
                <w:sz w:val="18"/>
                <w:szCs w:val="18"/>
              </w:rPr>
            </w:pPr>
            <w:r>
              <w:rPr>
                <w:rFonts w:ascii="Times New Roman" w:hAnsi="Times New Roman" w:cs="Times New Roman"/>
                <w:i/>
                <w:sz w:val="18"/>
                <w:szCs w:val="18"/>
              </w:rPr>
              <w:t>2.0</w:t>
            </w:r>
          </w:p>
        </w:tc>
        <w:tc>
          <w:tcPr>
            <w:tcW w:w="494" w:type="pct"/>
            <w:shd w:val="clear" w:color="auto" w:fill="auto"/>
            <w:vAlign w:val="center"/>
          </w:tcPr>
          <w:p w14:paraId="569C807C" w14:textId="77777777" w:rsidR="006A0D48" w:rsidRPr="00BC7BB5" w:rsidRDefault="006A0D48" w:rsidP="00CB471A">
            <w:pPr>
              <w:spacing w:after="120"/>
              <w:jc w:val="center"/>
              <w:rPr>
                <w:rFonts w:ascii="Times New Roman" w:hAnsi="Times New Roman" w:cs="Times New Roman"/>
                <w:i/>
                <w:sz w:val="18"/>
                <w:szCs w:val="18"/>
              </w:rPr>
            </w:pPr>
            <w:r w:rsidRPr="00BC7BB5">
              <w:rPr>
                <w:rFonts w:ascii="Times New Roman" w:hAnsi="Times New Roman" w:cs="Times New Roman"/>
                <w:i/>
                <w:sz w:val="18"/>
                <w:szCs w:val="18"/>
              </w:rPr>
              <w:t>5.0</w:t>
            </w:r>
          </w:p>
        </w:tc>
        <w:tc>
          <w:tcPr>
            <w:tcW w:w="494" w:type="pct"/>
            <w:shd w:val="clear" w:color="auto" w:fill="auto"/>
            <w:vAlign w:val="center"/>
          </w:tcPr>
          <w:p w14:paraId="4CF9E8AB" w14:textId="2E8CE909" w:rsidR="006A0D48" w:rsidRPr="00BC7BB5" w:rsidRDefault="00FA1FAE" w:rsidP="00CB471A">
            <w:pPr>
              <w:spacing w:after="120"/>
              <w:jc w:val="center"/>
              <w:rPr>
                <w:rFonts w:ascii="Times New Roman" w:hAnsi="Times New Roman" w:cs="Times New Roman"/>
                <w:i/>
                <w:sz w:val="18"/>
                <w:szCs w:val="18"/>
              </w:rPr>
            </w:pPr>
            <w:r>
              <w:rPr>
                <w:rFonts w:ascii="Times New Roman" w:hAnsi="Times New Roman" w:cs="Times New Roman"/>
                <w:i/>
                <w:sz w:val="18"/>
                <w:szCs w:val="18"/>
              </w:rPr>
              <w:t>3</w:t>
            </w:r>
            <w:r w:rsidR="00CE6A17" w:rsidRPr="00BC7BB5">
              <w:rPr>
                <w:rFonts w:ascii="Times New Roman" w:hAnsi="Times New Roman" w:cs="Times New Roman"/>
                <w:i/>
                <w:sz w:val="18"/>
                <w:szCs w:val="18"/>
              </w:rPr>
              <w:t>.0</w:t>
            </w:r>
          </w:p>
        </w:tc>
        <w:tc>
          <w:tcPr>
            <w:tcW w:w="491" w:type="pct"/>
            <w:shd w:val="clear" w:color="auto" w:fill="auto"/>
            <w:vAlign w:val="center"/>
          </w:tcPr>
          <w:p w14:paraId="2A5FB6DF" w14:textId="56A064E4" w:rsidR="006A0D48" w:rsidRPr="00BC7BB5" w:rsidRDefault="006A0D48" w:rsidP="00CB471A">
            <w:pPr>
              <w:spacing w:after="120"/>
              <w:jc w:val="center"/>
              <w:rPr>
                <w:rFonts w:ascii="Times New Roman" w:hAnsi="Times New Roman" w:cs="Times New Roman"/>
                <w:i/>
                <w:sz w:val="18"/>
                <w:szCs w:val="18"/>
              </w:rPr>
            </w:pPr>
          </w:p>
        </w:tc>
        <w:tc>
          <w:tcPr>
            <w:tcW w:w="500" w:type="pct"/>
            <w:shd w:val="clear" w:color="auto" w:fill="auto"/>
            <w:vAlign w:val="center"/>
          </w:tcPr>
          <w:p w14:paraId="34F75F2E" w14:textId="77777777" w:rsidR="006A0D48" w:rsidRPr="00BC7BB5" w:rsidRDefault="006A0D48" w:rsidP="00CB471A">
            <w:pPr>
              <w:spacing w:after="120"/>
              <w:jc w:val="center"/>
              <w:rPr>
                <w:rFonts w:ascii="Times New Roman" w:hAnsi="Times New Roman" w:cs="Times New Roman"/>
                <w:i/>
                <w:sz w:val="18"/>
                <w:szCs w:val="18"/>
              </w:rPr>
            </w:pPr>
          </w:p>
        </w:tc>
      </w:tr>
      <w:tr w:rsidR="006A0D48" w:rsidRPr="00BC7BB5" w14:paraId="299F873D" w14:textId="77777777" w:rsidTr="00CB471A">
        <w:trPr>
          <w:trHeight w:val="341"/>
          <w:jc w:val="center"/>
        </w:trPr>
        <w:tc>
          <w:tcPr>
            <w:tcW w:w="1041" w:type="pct"/>
            <w:shd w:val="clear" w:color="auto" w:fill="auto"/>
            <w:vAlign w:val="center"/>
          </w:tcPr>
          <w:p w14:paraId="7737D764" w14:textId="37425DFA" w:rsidR="006A0D48" w:rsidRPr="00BC7BB5" w:rsidRDefault="006A0D48" w:rsidP="00CB471A">
            <w:pPr>
              <w:pStyle w:val="ListParagraph"/>
              <w:spacing w:after="120"/>
              <w:ind w:left="0"/>
              <w:rPr>
                <w:rFonts w:ascii="Times New Roman" w:hAnsi="Times New Roman" w:cs="Times New Roman"/>
                <w:i/>
                <w:sz w:val="18"/>
                <w:szCs w:val="18"/>
              </w:rPr>
            </w:pPr>
            <w:r w:rsidRPr="00BC7BB5">
              <w:rPr>
                <w:rFonts w:ascii="Times New Roman" w:hAnsi="Times New Roman" w:cs="Times New Roman"/>
                <w:b/>
                <w:sz w:val="18"/>
                <w:szCs w:val="18"/>
              </w:rPr>
              <w:t xml:space="preserve">DLI 3: </w:t>
            </w:r>
            <w:r w:rsidR="00BC1F79" w:rsidRPr="00BC7BB5">
              <w:rPr>
                <w:rFonts w:ascii="Times New Roman" w:hAnsi="Times New Roman" w:cs="Times New Roman"/>
                <w:sz w:val="18"/>
                <w:szCs w:val="18"/>
              </w:rPr>
              <w:t>Number of</w:t>
            </w:r>
            <w:r w:rsidR="00976F7F" w:rsidRPr="00BC7BB5">
              <w:rPr>
                <w:rFonts w:ascii="Times New Roman" w:hAnsi="Times New Roman" w:cs="Times New Roman"/>
                <w:sz w:val="18"/>
                <w:szCs w:val="18"/>
              </w:rPr>
              <w:t xml:space="preserve"> </w:t>
            </w:r>
            <w:r w:rsidR="00BD7C3D" w:rsidRPr="00BC7BB5">
              <w:rPr>
                <w:rFonts w:ascii="Times New Roman" w:hAnsi="Times New Roman" w:cs="Times New Roman"/>
                <w:sz w:val="18"/>
                <w:szCs w:val="18"/>
              </w:rPr>
              <w:t>new</w:t>
            </w:r>
            <w:r w:rsidR="009D3B21">
              <w:rPr>
                <w:rFonts w:ascii="Times New Roman" w:hAnsi="Times New Roman" w:cs="Times New Roman"/>
                <w:sz w:val="18"/>
                <w:szCs w:val="18"/>
              </w:rPr>
              <w:t>/</w:t>
            </w:r>
            <w:r w:rsidR="00BD7C3D" w:rsidRPr="00BC7BB5">
              <w:rPr>
                <w:rFonts w:ascii="Times New Roman" w:hAnsi="Times New Roman" w:cs="Times New Roman"/>
                <w:sz w:val="18"/>
                <w:szCs w:val="18"/>
              </w:rPr>
              <w:t xml:space="preserve">upgraded </w:t>
            </w:r>
            <w:r w:rsidR="00CE6A17" w:rsidRPr="00BC7BB5">
              <w:rPr>
                <w:rFonts w:ascii="Times New Roman" w:hAnsi="Times New Roman" w:cs="Times New Roman"/>
                <w:sz w:val="18"/>
                <w:szCs w:val="18"/>
              </w:rPr>
              <w:t xml:space="preserve">conditioning, </w:t>
            </w:r>
            <w:r w:rsidR="00FA1FAE">
              <w:rPr>
                <w:rFonts w:ascii="Times New Roman" w:hAnsi="Times New Roman" w:cs="Times New Roman"/>
                <w:sz w:val="18"/>
                <w:szCs w:val="18"/>
              </w:rPr>
              <w:t xml:space="preserve">cold </w:t>
            </w:r>
            <w:r w:rsidR="00CE6A17" w:rsidRPr="00BC7BB5">
              <w:rPr>
                <w:rFonts w:ascii="Times New Roman" w:hAnsi="Times New Roman" w:cs="Times New Roman"/>
                <w:sz w:val="18"/>
                <w:szCs w:val="18"/>
              </w:rPr>
              <w:t>storage and</w:t>
            </w:r>
            <w:r w:rsidR="00FA1FAE">
              <w:rPr>
                <w:rFonts w:ascii="Times New Roman" w:hAnsi="Times New Roman" w:cs="Times New Roman"/>
                <w:sz w:val="18"/>
                <w:szCs w:val="18"/>
              </w:rPr>
              <w:t>/or</w:t>
            </w:r>
            <w:r w:rsidR="00CE6A17" w:rsidRPr="00BC7BB5">
              <w:rPr>
                <w:rFonts w:ascii="Times New Roman" w:hAnsi="Times New Roman" w:cs="Times New Roman"/>
                <w:sz w:val="18"/>
                <w:szCs w:val="18"/>
              </w:rPr>
              <w:t xml:space="preserve"> processing</w:t>
            </w:r>
            <w:r w:rsidR="00B640FF" w:rsidRPr="00BC7BB5">
              <w:rPr>
                <w:rFonts w:ascii="Times New Roman" w:hAnsi="Times New Roman" w:cs="Times New Roman"/>
                <w:sz w:val="18"/>
                <w:szCs w:val="18"/>
              </w:rPr>
              <w:t xml:space="preserve"> units</w:t>
            </w:r>
            <w:r w:rsidR="00CE6A17" w:rsidRPr="00BC7BB5">
              <w:rPr>
                <w:rFonts w:ascii="Times New Roman" w:hAnsi="Times New Roman" w:cs="Times New Roman"/>
                <w:sz w:val="18"/>
                <w:szCs w:val="18"/>
              </w:rPr>
              <w:t xml:space="preserve"> </w:t>
            </w:r>
            <w:r w:rsidR="00FA1FAE">
              <w:rPr>
                <w:rFonts w:ascii="Times New Roman" w:hAnsi="Times New Roman" w:cs="Times New Roman"/>
                <w:sz w:val="18"/>
                <w:szCs w:val="18"/>
              </w:rPr>
              <w:t>in selected agri-food value chains under operation</w:t>
            </w:r>
          </w:p>
        </w:tc>
        <w:tc>
          <w:tcPr>
            <w:tcW w:w="434" w:type="pct"/>
            <w:shd w:val="clear" w:color="auto" w:fill="auto"/>
            <w:vAlign w:val="center"/>
          </w:tcPr>
          <w:p w14:paraId="344F1FEC" w14:textId="641C615D" w:rsidR="006A0D48" w:rsidRPr="00BC7BB5" w:rsidRDefault="006A0D48" w:rsidP="00CB471A">
            <w:pPr>
              <w:spacing w:after="120"/>
              <w:jc w:val="center"/>
              <w:rPr>
                <w:rFonts w:ascii="Times New Roman" w:hAnsi="Times New Roman" w:cs="Times New Roman"/>
                <w:i/>
                <w:sz w:val="18"/>
                <w:szCs w:val="18"/>
              </w:rPr>
            </w:pPr>
          </w:p>
        </w:tc>
        <w:tc>
          <w:tcPr>
            <w:tcW w:w="485" w:type="pct"/>
            <w:shd w:val="clear" w:color="auto" w:fill="auto"/>
            <w:vAlign w:val="center"/>
          </w:tcPr>
          <w:p w14:paraId="5A887FAB" w14:textId="77777777" w:rsidR="006A0D48" w:rsidRPr="00BC7BB5" w:rsidRDefault="006A0D48" w:rsidP="00CB471A">
            <w:pPr>
              <w:spacing w:after="120"/>
              <w:jc w:val="center"/>
              <w:rPr>
                <w:rFonts w:ascii="Times New Roman" w:hAnsi="Times New Roman" w:cs="Times New Roman"/>
                <w:i/>
                <w:sz w:val="18"/>
                <w:szCs w:val="18"/>
              </w:rPr>
            </w:pPr>
          </w:p>
        </w:tc>
        <w:tc>
          <w:tcPr>
            <w:tcW w:w="568" w:type="pct"/>
            <w:shd w:val="clear" w:color="auto" w:fill="auto"/>
            <w:vAlign w:val="center"/>
          </w:tcPr>
          <w:p w14:paraId="4196A248" w14:textId="77777777" w:rsidR="006A0D48" w:rsidRPr="00BC7BB5" w:rsidRDefault="006A0D48" w:rsidP="00CB471A">
            <w:pPr>
              <w:spacing w:after="120"/>
              <w:jc w:val="center"/>
              <w:rPr>
                <w:rFonts w:ascii="Times New Roman" w:hAnsi="Times New Roman" w:cs="Times New Roman"/>
                <w:i/>
                <w:sz w:val="18"/>
                <w:szCs w:val="18"/>
              </w:rPr>
            </w:pPr>
            <w:r w:rsidRPr="00BC7BB5">
              <w:rPr>
                <w:rFonts w:ascii="Times New Roman" w:hAnsi="Times New Roman" w:cs="Times New Roman"/>
                <w:i/>
                <w:sz w:val="18"/>
                <w:szCs w:val="18"/>
              </w:rPr>
              <w:t>0</w:t>
            </w:r>
          </w:p>
        </w:tc>
        <w:tc>
          <w:tcPr>
            <w:tcW w:w="493" w:type="pct"/>
            <w:shd w:val="clear" w:color="auto" w:fill="auto"/>
            <w:vAlign w:val="center"/>
          </w:tcPr>
          <w:p w14:paraId="4ADC71DB" w14:textId="77777777" w:rsidR="006A0D48" w:rsidRPr="00BC7BB5" w:rsidRDefault="006A0D48" w:rsidP="00CB471A">
            <w:pPr>
              <w:spacing w:after="120"/>
              <w:jc w:val="center"/>
              <w:rPr>
                <w:rFonts w:ascii="Times New Roman" w:hAnsi="Times New Roman" w:cs="Times New Roman"/>
                <w:i/>
                <w:sz w:val="18"/>
                <w:szCs w:val="18"/>
              </w:rPr>
            </w:pPr>
            <w:r w:rsidRPr="00BC7BB5">
              <w:rPr>
                <w:rFonts w:ascii="Times New Roman" w:hAnsi="Times New Roman" w:cs="Times New Roman"/>
                <w:i/>
                <w:sz w:val="16"/>
                <w:szCs w:val="16"/>
              </w:rPr>
              <w:t>5</w:t>
            </w:r>
          </w:p>
        </w:tc>
        <w:tc>
          <w:tcPr>
            <w:tcW w:w="494" w:type="pct"/>
            <w:shd w:val="clear" w:color="auto" w:fill="auto"/>
            <w:vAlign w:val="center"/>
          </w:tcPr>
          <w:p w14:paraId="0608C643" w14:textId="77777777" w:rsidR="006A0D48" w:rsidRPr="00BC7BB5" w:rsidRDefault="006A0D48" w:rsidP="00CB471A">
            <w:pPr>
              <w:spacing w:after="120"/>
              <w:jc w:val="center"/>
              <w:rPr>
                <w:rFonts w:ascii="Times New Roman" w:hAnsi="Times New Roman" w:cs="Times New Roman"/>
                <w:i/>
                <w:sz w:val="18"/>
                <w:szCs w:val="18"/>
              </w:rPr>
            </w:pPr>
            <w:r w:rsidRPr="00BC7BB5">
              <w:rPr>
                <w:rFonts w:ascii="Times New Roman" w:hAnsi="Times New Roman" w:cs="Times New Roman"/>
                <w:i/>
                <w:sz w:val="16"/>
                <w:szCs w:val="16"/>
              </w:rPr>
              <w:t>27</w:t>
            </w:r>
            <w:r w:rsidRPr="00BC7BB5">
              <w:rPr>
                <w:rFonts w:ascii="Times New Roman" w:hAnsi="Times New Roman" w:cs="Times New Roman"/>
                <w:i/>
                <w:sz w:val="18"/>
                <w:szCs w:val="18"/>
              </w:rPr>
              <w:t xml:space="preserve"> </w:t>
            </w:r>
          </w:p>
        </w:tc>
        <w:tc>
          <w:tcPr>
            <w:tcW w:w="494" w:type="pct"/>
            <w:shd w:val="clear" w:color="auto" w:fill="auto"/>
            <w:vAlign w:val="center"/>
          </w:tcPr>
          <w:p w14:paraId="19AABACE" w14:textId="77777777" w:rsidR="006A0D48" w:rsidRPr="00BC7BB5" w:rsidRDefault="006A0D48" w:rsidP="00CB471A">
            <w:pPr>
              <w:spacing w:after="120"/>
              <w:jc w:val="center"/>
              <w:rPr>
                <w:rFonts w:ascii="Times New Roman" w:hAnsi="Times New Roman" w:cs="Times New Roman"/>
                <w:i/>
                <w:sz w:val="18"/>
                <w:szCs w:val="18"/>
              </w:rPr>
            </w:pPr>
            <w:r w:rsidRPr="00BC7BB5">
              <w:rPr>
                <w:rFonts w:ascii="Times New Roman" w:hAnsi="Times New Roman" w:cs="Times New Roman"/>
                <w:i/>
                <w:sz w:val="18"/>
                <w:szCs w:val="18"/>
              </w:rPr>
              <w:t>53</w:t>
            </w:r>
          </w:p>
        </w:tc>
        <w:tc>
          <w:tcPr>
            <w:tcW w:w="491" w:type="pct"/>
            <w:shd w:val="clear" w:color="auto" w:fill="auto"/>
            <w:vAlign w:val="center"/>
          </w:tcPr>
          <w:p w14:paraId="45CD28BB" w14:textId="77777777" w:rsidR="006A0D48" w:rsidRPr="00BC7BB5" w:rsidRDefault="006A0D48" w:rsidP="00CB471A">
            <w:pPr>
              <w:spacing w:after="120"/>
              <w:jc w:val="center"/>
              <w:rPr>
                <w:rFonts w:ascii="Times New Roman" w:hAnsi="Times New Roman" w:cs="Times New Roman"/>
                <w:i/>
                <w:sz w:val="18"/>
                <w:szCs w:val="18"/>
              </w:rPr>
            </w:pPr>
            <w:r w:rsidRPr="00BC7BB5">
              <w:rPr>
                <w:rFonts w:ascii="Times New Roman" w:hAnsi="Times New Roman" w:cs="Times New Roman"/>
                <w:i/>
                <w:sz w:val="16"/>
                <w:szCs w:val="16"/>
              </w:rPr>
              <w:t>62</w:t>
            </w:r>
          </w:p>
        </w:tc>
        <w:tc>
          <w:tcPr>
            <w:tcW w:w="500" w:type="pct"/>
            <w:shd w:val="clear" w:color="auto" w:fill="auto"/>
            <w:vAlign w:val="center"/>
          </w:tcPr>
          <w:p w14:paraId="6AA07B1A" w14:textId="77777777" w:rsidR="006A0D48" w:rsidRPr="00BC7BB5" w:rsidRDefault="006A0D48" w:rsidP="00CB471A">
            <w:pPr>
              <w:spacing w:after="120"/>
              <w:jc w:val="center"/>
              <w:rPr>
                <w:rFonts w:ascii="Times New Roman" w:hAnsi="Times New Roman" w:cs="Times New Roman"/>
                <w:i/>
                <w:sz w:val="18"/>
                <w:szCs w:val="18"/>
              </w:rPr>
            </w:pPr>
            <w:r w:rsidRPr="00BC7BB5">
              <w:rPr>
                <w:rFonts w:ascii="Times New Roman" w:hAnsi="Times New Roman" w:cs="Times New Roman"/>
                <w:i/>
                <w:sz w:val="16"/>
                <w:szCs w:val="16"/>
              </w:rPr>
              <w:t>70</w:t>
            </w:r>
          </w:p>
        </w:tc>
      </w:tr>
      <w:tr w:rsidR="006A0D48" w:rsidRPr="00BC7BB5" w14:paraId="6CD998E5" w14:textId="77777777" w:rsidTr="00CB471A">
        <w:trPr>
          <w:trHeight w:val="332"/>
          <w:jc w:val="center"/>
        </w:trPr>
        <w:tc>
          <w:tcPr>
            <w:tcW w:w="1041" w:type="pct"/>
            <w:shd w:val="clear" w:color="auto" w:fill="auto"/>
            <w:vAlign w:val="center"/>
          </w:tcPr>
          <w:p w14:paraId="6813ED20" w14:textId="77777777" w:rsidR="006A0D48" w:rsidRPr="00BC7BB5" w:rsidRDefault="006A0D48" w:rsidP="00CB471A">
            <w:pPr>
              <w:pStyle w:val="ListParagraph"/>
              <w:spacing w:after="120"/>
              <w:ind w:left="0"/>
              <w:rPr>
                <w:rFonts w:ascii="Times New Roman" w:hAnsi="Times New Roman" w:cs="Times New Roman"/>
                <w:sz w:val="18"/>
                <w:szCs w:val="18"/>
              </w:rPr>
            </w:pPr>
            <w:r w:rsidRPr="00BC7BB5">
              <w:rPr>
                <w:rFonts w:ascii="Times New Roman" w:hAnsi="Times New Roman" w:cs="Times New Roman"/>
                <w:i/>
                <w:sz w:val="18"/>
                <w:szCs w:val="18"/>
              </w:rPr>
              <w:t>Allocated amount:</w:t>
            </w:r>
          </w:p>
        </w:tc>
        <w:tc>
          <w:tcPr>
            <w:tcW w:w="434" w:type="pct"/>
            <w:shd w:val="clear" w:color="auto" w:fill="auto"/>
            <w:vAlign w:val="center"/>
          </w:tcPr>
          <w:p w14:paraId="5F7CC6C8" w14:textId="35981C50" w:rsidR="006A0D48" w:rsidRPr="00BC7BB5" w:rsidRDefault="00FA1FAE" w:rsidP="00CB471A">
            <w:pPr>
              <w:spacing w:after="120"/>
              <w:jc w:val="center"/>
              <w:rPr>
                <w:rFonts w:ascii="Times New Roman" w:hAnsi="Times New Roman" w:cs="Times New Roman"/>
                <w:i/>
                <w:sz w:val="18"/>
                <w:szCs w:val="18"/>
              </w:rPr>
            </w:pPr>
            <w:r>
              <w:rPr>
                <w:rFonts w:ascii="Times New Roman" w:hAnsi="Times New Roman" w:cs="Times New Roman"/>
                <w:i/>
                <w:sz w:val="18"/>
                <w:szCs w:val="18"/>
              </w:rPr>
              <w:t>70</w:t>
            </w:r>
            <w:r w:rsidR="006A0D48" w:rsidRPr="00BC7BB5">
              <w:rPr>
                <w:rFonts w:ascii="Times New Roman" w:hAnsi="Times New Roman" w:cs="Times New Roman"/>
                <w:i/>
                <w:sz w:val="18"/>
                <w:szCs w:val="18"/>
              </w:rPr>
              <w:t>.0</w:t>
            </w:r>
          </w:p>
        </w:tc>
        <w:tc>
          <w:tcPr>
            <w:tcW w:w="485" w:type="pct"/>
            <w:shd w:val="clear" w:color="auto" w:fill="auto"/>
            <w:vAlign w:val="center"/>
          </w:tcPr>
          <w:p w14:paraId="50E2BE8C" w14:textId="4380A3BD" w:rsidR="006A0D48" w:rsidRPr="00BC7BB5" w:rsidRDefault="006A0D48" w:rsidP="00CB471A">
            <w:pPr>
              <w:spacing w:after="120"/>
              <w:jc w:val="center"/>
              <w:rPr>
                <w:rFonts w:ascii="Times New Roman" w:hAnsi="Times New Roman" w:cs="Times New Roman"/>
                <w:i/>
                <w:sz w:val="18"/>
                <w:szCs w:val="18"/>
              </w:rPr>
            </w:pPr>
            <w:r w:rsidRPr="00BC7BB5">
              <w:rPr>
                <w:rFonts w:ascii="Times New Roman" w:hAnsi="Times New Roman" w:cs="Times New Roman"/>
                <w:i/>
                <w:sz w:val="18"/>
                <w:szCs w:val="18"/>
              </w:rPr>
              <w:t>35</w:t>
            </w:r>
            <w:r w:rsidR="00151327">
              <w:rPr>
                <w:rFonts w:ascii="Times New Roman" w:hAnsi="Times New Roman" w:cs="Times New Roman"/>
                <w:i/>
                <w:sz w:val="18"/>
                <w:szCs w:val="18"/>
              </w:rPr>
              <w:t>.0</w:t>
            </w:r>
            <w:r w:rsidRPr="00BC7BB5">
              <w:rPr>
                <w:rFonts w:ascii="Times New Roman" w:hAnsi="Times New Roman" w:cs="Times New Roman"/>
                <w:i/>
                <w:sz w:val="18"/>
                <w:szCs w:val="18"/>
              </w:rPr>
              <w:t>%</w:t>
            </w:r>
          </w:p>
        </w:tc>
        <w:tc>
          <w:tcPr>
            <w:tcW w:w="568" w:type="pct"/>
            <w:shd w:val="clear" w:color="auto" w:fill="auto"/>
            <w:vAlign w:val="center"/>
          </w:tcPr>
          <w:p w14:paraId="25B4DD2C" w14:textId="77777777" w:rsidR="006A0D48" w:rsidRPr="00BC7BB5" w:rsidRDefault="006A0D48" w:rsidP="00CB471A">
            <w:pPr>
              <w:spacing w:after="120"/>
              <w:jc w:val="center"/>
              <w:rPr>
                <w:rFonts w:ascii="Times New Roman" w:hAnsi="Times New Roman" w:cs="Times New Roman"/>
                <w:i/>
                <w:sz w:val="18"/>
                <w:szCs w:val="18"/>
              </w:rPr>
            </w:pPr>
          </w:p>
        </w:tc>
        <w:tc>
          <w:tcPr>
            <w:tcW w:w="493" w:type="pct"/>
            <w:shd w:val="clear" w:color="auto" w:fill="auto"/>
            <w:vAlign w:val="center"/>
          </w:tcPr>
          <w:p w14:paraId="2695B26F" w14:textId="77777777" w:rsidR="006A0D48" w:rsidRPr="00BC7BB5" w:rsidRDefault="006A0D48" w:rsidP="00CB471A">
            <w:pPr>
              <w:spacing w:after="120"/>
              <w:jc w:val="center"/>
              <w:rPr>
                <w:rFonts w:ascii="Times New Roman" w:hAnsi="Times New Roman" w:cs="Times New Roman"/>
                <w:i/>
                <w:sz w:val="18"/>
                <w:szCs w:val="18"/>
              </w:rPr>
            </w:pPr>
            <w:r w:rsidRPr="00BC7BB5">
              <w:rPr>
                <w:rFonts w:ascii="Times New Roman" w:hAnsi="Times New Roman" w:cs="Times New Roman"/>
                <w:i/>
                <w:sz w:val="18"/>
                <w:szCs w:val="18"/>
              </w:rPr>
              <w:t>5.0</w:t>
            </w:r>
          </w:p>
        </w:tc>
        <w:tc>
          <w:tcPr>
            <w:tcW w:w="494" w:type="pct"/>
            <w:shd w:val="clear" w:color="auto" w:fill="auto"/>
            <w:vAlign w:val="center"/>
          </w:tcPr>
          <w:p w14:paraId="57EB10CF" w14:textId="2BABE798" w:rsidR="006A0D48" w:rsidRPr="00BC7BB5" w:rsidRDefault="00FA1FAE" w:rsidP="00CB471A">
            <w:pPr>
              <w:spacing w:after="120"/>
              <w:jc w:val="center"/>
              <w:rPr>
                <w:rFonts w:ascii="Times New Roman" w:hAnsi="Times New Roman" w:cs="Times New Roman"/>
                <w:i/>
                <w:sz w:val="18"/>
                <w:szCs w:val="18"/>
              </w:rPr>
            </w:pPr>
            <w:r>
              <w:rPr>
                <w:rFonts w:ascii="Times New Roman" w:hAnsi="Times New Roman" w:cs="Times New Roman"/>
                <w:i/>
                <w:sz w:val="18"/>
                <w:szCs w:val="18"/>
              </w:rPr>
              <w:t>22</w:t>
            </w:r>
            <w:r w:rsidR="006A0D48" w:rsidRPr="00BC7BB5">
              <w:rPr>
                <w:rFonts w:ascii="Times New Roman" w:hAnsi="Times New Roman" w:cs="Times New Roman"/>
                <w:i/>
                <w:sz w:val="18"/>
                <w:szCs w:val="18"/>
              </w:rPr>
              <w:t>.0</w:t>
            </w:r>
          </w:p>
        </w:tc>
        <w:tc>
          <w:tcPr>
            <w:tcW w:w="494" w:type="pct"/>
            <w:shd w:val="clear" w:color="auto" w:fill="auto"/>
            <w:vAlign w:val="center"/>
          </w:tcPr>
          <w:p w14:paraId="6FF0AFC9" w14:textId="2FF7A178" w:rsidR="006A0D48" w:rsidRPr="00BC7BB5" w:rsidRDefault="008E36A2" w:rsidP="00CB471A">
            <w:pPr>
              <w:spacing w:after="120"/>
              <w:jc w:val="center"/>
              <w:rPr>
                <w:rFonts w:ascii="Times New Roman" w:hAnsi="Times New Roman" w:cs="Times New Roman"/>
                <w:i/>
                <w:sz w:val="18"/>
                <w:szCs w:val="18"/>
              </w:rPr>
            </w:pPr>
            <w:r>
              <w:rPr>
                <w:rFonts w:ascii="Times New Roman" w:hAnsi="Times New Roman" w:cs="Times New Roman"/>
                <w:i/>
                <w:sz w:val="18"/>
                <w:szCs w:val="18"/>
              </w:rPr>
              <w:t>26</w:t>
            </w:r>
            <w:r w:rsidR="006A0D48" w:rsidRPr="00BC7BB5">
              <w:rPr>
                <w:rFonts w:ascii="Times New Roman" w:hAnsi="Times New Roman" w:cs="Times New Roman"/>
                <w:i/>
                <w:sz w:val="18"/>
                <w:szCs w:val="18"/>
              </w:rPr>
              <w:t>.0</w:t>
            </w:r>
          </w:p>
        </w:tc>
        <w:tc>
          <w:tcPr>
            <w:tcW w:w="491" w:type="pct"/>
            <w:shd w:val="clear" w:color="auto" w:fill="auto"/>
            <w:vAlign w:val="center"/>
          </w:tcPr>
          <w:p w14:paraId="7F94A302" w14:textId="123521DE" w:rsidR="006A0D48" w:rsidRPr="00BC7BB5" w:rsidRDefault="008E36A2" w:rsidP="008E36A2">
            <w:pPr>
              <w:spacing w:after="120"/>
              <w:jc w:val="center"/>
              <w:rPr>
                <w:rFonts w:ascii="Times New Roman" w:hAnsi="Times New Roman" w:cs="Times New Roman"/>
                <w:i/>
                <w:sz w:val="18"/>
                <w:szCs w:val="18"/>
              </w:rPr>
            </w:pPr>
            <w:r>
              <w:rPr>
                <w:rFonts w:ascii="Times New Roman" w:hAnsi="Times New Roman" w:cs="Times New Roman"/>
                <w:i/>
                <w:sz w:val="18"/>
                <w:szCs w:val="18"/>
              </w:rPr>
              <w:t>9</w:t>
            </w:r>
            <w:r w:rsidR="006A0D48" w:rsidRPr="00BC7BB5">
              <w:rPr>
                <w:rFonts w:ascii="Times New Roman" w:hAnsi="Times New Roman" w:cs="Times New Roman"/>
                <w:i/>
                <w:sz w:val="18"/>
                <w:szCs w:val="18"/>
              </w:rPr>
              <w:t>.0</w:t>
            </w:r>
          </w:p>
        </w:tc>
        <w:tc>
          <w:tcPr>
            <w:tcW w:w="500" w:type="pct"/>
            <w:shd w:val="clear" w:color="auto" w:fill="auto"/>
            <w:vAlign w:val="center"/>
          </w:tcPr>
          <w:p w14:paraId="043E80A3" w14:textId="77777777" w:rsidR="006A0D48" w:rsidRPr="00BC7BB5" w:rsidRDefault="006A0D48" w:rsidP="00CB471A">
            <w:pPr>
              <w:spacing w:after="120"/>
              <w:jc w:val="center"/>
              <w:rPr>
                <w:rFonts w:ascii="Times New Roman" w:hAnsi="Times New Roman" w:cs="Times New Roman"/>
                <w:i/>
                <w:sz w:val="18"/>
                <w:szCs w:val="18"/>
              </w:rPr>
            </w:pPr>
            <w:r w:rsidRPr="00BC7BB5">
              <w:rPr>
                <w:rFonts w:ascii="Times New Roman" w:hAnsi="Times New Roman" w:cs="Times New Roman"/>
                <w:i/>
                <w:sz w:val="18"/>
                <w:szCs w:val="18"/>
              </w:rPr>
              <w:t>8.0</w:t>
            </w:r>
          </w:p>
        </w:tc>
      </w:tr>
      <w:tr w:rsidR="006A0D48" w:rsidRPr="00BC7BB5" w14:paraId="4327259B" w14:textId="77777777" w:rsidTr="00CB471A">
        <w:trPr>
          <w:trHeight w:val="620"/>
          <w:jc w:val="center"/>
        </w:trPr>
        <w:tc>
          <w:tcPr>
            <w:tcW w:w="1041" w:type="pct"/>
            <w:shd w:val="clear" w:color="auto" w:fill="auto"/>
            <w:vAlign w:val="center"/>
          </w:tcPr>
          <w:p w14:paraId="72CB856B" w14:textId="67C55B9C" w:rsidR="006A0D48" w:rsidRPr="00BC7BB5" w:rsidRDefault="006A0D48" w:rsidP="00CB471A">
            <w:pPr>
              <w:pStyle w:val="ListParagraph"/>
              <w:ind w:left="0"/>
              <w:rPr>
                <w:rFonts w:ascii="Times New Roman" w:hAnsi="Times New Roman" w:cs="Times New Roman"/>
                <w:sz w:val="18"/>
                <w:szCs w:val="18"/>
              </w:rPr>
            </w:pPr>
            <w:r w:rsidRPr="00BC7BB5">
              <w:rPr>
                <w:rFonts w:ascii="Times New Roman" w:hAnsi="Times New Roman" w:cs="Times New Roman"/>
                <w:b/>
                <w:sz w:val="18"/>
                <w:szCs w:val="18"/>
              </w:rPr>
              <w:t xml:space="preserve">DLI 4: </w:t>
            </w:r>
            <w:r w:rsidRPr="00BC7BB5">
              <w:rPr>
                <w:rFonts w:ascii="Times New Roman" w:hAnsi="Times New Roman" w:cs="Times New Roman"/>
                <w:sz w:val="18"/>
                <w:szCs w:val="18"/>
              </w:rPr>
              <w:t>At least one wholesale market operating and applying the new management model</w:t>
            </w:r>
            <w:r w:rsidR="008E36A2">
              <w:rPr>
                <w:rFonts w:ascii="Times New Roman" w:hAnsi="Times New Roman" w:cs="Times New Roman"/>
                <w:sz w:val="18"/>
                <w:szCs w:val="18"/>
              </w:rPr>
              <w:t xml:space="preserve"> as defined in the POM</w:t>
            </w:r>
            <w:r w:rsidRPr="00BC7BB5">
              <w:rPr>
                <w:rFonts w:ascii="Times New Roman" w:hAnsi="Times New Roman" w:cs="Times New Roman"/>
                <w:sz w:val="18"/>
                <w:szCs w:val="18"/>
              </w:rPr>
              <w:t xml:space="preserve">: </w:t>
            </w:r>
          </w:p>
          <w:p w14:paraId="62DFD1C9" w14:textId="147A480C" w:rsidR="006A0D48" w:rsidRPr="00BC7BB5" w:rsidRDefault="00FA7BA9" w:rsidP="00CB471A">
            <w:pPr>
              <w:pStyle w:val="ListParagraph"/>
              <w:ind w:left="0"/>
              <w:rPr>
                <w:rFonts w:ascii="Times New Roman" w:hAnsi="Times New Roman" w:cs="Times New Roman"/>
                <w:sz w:val="18"/>
                <w:szCs w:val="18"/>
              </w:rPr>
            </w:pPr>
            <w:r>
              <w:rPr>
                <w:rFonts w:ascii="Times New Roman" w:hAnsi="Times New Roman" w:cs="Times New Roman"/>
                <w:sz w:val="18"/>
                <w:szCs w:val="18"/>
              </w:rPr>
              <w:lastRenderedPageBreak/>
              <w:t>4.1</w:t>
            </w:r>
            <w:r w:rsidR="006A0D48" w:rsidRPr="00BC7BB5">
              <w:rPr>
                <w:rFonts w:ascii="Times New Roman" w:hAnsi="Times New Roman" w:cs="Times New Roman"/>
                <w:sz w:val="18"/>
                <w:szCs w:val="18"/>
              </w:rPr>
              <w:t xml:space="preserve"> SDL</w:t>
            </w:r>
            <w:r w:rsidR="008E36A2">
              <w:rPr>
                <w:rFonts w:ascii="Times New Roman" w:hAnsi="Times New Roman" w:cs="Times New Roman"/>
                <w:sz w:val="18"/>
                <w:szCs w:val="18"/>
              </w:rPr>
              <w:t>/SDR</w:t>
            </w:r>
            <w:r w:rsidR="006A0D48" w:rsidRPr="00BC7BB5">
              <w:rPr>
                <w:rFonts w:ascii="Times New Roman" w:hAnsi="Times New Roman" w:cs="Times New Roman"/>
                <w:sz w:val="18"/>
                <w:szCs w:val="18"/>
              </w:rPr>
              <w:t xml:space="preserve"> established</w:t>
            </w:r>
            <w:r w:rsidR="008E36A2">
              <w:rPr>
                <w:rFonts w:ascii="Times New Roman" w:hAnsi="Times New Roman" w:cs="Times New Roman"/>
                <w:sz w:val="18"/>
                <w:szCs w:val="18"/>
              </w:rPr>
              <w:t xml:space="preserve"> and registered</w:t>
            </w:r>
          </w:p>
          <w:p w14:paraId="3F7FEB7B" w14:textId="1DF4E3A1" w:rsidR="006A0D48" w:rsidRPr="00BC7BB5" w:rsidRDefault="00FA7BA9" w:rsidP="00CB471A">
            <w:pPr>
              <w:pStyle w:val="ListParagraph"/>
              <w:ind w:left="0"/>
              <w:rPr>
                <w:rFonts w:ascii="Times New Roman" w:hAnsi="Times New Roman" w:cs="Times New Roman"/>
                <w:sz w:val="18"/>
                <w:szCs w:val="18"/>
              </w:rPr>
            </w:pPr>
            <w:r>
              <w:rPr>
                <w:rFonts w:ascii="Times New Roman" w:hAnsi="Times New Roman" w:cs="Times New Roman"/>
                <w:sz w:val="18"/>
                <w:szCs w:val="18"/>
              </w:rPr>
              <w:t>4.2</w:t>
            </w:r>
            <w:r w:rsidR="006A0D48" w:rsidRPr="00BC7BB5">
              <w:rPr>
                <w:rFonts w:ascii="Times New Roman" w:hAnsi="Times New Roman" w:cs="Times New Roman"/>
                <w:sz w:val="18"/>
                <w:szCs w:val="18"/>
              </w:rPr>
              <w:t xml:space="preserve"> </w:t>
            </w:r>
            <w:r w:rsidR="008E36A2">
              <w:rPr>
                <w:rFonts w:ascii="Times New Roman" w:hAnsi="Times New Roman" w:cs="Times New Roman"/>
                <w:sz w:val="18"/>
                <w:szCs w:val="18"/>
              </w:rPr>
              <w:t>Wholesale market constructed and fully equipped</w:t>
            </w:r>
            <w:r w:rsidR="006A0D48" w:rsidRPr="00BC7BB5">
              <w:rPr>
                <w:rFonts w:ascii="Times New Roman" w:hAnsi="Times New Roman" w:cs="Times New Roman"/>
                <w:sz w:val="18"/>
                <w:szCs w:val="18"/>
              </w:rPr>
              <w:t xml:space="preserve">  </w:t>
            </w:r>
          </w:p>
          <w:p w14:paraId="297990E5" w14:textId="44F0A54C" w:rsidR="006A0D48" w:rsidRPr="00BC7BB5" w:rsidRDefault="00FA7BA9" w:rsidP="00CB471A">
            <w:pPr>
              <w:pStyle w:val="ListParagraph"/>
              <w:spacing w:after="120"/>
              <w:ind w:left="0"/>
              <w:rPr>
                <w:rFonts w:ascii="Times New Roman" w:hAnsi="Times New Roman" w:cs="Times New Roman"/>
                <w:sz w:val="18"/>
                <w:szCs w:val="18"/>
              </w:rPr>
            </w:pPr>
            <w:r>
              <w:rPr>
                <w:rFonts w:ascii="Times New Roman" w:hAnsi="Times New Roman" w:cs="Times New Roman"/>
                <w:sz w:val="18"/>
                <w:szCs w:val="18"/>
              </w:rPr>
              <w:t>4.3</w:t>
            </w:r>
            <w:r w:rsidR="008E36A2">
              <w:rPr>
                <w:rFonts w:ascii="Times New Roman" w:hAnsi="Times New Roman" w:cs="Times New Roman"/>
                <w:sz w:val="18"/>
                <w:szCs w:val="18"/>
              </w:rPr>
              <w:t xml:space="preserve"> </w:t>
            </w:r>
            <w:r w:rsidR="009D3B21">
              <w:rPr>
                <w:rFonts w:ascii="Times New Roman" w:hAnsi="Times New Roman" w:cs="Times New Roman"/>
                <w:sz w:val="18"/>
                <w:szCs w:val="18"/>
              </w:rPr>
              <w:t>New wholes</w:t>
            </w:r>
            <w:r w:rsidR="009D3B21" w:rsidRPr="00BC7BB5">
              <w:rPr>
                <w:rFonts w:ascii="Times New Roman" w:hAnsi="Times New Roman" w:cs="Times New Roman"/>
                <w:sz w:val="18"/>
                <w:szCs w:val="18"/>
              </w:rPr>
              <w:t>a</w:t>
            </w:r>
            <w:r w:rsidR="009D3B21">
              <w:rPr>
                <w:rFonts w:ascii="Times New Roman" w:hAnsi="Times New Roman" w:cs="Times New Roman"/>
                <w:sz w:val="18"/>
                <w:szCs w:val="18"/>
              </w:rPr>
              <w:t xml:space="preserve">le </w:t>
            </w:r>
            <w:r w:rsidR="008E36A2">
              <w:rPr>
                <w:rFonts w:ascii="Times New Roman" w:hAnsi="Times New Roman" w:cs="Times New Roman"/>
                <w:sz w:val="18"/>
                <w:szCs w:val="18"/>
              </w:rPr>
              <w:t>ma</w:t>
            </w:r>
            <w:r w:rsidR="006A0D48" w:rsidRPr="00BC7BB5">
              <w:rPr>
                <w:rFonts w:ascii="Times New Roman" w:hAnsi="Times New Roman" w:cs="Times New Roman"/>
                <w:sz w:val="18"/>
                <w:szCs w:val="18"/>
              </w:rPr>
              <w:t xml:space="preserve">rket </w:t>
            </w:r>
            <w:r w:rsidR="008E36A2">
              <w:rPr>
                <w:rFonts w:ascii="Times New Roman" w:hAnsi="Times New Roman" w:cs="Times New Roman"/>
                <w:sz w:val="18"/>
                <w:szCs w:val="18"/>
              </w:rPr>
              <w:t>is fully operational as</w:t>
            </w:r>
            <w:r w:rsidR="00CD040A">
              <w:rPr>
                <w:rFonts w:ascii="Times New Roman" w:hAnsi="Times New Roman" w:cs="Times New Roman"/>
                <w:sz w:val="18"/>
                <w:szCs w:val="18"/>
              </w:rPr>
              <w:t xml:space="preserve"> described in the </w:t>
            </w:r>
            <w:r w:rsidR="009D3B21">
              <w:rPr>
                <w:rFonts w:ascii="Times New Roman" w:hAnsi="Times New Roman" w:cs="Times New Roman"/>
                <w:sz w:val="18"/>
                <w:szCs w:val="18"/>
              </w:rPr>
              <w:t>POM</w:t>
            </w:r>
            <w:r w:rsidR="00CD040A">
              <w:rPr>
                <w:rFonts w:ascii="Times New Roman" w:hAnsi="Times New Roman" w:cs="Times New Roman"/>
                <w:sz w:val="18"/>
                <w:szCs w:val="18"/>
              </w:rPr>
              <w:t>.</w:t>
            </w:r>
          </w:p>
        </w:tc>
        <w:tc>
          <w:tcPr>
            <w:tcW w:w="434" w:type="pct"/>
            <w:shd w:val="clear" w:color="auto" w:fill="auto"/>
            <w:vAlign w:val="center"/>
          </w:tcPr>
          <w:p w14:paraId="37B87869" w14:textId="77777777" w:rsidR="006A0D48" w:rsidRPr="00BC7BB5" w:rsidRDefault="006A0D48" w:rsidP="00CB471A">
            <w:pPr>
              <w:jc w:val="center"/>
              <w:rPr>
                <w:rFonts w:ascii="Times New Roman" w:hAnsi="Times New Roman" w:cs="Times New Roman"/>
                <w:sz w:val="18"/>
                <w:szCs w:val="18"/>
              </w:rPr>
            </w:pPr>
          </w:p>
        </w:tc>
        <w:tc>
          <w:tcPr>
            <w:tcW w:w="485" w:type="pct"/>
            <w:shd w:val="clear" w:color="auto" w:fill="auto"/>
            <w:vAlign w:val="center"/>
          </w:tcPr>
          <w:p w14:paraId="3AF0181B" w14:textId="77777777" w:rsidR="006A0D48" w:rsidRPr="00BC7BB5" w:rsidRDefault="006A0D48" w:rsidP="00CB471A">
            <w:pPr>
              <w:jc w:val="center"/>
              <w:rPr>
                <w:rFonts w:ascii="Times New Roman" w:hAnsi="Times New Roman" w:cs="Times New Roman"/>
                <w:sz w:val="18"/>
                <w:szCs w:val="18"/>
              </w:rPr>
            </w:pPr>
          </w:p>
        </w:tc>
        <w:tc>
          <w:tcPr>
            <w:tcW w:w="568" w:type="pct"/>
            <w:shd w:val="clear" w:color="auto" w:fill="auto"/>
            <w:vAlign w:val="center"/>
          </w:tcPr>
          <w:p w14:paraId="27D993FC" w14:textId="77777777" w:rsidR="006A0D48" w:rsidRPr="00BC7BB5" w:rsidRDefault="006A0D48" w:rsidP="00CB471A">
            <w:pPr>
              <w:jc w:val="center"/>
              <w:rPr>
                <w:rFonts w:ascii="Times New Roman" w:hAnsi="Times New Roman" w:cs="Times New Roman"/>
                <w:i/>
                <w:sz w:val="18"/>
                <w:szCs w:val="18"/>
              </w:rPr>
            </w:pPr>
            <w:r w:rsidRPr="00BC7BB5">
              <w:rPr>
                <w:rFonts w:ascii="Times New Roman" w:hAnsi="Times New Roman" w:cs="Times New Roman"/>
                <w:i/>
                <w:sz w:val="18"/>
                <w:szCs w:val="18"/>
              </w:rPr>
              <w:t>4.1 No</w:t>
            </w:r>
          </w:p>
          <w:p w14:paraId="610EEBA8" w14:textId="77777777" w:rsidR="006A0D48" w:rsidRPr="00BC7BB5" w:rsidRDefault="006A0D48" w:rsidP="00CB471A">
            <w:pPr>
              <w:jc w:val="center"/>
              <w:rPr>
                <w:rFonts w:ascii="Times New Roman" w:hAnsi="Times New Roman" w:cs="Times New Roman"/>
                <w:i/>
                <w:sz w:val="18"/>
                <w:szCs w:val="18"/>
              </w:rPr>
            </w:pPr>
            <w:r w:rsidRPr="00BC7BB5">
              <w:rPr>
                <w:rFonts w:ascii="Times New Roman" w:hAnsi="Times New Roman" w:cs="Times New Roman"/>
                <w:i/>
                <w:sz w:val="18"/>
                <w:szCs w:val="18"/>
              </w:rPr>
              <w:t>4.2 No</w:t>
            </w:r>
          </w:p>
          <w:p w14:paraId="14738651" w14:textId="77777777" w:rsidR="006A0D48" w:rsidRPr="00BC7BB5" w:rsidRDefault="006A0D48" w:rsidP="00CB471A">
            <w:pPr>
              <w:jc w:val="center"/>
              <w:rPr>
                <w:rFonts w:ascii="Times New Roman" w:hAnsi="Times New Roman" w:cs="Times New Roman"/>
                <w:i/>
                <w:sz w:val="18"/>
                <w:szCs w:val="18"/>
              </w:rPr>
            </w:pPr>
            <w:r w:rsidRPr="00BC7BB5">
              <w:rPr>
                <w:rFonts w:ascii="Times New Roman" w:hAnsi="Times New Roman" w:cs="Times New Roman"/>
                <w:i/>
                <w:sz w:val="18"/>
                <w:szCs w:val="18"/>
              </w:rPr>
              <w:t>4.3 No</w:t>
            </w:r>
          </w:p>
          <w:p w14:paraId="2EF495B0" w14:textId="60DAEAC8" w:rsidR="006A0D48" w:rsidRPr="00BC7BB5" w:rsidRDefault="006A0D48" w:rsidP="00CB471A">
            <w:pPr>
              <w:jc w:val="center"/>
              <w:rPr>
                <w:rFonts w:ascii="Times New Roman" w:hAnsi="Times New Roman" w:cs="Times New Roman"/>
                <w:i/>
                <w:sz w:val="18"/>
                <w:szCs w:val="18"/>
              </w:rPr>
            </w:pPr>
          </w:p>
        </w:tc>
        <w:tc>
          <w:tcPr>
            <w:tcW w:w="493" w:type="pct"/>
            <w:shd w:val="clear" w:color="auto" w:fill="auto"/>
            <w:vAlign w:val="center"/>
          </w:tcPr>
          <w:p w14:paraId="781F469E" w14:textId="7B5DF0E3" w:rsidR="006A0D48" w:rsidRPr="00BC7BB5" w:rsidRDefault="006A0D48" w:rsidP="00CB471A">
            <w:pPr>
              <w:jc w:val="center"/>
              <w:rPr>
                <w:rFonts w:ascii="Times New Roman" w:hAnsi="Times New Roman" w:cs="Times New Roman"/>
                <w:i/>
                <w:sz w:val="18"/>
                <w:szCs w:val="18"/>
              </w:rPr>
            </w:pPr>
          </w:p>
        </w:tc>
        <w:tc>
          <w:tcPr>
            <w:tcW w:w="494" w:type="pct"/>
            <w:shd w:val="clear" w:color="auto" w:fill="auto"/>
            <w:vAlign w:val="center"/>
          </w:tcPr>
          <w:p w14:paraId="62E518C0" w14:textId="3638DA59" w:rsidR="006A0D48" w:rsidRPr="00BC7BB5" w:rsidRDefault="00FA7BA9" w:rsidP="00CB471A">
            <w:pPr>
              <w:jc w:val="center"/>
              <w:rPr>
                <w:rFonts w:ascii="Times New Roman" w:hAnsi="Times New Roman" w:cs="Times New Roman"/>
                <w:i/>
                <w:sz w:val="18"/>
                <w:szCs w:val="18"/>
              </w:rPr>
            </w:pPr>
            <w:r>
              <w:rPr>
                <w:rFonts w:ascii="Times New Roman" w:hAnsi="Times New Roman" w:cs="Times New Roman"/>
                <w:i/>
                <w:sz w:val="18"/>
                <w:szCs w:val="18"/>
              </w:rPr>
              <w:t xml:space="preserve">4.1 </w:t>
            </w:r>
            <w:r w:rsidR="006A0D48" w:rsidRPr="00BC7BB5">
              <w:rPr>
                <w:rFonts w:ascii="Times New Roman" w:hAnsi="Times New Roman" w:cs="Times New Roman"/>
                <w:i/>
                <w:sz w:val="18"/>
                <w:szCs w:val="18"/>
              </w:rPr>
              <w:t>Yes</w:t>
            </w:r>
          </w:p>
        </w:tc>
        <w:tc>
          <w:tcPr>
            <w:tcW w:w="494" w:type="pct"/>
            <w:shd w:val="clear" w:color="auto" w:fill="DDD9C3" w:themeFill="background2" w:themeFillShade="E6"/>
            <w:vAlign w:val="center"/>
          </w:tcPr>
          <w:p w14:paraId="09F3799C" w14:textId="77777777" w:rsidR="006A0D48" w:rsidRPr="00BC7BB5" w:rsidRDefault="006A0D48" w:rsidP="00CB471A">
            <w:pPr>
              <w:jc w:val="center"/>
              <w:rPr>
                <w:rFonts w:ascii="Times New Roman" w:hAnsi="Times New Roman" w:cs="Times New Roman"/>
                <w:i/>
                <w:sz w:val="18"/>
                <w:szCs w:val="18"/>
              </w:rPr>
            </w:pPr>
          </w:p>
        </w:tc>
        <w:tc>
          <w:tcPr>
            <w:tcW w:w="491" w:type="pct"/>
            <w:shd w:val="clear" w:color="auto" w:fill="auto"/>
            <w:vAlign w:val="center"/>
          </w:tcPr>
          <w:p w14:paraId="5C8D12D0" w14:textId="1E943426" w:rsidR="006A0D48" w:rsidRPr="00BC7BB5" w:rsidRDefault="00FA7BA9" w:rsidP="00CB471A">
            <w:pPr>
              <w:jc w:val="center"/>
              <w:rPr>
                <w:rFonts w:ascii="Times New Roman" w:hAnsi="Times New Roman" w:cs="Times New Roman"/>
                <w:i/>
                <w:sz w:val="18"/>
                <w:szCs w:val="18"/>
              </w:rPr>
            </w:pPr>
            <w:r>
              <w:rPr>
                <w:rFonts w:ascii="Times New Roman" w:hAnsi="Times New Roman" w:cs="Times New Roman"/>
                <w:i/>
                <w:sz w:val="18"/>
                <w:szCs w:val="18"/>
              </w:rPr>
              <w:t>4.2</w:t>
            </w:r>
            <w:r w:rsidR="006A0D48" w:rsidRPr="00BC7BB5">
              <w:rPr>
                <w:rFonts w:ascii="Times New Roman" w:hAnsi="Times New Roman" w:cs="Times New Roman"/>
                <w:i/>
                <w:sz w:val="18"/>
                <w:szCs w:val="18"/>
              </w:rPr>
              <w:t xml:space="preserve"> Yes </w:t>
            </w:r>
          </w:p>
        </w:tc>
        <w:tc>
          <w:tcPr>
            <w:tcW w:w="500" w:type="pct"/>
            <w:shd w:val="clear" w:color="auto" w:fill="auto"/>
            <w:vAlign w:val="center"/>
          </w:tcPr>
          <w:p w14:paraId="2B1797CC" w14:textId="071E624D" w:rsidR="006A0D48" w:rsidRPr="00BC7BB5" w:rsidRDefault="00FA7BA9" w:rsidP="00CB471A">
            <w:pPr>
              <w:jc w:val="center"/>
              <w:rPr>
                <w:rFonts w:ascii="Times New Roman" w:hAnsi="Times New Roman" w:cs="Times New Roman"/>
                <w:i/>
                <w:sz w:val="18"/>
                <w:szCs w:val="18"/>
              </w:rPr>
            </w:pPr>
            <w:r>
              <w:rPr>
                <w:rFonts w:ascii="Times New Roman" w:hAnsi="Times New Roman" w:cs="Times New Roman"/>
                <w:i/>
                <w:sz w:val="18"/>
                <w:szCs w:val="18"/>
              </w:rPr>
              <w:t>4.3</w:t>
            </w:r>
            <w:r w:rsidR="006A0D48" w:rsidRPr="00BC7BB5">
              <w:rPr>
                <w:rFonts w:ascii="Times New Roman" w:hAnsi="Times New Roman" w:cs="Times New Roman"/>
                <w:i/>
                <w:sz w:val="18"/>
                <w:szCs w:val="18"/>
              </w:rPr>
              <w:t xml:space="preserve"> Yes</w:t>
            </w:r>
          </w:p>
        </w:tc>
      </w:tr>
      <w:tr w:rsidR="006A0D48" w:rsidRPr="00BC7BB5" w14:paraId="78837BFD" w14:textId="77777777" w:rsidTr="00CB471A">
        <w:trPr>
          <w:trHeight w:val="314"/>
          <w:jc w:val="center"/>
        </w:trPr>
        <w:tc>
          <w:tcPr>
            <w:tcW w:w="1041" w:type="pct"/>
            <w:shd w:val="clear" w:color="auto" w:fill="auto"/>
            <w:vAlign w:val="center"/>
          </w:tcPr>
          <w:p w14:paraId="4FDA8380" w14:textId="77777777" w:rsidR="006A0D48" w:rsidRPr="00BC7BB5" w:rsidRDefault="006A0D48" w:rsidP="00CB471A">
            <w:pPr>
              <w:spacing w:after="120"/>
              <w:rPr>
                <w:rFonts w:ascii="Times New Roman" w:hAnsi="Times New Roman" w:cs="Times New Roman"/>
                <w:i/>
                <w:sz w:val="18"/>
                <w:szCs w:val="18"/>
              </w:rPr>
            </w:pPr>
            <w:r w:rsidRPr="00BC7BB5">
              <w:rPr>
                <w:rFonts w:ascii="Times New Roman" w:hAnsi="Times New Roman" w:cs="Times New Roman"/>
                <w:i/>
                <w:sz w:val="18"/>
                <w:szCs w:val="18"/>
              </w:rPr>
              <w:t>Allocated amount:</w:t>
            </w:r>
          </w:p>
        </w:tc>
        <w:tc>
          <w:tcPr>
            <w:tcW w:w="434" w:type="pct"/>
            <w:shd w:val="clear" w:color="auto" w:fill="auto"/>
            <w:vAlign w:val="center"/>
          </w:tcPr>
          <w:p w14:paraId="0CF39753" w14:textId="2D6C5207" w:rsidR="006A0D48" w:rsidRPr="00BC7BB5" w:rsidRDefault="008E36A2" w:rsidP="00CB471A">
            <w:pPr>
              <w:spacing w:after="120"/>
              <w:jc w:val="center"/>
              <w:rPr>
                <w:rFonts w:ascii="Times New Roman" w:hAnsi="Times New Roman" w:cs="Times New Roman"/>
                <w:i/>
                <w:sz w:val="18"/>
                <w:szCs w:val="18"/>
              </w:rPr>
            </w:pPr>
            <w:r>
              <w:rPr>
                <w:rFonts w:ascii="Times New Roman" w:hAnsi="Times New Roman" w:cs="Times New Roman"/>
                <w:i/>
                <w:sz w:val="18"/>
                <w:szCs w:val="18"/>
              </w:rPr>
              <w:t>34.5</w:t>
            </w:r>
          </w:p>
        </w:tc>
        <w:tc>
          <w:tcPr>
            <w:tcW w:w="485" w:type="pct"/>
            <w:shd w:val="clear" w:color="auto" w:fill="auto"/>
            <w:vAlign w:val="center"/>
          </w:tcPr>
          <w:p w14:paraId="78010C1D" w14:textId="53DC7BD1" w:rsidR="006A0D48" w:rsidRPr="00BC7BB5" w:rsidRDefault="006A0D48" w:rsidP="00CB471A">
            <w:pPr>
              <w:spacing w:after="120"/>
              <w:jc w:val="center"/>
              <w:rPr>
                <w:rFonts w:ascii="Times New Roman" w:hAnsi="Times New Roman" w:cs="Times New Roman"/>
                <w:i/>
                <w:sz w:val="18"/>
                <w:szCs w:val="18"/>
              </w:rPr>
            </w:pPr>
            <w:r w:rsidRPr="00BC7BB5">
              <w:rPr>
                <w:rFonts w:ascii="Times New Roman" w:hAnsi="Times New Roman" w:cs="Times New Roman"/>
                <w:i/>
                <w:sz w:val="18"/>
                <w:szCs w:val="18"/>
              </w:rPr>
              <w:t>17.</w:t>
            </w:r>
            <w:r w:rsidR="008E36A2">
              <w:rPr>
                <w:rFonts w:ascii="Times New Roman" w:hAnsi="Times New Roman" w:cs="Times New Roman"/>
                <w:i/>
                <w:sz w:val="18"/>
                <w:szCs w:val="18"/>
              </w:rPr>
              <w:t>2</w:t>
            </w:r>
            <w:r w:rsidRPr="00BC7BB5">
              <w:rPr>
                <w:rFonts w:ascii="Times New Roman" w:hAnsi="Times New Roman" w:cs="Times New Roman"/>
                <w:i/>
                <w:sz w:val="18"/>
                <w:szCs w:val="18"/>
              </w:rPr>
              <w:t>5%</w:t>
            </w:r>
          </w:p>
        </w:tc>
        <w:tc>
          <w:tcPr>
            <w:tcW w:w="568" w:type="pct"/>
            <w:shd w:val="clear" w:color="auto" w:fill="auto"/>
            <w:vAlign w:val="center"/>
          </w:tcPr>
          <w:p w14:paraId="5B3AA0E1" w14:textId="77777777" w:rsidR="006A0D48" w:rsidRPr="00BC7BB5" w:rsidRDefault="006A0D48" w:rsidP="00CB471A">
            <w:pPr>
              <w:spacing w:after="120"/>
              <w:jc w:val="center"/>
              <w:rPr>
                <w:rFonts w:ascii="Times New Roman" w:hAnsi="Times New Roman" w:cs="Times New Roman"/>
                <w:i/>
                <w:sz w:val="18"/>
                <w:szCs w:val="18"/>
              </w:rPr>
            </w:pPr>
          </w:p>
        </w:tc>
        <w:tc>
          <w:tcPr>
            <w:tcW w:w="493" w:type="pct"/>
            <w:shd w:val="clear" w:color="auto" w:fill="auto"/>
            <w:vAlign w:val="center"/>
          </w:tcPr>
          <w:p w14:paraId="733ACAC0" w14:textId="0FC277D8" w:rsidR="006A0D48" w:rsidRPr="00BC7BB5" w:rsidRDefault="006A0D48" w:rsidP="00CB471A">
            <w:pPr>
              <w:spacing w:after="120"/>
              <w:jc w:val="center"/>
              <w:rPr>
                <w:rFonts w:ascii="Times New Roman" w:hAnsi="Times New Roman" w:cs="Times New Roman"/>
                <w:i/>
                <w:sz w:val="18"/>
                <w:szCs w:val="18"/>
              </w:rPr>
            </w:pPr>
          </w:p>
        </w:tc>
        <w:tc>
          <w:tcPr>
            <w:tcW w:w="494" w:type="pct"/>
            <w:shd w:val="clear" w:color="auto" w:fill="auto"/>
            <w:vAlign w:val="center"/>
          </w:tcPr>
          <w:p w14:paraId="318120FC" w14:textId="77777777" w:rsidR="006A0D48" w:rsidRPr="00BC7BB5" w:rsidRDefault="006A0D48" w:rsidP="00CB471A">
            <w:pPr>
              <w:spacing w:after="120"/>
              <w:jc w:val="center"/>
              <w:rPr>
                <w:rFonts w:ascii="Times New Roman" w:hAnsi="Times New Roman" w:cs="Times New Roman"/>
                <w:i/>
                <w:sz w:val="18"/>
                <w:szCs w:val="18"/>
              </w:rPr>
            </w:pPr>
            <w:r w:rsidRPr="00BC7BB5">
              <w:rPr>
                <w:rFonts w:ascii="Times New Roman" w:hAnsi="Times New Roman" w:cs="Times New Roman"/>
                <w:i/>
                <w:sz w:val="18"/>
                <w:szCs w:val="18"/>
              </w:rPr>
              <w:t>10.0</w:t>
            </w:r>
          </w:p>
        </w:tc>
        <w:tc>
          <w:tcPr>
            <w:tcW w:w="494" w:type="pct"/>
            <w:shd w:val="clear" w:color="auto" w:fill="auto"/>
            <w:vAlign w:val="center"/>
          </w:tcPr>
          <w:p w14:paraId="41DB397D" w14:textId="77777777" w:rsidR="006A0D48" w:rsidRPr="00BC7BB5" w:rsidRDefault="006A0D48" w:rsidP="00CB471A">
            <w:pPr>
              <w:spacing w:after="120"/>
              <w:jc w:val="center"/>
              <w:rPr>
                <w:rFonts w:ascii="Times New Roman" w:hAnsi="Times New Roman" w:cs="Times New Roman"/>
                <w:i/>
                <w:sz w:val="18"/>
                <w:szCs w:val="18"/>
              </w:rPr>
            </w:pPr>
          </w:p>
        </w:tc>
        <w:tc>
          <w:tcPr>
            <w:tcW w:w="491" w:type="pct"/>
            <w:shd w:val="clear" w:color="auto" w:fill="auto"/>
            <w:vAlign w:val="center"/>
          </w:tcPr>
          <w:p w14:paraId="1239575D" w14:textId="5C31EE58" w:rsidR="006A0D48" w:rsidRPr="00BC7BB5" w:rsidRDefault="008E36A2" w:rsidP="00CB471A">
            <w:pPr>
              <w:spacing w:after="120"/>
              <w:jc w:val="center"/>
              <w:rPr>
                <w:rFonts w:ascii="Times New Roman" w:hAnsi="Times New Roman" w:cs="Times New Roman"/>
                <w:i/>
                <w:sz w:val="18"/>
                <w:szCs w:val="18"/>
              </w:rPr>
            </w:pPr>
            <w:r>
              <w:rPr>
                <w:rFonts w:ascii="Times New Roman" w:hAnsi="Times New Roman" w:cs="Times New Roman"/>
                <w:i/>
                <w:sz w:val="18"/>
                <w:szCs w:val="18"/>
              </w:rPr>
              <w:t>12.5</w:t>
            </w:r>
          </w:p>
        </w:tc>
        <w:tc>
          <w:tcPr>
            <w:tcW w:w="500" w:type="pct"/>
            <w:shd w:val="clear" w:color="auto" w:fill="auto"/>
            <w:vAlign w:val="center"/>
          </w:tcPr>
          <w:p w14:paraId="3CD9544A" w14:textId="35987700" w:rsidR="006A0D48" w:rsidRPr="00BC7BB5" w:rsidRDefault="008E36A2" w:rsidP="00CB471A">
            <w:pPr>
              <w:spacing w:after="120"/>
              <w:jc w:val="center"/>
              <w:rPr>
                <w:rFonts w:ascii="Times New Roman" w:hAnsi="Times New Roman" w:cs="Times New Roman"/>
                <w:i/>
                <w:sz w:val="18"/>
                <w:szCs w:val="18"/>
              </w:rPr>
            </w:pPr>
            <w:r>
              <w:rPr>
                <w:rFonts w:ascii="Times New Roman" w:hAnsi="Times New Roman" w:cs="Times New Roman"/>
                <w:i/>
                <w:sz w:val="18"/>
                <w:szCs w:val="18"/>
              </w:rPr>
              <w:t>12</w:t>
            </w:r>
            <w:r w:rsidR="00FA7BA9">
              <w:rPr>
                <w:rFonts w:ascii="Times New Roman" w:hAnsi="Times New Roman" w:cs="Times New Roman"/>
                <w:i/>
                <w:sz w:val="18"/>
                <w:szCs w:val="18"/>
              </w:rPr>
              <w:t>.0</w:t>
            </w:r>
          </w:p>
        </w:tc>
      </w:tr>
      <w:tr w:rsidR="006A0D48" w:rsidRPr="00BC7BB5" w14:paraId="296EDFB2" w14:textId="77777777" w:rsidTr="00CB471A">
        <w:trPr>
          <w:trHeight w:val="620"/>
          <w:jc w:val="center"/>
        </w:trPr>
        <w:tc>
          <w:tcPr>
            <w:tcW w:w="1041" w:type="pct"/>
            <w:shd w:val="clear" w:color="auto" w:fill="auto"/>
            <w:vAlign w:val="center"/>
          </w:tcPr>
          <w:p w14:paraId="67388255" w14:textId="1774B543" w:rsidR="006A0D48" w:rsidRPr="00BC7BB5" w:rsidRDefault="006A0D48" w:rsidP="00CB471A">
            <w:pPr>
              <w:pStyle w:val="ListParagraph"/>
              <w:spacing w:after="120"/>
              <w:ind w:left="0"/>
              <w:rPr>
                <w:rFonts w:ascii="Times New Roman" w:hAnsi="Times New Roman" w:cs="Times New Roman"/>
                <w:sz w:val="18"/>
                <w:szCs w:val="18"/>
              </w:rPr>
            </w:pPr>
            <w:r w:rsidRPr="00BC7BB5">
              <w:rPr>
                <w:rFonts w:ascii="Times New Roman" w:hAnsi="Times New Roman" w:cs="Times New Roman"/>
                <w:b/>
                <w:sz w:val="18"/>
                <w:szCs w:val="18"/>
              </w:rPr>
              <w:t xml:space="preserve">DLI 5: </w:t>
            </w:r>
            <w:r w:rsidR="00B656F6">
              <w:rPr>
                <w:rFonts w:ascii="Times New Roman" w:hAnsi="Times New Roman" w:cs="Times New Roman"/>
                <w:sz w:val="18"/>
                <w:szCs w:val="18"/>
              </w:rPr>
              <w:t>Number of s</w:t>
            </w:r>
            <w:r w:rsidRPr="00BC7BB5">
              <w:rPr>
                <w:rFonts w:ascii="Times New Roman" w:hAnsi="Times New Roman" w:cs="Times New Roman"/>
                <w:sz w:val="18"/>
                <w:szCs w:val="18"/>
              </w:rPr>
              <w:t>mall- and</w:t>
            </w:r>
            <w:r w:rsidR="008E36A2">
              <w:rPr>
                <w:rFonts w:ascii="Times New Roman" w:hAnsi="Times New Roman" w:cs="Times New Roman"/>
                <w:sz w:val="18"/>
                <w:szCs w:val="18"/>
              </w:rPr>
              <w:t>/or</w:t>
            </w:r>
            <w:r w:rsidRPr="00BC7BB5">
              <w:rPr>
                <w:rFonts w:ascii="Times New Roman" w:hAnsi="Times New Roman" w:cs="Times New Roman"/>
                <w:sz w:val="18"/>
                <w:szCs w:val="18"/>
              </w:rPr>
              <w:t xml:space="preserve"> medium-size </w:t>
            </w:r>
            <w:r w:rsidR="009D3B21">
              <w:rPr>
                <w:rFonts w:ascii="Times New Roman" w:hAnsi="Times New Roman" w:cs="Times New Roman"/>
                <w:sz w:val="18"/>
                <w:szCs w:val="18"/>
              </w:rPr>
              <w:t xml:space="preserve">agri-food </w:t>
            </w:r>
            <w:r w:rsidRPr="00BC7BB5">
              <w:rPr>
                <w:rFonts w:ascii="Times New Roman" w:hAnsi="Times New Roman" w:cs="Times New Roman"/>
                <w:sz w:val="18"/>
                <w:szCs w:val="18"/>
              </w:rPr>
              <w:t xml:space="preserve">enterprises authorized by ONSSA </w:t>
            </w:r>
          </w:p>
        </w:tc>
        <w:tc>
          <w:tcPr>
            <w:tcW w:w="434" w:type="pct"/>
            <w:shd w:val="clear" w:color="auto" w:fill="auto"/>
            <w:vAlign w:val="center"/>
          </w:tcPr>
          <w:p w14:paraId="7DECE698" w14:textId="77777777" w:rsidR="006A0D48" w:rsidRPr="00BC7BB5" w:rsidRDefault="006A0D48" w:rsidP="00CB471A">
            <w:pPr>
              <w:spacing w:after="120"/>
              <w:jc w:val="center"/>
              <w:rPr>
                <w:rFonts w:ascii="Times New Roman" w:hAnsi="Times New Roman" w:cs="Times New Roman"/>
                <w:sz w:val="18"/>
                <w:szCs w:val="18"/>
              </w:rPr>
            </w:pPr>
          </w:p>
        </w:tc>
        <w:tc>
          <w:tcPr>
            <w:tcW w:w="485" w:type="pct"/>
            <w:shd w:val="clear" w:color="auto" w:fill="auto"/>
            <w:vAlign w:val="center"/>
          </w:tcPr>
          <w:p w14:paraId="04574EC2" w14:textId="77777777" w:rsidR="006A0D48" w:rsidRPr="00BC7BB5" w:rsidRDefault="006A0D48" w:rsidP="00CB471A">
            <w:pPr>
              <w:spacing w:after="120"/>
              <w:jc w:val="center"/>
              <w:rPr>
                <w:rFonts w:ascii="Times New Roman" w:hAnsi="Times New Roman" w:cs="Times New Roman"/>
                <w:sz w:val="18"/>
                <w:szCs w:val="18"/>
              </w:rPr>
            </w:pPr>
          </w:p>
        </w:tc>
        <w:tc>
          <w:tcPr>
            <w:tcW w:w="568" w:type="pct"/>
            <w:shd w:val="clear" w:color="auto" w:fill="auto"/>
            <w:vAlign w:val="center"/>
          </w:tcPr>
          <w:p w14:paraId="24750D91" w14:textId="7656D602" w:rsidR="006A0D48" w:rsidRPr="00BC7BB5" w:rsidRDefault="00B44F6E" w:rsidP="00CB471A">
            <w:pPr>
              <w:spacing w:after="120"/>
              <w:rPr>
                <w:rFonts w:ascii="Times New Roman" w:hAnsi="Times New Roman" w:cs="Times New Roman"/>
                <w:i/>
                <w:sz w:val="18"/>
                <w:szCs w:val="18"/>
              </w:rPr>
            </w:pPr>
            <w:r>
              <w:rPr>
                <w:rFonts w:ascii="Times New Roman" w:hAnsi="Times New Roman" w:cs="Times New Roman"/>
                <w:i/>
                <w:sz w:val="18"/>
                <w:szCs w:val="18"/>
              </w:rPr>
              <w:t>5,0</w:t>
            </w:r>
            <w:r w:rsidR="006A0D48" w:rsidRPr="00BC7BB5">
              <w:rPr>
                <w:rFonts w:ascii="Times New Roman" w:hAnsi="Times New Roman" w:cs="Times New Roman"/>
                <w:i/>
                <w:sz w:val="18"/>
                <w:szCs w:val="18"/>
              </w:rPr>
              <w:t xml:space="preserve">00 </w:t>
            </w:r>
            <w:r w:rsidR="009D3B21">
              <w:rPr>
                <w:rFonts w:ascii="Times New Roman" w:hAnsi="Times New Roman" w:cs="Times New Roman"/>
                <w:i/>
                <w:sz w:val="18"/>
                <w:szCs w:val="18"/>
              </w:rPr>
              <w:t>(2016)</w:t>
            </w:r>
          </w:p>
        </w:tc>
        <w:tc>
          <w:tcPr>
            <w:tcW w:w="493" w:type="pct"/>
            <w:shd w:val="clear" w:color="auto" w:fill="auto"/>
            <w:vAlign w:val="center"/>
          </w:tcPr>
          <w:p w14:paraId="39964A25" w14:textId="3D1FA5A9" w:rsidR="006A0D48" w:rsidRPr="00BC7BB5" w:rsidRDefault="00B44F6E" w:rsidP="00CB471A">
            <w:pPr>
              <w:spacing w:after="120"/>
              <w:jc w:val="center"/>
              <w:rPr>
                <w:rFonts w:ascii="Times New Roman" w:hAnsi="Times New Roman" w:cs="Times New Roman"/>
                <w:i/>
                <w:sz w:val="18"/>
                <w:szCs w:val="18"/>
              </w:rPr>
            </w:pPr>
            <w:r>
              <w:rPr>
                <w:rFonts w:ascii="Times New Roman" w:hAnsi="Times New Roman" w:cs="Times New Roman"/>
                <w:i/>
                <w:sz w:val="18"/>
                <w:szCs w:val="18"/>
              </w:rPr>
              <w:t>5,2</w:t>
            </w:r>
            <w:r w:rsidR="006A0D48" w:rsidRPr="00BC7BB5">
              <w:rPr>
                <w:rFonts w:ascii="Times New Roman" w:hAnsi="Times New Roman" w:cs="Times New Roman"/>
                <w:i/>
                <w:sz w:val="18"/>
                <w:szCs w:val="18"/>
              </w:rPr>
              <w:t>00</w:t>
            </w:r>
          </w:p>
        </w:tc>
        <w:tc>
          <w:tcPr>
            <w:tcW w:w="494" w:type="pct"/>
            <w:shd w:val="clear" w:color="auto" w:fill="auto"/>
            <w:vAlign w:val="center"/>
          </w:tcPr>
          <w:p w14:paraId="55A73872" w14:textId="6054F7CE" w:rsidR="006A0D48" w:rsidRPr="00BC7BB5" w:rsidRDefault="00B44F6E" w:rsidP="00CB471A">
            <w:pPr>
              <w:spacing w:after="120"/>
              <w:jc w:val="center"/>
              <w:rPr>
                <w:rFonts w:ascii="Times New Roman" w:hAnsi="Times New Roman" w:cs="Times New Roman"/>
                <w:i/>
                <w:sz w:val="18"/>
                <w:szCs w:val="18"/>
              </w:rPr>
            </w:pPr>
            <w:r>
              <w:rPr>
                <w:rFonts w:ascii="Times New Roman" w:hAnsi="Times New Roman" w:cs="Times New Roman"/>
                <w:i/>
                <w:sz w:val="18"/>
                <w:szCs w:val="18"/>
              </w:rPr>
              <w:t>5,4</w:t>
            </w:r>
            <w:r w:rsidR="006A0D48" w:rsidRPr="00BC7BB5">
              <w:rPr>
                <w:rFonts w:ascii="Times New Roman" w:hAnsi="Times New Roman" w:cs="Times New Roman"/>
                <w:i/>
                <w:sz w:val="18"/>
                <w:szCs w:val="18"/>
              </w:rPr>
              <w:t>00</w:t>
            </w:r>
          </w:p>
        </w:tc>
        <w:tc>
          <w:tcPr>
            <w:tcW w:w="494" w:type="pct"/>
            <w:shd w:val="clear" w:color="auto" w:fill="auto"/>
            <w:vAlign w:val="center"/>
          </w:tcPr>
          <w:p w14:paraId="0B2D4070" w14:textId="5004A5B8" w:rsidR="006A0D48" w:rsidRPr="00BC7BB5" w:rsidRDefault="00B44F6E" w:rsidP="00CB471A">
            <w:pPr>
              <w:spacing w:after="120"/>
              <w:jc w:val="center"/>
              <w:rPr>
                <w:rFonts w:ascii="Times New Roman" w:hAnsi="Times New Roman" w:cs="Times New Roman"/>
                <w:i/>
                <w:sz w:val="18"/>
                <w:szCs w:val="18"/>
              </w:rPr>
            </w:pPr>
            <w:r>
              <w:rPr>
                <w:rFonts w:ascii="Times New Roman" w:hAnsi="Times New Roman" w:cs="Times New Roman"/>
                <w:i/>
                <w:sz w:val="18"/>
                <w:szCs w:val="18"/>
              </w:rPr>
              <w:t>5,7</w:t>
            </w:r>
            <w:r w:rsidR="006A0D48" w:rsidRPr="00BC7BB5">
              <w:rPr>
                <w:rFonts w:ascii="Times New Roman" w:hAnsi="Times New Roman" w:cs="Times New Roman"/>
                <w:i/>
                <w:sz w:val="18"/>
                <w:szCs w:val="18"/>
              </w:rPr>
              <w:t xml:space="preserve">00  </w:t>
            </w:r>
          </w:p>
        </w:tc>
        <w:tc>
          <w:tcPr>
            <w:tcW w:w="491" w:type="pct"/>
            <w:shd w:val="clear" w:color="auto" w:fill="auto"/>
            <w:vAlign w:val="center"/>
          </w:tcPr>
          <w:p w14:paraId="620DC60D" w14:textId="19D0D0C5" w:rsidR="006A0D48" w:rsidRPr="00BC7BB5" w:rsidRDefault="00B44F6E" w:rsidP="00CB471A">
            <w:pPr>
              <w:spacing w:after="120"/>
              <w:jc w:val="center"/>
              <w:rPr>
                <w:rFonts w:ascii="Times New Roman" w:hAnsi="Times New Roman" w:cs="Times New Roman"/>
                <w:i/>
                <w:sz w:val="18"/>
                <w:szCs w:val="18"/>
              </w:rPr>
            </w:pPr>
            <w:r>
              <w:rPr>
                <w:rFonts w:ascii="Times New Roman" w:hAnsi="Times New Roman" w:cs="Times New Roman"/>
                <w:i/>
                <w:sz w:val="18"/>
                <w:szCs w:val="18"/>
              </w:rPr>
              <w:t>5,9</w:t>
            </w:r>
            <w:r w:rsidR="006A0D48" w:rsidRPr="00BC7BB5">
              <w:rPr>
                <w:rFonts w:ascii="Times New Roman" w:hAnsi="Times New Roman" w:cs="Times New Roman"/>
                <w:i/>
                <w:sz w:val="18"/>
                <w:szCs w:val="18"/>
              </w:rPr>
              <w:t>00</w:t>
            </w:r>
          </w:p>
        </w:tc>
        <w:tc>
          <w:tcPr>
            <w:tcW w:w="500" w:type="pct"/>
            <w:shd w:val="clear" w:color="auto" w:fill="auto"/>
            <w:vAlign w:val="center"/>
          </w:tcPr>
          <w:p w14:paraId="4573D7DC" w14:textId="77777777" w:rsidR="006A0D48" w:rsidRPr="00BC7BB5" w:rsidRDefault="006A0D48" w:rsidP="00CB471A">
            <w:pPr>
              <w:spacing w:after="120"/>
              <w:jc w:val="center"/>
              <w:rPr>
                <w:rFonts w:ascii="Times New Roman" w:hAnsi="Times New Roman" w:cs="Times New Roman"/>
                <w:i/>
                <w:sz w:val="18"/>
                <w:szCs w:val="18"/>
              </w:rPr>
            </w:pPr>
          </w:p>
          <w:p w14:paraId="082CE56C" w14:textId="0EA13ECB" w:rsidR="006A0D48" w:rsidRPr="00BC7BB5" w:rsidRDefault="00B44F6E" w:rsidP="00CB471A">
            <w:pPr>
              <w:spacing w:after="120"/>
              <w:jc w:val="center"/>
              <w:rPr>
                <w:rFonts w:ascii="Times New Roman" w:hAnsi="Times New Roman" w:cs="Times New Roman"/>
                <w:i/>
                <w:sz w:val="18"/>
                <w:szCs w:val="18"/>
              </w:rPr>
            </w:pPr>
            <w:r>
              <w:rPr>
                <w:rFonts w:ascii="Times New Roman" w:hAnsi="Times New Roman" w:cs="Times New Roman"/>
                <w:i/>
                <w:sz w:val="18"/>
                <w:szCs w:val="18"/>
              </w:rPr>
              <w:t>6,0</w:t>
            </w:r>
            <w:r w:rsidR="006A0D48" w:rsidRPr="00BC7BB5">
              <w:rPr>
                <w:rFonts w:ascii="Times New Roman" w:hAnsi="Times New Roman" w:cs="Times New Roman"/>
                <w:i/>
                <w:sz w:val="18"/>
                <w:szCs w:val="18"/>
              </w:rPr>
              <w:t xml:space="preserve">00 </w:t>
            </w:r>
          </w:p>
          <w:p w14:paraId="3D6A1330" w14:textId="77777777" w:rsidR="006A0D48" w:rsidRPr="00BC7BB5" w:rsidRDefault="006A0D48" w:rsidP="00CB471A">
            <w:pPr>
              <w:spacing w:after="120"/>
              <w:jc w:val="center"/>
              <w:rPr>
                <w:rFonts w:ascii="Times New Roman" w:hAnsi="Times New Roman" w:cs="Times New Roman"/>
                <w:i/>
                <w:sz w:val="18"/>
                <w:szCs w:val="18"/>
              </w:rPr>
            </w:pPr>
          </w:p>
        </w:tc>
      </w:tr>
      <w:tr w:rsidR="006A0D48" w:rsidRPr="00BC7BB5" w14:paraId="4C87D56F" w14:textId="77777777" w:rsidTr="00CB471A">
        <w:trPr>
          <w:trHeight w:val="377"/>
          <w:jc w:val="center"/>
        </w:trPr>
        <w:tc>
          <w:tcPr>
            <w:tcW w:w="1041" w:type="pct"/>
            <w:shd w:val="clear" w:color="auto" w:fill="auto"/>
            <w:vAlign w:val="center"/>
          </w:tcPr>
          <w:p w14:paraId="1D887F8A" w14:textId="77777777" w:rsidR="006A0D48" w:rsidRPr="00BC7BB5" w:rsidRDefault="006A0D48" w:rsidP="00CB471A">
            <w:pPr>
              <w:pStyle w:val="ListParagraph"/>
              <w:spacing w:after="120"/>
              <w:ind w:left="0"/>
              <w:rPr>
                <w:rFonts w:ascii="Times New Roman" w:hAnsi="Times New Roman" w:cs="Times New Roman"/>
                <w:b/>
                <w:i/>
                <w:sz w:val="18"/>
                <w:szCs w:val="18"/>
              </w:rPr>
            </w:pPr>
            <w:r w:rsidRPr="00BC7BB5">
              <w:rPr>
                <w:rFonts w:ascii="Times New Roman" w:hAnsi="Times New Roman" w:cs="Times New Roman"/>
                <w:i/>
                <w:sz w:val="18"/>
                <w:szCs w:val="18"/>
              </w:rPr>
              <w:t>Allocated amount:</w:t>
            </w:r>
          </w:p>
        </w:tc>
        <w:tc>
          <w:tcPr>
            <w:tcW w:w="434" w:type="pct"/>
            <w:shd w:val="clear" w:color="auto" w:fill="auto"/>
            <w:vAlign w:val="center"/>
          </w:tcPr>
          <w:p w14:paraId="18919CBD" w14:textId="0582BC63" w:rsidR="006A0D48" w:rsidRPr="00BC7BB5" w:rsidRDefault="00CF10A7" w:rsidP="00CB471A">
            <w:pPr>
              <w:spacing w:after="120"/>
              <w:jc w:val="center"/>
              <w:rPr>
                <w:rFonts w:ascii="Times New Roman" w:hAnsi="Times New Roman" w:cs="Times New Roman"/>
                <w:i/>
                <w:sz w:val="18"/>
                <w:szCs w:val="18"/>
              </w:rPr>
            </w:pPr>
            <w:r>
              <w:rPr>
                <w:rFonts w:ascii="Times New Roman" w:hAnsi="Times New Roman" w:cs="Times New Roman"/>
                <w:i/>
                <w:sz w:val="18"/>
                <w:szCs w:val="18"/>
              </w:rPr>
              <w:t>30</w:t>
            </w:r>
            <w:r w:rsidR="006A0D48" w:rsidRPr="00BC7BB5">
              <w:rPr>
                <w:rFonts w:ascii="Times New Roman" w:hAnsi="Times New Roman" w:cs="Times New Roman"/>
                <w:i/>
                <w:sz w:val="18"/>
                <w:szCs w:val="18"/>
              </w:rPr>
              <w:t>.0</w:t>
            </w:r>
          </w:p>
        </w:tc>
        <w:tc>
          <w:tcPr>
            <w:tcW w:w="485" w:type="pct"/>
            <w:shd w:val="clear" w:color="auto" w:fill="auto"/>
            <w:vAlign w:val="center"/>
          </w:tcPr>
          <w:p w14:paraId="2536BCB4" w14:textId="7D274766" w:rsidR="006A0D48" w:rsidRPr="00BC7BB5" w:rsidRDefault="00CF10A7" w:rsidP="00CB471A">
            <w:pPr>
              <w:spacing w:after="120"/>
              <w:jc w:val="center"/>
              <w:rPr>
                <w:rFonts w:ascii="Times New Roman" w:hAnsi="Times New Roman" w:cs="Times New Roman"/>
                <w:i/>
                <w:sz w:val="18"/>
                <w:szCs w:val="18"/>
              </w:rPr>
            </w:pPr>
            <w:r>
              <w:rPr>
                <w:rFonts w:ascii="Times New Roman" w:hAnsi="Times New Roman" w:cs="Times New Roman"/>
                <w:i/>
                <w:sz w:val="18"/>
                <w:szCs w:val="18"/>
              </w:rPr>
              <w:t>15.0</w:t>
            </w:r>
            <w:r w:rsidR="006A0D48" w:rsidRPr="00BC7BB5">
              <w:rPr>
                <w:rFonts w:ascii="Times New Roman" w:hAnsi="Times New Roman" w:cs="Times New Roman"/>
                <w:i/>
                <w:sz w:val="18"/>
                <w:szCs w:val="18"/>
              </w:rPr>
              <w:t>%</w:t>
            </w:r>
          </w:p>
        </w:tc>
        <w:tc>
          <w:tcPr>
            <w:tcW w:w="568" w:type="pct"/>
            <w:shd w:val="clear" w:color="auto" w:fill="auto"/>
            <w:vAlign w:val="center"/>
          </w:tcPr>
          <w:p w14:paraId="3FF20827" w14:textId="77777777" w:rsidR="006A0D48" w:rsidRPr="00BC7BB5" w:rsidRDefault="006A0D48" w:rsidP="00CB471A">
            <w:pPr>
              <w:spacing w:after="120"/>
              <w:rPr>
                <w:rFonts w:ascii="Times New Roman" w:hAnsi="Times New Roman" w:cs="Times New Roman"/>
                <w:i/>
                <w:sz w:val="18"/>
                <w:szCs w:val="18"/>
              </w:rPr>
            </w:pPr>
          </w:p>
        </w:tc>
        <w:tc>
          <w:tcPr>
            <w:tcW w:w="493" w:type="pct"/>
            <w:shd w:val="clear" w:color="auto" w:fill="auto"/>
            <w:vAlign w:val="center"/>
          </w:tcPr>
          <w:p w14:paraId="432F93F0" w14:textId="3A19488C" w:rsidR="006A0D48" w:rsidRPr="00BC7BB5" w:rsidRDefault="00CF10A7" w:rsidP="00CB471A">
            <w:pPr>
              <w:spacing w:after="120"/>
              <w:jc w:val="center"/>
              <w:rPr>
                <w:rFonts w:ascii="Times New Roman" w:hAnsi="Times New Roman" w:cs="Times New Roman"/>
                <w:i/>
                <w:sz w:val="18"/>
                <w:szCs w:val="18"/>
              </w:rPr>
            </w:pPr>
            <w:r>
              <w:rPr>
                <w:rFonts w:ascii="Times New Roman" w:hAnsi="Times New Roman" w:cs="Times New Roman"/>
                <w:i/>
                <w:sz w:val="18"/>
                <w:szCs w:val="18"/>
              </w:rPr>
              <w:t>6</w:t>
            </w:r>
            <w:r w:rsidR="006A0D48" w:rsidRPr="00BC7BB5">
              <w:rPr>
                <w:rFonts w:ascii="Times New Roman" w:hAnsi="Times New Roman" w:cs="Times New Roman"/>
                <w:i/>
                <w:sz w:val="18"/>
                <w:szCs w:val="18"/>
              </w:rPr>
              <w:t>.0</w:t>
            </w:r>
          </w:p>
        </w:tc>
        <w:tc>
          <w:tcPr>
            <w:tcW w:w="494" w:type="pct"/>
            <w:shd w:val="clear" w:color="auto" w:fill="auto"/>
            <w:vAlign w:val="center"/>
          </w:tcPr>
          <w:p w14:paraId="134B3AE0" w14:textId="597A9ABA" w:rsidR="006A0D48" w:rsidRPr="00BC7BB5" w:rsidRDefault="00CF10A7" w:rsidP="00CB471A">
            <w:pPr>
              <w:spacing w:after="120"/>
              <w:jc w:val="center"/>
              <w:rPr>
                <w:rFonts w:ascii="Times New Roman" w:hAnsi="Times New Roman" w:cs="Times New Roman"/>
                <w:i/>
                <w:sz w:val="18"/>
                <w:szCs w:val="18"/>
              </w:rPr>
            </w:pPr>
            <w:r>
              <w:rPr>
                <w:rFonts w:ascii="Times New Roman" w:hAnsi="Times New Roman" w:cs="Times New Roman"/>
                <w:i/>
                <w:sz w:val="18"/>
                <w:szCs w:val="18"/>
              </w:rPr>
              <w:t>6</w:t>
            </w:r>
            <w:r w:rsidR="006A0D48" w:rsidRPr="00BC7BB5">
              <w:rPr>
                <w:rFonts w:ascii="Times New Roman" w:hAnsi="Times New Roman" w:cs="Times New Roman"/>
                <w:i/>
                <w:sz w:val="18"/>
                <w:szCs w:val="18"/>
              </w:rPr>
              <w:t>.0</w:t>
            </w:r>
          </w:p>
        </w:tc>
        <w:tc>
          <w:tcPr>
            <w:tcW w:w="494" w:type="pct"/>
            <w:shd w:val="clear" w:color="auto" w:fill="auto"/>
            <w:vAlign w:val="center"/>
          </w:tcPr>
          <w:p w14:paraId="481E714D" w14:textId="39CC4BCC" w:rsidR="006A0D48" w:rsidRPr="00BC7BB5" w:rsidRDefault="00CF10A7" w:rsidP="00CB471A">
            <w:pPr>
              <w:spacing w:after="120"/>
              <w:jc w:val="center"/>
              <w:rPr>
                <w:rFonts w:ascii="Times New Roman" w:hAnsi="Times New Roman" w:cs="Times New Roman"/>
                <w:i/>
                <w:sz w:val="18"/>
                <w:szCs w:val="18"/>
              </w:rPr>
            </w:pPr>
            <w:r>
              <w:rPr>
                <w:rFonts w:ascii="Times New Roman" w:hAnsi="Times New Roman" w:cs="Times New Roman"/>
                <w:i/>
                <w:sz w:val="18"/>
                <w:szCs w:val="18"/>
              </w:rPr>
              <w:t>6</w:t>
            </w:r>
            <w:r w:rsidR="006A0D48" w:rsidRPr="00BC7BB5">
              <w:rPr>
                <w:rFonts w:ascii="Times New Roman" w:hAnsi="Times New Roman" w:cs="Times New Roman"/>
                <w:i/>
                <w:sz w:val="18"/>
                <w:szCs w:val="18"/>
              </w:rPr>
              <w:t>.0</w:t>
            </w:r>
          </w:p>
        </w:tc>
        <w:tc>
          <w:tcPr>
            <w:tcW w:w="491" w:type="pct"/>
            <w:shd w:val="clear" w:color="auto" w:fill="auto"/>
            <w:vAlign w:val="center"/>
          </w:tcPr>
          <w:p w14:paraId="52ED6D37" w14:textId="7E0C72FD" w:rsidR="006A0D48" w:rsidRPr="00BC7BB5" w:rsidRDefault="00CF10A7" w:rsidP="00CB471A">
            <w:pPr>
              <w:spacing w:after="120"/>
              <w:jc w:val="center"/>
              <w:rPr>
                <w:rFonts w:ascii="Times New Roman" w:hAnsi="Times New Roman" w:cs="Times New Roman"/>
                <w:i/>
                <w:sz w:val="18"/>
                <w:szCs w:val="18"/>
              </w:rPr>
            </w:pPr>
            <w:r>
              <w:rPr>
                <w:rFonts w:ascii="Times New Roman" w:hAnsi="Times New Roman" w:cs="Times New Roman"/>
                <w:i/>
                <w:sz w:val="18"/>
                <w:szCs w:val="18"/>
              </w:rPr>
              <w:t>6</w:t>
            </w:r>
            <w:r w:rsidR="006A0D48" w:rsidRPr="00BC7BB5">
              <w:rPr>
                <w:rFonts w:ascii="Times New Roman" w:hAnsi="Times New Roman" w:cs="Times New Roman"/>
                <w:i/>
                <w:sz w:val="18"/>
                <w:szCs w:val="18"/>
              </w:rPr>
              <w:t>.0</w:t>
            </w:r>
          </w:p>
        </w:tc>
        <w:tc>
          <w:tcPr>
            <w:tcW w:w="500" w:type="pct"/>
            <w:shd w:val="clear" w:color="auto" w:fill="auto"/>
            <w:vAlign w:val="center"/>
          </w:tcPr>
          <w:p w14:paraId="7983B370" w14:textId="4179A2D6" w:rsidR="006A0D48" w:rsidRPr="00BC7BB5" w:rsidRDefault="00CF10A7" w:rsidP="00CB471A">
            <w:pPr>
              <w:spacing w:after="120"/>
              <w:jc w:val="center"/>
              <w:rPr>
                <w:rFonts w:ascii="Times New Roman" w:hAnsi="Times New Roman" w:cs="Times New Roman"/>
                <w:i/>
                <w:sz w:val="18"/>
                <w:szCs w:val="18"/>
              </w:rPr>
            </w:pPr>
            <w:r>
              <w:rPr>
                <w:rFonts w:ascii="Times New Roman" w:hAnsi="Times New Roman" w:cs="Times New Roman"/>
                <w:i/>
                <w:sz w:val="18"/>
                <w:szCs w:val="18"/>
              </w:rPr>
              <w:t>6</w:t>
            </w:r>
            <w:r w:rsidR="006A0D48" w:rsidRPr="00BC7BB5">
              <w:rPr>
                <w:rFonts w:ascii="Times New Roman" w:hAnsi="Times New Roman" w:cs="Times New Roman"/>
                <w:i/>
                <w:sz w:val="18"/>
                <w:szCs w:val="18"/>
              </w:rPr>
              <w:t>.0</w:t>
            </w:r>
          </w:p>
        </w:tc>
      </w:tr>
      <w:tr w:rsidR="006A0D48" w:rsidRPr="00BC7BB5" w14:paraId="245B0404" w14:textId="77777777" w:rsidTr="00233E5E">
        <w:trPr>
          <w:trHeight w:val="620"/>
          <w:jc w:val="center"/>
        </w:trPr>
        <w:tc>
          <w:tcPr>
            <w:tcW w:w="1041" w:type="pct"/>
            <w:shd w:val="clear" w:color="auto" w:fill="auto"/>
            <w:vAlign w:val="center"/>
          </w:tcPr>
          <w:p w14:paraId="3A977853" w14:textId="43F77FB4" w:rsidR="00CF10A7" w:rsidRDefault="006A0D48" w:rsidP="00CB471A">
            <w:pPr>
              <w:spacing w:after="120"/>
              <w:rPr>
                <w:rFonts w:ascii="Times New Roman" w:hAnsi="Times New Roman" w:cs="Times New Roman"/>
                <w:sz w:val="18"/>
                <w:szCs w:val="18"/>
              </w:rPr>
            </w:pPr>
            <w:r w:rsidRPr="00BC7BB5">
              <w:rPr>
                <w:rFonts w:ascii="Times New Roman" w:hAnsi="Times New Roman" w:cs="Times New Roman"/>
                <w:b/>
                <w:sz w:val="18"/>
                <w:szCs w:val="18"/>
              </w:rPr>
              <w:t>DLI 6</w:t>
            </w:r>
            <w:r w:rsidRPr="00BC7BB5">
              <w:rPr>
                <w:rFonts w:ascii="Times New Roman" w:hAnsi="Times New Roman" w:cs="Times New Roman"/>
                <w:sz w:val="18"/>
                <w:szCs w:val="18"/>
              </w:rPr>
              <w:t xml:space="preserve">: </w:t>
            </w:r>
            <w:r w:rsidR="00B656F6">
              <w:rPr>
                <w:rFonts w:ascii="Times New Roman" w:hAnsi="Times New Roman" w:cs="Times New Roman"/>
                <w:sz w:val="18"/>
                <w:szCs w:val="18"/>
              </w:rPr>
              <w:t>The Borrower’s c</w:t>
            </w:r>
            <w:r w:rsidRPr="00BC7BB5">
              <w:rPr>
                <w:rFonts w:ascii="Times New Roman" w:hAnsi="Times New Roman" w:cs="Times New Roman"/>
                <w:sz w:val="18"/>
                <w:szCs w:val="18"/>
              </w:rPr>
              <w:t xml:space="preserve">enter for </w:t>
            </w:r>
            <w:r w:rsidR="00CF10A7">
              <w:rPr>
                <w:rFonts w:ascii="Times New Roman" w:hAnsi="Times New Roman" w:cs="Times New Roman"/>
                <w:sz w:val="18"/>
                <w:szCs w:val="18"/>
              </w:rPr>
              <w:t xml:space="preserve">the production of sterile </w:t>
            </w:r>
            <w:r w:rsidR="00CF10A7" w:rsidRPr="00CF10A7">
              <w:rPr>
                <w:rFonts w:ascii="Times New Roman" w:hAnsi="Times New Roman" w:cs="Times New Roman"/>
                <w:i/>
                <w:sz w:val="18"/>
                <w:szCs w:val="18"/>
              </w:rPr>
              <w:t>ceratitis</w:t>
            </w:r>
            <w:r w:rsidR="00CF10A7">
              <w:rPr>
                <w:rFonts w:ascii="Times New Roman" w:hAnsi="Times New Roman" w:cs="Times New Roman"/>
                <w:sz w:val="18"/>
                <w:szCs w:val="18"/>
              </w:rPr>
              <w:t xml:space="preserve"> males</w:t>
            </w:r>
            <w:r w:rsidRPr="00BC7BB5">
              <w:rPr>
                <w:rFonts w:ascii="Times New Roman" w:hAnsi="Times New Roman" w:cs="Times New Roman"/>
                <w:sz w:val="18"/>
                <w:szCs w:val="18"/>
              </w:rPr>
              <w:t xml:space="preserve"> providing </w:t>
            </w:r>
            <w:r w:rsidR="00854489" w:rsidRPr="00BC7BB5">
              <w:rPr>
                <w:rFonts w:ascii="Times New Roman" w:hAnsi="Times New Roman" w:cs="Times New Roman"/>
                <w:sz w:val="18"/>
                <w:szCs w:val="18"/>
              </w:rPr>
              <w:t xml:space="preserve">farm treatment </w:t>
            </w:r>
            <w:r w:rsidRPr="00BC7BB5">
              <w:rPr>
                <w:rFonts w:ascii="Times New Roman" w:hAnsi="Times New Roman" w:cs="Times New Roman"/>
                <w:sz w:val="18"/>
                <w:szCs w:val="18"/>
              </w:rPr>
              <w:t xml:space="preserve">services to </w:t>
            </w:r>
            <w:r w:rsidR="00A56786" w:rsidRPr="00BC7BB5">
              <w:rPr>
                <w:rFonts w:ascii="Times New Roman" w:hAnsi="Times New Roman" w:cs="Times New Roman"/>
                <w:sz w:val="18"/>
                <w:szCs w:val="18"/>
              </w:rPr>
              <w:t xml:space="preserve">citrus </w:t>
            </w:r>
            <w:r w:rsidRPr="00BC7BB5">
              <w:rPr>
                <w:rFonts w:ascii="Times New Roman" w:hAnsi="Times New Roman" w:cs="Times New Roman"/>
                <w:sz w:val="18"/>
                <w:szCs w:val="18"/>
              </w:rPr>
              <w:t>producers</w:t>
            </w:r>
            <w:r w:rsidR="00CF10A7">
              <w:rPr>
                <w:rFonts w:ascii="Times New Roman" w:hAnsi="Times New Roman" w:cs="Times New Roman"/>
                <w:sz w:val="18"/>
                <w:szCs w:val="18"/>
              </w:rPr>
              <w:t>:</w:t>
            </w:r>
          </w:p>
          <w:p w14:paraId="503A1AF5" w14:textId="77777777" w:rsidR="00CF10A7" w:rsidRDefault="00CF10A7" w:rsidP="00CB471A">
            <w:pPr>
              <w:spacing w:after="120"/>
              <w:rPr>
                <w:rFonts w:ascii="Times New Roman" w:hAnsi="Times New Roman" w:cs="Times New Roman"/>
                <w:sz w:val="18"/>
                <w:szCs w:val="18"/>
              </w:rPr>
            </w:pPr>
            <w:r>
              <w:rPr>
                <w:rFonts w:ascii="Times New Roman" w:hAnsi="Times New Roman" w:cs="Times New Roman"/>
                <w:sz w:val="18"/>
                <w:szCs w:val="18"/>
              </w:rPr>
              <w:t>6.1 Agreement between the Borrower and IAEA signed for the provision of equipment and relevant training for the center</w:t>
            </w:r>
          </w:p>
          <w:p w14:paraId="1213E602" w14:textId="20D455C3" w:rsidR="00CF10A7" w:rsidRPr="00BC7BB5" w:rsidRDefault="00CF10A7" w:rsidP="00CB471A">
            <w:pPr>
              <w:spacing w:after="120"/>
              <w:rPr>
                <w:rFonts w:ascii="Times New Roman" w:hAnsi="Times New Roman" w:cs="Times New Roman"/>
                <w:sz w:val="18"/>
                <w:szCs w:val="18"/>
              </w:rPr>
            </w:pPr>
            <w:r>
              <w:rPr>
                <w:rFonts w:ascii="Times New Roman" w:hAnsi="Times New Roman" w:cs="Times New Roman"/>
                <w:sz w:val="18"/>
                <w:szCs w:val="18"/>
              </w:rPr>
              <w:t>6.2 The center has been constructed and fully equipped, and has launched its activities</w:t>
            </w:r>
          </w:p>
        </w:tc>
        <w:tc>
          <w:tcPr>
            <w:tcW w:w="434" w:type="pct"/>
            <w:shd w:val="clear" w:color="auto" w:fill="auto"/>
            <w:vAlign w:val="center"/>
          </w:tcPr>
          <w:p w14:paraId="206B96AC" w14:textId="77777777" w:rsidR="006A0D48" w:rsidRPr="00BC7BB5" w:rsidRDefault="006A0D48" w:rsidP="00CB471A">
            <w:pPr>
              <w:jc w:val="center"/>
              <w:rPr>
                <w:rFonts w:ascii="Times New Roman" w:hAnsi="Times New Roman" w:cs="Times New Roman"/>
                <w:sz w:val="16"/>
                <w:szCs w:val="16"/>
              </w:rPr>
            </w:pPr>
          </w:p>
        </w:tc>
        <w:tc>
          <w:tcPr>
            <w:tcW w:w="485" w:type="pct"/>
            <w:shd w:val="clear" w:color="auto" w:fill="auto"/>
            <w:vAlign w:val="center"/>
          </w:tcPr>
          <w:p w14:paraId="5A8003F3" w14:textId="77777777" w:rsidR="006A0D48" w:rsidRPr="00BC7BB5" w:rsidRDefault="006A0D48" w:rsidP="00CB471A">
            <w:pPr>
              <w:jc w:val="center"/>
              <w:rPr>
                <w:rFonts w:ascii="Times New Roman" w:hAnsi="Times New Roman" w:cs="Times New Roman"/>
                <w:sz w:val="16"/>
                <w:szCs w:val="16"/>
              </w:rPr>
            </w:pPr>
          </w:p>
        </w:tc>
        <w:tc>
          <w:tcPr>
            <w:tcW w:w="568" w:type="pct"/>
            <w:shd w:val="clear" w:color="auto" w:fill="auto"/>
            <w:vAlign w:val="center"/>
          </w:tcPr>
          <w:p w14:paraId="261B7E15" w14:textId="77777777" w:rsidR="006A0D48" w:rsidRDefault="00233E5E" w:rsidP="00CB471A">
            <w:pPr>
              <w:spacing w:before="240" w:after="120"/>
              <w:jc w:val="center"/>
              <w:rPr>
                <w:rFonts w:ascii="Times New Roman" w:hAnsi="Times New Roman" w:cs="Times New Roman"/>
                <w:i/>
                <w:sz w:val="18"/>
                <w:szCs w:val="18"/>
              </w:rPr>
            </w:pPr>
            <w:r>
              <w:rPr>
                <w:rFonts w:ascii="Times New Roman" w:hAnsi="Times New Roman" w:cs="Times New Roman"/>
                <w:i/>
                <w:sz w:val="18"/>
                <w:szCs w:val="18"/>
              </w:rPr>
              <w:t xml:space="preserve">6.1 </w:t>
            </w:r>
            <w:r w:rsidR="006A0D48" w:rsidRPr="00BC7BB5">
              <w:rPr>
                <w:rFonts w:ascii="Times New Roman" w:hAnsi="Times New Roman" w:cs="Times New Roman"/>
                <w:i/>
                <w:sz w:val="18"/>
                <w:szCs w:val="18"/>
              </w:rPr>
              <w:t>No</w:t>
            </w:r>
          </w:p>
          <w:p w14:paraId="7C245558" w14:textId="3F79C7CD" w:rsidR="00233E5E" w:rsidRPr="00BC7BB5" w:rsidRDefault="00233E5E" w:rsidP="00CB471A">
            <w:pPr>
              <w:spacing w:before="240" w:after="120"/>
              <w:jc w:val="center"/>
              <w:rPr>
                <w:rFonts w:ascii="Times New Roman" w:hAnsi="Times New Roman" w:cs="Times New Roman"/>
                <w:i/>
                <w:sz w:val="18"/>
                <w:szCs w:val="18"/>
              </w:rPr>
            </w:pPr>
            <w:r>
              <w:rPr>
                <w:rFonts w:ascii="Times New Roman" w:hAnsi="Times New Roman" w:cs="Times New Roman"/>
                <w:i/>
                <w:sz w:val="18"/>
                <w:szCs w:val="18"/>
              </w:rPr>
              <w:t>6.2 No</w:t>
            </w:r>
          </w:p>
        </w:tc>
        <w:tc>
          <w:tcPr>
            <w:tcW w:w="493" w:type="pct"/>
            <w:shd w:val="clear" w:color="auto" w:fill="FFFFFF" w:themeFill="background1"/>
            <w:vAlign w:val="center"/>
          </w:tcPr>
          <w:p w14:paraId="18EB0988" w14:textId="64B1BDFF" w:rsidR="006A0D48" w:rsidRPr="00BC7BB5" w:rsidRDefault="00233E5E" w:rsidP="00CB471A">
            <w:pPr>
              <w:jc w:val="center"/>
              <w:rPr>
                <w:rFonts w:ascii="Times New Roman" w:hAnsi="Times New Roman" w:cs="Times New Roman"/>
                <w:i/>
                <w:sz w:val="18"/>
                <w:szCs w:val="18"/>
              </w:rPr>
            </w:pPr>
            <w:r>
              <w:rPr>
                <w:rFonts w:ascii="Times New Roman" w:hAnsi="Times New Roman" w:cs="Times New Roman"/>
                <w:i/>
                <w:sz w:val="18"/>
                <w:szCs w:val="18"/>
              </w:rPr>
              <w:t>6.1 Yes</w:t>
            </w:r>
          </w:p>
        </w:tc>
        <w:tc>
          <w:tcPr>
            <w:tcW w:w="494" w:type="pct"/>
            <w:shd w:val="clear" w:color="auto" w:fill="DDD9C3" w:themeFill="background2" w:themeFillShade="E6"/>
            <w:vAlign w:val="center"/>
          </w:tcPr>
          <w:p w14:paraId="0BD963ED" w14:textId="77777777" w:rsidR="006A0D48" w:rsidRPr="00BC7BB5" w:rsidRDefault="006A0D48" w:rsidP="00CB471A">
            <w:pPr>
              <w:spacing w:after="120"/>
              <w:jc w:val="center"/>
              <w:rPr>
                <w:rFonts w:ascii="Times New Roman" w:hAnsi="Times New Roman" w:cs="Times New Roman"/>
                <w:i/>
                <w:sz w:val="18"/>
                <w:szCs w:val="18"/>
              </w:rPr>
            </w:pPr>
          </w:p>
          <w:p w14:paraId="2DDB3372" w14:textId="77777777" w:rsidR="006A0D48" w:rsidRPr="00BC7BB5" w:rsidRDefault="006A0D48" w:rsidP="00CB471A">
            <w:pPr>
              <w:spacing w:after="120"/>
              <w:jc w:val="center"/>
              <w:rPr>
                <w:rFonts w:ascii="Times New Roman" w:hAnsi="Times New Roman" w:cs="Times New Roman"/>
                <w:i/>
                <w:sz w:val="18"/>
                <w:szCs w:val="18"/>
              </w:rPr>
            </w:pPr>
          </w:p>
        </w:tc>
        <w:tc>
          <w:tcPr>
            <w:tcW w:w="494" w:type="pct"/>
            <w:shd w:val="clear" w:color="auto" w:fill="DDD9C3" w:themeFill="background2" w:themeFillShade="E6"/>
            <w:vAlign w:val="center"/>
          </w:tcPr>
          <w:p w14:paraId="46DC882F" w14:textId="254D17A8" w:rsidR="006A0D48" w:rsidRPr="00BC7BB5" w:rsidRDefault="006A0D48" w:rsidP="00CB471A">
            <w:pPr>
              <w:spacing w:after="120"/>
              <w:jc w:val="center"/>
              <w:rPr>
                <w:rFonts w:ascii="Times New Roman" w:hAnsi="Times New Roman" w:cs="Times New Roman"/>
                <w:i/>
                <w:sz w:val="18"/>
                <w:szCs w:val="18"/>
              </w:rPr>
            </w:pPr>
          </w:p>
        </w:tc>
        <w:tc>
          <w:tcPr>
            <w:tcW w:w="491" w:type="pct"/>
            <w:shd w:val="clear" w:color="auto" w:fill="FFFFFF" w:themeFill="background1"/>
            <w:vAlign w:val="center"/>
          </w:tcPr>
          <w:p w14:paraId="156159A7" w14:textId="1DC755B1" w:rsidR="006A0D48" w:rsidRPr="00BC7BB5" w:rsidRDefault="00233E5E" w:rsidP="00CB471A">
            <w:pPr>
              <w:jc w:val="center"/>
              <w:rPr>
                <w:rFonts w:ascii="Times New Roman" w:hAnsi="Times New Roman" w:cs="Times New Roman"/>
                <w:i/>
                <w:sz w:val="18"/>
                <w:szCs w:val="18"/>
              </w:rPr>
            </w:pPr>
            <w:r>
              <w:rPr>
                <w:rFonts w:ascii="Times New Roman" w:hAnsi="Times New Roman" w:cs="Times New Roman"/>
                <w:i/>
                <w:sz w:val="18"/>
                <w:szCs w:val="18"/>
              </w:rPr>
              <w:t xml:space="preserve">6.2 </w:t>
            </w:r>
            <w:r w:rsidR="00D624A2" w:rsidRPr="00BC7BB5">
              <w:rPr>
                <w:rFonts w:ascii="Times New Roman" w:hAnsi="Times New Roman" w:cs="Times New Roman"/>
                <w:i/>
                <w:sz w:val="18"/>
                <w:szCs w:val="18"/>
              </w:rPr>
              <w:t>Yes</w:t>
            </w:r>
          </w:p>
        </w:tc>
        <w:tc>
          <w:tcPr>
            <w:tcW w:w="500" w:type="pct"/>
            <w:shd w:val="clear" w:color="auto" w:fill="DDD9C3" w:themeFill="background2" w:themeFillShade="E6"/>
            <w:vAlign w:val="center"/>
          </w:tcPr>
          <w:p w14:paraId="52B928B2" w14:textId="77777777" w:rsidR="006A0D48" w:rsidRPr="00BC7BB5" w:rsidRDefault="006A0D48" w:rsidP="00CB471A">
            <w:pPr>
              <w:jc w:val="center"/>
              <w:rPr>
                <w:rFonts w:ascii="Times New Roman" w:hAnsi="Times New Roman" w:cs="Times New Roman"/>
                <w:i/>
                <w:sz w:val="18"/>
                <w:szCs w:val="18"/>
              </w:rPr>
            </w:pPr>
          </w:p>
        </w:tc>
      </w:tr>
      <w:tr w:rsidR="006A0D48" w:rsidRPr="00BC7BB5" w14:paraId="2585B2A0" w14:textId="77777777" w:rsidTr="00CB471A">
        <w:trPr>
          <w:trHeight w:val="350"/>
          <w:jc w:val="center"/>
        </w:trPr>
        <w:tc>
          <w:tcPr>
            <w:tcW w:w="1041" w:type="pct"/>
            <w:shd w:val="clear" w:color="auto" w:fill="auto"/>
            <w:vAlign w:val="center"/>
          </w:tcPr>
          <w:p w14:paraId="52B5CEA4" w14:textId="77777777" w:rsidR="006A0D48" w:rsidRPr="00BC7BB5" w:rsidRDefault="006A0D48" w:rsidP="00CB471A">
            <w:pPr>
              <w:spacing w:after="120"/>
              <w:rPr>
                <w:rFonts w:ascii="Times New Roman" w:hAnsi="Times New Roman" w:cs="Times New Roman"/>
                <w:i/>
                <w:sz w:val="18"/>
                <w:szCs w:val="18"/>
              </w:rPr>
            </w:pPr>
            <w:r w:rsidRPr="00BC7BB5">
              <w:rPr>
                <w:rFonts w:ascii="Times New Roman" w:hAnsi="Times New Roman" w:cs="Times New Roman"/>
                <w:i/>
                <w:sz w:val="18"/>
                <w:szCs w:val="18"/>
              </w:rPr>
              <w:t>Allocated amount:</w:t>
            </w:r>
          </w:p>
        </w:tc>
        <w:tc>
          <w:tcPr>
            <w:tcW w:w="434" w:type="pct"/>
            <w:shd w:val="clear" w:color="auto" w:fill="auto"/>
            <w:vAlign w:val="center"/>
          </w:tcPr>
          <w:p w14:paraId="23C54478" w14:textId="28C904F4" w:rsidR="006A0D48" w:rsidRPr="00BC7BB5" w:rsidRDefault="006A0D48" w:rsidP="00CB471A">
            <w:pPr>
              <w:spacing w:after="120"/>
              <w:jc w:val="center"/>
              <w:rPr>
                <w:rFonts w:ascii="Times New Roman" w:hAnsi="Times New Roman" w:cs="Times New Roman"/>
                <w:i/>
                <w:sz w:val="18"/>
                <w:szCs w:val="18"/>
              </w:rPr>
            </w:pPr>
            <w:r w:rsidRPr="00BC7BB5">
              <w:rPr>
                <w:rFonts w:ascii="Times New Roman" w:hAnsi="Times New Roman" w:cs="Times New Roman"/>
                <w:i/>
                <w:sz w:val="18"/>
                <w:szCs w:val="18"/>
              </w:rPr>
              <w:t>1</w:t>
            </w:r>
            <w:r w:rsidR="00832951">
              <w:rPr>
                <w:rFonts w:ascii="Times New Roman" w:hAnsi="Times New Roman" w:cs="Times New Roman"/>
                <w:i/>
                <w:sz w:val="18"/>
                <w:szCs w:val="18"/>
              </w:rPr>
              <w:t>5</w:t>
            </w:r>
            <w:r w:rsidRPr="00BC7BB5">
              <w:rPr>
                <w:rFonts w:ascii="Times New Roman" w:hAnsi="Times New Roman" w:cs="Times New Roman"/>
                <w:i/>
                <w:sz w:val="18"/>
                <w:szCs w:val="18"/>
              </w:rPr>
              <w:t>.0</w:t>
            </w:r>
          </w:p>
        </w:tc>
        <w:tc>
          <w:tcPr>
            <w:tcW w:w="485" w:type="pct"/>
            <w:shd w:val="clear" w:color="auto" w:fill="auto"/>
            <w:vAlign w:val="center"/>
          </w:tcPr>
          <w:p w14:paraId="61E06FBB" w14:textId="1CFA007F" w:rsidR="006A0D48" w:rsidRPr="00BC7BB5" w:rsidRDefault="00832951" w:rsidP="00CB471A">
            <w:pPr>
              <w:spacing w:after="120"/>
              <w:jc w:val="center"/>
              <w:rPr>
                <w:rFonts w:ascii="Times New Roman" w:hAnsi="Times New Roman" w:cs="Times New Roman"/>
                <w:i/>
                <w:sz w:val="18"/>
                <w:szCs w:val="18"/>
              </w:rPr>
            </w:pPr>
            <w:r>
              <w:rPr>
                <w:rFonts w:ascii="Times New Roman" w:hAnsi="Times New Roman" w:cs="Times New Roman"/>
                <w:i/>
                <w:sz w:val="18"/>
                <w:szCs w:val="18"/>
              </w:rPr>
              <w:t>7.5</w:t>
            </w:r>
            <w:r w:rsidR="006A0D48" w:rsidRPr="00BC7BB5">
              <w:rPr>
                <w:rFonts w:ascii="Times New Roman" w:hAnsi="Times New Roman" w:cs="Times New Roman"/>
                <w:i/>
                <w:sz w:val="18"/>
                <w:szCs w:val="18"/>
              </w:rPr>
              <w:t>%</w:t>
            </w:r>
          </w:p>
        </w:tc>
        <w:tc>
          <w:tcPr>
            <w:tcW w:w="568" w:type="pct"/>
            <w:shd w:val="clear" w:color="auto" w:fill="auto"/>
            <w:vAlign w:val="center"/>
          </w:tcPr>
          <w:p w14:paraId="7A2B455A" w14:textId="77777777" w:rsidR="006A0D48" w:rsidRPr="00BC7BB5" w:rsidRDefault="006A0D48" w:rsidP="00CB471A">
            <w:pPr>
              <w:spacing w:after="120"/>
              <w:jc w:val="center"/>
              <w:rPr>
                <w:rFonts w:ascii="Times New Roman" w:hAnsi="Times New Roman" w:cs="Times New Roman"/>
                <w:i/>
                <w:sz w:val="18"/>
                <w:szCs w:val="18"/>
              </w:rPr>
            </w:pPr>
          </w:p>
        </w:tc>
        <w:tc>
          <w:tcPr>
            <w:tcW w:w="493" w:type="pct"/>
            <w:shd w:val="clear" w:color="auto" w:fill="auto"/>
            <w:vAlign w:val="center"/>
          </w:tcPr>
          <w:p w14:paraId="69108787" w14:textId="23067C10" w:rsidR="006A0D48" w:rsidRPr="00BC7BB5" w:rsidRDefault="00832951" w:rsidP="00CB471A">
            <w:pPr>
              <w:spacing w:after="120"/>
              <w:jc w:val="center"/>
              <w:rPr>
                <w:rFonts w:ascii="Times New Roman" w:hAnsi="Times New Roman" w:cs="Times New Roman"/>
                <w:i/>
                <w:sz w:val="18"/>
                <w:szCs w:val="18"/>
              </w:rPr>
            </w:pPr>
            <w:r>
              <w:rPr>
                <w:rFonts w:ascii="Times New Roman" w:hAnsi="Times New Roman" w:cs="Times New Roman"/>
                <w:i/>
                <w:sz w:val="18"/>
                <w:szCs w:val="18"/>
              </w:rPr>
              <w:t>5.0</w:t>
            </w:r>
          </w:p>
        </w:tc>
        <w:tc>
          <w:tcPr>
            <w:tcW w:w="494" w:type="pct"/>
            <w:shd w:val="clear" w:color="auto" w:fill="auto"/>
            <w:vAlign w:val="center"/>
          </w:tcPr>
          <w:p w14:paraId="3A2C2D5F" w14:textId="77777777" w:rsidR="006A0D48" w:rsidRPr="00BC7BB5" w:rsidRDefault="006A0D48" w:rsidP="00CB471A">
            <w:pPr>
              <w:spacing w:after="120"/>
              <w:jc w:val="center"/>
              <w:rPr>
                <w:rFonts w:ascii="Times New Roman" w:hAnsi="Times New Roman" w:cs="Times New Roman"/>
                <w:i/>
                <w:sz w:val="18"/>
                <w:szCs w:val="18"/>
              </w:rPr>
            </w:pPr>
          </w:p>
        </w:tc>
        <w:tc>
          <w:tcPr>
            <w:tcW w:w="494" w:type="pct"/>
            <w:shd w:val="clear" w:color="auto" w:fill="auto"/>
            <w:vAlign w:val="center"/>
          </w:tcPr>
          <w:p w14:paraId="4BD55B7F" w14:textId="199144F3" w:rsidR="006A0D48" w:rsidRPr="00BC7BB5" w:rsidRDefault="006A0D48" w:rsidP="00CB471A">
            <w:pPr>
              <w:spacing w:after="120"/>
              <w:jc w:val="center"/>
              <w:rPr>
                <w:rFonts w:ascii="Times New Roman" w:hAnsi="Times New Roman" w:cs="Times New Roman"/>
                <w:i/>
                <w:sz w:val="18"/>
                <w:szCs w:val="18"/>
              </w:rPr>
            </w:pPr>
          </w:p>
        </w:tc>
        <w:tc>
          <w:tcPr>
            <w:tcW w:w="491" w:type="pct"/>
            <w:shd w:val="clear" w:color="auto" w:fill="auto"/>
            <w:vAlign w:val="center"/>
          </w:tcPr>
          <w:p w14:paraId="5323E3A3" w14:textId="68C0150F" w:rsidR="006A0D48" w:rsidRPr="00BC7BB5" w:rsidRDefault="00D624A2" w:rsidP="00CB471A">
            <w:pPr>
              <w:spacing w:after="120"/>
              <w:jc w:val="center"/>
              <w:rPr>
                <w:rFonts w:ascii="Times New Roman" w:hAnsi="Times New Roman" w:cs="Times New Roman"/>
                <w:i/>
                <w:sz w:val="18"/>
                <w:szCs w:val="18"/>
              </w:rPr>
            </w:pPr>
            <w:r w:rsidRPr="00BC7BB5">
              <w:rPr>
                <w:rFonts w:ascii="Times New Roman" w:hAnsi="Times New Roman" w:cs="Times New Roman"/>
                <w:i/>
                <w:sz w:val="18"/>
                <w:szCs w:val="18"/>
              </w:rPr>
              <w:t>10.0</w:t>
            </w:r>
          </w:p>
        </w:tc>
        <w:tc>
          <w:tcPr>
            <w:tcW w:w="500" w:type="pct"/>
            <w:shd w:val="clear" w:color="auto" w:fill="auto"/>
            <w:vAlign w:val="center"/>
          </w:tcPr>
          <w:p w14:paraId="22E0CF84" w14:textId="77777777" w:rsidR="006A0D48" w:rsidRPr="00BC7BB5" w:rsidRDefault="006A0D48" w:rsidP="00CB471A">
            <w:pPr>
              <w:spacing w:after="120"/>
              <w:jc w:val="center"/>
              <w:rPr>
                <w:rFonts w:ascii="Times New Roman" w:hAnsi="Times New Roman" w:cs="Times New Roman"/>
                <w:i/>
                <w:sz w:val="18"/>
                <w:szCs w:val="18"/>
              </w:rPr>
            </w:pPr>
          </w:p>
        </w:tc>
      </w:tr>
      <w:tr w:rsidR="006A0D48" w:rsidRPr="00BC7BB5" w14:paraId="583F2E76" w14:textId="77777777" w:rsidTr="00CB471A">
        <w:trPr>
          <w:trHeight w:val="620"/>
          <w:jc w:val="center"/>
        </w:trPr>
        <w:tc>
          <w:tcPr>
            <w:tcW w:w="1041" w:type="pct"/>
            <w:shd w:val="clear" w:color="auto" w:fill="auto"/>
            <w:vAlign w:val="center"/>
          </w:tcPr>
          <w:p w14:paraId="15227C65" w14:textId="26EB2ABA" w:rsidR="006A0D48" w:rsidRPr="00BC7BB5" w:rsidRDefault="006A0D48" w:rsidP="00CB471A">
            <w:pPr>
              <w:rPr>
                <w:rFonts w:ascii="Times New Roman" w:hAnsi="Times New Roman" w:cs="Times New Roman"/>
                <w:sz w:val="18"/>
                <w:szCs w:val="18"/>
              </w:rPr>
            </w:pPr>
            <w:r w:rsidRPr="00BC7BB5">
              <w:rPr>
                <w:rFonts w:ascii="Times New Roman" w:hAnsi="Times New Roman" w:cs="Times New Roman"/>
                <w:b/>
                <w:sz w:val="18"/>
                <w:szCs w:val="18"/>
              </w:rPr>
              <w:t>DLI 7</w:t>
            </w:r>
            <w:r w:rsidR="00B656F6">
              <w:rPr>
                <w:rFonts w:ascii="Times New Roman" w:hAnsi="Times New Roman" w:cs="Times New Roman"/>
                <w:sz w:val="18"/>
                <w:szCs w:val="18"/>
              </w:rPr>
              <w:t>: Number of s</w:t>
            </w:r>
            <w:r w:rsidRPr="00BC7BB5">
              <w:rPr>
                <w:rFonts w:ascii="Times New Roman" w:hAnsi="Times New Roman" w:cs="Times New Roman"/>
                <w:sz w:val="18"/>
                <w:szCs w:val="18"/>
              </w:rPr>
              <w:t>mall- and medium-size producers and enterprises assisted by the Agri-food Innovation Centers (CIAs):</w:t>
            </w:r>
          </w:p>
          <w:p w14:paraId="670AE11E" w14:textId="260DCBE4" w:rsidR="006A0D48" w:rsidRPr="00BC7BB5" w:rsidRDefault="006A0D48" w:rsidP="00CB471A">
            <w:pPr>
              <w:rPr>
                <w:rFonts w:ascii="Times New Roman" w:hAnsi="Times New Roman" w:cs="Times New Roman"/>
                <w:sz w:val="18"/>
                <w:szCs w:val="18"/>
              </w:rPr>
            </w:pPr>
            <w:r w:rsidRPr="00BC7BB5">
              <w:rPr>
                <w:rFonts w:ascii="Times New Roman" w:hAnsi="Times New Roman" w:cs="Times New Roman"/>
                <w:sz w:val="18"/>
                <w:szCs w:val="18"/>
              </w:rPr>
              <w:t xml:space="preserve">7.1 </w:t>
            </w:r>
            <w:r w:rsidR="009D3B21">
              <w:rPr>
                <w:rFonts w:ascii="Times New Roman" w:hAnsi="Times New Roman" w:cs="Times New Roman"/>
                <w:sz w:val="18"/>
                <w:szCs w:val="18"/>
              </w:rPr>
              <w:t xml:space="preserve">Two </w:t>
            </w:r>
            <w:r w:rsidRPr="00BC7BB5">
              <w:rPr>
                <w:rFonts w:ascii="Times New Roman" w:hAnsi="Times New Roman" w:cs="Times New Roman"/>
                <w:sz w:val="18"/>
                <w:szCs w:val="18"/>
              </w:rPr>
              <w:t xml:space="preserve">Agri-food Innovation Centers (CIAs) </w:t>
            </w:r>
            <w:r w:rsidR="009D3B21">
              <w:rPr>
                <w:rFonts w:ascii="Times New Roman" w:hAnsi="Times New Roman" w:cs="Times New Roman"/>
                <w:sz w:val="18"/>
                <w:szCs w:val="18"/>
              </w:rPr>
              <w:t xml:space="preserve">constructed/rehabilitated and fully equipped, </w:t>
            </w:r>
            <w:r w:rsidR="0004033A">
              <w:rPr>
                <w:rFonts w:ascii="Times New Roman" w:hAnsi="Times New Roman" w:cs="Times New Roman"/>
                <w:sz w:val="18"/>
                <w:szCs w:val="18"/>
              </w:rPr>
              <w:t>and</w:t>
            </w:r>
            <w:r w:rsidR="009D3B21">
              <w:rPr>
                <w:rFonts w:ascii="Times New Roman" w:hAnsi="Times New Roman" w:cs="Times New Roman"/>
                <w:sz w:val="18"/>
                <w:szCs w:val="18"/>
              </w:rPr>
              <w:t xml:space="preserve"> are</w:t>
            </w:r>
            <w:r w:rsidR="0004033A">
              <w:rPr>
                <w:rFonts w:ascii="Times New Roman" w:hAnsi="Times New Roman" w:cs="Times New Roman"/>
                <w:sz w:val="18"/>
                <w:szCs w:val="18"/>
              </w:rPr>
              <w:t xml:space="preserve"> operational</w:t>
            </w:r>
          </w:p>
          <w:p w14:paraId="276B1F1B" w14:textId="2AF29450" w:rsidR="006A0D48" w:rsidRPr="00BC7BB5" w:rsidRDefault="006A0D48" w:rsidP="00CB471A">
            <w:pPr>
              <w:spacing w:after="120"/>
              <w:rPr>
                <w:rFonts w:ascii="Times New Roman" w:hAnsi="Times New Roman" w:cs="Times New Roman"/>
                <w:sz w:val="18"/>
                <w:szCs w:val="18"/>
              </w:rPr>
            </w:pPr>
            <w:r w:rsidRPr="00BC7BB5">
              <w:rPr>
                <w:rFonts w:ascii="Times New Roman" w:hAnsi="Times New Roman" w:cs="Times New Roman"/>
                <w:sz w:val="18"/>
                <w:szCs w:val="18"/>
              </w:rPr>
              <w:t>7.2 Number of small- and</w:t>
            </w:r>
            <w:r w:rsidR="0004033A">
              <w:rPr>
                <w:rFonts w:ascii="Times New Roman" w:hAnsi="Times New Roman" w:cs="Times New Roman"/>
                <w:sz w:val="18"/>
                <w:szCs w:val="18"/>
              </w:rPr>
              <w:t>/or</w:t>
            </w:r>
            <w:r w:rsidRPr="00BC7BB5">
              <w:rPr>
                <w:rFonts w:ascii="Times New Roman" w:hAnsi="Times New Roman" w:cs="Times New Roman"/>
                <w:sz w:val="18"/>
                <w:szCs w:val="18"/>
              </w:rPr>
              <w:t xml:space="preserve"> medium-sized </w:t>
            </w:r>
            <w:r w:rsidR="00776185" w:rsidRPr="00BC7BB5">
              <w:rPr>
                <w:rFonts w:ascii="Times New Roman" w:hAnsi="Times New Roman" w:cs="Times New Roman"/>
                <w:sz w:val="18"/>
                <w:szCs w:val="18"/>
              </w:rPr>
              <w:t>producers and enterprises with added-value project assisted by the CIA</w:t>
            </w:r>
          </w:p>
        </w:tc>
        <w:tc>
          <w:tcPr>
            <w:tcW w:w="434" w:type="pct"/>
            <w:shd w:val="clear" w:color="auto" w:fill="auto"/>
            <w:vAlign w:val="center"/>
          </w:tcPr>
          <w:p w14:paraId="5395152A" w14:textId="77777777" w:rsidR="006A0D48" w:rsidRPr="00BC7BB5" w:rsidRDefault="006A0D48" w:rsidP="00CB471A">
            <w:pPr>
              <w:spacing w:after="120"/>
              <w:jc w:val="center"/>
              <w:rPr>
                <w:rFonts w:ascii="Times New Roman" w:hAnsi="Times New Roman" w:cs="Times New Roman"/>
                <w:sz w:val="18"/>
                <w:szCs w:val="18"/>
              </w:rPr>
            </w:pPr>
          </w:p>
        </w:tc>
        <w:tc>
          <w:tcPr>
            <w:tcW w:w="485" w:type="pct"/>
            <w:shd w:val="clear" w:color="auto" w:fill="auto"/>
            <w:vAlign w:val="center"/>
          </w:tcPr>
          <w:p w14:paraId="1959DB9B" w14:textId="77777777" w:rsidR="006A0D48" w:rsidRPr="00BC7BB5" w:rsidRDefault="006A0D48" w:rsidP="00CB471A">
            <w:pPr>
              <w:spacing w:after="120"/>
              <w:jc w:val="center"/>
              <w:rPr>
                <w:rFonts w:ascii="Times New Roman" w:hAnsi="Times New Roman" w:cs="Times New Roman"/>
                <w:sz w:val="18"/>
                <w:szCs w:val="18"/>
              </w:rPr>
            </w:pPr>
          </w:p>
        </w:tc>
        <w:tc>
          <w:tcPr>
            <w:tcW w:w="568" w:type="pct"/>
            <w:shd w:val="clear" w:color="auto" w:fill="auto"/>
            <w:vAlign w:val="center"/>
          </w:tcPr>
          <w:p w14:paraId="274A79A4" w14:textId="77777777" w:rsidR="006A0D48" w:rsidRPr="00BC7BB5" w:rsidRDefault="006A0D48" w:rsidP="00CB471A">
            <w:pPr>
              <w:jc w:val="center"/>
              <w:rPr>
                <w:rFonts w:ascii="Times New Roman" w:hAnsi="Times New Roman" w:cs="Times New Roman"/>
                <w:i/>
                <w:sz w:val="18"/>
                <w:szCs w:val="18"/>
              </w:rPr>
            </w:pPr>
            <w:r w:rsidRPr="00BC7BB5">
              <w:rPr>
                <w:rFonts w:ascii="Times New Roman" w:hAnsi="Times New Roman" w:cs="Times New Roman"/>
                <w:i/>
                <w:sz w:val="18"/>
                <w:szCs w:val="18"/>
              </w:rPr>
              <w:t>7.1 0</w:t>
            </w:r>
          </w:p>
          <w:p w14:paraId="6F29421F" w14:textId="77777777" w:rsidR="006A0D48" w:rsidRPr="00BC7BB5" w:rsidRDefault="006A0D48" w:rsidP="00CB471A">
            <w:pPr>
              <w:spacing w:after="120"/>
              <w:jc w:val="center"/>
              <w:rPr>
                <w:rFonts w:ascii="Times New Roman" w:hAnsi="Times New Roman" w:cs="Times New Roman"/>
                <w:i/>
                <w:sz w:val="18"/>
                <w:szCs w:val="18"/>
              </w:rPr>
            </w:pPr>
            <w:r w:rsidRPr="00BC7BB5">
              <w:rPr>
                <w:rFonts w:ascii="Times New Roman" w:hAnsi="Times New Roman" w:cs="Times New Roman"/>
                <w:i/>
                <w:sz w:val="18"/>
                <w:szCs w:val="18"/>
              </w:rPr>
              <w:t>7.2 0</w:t>
            </w:r>
          </w:p>
        </w:tc>
        <w:tc>
          <w:tcPr>
            <w:tcW w:w="493" w:type="pct"/>
            <w:shd w:val="clear" w:color="auto" w:fill="DDD9C3" w:themeFill="background2" w:themeFillShade="E6"/>
            <w:vAlign w:val="center"/>
          </w:tcPr>
          <w:p w14:paraId="1CDA8C49" w14:textId="77777777" w:rsidR="006A0D48" w:rsidRPr="00BC7BB5" w:rsidRDefault="006A0D48" w:rsidP="00CB471A">
            <w:pPr>
              <w:spacing w:after="120"/>
              <w:jc w:val="center"/>
              <w:rPr>
                <w:rFonts w:ascii="Times New Roman" w:hAnsi="Times New Roman" w:cs="Times New Roman"/>
                <w:i/>
                <w:sz w:val="18"/>
                <w:szCs w:val="18"/>
              </w:rPr>
            </w:pPr>
          </w:p>
        </w:tc>
        <w:tc>
          <w:tcPr>
            <w:tcW w:w="494" w:type="pct"/>
            <w:shd w:val="clear" w:color="auto" w:fill="FFFFFF" w:themeFill="background1"/>
            <w:vAlign w:val="center"/>
          </w:tcPr>
          <w:p w14:paraId="07448B17" w14:textId="77777777" w:rsidR="006A0D48" w:rsidRPr="00BC7BB5" w:rsidRDefault="006A0D48" w:rsidP="00CB471A">
            <w:pPr>
              <w:spacing w:after="120"/>
              <w:jc w:val="center"/>
              <w:rPr>
                <w:rFonts w:ascii="Times New Roman" w:hAnsi="Times New Roman" w:cs="Times New Roman"/>
                <w:i/>
                <w:sz w:val="18"/>
                <w:szCs w:val="18"/>
              </w:rPr>
            </w:pPr>
            <w:r w:rsidRPr="00BC7BB5">
              <w:rPr>
                <w:rFonts w:ascii="Times New Roman" w:hAnsi="Times New Roman" w:cs="Times New Roman"/>
                <w:i/>
                <w:sz w:val="18"/>
                <w:szCs w:val="18"/>
              </w:rPr>
              <w:t>7.1 1</w:t>
            </w:r>
          </w:p>
        </w:tc>
        <w:tc>
          <w:tcPr>
            <w:tcW w:w="494" w:type="pct"/>
            <w:shd w:val="clear" w:color="auto" w:fill="FFFFFF" w:themeFill="background1"/>
            <w:vAlign w:val="center"/>
          </w:tcPr>
          <w:p w14:paraId="6B98982A" w14:textId="77777777" w:rsidR="006A0D48" w:rsidRPr="00BC7BB5" w:rsidRDefault="006A0D48" w:rsidP="00CB471A">
            <w:pPr>
              <w:spacing w:after="120"/>
              <w:jc w:val="center"/>
              <w:rPr>
                <w:rFonts w:ascii="Times New Roman" w:hAnsi="Times New Roman" w:cs="Times New Roman"/>
                <w:i/>
                <w:sz w:val="18"/>
                <w:szCs w:val="18"/>
              </w:rPr>
            </w:pPr>
            <w:r w:rsidRPr="00BC7BB5">
              <w:rPr>
                <w:rFonts w:ascii="Times New Roman" w:hAnsi="Times New Roman" w:cs="Times New Roman"/>
                <w:i/>
                <w:sz w:val="18"/>
                <w:szCs w:val="18"/>
              </w:rPr>
              <w:t>7.1 2</w:t>
            </w:r>
          </w:p>
          <w:p w14:paraId="581286E8" w14:textId="77777777" w:rsidR="006A0D48" w:rsidRPr="00BC7BB5" w:rsidRDefault="006A0D48" w:rsidP="00CB471A">
            <w:pPr>
              <w:spacing w:after="120"/>
              <w:jc w:val="center"/>
              <w:rPr>
                <w:rFonts w:ascii="Times New Roman" w:hAnsi="Times New Roman" w:cs="Times New Roman"/>
                <w:i/>
                <w:sz w:val="18"/>
                <w:szCs w:val="18"/>
              </w:rPr>
            </w:pPr>
            <w:r w:rsidRPr="00BC7BB5">
              <w:rPr>
                <w:rFonts w:ascii="Times New Roman" w:hAnsi="Times New Roman" w:cs="Times New Roman"/>
                <w:i/>
                <w:sz w:val="18"/>
                <w:szCs w:val="18"/>
              </w:rPr>
              <w:t>7.2 10</w:t>
            </w:r>
          </w:p>
        </w:tc>
        <w:tc>
          <w:tcPr>
            <w:tcW w:w="491" w:type="pct"/>
            <w:shd w:val="clear" w:color="auto" w:fill="auto"/>
            <w:vAlign w:val="center"/>
          </w:tcPr>
          <w:p w14:paraId="59CE51AA" w14:textId="77777777" w:rsidR="006A0D48" w:rsidRPr="00BC7BB5" w:rsidRDefault="006A0D48" w:rsidP="00CB471A">
            <w:pPr>
              <w:spacing w:after="120"/>
              <w:jc w:val="center"/>
              <w:rPr>
                <w:rFonts w:ascii="Times New Roman" w:hAnsi="Times New Roman" w:cs="Times New Roman"/>
                <w:i/>
                <w:sz w:val="18"/>
                <w:szCs w:val="18"/>
              </w:rPr>
            </w:pPr>
          </w:p>
          <w:p w14:paraId="5B1FC95D" w14:textId="77777777" w:rsidR="006A0D48" w:rsidRPr="00BC7BB5" w:rsidRDefault="006A0D48" w:rsidP="00CB471A">
            <w:pPr>
              <w:spacing w:after="120"/>
              <w:jc w:val="center"/>
              <w:rPr>
                <w:rFonts w:ascii="Times New Roman" w:hAnsi="Times New Roman" w:cs="Times New Roman"/>
                <w:i/>
                <w:sz w:val="18"/>
                <w:szCs w:val="18"/>
              </w:rPr>
            </w:pPr>
            <w:r w:rsidRPr="00BC7BB5">
              <w:rPr>
                <w:rFonts w:ascii="Times New Roman" w:hAnsi="Times New Roman" w:cs="Times New Roman"/>
                <w:i/>
                <w:sz w:val="18"/>
                <w:szCs w:val="18"/>
              </w:rPr>
              <w:t>7.2 30</w:t>
            </w:r>
          </w:p>
        </w:tc>
        <w:tc>
          <w:tcPr>
            <w:tcW w:w="500" w:type="pct"/>
            <w:shd w:val="clear" w:color="auto" w:fill="auto"/>
            <w:vAlign w:val="center"/>
          </w:tcPr>
          <w:p w14:paraId="6D7CD01F" w14:textId="77777777" w:rsidR="006A0D48" w:rsidRPr="00BC7BB5" w:rsidRDefault="006A0D48" w:rsidP="00CB471A">
            <w:pPr>
              <w:spacing w:after="120"/>
              <w:jc w:val="center"/>
              <w:rPr>
                <w:rFonts w:ascii="Times New Roman" w:hAnsi="Times New Roman" w:cs="Times New Roman"/>
                <w:i/>
                <w:sz w:val="18"/>
                <w:szCs w:val="18"/>
              </w:rPr>
            </w:pPr>
          </w:p>
          <w:p w14:paraId="68491F35" w14:textId="77777777" w:rsidR="006A0D48" w:rsidRPr="00BC7BB5" w:rsidRDefault="006A0D48" w:rsidP="00CB471A">
            <w:pPr>
              <w:spacing w:after="120"/>
              <w:jc w:val="center"/>
              <w:rPr>
                <w:rFonts w:ascii="Times New Roman" w:hAnsi="Times New Roman" w:cs="Times New Roman"/>
                <w:i/>
                <w:sz w:val="18"/>
                <w:szCs w:val="18"/>
              </w:rPr>
            </w:pPr>
            <w:r w:rsidRPr="00BC7BB5">
              <w:rPr>
                <w:rFonts w:ascii="Times New Roman" w:hAnsi="Times New Roman" w:cs="Times New Roman"/>
                <w:i/>
                <w:sz w:val="18"/>
                <w:szCs w:val="18"/>
              </w:rPr>
              <w:t>7.2 50</w:t>
            </w:r>
          </w:p>
        </w:tc>
      </w:tr>
      <w:tr w:rsidR="006A0D48" w:rsidRPr="00BC7BB5" w14:paraId="15C70D56" w14:textId="77777777" w:rsidTr="00CB471A">
        <w:trPr>
          <w:trHeight w:val="341"/>
          <w:jc w:val="center"/>
        </w:trPr>
        <w:tc>
          <w:tcPr>
            <w:tcW w:w="1041" w:type="pct"/>
            <w:shd w:val="clear" w:color="auto" w:fill="auto"/>
            <w:vAlign w:val="center"/>
          </w:tcPr>
          <w:p w14:paraId="0AE64886" w14:textId="77777777" w:rsidR="006A0D48" w:rsidRPr="00BC7BB5" w:rsidRDefault="006A0D48" w:rsidP="00CB471A">
            <w:pPr>
              <w:spacing w:after="120"/>
              <w:rPr>
                <w:rFonts w:ascii="Times New Roman" w:hAnsi="Times New Roman" w:cs="Times New Roman"/>
                <w:i/>
                <w:sz w:val="18"/>
                <w:szCs w:val="18"/>
              </w:rPr>
            </w:pPr>
            <w:r w:rsidRPr="00BC7BB5">
              <w:rPr>
                <w:rFonts w:ascii="Times New Roman" w:hAnsi="Times New Roman" w:cs="Times New Roman"/>
                <w:i/>
                <w:sz w:val="18"/>
                <w:szCs w:val="18"/>
              </w:rPr>
              <w:t>Allocated amount:</w:t>
            </w:r>
          </w:p>
        </w:tc>
        <w:tc>
          <w:tcPr>
            <w:tcW w:w="434" w:type="pct"/>
            <w:shd w:val="clear" w:color="auto" w:fill="auto"/>
            <w:vAlign w:val="center"/>
          </w:tcPr>
          <w:p w14:paraId="3F79067C" w14:textId="75F4F330" w:rsidR="006A0D48" w:rsidRPr="00BC7BB5" w:rsidRDefault="0004033A" w:rsidP="00CB471A">
            <w:pPr>
              <w:spacing w:after="120"/>
              <w:jc w:val="center"/>
              <w:rPr>
                <w:rFonts w:ascii="Times New Roman" w:hAnsi="Times New Roman" w:cs="Times New Roman"/>
                <w:i/>
                <w:sz w:val="18"/>
                <w:szCs w:val="18"/>
              </w:rPr>
            </w:pPr>
            <w:r>
              <w:rPr>
                <w:rFonts w:ascii="Times New Roman" w:hAnsi="Times New Roman" w:cs="Times New Roman"/>
                <w:i/>
                <w:sz w:val="18"/>
                <w:szCs w:val="18"/>
              </w:rPr>
              <w:t>20</w:t>
            </w:r>
            <w:r w:rsidR="006A0D48" w:rsidRPr="00BC7BB5">
              <w:rPr>
                <w:rFonts w:ascii="Times New Roman" w:hAnsi="Times New Roman" w:cs="Times New Roman"/>
                <w:i/>
                <w:sz w:val="18"/>
                <w:szCs w:val="18"/>
              </w:rPr>
              <w:t>.0</w:t>
            </w:r>
          </w:p>
        </w:tc>
        <w:tc>
          <w:tcPr>
            <w:tcW w:w="485" w:type="pct"/>
            <w:shd w:val="clear" w:color="auto" w:fill="auto"/>
            <w:vAlign w:val="center"/>
          </w:tcPr>
          <w:p w14:paraId="20FA99AB" w14:textId="2A2C9517" w:rsidR="006A0D48" w:rsidRPr="00BC7BB5" w:rsidRDefault="0004033A" w:rsidP="00CB471A">
            <w:pPr>
              <w:spacing w:after="120"/>
              <w:jc w:val="center"/>
              <w:rPr>
                <w:rFonts w:ascii="Times New Roman" w:hAnsi="Times New Roman" w:cs="Times New Roman"/>
                <w:i/>
                <w:sz w:val="18"/>
                <w:szCs w:val="18"/>
              </w:rPr>
            </w:pPr>
            <w:r>
              <w:rPr>
                <w:rFonts w:ascii="Times New Roman" w:hAnsi="Times New Roman" w:cs="Times New Roman"/>
                <w:i/>
                <w:sz w:val="18"/>
                <w:szCs w:val="18"/>
              </w:rPr>
              <w:t>10.0</w:t>
            </w:r>
            <w:r w:rsidR="006A0D48" w:rsidRPr="00BC7BB5">
              <w:rPr>
                <w:rFonts w:ascii="Times New Roman" w:hAnsi="Times New Roman" w:cs="Times New Roman"/>
                <w:i/>
                <w:sz w:val="18"/>
                <w:szCs w:val="18"/>
              </w:rPr>
              <w:t>%</w:t>
            </w:r>
          </w:p>
        </w:tc>
        <w:tc>
          <w:tcPr>
            <w:tcW w:w="568" w:type="pct"/>
            <w:shd w:val="clear" w:color="auto" w:fill="auto"/>
            <w:vAlign w:val="center"/>
          </w:tcPr>
          <w:p w14:paraId="48E5E7B3" w14:textId="77777777" w:rsidR="006A0D48" w:rsidRPr="00BC7BB5" w:rsidRDefault="006A0D48" w:rsidP="00CB471A">
            <w:pPr>
              <w:spacing w:after="120"/>
              <w:jc w:val="center"/>
              <w:rPr>
                <w:rFonts w:ascii="Times New Roman" w:hAnsi="Times New Roman" w:cs="Times New Roman"/>
                <w:i/>
                <w:sz w:val="18"/>
                <w:szCs w:val="18"/>
              </w:rPr>
            </w:pPr>
          </w:p>
        </w:tc>
        <w:tc>
          <w:tcPr>
            <w:tcW w:w="493" w:type="pct"/>
            <w:shd w:val="clear" w:color="auto" w:fill="auto"/>
            <w:vAlign w:val="center"/>
          </w:tcPr>
          <w:p w14:paraId="36F688CF" w14:textId="77777777" w:rsidR="006A0D48" w:rsidRPr="00BC7BB5" w:rsidRDefault="006A0D48" w:rsidP="00CB471A">
            <w:pPr>
              <w:spacing w:after="120"/>
              <w:jc w:val="center"/>
              <w:rPr>
                <w:rFonts w:ascii="Times New Roman" w:hAnsi="Times New Roman" w:cs="Times New Roman"/>
                <w:i/>
                <w:sz w:val="18"/>
                <w:szCs w:val="18"/>
              </w:rPr>
            </w:pPr>
          </w:p>
        </w:tc>
        <w:tc>
          <w:tcPr>
            <w:tcW w:w="494" w:type="pct"/>
            <w:shd w:val="clear" w:color="auto" w:fill="auto"/>
            <w:vAlign w:val="center"/>
          </w:tcPr>
          <w:p w14:paraId="2AEB2B51" w14:textId="2971FBE0" w:rsidR="006A0D48" w:rsidRPr="00BC7BB5" w:rsidRDefault="0004033A" w:rsidP="00CB471A">
            <w:pPr>
              <w:spacing w:after="120"/>
              <w:jc w:val="center"/>
              <w:rPr>
                <w:rFonts w:ascii="Times New Roman" w:hAnsi="Times New Roman" w:cs="Times New Roman"/>
                <w:i/>
                <w:sz w:val="18"/>
                <w:szCs w:val="18"/>
              </w:rPr>
            </w:pPr>
            <w:r>
              <w:rPr>
                <w:rFonts w:ascii="Times New Roman" w:hAnsi="Times New Roman" w:cs="Times New Roman"/>
                <w:i/>
                <w:sz w:val="18"/>
                <w:szCs w:val="18"/>
              </w:rPr>
              <w:t>2.5</w:t>
            </w:r>
          </w:p>
        </w:tc>
        <w:tc>
          <w:tcPr>
            <w:tcW w:w="494" w:type="pct"/>
            <w:shd w:val="clear" w:color="auto" w:fill="auto"/>
            <w:vAlign w:val="center"/>
          </w:tcPr>
          <w:p w14:paraId="1AE98C28" w14:textId="675CBF76" w:rsidR="006A0D48" w:rsidRPr="00BC7BB5" w:rsidRDefault="0004033A" w:rsidP="00CB471A">
            <w:pPr>
              <w:spacing w:after="120"/>
              <w:jc w:val="center"/>
              <w:rPr>
                <w:rFonts w:ascii="Times New Roman" w:hAnsi="Times New Roman" w:cs="Times New Roman"/>
                <w:i/>
                <w:sz w:val="18"/>
                <w:szCs w:val="18"/>
              </w:rPr>
            </w:pPr>
            <w:r>
              <w:rPr>
                <w:rFonts w:ascii="Times New Roman" w:hAnsi="Times New Roman" w:cs="Times New Roman"/>
                <w:i/>
                <w:sz w:val="18"/>
                <w:szCs w:val="18"/>
              </w:rPr>
              <w:t>5.5</w:t>
            </w:r>
          </w:p>
        </w:tc>
        <w:tc>
          <w:tcPr>
            <w:tcW w:w="491" w:type="pct"/>
            <w:shd w:val="clear" w:color="auto" w:fill="auto"/>
            <w:vAlign w:val="center"/>
          </w:tcPr>
          <w:p w14:paraId="0CB2AA2F" w14:textId="1A420FF3" w:rsidR="006A0D48" w:rsidRPr="00BC7BB5" w:rsidRDefault="0004033A" w:rsidP="00CB471A">
            <w:pPr>
              <w:spacing w:after="120"/>
              <w:jc w:val="center"/>
              <w:rPr>
                <w:rFonts w:ascii="Times New Roman" w:hAnsi="Times New Roman" w:cs="Times New Roman"/>
                <w:i/>
                <w:sz w:val="18"/>
                <w:szCs w:val="18"/>
              </w:rPr>
            </w:pPr>
            <w:r>
              <w:rPr>
                <w:rFonts w:ascii="Times New Roman" w:hAnsi="Times New Roman" w:cs="Times New Roman"/>
                <w:i/>
                <w:sz w:val="18"/>
                <w:szCs w:val="18"/>
              </w:rPr>
              <w:t>6</w:t>
            </w:r>
            <w:r w:rsidR="006A0D48" w:rsidRPr="00BC7BB5">
              <w:rPr>
                <w:rFonts w:ascii="Times New Roman" w:hAnsi="Times New Roman" w:cs="Times New Roman"/>
                <w:i/>
                <w:sz w:val="18"/>
                <w:szCs w:val="18"/>
              </w:rPr>
              <w:t>.0</w:t>
            </w:r>
          </w:p>
        </w:tc>
        <w:tc>
          <w:tcPr>
            <w:tcW w:w="500" w:type="pct"/>
            <w:shd w:val="clear" w:color="auto" w:fill="auto"/>
            <w:vAlign w:val="center"/>
          </w:tcPr>
          <w:p w14:paraId="3D3783C6" w14:textId="243975F5" w:rsidR="006A0D48" w:rsidRPr="00BC7BB5" w:rsidRDefault="0004033A" w:rsidP="00CB471A">
            <w:pPr>
              <w:spacing w:after="120"/>
              <w:jc w:val="center"/>
              <w:rPr>
                <w:rFonts w:ascii="Times New Roman" w:hAnsi="Times New Roman" w:cs="Times New Roman"/>
                <w:i/>
                <w:sz w:val="18"/>
                <w:szCs w:val="18"/>
              </w:rPr>
            </w:pPr>
            <w:r>
              <w:rPr>
                <w:rFonts w:ascii="Times New Roman" w:hAnsi="Times New Roman" w:cs="Times New Roman"/>
                <w:i/>
                <w:sz w:val="18"/>
                <w:szCs w:val="18"/>
              </w:rPr>
              <w:t>6</w:t>
            </w:r>
            <w:r w:rsidR="006A0D48" w:rsidRPr="00BC7BB5">
              <w:rPr>
                <w:rFonts w:ascii="Times New Roman" w:hAnsi="Times New Roman" w:cs="Times New Roman"/>
                <w:i/>
                <w:sz w:val="18"/>
                <w:szCs w:val="18"/>
              </w:rPr>
              <w:t>.0</w:t>
            </w:r>
          </w:p>
        </w:tc>
      </w:tr>
      <w:tr w:rsidR="006A0D48" w:rsidRPr="00BC7BB5" w14:paraId="1B4BCFE5" w14:textId="77777777" w:rsidTr="00CB471A">
        <w:trPr>
          <w:trHeight w:val="620"/>
          <w:jc w:val="center"/>
        </w:trPr>
        <w:tc>
          <w:tcPr>
            <w:tcW w:w="1041" w:type="pct"/>
            <w:shd w:val="clear" w:color="auto" w:fill="auto"/>
            <w:vAlign w:val="center"/>
          </w:tcPr>
          <w:p w14:paraId="10575DE2" w14:textId="2AEEAC91" w:rsidR="006A0D48" w:rsidRPr="00BC7BB5" w:rsidRDefault="006A0D48" w:rsidP="00CB471A">
            <w:pPr>
              <w:pStyle w:val="ListParagraph"/>
              <w:ind w:left="0"/>
              <w:rPr>
                <w:rFonts w:ascii="Times New Roman" w:hAnsi="Times New Roman" w:cs="Times New Roman"/>
                <w:sz w:val="18"/>
                <w:szCs w:val="18"/>
              </w:rPr>
            </w:pPr>
            <w:r w:rsidRPr="00BC7BB5">
              <w:rPr>
                <w:rFonts w:ascii="Times New Roman" w:hAnsi="Times New Roman" w:cs="Times New Roman"/>
                <w:b/>
                <w:sz w:val="18"/>
                <w:szCs w:val="18"/>
              </w:rPr>
              <w:lastRenderedPageBreak/>
              <w:t xml:space="preserve">DLI 8: </w:t>
            </w:r>
            <w:r w:rsidR="00ED31C1" w:rsidRPr="00ED31C1">
              <w:rPr>
                <w:rFonts w:ascii="Times New Roman" w:hAnsi="Times New Roman" w:cs="Times New Roman"/>
                <w:sz w:val="18"/>
                <w:szCs w:val="18"/>
              </w:rPr>
              <w:t>Establishment of</w:t>
            </w:r>
            <w:r w:rsidR="00ED31C1">
              <w:rPr>
                <w:rFonts w:ascii="Times New Roman" w:hAnsi="Times New Roman" w:cs="Times New Roman"/>
                <w:b/>
                <w:sz w:val="18"/>
                <w:szCs w:val="18"/>
              </w:rPr>
              <w:t xml:space="preserve"> </w:t>
            </w:r>
            <w:r w:rsidRPr="00BC7BB5">
              <w:rPr>
                <w:rFonts w:ascii="Times New Roman" w:hAnsi="Times New Roman" w:cs="Times New Roman"/>
                <w:sz w:val="18"/>
                <w:szCs w:val="18"/>
              </w:rPr>
              <w:t xml:space="preserve">Integrated Financial Management system to improve </w:t>
            </w:r>
            <w:r w:rsidR="00823AE1">
              <w:rPr>
                <w:rFonts w:ascii="Times New Roman" w:hAnsi="Times New Roman" w:cs="Times New Roman"/>
                <w:sz w:val="18"/>
                <w:szCs w:val="18"/>
              </w:rPr>
              <w:t>program management</w:t>
            </w:r>
            <w:r w:rsidRPr="00BC7BB5">
              <w:rPr>
                <w:rFonts w:ascii="Times New Roman" w:hAnsi="Times New Roman" w:cs="Times New Roman"/>
                <w:sz w:val="18"/>
                <w:szCs w:val="18"/>
              </w:rPr>
              <w:t>:</w:t>
            </w:r>
          </w:p>
          <w:p w14:paraId="02B95F14" w14:textId="50C6E398" w:rsidR="006A0D48" w:rsidRPr="00BC7BB5" w:rsidRDefault="006A0D48" w:rsidP="00CB471A">
            <w:pPr>
              <w:pStyle w:val="ListParagraph"/>
              <w:ind w:left="0"/>
              <w:rPr>
                <w:rFonts w:ascii="Times New Roman" w:hAnsi="Times New Roman" w:cs="Times New Roman"/>
                <w:sz w:val="18"/>
                <w:szCs w:val="18"/>
              </w:rPr>
            </w:pPr>
            <w:r w:rsidRPr="00BC7BB5">
              <w:rPr>
                <w:rFonts w:ascii="Times New Roman" w:hAnsi="Times New Roman" w:cs="Times New Roman"/>
                <w:sz w:val="18"/>
                <w:szCs w:val="18"/>
              </w:rPr>
              <w:t xml:space="preserve">8.1 </w:t>
            </w:r>
            <w:r w:rsidR="00A718CC">
              <w:rPr>
                <w:rFonts w:ascii="Times New Roman" w:hAnsi="Times New Roman" w:cs="Times New Roman"/>
                <w:sz w:val="18"/>
                <w:szCs w:val="18"/>
              </w:rPr>
              <w:t>System designed</w:t>
            </w:r>
          </w:p>
          <w:p w14:paraId="1C8129AE" w14:textId="02D69490" w:rsidR="006A0D48" w:rsidRPr="00BC7BB5" w:rsidRDefault="006A0D48" w:rsidP="00CB471A">
            <w:pPr>
              <w:pStyle w:val="ListParagraph"/>
              <w:ind w:left="0"/>
              <w:rPr>
                <w:rFonts w:ascii="Times New Roman" w:hAnsi="Times New Roman" w:cs="Times New Roman"/>
                <w:b/>
                <w:sz w:val="18"/>
                <w:szCs w:val="18"/>
              </w:rPr>
            </w:pPr>
            <w:r w:rsidRPr="00BC7BB5">
              <w:rPr>
                <w:rFonts w:ascii="Times New Roman" w:hAnsi="Times New Roman" w:cs="Times New Roman"/>
                <w:sz w:val="18"/>
                <w:szCs w:val="18"/>
              </w:rPr>
              <w:t xml:space="preserve">8.2 System </w:t>
            </w:r>
            <w:r w:rsidR="009D3B21">
              <w:rPr>
                <w:rFonts w:ascii="Times New Roman" w:hAnsi="Times New Roman" w:cs="Times New Roman"/>
                <w:sz w:val="18"/>
                <w:szCs w:val="18"/>
              </w:rPr>
              <w:t>fully operational</w:t>
            </w:r>
          </w:p>
        </w:tc>
        <w:tc>
          <w:tcPr>
            <w:tcW w:w="434" w:type="pct"/>
            <w:shd w:val="clear" w:color="auto" w:fill="auto"/>
            <w:vAlign w:val="center"/>
          </w:tcPr>
          <w:p w14:paraId="2228C085" w14:textId="77777777" w:rsidR="006A0D48" w:rsidRPr="00BC7BB5" w:rsidRDefault="006A0D48" w:rsidP="00CB471A">
            <w:pPr>
              <w:spacing w:after="120"/>
              <w:jc w:val="center"/>
              <w:rPr>
                <w:rFonts w:ascii="Times New Roman" w:hAnsi="Times New Roman" w:cs="Times New Roman"/>
                <w:sz w:val="18"/>
                <w:szCs w:val="18"/>
              </w:rPr>
            </w:pPr>
          </w:p>
        </w:tc>
        <w:tc>
          <w:tcPr>
            <w:tcW w:w="485" w:type="pct"/>
            <w:shd w:val="clear" w:color="auto" w:fill="auto"/>
            <w:vAlign w:val="center"/>
          </w:tcPr>
          <w:p w14:paraId="106E83AA" w14:textId="77777777" w:rsidR="006A0D48" w:rsidRPr="00BC7BB5" w:rsidRDefault="006A0D48" w:rsidP="00CB471A">
            <w:pPr>
              <w:spacing w:after="120"/>
              <w:jc w:val="center"/>
              <w:rPr>
                <w:rFonts w:ascii="Times New Roman" w:hAnsi="Times New Roman" w:cs="Times New Roman"/>
                <w:sz w:val="18"/>
                <w:szCs w:val="18"/>
              </w:rPr>
            </w:pPr>
          </w:p>
        </w:tc>
        <w:tc>
          <w:tcPr>
            <w:tcW w:w="568" w:type="pct"/>
            <w:shd w:val="clear" w:color="auto" w:fill="auto"/>
            <w:vAlign w:val="center"/>
          </w:tcPr>
          <w:p w14:paraId="7ABDBFF6" w14:textId="3FB56117" w:rsidR="006A0D48" w:rsidRPr="00BC7BB5" w:rsidRDefault="006A0D48" w:rsidP="00CB471A">
            <w:pPr>
              <w:spacing w:before="120"/>
              <w:jc w:val="center"/>
              <w:rPr>
                <w:rFonts w:ascii="Times New Roman" w:hAnsi="Times New Roman" w:cs="Times New Roman"/>
                <w:i/>
                <w:sz w:val="18"/>
                <w:szCs w:val="18"/>
              </w:rPr>
            </w:pPr>
            <w:r w:rsidRPr="00BC7BB5">
              <w:rPr>
                <w:rFonts w:ascii="Times New Roman" w:hAnsi="Times New Roman" w:cs="Times New Roman"/>
                <w:i/>
                <w:sz w:val="18"/>
                <w:szCs w:val="18"/>
              </w:rPr>
              <w:t>8.1 No</w:t>
            </w:r>
          </w:p>
          <w:p w14:paraId="5C7A2AD7" w14:textId="77777777" w:rsidR="006A0D48" w:rsidRPr="00BC7BB5" w:rsidRDefault="006A0D48" w:rsidP="00CB471A">
            <w:pPr>
              <w:jc w:val="center"/>
              <w:rPr>
                <w:rFonts w:ascii="Times New Roman" w:hAnsi="Times New Roman" w:cs="Times New Roman"/>
                <w:i/>
                <w:sz w:val="18"/>
                <w:szCs w:val="18"/>
              </w:rPr>
            </w:pPr>
            <w:r w:rsidRPr="00BC7BB5">
              <w:rPr>
                <w:rFonts w:ascii="Times New Roman" w:hAnsi="Times New Roman" w:cs="Times New Roman"/>
                <w:i/>
                <w:sz w:val="18"/>
                <w:szCs w:val="18"/>
              </w:rPr>
              <w:t>8.2 No</w:t>
            </w:r>
          </w:p>
          <w:p w14:paraId="55CA584A" w14:textId="77777777" w:rsidR="006A0D48" w:rsidRPr="00BC7BB5" w:rsidRDefault="006A0D48" w:rsidP="00CB471A">
            <w:pPr>
              <w:spacing w:after="120"/>
              <w:rPr>
                <w:rFonts w:ascii="Times New Roman" w:hAnsi="Times New Roman" w:cs="Times New Roman"/>
                <w:i/>
                <w:sz w:val="18"/>
                <w:szCs w:val="18"/>
              </w:rPr>
            </w:pPr>
          </w:p>
        </w:tc>
        <w:tc>
          <w:tcPr>
            <w:tcW w:w="493" w:type="pct"/>
            <w:shd w:val="clear" w:color="auto" w:fill="auto"/>
            <w:vAlign w:val="center"/>
          </w:tcPr>
          <w:p w14:paraId="4EA9F516" w14:textId="77777777" w:rsidR="006A0D48" w:rsidRPr="00BC7BB5" w:rsidRDefault="006A0D48" w:rsidP="00CB471A">
            <w:pPr>
              <w:spacing w:after="120"/>
              <w:jc w:val="center"/>
              <w:rPr>
                <w:rFonts w:ascii="Times New Roman" w:hAnsi="Times New Roman" w:cs="Times New Roman"/>
                <w:i/>
                <w:sz w:val="18"/>
                <w:szCs w:val="18"/>
              </w:rPr>
            </w:pPr>
          </w:p>
          <w:p w14:paraId="692C1D8A" w14:textId="77777777" w:rsidR="006A0D48" w:rsidRPr="00BC7BB5" w:rsidRDefault="006A0D48" w:rsidP="00CB471A">
            <w:pPr>
              <w:spacing w:after="120"/>
              <w:jc w:val="center"/>
              <w:rPr>
                <w:rFonts w:ascii="Times New Roman" w:hAnsi="Times New Roman" w:cs="Times New Roman"/>
                <w:i/>
                <w:sz w:val="18"/>
                <w:szCs w:val="18"/>
              </w:rPr>
            </w:pPr>
            <w:r w:rsidRPr="00BC7BB5">
              <w:rPr>
                <w:rFonts w:ascii="Times New Roman" w:hAnsi="Times New Roman" w:cs="Times New Roman"/>
                <w:i/>
                <w:sz w:val="18"/>
                <w:szCs w:val="18"/>
              </w:rPr>
              <w:t>8.1 Yes</w:t>
            </w:r>
          </w:p>
          <w:p w14:paraId="5C761B16" w14:textId="77777777" w:rsidR="006A0D48" w:rsidRPr="00BC7BB5" w:rsidRDefault="006A0D48" w:rsidP="00CB471A">
            <w:pPr>
              <w:spacing w:after="120"/>
              <w:jc w:val="center"/>
              <w:rPr>
                <w:rFonts w:ascii="Times New Roman" w:hAnsi="Times New Roman" w:cs="Times New Roman"/>
                <w:i/>
                <w:sz w:val="18"/>
                <w:szCs w:val="18"/>
              </w:rPr>
            </w:pPr>
          </w:p>
        </w:tc>
        <w:tc>
          <w:tcPr>
            <w:tcW w:w="494" w:type="pct"/>
            <w:shd w:val="clear" w:color="auto" w:fill="FFFFFF" w:themeFill="background1"/>
            <w:vAlign w:val="center"/>
          </w:tcPr>
          <w:p w14:paraId="39FA00AC" w14:textId="77777777" w:rsidR="006A0D48" w:rsidRPr="00BC7BB5" w:rsidRDefault="006A0D48" w:rsidP="00CB471A">
            <w:pPr>
              <w:spacing w:after="120"/>
              <w:jc w:val="center"/>
              <w:rPr>
                <w:rFonts w:ascii="Times New Roman" w:hAnsi="Times New Roman" w:cs="Times New Roman"/>
                <w:i/>
                <w:sz w:val="18"/>
                <w:szCs w:val="18"/>
              </w:rPr>
            </w:pPr>
            <w:r w:rsidRPr="00BC7BB5">
              <w:rPr>
                <w:rFonts w:ascii="Times New Roman" w:hAnsi="Times New Roman" w:cs="Times New Roman"/>
                <w:i/>
                <w:sz w:val="18"/>
                <w:szCs w:val="18"/>
              </w:rPr>
              <w:t>8.2 Yes</w:t>
            </w:r>
          </w:p>
        </w:tc>
        <w:tc>
          <w:tcPr>
            <w:tcW w:w="494" w:type="pct"/>
            <w:shd w:val="clear" w:color="auto" w:fill="DDD9C3" w:themeFill="background2" w:themeFillShade="E6"/>
            <w:vAlign w:val="center"/>
          </w:tcPr>
          <w:p w14:paraId="46F88C9E" w14:textId="77777777" w:rsidR="006A0D48" w:rsidRPr="00BC7BB5" w:rsidRDefault="006A0D48" w:rsidP="00CB471A">
            <w:pPr>
              <w:spacing w:after="120"/>
              <w:jc w:val="center"/>
              <w:rPr>
                <w:rFonts w:ascii="Times New Roman" w:hAnsi="Times New Roman" w:cs="Times New Roman"/>
                <w:i/>
                <w:sz w:val="18"/>
                <w:szCs w:val="18"/>
              </w:rPr>
            </w:pPr>
          </w:p>
        </w:tc>
        <w:tc>
          <w:tcPr>
            <w:tcW w:w="491" w:type="pct"/>
            <w:shd w:val="clear" w:color="auto" w:fill="DDD9C3" w:themeFill="background2" w:themeFillShade="E6"/>
            <w:vAlign w:val="center"/>
          </w:tcPr>
          <w:p w14:paraId="483763D6" w14:textId="77777777" w:rsidR="006A0D48" w:rsidRPr="00BC7BB5" w:rsidRDefault="006A0D48" w:rsidP="00CB471A">
            <w:pPr>
              <w:spacing w:after="120"/>
              <w:jc w:val="center"/>
              <w:rPr>
                <w:rFonts w:ascii="Times New Roman" w:hAnsi="Times New Roman" w:cs="Times New Roman"/>
                <w:i/>
                <w:sz w:val="18"/>
                <w:szCs w:val="18"/>
              </w:rPr>
            </w:pPr>
          </w:p>
        </w:tc>
        <w:tc>
          <w:tcPr>
            <w:tcW w:w="500" w:type="pct"/>
            <w:shd w:val="clear" w:color="auto" w:fill="DDD9C3" w:themeFill="background2" w:themeFillShade="E6"/>
            <w:vAlign w:val="center"/>
          </w:tcPr>
          <w:p w14:paraId="0FFDEBCD" w14:textId="77777777" w:rsidR="006A0D48" w:rsidRPr="00BC7BB5" w:rsidRDefault="006A0D48" w:rsidP="00CB471A">
            <w:pPr>
              <w:spacing w:after="120"/>
              <w:jc w:val="center"/>
              <w:rPr>
                <w:rFonts w:ascii="Times New Roman" w:hAnsi="Times New Roman" w:cs="Times New Roman"/>
                <w:i/>
                <w:sz w:val="18"/>
                <w:szCs w:val="18"/>
              </w:rPr>
            </w:pPr>
          </w:p>
        </w:tc>
      </w:tr>
      <w:tr w:rsidR="006A0D48" w:rsidRPr="00BC7BB5" w14:paraId="50E323E9" w14:textId="77777777" w:rsidTr="00CB471A">
        <w:trPr>
          <w:trHeight w:val="359"/>
          <w:jc w:val="center"/>
        </w:trPr>
        <w:tc>
          <w:tcPr>
            <w:tcW w:w="1041" w:type="pct"/>
            <w:shd w:val="clear" w:color="auto" w:fill="auto"/>
            <w:vAlign w:val="center"/>
          </w:tcPr>
          <w:p w14:paraId="4673556A" w14:textId="77777777" w:rsidR="006A0D48" w:rsidRPr="00BC7BB5" w:rsidRDefault="006A0D48" w:rsidP="00CB471A">
            <w:pPr>
              <w:pStyle w:val="ListParagraph"/>
              <w:spacing w:after="120"/>
              <w:ind w:left="0"/>
              <w:rPr>
                <w:rFonts w:ascii="Times New Roman" w:hAnsi="Times New Roman" w:cs="Times New Roman"/>
                <w:b/>
                <w:sz w:val="18"/>
                <w:szCs w:val="18"/>
              </w:rPr>
            </w:pPr>
            <w:r w:rsidRPr="00BC7BB5">
              <w:rPr>
                <w:rFonts w:ascii="Times New Roman" w:hAnsi="Times New Roman" w:cs="Times New Roman"/>
                <w:i/>
                <w:sz w:val="18"/>
                <w:szCs w:val="18"/>
              </w:rPr>
              <w:t>Allocated amount:</w:t>
            </w:r>
          </w:p>
        </w:tc>
        <w:tc>
          <w:tcPr>
            <w:tcW w:w="434" w:type="pct"/>
            <w:shd w:val="clear" w:color="auto" w:fill="auto"/>
            <w:vAlign w:val="center"/>
          </w:tcPr>
          <w:p w14:paraId="51A09973" w14:textId="77777777" w:rsidR="006A0D48" w:rsidRPr="00BC7BB5" w:rsidRDefault="006A0D48" w:rsidP="00CB471A">
            <w:pPr>
              <w:spacing w:after="120"/>
              <w:jc w:val="center"/>
              <w:rPr>
                <w:rFonts w:ascii="Times New Roman" w:hAnsi="Times New Roman" w:cs="Times New Roman"/>
                <w:i/>
                <w:sz w:val="18"/>
                <w:szCs w:val="18"/>
              </w:rPr>
            </w:pPr>
            <w:r w:rsidRPr="00BC7BB5">
              <w:rPr>
                <w:rFonts w:ascii="Times New Roman" w:hAnsi="Times New Roman" w:cs="Times New Roman"/>
                <w:i/>
                <w:sz w:val="18"/>
                <w:szCs w:val="18"/>
              </w:rPr>
              <w:t>10.0</w:t>
            </w:r>
          </w:p>
        </w:tc>
        <w:tc>
          <w:tcPr>
            <w:tcW w:w="485" w:type="pct"/>
            <w:shd w:val="clear" w:color="auto" w:fill="auto"/>
            <w:vAlign w:val="center"/>
          </w:tcPr>
          <w:p w14:paraId="192BB7BB" w14:textId="77777777" w:rsidR="006A0D48" w:rsidRPr="00BC7BB5" w:rsidRDefault="006A0D48" w:rsidP="00CB471A">
            <w:pPr>
              <w:spacing w:after="120"/>
              <w:jc w:val="center"/>
              <w:rPr>
                <w:rFonts w:ascii="Times New Roman" w:hAnsi="Times New Roman" w:cs="Times New Roman"/>
                <w:i/>
                <w:sz w:val="18"/>
                <w:szCs w:val="18"/>
              </w:rPr>
            </w:pPr>
            <w:r w:rsidRPr="00BC7BB5">
              <w:rPr>
                <w:rFonts w:ascii="Times New Roman" w:hAnsi="Times New Roman" w:cs="Times New Roman"/>
                <w:i/>
                <w:sz w:val="18"/>
                <w:szCs w:val="18"/>
              </w:rPr>
              <w:t>5.0%</w:t>
            </w:r>
          </w:p>
        </w:tc>
        <w:tc>
          <w:tcPr>
            <w:tcW w:w="568" w:type="pct"/>
            <w:shd w:val="clear" w:color="auto" w:fill="auto"/>
            <w:vAlign w:val="center"/>
          </w:tcPr>
          <w:p w14:paraId="3D344A70" w14:textId="77777777" w:rsidR="006A0D48" w:rsidRPr="00BC7BB5" w:rsidRDefault="006A0D48" w:rsidP="00CB471A">
            <w:pPr>
              <w:spacing w:after="120"/>
              <w:rPr>
                <w:rFonts w:ascii="Times New Roman" w:hAnsi="Times New Roman" w:cs="Times New Roman"/>
                <w:i/>
                <w:sz w:val="18"/>
                <w:szCs w:val="18"/>
              </w:rPr>
            </w:pPr>
          </w:p>
        </w:tc>
        <w:tc>
          <w:tcPr>
            <w:tcW w:w="493" w:type="pct"/>
            <w:shd w:val="clear" w:color="auto" w:fill="auto"/>
            <w:vAlign w:val="center"/>
          </w:tcPr>
          <w:p w14:paraId="1A188BCC" w14:textId="2C6E4F97" w:rsidR="006A0D48" w:rsidRPr="00BC7BB5" w:rsidRDefault="003608FB" w:rsidP="00CB471A">
            <w:pPr>
              <w:spacing w:after="120"/>
              <w:jc w:val="center"/>
              <w:rPr>
                <w:rFonts w:ascii="Times New Roman" w:hAnsi="Times New Roman" w:cs="Times New Roman"/>
                <w:i/>
                <w:sz w:val="18"/>
                <w:szCs w:val="18"/>
              </w:rPr>
            </w:pPr>
            <w:r>
              <w:rPr>
                <w:rFonts w:ascii="Times New Roman" w:hAnsi="Times New Roman" w:cs="Times New Roman"/>
                <w:i/>
                <w:sz w:val="18"/>
                <w:szCs w:val="18"/>
              </w:rPr>
              <w:t>3</w:t>
            </w:r>
            <w:r w:rsidR="006A0D48" w:rsidRPr="00BC7BB5">
              <w:rPr>
                <w:rFonts w:ascii="Times New Roman" w:hAnsi="Times New Roman" w:cs="Times New Roman"/>
                <w:i/>
                <w:sz w:val="18"/>
                <w:szCs w:val="18"/>
              </w:rPr>
              <w:t>.0</w:t>
            </w:r>
          </w:p>
        </w:tc>
        <w:tc>
          <w:tcPr>
            <w:tcW w:w="494" w:type="pct"/>
            <w:shd w:val="clear" w:color="auto" w:fill="auto"/>
            <w:vAlign w:val="center"/>
          </w:tcPr>
          <w:p w14:paraId="3AB7D42C" w14:textId="55FF8E32" w:rsidR="006A0D48" w:rsidRPr="00BC7BB5" w:rsidRDefault="003608FB" w:rsidP="00CB471A">
            <w:pPr>
              <w:spacing w:after="120"/>
              <w:jc w:val="center"/>
              <w:rPr>
                <w:rFonts w:ascii="Times New Roman" w:hAnsi="Times New Roman" w:cs="Times New Roman"/>
                <w:i/>
                <w:sz w:val="18"/>
                <w:szCs w:val="18"/>
              </w:rPr>
            </w:pPr>
            <w:r>
              <w:rPr>
                <w:rFonts w:ascii="Times New Roman" w:hAnsi="Times New Roman" w:cs="Times New Roman"/>
                <w:i/>
                <w:sz w:val="18"/>
                <w:szCs w:val="18"/>
              </w:rPr>
              <w:t>7</w:t>
            </w:r>
            <w:r w:rsidR="006A0D48" w:rsidRPr="00BC7BB5">
              <w:rPr>
                <w:rFonts w:ascii="Times New Roman" w:hAnsi="Times New Roman" w:cs="Times New Roman"/>
                <w:i/>
                <w:sz w:val="18"/>
                <w:szCs w:val="18"/>
              </w:rPr>
              <w:t>.0</w:t>
            </w:r>
          </w:p>
        </w:tc>
        <w:tc>
          <w:tcPr>
            <w:tcW w:w="494" w:type="pct"/>
            <w:shd w:val="clear" w:color="auto" w:fill="auto"/>
            <w:vAlign w:val="center"/>
          </w:tcPr>
          <w:p w14:paraId="39536544" w14:textId="77777777" w:rsidR="006A0D48" w:rsidRPr="00BC7BB5" w:rsidRDefault="006A0D48" w:rsidP="00CB471A">
            <w:pPr>
              <w:spacing w:after="120"/>
              <w:jc w:val="center"/>
              <w:rPr>
                <w:rFonts w:ascii="Times New Roman" w:hAnsi="Times New Roman" w:cs="Times New Roman"/>
                <w:i/>
                <w:sz w:val="18"/>
                <w:szCs w:val="18"/>
              </w:rPr>
            </w:pPr>
          </w:p>
        </w:tc>
        <w:tc>
          <w:tcPr>
            <w:tcW w:w="491" w:type="pct"/>
            <w:shd w:val="clear" w:color="auto" w:fill="auto"/>
            <w:vAlign w:val="center"/>
          </w:tcPr>
          <w:p w14:paraId="4F60ADE8" w14:textId="77777777" w:rsidR="006A0D48" w:rsidRPr="00BC7BB5" w:rsidRDefault="006A0D48" w:rsidP="00CB471A">
            <w:pPr>
              <w:spacing w:after="120"/>
              <w:jc w:val="center"/>
              <w:rPr>
                <w:rFonts w:ascii="Times New Roman" w:hAnsi="Times New Roman" w:cs="Times New Roman"/>
                <w:i/>
                <w:sz w:val="18"/>
                <w:szCs w:val="18"/>
              </w:rPr>
            </w:pPr>
          </w:p>
        </w:tc>
        <w:tc>
          <w:tcPr>
            <w:tcW w:w="500" w:type="pct"/>
            <w:shd w:val="clear" w:color="auto" w:fill="auto"/>
            <w:vAlign w:val="center"/>
          </w:tcPr>
          <w:p w14:paraId="4AFC6CB4" w14:textId="77777777" w:rsidR="006A0D48" w:rsidRPr="00BC7BB5" w:rsidRDefault="006A0D48" w:rsidP="00CB471A">
            <w:pPr>
              <w:spacing w:after="120"/>
              <w:jc w:val="center"/>
              <w:rPr>
                <w:rFonts w:ascii="Times New Roman" w:hAnsi="Times New Roman" w:cs="Times New Roman"/>
                <w:i/>
                <w:sz w:val="18"/>
                <w:szCs w:val="18"/>
              </w:rPr>
            </w:pPr>
          </w:p>
        </w:tc>
      </w:tr>
      <w:tr w:rsidR="0004033A" w:rsidRPr="00BC7BB5" w14:paraId="388885E0" w14:textId="77777777" w:rsidTr="00CB471A">
        <w:trPr>
          <w:trHeight w:val="359"/>
          <w:jc w:val="center"/>
        </w:trPr>
        <w:tc>
          <w:tcPr>
            <w:tcW w:w="1041" w:type="pct"/>
            <w:shd w:val="clear" w:color="auto" w:fill="auto"/>
            <w:vAlign w:val="center"/>
          </w:tcPr>
          <w:p w14:paraId="66BE6C24" w14:textId="6136BAF0" w:rsidR="0004033A" w:rsidRPr="0004033A" w:rsidRDefault="0004033A" w:rsidP="00CB471A">
            <w:pPr>
              <w:pStyle w:val="ListParagraph"/>
              <w:spacing w:after="120"/>
              <w:ind w:left="0"/>
              <w:rPr>
                <w:rFonts w:ascii="Times New Roman" w:hAnsi="Times New Roman" w:cs="Times New Roman"/>
                <w:b/>
                <w:i/>
                <w:sz w:val="18"/>
                <w:szCs w:val="18"/>
              </w:rPr>
            </w:pPr>
            <w:r w:rsidRPr="0004033A">
              <w:rPr>
                <w:rFonts w:ascii="Times New Roman" w:hAnsi="Times New Roman" w:cs="Times New Roman"/>
                <w:b/>
                <w:i/>
                <w:sz w:val="18"/>
                <w:szCs w:val="18"/>
              </w:rPr>
              <w:t>Front End Fee</w:t>
            </w:r>
          </w:p>
        </w:tc>
        <w:tc>
          <w:tcPr>
            <w:tcW w:w="434" w:type="pct"/>
            <w:shd w:val="clear" w:color="auto" w:fill="auto"/>
            <w:vAlign w:val="center"/>
          </w:tcPr>
          <w:p w14:paraId="32478F4C" w14:textId="13C82C3C" w:rsidR="0004033A" w:rsidRPr="00BC7BB5" w:rsidRDefault="0004033A" w:rsidP="00CB471A">
            <w:pPr>
              <w:spacing w:after="120"/>
              <w:jc w:val="center"/>
              <w:rPr>
                <w:rFonts w:ascii="Times New Roman" w:hAnsi="Times New Roman" w:cs="Times New Roman"/>
                <w:i/>
                <w:sz w:val="18"/>
                <w:szCs w:val="18"/>
              </w:rPr>
            </w:pPr>
            <w:r>
              <w:rPr>
                <w:rFonts w:ascii="Times New Roman" w:hAnsi="Times New Roman" w:cs="Times New Roman"/>
                <w:i/>
                <w:sz w:val="18"/>
                <w:szCs w:val="18"/>
              </w:rPr>
              <w:t>0.5</w:t>
            </w:r>
          </w:p>
        </w:tc>
        <w:tc>
          <w:tcPr>
            <w:tcW w:w="485" w:type="pct"/>
            <w:shd w:val="clear" w:color="auto" w:fill="auto"/>
            <w:vAlign w:val="center"/>
          </w:tcPr>
          <w:p w14:paraId="7E5137DD" w14:textId="1F510ADF" w:rsidR="0004033A" w:rsidRPr="00BC7BB5" w:rsidRDefault="0004033A" w:rsidP="00CB471A">
            <w:pPr>
              <w:spacing w:after="120"/>
              <w:jc w:val="center"/>
              <w:rPr>
                <w:rFonts w:ascii="Times New Roman" w:hAnsi="Times New Roman" w:cs="Times New Roman"/>
                <w:i/>
                <w:sz w:val="18"/>
                <w:szCs w:val="18"/>
              </w:rPr>
            </w:pPr>
            <w:r>
              <w:rPr>
                <w:rFonts w:ascii="Times New Roman" w:hAnsi="Times New Roman" w:cs="Times New Roman"/>
                <w:i/>
                <w:sz w:val="18"/>
                <w:szCs w:val="18"/>
              </w:rPr>
              <w:t>0.25%</w:t>
            </w:r>
          </w:p>
        </w:tc>
        <w:tc>
          <w:tcPr>
            <w:tcW w:w="568" w:type="pct"/>
            <w:shd w:val="clear" w:color="auto" w:fill="auto"/>
            <w:vAlign w:val="center"/>
          </w:tcPr>
          <w:p w14:paraId="0CD910A6" w14:textId="77777777" w:rsidR="0004033A" w:rsidRPr="00BC7BB5" w:rsidRDefault="0004033A" w:rsidP="00CB471A">
            <w:pPr>
              <w:spacing w:after="120"/>
              <w:rPr>
                <w:rFonts w:ascii="Times New Roman" w:hAnsi="Times New Roman" w:cs="Times New Roman"/>
                <w:i/>
                <w:sz w:val="18"/>
                <w:szCs w:val="18"/>
              </w:rPr>
            </w:pPr>
          </w:p>
        </w:tc>
        <w:tc>
          <w:tcPr>
            <w:tcW w:w="493" w:type="pct"/>
            <w:shd w:val="clear" w:color="auto" w:fill="auto"/>
            <w:vAlign w:val="center"/>
          </w:tcPr>
          <w:p w14:paraId="7E60716A" w14:textId="77777777" w:rsidR="0004033A" w:rsidRDefault="0004033A" w:rsidP="00CB471A">
            <w:pPr>
              <w:spacing w:after="120"/>
              <w:jc w:val="center"/>
              <w:rPr>
                <w:rFonts w:ascii="Times New Roman" w:hAnsi="Times New Roman" w:cs="Times New Roman"/>
                <w:i/>
                <w:sz w:val="18"/>
                <w:szCs w:val="18"/>
              </w:rPr>
            </w:pPr>
          </w:p>
        </w:tc>
        <w:tc>
          <w:tcPr>
            <w:tcW w:w="494" w:type="pct"/>
            <w:shd w:val="clear" w:color="auto" w:fill="auto"/>
            <w:vAlign w:val="center"/>
          </w:tcPr>
          <w:p w14:paraId="54EBE9CA" w14:textId="77777777" w:rsidR="0004033A" w:rsidRDefault="0004033A" w:rsidP="00CB471A">
            <w:pPr>
              <w:spacing w:after="120"/>
              <w:jc w:val="center"/>
              <w:rPr>
                <w:rFonts w:ascii="Times New Roman" w:hAnsi="Times New Roman" w:cs="Times New Roman"/>
                <w:i/>
                <w:sz w:val="18"/>
                <w:szCs w:val="18"/>
              </w:rPr>
            </w:pPr>
          </w:p>
        </w:tc>
        <w:tc>
          <w:tcPr>
            <w:tcW w:w="494" w:type="pct"/>
            <w:shd w:val="clear" w:color="auto" w:fill="auto"/>
            <w:vAlign w:val="center"/>
          </w:tcPr>
          <w:p w14:paraId="7974D501" w14:textId="77777777" w:rsidR="0004033A" w:rsidRPr="00BC7BB5" w:rsidRDefault="0004033A" w:rsidP="00CB471A">
            <w:pPr>
              <w:spacing w:after="120"/>
              <w:jc w:val="center"/>
              <w:rPr>
                <w:rFonts w:ascii="Times New Roman" w:hAnsi="Times New Roman" w:cs="Times New Roman"/>
                <w:i/>
                <w:sz w:val="18"/>
                <w:szCs w:val="18"/>
              </w:rPr>
            </w:pPr>
          </w:p>
        </w:tc>
        <w:tc>
          <w:tcPr>
            <w:tcW w:w="491" w:type="pct"/>
            <w:shd w:val="clear" w:color="auto" w:fill="auto"/>
            <w:vAlign w:val="center"/>
          </w:tcPr>
          <w:p w14:paraId="121C736A" w14:textId="77777777" w:rsidR="0004033A" w:rsidRPr="00BC7BB5" w:rsidRDefault="0004033A" w:rsidP="00CB471A">
            <w:pPr>
              <w:spacing w:after="120"/>
              <w:jc w:val="center"/>
              <w:rPr>
                <w:rFonts w:ascii="Times New Roman" w:hAnsi="Times New Roman" w:cs="Times New Roman"/>
                <w:i/>
                <w:sz w:val="18"/>
                <w:szCs w:val="18"/>
              </w:rPr>
            </w:pPr>
          </w:p>
        </w:tc>
        <w:tc>
          <w:tcPr>
            <w:tcW w:w="500" w:type="pct"/>
            <w:shd w:val="clear" w:color="auto" w:fill="auto"/>
            <w:vAlign w:val="center"/>
          </w:tcPr>
          <w:p w14:paraId="68845A49" w14:textId="77777777" w:rsidR="0004033A" w:rsidRPr="00BC7BB5" w:rsidRDefault="0004033A" w:rsidP="00CB471A">
            <w:pPr>
              <w:spacing w:after="120"/>
              <w:jc w:val="center"/>
              <w:rPr>
                <w:rFonts w:ascii="Times New Roman" w:hAnsi="Times New Roman" w:cs="Times New Roman"/>
                <w:i/>
                <w:sz w:val="18"/>
                <w:szCs w:val="18"/>
              </w:rPr>
            </w:pPr>
          </w:p>
        </w:tc>
      </w:tr>
      <w:tr w:rsidR="006A0D48" w:rsidRPr="00BC7BB5" w14:paraId="0C9D80BC" w14:textId="77777777" w:rsidTr="00CB471A">
        <w:trPr>
          <w:trHeight w:val="620"/>
          <w:jc w:val="center"/>
        </w:trPr>
        <w:tc>
          <w:tcPr>
            <w:tcW w:w="1041" w:type="pct"/>
            <w:shd w:val="clear" w:color="auto" w:fill="EEECE1" w:themeFill="background2"/>
            <w:vAlign w:val="center"/>
          </w:tcPr>
          <w:p w14:paraId="34E5786A" w14:textId="77777777" w:rsidR="006A0D48" w:rsidRPr="00BC7BB5" w:rsidRDefault="006A0D48" w:rsidP="00CB471A">
            <w:pPr>
              <w:pStyle w:val="ListParagraph"/>
              <w:ind w:left="0"/>
              <w:rPr>
                <w:rFonts w:ascii="Times New Roman" w:hAnsi="Times New Roman" w:cs="Times New Roman"/>
                <w:b/>
                <w:i/>
                <w:sz w:val="18"/>
                <w:szCs w:val="18"/>
              </w:rPr>
            </w:pPr>
            <w:r w:rsidRPr="00BC7BB5">
              <w:rPr>
                <w:rFonts w:ascii="Times New Roman" w:hAnsi="Times New Roman" w:cs="Times New Roman"/>
                <w:b/>
                <w:i/>
                <w:sz w:val="18"/>
                <w:szCs w:val="18"/>
              </w:rPr>
              <w:t>Total Financing Allocated:</w:t>
            </w:r>
          </w:p>
        </w:tc>
        <w:tc>
          <w:tcPr>
            <w:tcW w:w="434" w:type="pct"/>
            <w:shd w:val="clear" w:color="auto" w:fill="EEECE1" w:themeFill="background2"/>
            <w:vAlign w:val="center"/>
          </w:tcPr>
          <w:p w14:paraId="62493B05" w14:textId="77777777" w:rsidR="006A0D48" w:rsidRPr="00BC7BB5" w:rsidRDefault="006A0D48" w:rsidP="00CB471A">
            <w:pPr>
              <w:jc w:val="center"/>
              <w:rPr>
                <w:rFonts w:ascii="Times New Roman" w:hAnsi="Times New Roman" w:cs="Times New Roman"/>
                <w:b/>
                <w:bCs/>
                <w:i/>
                <w:sz w:val="18"/>
                <w:szCs w:val="18"/>
              </w:rPr>
            </w:pPr>
            <w:r w:rsidRPr="00BC7BB5">
              <w:rPr>
                <w:rFonts w:ascii="Times New Roman" w:hAnsi="Times New Roman" w:cs="Times New Roman"/>
                <w:b/>
                <w:bCs/>
                <w:i/>
                <w:sz w:val="18"/>
                <w:szCs w:val="18"/>
              </w:rPr>
              <w:t>200.00</w:t>
            </w:r>
          </w:p>
        </w:tc>
        <w:tc>
          <w:tcPr>
            <w:tcW w:w="485" w:type="pct"/>
            <w:shd w:val="clear" w:color="auto" w:fill="EEECE1" w:themeFill="background2"/>
            <w:vAlign w:val="center"/>
          </w:tcPr>
          <w:p w14:paraId="2E6A17B8" w14:textId="77777777" w:rsidR="006A0D48" w:rsidRPr="00BC7BB5" w:rsidRDefault="006A0D48" w:rsidP="00CB471A">
            <w:pPr>
              <w:jc w:val="center"/>
              <w:rPr>
                <w:rFonts w:ascii="Times New Roman" w:hAnsi="Times New Roman" w:cs="Times New Roman"/>
                <w:b/>
                <w:bCs/>
                <w:i/>
                <w:sz w:val="18"/>
                <w:szCs w:val="18"/>
              </w:rPr>
            </w:pPr>
            <w:r w:rsidRPr="00BC7BB5">
              <w:rPr>
                <w:rFonts w:ascii="Times New Roman" w:hAnsi="Times New Roman" w:cs="Times New Roman"/>
                <w:b/>
                <w:bCs/>
                <w:i/>
                <w:sz w:val="18"/>
                <w:szCs w:val="18"/>
              </w:rPr>
              <w:t>100%</w:t>
            </w:r>
          </w:p>
        </w:tc>
        <w:tc>
          <w:tcPr>
            <w:tcW w:w="568" w:type="pct"/>
            <w:shd w:val="clear" w:color="auto" w:fill="EEECE1" w:themeFill="background2"/>
            <w:vAlign w:val="center"/>
          </w:tcPr>
          <w:p w14:paraId="371CACB6" w14:textId="20C67F2C" w:rsidR="006A0D48" w:rsidRPr="00BC7BB5" w:rsidRDefault="0004033A" w:rsidP="0004033A">
            <w:pPr>
              <w:jc w:val="center"/>
              <w:rPr>
                <w:rFonts w:ascii="Times New Roman" w:hAnsi="Times New Roman" w:cs="Times New Roman"/>
                <w:b/>
                <w:bCs/>
                <w:i/>
                <w:sz w:val="18"/>
                <w:szCs w:val="18"/>
              </w:rPr>
            </w:pPr>
            <w:r>
              <w:rPr>
                <w:rFonts w:ascii="Times New Roman" w:hAnsi="Times New Roman" w:cs="Times New Roman"/>
                <w:b/>
                <w:bCs/>
                <w:i/>
                <w:sz w:val="18"/>
                <w:szCs w:val="18"/>
              </w:rPr>
              <w:t>0.5</w:t>
            </w:r>
          </w:p>
        </w:tc>
        <w:tc>
          <w:tcPr>
            <w:tcW w:w="493" w:type="pct"/>
            <w:shd w:val="clear" w:color="auto" w:fill="EEECE1" w:themeFill="background2"/>
            <w:vAlign w:val="center"/>
          </w:tcPr>
          <w:p w14:paraId="621A84CD" w14:textId="65CD0DD6" w:rsidR="006A0D48" w:rsidRPr="00BC7BB5" w:rsidRDefault="0004033A" w:rsidP="00CB471A">
            <w:pPr>
              <w:jc w:val="center"/>
              <w:rPr>
                <w:rFonts w:ascii="Times New Roman" w:hAnsi="Times New Roman" w:cs="Times New Roman"/>
                <w:b/>
                <w:bCs/>
                <w:i/>
                <w:sz w:val="18"/>
                <w:szCs w:val="18"/>
              </w:rPr>
            </w:pPr>
            <w:r>
              <w:rPr>
                <w:rFonts w:ascii="Times New Roman" w:hAnsi="Times New Roman" w:cs="Times New Roman"/>
                <w:b/>
                <w:bCs/>
                <w:i/>
                <w:sz w:val="18"/>
                <w:szCs w:val="18"/>
              </w:rPr>
              <w:t>21</w:t>
            </w:r>
            <w:r w:rsidR="006A0D48" w:rsidRPr="00BC7BB5">
              <w:rPr>
                <w:rFonts w:ascii="Times New Roman" w:hAnsi="Times New Roman" w:cs="Times New Roman"/>
                <w:b/>
                <w:bCs/>
                <w:i/>
                <w:sz w:val="18"/>
                <w:szCs w:val="18"/>
              </w:rPr>
              <w:t>.0</w:t>
            </w:r>
          </w:p>
        </w:tc>
        <w:tc>
          <w:tcPr>
            <w:tcW w:w="494" w:type="pct"/>
            <w:shd w:val="clear" w:color="auto" w:fill="EEECE1" w:themeFill="background2"/>
            <w:vAlign w:val="center"/>
          </w:tcPr>
          <w:p w14:paraId="2E659FA4" w14:textId="3A5D90CC" w:rsidR="006A0D48" w:rsidRPr="00BC7BB5" w:rsidRDefault="003608FB" w:rsidP="00CB471A">
            <w:pPr>
              <w:jc w:val="center"/>
              <w:rPr>
                <w:rFonts w:ascii="Times New Roman" w:hAnsi="Times New Roman" w:cs="Times New Roman"/>
                <w:b/>
                <w:bCs/>
                <w:i/>
                <w:sz w:val="18"/>
                <w:szCs w:val="18"/>
              </w:rPr>
            </w:pPr>
            <w:r>
              <w:rPr>
                <w:rFonts w:ascii="Times New Roman" w:hAnsi="Times New Roman" w:cs="Times New Roman"/>
                <w:b/>
                <w:bCs/>
                <w:i/>
                <w:sz w:val="18"/>
                <w:szCs w:val="18"/>
              </w:rPr>
              <w:t>57</w:t>
            </w:r>
            <w:r w:rsidR="0004033A">
              <w:rPr>
                <w:rFonts w:ascii="Times New Roman" w:hAnsi="Times New Roman" w:cs="Times New Roman"/>
                <w:b/>
                <w:bCs/>
                <w:i/>
                <w:sz w:val="18"/>
                <w:szCs w:val="18"/>
              </w:rPr>
              <w:t>.5</w:t>
            </w:r>
          </w:p>
        </w:tc>
        <w:tc>
          <w:tcPr>
            <w:tcW w:w="494" w:type="pct"/>
            <w:shd w:val="clear" w:color="auto" w:fill="EEECE1" w:themeFill="background2"/>
            <w:vAlign w:val="center"/>
          </w:tcPr>
          <w:p w14:paraId="0BAA1107" w14:textId="65B1E880" w:rsidR="006A0D48" w:rsidRPr="00BC7BB5" w:rsidRDefault="0004033A" w:rsidP="00CB471A">
            <w:pPr>
              <w:jc w:val="center"/>
              <w:rPr>
                <w:rFonts w:ascii="Times New Roman" w:hAnsi="Times New Roman" w:cs="Times New Roman"/>
                <w:b/>
                <w:bCs/>
                <w:i/>
                <w:sz w:val="18"/>
                <w:szCs w:val="18"/>
              </w:rPr>
            </w:pPr>
            <w:r>
              <w:rPr>
                <w:rFonts w:ascii="Times New Roman" w:hAnsi="Times New Roman" w:cs="Times New Roman"/>
                <w:b/>
                <w:bCs/>
                <w:i/>
                <w:sz w:val="18"/>
                <w:szCs w:val="18"/>
              </w:rPr>
              <w:t>45.5</w:t>
            </w:r>
          </w:p>
        </w:tc>
        <w:tc>
          <w:tcPr>
            <w:tcW w:w="491" w:type="pct"/>
            <w:shd w:val="clear" w:color="auto" w:fill="EEECE1" w:themeFill="background2"/>
            <w:vAlign w:val="center"/>
          </w:tcPr>
          <w:p w14:paraId="165BE0BC" w14:textId="78A729A4" w:rsidR="006A0D48" w:rsidRPr="00BC7BB5" w:rsidRDefault="0004033A" w:rsidP="00CB471A">
            <w:pPr>
              <w:jc w:val="center"/>
              <w:rPr>
                <w:rFonts w:ascii="Times New Roman" w:hAnsi="Times New Roman" w:cs="Times New Roman"/>
                <w:b/>
                <w:bCs/>
                <w:i/>
                <w:sz w:val="18"/>
                <w:szCs w:val="18"/>
              </w:rPr>
            </w:pPr>
            <w:r>
              <w:rPr>
                <w:rFonts w:ascii="Times New Roman" w:hAnsi="Times New Roman" w:cs="Times New Roman"/>
                <w:b/>
                <w:bCs/>
                <w:i/>
                <w:sz w:val="18"/>
                <w:szCs w:val="18"/>
              </w:rPr>
              <w:t>43.5</w:t>
            </w:r>
          </w:p>
        </w:tc>
        <w:tc>
          <w:tcPr>
            <w:tcW w:w="500" w:type="pct"/>
            <w:shd w:val="clear" w:color="auto" w:fill="EEECE1" w:themeFill="background2"/>
            <w:vAlign w:val="center"/>
          </w:tcPr>
          <w:p w14:paraId="5DC93FB2" w14:textId="19A279DB" w:rsidR="006A0D48" w:rsidRPr="00BC7BB5" w:rsidRDefault="0004033A" w:rsidP="00CB471A">
            <w:pPr>
              <w:jc w:val="center"/>
              <w:rPr>
                <w:rFonts w:ascii="Times New Roman" w:hAnsi="Times New Roman" w:cs="Times New Roman"/>
                <w:b/>
                <w:bCs/>
                <w:i/>
                <w:sz w:val="18"/>
                <w:szCs w:val="18"/>
              </w:rPr>
            </w:pPr>
            <w:r>
              <w:rPr>
                <w:rFonts w:ascii="Times New Roman" w:hAnsi="Times New Roman" w:cs="Times New Roman"/>
                <w:b/>
                <w:bCs/>
                <w:i/>
                <w:sz w:val="18"/>
                <w:szCs w:val="18"/>
              </w:rPr>
              <w:t>32.0</w:t>
            </w:r>
          </w:p>
        </w:tc>
      </w:tr>
    </w:tbl>
    <w:p w14:paraId="11606373" w14:textId="77777777" w:rsidR="006A0D48" w:rsidRPr="00BC7BB5" w:rsidRDefault="006A0D48" w:rsidP="006A0D48">
      <w:pPr>
        <w:pStyle w:val="NoSpacing"/>
        <w:ind w:left="360"/>
        <w:rPr>
          <w:rFonts w:ascii="Times New Roman" w:hAnsi="Times New Roman" w:cs="Times New Roman"/>
          <w:b/>
          <w:sz w:val="18"/>
          <w:szCs w:val="18"/>
        </w:rPr>
      </w:pPr>
    </w:p>
    <w:p w14:paraId="78DE3F18" w14:textId="77777777" w:rsidR="00BB6BC6" w:rsidRDefault="00BB6BC6" w:rsidP="006A0D48">
      <w:pPr>
        <w:pStyle w:val="Attachmenttitle"/>
        <w:jc w:val="center"/>
        <w:rPr>
          <w:sz w:val="22"/>
          <w:szCs w:val="22"/>
        </w:rPr>
      </w:pPr>
    </w:p>
    <w:p w14:paraId="0F6931FB" w14:textId="6316B302" w:rsidR="006A0D48" w:rsidRPr="00BC7BB5" w:rsidRDefault="006A0D48" w:rsidP="006A0D48">
      <w:pPr>
        <w:pStyle w:val="Attachmenttitle"/>
        <w:jc w:val="center"/>
        <w:rPr>
          <w:sz w:val="22"/>
          <w:szCs w:val="22"/>
        </w:rPr>
      </w:pPr>
      <w:r w:rsidRPr="00BC7BB5">
        <w:rPr>
          <w:sz w:val="22"/>
          <w:szCs w:val="22"/>
        </w:rPr>
        <w:t xml:space="preserve">DLI Verification Protocol Table </w:t>
      </w:r>
      <w:r w:rsidRPr="00BC7BB5">
        <w:rPr>
          <w:rStyle w:val="FootnoteReference"/>
          <w:sz w:val="22"/>
          <w:szCs w:val="22"/>
        </w:rPr>
        <w:footnoteReference w:id="27"/>
      </w:r>
    </w:p>
    <w:tbl>
      <w:tblPr>
        <w:tblStyle w:val="TableGrid"/>
        <w:tblW w:w="4794" w:type="pct"/>
        <w:jc w:val="center"/>
        <w:tblLayout w:type="fixed"/>
        <w:tblLook w:val="04A0" w:firstRow="1" w:lastRow="0" w:firstColumn="1" w:lastColumn="0" w:noHBand="0" w:noVBand="1"/>
      </w:tblPr>
      <w:tblGrid>
        <w:gridCol w:w="445"/>
        <w:gridCol w:w="2339"/>
        <w:gridCol w:w="2791"/>
        <w:gridCol w:w="1351"/>
        <w:gridCol w:w="1348"/>
        <w:gridCol w:w="1172"/>
        <w:gridCol w:w="2970"/>
      </w:tblGrid>
      <w:tr w:rsidR="006A0D48" w:rsidRPr="00BC7BB5" w14:paraId="6715EE7E" w14:textId="77777777" w:rsidTr="00DB68CB">
        <w:trPr>
          <w:jc w:val="center"/>
        </w:trPr>
        <w:tc>
          <w:tcPr>
            <w:tcW w:w="179" w:type="pct"/>
            <w:vMerge w:val="restart"/>
            <w:shd w:val="clear" w:color="auto" w:fill="DDD9C3" w:themeFill="background2" w:themeFillShade="E6"/>
          </w:tcPr>
          <w:p w14:paraId="51AF2467" w14:textId="77777777" w:rsidR="006A0D48" w:rsidRPr="00BC7BB5" w:rsidRDefault="006A0D48" w:rsidP="00CB471A">
            <w:pPr>
              <w:spacing w:after="120"/>
              <w:rPr>
                <w:rFonts w:ascii="Times New Roman" w:hAnsi="Times New Roman" w:cs="Times New Roman"/>
                <w:b/>
                <w:i/>
                <w:sz w:val="18"/>
                <w:szCs w:val="18"/>
              </w:rPr>
            </w:pPr>
            <w:r w:rsidRPr="00BC7BB5">
              <w:rPr>
                <w:rFonts w:ascii="Times New Roman" w:hAnsi="Times New Roman" w:cs="Times New Roman"/>
                <w:b/>
                <w:i/>
                <w:sz w:val="18"/>
                <w:szCs w:val="18"/>
              </w:rPr>
              <w:t>#</w:t>
            </w:r>
          </w:p>
        </w:tc>
        <w:tc>
          <w:tcPr>
            <w:tcW w:w="942" w:type="pct"/>
            <w:vMerge w:val="restart"/>
            <w:shd w:val="clear" w:color="auto" w:fill="DDD9C3" w:themeFill="background2" w:themeFillShade="E6"/>
          </w:tcPr>
          <w:p w14:paraId="4714626D" w14:textId="77777777" w:rsidR="006A0D48" w:rsidRPr="00BC7BB5" w:rsidRDefault="006A0D48" w:rsidP="00CB471A">
            <w:pPr>
              <w:spacing w:after="120"/>
              <w:rPr>
                <w:rFonts w:ascii="Times New Roman" w:hAnsi="Times New Roman" w:cs="Times New Roman"/>
                <w:b/>
                <w:i/>
                <w:sz w:val="18"/>
                <w:szCs w:val="18"/>
              </w:rPr>
            </w:pPr>
            <w:r w:rsidRPr="00BC7BB5">
              <w:rPr>
                <w:rFonts w:ascii="Times New Roman" w:hAnsi="Times New Roman" w:cs="Times New Roman"/>
                <w:b/>
                <w:i/>
                <w:sz w:val="18"/>
                <w:szCs w:val="18"/>
              </w:rPr>
              <w:t>DLI</w:t>
            </w:r>
          </w:p>
        </w:tc>
        <w:tc>
          <w:tcPr>
            <w:tcW w:w="1124" w:type="pct"/>
            <w:vMerge w:val="restart"/>
            <w:shd w:val="clear" w:color="auto" w:fill="DDD9C3" w:themeFill="background2" w:themeFillShade="E6"/>
          </w:tcPr>
          <w:p w14:paraId="7410D5B9" w14:textId="77777777" w:rsidR="006A0D48" w:rsidRPr="00BC7BB5" w:rsidRDefault="006A0D48" w:rsidP="00CB471A">
            <w:pPr>
              <w:pStyle w:val="NoSpacing"/>
              <w:spacing w:before="100" w:beforeAutospacing="1" w:after="120"/>
              <w:rPr>
                <w:rFonts w:ascii="Times New Roman" w:hAnsi="Times New Roman" w:cs="Times New Roman"/>
                <w:b/>
                <w:i/>
                <w:sz w:val="18"/>
                <w:szCs w:val="18"/>
              </w:rPr>
            </w:pPr>
            <w:r w:rsidRPr="00BC7BB5">
              <w:rPr>
                <w:rFonts w:ascii="Times New Roman" w:hAnsi="Times New Roman" w:cs="Times New Roman"/>
                <w:b/>
                <w:i/>
                <w:sz w:val="18"/>
                <w:szCs w:val="18"/>
              </w:rPr>
              <w:t>Definition/</w:t>
            </w:r>
          </w:p>
          <w:p w14:paraId="44E40A26" w14:textId="77777777" w:rsidR="006A0D48" w:rsidRPr="00BC7BB5" w:rsidRDefault="006A0D48" w:rsidP="00CB471A">
            <w:pPr>
              <w:pStyle w:val="NoSpacing"/>
              <w:spacing w:after="120"/>
              <w:rPr>
                <w:rFonts w:ascii="Times New Roman" w:hAnsi="Times New Roman" w:cs="Times New Roman"/>
                <w:sz w:val="18"/>
                <w:szCs w:val="18"/>
              </w:rPr>
            </w:pPr>
            <w:r w:rsidRPr="00BC7BB5">
              <w:rPr>
                <w:rFonts w:ascii="Times New Roman" w:hAnsi="Times New Roman" w:cs="Times New Roman"/>
                <w:b/>
                <w:i/>
                <w:sz w:val="18"/>
                <w:szCs w:val="18"/>
              </w:rPr>
              <w:t>Description of achievement</w:t>
            </w:r>
          </w:p>
        </w:tc>
        <w:tc>
          <w:tcPr>
            <w:tcW w:w="544" w:type="pct"/>
            <w:vMerge w:val="restart"/>
            <w:shd w:val="clear" w:color="auto" w:fill="DDD9C3" w:themeFill="background2" w:themeFillShade="E6"/>
          </w:tcPr>
          <w:p w14:paraId="7B663C07" w14:textId="77777777" w:rsidR="006A0D48" w:rsidRPr="00BC7BB5" w:rsidRDefault="006A0D48" w:rsidP="00CB471A">
            <w:pPr>
              <w:spacing w:before="100" w:beforeAutospacing="1" w:after="120"/>
              <w:rPr>
                <w:rFonts w:ascii="Times New Roman" w:hAnsi="Times New Roman" w:cs="Times New Roman"/>
                <w:b/>
                <w:i/>
                <w:sz w:val="18"/>
                <w:szCs w:val="18"/>
              </w:rPr>
            </w:pPr>
            <w:r w:rsidRPr="00BC7BB5">
              <w:rPr>
                <w:rFonts w:ascii="Times New Roman" w:hAnsi="Times New Roman" w:cs="Times New Roman"/>
                <w:b/>
                <w:i/>
                <w:sz w:val="18"/>
                <w:szCs w:val="18"/>
              </w:rPr>
              <w:t>Scalability of Disbursements</w:t>
            </w:r>
          </w:p>
          <w:p w14:paraId="1C19CBC9" w14:textId="77777777" w:rsidR="006A0D48" w:rsidRPr="00BC7BB5" w:rsidRDefault="006A0D48" w:rsidP="00CB471A">
            <w:pPr>
              <w:spacing w:after="120"/>
              <w:rPr>
                <w:rFonts w:ascii="Times New Roman" w:hAnsi="Times New Roman" w:cs="Times New Roman"/>
                <w:b/>
                <w:i/>
                <w:sz w:val="18"/>
                <w:szCs w:val="18"/>
              </w:rPr>
            </w:pPr>
            <w:r w:rsidRPr="00BC7BB5">
              <w:rPr>
                <w:rFonts w:ascii="Times New Roman" w:hAnsi="Times New Roman" w:cs="Times New Roman"/>
                <w:b/>
                <w:i/>
                <w:sz w:val="18"/>
                <w:szCs w:val="18"/>
              </w:rPr>
              <w:t>(Yes/No)</w:t>
            </w:r>
          </w:p>
        </w:tc>
        <w:tc>
          <w:tcPr>
            <w:tcW w:w="2211" w:type="pct"/>
            <w:gridSpan w:val="3"/>
            <w:tcBorders>
              <w:bottom w:val="single" w:sz="4" w:space="0" w:color="auto"/>
            </w:tcBorders>
            <w:shd w:val="clear" w:color="auto" w:fill="DDD9C3" w:themeFill="background2" w:themeFillShade="E6"/>
          </w:tcPr>
          <w:p w14:paraId="24AB9F95" w14:textId="77777777" w:rsidR="006A0D48" w:rsidRPr="00BC7BB5" w:rsidRDefault="006A0D48" w:rsidP="00CB471A">
            <w:pPr>
              <w:spacing w:after="120"/>
              <w:jc w:val="center"/>
              <w:rPr>
                <w:rFonts w:ascii="Times New Roman" w:hAnsi="Times New Roman" w:cs="Times New Roman"/>
                <w:b/>
                <w:i/>
                <w:sz w:val="18"/>
                <w:szCs w:val="18"/>
              </w:rPr>
            </w:pPr>
            <w:r w:rsidRPr="00BC7BB5">
              <w:rPr>
                <w:rFonts w:ascii="Times New Roman" w:hAnsi="Times New Roman" w:cs="Times New Roman"/>
                <w:b/>
                <w:i/>
                <w:sz w:val="18"/>
                <w:szCs w:val="18"/>
              </w:rPr>
              <w:t>Protocol to evaluate achievement of the DLI and data/result verification</w:t>
            </w:r>
          </w:p>
        </w:tc>
      </w:tr>
      <w:tr w:rsidR="006A0D48" w:rsidRPr="00BC7BB5" w14:paraId="383AE215" w14:textId="77777777" w:rsidTr="00DB68CB">
        <w:trPr>
          <w:jc w:val="center"/>
        </w:trPr>
        <w:tc>
          <w:tcPr>
            <w:tcW w:w="179" w:type="pct"/>
            <w:vMerge/>
          </w:tcPr>
          <w:p w14:paraId="4F6B5008" w14:textId="77777777" w:rsidR="006A0D48" w:rsidRPr="00BC7BB5" w:rsidRDefault="006A0D48" w:rsidP="00CB471A">
            <w:pPr>
              <w:spacing w:after="120"/>
              <w:rPr>
                <w:rFonts w:ascii="Times New Roman" w:hAnsi="Times New Roman" w:cs="Times New Roman"/>
                <w:sz w:val="18"/>
                <w:szCs w:val="18"/>
              </w:rPr>
            </w:pPr>
          </w:p>
        </w:tc>
        <w:tc>
          <w:tcPr>
            <w:tcW w:w="942" w:type="pct"/>
            <w:vMerge/>
          </w:tcPr>
          <w:p w14:paraId="62EA3133" w14:textId="77777777" w:rsidR="006A0D48" w:rsidRPr="00BC7BB5" w:rsidRDefault="006A0D48" w:rsidP="00CB471A">
            <w:pPr>
              <w:spacing w:after="120"/>
              <w:rPr>
                <w:rFonts w:ascii="Times New Roman" w:hAnsi="Times New Roman" w:cs="Times New Roman"/>
                <w:sz w:val="18"/>
                <w:szCs w:val="18"/>
              </w:rPr>
            </w:pPr>
          </w:p>
        </w:tc>
        <w:tc>
          <w:tcPr>
            <w:tcW w:w="1124" w:type="pct"/>
            <w:vMerge/>
          </w:tcPr>
          <w:p w14:paraId="4D6E59C1" w14:textId="77777777" w:rsidR="006A0D48" w:rsidRPr="00BC7BB5" w:rsidRDefault="006A0D48" w:rsidP="00CB471A">
            <w:pPr>
              <w:spacing w:after="120"/>
              <w:rPr>
                <w:rFonts w:ascii="Times New Roman" w:hAnsi="Times New Roman" w:cs="Times New Roman"/>
                <w:sz w:val="18"/>
                <w:szCs w:val="18"/>
              </w:rPr>
            </w:pPr>
          </w:p>
        </w:tc>
        <w:tc>
          <w:tcPr>
            <w:tcW w:w="544" w:type="pct"/>
            <w:vMerge/>
            <w:tcBorders>
              <w:right w:val="single" w:sz="4" w:space="0" w:color="auto"/>
            </w:tcBorders>
          </w:tcPr>
          <w:p w14:paraId="1D760DFE" w14:textId="77777777" w:rsidR="006A0D48" w:rsidRPr="00BC7BB5" w:rsidRDefault="006A0D48" w:rsidP="00CB471A">
            <w:pPr>
              <w:spacing w:after="120"/>
              <w:rPr>
                <w:rFonts w:ascii="Times New Roman" w:hAnsi="Times New Roman" w:cs="Times New Roman"/>
                <w:sz w:val="18"/>
                <w:szCs w:val="18"/>
              </w:rPr>
            </w:pPr>
          </w:p>
        </w:tc>
        <w:tc>
          <w:tcPr>
            <w:tcW w:w="543" w:type="pct"/>
            <w:tcBorders>
              <w:top w:val="single" w:sz="4" w:space="0" w:color="auto"/>
              <w:left w:val="single" w:sz="4" w:space="0" w:color="auto"/>
              <w:bottom w:val="single" w:sz="4" w:space="0" w:color="auto"/>
              <w:right w:val="single" w:sz="4" w:space="0" w:color="auto"/>
            </w:tcBorders>
            <w:shd w:val="clear" w:color="auto" w:fill="DDD9C3" w:themeFill="background2" w:themeFillShade="E6"/>
          </w:tcPr>
          <w:p w14:paraId="55038AAF" w14:textId="77777777" w:rsidR="006A0D48" w:rsidRPr="00BC7BB5" w:rsidRDefault="006A0D48" w:rsidP="00CB471A">
            <w:pPr>
              <w:spacing w:after="120"/>
              <w:jc w:val="center"/>
              <w:rPr>
                <w:rFonts w:ascii="Times New Roman" w:hAnsi="Times New Roman" w:cs="Times New Roman"/>
                <w:b/>
                <w:i/>
                <w:sz w:val="18"/>
                <w:szCs w:val="18"/>
              </w:rPr>
            </w:pPr>
            <w:r w:rsidRPr="00BC7BB5">
              <w:rPr>
                <w:rFonts w:ascii="Times New Roman" w:hAnsi="Times New Roman" w:cs="Times New Roman"/>
                <w:b/>
                <w:i/>
                <w:sz w:val="18"/>
                <w:szCs w:val="18"/>
              </w:rPr>
              <w:t>Data source</w:t>
            </w:r>
          </w:p>
          <w:p w14:paraId="03EC4B5F" w14:textId="77777777" w:rsidR="006A0D48" w:rsidRPr="00BC7BB5" w:rsidRDefault="006A0D48" w:rsidP="00CB471A">
            <w:pPr>
              <w:spacing w:after="120"/>
              <w:jc w:val="center"/>
              <w:rPr>
                <w:rFonts w:ascii="Times New Roman" w:hAnsi="Times New Roman" w:cs="Times New Roman"/>
                <w:b/>
                <w:i/>
                <w:sz w:val="18"/>
                <w:szCs w:val="18"/>
              </w:rPr>
            </w:pPr>
            <w:r w:rsidRPr="00BC7BB5">
              <w:rPr>
                <w:rFonts w:ascii="Times New Roman" w:hAnsi="Times New Roman" w:cs="Times New Roman"/>
                <w:b/>
                <w:i/>
                <w:sz w:val="18"/>
                <w:szCs w:val="18"/>
              </w:rPr>
              <w:t>/Agency</w:t>
            </w:r>
          </w:p>
        </w:tc>
        <w:tc>
          <w:tcPr>
            <w:tcW w:w="472" w:type="pct"/>
            <w:tcBorders>
              <w:top w:val="single" w:sz="4" w:space="0" w:color="auto"/>
              <w:left w:val="single" w:sz="4" w:space="0" w:color="auto"/>
              <w:bottom w:val="single" w:sz="4" w:space="0" w:color="auto"/>
              <w:right w:val="single" w:sz="4" w:space="0" w:color="auto"/>
            </w:tcBorders>
            <w:shd w:val="clear" w:color="auto" w:fill="DDD9C3" w:themeFill="background2" w:themeFillShade="E6"/>
          </w:tcPr>
          <w:p w14:paraId="1B142F4A" w14:textId="77777777" w:rsidR="006A0D48" w:rsidRPr="00BC7BB5" w:rsidRDefault="006A0D48" w:rsidP="00CB471A">
            <w:pPr>
              <w:spacing w:after="120"/>
              <w:jc w:val="center"/>
              <w:rPr>
                <w:rFonts w:ascii="Times New Roman" w:hAnsi="Times New Roman" w:cs="Times New Roman"/>
                <w:b/>
                <w:i/>
                <w:sz w:val="18"/>
                <w:szCs w:val="18"/>
              </w:rPr>
            </w:pPr>
            <w:r w:rsidRPr="00BC7BB5">
              <w:rPr>
                <w:rFonts w:ascii="Times New Roman" w:hAnsi="Times New Roman" w:cs="Times New Roman"/>
                <w:b/>
                <w:i/>
                <w:sz w:val="18"/>
                <w:szCs w:val="18"/>
              </w:rPr>
              <w:t>Verification Entity</w:t>
            </w:r>
          </w:p>
        </w:tc>
        <w:tc>
          <w:tcPr>
            <w:tcW w:w="1196" w:type="pct"/>
            <w:tcBorders>
              <w:top w:val="single" w:sz="4" w:space="0" w:color="auto"/>
              <w:left w:val="single" w:sz="4" w:space="0" w:color="auto"/>
              <w:bottom w:val="single" w:sz="4" w:space="0" w:color="auto"/>
              <w:right w:val="single" w:sz="4" w:space="0" w:color="auto"/>
            </w:tcBorders>
            <w:shd w:val="clear" w:color="auto" w:fill="DDD9C3" w:themeFill="background2" w:themeFillShade="E6"/>
          </w:tcPr>
          <w:p w14:paraId="7066F110" w14:textId="77777777" w:rsidR="006A0D48" w:rsidRPr="00BC7BB5" w:rsidRDefault="006A0D48" w:rsidP="00CB471A">
            <w:pPr>
              <w:spacing w:after="120"/>
              <w:jc w:val="center"/>
              <w:rPr>
                <w:rFonts w:ascii="Times New Roman" w:hAnsi="Times New Roman" w:cs="Times New Roman"/>
                <w:b/>
                <w:i/>
                <w:sz w:val="18"/>
                <w:szCs w:val="18"/>
              </w:rPr>
            </w:pPr>
            <w:r w:rsidRPr="00BC7BB5">
              <w:rPr>
                <w:rFonts w:ascii="Times New Roman" w:hAnsi="Times New Roman" w:cs="Times New Roman"/>
                <w:b/>
                <w:i/>
                <w:sz w:val="18"/>
                <w:szCs w:val="18"/>
              </w:rPr>
              <w:t>Procedure</w:t>
            </w:r>
          </w:p>
        </w:tc>
      </w:tr>
      <w:tr w:rsidR="006A0D48" w:rsidRPr="00BC7BB5" w14:paraId="38F16EB9" w14:textId="77777777" w:rsidTr="00DB68CB">
        <w:trPr>
          <w:trHeight w:val="791"/>
          <w:jc w:val="center"/>
        </w:trPr>
        <w:tc>
          <w:tcPr>
            <w:tcW w:w="179" w:type="pct"/>
            <w:vAlign w:val="center"/>
          </w:tcPr>
          <w:p w14:paraId="46000F6D" w14:textId="77777777" w:rsidR="006A0D48" w:rsidRPr="00BC7BB5" w:rsidRDefault="006A0D48" w:rsidP="00CB471A">
            <w:pPr>
              <w:spacing w:after="120"/>
              <w:rPr>
                <w:rFonts w:ascii="Times New Roman" w:hAnsi="Times New Roman" w:cs="Times New Roman"/>
                <w:sz w:val="18"/>
                <w:szCs w:val="18"/>
              </w:rPr>
            </w:pPr>
            <w:r w:rsidRPr="00BC7BB5">
              <w:rPr>
                <w:rFonts w:ascii="Times New Roman" w:hAnsi="Times New Roman" w:cs="Times New Roman"/>
                <w:sz w:val="18"/>
                <w:szCs w:val="18"/>
              </w:rPr>
              <w:t>1</w:t>
            </w:r>
          </w:p>
        </w:tc>
        <w:tc>
          <w:tcPr>
            <w:tcW w:w="942" w:type="pct"/>
            <w:vAlign w:val="center"/>
          </w:tcPr>
          <w:p w14:paraId="0B5CB399" w14:textId="21400714" w:rsidR="006A0D48" w:rsidRPr="00BC7BB5" w:rsidRDefault="00B656F6" w:rsidP="00CB471A">
            <w:pPr>
              <w:pStyle w:val="ListParagraph"/>
              <w:spacing w:after="120"/>
              <w:ind w:left="0"/>
              <w:rPr>
                <w:rFonts w:ascii="Times New Roman" w:hAnsi="Times New Roman" w:cs="Times New Roman"/>
                <w:sz w:val="18"/>
                <w:szCs w:val="18"/>
              </w:rPr>
            </w:pPr>
            <w:r w:rsidRPr="00B656F6">
              <w:rPr>
                <w:rFonts w:ascii="Times New Roman" w:hAnsi="Times New Roman" w:cs="Times New Roman"/>
                <w:sz w:val="18"/>
                <w:szCs w:val="18"/>
              </w:rPr>
              <w:t>Number of</w:t>
            </w:r>
            <w:r>
              <w:rPr>
                <w:rFonts w:ascii="Times New Roman" w:hAnsi="Times New Roman" w:cs="Times New Roman"/>
                <w:i/>
                <w:sz w:val="18"/>
                <w:szCs w:val="18"/>
              </w:rPr>
              <w:t xml:space="preserve"> </w:t>
            </w:r>
            <w:r w:rsidR="006A0D48" w:rsidRPr="00BC7BB5">
              <w:rPr>
                <w:rFonts w:ascii="Times New Roman" w:hAnsi="Times New Roman" w:cs="Times New Roman"/>
                <w:i/>
                <w:sz w:val="18"/>
                <w:szCs w:val="18"/>
              </w:rPr>
              <w:t>Interprofessions</w:t>
            </w:r>
            <w:r w:rsidR="006A0D48" w:rsidRPr="00BC7BB5">
              <w:rPr>
                <w:rFonts w:ascii="Times New Roman" w:hAnsi="Times New Roman" w:cs="Times New Roman"/>
                <w:sz w:val="18"/>
                <w:szCs w:val="18"/>
              </w:rPr>
              <w:t xml:space="preserve"> with business plans approved an</w:t>
            </w:r>
            <w:r w:rsidR="00FE6D50">
              <w:rPr>
                <w:rFonts w:ascii="Times New Roman" w:hAnsi="Times New Roman" w:cs="Times New Roman"/>
                <w:sz w:val="18"/>
                <w:szCs w:val="18"/>
              </w:rPr>
              <w:t>d intra-branch agreements adopted</w:t>
            </w:r>
            <w:r w:rsidR="006A0D48" w:rsidRPr="00BC7BB5">
              <w:rPr>
                <w:rFonts w:ascii="Times New Roman" w:hAnsi="Times New Roman" w:cs="Times New Roman"/>
                <w:sz w:val="18"/>
                <w:szCs w:val="18"/>
              </w:rPr>
              <w:t xml:space="preserve"> to ensure sustainability</w:t>
            </w:r>
          </w:p>
        </w:tc>
        <w:tc>
          <w:tcPr>
            <w:tcW w:w="1124" w:type="pct"/>
            <w:vAlign w:val="center"/>
          </w:tcPr>
          <w:p w14:paraId="7E62B6BD" w14:textId="3FCB7DE0" w:rsidR="006A0D48" w:rsidRPr="00BC7BB5" w:rsidRDefault="00D62281" w:rsidP="00CB471A">
            <w:pPr>
              <w:spacing w:after="120"/>
              <w:rPr>
                <w:rFonts w:ascii="Times New Roman" w:hAnsi="Times New Roman" w:cs="Times New Roman"/>
                <w:sz w:val="18"/>
                <w:szCs w:val="18"/>
              </w:rPr>
            </w:pPr>
            <w:r>
              <w:rPr>
                <w:rFonts w:ascii="Times New Roman" w:hAnsi="Times New Roman" w:cs="Times New Roman"/>
                <w:sz w:val="18"/>
                <w:szCs w:val="18"/>
              </w:rPr>
              <w:t>Number of i</w:t>
            </w:r>
            <w:r w:rsidR="006A0D48" w:rsidRPr="00BC7BB5">
              <w:rPr>
                <w:rFonts w:ascii="Times New Roman" w:hAnsi="Times New Roman" w:cs="Times New Roman"/>
                <w:sz w:val="18"/>
                <w:szCs w:val="18"/>
              </w:rPr>
              <w:t>nterprofessions with</w:t>
            </w:r>
            <w:r w:rsidR="009D3B21">
              <w:rPr>
                <w:rFonts w:ascii="Times New Roman" w:hAnsi="Times New Roman" w:cs="Times New Roman"/>
                <w:sz w:val="18"/>
                <w:szCs w:val="18"/>
              </w:rPr>
              <w:t>:</w:t>
            </w:r>
            <w:r w:rsidR="006A0D48" w:rsidRPr="00BC7BB5">
              <w:rPr>
                <w:rFonts w:ascii="Times New Roman" w:hAnsi="Times New Roman" w:cs="Times New Roman"/>
                <w:sz w:val="18"/>
                <w:szCs w:val="18"/>
              </w:rPr>
              <w:t xml:space="preserve"> </w:t>
            </w:r>
            <w:r w:rsidR="009D3B21">
              <w:rPr>
                <w:rFonts w:ascii="Times New Roman" w:hAnsi="Times New Roman" w:cs="Times New Roman"/>
                <w:sz w:val="18"/>
                <w:szCs w:val="18"/>
              </w:rPr>
              <w:t xml:space="preserve">(a) </w:t>
            </w:r>
            <w:r w:rsidR="00F36E44" w:rsidRPr="00BC7BB5">
              <w:rPr>
                <w:rFonts w:ascii="Times New Roman" w:hAnsi="Times New Roman" w:cs="Times New Roman"/>
                <w:sz w:val="18"/>
                <w:szCs w:val="18"/>
              </w:rPr>
              <w:t xml:space="preserve">their </w:t>
            </w:r>
            <w:r w:rsidR="006A0D48" w:rsidRPr="00BC7BB5">
              <w:rPr>
                <w:rFonts w:ascii="Times New Roman" w:hAnsi="Times New Roman" w:cs="Times New Roman"/>
                <w:sz w:val="18"/>
                <w:szCs w:val="18"/>
              </w:rPr>
              <w:t>busine</w:t>
            </w:r>
            <w:r w:rsidR="00FE6D50">
              <w:rPr>
                <w:rFonts w:ascii="Times New Roman" w:hAnsi="Times New Roman" w:cs="Times New Roman"/>
                <w:sz w:val="18"/>
                <w:szCs w:val="18"/>
              </w:rPr>
              <w:t xml:space="preserve">ss plans approved by their </w:t>
            </w:r>
            <w:r w:rsidR="009D3B21">
              <w:rPr>
                <w:rFonts w:ascii="Times New Roman" w:hAnsi="Times New Roman" w:cs="Times New Roman"/>
                <w:sz w:val="18"/>
                <w:szCs w:val="18"/>
              </w:rPr>
              <w:t xml:space="preserve">respective board; </w:t>
            </w:r>
            <w:r w:rsidR="00F36E44" w:rsidRPr="00BC7BB5">
              <w:rPr>
                <w:rFonts w:ascii="Times New Roman" w:hAnsi="Times New Roman" w:cs="Times New Roman"/>
                <w:sz w:val="18"/>
                <w:szCs w:val="18"/>
              </w:rPr>
              <w:t xml:space="preserve">and </w:t>
            </w:r>
            <w:r w:rsidR="009D3B21">
              <w:rPr>
                <w:rFonts w:ascii="Times New Roman" w:hAnsi="Times New Roman" w:cs="Times New Roman"/>
                <w:sz w:val="18"/>
                <w:szCs w:val="18"/>
              </w:rPr>
              <w:t xml:space="preserve">(b) </w:t>
            </w:r>
            <w:r w:rsidR="00F36E44" w:rsidRPr="00BC7BB5">
              <w:rPr>
                <w:rFonts w:ascii="Times New Roman" w:hAnsi="Times New Roman" w:cs="Times New Roman"/>
                <w:sz w:val="18"/>
                <w:szCs w:val="18"/>
              </w:rPr>
              <w:t xml:space="preserve">with </w:t>
            </w:r>
            <w:r w:rsidR="006A0D48" w:rsidRPr="00BC7BB5">
              <w:rPr>
                <w:rFonts w:ascii="Times New Roman" w:hAnsi="Times New Roman" w:cs="Times New Roman"/>
                <w:i/>
                <w:sz w:val="18"/>
                <w:szCs w:val="18"/>
              </w:rPr>
              <w:t>Accord interprofessionel</w:t>
            </w:r>
            <w:r w:rsidR="006A0D48" w:rsidRPr="00BC7BB5">
              <w:rPr>
                <w:rFonts w:ascii="Times New Roman" w:hAnsi="Times New Roman" w:cs="Times New Roman"/>
                <w:sz w:val="18"/>
                <w:szCs w:val="18"/>
              </w:rPr>
              <w:t xml:space="preserve"> (intra-branch fi</w:t>
            </w:r>
            <w:r w:rsidR="00F36E44" w:rsidRPr="00BC7BB5">
              <w:rPr>
                <w:rFonts w:ascii="Times New Roman" w:hAnsi="Times New Roman" w:cs="Times New Roman"/>
                <w:sz w:val="18"/>
                <w:szCs w:val="18"/>
              </w:rPr>
              <w:t xml:space="preserve">nancing agreement) </w:t>
            </w:r>
            <w:r w:rsidR="00FE6D50">
              <w:rPr>
                <w:rFonts w:ascii="Times New Roman" w:hAnsi="Times New Roman" w:cs="Times New Roman"/>
                <w:sz w:val="18"/>
                <w:szCs w:val="18"/>
              </w:rPr>
              <w:t>adopted</w:t>
            </w:r>
            <w:r w:rsidR="00F36E44" w:rsidRPr="00BC7BB5">
              <w:rPr>
                <w:rFonts w:ascii="Times New Roman" w:hAnsi="Times New Roman" w:cs="Times New Roman"/>
                <w:sz w:val="18"/>
                <w:szCs w:val="18"/>
              </w:rPr>
              <w:t xml:space="preserve"> by their</w:t>
            </w:r>
            <w:r w:rsidR="006A0D48" w:rsidRPr="00BC7BB5">
              <w:rPr>
                <w:rFonts w:ascii="Times New Roman" w:hAnsi="Times New Roman" w:cs="Times New Roman"/>
                <w:sz w:val="18"/>
                <w:szCs w:val="18"/>
              </w:rPr>
              <w:t xml:space="preserve"> members </w:t>
            </w:r>
            <w:r w:rsidR="00FE6D50">
              <w:rPr>
                <w:rFonts w:ascii="Times New Roman" w:hAnsi="Times New Roman" w:cs="Times New Roman"/>
                <w:sz w:val="18"/>
                <w:szCs w:val="18"/>
              </w:rPr>
              <w:t>(through the General Assembly)</w:t>
            </w:r>
            <w:r w:rsidR="009D3B21">
              <w:rPr>
                <w:rFonts w:ascii="Times New Roman" w:hAnsi="Times New Roman" w:cs="Times New Roman"/>
                <w:sz w:val="18"/>
                <w:szCs w:val="18"/>
              </w:rPr>
              <w:t xml:space="preserve"> under terms and conditions acceptable to the Bank</w:t>
            </w:r>
          </w:p>
        </w:tc>
        <w:tc>
          <w:tcPr>
            <w:tcW w:w="544" w:type="pct"/>
            <w:vAlign w:val="center"/>
          </w:tcPr>
          <w:p w14:paraId="2C097FC6" w14:textId="77777777" w:rsidR="006A0D48" w:rsidRPr="00BC7BB5" w:rsidRDefault="006A0D48" w:rsidP="00CB471A">
            <w:pPr>
              <w:spacing w:after="120"/>
              <w:rPr>
                <w:rFonts w:ascii="Times New Roman" w:hAnsi="Times New Roman" w:cs="Times New Roman"/>
                <w:sz w:val="18"/>
                <w:szCs w:val="18"/>
              </w:rPr>
            </w:pPr>
            <w:r w:rsidRPr="00BC7BB5">
              <w:rPr>
                <w:rFonts w:ascii="Times New Roman" w:hAnsi="Times New Roman" w:cs="Times New Roman"/>
                <w:sz w:val="18"/>
                <w:szCs w:val="18"/>
              </w:rPr>
              <w:t>Yes</w:t>
            </w:r>
          </w:p>
        </w:tc>
        <w:tc>
          <w:tcPr>
            <w:tcW w:w="543" w:type="pct"/>
            <w:tcBorders>
              <w:top w:val="single" w:sz="4" w:space="0" w:color="auto"/>
            </w:tcBorders>
            <w:vAlign w:val="center"/>
          </w:tcPr>
          <w:p w14:paraId="0377A660" w14:textId="77777777" w:rsidR="006A0D48" w:rsidRPr="00BC7BB5" w:rsidRDefault="006A0D48" w:rsidP="00CB471A">
            <w:pPr>
              <w:spacing w:after="120"/>
              <w:rPr>
                <w:rFonts w:ascii="Times New Roman" w:hAnsi="Times New Roman" w:cs="Times New Roman"/>
                <w:sz w:val="18"/>
                <w:szCs w:val="18"/>
              </w:rPr>
            </w:pPr>
            <w:r w:rsidRPr="00BC7BB5">
              <w:rPr>
                <w:rFonts w:ascii="Times New Roman" w:hAnsi="Times New Roman" w:cs="Times New Roman"/>
                <w:sz w:val="18"/>
                <w:szCs w:val="18"/>
              </w:rPr>
              <w:t xml:space="preserve">Interprofession </w:t>
            </w:r>
          </w:p>
        </w:tc>
        <w:tc>
          <w:tcPr>
            <w:tcW w:w="472" w:type="pct"/>
            <w:tcBorders>
              <w:top w:val="single" w:sz="4" w:space="0" w:color="auto"/>
            </w:tcBorders>
          </w:tcPr>
          <w:p w14:paraId="20366361" w14:textId="77777777" w:rsidR="006A0D48" w:rsidRPr="00BC7BB5" w:rsidRDefault="006A0D48" w:rsidP="00CB471A">
            <w:pPr>
              <w:spacing w:after="120"/>
              <w:rPr>
                <w:rFonts w:ascii="Times New Roman" w:hAnsi="Times New Roman" w:cs="Times New Roman"/>
                <w:sz w:val="18"/>
                <w:szCs w:val="18"/>
              </w:rPr>
            </w:pPr>
          </w:p>
          <w:p w14:paraId="618F440C" w14:textId="77777777" w:rsidR="006A0D48" w:rsidRPr="00BC7BB5" w:rsidRDefault="006A0D48" w:rsidP="00CB471A">
            <w:pPr>
              <w:spacing w:after="120"/>
              <w:rPr>
                <w:rFonts w:ascii="Times New Roman" w:hAnsi="Times New Roman" w:cs="Times New Roman"/>
                <w:sz w:val="18"/>
                <w:szCs w:val="18"/>
              </w:rPr>
            </w:pPr>
            <w:r w:rsidRPr="00BC7BB5">
              <w:rPr>
                <w:rFonts w:ascii="Times New Roman" w:hAnsi="Times New Roman" w:cs="Times New Roman"/>
                <w:sz w:val="18"/>
                <w:szCs w:val="18"/>
              </w:rPr>
              <w:t>IGA</w:t>
            </w:r>
          </w:p>
        </w:tc>
        <w:tc>
          <w:tcPr>
            <w:tcW w:w="1196" w:type="pct"/>
            <w:tcBorders>
              <w:top w:val="single" w:sz="4" w:space="0" w:color="auto"/>
            </w:tcBorders>
            <w:vAlign w:val="center"/>
          </w:tcPr>
          <w:p w14:paraId="503268F5" w14:textId="77777777" w:rsidR="006A0D48" w:rsidRPr="00BC7BB5" w:rsidRDefault="006A0D48" w:rsidP="00CB471A">
            <w:pPr>
              <w:spacing w:after="120"/>
              <w:rPr>
                <w:rFonts w:ascii="Times New Roman" w:hAnsi="Times New Roman" w:cs="Times New Roman"/>
                <w:sz w:val="18"/>
                <w:szCs w:val="18"/>
              </w:rPr>
            </w:pPr>
            <w:r w:rsidRPr="00BC7BB5">
              <w:rPr>
                <w:rFonts w:ascii="Times New Roman" w:hAnsi="Times New Roman" w:cs="Times New Roman"/>
                <w:sz w:val="18"/>
                <w:szCs w:val="18"/>
              </w:rPr>
              <w:t xml:space="preserve">Verified by the IGA by reviewing the business plans and agreements. </w:t>
            </w:r>
          </w:p>
        </w:tc>
      </w:tr>
      <w:tr w:rsidR="006A0D48" w:rsidRPr="00BC7BB5" w14:paraId="298F40DA" w14:textId="77777777" w:rsidTr="00DB68CB">
        <w:trPr>
          <w:jc w:val="center"/>
        </w:trPr>
        <w:tc>
          <w:tcPr>
            <w:tcW w:w="179" w:type="pct"/>
            <w:vAlign w:val="center"/>
          </w:tcPr>
          <w:p w14:paraId="21318261" w14:textId="77777777" w:rsidR="006A0D48" w:rsidRPr="00BC7BB5" w:rsidRDefault="006A0D48" w:rsidP="00CB471A">
            <w:pPr>
              <w:spacing w:after="120"/>
              <w:rPr>
                <w:rFonts w:ascii="Times New Roman" w:hAnsi="Times New Roman" w:cs="Times New Roman"/>
                <w:sz w:val="18"/>
                <w:szCs w:val="18"/>
              </w:rPr>
            </w:pPr>
            <w:r w:rsidRPr="00BC7BB5">
              <w:rPr>
                <w:rFonts w:ascii="Times New Roman" w:hAnsi="Times New Roman" w:cs="Times New Roman"/>
                <w:sz w:val="18"/>
                <w:szCs w:val="18"/>
              </w:rPr>
              <w:t>2</w:t>
            </w:r>
          </w:p>
        </w:tc>
        <w:tc>
          <w:tcPr>
            <w:tcW w:w="942" w:type="pct"/>
            <w:vAlign w:val="center"/>
          </w:tcPr>
          <w:p w14:paraId="03638E8C" w14:textId="53679753" w:rsidR="006A0D48" w:rsidRPr="00BC7BB5" w:rsidRDefault="006A0D48" w:rsidP="00CB471A">
            <w:pPr>
              <w:spacing w:after="120"/>
              <w:rPr>
                <w:rFonts w:ascii="Times New Roman" w:hAnsi="Times New Roman" w:cs="Times New Roman"/>
                <w:sz w:val="18"/>
                <w:szCs w:val="18"/>
              </w:rPr>
            </w:pPr>
            <w:r w:rsidRPr="00BC7BB5">
              <w:rPr>
                <w:rFonts w:ascii="Times New Roman" w:hAnsi="Times New Roman" w:cs="Times New Roman"/>
                <w:sz w:val="18"/>
                <w:szCs w:val="18"/>
              </w:rPr>
              <w:t xml:space="preserve">Amended Law </w:t>
            </w:r>
            <w:r w:rsidR="00FE6D50">
              <w:rPr>
                <w:rFonts w:ascii="Times New Roman" w:hAnsi="Times New Roman" w:cs="Times New Roman"/>
                <w:sz w:val="18"/>
                <w:szCs w:val="18"/>
              </w:rPr>
              <w:t xml:space="preserve">no. 4-12 </w:t>
            </w:r>
            <w:r w:rsidRPr="00BC7BB5">
              <w:rPr>
                <w:rFonts w:ascii="Times New Roman" w:hAnsi="Times New Roman" w:cs="Times New Roman"/>
                <w:sz w:val="18"/>
                <w:szCs w:val="18"/>
              </w:rPr>
              <w:t xml:space="preserve">on </w:t>
            </w:r>
            <w:r w:rsidR="00B656F6">
              <w:rPr>
                <w:rFonts w:ascii="Times New Roman" w:hAnsi="Times New Roman" w:cs="Times New Roman"/>
                <w:sz w:val="18"/>
                <w:szCs w:val="18"/>
              </w:rPr>
              <w:t>Agricultur</w:t>
            </w:r>
            <w:r w:rsidR="009D3B21">
              <w:rPr>
                <w:rFonts w:ascii="Times New Roman" w:hAnsi="Times New Roman" w:cs="Times New Roman"/>
                <w:sz w:val="18"/>
                <w:szCs w:val="18"/>
              </w:rPr>
              <w:t>al</w:t>
            </w:r>
            <w:r w:rsidR="00B656F6">
              <w:rPr>
                <w:rFonts w:ascii="Times New Roman" w:hAnsi="Times New Roman" w:cs="Times New Roman"/>
                <w:sz w:val="18"/>
                <w:szCs w:val="18"/>
              </w:rPr>
              <w:t xml:space="preserve"> </w:t>
            </w:r>
            <w:r w:rsidRPr="00BC7BB5">
              <w:rPr>
                <w:rFonts w:ascii="Times New Roman" w:hAnsi="Times New Roman" w:cs="Times New Roman"/>
                <w:sz w:val="18"/>
                <w:szCs w:val="18"/>
              </w:rPr>
              <w:t xml:space="preserve">Aggregation </w:t>
            </w:r>
            <w:r w:rsidR="00FE6D50">
              <w:rPr>
                <w:rFonts w:ascii="Times New Roman" w:hAnsi="Times New Roman" w:cs="Times New Roman"/>
                <w:sz w:val="18"/>
                <w:szCs w:val="18"/>
              </w:rPr>
              <w:t>dated 2012 is under implementation</w:t>
            </w:r>
          </w:p>
          <w:p w14:paraId="543CD6AB" w14:textId="18674917" w:rsidR="00FE6D50" w:rsidRDefault="00FE6D50" w:rsidP="00CB471A">
            <w:pPr>
              <w:spacing w:after="120"/>
              <w:rPr>
                <w:rFonts w:ascii="Times New Roman" w:hAnsi="Times New Roman" w:cs="Times New Roman"/>
                <w:sz w:val="18"/>
                <w:szCs w:val="18"/>
              </w:rPr>
            </w:pPr>
            <w:r>
              <w:rPr>
                <w:rFonts w:ascii="Times New Roman" w:hAnsi="Times New Roman" w:cs="Times New Roman"/>
                <w:sz w:val="18"/>
                <w:szCs w:val="18"/>
              </w:rPr>
              <w:t>2.1 Adoption by the Council of Government</w:t>
            </w:r>
          </w:p>
          <w:p w14:paraId="1D603307" w14:textId="7FC218C2" w:rsidR="006A0D48" w:rsidRPr="00BC7BB5" w:rsidRDefault="00FE6D50" w:rsidP="00CB471A">
            <w:pPr>
              <w:spacing w:after="120"/>
              <w:rPr>
                <w:rFonts w:ascii="Times New Roman" w:hAnsi="Times New Roman" w:cs="Times New Roman"/>
                <w:sz w:val="18"/>
                <w:szCs w:val="18"/>
              </w:rPr>
            </w:pPr>
            <w:r>
              <w:rPr>
                <w:rFonts w:ascii="Times New Roman" w:hAnsi="Times New Roman" w:cs="Times New Roman"/>
                <w:sz w:val="18"/>
                <w:szCs w:val="18"/>
              </w:rPr>
              <w:t>2.2</w:t>
            </w:r>
            <w:r w:rsidR="006A0D48" w:rsidRPr="00BC7BB5">
              <w:rPr>
                <w:rFonts w:ascii="Times New Roman" w:hAnsi="Times New Roman" w:cs="Times New Roman"/>
                <w:sz w:val="18"/>
                <w:szCs w:val="18"/>
              </w:rPr>
              <w:t xml:space="preserve"> Amended Law published </w:t>
            </w:r>
          </w:p>
          <w:p w14:paraId="0E9266CB" w14:textId="65A4C804" w:rsidR="006A0D48" w:rsidRPr="00BC7BB5" w:rsidRDefault="00FE6D50" w:rsidP="00CB471A">
            <w:pPr>
              <w:pStyle w:val="ListParagraph"/>
              <w:spacing w:after="120"/>
              <w:ind w:left="0"/>
              <w:rPr>
                <w:rFonts w:ascii="Times New Roman" w:hAnsi="Times New Roman" w:cs="Times New Roman"/>
                <w:sz w:val="18"/>
                <w:szCs w:val="18"/>
              </w:rPr>
            </w:pPr>
            <w:r>
              <w:rPr>
                <w:rFonts w:ascii="Times New Roman" w:hAnsi="Times New Roman" w:cs="Times New Roman"/>
                <w:sz w:val="18"/>
                <w:szCs w:val="18"/>
              </w:rPr>
              <w:lastRenderedPageBreak/>
              <w:t>2.3</w:t>
            </w:r>
            <w:r w:rsidR="006A0D48" w:rsidRPr="00BC7BB5">
              <w:rPr>
                <w:rFonts w:ascii="Times New Roman" w:hAnsi="Times New Roman" w:cs="Times New Roman"/>
                <w:sz w:val="18"/>
                <w:szCs w:val="18"/>
              </w:rPr>
              <w:t xml:space="preserve"> Implementation Decree and </w:t>
            </w:r>
            <w:r w:rsidR="006A0D48" w:rsidRPr="00BC7BB5">
              <w:rPr>
                <w:rFonts w:ascii="Times New Roman" w:hAnsi="Times New Roman" w:cs="Times New Roman"/>
                <w:i/>
                <w:sz w:val="18"/>
                <w:szCs w:val="18"/>
              </w:rPr>
              <w:t>arrêtés</w:t>
            </w:r>
            <w:r w:rsidR="006A0D48" w:rsidRPr="00BC7BB5">
              <w:rPr>
                <w:rFonts w:ascii="Times New Roman" w:hAnsi="Times New Roman" w:cs="Times New Roman"/>
                <w:sz w:val="18"/>
                <w:szCs w:val="18"/>
              </w:rPr>
              <w:t xml:space="preserve"> published</w:t>
            </w:r>
          </w:p>
        </w:tc>
        <w:tc>
          <w:tcPr>
            <w:tcW w:w="1124" w:type="pct"/>
            <w:vAlign w:val="center"/>
          </w:tcPr>
          <w:p w14:paraId="55584F40" w14:textId="77777777" w:rsidR="00FE6D50" w:rsidRDefault="00F36E44" w:rsidP="00CB471A">
            <w:pPr>
              <w:spacing w:after="120"/>
              <w:rPr>
                <w:rFonts w:ascii="Times New Roman" w:hAnsi="Times New Roman" w:cs="Times New Roman"/>
                <w:sz w:val="18"/>
                <w:szCs w:val="18"/>
              </w:rPr>
            </w:pPr>
            <w:r w:rsidRPr="00BC7BB5">
              <w:rPr>
                <w:rFonts w:ascii="Times New Roman" w:hAnsi="Times New Roman" w:cs="Times New Roman"/>
                <w:sz w:val="18"/>
                <w:szCs w:val="18"/>
              </w:rPr>
              <w:lastRenderedPageBreak/>
              <w:t>Amended Law</w:t>
            </w:r>
            <w:r w:rsidR="00FE6D50">
              <w:rPr>
                <w:rFonts w:ascii="Times New Roman" w:hAnsi="Times New Roman" w:cs="Times New Roman"/>
                <w:sz w:val="18"/>
                <w:szCs w:val="18"/>
              </w:rPr>
              <w:t xml:space="preserve"> adopted by the Government Council;</w:t>
            </w:r>
          </w:p>
          <w:p w14:paraId="217E25A8" w14:textId="70A26BA6" w:rsidR="006A0D48" w:rsidRPr="00BC7BB5" w:rsidRDefault="00FE6D50" w:rsidP="00CB471A">
            <w:pPr>
              <w:spacing w:after="120"/>
              <w:rPr>
                <w:rFonts w:ascii="Times New Roman" w:hAnsi="Times New Roman" w:cs="Times New Roman"/>
                <w:sz w:val="18"/>
                <w:szCs w:val="18"/>
              </w:rPr>
            </w:pPr>
            <w:r>
              <w:rPr>
                <w:rFonts w:ascii="Times New Roman" w:hAnsi="Times New Roman" w:cs="Times New Roman"/>
                <w:sz w:val="18"/>
                <w:szCs w:val="18"/>
              </w:rPr>
              <w:t>Amended Law</w:t>
            </w:r>
            <w:r w:rsidR="00F36E44" w:rsidRPr="00BC7BB5">
              <w:rPr>
                <w:rFonts w:ascii="Times New Roman" w:hAnsi="Times New Roman" w:cs="Times New Roman"/>
                <w:sz w:val="18"/>
                <w:szCs w:val="18"/>
              </w:rPr>
              <w:t>,</w:t>
            </w:r>
            <w:r w:rsidR="006A0D48" w:rsidRPr="00BC7BB5">
              <w:rPr>
                <w:rFonts w:ascii="Times New Roman" w:hAnsi="Times New Roman" w:cs="Times New Roman"/>
                <w:sz w:val="18"/>
                <w:szCs w:val="18"/>
              </w:rPr>
              <w:t xml:space="preserve"> Implementation Decree </w:t>
            </w:r>
            <w:r w:rsidR="00F36E44" w:rsidRPr="00BC7BB5">
              <w:rPr>
                <w:rFonts w:ascii="Times New Roman" w:hAnsi="Times New Roman" w:cs="Times New Roman"/>
                <w:sz w:val="18"/>
                <w:szCs w:val="18"/>
              </w:rPr>
              <w:t xml:space="preserve">and related </w:t>
            </w:r>
            <w:r w:rsidR="00135813">
              <w:rPr>
                <w:rFonts w:ascii="Times New Roman" w:hAnsi="Times New Roman" w:cs="Times New Roman"/>
                <w:i/>
                <w:sz w:val="18"/>
                <w:szCs w:val="18"/>
              </w:rPr>
              <w:t>arrêté</w:t>
            </w:r>
            <w:r w:rsidR="00F36E44" w:rsidRPr="00BC7BB5">
              <w:rPr>
                <w:rFonts w:ascii="Times New Roman" w:hAnsi="Times New Roman" w:cs="Times New Roman"/>
                <w:i/>
                <w:sz w:val="18"/>
                <w:szCs w:val="18"/>
              </w:rPr>
              <w:t xml:space="preserve"> </w:t>
            </w:r>
            <w:r w:rsidR="006A0D48" w:rsidRPr="00BC7BB5">
              <w:rPr>
                <w:rFonts w:ascii="Times New Roman" w:hAnsi="Times New Roman" w:cs="Times New Roman"/>
                <w:sz w:val="18"/>
                <w:szCs w:val="18"/>
              </w:rPr>
              <w:t xml:space="preserve">published in the Official Bulletin </w:t>
            </w:r>
          </w:p>
        </w:tc>
        <w:tc>
          <w:tcPr>
            <w:tcW w:w="544" w:type="pct"/>
            <w:vAlign w:val="center"/>
          </w:tcPr>
          <w:p w14:paraId="7F776270" w14:textId="77777777" w:rsidR="006A0D48" w:rsidRPr="00BC7BB5" w:rsidRDefault="006A0D48" w:rsidP="00CB471A">
            <w:pPr>
              <w:spacing w:after="120"/>
              <w:rPr>
                <w:rFonts w:ascii="Times New Roman" w:hAnsi="Times New Roman" w:cs="Times New Roman"/>
                <w:sz w:val="18"/>
                <w:szCs w:val="18"/>
              </w:rPr>
            </w:pPr>
            <w:r w:rsidRPr="00BC7BB5">
              <w:rPr>
                <w:rFonts w:ascii="Times New Roman" w:hAnsi="Times New Roman" w:cs="Times New Roman"/>
                <w:sz w:val="18"/>
                <w:szCs w:val="18"/>
              </w:rPr>
              <w:t>No</w:t>
            </w:r>
          </w:p>
        </w:tc>
        <w:tc>
          <w:tcPr>
            <w:tcW w:w="543" w:type="pct"/>
            <w:tcBorders>
              <w:top w:val="single" w:sz="4" w:space="0" w:color="auto"/>
            </w:tcBorders>
            <w:vAlign w:val="center"/>
          </w:tcPr>
          <w:p w14:paraId="2F39CDA2" w14:textId="77777777" w:rsidR="00FE6D50" w:rsidRDefault="00FE6D50" w:rsidP="00CB471A">
            <w:pPr>
              <w:spacing w:after="120"/>
              <w:rPr>
                <w:rFonts w:ascii="Times New Roman" w:hAnsi="Times New Roman" w:cs="Times New Roman"/>
                <w:sz w:val="18"/>
                <w:szCs w:val="18"/>
              </w:rPr>
            </w:pPr>
            <w:r>
              <w:rPr>
                <w:rFonts w:ascii="Times New Roman" w:hAnsi="Times New Roman" w:cs="Times New Roman"/>
                <w:sz w:val="18"/>
                <w:szCs w:val="18"/>
              </w:rPr>
              <w:t>Minutes of the Government Council.</w:t>
            </w:r>
          </w:p>
          <w:p w14:paraId="22085CAC" w14:textId="1246550F" w:rsidR="006A0D48" w:rsidRPr="00BC7BB5" w:rsidRDefault="006A0D48" w:rsidP="00CB471A">
            <w:pPr>
              <w:spacing w:after="120"/>
              <w:rPr>
                <w:rFonts w:ascii="Times New Roman" w:hAnsi="Times New Roman" w:cs="Times New Roman"/>
                <w:sz w:val="18"/>
                <w:szCs w:val="18"/>
              </w:rPr>
            </w:pPr>
            <w:r w:rsidRPr="00BC7BB5">
              <w:rPr>
                <w:rFonts w:ascii="Times New Roman" w:hAnsi="Times New Roman" w:cs="Times New Roman"/>
                <w:sz w:val="18"/>
                <w:szCs w:val="18"/>
              </w:rPr>
              <w:t>Official Bulletin (law, decree)</w:t>
            </w:r>
          </w:p>
        </w:tc>
        <w:tc>
          <w:tcPr>
            <w:tcW w:w="472" w:type="pct"/>
            <w:tcBorders>
              <w:top w:val="single" w:sz="4" w:space="0" w:color="auto"/>
            </w:tcBorders>
          </w:tcPr>
          <w:p w14:paraId="35D8013C" w14:textId="77777777" w:rsidR="006A0D48" w:rsidRPr="00BC7BB5" w:rsidRDefault="006A0D48" w:rsidP="00CB471A">
            <w:pPr>
              <w:spacing w:after="120"/>
              <w:rPr>
                <w:rFonts w:ascii="Times New Roman" w:hAnsi="Times New Roman" w:cs="Times New Roman"/>
                <w:sz w:val="18"/>
                <w:szCs w:val="18"/>
              </w:rPr>
            </w:pPr>
          </w:p>
          <w:p w14:paraId="3AB430F7" w14:textId="77777777" w:rsidR="006A0D48" w:rsidRPr="00BC7BB5" w:rsidRDefault="006A0D48" w:rsidP="00CB471A">
            <w:pPr>
              <w:spacing w:after="120"/>
              <w:rPr>
                <w:rFonts w:ascii="Times New Roman" w:hAnsi="Times New Roman" w:cs="Times New Roman"/>
                <w:sz w:val="18"/>
                <w:szCs w:val="18"/>
                <w:highlight w:val="lightGray"/>
              </w:rPr>
            </w:pPr>
            <w:r w:rsidRPr="00BC7BB5">
              <w:rPr>
                <w:rFonts w:ascii="Times New Roman" w:hAnsi="Times New Roman" w:cs="Times New Roman"/>
                <w:sz w:val="18"/>
                <w:szCs w:val="18"/>
              </w:rPr>
              <w:t>IGA</w:t>
            </w:r>
          </w:p>
        </w:tc>
        <w:tc>
          <w:tcPr>
            <w:tcW w:w="1196" w:type="pct"/>
            <w:tcBorders>
              <w:top w:val="single" w:sz="4" w:space="0" w:color="auto"/>
            </w:tcBorders>
            <w:vAlign w:val="center"/>
          </w:tcPr>
          <w:p w14:paraId="2DC7493A" w14:textId="77777777" w:rsidR="006A0D48" w:rsidRPr="00BC7BB5" w:rsidRDefault="006A0D48" w:rsidP="00CB471A">
            <w:pPr>
              <w:spacing w:after="120"/>
              <w:rPr>
                <w:rFonts w:ascii="Times New Roman" w:hAnsi="Times New Roman" w:cs="Times New Roman"/>
                <w:sz w:val="18"/>
                <w:szCs w:val="18"/>
              </w:rPr>
            </w:pPr>
            <w:r w:rsidRPr="00BC7BB5">
              <w:rPr>
                <w:rFonts w:ascii="Times New Roman" w:hAnsi="Times New Roman" w:cs="Times New Roman"/>
                <w:sz w:val="18"/>
                <w:szCs w:val="18"/>
              </w:rPr>
              <w:t xml:space="preserve">Verified by the IGA by reviewing the Official Bulletin. </w:t>
            </w:r>
          </w:p>
          <w:p w14:paraId="5150F336" w14:textId="77777777" w:rsidR="006A0D48" w:rsidRPr="00BC7BB5" w:rsidRDefault="006A0D48" w:rsidP="00CB471A">
            <w:pPr>
              <w:spacing w:after="120"/>
              <w:rPr>
                <w:rFonts w:ascii="Times New Roman" w:hAnsi="Times New Roman" w:cs="Times New Roman"/>
                <w:sz w:val="18"/>
                <w:szCs w:val="18"/>
              </w:rPr>
            </w:pPr>
          </w:p>
        </w:tc>
      </w:tr>
      <w:tr w:rsidR="006A0D48" w:rsidRPr="00BC7BB5" w14:paraId="7F979334" w14:textId="77777777" w:rsidTr="00DB68CB">
        <w:trPr>
          <w:jc w:val="center"/>
        </w:trPr>
        <w:tc>
          <w:tcPr>
            <w:tcW w:w="179" w:type="pct"/>
            <w:vAlign w:val="center"/>
          </w:tcPr>
          <w:p w14:paraId="77B7A3B0" w14:textId="77777777" w:rsidR="006A0D48" w:rsidRPr="00BC7BB5" w:rsidRDefault="006A0D48" w:rsidP="00CB471A">
            <w:pPr>
              <w:spacing w:after="120"/>
              <w:rPr>
                <w:rFonts w:ascii="Times New Roman" w:hAnsi="Times New Roman" w:cs="Times New Roman"/>
                <w:sz w:val="18"/>
                <w:szCs w:val="18"/>
              </w:rPr>
            </w:pPr>
            <w:r w:rsidRPr="00BC7BB5">
              <w:rPr>
                <w:rFonts w:ascii="Times New Roman" w:hAnsi="Times New Roman" w:cs="Times New Roman"/>
                <w:sz w:val="18"/>
                <w:szCs w:val="18"/>
              </w:rPr>
              <w:t>3</w:t>
            </w:r>
          </w:p>
        </w:tc>
        <w:tc>
          <w:tcPr>
            <w:tcW w:w="942" w:type="pct"/>
            <w:vAlign w:val="center"/>
          </w:tcPr>
          <w:p w14:paraId="5B0F957D" w14:textId="0038AC84" w:rsidR="006A0D48" w:rsidRPr="00BC7BB5" w:rsidRDefault="00FE6D50" w:rsidP="00CB471A">
            <w:pPr>
              <w:spacing w:after="120"/>
              <w:rPr>
                <w:rFonts w:ascii="Times New Roman" w:hAnsi="Times New Roman" w:cs="Times New Roman"/>
                <w:i/>
                <w:sz w:val="18"/>
                <w:szCs w:val="18"/>
              </w:rPr>
            </w:pPr>
            <w:r w:rsidRPr="00BC7BB5">
              <w:rPr>
                <w:rFonts w:ascii="Times New Roman" w:hAnsi="Times New Roman" w:cs="Times New Roman"/>
                <w:sz w:val="18"/>
                <w:szCs w:val="18"/>
              </w:rPr>
              <w:t>Number of new</w:t>
            </w:r>
            <w:r w:rsidR="009D3B21">
              <w:rPr>
                <w:rFonts w:ascii="Times New Roman" w:hAnsi="Times New Roman" w:cs="Times New Roman"/>
                <w:sz w:val="18"/>
                <w:szCs w:val="18"/>
              </w:rPr>
              <w:t>/</w:t>
            </w:r>
            <w:r w:rsidRPr="00BC7BB5">
              <w:rPr>
                <w:rFonts w:ascii="Times New Roman" w:hAnsi="Times New Roman" w:cs="Times New Roman"/>
                <w:sz w:val="18"/>
                <w:szCs w:val="18"/>
              </w:rPr>
              <w:t xml:space="preserve">upgraded conditioning, </w:t>
            </w:r>
            <w:r>
              <w:rPr>
                <w:rFonts w:ascii="Times New Roman" w:hAnsi="Times New Roman" w:cs="Times New Roman"/>
                <w:sz w:val="18"/>
                <w:szCs w:val="18"/>
              </w:rPr>
              <w:t xml:space="preserve">cold </w:t>
            </w:r>
            <w:r w:rsidRPr="00BC7BB5">
              <w:rPr>
                <w:rFonts w:ascii="Times New Roman" w:hAnsi="Times New Roman" w:cs="Times New Roman"/>
                <w:sz w:val="18"/>
                <w:szCs w:val="18"/>
              </w:rPr>
              <w:t>storage and</w:t>
            </w:r>
            <w:r>
              <w:rPr>
                <w:rFonts w:ascii="Times New Roman" w:hAnsi="Times New Roman" w:cs="Times New Roman"/>
                <w:sz w:val="18"/>
                <w:szCs w:val="18"/>
              </w:rPr>
              <w:t>/or</w:t>
            </w:r>
            <w:r w:rsidRPr="00BC7BB5">
              <w:rPr>
                <w:rFonts w:ascii="Times New Roman" w:hAnsi="Times New Roman" w:cs="Times New Roman"/>
                <w:sz w:val="18"/>
                <w:szCs w:val="18"/>
              </w:rPr>
              <w:t xml:space="preserve"> processing units </w:t>
            </w:r>
            <w:r>
              <w:rPr>
                <w:rFonts w:ascii="Times New Roman" w:hAnsi="Times New Roman" w:cs="Times New Roman"/>
                <w:sz w:val="18"/>
                <w:szCs w:val="18"/>
              </w:rPr>
              <w:t>in selected agri-food value chains under operation</w:t>
            </w:r>
          </w:p>
        </w:tc>
        <w:tc>
          <w:tcPr>
            <w:tcW w:w="1124" w:type="pct"/>
          </w:tcPr>
          <w:p w14:paraId="7FE6D4AB" w14:textId="47E6D2AD" w:rsidR="006A0D48" w:rsidRPr="00BC7BB5" w:rsidRDefault="006A0D48" w:rsidP="00CB471A">
            <w:pPr>
              <w:spacing w:after="120"/>
              <w:rPr>
                <w:rFonts w:ascii="Times New Roman" w:hAnsi="Times New Roman" w:cs="Times New Roman"/>
                <w:sz w:val="18"/>
                <w:szCs w:val="18"/>
              </w:rPr>
            </w:pPr>
            <w:r w:rsidRPr="00BC7BB5">
              <w:rPr>
                <w:rFonts w:ascii="Times New Roman" w:hAnsi="Times New Roman" w:cs="Times New Roman"/>
                <w:sz w:val="18"/>
                <w:szCs w:val="18"/>
              </w:rPr>
              <w:t xml:space="preserve">Investment projects </w:t>
            </w:r>
            <w:r w:rsidR="00930006" w:rsidRPr="00BC7BB5">
              <w:rPr>
                <w:rFonts w:ascii="Times New Roman" w:hAnsi="Times New Roman" w:cs="Times New Roman"/>
                <w:sz w:val="18"/>
                <w:szCs w:val="18"/>
              </w:rPr>
              <w:t xml:space="preserve">in new and upgraded </w:t>
            </w:r>
            <w:r w:rsidRPr="00BC7BB5">
              <w:rPr>
                <w:rFonts w:ascii="Times New Roman" w:hAnsi="Times New Roman" w:cs="Times New Roman"/>
                <w:sz w:val="18"/>
                <w:szCs w:val="18"/>
              </w:rPr>
              <w:t xml:space="preserve">processing, </w:t>
            </w:r>
            <w:r w:rsidR="001F535F">
              <w:rPr>
                <w:rFonts w:ascii="Times New Roman" w:hAnsi="Times New Roman" w:cs="Times New Roman"/>
                <w:sz w:val="18"/>
                <w:szCs w:val="18"/>
              </w:rPr>
              <w:t xml:space="preserve">cold </w:t>
            </w:r>
            <w:r w:rsidR="00930006" w:rsidRPr="00BC7BB5">
              <w:rPr>
                <w:rFonts w:ascii="Times New Roman" w:hAnsi="Times New Roman" w:cs="Times New Roman"/>
                <w:sz w:val="18"/>
                <w:szCs w:val="18"/>
              </w:rPr>
              <w:t xml:space="preserve">storage and </w:t>
            </w:r>
            <w:r w:rsidR="001F535F">
              <w:rPr>
                <w:rFonts w:ascii="Times New Roman" w:hAnsi="Times New Roman" w:cs="Times New Roman"/>
                <w:sz w:val="18"/>
                <w:szCs w:val="18"/>
              </w:rPr>
              <w:t>/or</w:t>
            </w:r>
            <w:r w:rsidR="00135813">
              <w:rPr>
                <w:rFonts w:ascii="Times New Roman" w:hAnsi="Times New Roman" w:cs="Times New Roman"/>
                <w:sz w:val="18"/>
                <w:szCs w:val="18"/>
              </w:rPr>
              <w:t xml:space="preserve"> </w:t>
            </w:r>
            <w:r w:rsidR="00930006" w:rsidRPr="00BC7BB5">
              <w:rPr>
                <w:rFonts w:ascii="Times New Roman" w:hAnsi="Times New Roman" w:cs="Times New Roman"/>
                <w:sz w:val="18"/>
                <w:szCs w:val="18"/>
              </w:rPr>
              <w:t xml:space="preserve">conditioning units </w:t>
            </w:r>
            <w:r w:rsidRPr="00BC7BB5">
              <w:rPr>
                <w:rFonts w:ascii="Times New Roman" w:hAnsi="Times New Roman" w:cs="Times New Roman"/>
                <w:sz w:val="18"/>
                <w:szCs w:val="18"/>
              </w:rPr>
              <w:t xml:space="preserve">in </w:t>
            </w:r>
            <w:r w:rsidR="00930006" w:rsidRPr="00BC7BB5">
              <w:rPr>
                <w:rFonts w:ascii="Times New Roman" w:hAnsi="Times New Roman" w:cs="Times New Roman"/>
                <w:sz w:val="18"/>
                <w:szCs w:val="18"/>
              </w:rPr>
              <w:t xml:space="preserve">the </w:t>
            </w:r>
            <w:r w:rsidRPr="00BC7BB5">
              <w:rPr>
                <w:rFonts w:ascii="Times New Roman" w:hAnsi="Times New Roman" w:cs="Times New Roman"/>
                <w:sz w:val="18"/>
                <w:szCs w:val="18"/>
              </w:rPr>
              <w:t xml:space="preserve">olive and citrus </w:t>
            </w:r>
            <w:r w:rsidR="00930006" w:rsidRPr="00BC7BB5">
              <w:rPr>
                <w:rFonts w:ascii="Times New Roman" w:hAnsi="Times New Roman" w:cs="Times New Roman"/>
                <w:sz w:val="18"/>
                <w:szCs w:val="18"/>
              </w:rPr>
              <w:t xml:space="preserve">sub-sectors </w:t>
            </w:r>
            <w:r w:rsidR="004A4845">
              <w:rPr>
                <w:rFonts w:ascii="Times New Roman" w:hAnsi="Times New Roman" w:cs="Times New Roman"/>
                <w:sz w:val="18"/>
                <w:szCs w:val="18"/>
              </w:rPr>
              <w:t>fully</w:t>
            </w:r>
            <w:r w:rsidRPr="00BC7BB5">
              <w:rPr>
                <w:rFonts w:ascii="Times New Roman" w:hAnsi="Times New Roman" w:cs="Times New Roman"/>
                <w:sz w:val="18"/>
                <w:szCs w:val="18"/>
              </w:rPr>
              <w:t xml:space="preserve"> implemented with FDA incentives</w:t>
            </w:r>
            <w:r w:rsidR="00930006" w:rsidRPr="00BC7BB5">
              <w:rPr>
                <w:rFonts w:ascii="Times New Roman" w:hAnsi="Times New Roman" w:cs="Times New Roman"/>
                <w:sz w:val="18"/>
                <w:szCs w:val="18"/>
              </w:rPr>
              <w:t xml:space="preserve">. The DRA/DPA has verified that the construction of the unit has been completed </w:t>
            </w:r>
            <w:r w:rsidR="002B5934" w:rsidRPr="00BC7BB5">
              <w:rPr>
                <w:rFonts w:ascii="Times New Roman" w:hAnsi="Times New Roman" w:cs="Times New Roman"/>
                <w:sz w:val="18"/>
                <w:szCs w:val="18"/>
              </w:rPr>
              <w:t xml:space="preserve">as per the approved designs </w:t>
            </w:r>
            <w:r w:rsidR="00930006" w:rsidRPr="00BC7BB5">
              <w:rPr>
                <w:rFonts w:ascii="Times New Roman" w:hAnsi="Times New Roman" w:cs="Times New Roman"/>
                <w:sz w:val="18"/>
                <w:szCs w:val="18"/>
              </w:rPr>
              <w:t>and that the unit ca</w:t>
            </w:r>
            <w:r w:rsidR="005455EB" w:rsidRPr="00BC7BB5">
              <w:rPr>
                <w:rFonts w:ascii="Times New Roman" w:hAnsi="Times New Roman" w:cs="Times New Roman"/>
                <w:sz w:val="18"/>
                <w:szCs w:val="18"/>
              </w:rPr>
              <w:t>n start operations. The</w:t>
            </w:r>
            <w:r w:rsidR="00930006" w:rsidRPr="00BC7BB5">
              <w:rPr>
                <w:rFonts w:ascii="Times New Roman" w:hAnsi="Times New Roman" w:cs="Times New Roman"/>
                <w:sz w:val="18"/>
                <w:szCs w:val="18"/>
              </w:rPr>
              <w:t xml:space="preserve"> certificate of final eligibility for FDA support</w:t>
            </w:r>
            <w:r w:rsidR="005455EB" w:rsidRPr="00BC7BB5">
              <w:rPr>
                <w:rFonts w:ascii="Times New Roman" w:hAnsi="Times New Roman" w:cs="Times New Roman"/>
                <w:sz w:val="18"/>
                <w:szCs w:val="18"/>
              </w:rPr>
              <w:t xml:space="preserve"> has been issued</w:t>
            </w:r>
            <w:r w:rsidR="00930006" w:rsidRPr="00BC7BB5">
              <w:rPr>
                <w:rFonts w:ascii="Times New Roman" w:hAnsi="Times New Roman" w:cs="Times New Roman"/>
                <w:sz w:val="18"/>
                <w:szCs w:val="18"/>
              </w:rPr>
              <w:t>.</w:t>
            </w:r>
            <w:r w:rsidR="00135813">
              <w:rPr>
                <w:rFonts w:ascii="Times New Roman" w:hAnsi="Times New Roman" w:cs="Times New Roman"/>
                <w:sz w:val="18"/>
                <w:szCs w:val="18"/>
              </w:rPr>
              <w:t xml:space="preserve"> The cold storage units can be used for multiple fruit and vegetables.</w:t>
            </w:r>
          </w:p>
        </w:tc>
        <w:tc>
          <w:tcPr>
            <w:tcW w:w="544" w:type="pct"/>
          </w:tcPr>
          <w:p w14:paraId="5579926A" w14:textId="77777777" w:rsidR="006A0D48" w:rsidRPr="00BC7BB5" w:rsidRDefault="006A0D48" w:rsidP="00CB471A">
            <w:pPr>
              <w:spacing w:after="120"/>
              <w:rPr>
                <w:rFonts w:ascii="Times New Roman" w:hAnsi="Times New Roman" w:cs="Times New Roman"/>
                <w:sz w:val="18"/>
                <w:szCs w:val="18"/>
              </w:rPr>
            </w:pPr>
            <w:r w:rsidRPr="00BC7BB5">
              <w:rPr>
                <w:rFonts w:ascii="Times New Roman" w:hAnsi="Times New Roman" w:cs="Times New Roman"/>
                <w:sz w:val="18"/>
                <w:szCs w:val="18"/>
              </w:rPr>
              <w:t>Yes</w:t>
            </w:r>
          </w:p>
        </w:tc>
        <w:tc>
          <w:tcPr>
            <w:tcW w:w="543" w:type="pct"/>
            <w:tcBorders>
              <w:top w:val="single" w:sz="4" w:space="0" w:color="auto"/>
            </w:tcBorders>
          </w:tcPr>
          <w:p w14:paraId="33F2D4BC" w14:textId="77777777" w:rsidR="006A0D48" w:rsidRPr="00BC7BB5" w:rsidRDefault="006A0D48" w:rsidP="00CB471A">
            <w:pPr>
              <w:spacing w:after="120"/>
              <w:rPr>
                <w:rFonts w:ascii="Times New Roman" w:hAnsi="Times New Roman" w:cs="Times New Roman"/>
                <w:sz w:val="18"/>
                <w:szCs w:val="18"/>
              </w:rPr>
            </w:pPr>
            <w:r w:rsidRPr="00BC7BB5">
              <w:rPr>
                <w:rFonts w:ascii="Times New Roman" w:hAnsi="Times New Roman" w:cs="Times New Roman"/>
                <w:sz w:val="18"/>
                <w:szCs w:val="18"/>
              </w:rPr>
              <w:t>Official record at DF</w:t>
            </w:r>
          </w:p>
        </w:tc>
        <w:tc>
          <w:tcPr>
            <w:tcW w:w="472" w:type="pct"/>
            <w:tcBorders>
              <w:top w:val="single" w:sz="4" w:space="0" w:color="auto"/>
            </w:tcBorders>
          </w:tcPr>
          <w:p w14:paraId="05D7FD2D" w14:textId="77777777" w:rsidR="006A0D48" w:rsidRPr="00BC7BB5" w:rsidRDefault="006A0D48" w:rsidP="00CB471A">
            <w:pPr>
              <w:spacing w:after="120"/>
              <w:rPr>
                <w:rFonts w:ascii="Times New Roman" w:hAnsi="Times New Roman" w:cs="Times New Roman"/>
                <w:sz w:val="18"/>
                <w:szCs w:val="18"/>
              </w:rPr>
            </w:pPr>
          </w:p>
          <w:p w14:paraId="4A1868C3" w14:textId="77777777" w:rsidR="006A0D48" w:rsidRPr="00BC7BB5" w:rsidRDefault="006A0D48" w:rsidP="00CB471A">
            <w:pPr>
              <w:spacing w:after="120"/>
              <w:rPr>
                <w:rFonts w:ascii="Times New Roman" w:hAnsi="Times New Roman" w:cs="Times New Roman"/>
                <w:sz w:val="18"/>
                <w:szCs w:val="18"/>
              </w:rPr>
            </w:pPr>
            <w:r w:rsidRPr="00BC7BB5">
              <w:rPr>
                <w:rFonts w:ascii="Times New Roman" w:hAnsi="Times New Roman" w:cs="Times New Roman"/>
                <w:sz w:val="18"/>
                <w:szCs w:val="18"/>
              </w:rPr>
              <w:t>IGA</w:t>
            </w:r>
          </w:p>
        </w:tc>
        <w:tc>
          <w:tcPr>
            <w:tcW w:w="1196" w:type="pct"/>
            <w:tcBorders>
              <w:top w:val="single" w:sz="4" w:space="0" w:color="auto"/>
            </w:tcBorders>
          </w:tcPr>
          <w:p w14:paraId="2577CA46" w14:textId="14737F0F" w:rsidR="006A0D48" w:rsidRPr="00BC7BB5" w:rsidRDefault="006A0D48" w:rsidP="00CB471A">
            <w:pPr>
              <w:spacing w:after="120"/>
              <w:rPr>
                <w:rFonts w:ascii="Times New Roman" w:hAnsi="Times New Roman" w:cs="Times New Roman"/>
                <w:sz w:val="18"/>
                <w:szCs w:val="18"/>
              </w:rPr>
            </w:pPr>
            <w:r w:rsidRPr="00BC7BB5">
              <w:rPr>
                <w:rFonts w:ascii="Times New Roman" w:hAnsi="Times New Roman" w:cs="Times New Roman"/>
                <w:sz w:val="18"/>
                <w:szCs w:val="18"/>
              </w:rPr>
              <w:t>Verified by the IGA by reviewing DF records of investments supported by the FDA</w:t>
            </w:r>
            <w:r w:rsidR="004A4845">
              <w:rPr>
                <w:rFonts w:ascii="Times New Roman" w:hAnsi="Times New Roman" w:cs="Times New Roman"/>
                <w:sz w:val="18"/>
                <w:szCs w:val="18"/>
              </w:rPr>
              <w:t xml:space="preserve"> (certificate of eligibility and supporting documentation)</w:t>
            </w:r>
            <w:r w:rsidRPr="00BC7BB5">
              <w:rPr>
                <w:rFonts w:ascii="Times New Roman" w:hAnsi="Times New Roman" w:cs="Times New Roman"/>
                <w:sz w:val="18"/>
                <w:szCs w:val="18"/>
              </w:rPr>
              <w:t>.</w:t>
            </w:r>
            <w:r w:rsidR="004A4845">
              <w:rPr>
                <w:rFonts w:ascii="Times New Roman" w:hAnsi="Times New Roman" w:cs="Times New Roman"/>
                <w:sz w:val="18"/>
                <w:szCs w:val="18"/>
              </w:rPr>
              <w:t xml:space="preserve"> </w:t>
            </w:r>
          </w:p>
        </w:tc>
      </w:tr>
      <w:tr w:rsidR="006A0D48" w:rsidRPr="00BC7BB5" w14:paraId="1A0A4BAA" w14:textId="77777777" w:rsidTr="00DB68CB">
        <w:trPr>
          <w:jc w:val="center"/>
        </w:trPr>
        <w:tc>
          <w:tcPr>
            <w:tcW w:w="179" w:type="pct"/>
            <w:vAlign w:val="center"/>
          </w:tcPr>
          <w:p w14:paraId="74F71F6F" w14:textId="77777777" w:rsidR="006A0D48" w:rsidRPr="00BC7BB5" w:rsidRDefault="006A0D48" w:rsidP="00CB471A">
            <w:pPr>
              <w:rPr>
                <w:rFonts w:ascii="Times New Roman" w:hAnsi="Times New Roman" w:cs="Times New Roman"/>
                <w:sz w:val="18"/>
                <w:szCs w:val="18"/>
              </w:rPr>
            </w:pPr>
            <w:r w:rsidRPr="00BC7BB5">
              <w:rPr>
                <w:rFonts w:ascii="Times New Roman" w:hAnsi="Times New Roman" w:cs="Times New Roman"/>
                <w:sz w:val="18"/>
                <w:szCs w:val="18"/>
              </w:rPr>
              <w:t>4</w:t>
            </w:r>
          </w:p>
        </w:tc>
        <w:tc>
          <w:tcPr>
            <w:tcW w:w="942" w:type="pct"/>
            <w:vAlign w:val="center"/>
          </w:tcPr>
          <w:p w14:paraId="477DD4BE" w14:textId="0AE671FA" w:rsidR="006A0D48" w:rsidRPr="00BC7BB5" w:rsidRDefault="006A0D48" w:rsidP="00CB471A">
            <w:pPr>
              <w:pStyle w:val="ListParagraph"/>
              <w:spacing w:after="120"/>
              <w:ind w:left="0"/>
              <w:rPr>
                <w:rFonts w:ascii="Times New Roman" w:hAnsi="Times New Roman" w:cs="Times New Roman"/>
                <w:sz w:val="18"/>
                <w:szCs w:val="18"/>
              </w:rPr>
            </w:pPr>
            <w:r w:rsidRPr="00BC7BB5">
              <w:rPr>
                <w:rFonts w:ascii="Times New Roman" w:hAnsi="Times New Roman" w:cs="Times New Roman"/>
                <w:sz w:val="18"/>
                <w:szCs w:val="18"/>
              </w:rPr>
              <w:t>At least one wholesale market operating and applying the new management model</w:t>
            </w:r>
            <w:r w:rsidR="009D3B21">
              <w:rPr>
                <w:rFonts w:ascii="Times New Roman" w:hAnsi="Times New Roman" w:cs="Times New Roman"/>
                <w:sz w:val="18"/>
                <w:szCs w:val="18"/>
              </w:rPr>
              <w:t xml:space="preserve"> as defined in the POM</w:t>
            </w:r>
            <w:r w:rsidRPr="00BC7BB5">
              <w:rPr>
                <w:rFonts w:ascii="Times New Roman" w:hAnsi="Times New Roman" w:cs="Times New Roman"/>
                <w:sz w:val="18"/>
                <w:szCs w:val="18"/>
              </w:rPr>
              <w:t xml:space="preserve"> </w:t>
            </w:r>
          </w:p>
          <w:p w14:paraId="474F4774" w14:textId="77777777" w:rsidR="009D3B21" w:rsidRDefault="009D3B21" w:rsidP="00ED31C1">
            <w:pPr>
              <w:pStyle w:val="ListParagraph"/>
              <w:ind w:left="0"/>
              <w:rPr>
                <w:rFonts w:ascii="Times New Roman" w:hAnsi="Times New Roman" w:cs="Times New Roman"/>
                <w:sz w:val="18"/>
                <w:szCs w:val="18"/>
              </w:rPr>
            </w:pPr>
          </w:p>
          <w:p w14:paraId="2A32EFCC" w14:textId="7EC0D8EF" w:rsidR="00ED31C1" w:rsidRPr="00BC7BB5" w:rsidRDefault="00ED31C1" w:rsidP="00ED31C1">
            <w:pPr>
              <w:pStyle w:val="ListParagraph"/>
              <w:ind w:left="0"/>
              <w:rPr>
                <w:rFonts w:ascii="Times New Roman" w:hAnsi="Times New Roman" w:cs="Times New Roman"/>
                <w:sz w:val="18"/>
                <w:szCs w:val="18"/>
              </w:rPr>
            </w:pPr>
            <w:r>
              <w:rPr>
                <w:rFonts w:ascii="Times New Roman" w:hAnsi="Times New Roman" w:cs="Times New Roman"/>
                <w:sz w:val="18"/>
                <w:szCs w:val="18"/>
              </w:rPr>
              <w:t xml:space="preserve">4.1 </w:t>
            </w:r>
            <w:r w:rsidRPr="00BC7BB5">
              <w:rPr>
                <w:rFonts w:ascii="Times New Roman" w:hAnsi="Times New Roman" w:cs="Times New Roman"/>
                <w:sz w:val="18"/>
                <w:szCs w:val="18"/>
              </w:rPr>
              <w:t>SDL</w:t>
            </w:r>
            <w:r>
              <w:rPr>
                <w:rFonts w:ascii="Times New Roman" w:hAnsi="Times New Roman" w:cs="Times New Roman"/>
                <w:sz w:val="18"/>
                <w:szCs w:val="18"/>
              </w:rPr>
              <w:t>/SDR</w:t>
            </w:r>
            <w:r w:rsidRPr="00BC7BB5">
              <w:rPr>
                <w:rFonts w:ascii="Times New Roman" w:hAnsi="Times New Roman" w:cs="Times New Roman"/>
                <w:sz w:val="18"/>
                <w:szCs w:val="18"/>
              </w:rPr>
              <w:t xml:space="preserve"> established</w:t>
            </w:r>
            <w:r>
              <w:rPr>
                <w:rFonts w:ascii="Times New Roman" w:hAnsi="Times New Roman" w:cs="Times New Roman"/>
                <w:sz w:val="18"/>
                <w:szCs w:val="18"/>
              </w:rPr>
              <w:t xml:space="preserve"> and registered</w:t>
            </w:r>
          </w:p>
          <w:p w14:paraId="7F263E58" w14:textId="77777777" w:rsidR="00ED31C1" w:rsidRPr="00BC7BB5" w:rsidRDefault="00ED31C1" w:rsidP="00ED31C1">
            <w:pPr>
              <w:pStyle w:val="ListParagraph"/>
              <w:ind w:left="0"/>
              <w:rPr>
                <w:rFonts w:ascii="Times New Roman" w:hAnsi="Times New Roman" w:cs="Times New Roman"/>
                <w:sz w:val="18"/>
                <w:szCs w:val="18"/>
              </w:rPr>
            </w:pPr>
            <w:r>
              <w:rPr>
                <w:rFonts w:ascii="Times New Roman" w:hAnsi="Times New Roman" w:cs="Times New Roman"/>
                <w:sz w:val="18"/>
                <w:szCs w:val="18"/>
              </w:rPr>
              <w:t>4.2</w:t>
            </w:r>
            <w:r w:rsidRPr="00BC7BB5">
              <w:rPr>
                <w:rFonts w:ascii="Times New Roman" w:hAnsi="Times New Roman" w:cs="Times New Roman"/>
                <w:sz w:val="18"/>
                <w:szCs w:val="18"/>
              </w:rPr>
              <w:t xml:space="preserve"> </w:t>
            </w:r>
            <w:r>
              <w:rPr>
                <w:rFonts w:ascii="Times New Roman" w:hAnsi="Times New Roman" w:cs="Times New Roman"/>
                <w:sz w:val="18"/>
                <w:szCs w:val="18"/>
              </w:rPr>
              <w:t>Wholesale market constructed and fully equipped</w:t>
            </w:r>
            <w:r w:rsidRPr="00BC7BB5">
              <w:rPr>
                <w:rFonts w:ascii="Times New Roman" w:hAnsi="Times New Roman" w:cs="Times New Roman"/>
                <w:sz w:val="18"/>
                <w:szCs w:val="18"/>
              </w:rPr>
              <w:t xml:space="preserve">  </w:t>
            </w:r>
          </w:p>
          <w:p w14:paraId="7865E075" w14:textId="2529F4D9" w:rsidR="006A0D48" w:rsidRPr="00BC7BB5" w:rsidRDefault="00ED31C1" w:rsidP="00ED31C1">
            <w:pPr>
              <w:pStyle w:val="ListParagraph"/>
              <w:spacing w:after="120"/>
              <w:ind w:left="0"/>
              <w:rPr>
                <w:rFonts w:ascii="Times New Roman" w:hAnsi="Times New Roman" w:cs="Times New Roman"/>
                <w:sz w:val="18"/>
                <w:szCs w:val="18"/>
              </w:rPr>
            </w:pPr>
            <w:r>
              <w:rPr>
                <w:rFonts w:ascii="Times New Roman" w:hAnsi="Times New Roman" w:cs="Times New Roman"/>
                <w:sz w:val="18"/>
                <w:szCs w:val="18"/>
              </w:rPr>
              <w:t xml:space="preserve">4.3 </w:t>
            </w:r>
            <w:r w:rsidR="009D3B21">
              <w:rPr>
                <w:rFonts w:ascii="Times New Roman" w:hAnsi="Times New Roman" w:cs="Times New Roman"/>
                <w:sz w:val="18"/>
                <w:szCs w:val="18"/>
              </w:rPr>
              <w:t>New wholes</w:t>
            </w:r>
            <w:r w:rsidR="009D3B21" w:rsidRPr="00BC7BB5">
              <w:rPr>
                <w:rFonts w:ascii="Times New Roman" w:hAnsi="Times New Roman" w:cs="Times New Roman"/>
                <w:sz w:val="18"/>
                <w:szCs w:val="18"/>
              </w:rPr>
              <w:t>a</w:t>
            </w:r>
            <w:r w:rsidR="009D3B21">
              <w:rPr>
                <w:rFonts w:ascii="Times New Roman" w:hAnsi="Times New Roman" w:cs="Times New Roman"/>
                <w:sz w:val="18"/>
                <w:szCs w:val="18"/>
              </w:rPr>
              <w:t xml:space="preserve">le </w:t>
            </w:r>
            <w:r>
              <w:rPr>
                <w:rFonts w:ascii="Times New Roman" w:hAnsi="Times New Roman" w:cs="Times New Roman"/>
                <w:sz w:val="18"/>
                <w:szCs w:val="18"/>
              </w:rPr>
              <w:t>ma</w:t>
            </w:r>
            <w:r w:rsidRPr="00BC7BB5">
              <w:rPr>
                <w:rFonts w:ascii="Times New Roman" w:hAnsi="Times New Roman" w:cs="Times New Roman"/>
                <w:sz w:val="18"/>
                <w:szCs w:val="18"/>
              </w:rPr>
              <w:t xml:space="preserve">rket </w:t>
            </w:r>
            <w:r>
              <w:rPr>
                <w:rFonts w:ascii="Times New Roman" w:hAnsi="Times New Roman" w:cs="Times New Roman"/>
                <w:sz w:val="18"/>
                <w:szCs w:val="18"/>
              </w:rPr>
              <w:t xml:space="preserve">is fully operational </w:t>
            </w:r>
          </w:p>
        </w:tc>
        <w:tc>
          <w:tcPr>
            <w:tcW w:w="1124" w:type="pct"/>
            <w:vAlign w:val="center"/>
          </w:tcPr>
          <w:p w14:paraId="5AFD42D0" w14:textId="04917789" w:rsidR="006A0D48" w:rsidRPr="00BC7BB5" w:rsidRDefault="00FA7BA9" w:rsidP="00CB471A">
            <w:pPr>
              <w:rPr>
                <w:rFonts w:ascii="Times New Roman" w:hAnsi="Times New Roman" w:cs="Times New Roman"/>
                <w:sz w:val="18"/>
                <w:szCs w:val="18"/>
              </w:rPr>
            </w:pPr>
            <w:r>
              <w:rPr>
                <w:rFonts w:ascii="Times New Roman" w:hAnsi="Times New Roman" w:cs="Times New Roman"/>
                <w:sz w:val="18"/>
                <w:szCs w:val="18"/>
              </w:rPr>
              <w:t>4.1</w:t>
            </w:r>
            <w:r w:rsidR="006A0D48" w:rsidRPr="00BC7BB5">
              <w:rPr>
                <w:rFonts w:ascii="Times New Roman" w:hAnsi="Times New Roman" w:cs="Times New Roman"/>
                <w:sz w:val="18"/>
                <w:szCs w:val="18"/>
              </w:rPr>
              <w:t>: SDL</w:t>
            </w:r>
            <w:r w:rsidR="00ED31C1">
              <w:rPr>
                <w:rFonts w:ascii="Times New Roman" w:hAnsi="Times New Roman" w:cs="Times New Roman"/>
                <w:sz w:val="18"/>
                <w:szCs w:val="18"/>
              </w:rPr>
              <w:t>/SDR</w:t>
            </w:r>
            <w:r w:rsidR="006A0D48" w:rsidRPr="00BC7BB5">
              <w:rPr>
                <w:rFonts w:ascii="Times New Roman" w:hAnsi="Times New Roman" w:cs="Times New Roman"/>
                <w:sz w:val="18"/>
                <w:szCs w:val="18"/>
              </w:rPr>
              <w:t xml:space="preserve"> that will manage the wholesale market is established; </w:t>
            </w:r>
          </w:p>
          <w:p w14:paraId="40F8FBCE" w14:textId="7CA47D20" w:rsidR="006A0D48" w:rsidRPr="00BC7BB5" w:rsidRDefault="00FA7BA9" w:rsidP="00CB471A">
            <w:pPr>
              <w:rPr>
                <w:rFonts w:ascii="Times New Roman" w:hAnsi="Times New Roman" w:cs="Times New Roman"/>
                <w:sz w:val="18"/>
                <w:szCs w:val="18"/>
              </w:rPr>
            </w:pPr>
            <w:r>
              <w:rPr>
                <w:rFonts w:ascii="Times New Roman" w:hAnsi="Times New Roman" w:cs="Times New Roman"/>
                <w:sz w:val="18"/>
                <w:szCs w:val="18"/>
              </w:rPr>
              <w:t>4.2</w:t>
            </w:r>
            <w:r w:rsidR="006A0D48" w:rsidRPr="00BC7BB5">
              <w:rPr>
                <w:rFonts w:ascii="Times New Roman" w:hAnsi="Times New Roman" w:cs="Times New Roman"/>
                <w:sz w:val="18"/>
                <w:szCs w:val="18"/>
              </w:rPr>
              <w:t xml:space="preserve">:  The </w:t>
            </w:r>
            <w:r w:rsidR="00ED31C1">
              <w:rPr>
                <w:rFonts w:ascii="Times New Roman" w:hAnsi="Times New Roman" w:cs="Times New Roman"/>
                <w:sz w:val="18"/>
                <w:szCs w:val="18"/>
              </w:rPr>
              <w:t xml:space="preserve">wholesale </w:t>
            </w:r>
            <w:r w:rsidR="006A0D48" w:rsidRPr="00BC7BB5">
              <w:rPr>
                <w:rFonts w:ascii="Times New Roman" w:hAnsi="Times New Roman" w:cs="Times New Roman"/>
                <w:sz w:val="18"/>
                <w:szCs w:val="18"/>
              </w:rPr>
              <w:t>market is fully built and equipped;</w:t>
            </w:r>
          </w:p>
          <w:p w14:paraId="2AE0EA4D" w14:textId="08C604DC" w:rsidR="006A0D48" w:rsidRPr="00BC7BB5" w:rsidRDefault="00FA7BA9" w:rsidP="00CB471A">
            <w:pPr>
              <w:rPr>
                <w:rFonts w:ascii="Times New Roman" w:hAnsi="Times New Roman" w:cs="Times New Roman"/>
                <w:sz w:val="18"/>
                <w:szCs w:val="18"/>
              </w:rPr>
            </w:pPr>
            <w:r>
              <w:rPr>
                <w:rFonts w:ascii="Times New Roman" w:hAnsi="Times New Roman" w:cs="Times New Roman"/>
                <w:sz w:val="18"/>
                <w:szCs w:val="18"/>
              </w:rPr>
              <w:t>4.3</w:t>
            </w:r>
            <w:r w:rsidR="00ED31C1">
              <w:rPr>
                <w:rFonts w:ascii="Times New Roman" w:hAnsi="Times New Roman" w:cs="Times New Roman"/>
                <w:sz w:val="18"/>
                <w:szCs w:val="18"/>
              </w:rPr>
              <w:t>: Wholesale m</w:t>
            </w:r>
            <w:r w:rsidR="006A0D48" w:rsidRPr="00BC7BB5">
              <w:rPr>
                <w:rFonts w:ascii="Times New Roman" w:hAnsi="Times New Roman" w:cs="Times New Roman"/>
                <w:sz w:val="18"/>
                <w:szCs w:val="18"/>
              </w:rPr>
              <w:t xml:space="preserve">arket is operating in accordance with specific criteria defined in the </w:t>
            </w:r>
            <w:r w:rsidR="00501C0B">
              <w:rPr>
                <w:rFonts w:ascii="Times New Roman" w:hAnsi="Times New Roman" w:cs="Times New Roman"/>
                <w:sz w:val="18"/>
                <w:szCs w:val="18"/>
              </w:rPr>
              <w:t>POM</w:t>
            </w:r>
            <w:r w:rsidR="006A0D48" w:rsidRPr="00BC7BB5">
              <w:rPr>
                <w:rFonts w:ascii="Times New Roman" w:hAnsi="Times New Roman" w:cs="Times New Roman"/>
                <w:sz w:val="18"/>
                <w:szCs w:val="18"/>
              </w:rPr>
              <w:t xml:space="preserve"> (among others, operators from other markets have transferred to the new market in line with the social </w:t>
            </w:r>
            <w:r w:rsidR="00501C0B">
              <w:rPr>
                <w:rFonts w:ascii="Times New Roman" w:hAnsi="Times New Roman" w:cs="Times New Roman"/>
                <w:sz w:val="18"/>
                <w:szCs w:val="18"/>
              </w:rPr>
              <w:t xml:space="preserve">action </w:t>
            </w:r>
            <w:r w:rsidR="006A0D48" w:rsidRPr="00BC7BB5">
              <w:rPr>
                <w:rFonts w:ascii="Times New Roman" w:hAnsi="Times New Roman" w:cs="Times New Roman"/>
                <w:sz w:val="18"/>
                <w:szCs w:val="18"/>
              </w:rPr>
              <w:t xml:space="preserve">plan). </w:t>
            </w:r>
          </w:p>
        </w:tc>
        <w:tc>
          <w:tcPr>
            <w:tcW w:w="544" w:type="pct"/>
            <w:vAlign w:val="center"/>
          </w:tcPr>
          <w:p w14:paraId="118944FF" w14:textId="77777777" w:rsidR="006A0D48" w:rsidRPr="00BC7BB5" w:rsidRDefault="006A0D48" w:rsidP="00CB471A">
            <w:pPr>
              <w:spacing w:after="120"/>
              <w:rPr>
                <w:rFonts w:ascii="Times New Roman" w:hAnsi="Times New Roman" w:cs="Times New Roman"/>
                <w:sz w:val="18"/>
                <w:szCs w:val="18"/>
              </w:rPr>
            </w:pPr>
            <w:r w:rsidRPr="00BC7BB5">
              <w:rPr>
                <w:rFonts w:ascii="Times New Roman" w:hAnsi="Times New Roman" w:cs="Times New Roman"/>
                <w:sz w:val="18"/>
                <w:szCs w:val="18"/>
              </w:rPr>
              <w:t>Yes</w:t>
            </w:r>
          </w:p>
        </w:tc>
        <w:tc>
          <w:tcPr>
            <w:tcW w:w="543" w:type="pct"/>
            <w:tcBorders>
              <w:top w:val="single" w:sz="4" w:space="0" w:color="auto"/>
            </w:tcBorders>
            <w:vAlign w:val="center"/>
          </w:tcPr>
          <w:p w14:paraId="5A28A6E1" w14:textId="77777777" w:rsidR="006A0D48" w:rsidRPr="00BC7BB5" w:rsidRDefault="006A0D48" w:rsidP="00CB471A">
            <w:pPr>
              <w:spacing w:after="120"/>
              <w:rPr>
                <w:rFonts w:ascii="Times New Roman" w:hAnsi="Times New Roman" w:cs="Times New Roman"/>
                <w:sz w:val="18"/>
                <w:szCs w:val="18"/>
              </w:rPr>
            </w:pPr>
          </w:p>
          <w:p w14:paraId="6496E113" w14:textId="77777777" w:rsidR="006A0D48" w:rsidRPr="00BC7BB5" w:rsidRDefault="006A0D48" w:rsidP="00CB471A">
            <w:pPr>
              <w:spacing w:after="120"/>
              <w:rPr>
                <w:rFonts w:ascii="Times New Roman" w:hAnsi="Times New Roman" w:cs="Times New Roman"/>
                <w:sz w:val="18"/>
                <w:szCs w:val="18"/>
              </w:rPr>
            </w:pPr>
          </w:p>
          <w:p w14:paraId="0B457FDB" w14:textId="77777777" w:rsidR="006A0D48" w:rsidRPr="00BC7BB5" w:rsidRDefault="006A0D48" w:rsidP="00CB471A">
            <w:pPr>
              <w:spacing w:after="120"/>
              <w:rPr>
                <w:rFonts w:ascii="Times New Roman" w:hAnsi="Times New Roman" w:cs="Times New Roman"/>
                <w:sz w:val="18"/>
                <w:szCs w:val="18"/>
              </w:rPr>
            </w:pPr>
            <w:r w:rsidRPr="00BC7BB5">
              <w:rPr>
                <w:rFonts w:ascii="Times New Roman" w:hAnsi="Times New Roman" w:cs="Times New Roman"/>
                <w:sz w:val="18"/>
                <w:szCs w:val="18"/>
              </w:rPr>
              <w:t>Wilaya</w:t>
            </w:r>
          </w:p>
          <w:p w14:paraId="0446A1E5" w14:textId="77777777" w:rsidR="006A0D48" w:rsidRPr="00BC7BB5" w:rsidRDefault="006A0D48" w:rsidP="00CB471A">
            <w:pPr>
              <w:spacing w:after="120"/>
              <w:rPr>
                <w:rFonts w:ascii="Times New Roman" w:hAnsi="Times New Roman" w:cs="Times New Roman"/>
                <w:sz w:val="18"/>
                <w:szCs w:val="18"/>
              </w:rPr>
            </w:pPr>
          </w:p>
          <w:p w14:paraId="24BD7D8C" w14:textId="77777777" w:rsidR="006A0D48" w:rsidRPr="00BC7BB5" w:rsidRDefault="006A0D48" w:rsidP="00CB471A">
            <w:pPr>
              <w:spacing w:after="120"/>
              <w:rPr>
                <w:rFonts w:ascii="Times New Roman" w:hAnsi="Times New Roman" w:cs="Times New Roman"/>
                <w:sz w:val="18"/>
                <w:szCs w:val="18"/>
              </w:rPr>
            </w:pPr>
          </w:p>
          <w:p w14:paraId="148635E9" w14:textId="77777777" w:rsidR="006A0D48" w:rsidRPr="00BC7BB5" w:rsidRDefault="006A0D48" w:rsidP="00CB471A">
            <w:pPr>
              <w:spacing w:after="120"/>
              <w:rPr>
                <w:rFonts w:ascii="Times New Roman" w:hAnsi="Times New Roman" w:cs="Times New Roman"/>
                <w:sz w:val="18"/>
                <w:szCs w:val="18"/>
              </w:rPr>
            </w:pPr>
          </w:p>
          <w:p w14:paraId="7BCEDB25" w14:textId="77777777" w:rsidR="006A0D48" w:rsidRPr="00BC7BB5" w:rsidRDefault="006A0D48" w:rsidP="00CB471A">
            <w:pPr>
              <w:spacing w:after="120"/>
              <w:rPr>
                <w:rFonts w:ascii="Times New Roman" w:hAnsi="Times New Roman" w:cs="Times New Roman"/>
                <w:sz w:val="18"/>
                <w:szCs w:val="18"/>
              </w:rPr>
            </w:pPr>
          </w:p>
        </w:tc>
        <w:tc>
          <w:tcPr>
            <w:tcW w:w="472" w:type="pct"/>
            <w:tcBorders>
              <w:top w:val="single" w:sz="4" w:space="0" w:color="auto"/>
            </w:tcBorders>
          </w:tcPr>
          <w:p w14:paraId="49BA20CA" w14:textId="77777777" w:rsidR="006A0D48" w:rsidRPr="00BC7BB5" w:rsidRDefault="006A0D48" w:rsidP="00CB471A">
            <w:pPr>
              <w:spacing w:after="120"/>
              <w:rPr>
                <w:rFonts w:ascii="Times New Roman" w:hAnsi="Times New Roman" w:cs="Times New Roman"/>
                <w:sz w:val="18"/>
                <w:szCs w:val="18"/>
              </w:rPr>
            </w:pPr>
          </w:p>
          <w:p w14:paraId="0488B316" w14:textId="77777777" w:rsidR="006A0D48" w:rsidRPr="00BC7BB5" w:rsidRDefault="006A0D48" w:rsidP="00CB471A">
            <w:pPr>
              <w:spacing w:after="120"/>
              <w:rPr>
                <w:rFonts w:ascii="Times New Roman" w:hAnsi="Times New Roman" w:cs="Times New Roman"/>
                <w:sz w:val="18"/>
                <w:szCs w:val="18"/>
              </w:rPr>
            </w:pPr>
          </w:p>
          <w:p w14:paraId="0B4B1455" w14:textId="77777777" w:rsidR="006A0D48" w:rsidRPr="00BC7BB5" w:rsidRDefault="006A0D48" w:rsidP="00CB471A">
            <w:pPr>
              <w:spacing w:after="120"/>
              <w:rPr>
                <w:rFonts w:ascii="Times New Roman" w:hAnsi="Times New Roman" w:cs="Times New Roman"/>
                <w:sz w:val="18"/>
                <w:szCs w:val="18"/>
              </w:rPr>
            </w:pPr>
            <w:r w:rsidRPr="00BC7BB5">
              <w:rPr>
                <w:rFonts w:ascii="Times New Roman" w:hAnsi="Times New Roman" w:cs="Times New Roman"/>
                <w:sz w:val="18"/>
                <w:szCs w:val="18"/>
              </w:rPr>
              <w:t>IGA</w:t>
            </w:r>
          </w:p>
        </w:tc>
        <w:tc>
          <w:tcPr>
            <w:tcW w:w="1196" w:type="pct"/>
            <w:tcBorders>
              <w:top w:val="single" w:sz="4" w:space="0" w:color="auto"/>
            </w:tcBorders>
            <w:vAlign w:val="center"/>
          </w:tcPr>
          <w:p w14:paraId="5A57C357" w14:textId="77777777" w:rsidR="006A0D48" w:rsidRPr="00BC7BB5" w:rsidRDefault="006A0D48" w:rsidP="00CB471A">
            <w:pPr>
              <w:spacing w:after="120"/>
              <w:rPr>
                <w:rFonts w:ascii="Times New Roman" w:hAnsi="Times New Roman" w:cs="Times New Roman"/>
                <w:sz w:val="18"/>
                <w:szCs w:val="18"/>
              </w:rPr>
            </w:pPr>
            <w:r w:rsidRPr="00BC7BB5">
              <w:rPr>
                <w:rFonts w:ascii="Times New Roman" w:hAnsi="Times New Roman" w:cs="Times New Roman"/>
                <w:sz w:val="18"/>
                <w:szCs w:val="18"/>
              </w:rPr>
              <w:t xml:space="preserve">Verified by the IGA by reviewing the official bulletin. </w:t>
            </w:r>
          </w:p>
          <w:p w14:paraId="02C01176" w14:textId="3996D213" w:rsidR="006A0D48" w:rsidRPr="00BC7BB5" w:rsidRDefault="00FA7BA9" w:rsidP="00CB471A">
            <w:pPr>
              <w:spacing w:after="120"/>
              <w:rPr>
                <w:rFonts w:ascii="Times New Roman" w:hAnsi="Times New Roman" w:cs="Times New Roman"/>
                <w:sz w:val="18"/>
                <w:szCs w:val="18"/>
              </w:rPr>
            </w:pPr>
            <w:r>
              <w:rPr>
                <w:rFonts w:ascii="Times New Roman" w:hAnsi="Times New Roman" w:cs="Times New Roman"/>
                <w:sz w:val="18"/>
                <w:szCs w:val="18"/>
              </w:rPr>
              <w:t>4.1</w:t>
            </w:r>
            <w:r w:rsidR="006A0D48" w:rsidRPr="00BC7BB5">
              <w:rPr>
                <w:rFonts w:ascii="Times New Roman" w:hAnsi="Times New Roman" w:cs="Times New Roman"/>
                <w:sz w:val="18"/>
                <w:szCs w:val="18"/>
              </w:rPr>
              <w:t xml:space="preserve">: Verification through the submission of legal evidence of the creation of the entity; </w:t>
            </w:r>
          </w:p>
          <w:p w14:paraId="1D6A8202" w14:textId="3C272613" w:rsidR="006A0D48" w:rsidRPr="00BC7BB5" w:rsidRDefault="00FA7BA9" w:rsidP="00CB471A">
            <w:pPr>
              <w:spacing w:after="120"/>
              <w:rPr>
                <w:rFonts w:ascii="Times New Roman" w:hAnsi="Times New Roman" w:cs="Times New Roman"/>
                <w:sz w:val="18"/>
                <w:szCs w:val="18"/>
              </w:rPr>
            </w:pPr>
            <w:r>
              <w:rPr>
                <w:rFonts w:ascii="Times New Roman" w:hAnsi="Times New Roman" w:cs="Times New Roman"/>
                <w:sz w:val="18"/>
                <w:szCs w:val="18"/>
              </w:rPr>
              <w:t>4.2 and 4.3</w:t>
            </w:r>
            <w:r w:rsidR="006A0D48" w:rsidRPr="00BC7BB5">
              <w:rPr>
                <w:rFonts w:ascii="Times New Roman" w:hAnsi="Times New Roman" w:cs="Times New Roman"/>
                <w:sz w:val="18"/>
                <w:szCs w:val="18"/>
              </w:rPr>
              <w:t>: Verified by the IGA by reviewing progress reports.</w:t>
            </w:r>
          </w:p>
        </w:tc>
      </w:tr>
      <w:tr w:rsidR="006A0D48" w:rsidRPr="00BC7BB5" w14:paraId="71AD0173" w14:textId="77777777" w:rsidTr="00DB68CB">
        <w:trPr>
          <w:jc w:val="center"/>
        </w:trPr>
        <w:tc>
          <w:tcPr>
            <w:tcW w:w="179" w:type="pct"/>
            <w:vAlign w:val="center"/>
          </w:tcPr>
          <w:p w14:paraId="1805876F" w14:textId="77777777" w:rsidR="006A0D48" w:rsidRPr="00BC7BB5" w:rsidRDefault="006A0D48" w:rsidP="00CB471A">
            <w:pPr>
              <w:rPr>
                <w:rFonts w:ascii="Times New Roman" w:hAnsi="Times New Roman" w:cs="Times New Roman"/>
                <w:sz w:val="18"/>
                <w:szCs w:val="18"/>
              </w:rPr>
            </w:pPr>
            <w:r w:rsidRPr="00BC7BB5">
              <w:rPr>
                <w:rFonts w:ascii="Times New Roman" w:hAnsi="Times New Roman" w:cs="Times New Roman"/>
                <w:sz w:val="18"/>
                <w:szCs w:val="18"/>
              </w:rPr>
              <w:t>5</w:t>
            </w:r>
          </w:p>
        </w:tc>
        <w:tc>
          <w:tcPr>
            <w:tcW w:w="942" w:type="pct"/>
            <w:vAlign w:val="center"/>
          </w:tcPr>
          <w:p w14:paraId="27297C86" w14:textId="10630ED6" w:rsidR="006A0D48" w:rsidRPr="00BC7BB5" w:rsidRDefault="00B656F6" w:rsidP="00CB471A">
            <w:pPr>
              <w:pStyle w:val="ListParagraph"/>
              <w:spacing w:after="120"/>
              <w:ind w:left="0"/>
              <w:rPr>
                <w:rFonts w:ascii="Times New Roman" w:hAnsi="Times New Roman" w:cs="Times New Roman"/>
                <w:sz w:val="18"/>
                <w:szCs w:val="18"/>
              </w:rPr>
            </w:pPr>
            <w:r>
              <w:rPr>
                <w:rFonts w:ascii="Times New Roman" w:hAnsi="Times New Roman" w:cs="Times New Roman"/>
                <w:sz w:val="18"/>
                <w:szCs w:val="18"/>
              </w:rPr>
              <w:t>Number of s</w:t>
            </w:r>
            <w:r w:rsidR="00ED31C1" w:rsidRPr="00BC7BB5">
              <w:rPr>
                <w:rFonts w:ascii="Times New Roman" w:hAnsi="Times New Roman" w:cs="Times New Roman"/>
                <w:sz w:val="18"/>
                <w:szCs w:val="18"/>
              </w:rPr>
              <w:t>mall- and</w:t>
            </w:r>
            <w:r w:rsidR="00ED31C1">
              <w:rPr>
                <w:rFonts w:ascii="Times New Roman" w:hAnsi="Times New Roman" w:cs="Times New Roman"/>
                <w:sz w:val="18"/>
                <w:szCs w:val="18"/>
              </w:rPr>
              <w:t>/or</w:t>
            </w:r>
            <w:r w:rsidR="00ED31C1" w:rsidRPr="00BC7BB5">
              <w:rPr>
                <w:rFonts w:ascii="Times New Roman" w:hAnsi="Times New Roman" w:cs="Times New Roman"/>
                <w:sz w:val="18"/>
                <w:szCs w:val="18"/>
              </w:rPr>
              <w:t xml:space="preserve"> medium-size </w:t>
            </w:r>
            <w:r w:rsidR="00501C0B">
              <w:rPr>
                <w:rFonts w:ascii="Times New Roman" w:hAnsi="Times New Roman" w:cs="Times New Roman"/>
                <w:sz w:val="18"/>
                <w:szCs w:val="18"/>
              </w:rPr>
              <w:t>agri-food</w:t>
            </w:r>
            <w:r w:rsidR="00ED31C1" w:rsidRPr="00BC7BB5">
              <w:rPr>
                <w:rFonts w:ascii="Times New Roman" w:hAnsi="Times New Roman" w:cs="Times New Roman"/>
                <w:sz w:val="18"/>
                <w:szCs w:val="18"/>
              </w:rPr>
              <w:t xml:space="preserve"> enterprises authorized by ONSSA </w:t>
            </w:r>
          </w:p>
        </w:tc>
        <w:tc>
          <w:tcPr>
            <w:tcW w:w="1124" w:type="pct"/>
            <w:vAlign w:val="center"/>
          </w:tcPr>
          <w:p w14:paraId="7D9AFA4A" w14:textId="6F026539" w:rsidR="006A0D48" w:rsidRPr="00BC7BB5" w:rsidRDefault="006A0D48" w:rsidP="00CB471A">
            <w:pPr>
              <w:spacing w:after="120"/>
              <w:rPr>
                <w:rFonts w:ascii="Times New Roman" w:hAnsi="Times New Roman" w:cs="Times New Roman"/>
                <w:sz w:val="18"/>
                <w:szCs w:val="18"/>
              </w:rPr>
            </w:pPr>
            <w:r w:rsidRPr="00BC7BB5">
              <w:rPr>
                <w:rFonts w:ascii="Times New Roman" w:hAnsi="Times New Roman" w:cs="Times New Roman"/>
                <w:sz w:val="18"/>
                <w:szCs w:val="18"/>
              </w:rPr>
              <w:t>Small- and</w:t>
            </w:r>
            <w:r w:rsidR="00ED31C1">
              <w:rPr>
                <w:rFonts w:ascii="Times New Roman" w:hAnsi="Times New Roman" w:cs="Times New Roman"/>
                <w:sz w:val="18"/>
                <w:szCs w:val="18"/>
              </w:rPr>
              <w:t>/or</w:t>
            </w:r>
            <w:r w:rsidRPr="00BC7BB5">
              <w:rPr>
                <w:rFonts w:ascii="Times New Roman" w:hAnsi="Times New Roman" w:cs="Times New Roman"/>
                <w:sz w:val="18"/>
                <w:szCs w:val="18"/>
              </w:rPr>
              <w:t xml:space="preserve"> medium-size producers and enterprises authorized and integrated</w:t>
            </w:r>
            <w:r w:rsidR="00ED31C1">
              <w:rPr>
                <w:rFonts w:ascii="Times New Roman" w:hAnsi="Times New Roman" w:cs="Times New Roman"/>
                <w:sz w:val="18"/>
                <w:szCs w:val="18"/>
              </w:rPr>
              <w:t xml:space="preserve"> into ONSSA’s official register </w:t>
            </w:r>
            <w:r w:rsidR="00ED31C1" w:rsidRPr="00BC7BB5">
              <w:rPr>
                <w:rFonts w:ascii="Times New Roman" w:hAnsi="Times New Roman" w:cs="Times New Roman"/>
                <w:sz w:val="18"/>
                <w:szCs w:val="18"/>
              </w:rPr>
              <w:t>(i.e. complying with the food safety law)</w:t>
            </w:r>
            <w:r w:rsidR="00ED31C1">
              <w:rPr>
                <w:rFonts w:ascii="Times New Roman" w:hAnsi="Times New Roman" w:cs="Times New Roman"/>
                <w:sz w:val="18"/>
                <w:szCs w:val="18"/>
              </w:rPr>
              <w:t>.</w:t>
            </w:r>
          </w:p>
        </w:tc>
        <w:tc>
          <w:tcPr>
            <w:tcW w:w="544" w:type="pct"/>
            <w:vAlign w:val="center"/>
          </w:tcPr>
          <w:p w14:paraId="3D80F260" w14:textId="77777777" w:rsidR="006A0D48" w:rsidRPr="00BC7BB5" w:rsidRDefault="006A0D48" w:rsidP="00CB471A">
            <w:pPr>
              <w:spacing w:after="120"/>
              <w:rPr>
                <w:rFonts w:ascii="Times New Roman" w:hAnsi="Times New Roman" w:cs="Times New Roman"/>
                <w:sz w:val="18"/>
                <w:szCs w:val="18"/>
              </w:rPr>
            </w:pPr>
            <w:r w:rsidRPr="00BC7BB5">
              <w:rPr>
                <w:rFonts w:ascii="Times New Roman" w:hAnsi="Times New Roman" w:cs="Times New Roman"/>
                <w:sz w:val="18"/>
                <w:szCs w:val="18"/>
              </w:rPr>
              <w:t>Yes</w:t>
            </w:r>
          </w:p>
        </w:tc>
        <w:tc>
          <w:tcPr>
            <w:tcW w:w="543" w:type="pct"/>
            <w:tcBorders>
              <w:top w:val="single" w:sz="4" w:space="0" w:color="auto"/>
            </w:tcBorders>
            <w:vAlign w:val="center"/>
          </w:tcPr>
          <w:p w14:paraId="16DF32B5" w14:textId="77777777" w:rsidR="006A0D48" w:rsidRPr="00BC7BB5" w:rsidRDefault="006A0D48" w:rsidP="00CB471A">
            <w:pPr>
              <w:spacing w:after="120"/>
              <w:rPr>
                <w:rFonts w:ascii="Times New Roman" w:hAnsi="Times New Roman" w:cs="Times New Roman"/>
                <w:sz w:val="18"/>
                <w:szCs w:val="18"/>
              </w:rPr>
            </w:pPr>
            <w:r w:rsidRPr="00BC7BB5">
              <w:rPr>
                <w:rFonts w:ascii="Times New Roman" w:hAnsi="Times New Roman" w:cs="Times New Roman"/>
                <w:sz w:val="18"/>
                <w:szCs w:val="18"/>
              </w:rPr>
              <w:t>ONSSA</w:t>
            </w:r>
          </w:p>
        </w:tc>
        <w:tc>
          <w:tcPr>
            <w:tcW w:w="472" w:type="pct"/>
            <w:tcBorders>
              <w:top w:val="single" w:sz="4" w:space="0" w:color="auto"/>
            </w:tcBorders>
          </w:tcPr>
          <w:p w14:paraId="0BA8F777" w14:textId="77777777" w:rsidR="006A0D48" w:rsidRPr="00BC7BB5" w:rsidRDefault="006A0D48" w:rsidP="00CB471A">
            <w:pPr>
              <w:spacing w:after="120"/>
              <w:rPr>
                <w:rFonts w:ascii="Times New Roman" w:hAnsi="Times New Roman" w:cs="Times New Roman"/>
                <w:sz w:val="18"/>
                <w:szCs w:val="18"/>
              </w:rPr>
            </w:pPr>
          </w:p>
          <w:p w14:paraId="6C2A3C10" w14:textId="77777777" w:rsidR="006A0D48" w:rsidRPr="00BC7BB5" w:rsidRDefault="006A0D48" w:rsidP="00CB471A">
            <w:pPr>
              <w:spacing w:after="120"/>
              <w:rPr>
                <w:rFonts w:ascii="Times New Roman" w:hAnsi="Times New Roman" w:cs="Times New Roman"/>
                <w:sz w:val="18"/>
                <w:szCs w:val="18"/>
              </w:rPr>
            </w:pPr>
            <w:r w:rsidRPr="00BC7BB5">
              <w:rPr>
                <w:rFonts w:ascii="Times New Roman" w:hAnsi="Times New Roman" w:cs="Times New Roman"/>
                <w:sz w:val="18"/>
                <w:szCs w:val="18"/>
              </w:rPr>
              <w:t>IGA</w:t>
            </w:r>
          </w:p>
        </w:tc>
        <w:tc>
          <w:tcPr>
            <w:tcW w:w="1196" w:type="pct"/>
            <w:tcBorders>
              <w:top w:val="single" w:sz="4" w:space="0" w:color="auto"/>
            </w:tcBorders>
            <w:vAlign w:val="center"/>
          </w:tcPr>
          <w:p w14:paraId="2B4F159E" w14:textId="77777777" w:rsidR="006A0D48" w:rsidRPr="00BC7BB5" w:rsidRDefault="006A0D48" w:rsidP="00CB471A">
            <w:pPr>
              <w:spacing w:after="120"/>
              <w:rPr>
                <w:rFonts w:ascii="Times New Roman" w:hAnsi="Times New Roman" w:cs="Times New Roman"/>
                <w:sz w:val="18"/>
                <w:szCs w:val="18"/>
              </w:rPr>
            </w:pPr>
            <w:r w:rsidRPr="00BC7BB5">
              <w:rPr>
                <w:rFonts w:ascii="Times New Roman" w:hAnsi="Times New Roman" w:cs="Times New Roman"/>
                <w:sz w:val="18"/>
                <w:szCs w:val="18"/>
              </w:rPr>
              <w:t>Verified by the IGA by reviewing ONSSA’s register and official records.</w:t>
            </w:r>
          </w:p>
          <w:p w14:paraId="13FD2624" w14:textId="77777777" w:rsidR="006A0D48" w:rsidRPr="00BC7BB5" w:rsidRDefault="006A0D48" w:rsidP="00CB471A">
            <w:pPr>
              <w:spacing w:after="120"/>
              <w:rPr>
                <w:rFonts w:ascii="Times New Roman" w:hAnsi="Times New Roman" w:cs="Times New Roman"/>
                <w:sz w:val="18"/>
                <w:szCs w:val="18"/>
              </w:rPr>
            </w:pPr>
          </w:p>
        </w:tc>
      </w:tr>
      <w:tr w:rsidR="006A0D48" w:rsidRPr="00BC7BB5" w14:paraId="63F57AF9" w14:textId="77777777" w:rsidTr="00DB68CB">
        <w:trPr>
          <w:jc w:val="center"/>
        </w:trPr>
        <w:tc>
          <w:tcPr>
            <w:tcW w:w="179" w:type="pct"/>
            <w:vAlign w:val="center"/>
          </w:tcPr>
          <w:p w14:paraId="151D98D5" w14:textId="77777777" w:rsidR="006A0D48" w:rsidRPr="00BC7BB5" w:rsidRDefault="006A0D48" w:rsidP="00CB471A">
            <w:pPr>
              <w:rPr>
                <w:rFonts w:ascii="Times New Roman" w:hAnsi="Times New Roman" w:cs="Times New Roman"/>
                <w:sz w:val="18"/>
                <w:szCs w:val="18"/>
              </w:rPr>
            </w:pPr>
            <w:r w:rsidRPr="00BC7BB5">
              <w:rPr>
                <w:rFonts w:ascii="Times New Roman" w:hAnsi="Times New Roman" w:cs="Times New Roman"/>
                <w:sz w:val="18"/>
                <w:szCs w:val="18"/>
              </w:rPr>
              <w:t>6</w:t>
            </w:r>
          </w:p>
        </w:tc>
        <w:tc>
          <w:tcPr>
            <w:tcW w:w="942" w:type="pct"/>
            <w:vAlign w:val="center"/>
          </w:tcPr>
          <w:p w14:paraId="3CBAEF35" w14:textId="4E95349F" w:rsidR="00ED31C1" w:rsidRDefault="00B656F6" w:rsidP="00ED31C1">
            <w:pPr>
              <w:spacing w:after="120"/>
              <w:rPr>
                <w:rFonts w:ascii="Times New Roman" w:hAnsi="Times New Roman" w:cs="Times New Roman"/>
                <w:sz w:val="18"/>
                <w:szCs w:val="18"/>
              </w:rPr>
            </w:pPr>
            <w:r>
              <w:rPr>
                <w:rFonts w:ascii="Times New Roman" w:hAnsi="Times New Roman" w:cs="Times New Roman"/>
                <w:sz w:val="18"/>
                <w:szCs w:val="18"/>
              </w:rPr>
              <w:t>The Borrower’s c</w:t>
            </w:r>
            <w:r w:rsidR="00ED31C1" w:rsidRPr="00BC7BB5">
              <w:rPr>
                <w:rFonts w:ascii="Times New Roman" w:hAnsi="Times New Roman" w:cs="Times New Roman"/>
                <w:sz w:val="18"/>
                <w:szCs w:val="18"/>
              </w:rPr>
              <w:t xml:space="preserve">enter for </w:t>
            </w:r>
            <w:r w:rsidR="00ED31C1">
              <w:rPr>
                <w:rFonts w:ascii="Times New Roman" w:hAnsi="Times New Roman" w:cs="Times New Roman"/>
                <w:sz w:val="18"/>
                <w:szCs w:val="18"/>
              </w:rPr>
              <w:t xml:space="preserve">the production of sterile </w:t>
            </w:r>
            <w:r w:rsidR="00ED31C1" w:rsidRPr="00CF10A7">
              <w:rPr>
                <w:rFonts w:ascii="Times New Roman" w:hAnsi="Times New Roman" w:cs="Times New Roman"/>
                <w:i/>
                <w:sz w:val="18"/>
                <w:szCs w:val="18"/>
              </w:rPr>
              <w:t>ceratitis</w:t>
            </w:r>
            <w:r w:rsidR="00ED31C1">
              <w:rPr>
                <w:rFonts w:ascii="Times New Roman" w:hAnsi="Times New Roman" w:cs="Times New Roman"/>
                <w:sz w:val="18"/>
                <w:szCs w:val="18"/>
              </w:rPr>
              <w:t xml:space="preserve"> males</w:t>
            </w:r>
            <w:r w:rsidR="00ED31C1" w:rsidRPr="00BC7BB5">
              <w:rPr>
                <w:rFonts w:ascii="Times New Roman" w:hAnsi="Times New Roman" w:cs="Times New Roman"/>
                <w:sz w:val="18"/>
                <w:szCs w:val="18"/>
              </w:rPr>
              <w:t xml:space="preserve"> providing farm treatment services to citrus producers</w:t>
            </w:r>
            <w:r w:rsidR="00ED31C1">
              <w:rPr>
                <w:rFonts w:ascii="Times New Roman" w:hAnsi="Times New Roman" w:cs="Times New Roman"/>
                <w:sz w:val="18"/>
                <w:szCs w:val="18"/>
              </w:rPr>
              <w:t>:</w:t>
            </w:r>
          </w:p>
          <w:p w14:paraId="6A77A330" w14:textId="77777777" w:rsidR="00ED31C1" w:rsidRDefault="00ED31C1" w:rsidP="00ED31C1">
            <w:pPr>
              <w:spacing w:after="120"/>
              <w:rPr>
                <w:rFonts w:ascii="Times New Roman" w:hAnsi="Times New Roman" w:cs="Times New Roman"/>
                <w:sz w:val="18"/>
                <w:szCs w:val="18"/>
              </w:rPr>
            </w:pPr>
            <w:r>
              <w:rPr>
                <w:rFonts w:ascii="Times New Roman" w:hAnsi="Times New Roman" w:cs="Times New Roman"/>
                <w:sz w:val="18"/>
                <w:szCs w:val="18"/>
              </w:rPr>
              <w:t xml:space="preserve">6.1 Agreement between the Borrower and IAEA signed </w:t>
            </w:r>
            <w:r>
              <w:rPr>
                <w:rFonts w:ascii="Times New Roman" w:hAnsi="Times New Roman" w:cs="Times New Roman"/>
                <w:sz w:val="18"/>
                <w:szCs w:val="18"/>
              </w:rPr>
              <w:lastRenderedPageBreak/>
              <w:t>for the provision of equipment and relevant training for the center</w:t>
            </w:r>
          </w:p>
          <w:p w14:paraId="2B7CE731" w14:textId="54A94CEB" w:rsidR="006A0D48" w:rsidRPr="00BC7BB5" w:rsidRDefault="00ED31C1" w:rsidP="00ED31C1">
            <w:pPr>
              <w:spacing w:after="120"/>
              <w:rPr>
                <w:rFonts w:ascii="Times New Roman" w:hAnsi="Times New Roman" w:cs="Times New Roman"/>
                <w:sz w:val="18"/>
                <w:szCs w:val="18"/>
              </w:rPr>
            </w:pPr>
            <w:r>
              <w:rPr>
                <w:rFonts w:ascii="Times New Roman" w:hAnsi="Times New Roman" w:cs="Times New Roman"/>
                <w:sz w:val="18"/>
                <w:szCs w:val="18"/>
              </w:rPr>
              <w:t>6.2 The center has been constructed</w:t>
            </w:r>
            <w:r w:rsidR="002C5EEB">
              <w:rPr>
                <w:rFonts w:ascii="Times New Roman" w:hAnsi="Times New Roman" w:cs="Times New Roman"/>
                <w:sz w:val="18"/>
                <w:szCs w:val="18"/>
              </w:rPr>
              <w:t>/rehabilitated</w:t>
            </w:r>
            <w:r>
              <w:rPr>
                <w:rFonts w:ascii="Times New Roman" w:hAnsi="Times New Roman" w:cs="Times New Roman"/>
                <w:sz w:val="18"/>
                <w:szCs w:val="18"/>
              </w:rPr>
              <w:t xml:space="preserve"> and fully equipped, and has launched its activities</w:t>
            </w:r>
          </w:p>
        </w:tc>
        <w:tc>
          <w:tcPr>
            <w:tcW w:w="1124" w:type="pct"/>
            <w:vAlign w:val="center"/>
          </w:tcPr>
          <w:p w14:paraId="40A9EA74" w14:textId="77777777" w:rsidR="00ED31C1" w:rsidRDefault="00ED31C1" w:rsidP="00CB471A">
            <w:pPr>
              <w:spacing w:after="120"/>
              <w:rPr>
                <w:rFonts w:ascii="Times New Roman" w:hAnsi="Times New Roman" w:cs="Times New Roman"/>
                <w:sz w:val="18"/>
                <w:szCs w:val="18"/>
              </w:rPr>
            </w:pPr>
            <w:r>
              <w:rPr>
                <w:rFonts w:ascii="Times New Roman" w:hAnsi="Times New Roman" w:cs="Times New Roman"/>
                <w:sz w:val="18"/>
                <w:szCs w:val="18"/>
              </w:rPr>
              <w:lastRenderedPageBreak/>
              <w:t>6.1 Agreement with IAEA signed</w:t>
            </w:r>
          </w:p>
          <w:p w14:paraId="71BE0509" w14:textId="351C9828" w:rsidR="006A0D48" w:rsidRPr="00BC7BB5" w:rsidRDefault="00ED31C1" w:rsidP="00CB471A">
            <w:pPr>
              <w:spacing w:after="120"/>
              <w:rPr>
                <w:rFonts w:ascii="Times New Roman" w:hAnsi="Times New Roman" w:cs="Times New Roman"/>
                <w:sz w:val="18"/>
                <w:szCs w:val="18"/>
              </w:rPr>
            </w:pPr>
            <w:r>
              <w:rPr>
                <w:rFonts w:ascii="Times New Roman" w:hAnsi="Times New Roman" w:cs="Times New Roman"/>
                <w:sz w:val="18"/>
                <w:szCs w:val="18"/>
              </w:rPr>
              <w:t xml:space="preserve">6.2 </w:t>
            </w:r>
            <w:r w:rsidR="006A0D48" w:rsidRPr="00BC7BB5">
              <w:rPr>
                <w:rFonts w:ascii="Times New Roman" w:hAnsi="Times New Roman" w:cs="Times New Roman"/>
                <w:sz w:val="18"/>
                <w:szCs w:val="18"/>
              </w:rPr>
              <w:t>Center established and carrying out initial activities (produ</w:t>
            </w:r>
            <w:r w:rsidR="00E32C6C" w:rsidRPr="00BC7BB5">
              <w:rPr>
                <w:rFonts w:ascii="Times New Roman" w:hAnsi="Times New Roman" w:cs="Times New Roman"/>
                <w:sz w:val="18"/>
                <w:szCs w:val="18"/>
              </w:rPr>
              <w:t>cing sterile males and</w:t>
            </w:r>
            <w:r w:rsidR="006A0D48" w:rsidRPr="00BC7BB5">
              <w:rPr>
                <w:rFonts w:ascii="Times New Roman" w:hAnsi="Times New Roman" w:cs="Times New Roman"/>
                <w:sz w:val="18"/>
                <w:szCs w:val="18"/>
              </w:rPr>
              <w:t xml:space="preserve"> </w:t>
            </w:r>
            <w:r w:rsidR="00E32C6C" w:rsidRPr="00BC7BB5">
              <w:rPr>
                <w:rFonts w:ascii="Times New Roman" w:eastAsia="Times New Roman" w:hAnsi="Times New Roman" w:cs="Times New Roman"/>
                <w:sz w:val="18"/>
                <w:szCs w:val="18"/>
              </w:rPr>
              <w:t xml:space="preserve">providing integrated pest control services </w:t>
            </w:r>
            <w:r w:rsidR="00E32C6C" w:rsidRPr="00BC7BB5">
              <w:rPr>
                <w:rFonts w:ascii="Times New Roman" w:eastAsia="Times New Roman" w:hAnsi="Times New Roman" w:cs="Times New Roman"/>
                <w:sz w:val="18"/>
                <w:szCs w:val="18"/>
              </w:rPr>
              <w:lastRenderedPageBreak/>
              <w:t>through fly releases</w:t>
            </w:r>
            <w:r w:rsidR="002269F5" w:rsidRPr="00BC7BB5">
              <w:rPr>
                <w:rFonts w:ascii="Times New Roman" w:eastAsia="Times New Roman" w:hAnsi="Times New Roman" w:cs="Times New Roman"/>
                <w:sz w:val="18"/>
                <w:szCs w:val="18"/>
              </w:rPr>
              <w:t xml:space="preserve"> for</w:t>
            </w:r>
            <w:r w:rsidR="00E32C6C" w:rsidRPr="00BC7BB5">
              <w:rPr>
                <w:rFonts w:ascii="Times New Roman" w:eastAsia="Times New Roman" w:hAnsi="Times New Roman" w:cs="Times New Roman"/>
                <w:sz w:val="18"/>
                <w:szCs w:val="18"/>
              </w:rPr>
              <w:t xml:space="preserve"> at least </w:t>
            </w:r>
            <w:r w:rsidR="00E32C6C" w:rsidRPr="00D62281">
              <w:rPr>
                <w:rFonts w:ascii="Times New Roman" w:eastAsia="Times New Roman" w:hAnsi="Times New Roman" w:cs="Times New Roman"/>
                <w:sz w:val="18"/>
                <w:szCs w:val="18"/>
              </w:rPr>
              <w:t>10,000</w:t>
            </w:r>
            <w:r w:rsidR="00E32C6C" w:rsidRPr="00BC7BB5">
              <w:rPr>
                <w:rFonts w:ascii="Times New Roman" w:eastAsia="Times New Roman" w:hAnsi="Times New Roman" w:cs="Times New Roman"/>
                <w:sz w:val="18"/>
                <w:szCs w:val="18"/>
              </w:rPr>
              <w:t xml:space="preserve"> hectares</w:t>
            </w:r>
            <w:r w:rsidR="006A0D48" w:rsidRPr="00BC7BB5">
              <w:rPr>
                <w:rFonts w:ascii="Times New Roman" w:hAnsi="Times New Roman" w:cs="Times New Roman"/>
                <w:sz w:val="18"/>
                <w:szCs w:val="18"/>
              </w:rPr>
              <w:t xml:space="preserve">).   </w:t>
            </w:r>
          </w:p>
        </w:tc>
        <w:tc>
          <w:tcPr>
            <w:tcW w:w="544" w:type="pct"/>
            <w:vAlign w:val="center"/>
          </w:tcPr>
          <w:p w14:paraId="21D419FD" w14:textId="77777777" w:rsidR="006A0D48" w:rsidRPr="00BC7BB5" w:rsidRDefault="006A0D48" w:rsidP="00CB471A">
            <w:pPr>
              <w:spacing w:after="120"/>
              <w:rPr>
                <w:rFonts w:ascii="Times New Roman" w:hAnsi="Times New Roman" w:cs="Times New Roman"/>
                <w:sz w:val="18"/>
                <w:szCs w:val="18"/>
              </w:rPr>
            </w:pPr>
            <w:r w:rsidRPr="00BC7BB5">
              <w:rPr>
                <w:rFonts w:ascii="Times New Roman" w:hAnsi="Times New Roman" w:cs="Times New Roman"/>
                <w:sz w:val="18"/>
                <w:szCs w:val="18"/>
              </w:rPr>
              <w:lastRenderedPageBreak/>
              <w:t>No</w:t>
            </w:r>
          </w:p>
        </w:tc>
        <w:tc>
          <w:tcPr>
            <w:tcW w:w="543" w:type="pct"/>
            <w:tcBorders>
              <w:top w:val="single" w:sz="4" w:space="0" w:color="auto"/>
            </w:tcBorders>
            <w:vAlign w:val="center"/>
          </w:tcPr>
          <w:p w14:paraId="60F5D227" w14:textId="77777777" w:rsidR="006A0D48" w:rsidRPr="00BC7BB5" w:rsidRDefault="006A0D48" w:rsidP="00CB471A">
            <w:pPr>
              <w:spacing w:after="120"/>
              <w:rPr>
                <w:rFonts w:ascii="Times New Roman" w:hAnsi="Times New Roman" w:cs="Times New Roman"/>
                <w:sz w:val="18"/>
                <w:szCs w:val="18"/>
              </w:rPr>
            </w:pPr>
            <w:r w:rsidRPr="00BC7BB5">
              <w:rPr>
                <w:rFonts w:ascii="Times New Roman" w:hAnsi="Times New Roman" w:cs="Times New Roman"/>
                <w:sz w:val="18"/>
                <w:szCs w:val="18"/>
              </w:rPr>
              <w:t>DDFP</w:t>
            </w:r>
          </w:p>
        </w:tc>
        <w:tc>
          <w:tcPr>
            <w:tcW w:w="472" w:type="pct"/>
            <w:tcBorders>
              <w:top w:val="single" w:sz="4" w:space="0" w:color="auto"/>
            </w:tcBorders>
          </w:tcPr>
          <w:p w14:paraId="518C1ACD" w14:textId="77777777" w:rsidR="006A0D48" w:rsidRPr="00BC7BB5" w:rsidRDefault="006A0D48" w:rsidP="00CB471A">
            <w:pPr>
              <w:spacing w:after="120"/>
              <w:rPr>
                <w:rFonts w:ascii="Times New Roman" w:hAnsi="Times New Roman" w:cs="Times New Roman"/>
                <w:sz w:val="18"/>
                <w:szCs w:val="18"/>
              </w:rPr>
            </w:pPr>
          </w:p>
          <w:p w14:paraId="06ED1540" w14:textId="77777777" w:rsidR="006A0D48" w:rsidRPr="00BC7BB5" w:rsidRDefault="006A0D48" w:rsidP="00CB471A">
            <w:pPr>
              <w:spacing w:after="120"/>
              <w:rPr>
                <w:rFonts w:ascii="Times New Roman" w:hAnsi="Times New Roman" w:cs="Times New Roman"/>
                <w:sz w:val="18"/>
                <w:szCs w:val="18"/>
              </w:rPr>
            </w:pPr>
            <w:r w:rsidRPr="00BC7BB5">
              <w:rPr>
                <w:rFonts w:ascii="Times New Roman" w:hAnsi="Times New Roman" w:cs="Times New Roman"/>
                <w:sz w:val="18"/>
                <w:szCs w:val="18"/>
              </w:rPr>
              <w:t>IGA</w:t>
            </w:r>
          </w:p>
        </w:tc>
        <w:tc>
          <w:tcPr>
            <w:tcW w:w="1196" w:type="pct"/>
            <w:tcBorders>
              <w:top w:val="single" w:sz="4" w:space="0" w:color="auto"/>
            </w:tcBorders>
            <w:vAlign w:val="center"/>
          </w:tcPr>
          <w:p w14:paraId="5054E582" w14:textId="61DCF6FD" w:rsidR="006A0D48" w:rsidRPr="00BC7BB5" w:rsidRDefault="006A0D48" w:rsidP="00CB471A">
            <w:pPr>
              <w:spacing w:after="120"/>
              <w:rPr>
                <w:rFonts w:ascii="Times New Roman" w:hAnsi="Times New Roman" w:cs="Times New Roman"/>
                <w:sz w:val="18"/>
                <w:szCs w:val="18"/>
              </w:rPr>
            </w:pPr>
            <w:r w:rsidRPr="00BC7BB5">
              <w:rPr>
                <w:rFonts w:ascii="Times New Roman" w:hAnsi="Times New Roman" w:cs="Times New Roman"/>
                <w:sz w:val="18"/>
                <w:szCs w:val="18"/>
              </w:rPr>
              <w:t xml:space="preserve">Verified by the IGA </w:t>
            </w:r>
            <w:r w:rsidR="00ED31C1">
              <w:rPr>
                <w:rFonts w:ascii="Times New Roman" w:hAnsi="Times New Roman" w:cs="Times New Roman"/>
                <w:sz w:val="18"/>
                <w:szCs w:val="18"/>
              </w:rPr>
              <w:t xml:space="preserve">based on review of agreement with IAEA and </w:t>
            </w:r>
            <w:r w:rsidRPr="00BC7BB5">
              <w:rPr>
                <w:rFonts w:ascii="Times New Roman" w:hAnsi="Times New Roman" w:cs="Times New Roman"/>
                <w:sz w:val="18"/>
                <w:szCs w:val="18"/>
              </w:rPr>
              <w:t>by means of site inspections and by reviewing reports prepared by the center.</w:t>
            </w:r>
          </w:p>
        </w:tc>
      </w:tr>
      <w:tr w:rsidR="006A0D48" w:rsidRPr="00BC7BB5" w14:paraId="0FB95868" w14:textId="77777777" w:rsidTr="00DB68CB">
        <w:trPr>
          <w:jc w:val="center"/>
        </w:trPr>
        <w:tc>
          <w:tcPr>
            <w:tcW w:w="179" w:type="pct"/>
            <w:vAlign w:val="center"/>
          </w:tcPr>
          <w:p w14:paraId="5B7B9EFD" w14:textId="77777777" w:rsidR="006A0D48" w:rsidRPr="00BC7BB5" w:rsidRDefault="006A0D48" w:rsidP="00CB471A">
            <w:pPr>
              <w:rPr>
                <w:rFonts w:ascii="Times New Roman" w:hAnsi="Times New Roman" w:cs="Times New Roman"/>
                <w:sz w:val="18"/>
                <w:szCs w:val="18"/>
              </w:rPr>
            </w:pPr>
            <w:r w:rsidRPr="00BC7BB5">
              <w:rPr>
                <w:rFonts w:ascii="Times New Roman" w:hAnsi="Times New Roman" w:cs="Times New Roman"/>
                <w:sz w:val="18"/>
                <w:szCs w:val="18"/>
              </w:rPr>
              <w:t>7</w:t>
            </w:r>
          </w:p>
        </w:tc>
        <w:tc>
          <w:tcPr>
            <w:tcW w:w="942" w:type="pct"/>
            <w:vAlign w:val="center"/>
          </w:tcPr>
          <w:p w14:paraId="308F2568" w14:textId="3DC5BBDF" w:rsidR="006A0D48" w:rsidRPr="00BC7BB5" w:rsidRDefault="00B656F6" w:rsidP="00CB471A">
            <w:pPr>
              <w:rPr>
                <w:rFonts w:ascii="Times New Roman" w:hAnsi="Times New Roman" w:cs="Times New Roman"/>
                <w:sz w:val="18"/>
                <w:szCs w:val="18"/>
              </w:rPr>
            </w:pPr>
            <w:r>
              <w:rPr>
                <w:rFonts w:ascii="Times New Roman" w:hAnsi="Times New Roman" w:cs="Times New Roman"/>
                <w:sz w:val="18"/>
                <w:szCs w:val="18"/>
              </w:rPr>
              <w:t>Number of s</w:t>
            </w:r>
            <w:r w:rsidR="006A0D48" w:rsidRPr="00BC7BB5">
              <w:rPr>
                <w:rFonts w:ascii="Times New Roman" w:hAnsi="Times New Roman" w:cs="Times New Roman"/>
                <w:sz w:val="18"/>
                <w:szCs w:val="18"/>
              </w:rPr>
              <w:t>mall- and</w:t>
            </w:r>
            <w:r w:rsidR="00ED31C1">
              <w:rPr>
                <w:rFonts w:ascii="Times New Roman" w:hAnsi="Times New Roman" w:cs="Times New Roman"/>
                <w:sz w:val="18"/>
                <w:szCs w:val="18"/>
              </w:rPr>
              <w:t>/or</w:t>
            </w:r>
            <w:r w:rsidR="006A0D48" w:rsidRPr="00BC7BB5">
              <w:rPr>
                <w:rFonts w:ascii="Times New Roman" w:hAnsi="Times New Roman" w:cs="Times New Roman"/>
                <w:sz w:val="18"/>
                <w:szCs w:val="18"/>
              </w:rPr>
              <w:t xml:space="preserve"> medium-size enterprises assisted by the Agri-food Innovation Centers (CIAs):</w:t>
            </w:r>
          </w:p>
          <w:p w14:paraId="7E9AC3EB" w14:textId="1E1B1C4B" w:rsidR="006A0D48" w:rsidRPr="00BC7BB5" w:rsidRDefault="006A0D48" w:rsidP="00CB471A">
            <w:pPr>
              <w:rPr>
                <w:rFonts w:ascii="Times New Roman" w:hAnsi="Times New Roman" w:cs="Times New Roman"/>
                <w:sz w:val="18"/>
                <w:szCs w:val="18"/>
              </w:rPr>
            </w:pPr>
            <w:r w:rsidRPr="00BC7BB5">
              <w:rPr>
                <w:rFonts w:ascii="Times New Roman" w:hAnsi="Times New Roman" w:cs="Times New Roman"/>
                <w:sz w:val="18"/>
                <w:szCs w:val="18"/>
              </w:rPr>
              <w:t xml:space="preserve">7.1 </w:t>
            </w:r>
            <w:r w:rsidR="002C5EEB">
              <w:rPr>
                <w:rFonts w:ascii="Times New Roman" w:hAnsi="Times New Roman" w:cs="Times New Roman"/>
                <w:sz w:val="18"/>
                <w:szCs w:val="18"/>
              </w:rPr>
              <w:t xml:space="preserve">Two </w:t>
            </w:r>
            <w:r w:rsidRPr="00BC7BB5">
              <w:rPr>
                <w:rFonts w:ascii="Times New Roman" w:hAnsi="Times New Roman" w:cs="Times New Roman"/>
                <w:sz w:val="18"/>
                <w:szCs w:val="18"/>
              </w:rPr>
              <w:t xml:space="preserve">Agri-food Innovation Centers (CIAs) </w:t>
            </w:r>
            <w:r w:rsidR="002C5EEB">
              <w:rPr>
                <w:rFonts w:ascii="Times New Roman" w:hAnsi="Times New Roman" w:cs="Times New Roman"/>
                <w:sz w:val="18"/>
                <w:szCs w:val="18"/>
              </w:rPr>
              <w:t xml:space="preserve">constructed/rehabilitated and fully equipped, and are </w:t>
            </w:r>
            <w:r w:rsidR="00ED31C1">
              <w:rPr>
                <w:rFonts w:ascii="Times New Roman" w:hAnsi="Times New Roman" w:cs="Times New Roman"/>
                <w:sz w:val="18"/>
                <w:szCs w:val="18"/>
              </w:rPr>
              <w:t>operational</w:t>
            </w:r>
          </w:p>
          <w:p w14:paraId="125B16F8" w14:textId="267636D6" w:rsidR="006A0D48" w:rsidRPr="00BC7BB5" w:rsidRDefault="006A0D48" w:rsidP="00CB471A">
            <w:pPr>
              <w:spacing w:after="120"/>
              <w:rPr>
                <w:rFonts w:ascii="Times New Roman" w:hAnsi="Times New Roman" w:cs="Times New Roman"/>
                <w:sz w:val="18"/>
                <w:szCs w:val="18"/>
              </w:rPr>
            </w:pPr>
            <w:r w:rsidRPr="00BC7BB5">
              <w:rPr>
                <w:rFonts w:ascii="Times New Roman" w:hAnsi="Times New Roman" w:cs="Times New Roman"/>
                <w:sz w:val="18"/>
                <w:szCs w:val="18"/>
              </w:rPr>
              <w:t>7.2 Number of small- and</w:t>
            </w:r>
            <w:r w:rsidR="00ED31C1">
              <w:rPr>
                <w:rFonts w:ascii="Times New Roman" w:hAnsi="Times New Roman" w:cs="Times New Roman"/>
                <w:sz w:val="18"/>
                <w:szCs w:val="18"/>
              </w:rPr>
              <w:t>/or</w:t>
            </w:r>
            <w:r w:rsidRPr="00BC7BB5">
              <w:rPr>
                <w:rFonts w:ascii="Times New Roman" w:hAnsi="Times New Roman" w:cs="Times New Roman"/>
                <w:sz w:val="18"/>
                <w:szCs w:val="18"/>
              </w:rPr>
              <w:t xml:space="preserve"> medium-sized </w:t>
            </w:r>
            <w:r w:rsidR="00253AC6" w:rsidRPr="00BC7BB5">
              <w:rPr>
                <w:rFonts w:ascii="Times New Roman" w:hAnsi="Times New Roman" w:cs="Times New Roman"/>
                <w:sz w:val="18"/>
                <w:szCs w:val="18"/>
              </w:rPr>
              <w:t xml:space="preserve">producers and </w:t>
            </w:r>
            <w:r w:rsidRPr="00BC7BB5">
              <w:rPr>
                <w:rFonts w:ascii="Times New Roman" w:hAnsi="Times New Roman" w:cs="Times New Roman"/>
                <w:sz w:val="18"/>
                <w:szCs w:val="18"/>
              </w:rPr>
              <w:t>enterprises assisted</w:t>
            </w:r>
            <w:r w:rsidR="00253AC6" w:rsidRPr="00BC7BB5">
              <w:rPr>
                <w:rFonts w:ascii="Times New Roman" w:hAnsi="Times New Roman" w:cs="Times New Roman"/>
                <w:sz w:val="18"/>
                <w:szCs w:val="18"/>
              </w:rPr>
              <w:t xml:space="preserve"> by the CIAs</w:t>
            </w:r>
            <w:r w:rsidRPr="00BC7BB5">
              <w:rPr>
                <w:rFonts w:ascii="Times New Roman" w:hAnsi="Times New Roman" w:cs="Times New Roman"/>
                <w:sz w:val="18"/>
                <w:szCs w:val="18"/>
              </w:rPr>
              <w:t>.</w:t>
            </w:r>
          </w:p>
        </w:tc>
        <w:tc>
          <w:tcPr>
            <w:tcW w:w="1124" w:type="pct"/>
            <w:vAlign w:val="center"/>
          </w:tcPr>
          <w:p w14:paraId="4B8CE0AA" w14:textId="2BE1E475" w:rsidR="006A0D48" w:rsidRPr="004A4845" w:rsidRDefault="006A0D48" w:rsidP="00CB471A">
            <w:pPr>
              <w:rPr>
                <w:rFonts w:ascii="Times New Roman" w:hAnsi="Times New Roman" w:cs="Times New Roman"/>
                <w:sz w:val="18"/>
                <w:szCs w:val="18"/>
              </w:rPr>
            </w:pPr>
            <w:r w:rsidRPr="00BC7BB5">
              <w:rPr>
                <w:rFonts w:ascii="Times New Roman" w:hAnsi="Times New Roman" w:cs="Times New Roman"/>
                <w:sz w:val="18"/>
                <w:szCs w:val="18"/>
              </w:rPr>
              <w:t xml:space="preserve">7.1 </w:t>
            </w:r>
            <w:r w:rsidR="004A4845" w:rsidRPr="004A4845">
              <w:rPr>
                <w:rFonts w:ascii="Times New Roman" w:hAnsi="Times New Roman" w:cs="Times New Roman"/>
                <w:sz w:val="18"/>
                <w:szCs w:val="18"/>
              </w:rPr>
              <w:t>Centers with dedicated facilities and resources and delivery of services to SMEs started</w:t>
            </w:r>
            <w:r w:rsidRPr="004A4845">
              <w:rPr>
                <w:rFonts w:ascii="Times New Roman" w:hAnsi="Times New Roman" w:cs="Times New Roman"/>
                <w:sz w:val="18"/>
                <w:szCs w:val="18"/>
              </w:rPr>
              <w:t xml:space="preserve">.   </w:t>
            </w:r>
          </w:p>
          <w:p w14:paraId="3514C6B1" w14:textId="71D10973" w:rsidR="00933A1E" w:rsidRPr="00BC7BB5" w:rsidRDefault="006A0D48" w:rsidP="00933A1E">
            <w:pPr>
              <w:ind w:left="10"/>
              <w:rPr>
                <w:rFonts w:ascii="Times New Roman" w:eastAsia="Times New Roman" w:hAnsi="Times New Roman" w:cs="Times New Roman"/>
                <w:sz w:val="18"/>
                <w:szCs w:val="18"/>
              </w:rPr>
            </w:pPr>
            <w:r w:rsidRPr="00BC7BB5">
              <w:rPr>
                <w:rFonts w:ascii="Times New Roman" w:hAnsi="Times New Roman" w:cs="Times New Roman"/>
                <w:sz w:val="18"/>
                <w:szCs w:val="18"/>
              </w:rPr>
              <w:t xml:space="preserve">7.2 Number of </w:t>
            </w:r>
            <w:r w:rsidR="00933A1E" w:rsidRPr="00BC7BB5">
              <w:rPr>
                <w:rFonts w:ascii="Times New Roman" w:hAnsi="Times New Roman" w:cs="Times New Roman"/>
                <w:sz w:val="18"/>
                <w:szCs w:val="18"/>
              </w:rPr>
              <w:t>small- and medium-size producers and enterprises with value-addition projects that have requested and benefitted from at least one of the services offered by the CIAs (</w:t>
            </w:r>
            <w:r w:rsidR="00933A1E" w:rsidRPr="00BC7BB5">
              <w:rPr>
                <w:rFonts w:ascii="Times New Roman" w:eastAsia="Times New Roman" w:hAnsi="Times New Roman" w:cs="Times New Roman"/>
                <w:sz w:val="18"/>
                <w:szCs w:val="18"/>
              </w:rPr>
              <w:t>technical support services; management support services; knowledge and market access support services; incubation support services, and networking services).</w:t>
            </w:r>
            <w:r w:rsidR="00933A1E" w:rsidRPr="00BC7BB5">
              <w:rPr>
                <w:rFonts w:ascii="Times New Roman" w:eastAsia="Times New Roman" w:hAnsi="Times New Roman" w:cs="Times New Roman"/>
                <w:color w:val="000000"/>
              </w:rPr>
              <w:t xml:space="preserve"> </w:t>
            </w:r>
          </w:p>
          <w:p w14:paraId="7693B8EA" w14:textId="2DB8E532" w:rsidR="006A0D48" w:rsidRPr="00BC7BB5" w:rsidRDefault="006A0D48" w:rsidP="00CB471A">
            <w:pPr>
              <w:rPr>
                <w:rFonts w:ascii="Times New Roman" w:hAnsi="Times New Roman" w:cs="Times New Roman"/>
                <w:sz w:val="18"/>
                <w:szCs w:val="18"/>
              </w:rPr>
            </w:pPr>
          </w:p>
        </w:tc>
        <w:tc>
          <w:tcPr>
            <w:tcW w:w="544" w:type="pct"/>
            <w:vAlign w:val="center"/>
          </w:tcPr>
          <w:p w14:paraId="1C29DD13" w14:textId="77777777" w:rsidR="006A0D48" w:rsidRPr="00BC7BB5" w:rsidRDefault="006A0D48" w:rsidP="00CB471A">
            <w:pPr>
              <w:spacing w:after="120"/>
              <w:rPr>
                <w:rFonts w:ascii="Times New Roman" w:hAnsi="Times New Roman" w:cs="Times New Roman"/>
                <w:sz w:val="18"/>
                <w:szCs w:val="18"/>
              </w:rPr>
            </w:pPr>
            <w:r w:rsidRPr="00BC7BB5">
              <w:rPr>
                <w:rFonts w:ascii="Times New Roman" w:hAnsi="Times New Roman" w:cs="Times New Roman"/>
                <w:sz w:val="18"/>
                <w:szCs w:val="18"/>
              </w:rPr>
              <w:t>Yes</w:t>
            </w:r>
          </w:p>
        </w:tc>
        <w:tc>
          <w:tcPr>
            <w:tcW w:w="543" w:type="pct"/>
            <w:tcBorders>
              <w:top w:val="single" w:sz="4" w:space="0" w:color="auto"/>
            </w:tcBorders>
            <w:vAlign w:val="center"/>
          </w:tcPr>
          <w:p w14:paraId="0D12E351" w14:textId="77777777" w:rsidR="006A0D48" w:rsidRPr="00BC7BB5" w:rsidRDefault="006A0D48" w:rsidP="00CB471A">
            <w:pPr>
              <w:spacing w:after="120"/>
              <w:rPr>
                <w:rFonts w:ascii="Times New Roman" w:hAnsi="Times New Roman" w:cs="Times New Roman"/>
                <w:sz w:val="18"/>
                <w:szCs w:val="18"/>
              </w:rPr>
            </w:pPr>
            <w:r w:rsidRPr="00BC7BB5">
              <w:rPr>
                <w:rFonts w:ascii="Times New Roman" w:hAnsi="Times New Roman" w:cs="Times New Roman"/>
                <w:sz w:val="18"/>
                <w:szCs w:val="18"/>
              </w:rPr>
              <w:t>DDFP</w:t>
            </w:r>
          </w:p>
          <w:p w14:paraId="28A763DB" w14:textId="77777777" w:rsidR="006A0D48" w:rsidRPr="00BC7BB5" w:rsidRDefault="006A0D48" w:rsidP="00CB471A">
            <w:pPr>
              <w:spacing w:after="120"/>
              <w:rPr>
                <w:rFonts w:ascii="Times New Roman" w:hAnsi="Times New Roman" w:cs="Times New Roman"/>
                <w:sz w:val="18"/>
                <w:szCs w:val="18"/>
              </w:rPr>
            </w:pPr>
            <w:r w:rsidRPr="00BC7BB5">
              <w:rPr>
                <w:rFonts w:ascii="Times New Roman" w:hAnsi="Times New Roman" w:cs="Times New Roman"/>
                <w:sz w:val="18"/>
                <w:szCs w:val="18"/>
              </w:rPr>
              <w:t xml:space="preserve">CIAs </w:t>
            </w:r>
          </w:p>
        </w:tc>
        <w:tc>
          <w:tcPr>
            <w:tcW w:w="472" w:type="pct"/>
            <w:tcBorders>
              <w:top w:val="single" w:sz="4" w:space="0" w:color="auto"/>
            </w:tcBorders>
          </w:tcPr>
          <w:p w14:paraId="38AEA2B3" w14:textId="77777777" w:rsidR="006A0D48" w:rsidRPr="00BC7BB5" w:rsidRDefault="006A0D48" w:rsidP="00CB471A">
            <w:pPr>
              <w:spacing w:after="120"/>
              <w:rPr>
                <w:rFonts w:ascii="Times New Roman" w:hAnsi="Times New Roman" w:cs="Times New Roman"/>
                <w:sz w:val="18"/>
                <w:szCs w:val="18"/>
              </w:rPr>
            </w:pPr>
          </w:p>
          <w:p w14:paraId="1EA47436" w14:textId="77777777" w:rsidR="006A0D48" w:rsidRPr="00BC7BB5" w:rsidRDefault="006A0D48" w:rsidP="00CB471A">
            <w:pPr>
              <w:spacing w:after="120"/>
              <w:rPr>
                <w:rFonts w:ascii="Times New Roman" w:hAnsi="Times New Roman" w:cs="Times New Roman"/>
                <w:sz w:val="18"/>
                <w:szCs w:val="18"/>
              </w:rPr>
            </w:pPr>
            <w:r w:rsidRPr="00BC7BB5">
              <w:rPr>
                <w:rFonts w:ascii="Times New Roman" w:hAnsi="Times New Roman" w:cs="Times New Roman"/>
                <w:sz w:val="18"/>
                <w:szCs w:val="18"/>
              </w:rPr>
              <w:t>IGA</w:t>
            </w:r>
          </w:p>
        </w:tc>
        <w:tc>
          <w:tcPr>
            <w:tcW w:w="1196" w:type="pct"/>
            <w:tcBorders>
              <w:top w:val="single" w:sz="4" w:space="0" w:color="auto"/>
            </w:tcBorders>
            <w:vAlign w:val="center"/>
          </w:tcPr>
          <w:p w14:paraId="260B0486" w14:textId="77777777" w:rsidR="006A0D48" w:rsidRPr="00BC7BB5" w:rsidRDefault="006A0D48" w:rsidP="00CB471A">
            <w:pPr>
              <w:spacing w:after="120"/>
              <w:rPr>
                <w:rFonts w:ascii="Times New Roman" w:hAnsi="Times New Roman" w:cs="Times New Roman"/>
                <w:sz w:val="18"/>
                <w:szCs w:val="18"/>
              </w:rPr>
            </w:pPr>
            <w:r w:rsidRPr="00BC7BB5">
              <w:rPr>
                <w:rFonts w:ascii="Times New Roman" w:hAnsi="Times New Roman" w:cs="Times New Roman"/>
                <w:sz w:val="18"/>
                <w:szCs w:val="18"/>
              </w:rPr>
              <w:t>Verified by the IGA by reviewing the reports of activities and beneficiaries provided by the CIAs and DDFP.</w:t>
            </w:r>
          </w:p>
        </w:tc>
      </w:tr>
      <w:tr w:rsidR="006A0D48" w:rsidRPr="00BC7BB5" w14:paraId="3447B0F5" w14:textId="77777777" w:rsidTr="00DB68CB">
        <w:trPr>
          <w:jc w:val="center"/>
        </w:trPr>
        <w:tc>
          <w:tcPr>
            <w:tcW w:w="179" w:type="pct"/>
            <w:vAlign w:val="center"/>
          </w:tcPr>
          <w:p w14:paraId="54814B72" w14:textId="77777777" w:rsidR="006A0D48" w:rsidRPr="00BC7BB5" w:rsidRDefault="006A0D48" w:rsidP="00CB471A">
            <w:pPr>
              <w:rPr>
                <w:rFonts w:ascii="Times New Roman" w:hAnsi="Times New Roman" w:cs="Times New Roman"/>
                <w:sz w:val="18"/>
                <w:szCs w:val="18"/>
              </w:rPr>
            </w:pPr>
            <w:r w:rsidRPr="00BC7BB5">
              <w:rPr>
                <w:rFonts w:ascii="Times New Roman" w:hAnsi="Times New Roman" w:cs="Times New Roman"/>
                <w:sz w:val="18"/>
                <w:szCs w:val="18"/>
              </w:rPr>
              <w:t>8</w:t>
            </w:r>
          </w:p>
        </w:tc>
        <w:tc>
          <w:tcPr>
            <w:tcW w:w="942" w:type="pct"/>
            <w:vAlign w:val="center"/>
          </w:tcPr>
          <w:p w14:paraId="7F38410E" w14:textId="7C39210A" w:rsidR="006A0D48" w:rsidRPr="00BC7BB5" w:rsidRDefault="0058595D" w:rsidP="00CB471A">
            <w:pPr>
              <w:pStyle w:val="ListParagraph"/>
              <w:ind w:left="0"/>
              <w:rPr>
                <w:rFonts w:ascii="Times New Roman" w:hAnsi="Times New Roman" w:cs="Times New Roman"/>
                <w:sz w:val="18"/>
                <w:szCs w:val="18"/>
              </w:rPr>
            </w:pPr>
            <w:r>
              <w:rPr>
                <w:rFonts w:ascii="Times New Roman" w:hAnsi="Times New Roman" w:cs="Times New Roman"/>
                <w:sz w:val="18"/>
                <w:szCs w:val="18"/>
              </w:rPr>
              <w:t xml:space="preserve">Establishment of </w:t>
            </w:r>
            <w:r w:rsidR="006A0D48" w:rsidRPr="00BC7BB5">
              <w:rPr>
                <w:rFonts w:ascii="Times New Roman" w:hAnsi="Times New Roman" w:cs="Times New Roman"/>
                <w:sz w:val="18"/>
                <w:szCs w:val="18"/>
              </w:rPr>
              <w:t>Integrated Financial M</w:t>
            </w:r>
            <w:r>
              <w:rPr>
                <w:rFonts w:ascii="Times New Roman" w:hAnsi="Times New Roman" w:cs="Times New Roman"/>
                <w:sz w:val="18"/>
                <w:szCs w:val="18"/>
              </w:rPr>
              <w:t>anagement system</w:t>
            </w:r>
            <w:r w:rsidR="006A0D48" w:rsidRPr="00BC7BB5">
              <w:rPr>
                <w:rFonts w:ascii="Times New Roman" w:hAnsi="Times New Roman" w:cs="Times New Roman"/>
                <w:sz w:val="18"/>
                <w:szCs w:val="18"/>
              </w:rPr>
              <w:t xml:space="preserve"> to improve </w:t>
            </w:r>
            <w:r w:rsidR="00D62281">
              <w:rPr>
                <w:rFonts w:ascii="Times New Roman" w:hAnsi="Times New Roman" w:cs="Times New Roman"/>
                <w:sz w:val="18"/>
                <w:szCs w:val="18"/>
              </w:rPr>
              <w:t>program management</w:t>
            </w:r>
            <w:r w:rsidR="006A0D48" w:rsidRPr="00BC7BB5">
              <w:rPr>
                <w:rFonts w:ascii="Times New Roman" w:hAnsi="Times New Roman" w:cs="Times New Roman"/>
                <w:sz w:val="18"/>
                <w:szCs w:val="18"/>
              </w:rPr>
              <w:t>:</w:t>
            </w:r>
          </w:p>
          <w:p w14:paraId="2C24C4D3" w14:textId="5F2AAC6E" w:rsidR="006A0D48" w:rsidRPr="00BC7BB5" w:rsidRDefault="006A0D48" w:rsidP="00CB471A">
            <w:pPr>
              <w:pStyle w:val="ListParagraph"/>
              <w:ind w:left="0"/>
              <w:rPr>
                <w:rFonts w:ascii="Times New Roman" w:hAnsi="Times New Roman" w:cs="Times New Roman"/>
                <w:sz w:val="18"/>
                <w:szCs w:val="18"/>
              </w:rPr>
            </w:pPr>
            <w:r w:rsidRPr="00BC7BB5">
              <w:rPr>
                <w:rFonts w:ascii="Times New Roman" w:hAnsi="Times New Roman" w:cs="Times New Roman"/>
                <w:sz w:val="18"/>
                <w:szCs w:val="18"/>
              </w:rPr>
              <w:t xml:space="preserve">8.1 </w:t>
            </w:r>
            <w:r w:rsidR="00AF1009">
              <w:rPr>
                <w:rFonts w:ascii="Times New Roman" w:hAnsi="Times New Roman" w:cs="Times New Roman"/>
                <w:sz w:val="18"/>
                <w:szCs w:val="18"/>
              </w:rPr>
              <w:t>System designed</w:t>
            </w:r>
          </w:p>
          <w:p w14:paraId="199FAD8B" w14:textId="0CCB4726" w:rsidR="006A0D48" w:rsidRPr="00BC7BB5" w:rsidRDefault="006A0D48" w:rsidP="00CB471A">
            <w:pPr>
              <w:pStyle w:val="ListParagraph"/>
              <w:ind w:left="0"/>
              <w:rPr>
                <w:rFonts w:ascii="Times New Roman" w:hAnsi="Times New Roman" w:cs="Times New Roman"/>
                <w:b/>
                <w:sz w:val="18"/>
                <w:szCs w:val="18"/>
              </w:rPr>
            </w:pPr>
            <w:r w:rsidRPr="00BC7BB5">
              <w:rPr>
                <w:rFonts w:ascii="Times New Roman" w:hAnsi="Times New Roman" w:cs="Times New Roman"/>
                <w:sz w:val="18"/>
                <w:szCs w:val="18"/>
              </w:rPr>
              <w:t xml:space="preserve">8.2 System </w:t>
            </w:r>
            <w:r w:rsidR="002C5EEB">
              <w:rPr>
                <w:rFonts w:ascii="Times New Roman" w:hAnsi="Times New Roman" w:cs="Times New Roman"/>
                <w:sz w:val="18"/>
                <w:szCs w:val="18"/>
              </w:rPr>
              <w:t>fully operational</w:t>
            </w:r>
            <w:r w:rsidR="002C5EEB" w:rsidRPr="00BC7BB5">
              <w:rPr>
                <w:rFonts w:ascii="Times New Roman" w:hAnsi="Times New Roman" w:cs="Times New Roman"/>
                <w:sz w:val="18"/>
                <w:szCs w:val="18"/>
              </w:rPr>
              <w:t xml:space="preserve"> </w:t>
            </w:r>
          </w:p>
        </w:tc>
        <w:tc>
          <w:tcPr>
            <w:tcW w:w="1124" w:type="pct"/>
            <w:vAlign w:val="center"/>
          </w:tcPr>
          <w:p w14:paraId="0667CC47" w14:textId="1F704DA8" w:rsidR="006A0D48" w:rsidRPr="00BC7BB5" w:rsidRDefault="006A0D48" w:rsidP="00CB471A">
            <w:pPr>
              <w:rPr>
                <w:rFonts w:ascii="Times New Roman" w:hAnsi="Times New Roman" w:cs="Times New Roman"/>
                <w:sz w:val="18"/>
                <w:szCs w:val="18"/>
              </w:rPr>
            </w:pPr>
            <w:r w:rsidRPr="00BC7BB5">
              <w:rPr>
                <w:rFonts w:ascii="Times New Roman" w:hAnsi="Times New Roman" w:cs="Times New Roman"/>
                <w:sz w:val="18"/>
                <w:szCs w:val="18"/>
              </w:rPr>
              <w:t xml:space="preserve">8.1 </w:t>
            </w:r>
            <w:r w:rsidR="00B2476A" w:rsidRPr="00BC7BB5">
              <w:rPr>
                <w:rFonts w:ascii="Times New Roman" w:hAnsi="Times New Roman" w:cs="Times New Roman"/>
                <w:sz w:val="18"/>
                <w:szCs w:val="18"/>
              </w:rPr>
              <w:t xml:space="preserve">The system has been designed and </w:t>
            </w:r>
            <w:r w:rsidR="00AF1009">
              <w:rPr>
                <w:rFonts w:ascii="Times New Roman" w:hAnsi="Times New Roman" w:cs="Times New Roman"/>
                <w:sz w:val="18"/>
                <w:szCs w:val="18"/>
              </w:rPr>
              <w:t>is ready for installation</w:t>
            </w:r>
          </w:p>
          <w:p w14:paraId="57146CE6" w14:textId="21832ED5" w:rsidR="006A0D48" w:rsidRPr="00BC7BB5" w:rsidRDefault="006A0D48" w:rsidP="00CB471A">
            <w:pPr>
              <w:rPr>
                <w:rFonts w:ascii="Times New Roman" w:hAnsi="Times New Roman" w:cs="Times New Roman"/>
                <w:sz w:val="18"/>
                <w:szCs w:val="18"/>
              </w:rPr>
            </w:pPr>
            <w:r w:rsidRPr="00BC7BB5">
              <w:rPr>
                <w:rFonts w:ascii="Times New Roman" w:hAnsi="Times New Roman" w:cs="Times New Roman"/>
                <w:sz w:val="18"/>
                <w:szCs w:val="18"/>
              </w:rPr>
              <w:t>8</w:t>
            </w:r>
            <w:r w:rsidR="00B2476A" w:rsidRPr="00BC7BB5">
              <w:rPr>
                <w:rFonts w:ascii="Times New Roman" w:hAnsi="Times New Roman" w:cs="Times New Roman"/>
                <w:sz w:val="18"/>
                <w:szCs w:val="18"/>
              </w:rPr>
              <w:t>.2 The s</w:t>
            </w:r>
            <w:r w:rsidRPr="00BC7BB5">
              <w:rPr>
                <w:rFonts w:ascii="Times New Roman" w:hAnsi="Times New Roman" w:cs="Times New Roman"/>
                <w:sz w:val="18"/>
                <w:szCs w:val="18"/>
              </w:rPr>
              <w:t xml:space="preserve">ystem </w:t>
            </w:r>
            <w:r w:rsidR="00B2476A" w:rsidRPr="00BC7BB5">
              <w:rPr>
                <w:rFonts w:ascii="Times New Roman" w:hAnsi="Times New Roman" w:cs="Times New Roman"/>
                <w:sz w:val="18"/>
                <w:szCs w:val="18"/>
              </w:rPr>
              <w:t xml:space="preserve">is </w:t>
            </w:r>
            <w:r w:rsidR="002C5EEB">
              <w:rPr>
                <w:rFonts w:ascii="Times New Roman" w:hAnsi="Times New Roman" w:cs="Times New Roman"/>
                <w:sz w:val="18"/>
                <w:szCs w:val="18"/>
              </w:rPr>
              <w:t>fully operational</w:t>
            </w:r>
            <w:r w:rsidR="002C5EEB" w:rsidRPr="00BC7BB5">
              <w:rPr>
                <w:rFonts w:ascii="Times New Roman" w:hAnsi="Times New Roman" w:cs="Times New Roman"/>
                <w:sz w:val="18"/>
                <w:szCs w:val="18"/>
              </w:rPr>
              <w:t xml:space="preserve"> </w:t>
            </w:r>
          </w:p>
          <w:p w14:paraId="45A29ABB" w14:textId="02784B2C" w:rsidR="006A0D48" w:rsidRPr="00BC7BB5" w:rsidRDefault="006A0D48" w:rsidP="00CB471A">
            <w:pPr>
              <w:rPr>
                <w:rFonts w:ascii="Times New Roman" w:hAnsi="Times New Roman" w:cs="Times New Roman"/>
                <w:sz w:val="18"/>
                <w:szCs w:val="18"/>
              </w:rPr>
            </w:pPr>
            <w:r w:rsidRPr="00BC7BB5">
              <w:rPr>
                <w:rFonts w:ascii="Times New Roman" w:hAnsi="Times New Roman" w:cs="Times New Roman"/>
                <w:sz w:val="18"/>
                <w:szCs w:val="18"/>
              </w:rPr>
              <w:t>The system is a software package to enhance the Ministry’s financial management functions</w:t>
            </w:r>
            <w:r w:rsidR="00D921EC" w:rsidRPr="00BC7BB5">
              <w:rPr>
                <w:rFonts w:ascii="Times New Roman" w:hAnsi="Times New Roman" w:cs="Times New Roman"/>
                <w:sz w:val="18"/>
                <w:szCs w:val="18"/>
              </w:rPr>
              <w:t xml:space="preserve"> and support evidence-based decision-making</w:t>
            </w:r>
            <w:r w:rsidRPr="00BC7BB5">
              <w:rPr>
                <w:rFonts w:ascii="Times New Roman" w:hAnsi="Times New Roman" w:cs="Times New Roman"/>
                <w:sz w:val="18"/>
                <w:szCs w:val="18"/>
              </w:rPr>
              <w:t>.</w:t>
            </w:r>
          </w:p>
        </w:tc>
        <w:tc>
          <w:tcPr>
            <w:tcW w:w="544" w:type="pct"/>
            <w:vAlign w:val="center"/>
          </w:tcPr>
          <w:p w14:paraId="0A16D659" w14:textId="77777777" w:rsidR="006A0D48" w:rsidRPr="00BC7BB5" w:rsidRDefault="006A0D48" w:rsidP="00CB471A">
            <w:pPr>
              <w:rPr>
                <w:rFonts w:ascii="Times New Roman" w:hAnsi="Times New Roman" w:cs="Times New Roman"/>
                <w:sz w:val="18"/>
                <w:szCs w:val="18"/>
              </w:rPr>
            </w:pPr>
            <w:r w:rsidRPr="00BC7BB5">
              <w:rPr>
                <w:rFonts w:ascii="Times New Roman" w:hAnsi="Times New Roman" w:cs="Times New Roman"/>
                <w:sz w:val="18"/>
                <w:szCs w:val="18"/>
              </w:rPr>
              <w:t>No</w:t>
            </w:r>
          </w:p>
        </w:tc>
        <w:tc>
          <w:tcPr>
            <w:tcW w:w="543" w:type="pct"/>
            <w:tcBorders>
              <w:top w:val="single" w:sz="4" w:space="0" w:color="auto"/>
              <w:bottom w:val="single" w:sz="4" w:space="0" w:color="auto"/>
            </w:tcBorders>
            <w:vAlign w:val="center"/>
          </w:tcPr>
          <w:p w14:paraId="2929C2B7" w14:textId="77777777" w:rsidR="006A0D48" w:rsidRPr="00BC7BB5" w:rsidRDefault="006A0D48" w:rsidP="00CB471A">
            <w:pPr>
              <w:rPr>
                <w:rFonts w:ascii="Times New Roman" w:hAnsi="Times New Roman" w:cs="Times New Roman"/>
                <w:sz w:val="18"/>
                <w:szCs w:val="18"/>
              </w:rPr>
            </w:pPr>
            <w:r w:rsidRPr="00BC7BB5">
              <w:rPr>
                <w:rFonts w:ascii="Times New Roman" w:hAnsi="Times New Roman" w:cs="Times New Roman"/>
                <w:sz w:val="18"/>
                <w:szCs w:val="18"/>
              </w:rPr>
              <w:t>DDFP</w:t>
            </w:r>
          </w:p>
        </w:tc>
        <w:tc>
          <w:tcPr>
            <w:tcW w:w="472" w:type="pct"/>
            <w:tcBorders>
              <w:top w:val="single" w:sz="4" w:space="0" w:color="auto"/>
              <w:bottom w:val="single" w:sz="4" w:space="0" w:color="auto"/>
            </w:tcBorders>
          </w:tcPr>
          <w:p w14:paraId="53E320D6" w14:textId="77777777" w:rsidR="006A0D48" w:rsidRPr="00BC7BB5" w:rsidRDefault="006A0D48" w:rsidP="00CB471A">
            <w:pPr>
              <w:spacing w:before="240"/>
              <w:rPr>
                <w:rFonts w:ascii="Times New Roman" w:hAnsi="Times New Roman" w:cs="Times New Roman"/>
                <w:sz w:val="18"/>
                <w:szCs w:val="18"/>
              </w:rPr>
            </w:pPr>
            <w:r w:rsidRPr="00BC7BB5">
              <w:rPr>
                <w:rFonts w:ascii="Times New Roman" w:hAnsi="Times New Roman" w:cs="Times New Roman"/>
                <w:sz w:val="18"/>
                <w:szCs w:val="18"/>
              </w:rPr>
              <w:t>IGA</w:t>
            </w:r>
          </w:p>
        </w:tc>
        <w:tc>
          <w:tcPr>
            <w:tcW w:w="1196" w:type="pct"/>
            <w:tcBorders>
              <w:top w:val="single" w:sz="4" w:space="0" w:color="auto"/>
              <w:bottom w:val="single" w:sz="4" w:space="0" w:color="auto"/>
            </w:tcBorders>
            <w:vAlign w:val="center"/>
          </w:tcPr>
          <w:p w14:paraId="4B6F8CDB" w14:textId="5E2E727B" w:rsidR="006A0D48" w:rsidRPr="00BC7BB5" w:rsidRDefault="004A4845" w:rsidP="00CB471A">
            <w:pPr>
              <w:rPr>
                <w:rFonts w:ascii="Times New Roman" w:hAnsi="Times New Roman" w:cs="Times New Roman"/>
                <w:sz w:val="18"/>
                <w:szCs w:val="18"/>
              </w:rPr>
            </w:pPr>
            <w:r>
              <w:rPr>
                <w:rFonts w:ascii="Times New Roman" w:hAnsi="Times New Roman" w:cs="Times New Roman"/>
                <w:sz w:val="18"/>
                <w:szCs w:val="18"/>
              </w:rPr>
              <w:t xml:space="preserve">8.1 </w:t>
            </w:r>
            <w:r w:rsidR="006A0D48" w:rsidRPr="00BC7BB5">
              <w:rPr>
                <w:rFonts w:ascii="Times New Roman" w:hAnsi="Times New Roman" w:cs="Times New Roman"/>
                <w:sz w:val="18"/>
                <w:szCs w:val="18"/>
              </w:rPr>
              <w:t>V</w:t>
            </w:r>
            <w:r>
              <w:rPr>
                <w:rFonts w:ascii="Times New Roman" w:hAnsi="Times New Roman" w:cs="Times New Roman"/>
                <w:sz w:val="18"/>
                <w:szCs w:val="18"/>
              </w:rPr>
              <w:t>erified by the IGA by reviewing system design and installation documents.</w:t>
            </w:r>
          </w:p>
          <w:p w14:paraId="117B829B" w14:textId="77777777" w:rsidR="006A0D48" w:rsidRPr="00BC7BB5" w:rsidRDefault="006A0D48" w:rsidP="00CB471A">
            <w:pPr>
              <w:rPr>
                <w:rFonts w:ascii="Times New Roman" w:hAnsi="Times New Roman" w:cs="Times New Roman"/>
                <w:sz w:val="18"/>
                <w:szCs w:val="18"/>
              </w:rPr>
            </w:pPr>
          </w:p>
          <w:p w14:paraId="4A4E2E01" w14:textId="59A5C651" w:rsidR="006A0D48" w:rsidRPr="00BC7BB5" w:rsidRDefault="004A4845" w:rsidP="00CB471A">
            <w:pPr>
              <w:rPr>
                <w:rFonts w:ascii="Times New Roman" w:hAnsi="Times New Roman" w:cs="Times New Roman"/>
                <w:sz w:val="18"/>
                <w:szCs w:val="18"/>
              </w:rPr>
            </w:pPr>
            <w:r>
              <w:rPr>
                <w:rFonts w:ascii="Times New Roman" w:hAnsi="Times New Roman" w:cs="Times New Roman"/>
                <w:sz w:val="18"/>
                <w:szCs w:val="18"/>
              </w:rPr>
              <w:t>8.2 Verified</w:t>
            </w:r>
            <w:r w:rsidR="006A0D48" w:rsidRPr="00BC7BB5">
              <w:rPr>
                <w:rFonts w:ascii="Times New Roman" w:hAnsi="Times New Roman" w:cs="Times New Roman"/>
                <w:sz w:val="18"/>
                <w:szCs w:val="18"/>
              </w:rPr>
              <w:t xml:space="preserve"> by the IGA by reviewing the budget </w:t>
            </w:r>
            <w:r>
              <w:rPr>
                <w:rFonts w:ascii="Times New Roman" w:hAnsi="Times New Roman" w:cs="Times New Roman"/>
                <w:sz w:val="18"/>
                <w:szCs w:val="18"/>
              </w:rPr>
              <w:t xml:space="preserve">allocation and </w:t>
            </w:r>
            <w:r w:rsidR="006A0D48" w:rsidRPr="00BC7BB5">
              <w:rPr>
                <w:rFonts w:ascii="Times New Roman" w:hAnsi="Times New Roman" w:cs="Times New Roman"/>
                <w:sz w:val="18"/>
                <w:szCs w:val="18"/>
              </w:rPr>
              <w:t>execution report</w:t>
            </w:r>
            <w:r>
              <w:rPr>
                <w:rFonts w:ascii="Times New Roman" w:hAnsi="Times New Roman" w:cs="Times New Roman"/>
                <w:sz w:val="18"/>
                <w:szCs w:val="18"/>
              </w:rPr>
              <w:t>s</w:t>
            </w:r>
            <w:r w:rsidR="006A0D48" w:rsidRPr="00BC7BB5">
              <w:rPr>
                <w:rFonts w:ascii="Times New Roman" w:hAnsi="Times New Roman" w:cs="Times New Roman"/>
                <w:sz w:val="18"/>
                <w:szCs w:val="18"/>
              </w:rPr>
              <w:t xml:space="preserve"> generated from the system </w:t>
            </w:r>
          </w:p>
        </w:tc>
      </w:tr>
    </w:tbl>
    <w:p w14:paraId="3D5C839E" w14:textId="77777777" w:rsidR="006A0D48" w:rsidRPr="00BC7BB5" w:rsidRDefault="006A0D48" w:rsidP="006A0D48">
      <w:pPr>
        <w:jc w:val="center"/>
        <w:rPr>
          <w:rFonts w:ascii="Times New Roman" w:eastAsia="Times New Roman" w:hAnsi="Times New Roman" w:cs="Times New Roman"/>
          <w:b/>
          <w:spacing w:val="4"/>
        </w:rPr>
      </w:pPr>
      <w:r w:rsidRPr="00BC7BB5">
        <w:rPr>
          <w:rFonts w:ascii="Times New Roman" w:eastAsia="Times New Roman" w:hAnsi="Times New Roman" w:cs="Times New Roman"/>
          <w:b/>
          <w:spacing w:val="4"/>
        </w:rPr>
        <w:br w:type="page"/>
      </w:r>
    </w:p>
    <w:p w14:paraId="21320B5C" w14:textId="77777777" w:rsidR="006A0D48" w:rsidRPr="00BC7BB5" w:rsidRDefault="006A0D48" w:rsidP="006A0D48">
      <w:pPr>
        <w:jc w:val="center"/>
        <w:rPr>
          <w:rFonts w:ascii="Times New Roman" w:eastAsia="Times New Roman" w:hAnsi="Times New Roman" w:cs="Times New Roman"/>
          <w:b/>
          <w:spacing w:val="4"/>
        </w:rPr>
      </w:pPr>
      <w:r w:rsidRPr="00BC7BB5">
        <w:rPr>
          <w:rFonts w:ascii="Times New Roman" w:eastAsia="Times New Roman" w:hAnsi="Times New Roman" w:cs="Times New Roman"/>
          <w:b/>
          <w:spacing w:val="4"/>
        </w:rPr>
        <w:lastRenderedPageBreak/>
        <w:t>Bank Disbursement Table</w:t>
      </w:r>
    </w:p>
    <w:tbl>
      <w:tblPr>
        <w:tblStyle w:val="TableGrid"/>
        <w:tblW w:w="5000" w:type="pct"/>
        <w:tblLook w:val="04A0" w:firstRow="1" w:lastRow="0" w:firstColumn="1" w:lastColumn="0" w:noHBand="0" w:noVBand="1"/>
      </w:tblPr>
      <w:tblGrid>
        <w:gridCol w:w="756"/>
        <w:gridCol w:w="3289"/>
        <w:gridCol w:w="1010"/>
        <w:gridCol w:w="1176"/>
        <w:gridCol w:w="1492"/>
        <w:gridCol w:w="1311"/>
        <w:gridCol w:w="3916"/>
      </w:tblGrid>
      <w:tr w:rsidR="006A0D48" w:rsidRPr="00BC7BB5" w14:paraId="5F62DF84" w14:textId="77777777" w:rsidTr="00CB471A">
        <w:trPr>
          <w:trHeight w:val="460"/>
        </w:trPr>
        <w:tc>
          <w:tcPr>
            <w:tcW w:w="292" w:type="pct"/>
            <w:vMerge w:val="restart"/>
            <w:shd w:val="clear" w:color="auto" w:fill="DDD9C3" w:themeFill="background2" w:themeFillShade="E6"/>
            <w:vAlign w:val="center"/>
          </w:tcPr>
          <w:p w14:paraId="17EA7C6D" w14:textId="77777777" w:rsidR="006A0D48" w:rsidRPr="00BC7BB5" w:rsidRDefault="006A0D48" w:rsidP="00CB471A">
            <w:pPr>
              <w:pStyle w:val="MainParanoChapter-Ch3"/>
              <w:numPr>
                <w:ilvl w:val="0"/>
                <w:numId w:val="0"/>
              </w:numPr>
              <w:jc w:val="center"/>
              <w:rPr>
                <w:b/>
                <w:i/>
                <w:sz w:val="18"/>
                <w:szCs w:val="18"/>
              </w:rPr>
            </w:pPr>
            <w:r w:rsidRPr="00BC7BB5">
              <w:rPr>
                <w:b/>
                <w:i/>
                <w:sz w:val="18"/>
                <w:szCs w:val="18"/>
              </w:rPr>
              <w:t>#</w:t>
            </w:r>
          </w:p>
        </w:tc>
        <w:tc>
          <w:tcPr>
            <w:tcW w:w="1270" w:type="pct"/>
            <w:vMerge w:val="restart"/>
            <w:shd w:val="clear" w:color="auto" w:fill="DDD9C3" w:themeFill="background2" w:themeFillShade="E6"/>
            <w:vAlign w:val="center"/>
          </w:tcPr>
          <w:p w14:paraId="19B41753" w14:textId="77777777" w:rsidR="006A0D48" w:rsidRPr="00BC7BB5" w:rsidRDefault="006A0D48" w:rsidP="00CB471A">
            <w:pPr>
              <w:pStyle w:val="MainParanoChapter-Ch3"/>
              <w:numPr>
                <w:ilvl w:val="0"/>
                <w:numId w:val="0"/>
              </w:numPr>
              <w:jc w:val="left"/>
              <w:rPr>
                <w:b/>
                <w:i/>
                <w:sz w:val="18"/>
                <w:szCs w:val="18"/>
              </w:rPr>
            </w:pPr>
            <w:r w:rsidRPr="00BC7BB5">
              <w:rPr>
                <w:b/>
                <w:i/>
                <w:sz w:val="18"/>
                <w:szCs w:val="18"/>
              </w:rPr>
              <w:t>DLI</w:t>
            </w:r>
          </w:p>
        </w:tc>
        <w:tc>
          <w:tcPr>
            <w:tcW w:w="390" w:type="pct"/>
            <w:vMerge w:val="restart"/>
            <w:shd w:val="clear" w:color="auto" w:fill="DDD9C3" w:themeFill="background2" w:themeFillShade="E6"/>
            <w:vAlign w:val="center"/>
          </w:tcPr>
          <w:p w14:paraId="2CEF87B2" w14:textId="77777777" w:rsidR="006A0D48" w:rsidRPr="00BC7BB5" w:rsidRDefault="006A0D48" w:rsidP="00CB471A">
            <w:pPr>
              <w:pStyle w:val="MainParanoChapter-Ch3"/>
              <w:numPr>
                <w:ilvl w:val="0"/>
                <w:numId w:val="0"/>
              </w:numPr>
              <w:jc w:val="left"/>
              <w:rPr>
                <w:b/>
                <w:i/>
                <w:sz w:val="18"/>
                <w:szCs w:val="18"/>
              </w:rPr>
            </w:pPr>
            <w:r w:rsidRPr="00BC7BB5">
              <w:rPr>
                <w:b/>
                <w:i/>
                <w:sz w:val="18"/>
                <w:szCs w:val="18"/>
              </w:rPr>
              <w:t>Bank financing allocated to the DLI (US$ m) (US$ m)</w:t>
            </w:r>
          </w:p>
        </w:tc>
        <w:tc>
          <w:tcPr>
            <w:tcW w:w="454" w:type="pct"/>
            <w:vMerge w:val="restart"/>
            <w:shd w:val="clear" w:color="auto" w:fill="DDD9C3" w:themeFill="background2" w:themeFillShade="E6"/>
            <w:vAlign w:val="center"/>
          </w:tcPr>
          <w:p w14:paraId="7C358882" w14:textId="77777777" w:rsidR="006A0D48" w:rsidRPr="00BC7BB5" w:rsidRDefault="006A0D48" w:rsidP="00CB471A">
            <w:pPr>
              <w:pStyle w:val="MainParanoChapter-Ch3"/>
              <w:numPr>
                <w:ilvl w:val="0"/>
                <w:numId w:val="0"/>
              </w:numPr>
              <w:jc w:val="left"/>
              <w:rPr>
                <w:b/>
                <w:i/>
                <w:sz w:val="18"/>
                <w:szCs w:val="18"/>
              </w:rPr>
            </w:pPr>
            <w:r w:rsidRPr="00BC7BB5">
              <w:rPr>
                <w:b/>
                <w:i/>
                <w:sz w:val="18"/>
                <w:szCs w:val="18"/>
              </w:rPr>
              <w:t>Deadline for DLI Achievement</w:t>
            </w:r>
          </w:p>
        </w:tc>
        <w:tc>
          <w:tcPr>
            <w:tcW w:w="576" w:type="pct"/>
            <w:vMerge w:val="restart"/>
            <w:shd w:val="clear" w:color="auto" w:fill="DDD9C3" w:themeFill="background2" w:themeFillShade="E6"/>
            <w:vAlign w:val="center"/>
          </w:tcPr>
          <w:p w14:paraId="2CC2E30E" w14:textId="77777777" w:rsidR="006A0D48" w:rsidRPr="00BC7BB5" w:rsidRDefault="006A0D48" w:rsidP="00CB471A">
            <w:pPr>
              <w:pStyle w:val="MainParanoChapter-Ch3"/>
              <w:numPr>
                <w:ilvl w:val="0"/>
                <w:numId w:val="0"/>
              </w:numPr>
              <w:jc w:val="left"/>
              <w:rPr>
                <w:b/>
                <w:i/>
                <w:smallCaps/>
                <w:sz w:val="18"/>
                <w:szCs w:val="18"/>
              </w:rPr>
            </w:pPr>
            <w:r w:rsidRPr="00BC7BB5">
              <w:rPr>
                <w:b/>
                <w:i/>
                <w:sz w:val="18"/>
                <w:szCs w:val="18"/>
              </w:rPr>
              <w:t>Minimum DLI value to be achieved to trigger disbursements of Bank Financing</w:t>
            </w:r>
          </w:p>
        </w:tc>
        <w:tc>
          <w:tcPr>
            <w:tcW w:w="506" w:type="pct"/>
            <w:vMerge w:val="restart"/>
            <w:shd w:val="clear" w:color="auto" w:fill="DDD9C3" w:themeFill="background2" w:themeFillShade="E6"/>
            <w:vAlign w:val="center"/>
          </w:tcPr>
          <w:p w14:paraId="4B8D656E" w14:textId="77777777" w:rsidR="006A0D48" w:rsidRPr="00BC7BB5" w:rsidRDefault="006A0D48" w:rsidP="00CB471A">
            <w:pPr>
              <w:pStyle w:val="MainParanoChapter-Ch3"/>
              <w:numPr>
                <w:ilvl w:val="0"/>
                <w:numId w:val="0"/>
              </w:numPr>
              <w:jc w:val="left"/>
              <w:rPr>
                <w:b/>
                <w:i/>
                <w:smallCaps/>
                <w:sz w:val="18"/>
                <w:szCs w:val="18"/>
              </w:rPr>
            </w:pPr>
            <w:r w:rsidRPr="00BC7BB5">
              <w:rPr>
                <w:b/>
                <w:i/>
                <w:sz w:val="18"/>
                <w:szCs w:val="18"/>
              </w:rPr>
              <w:t>Maximum DLI value(s) expected to be achieved for Bank disbursements purposes</w:t>
            </w:r>
            <w:r w:rsidRPr="00BC7BB5">
              <w:rPr>
                <w:b/>
                <w:i/>
                <w:smallCaps/>
                <w:sz w:val="18"/>
                <w:szCs w:val="18"/>
              </w:rPr>
              <w:t xml:space="preserve"> </w:t>
            </w:r>
          </w:p>
        </w:tc>
        <w:tc>
          <w:tcPr>
            <w:tcW w:w="1512" w:type="pct"/>
            <w:vMerge w:val="restart"/>
            <w:shd w:val="clear" w:color="auto" w:fill="DDD9C3" w:themeFill="background2" w:themeFillShade="E6"/>
            <w:vAlign w:val="center"/>
          </w:tcPr>
          <w:p w14:paraId="0A790288" w14:textId="77777777" w:rsidR="006A0D48" w:rsidRPr="00BC7BB5" w:rsidRDefault="006A0D48" w:rsidP="00CB471A">
            <w:pPr>
              <w:pStyle w:val="MainParanoChapter-Ch3"/>
              <w:numPr>
                <w:ilvl w:val="0"/>
                <w:numId w:val="0"/>
              </w:numPr>
              <w:jc w:val="left"/>
              <w:rPr>
                <w:b/>
                <w:i/>
                <w:smallCaps/>
                <w:sz w:val="18"/>
                <w:szCs w:val="18"/>
              </w:rPr>
            </w:pPr>
            <w:r w:rsidRPr="00BC7BB5">
              <w:rPr>
                <w:b/>
                <w:i/>
                <w:sz w:val="18"/>
                <w:szCs w:val="18"/>
              </w:rPr>
              <w:t>Determination of Financing Amount to be disbursed against achieved and verified DLI value(s)</w:t>
            </w:r>
            <w:r w:rsidRPr="00BC7BB5">
              <w:rPr>
                <w:b/>
                <w:i/>
                <w:smallCaps/>
                <w:sz w:val="18"/>
                <w:szCs w:val="18"/>
              </w:rPr>
              <w:t xml:space="preserve"> </w:t>
            </w:r>
          </w:p>
        </w:tc>
      </w:tr>
      <w:tr w:rsidR="006A0D48" w:rsidRPr="00BC7BB5" w14:paraId="6B8E6457" w14:textId="77777777" w:rsidTr="00CB471A">
        <w:trPr>
          <w:trHeight w:val="881"/>
        </w:trPr>
        <w:tc>
          <w:tcPr>
            <w:tcW w:w="292" w:type="pct"/>
            <w:vMerge/>
            <w:shd w:val="clear" w:color="auto" w:fill="DDD9C3" w:themeFill="background2" w:themeFillShade="E6"/>
            <w:vAlign w:val="center"/>
          </w:tcPr>
          <w:p w14:paraId="6F25A90F" w14:textId="77777777" w:rsidR="006A0D48" w:rsidRPr="00BC7BB5" w:rsidRDefault="006A0D48" w:rsidP="00CB471A">
            <w:pPr>
              <w:pStyle w:val="HEADINGP4RCHAPTER"/>
              <w:tabs>
                <w:tab w:val="left" w:pos="180"/>
                <w:tab w:val="center" w:pos="6624"/>
              </w:tabs>
              <w:spacing w:before="0" w:after="0"/>
              <w:outlineLvl w:val="9"/>
              <w:rPr>
                <w:b w:val="0"/>
                <w:sz w:val="18"/>
                <w:szCs w:val="18"/>
              </w:rPr>
            </w:pPr>
          </w:p>
        </w:tc>
        <w:tc>
          <w:tcPr>
            <w:tcW w:w="1270" w:type="pct"/>
            <w:vMerge/>
            <w:shd w:val="clear" w:color="auto" w:fill="DDD9C3" w:themeFill="background2" w:themeFillShade="E6"/>
            <w:vAlign w:val="center"/>
          </w:tcPr>
          <w:p w14:paraId="12D3AA0D" w14:textId="77777777" w:rsidR="006A0D48" w:rsidRPr="00BC7BB5" w:rsidRDefault="006A0D48" w:rsidP="00CB471A">
            <w:pPr>
              <w:pStyle w:val="HEADINGP4RCHAPTER"/>
              <w:tabs>
                <w:tab w:val="left" w:pos="180"/>
                <w:tab w:val="center" w:pos="6624"/>
              </w:tabs>
              <w:spacing w:before="0" w:after="0"/>
              <w:jc w:val="left"/>
              <w:outlineLvl w:val="9"/>
              <w:rPr>
                <w:b w:val="0"/>
                <w:sz w:val="18"/>
                <w:szCs w:val="18"/>
              </w:rPr>
            </w:pPr>
          </w:p>
        </w:tc>
        <w:tc>
          <w:tcPr>
            <w:tcW w:w="390" w:type="pct"/>
            <w:vMerge/>
            <w:shd w:val="clear" w:color="auto" w:fill="DDD9C3" w:themeFill="background2" w:themeFillShade="E6"/>
            <w:vAlign w:val="center"/>
          </w:tcPr>
          <w:p w14:paraId="5D2F631A" w14:textId="77777777" w:rsidR="006A0D48" w:rsidRPr="00BC7BB5" w:rsidRDefault="006A0D48" w:rsidP="00CB471A">
            <w:pPr>
              <w:pStyle w:val="HEADINGP4RCHAPTER"/>
              <w:tabs>
                <w:tab w:val="left" w:pos="180"/>
                <w:tab w:val="center" w:pos="6624"/>
              </w:tabs>
              <w:spacing w:before="0" w:after="0"/>
              <w:jc w:val="left"/>
              <w:outlineLvl w:val="9"/>
              <w:rPr>
                <w:b w:val="0"/>
                <w:sz w:val="18"/>
                <w:szCs w:val="18"/>
              </w:rPr>
            </w:pPr>
          </w:p>
        </w:tc>
        <w:tc>
          <w:tcPr>
            <w:tcW w:w="454" w:type="pct"/>
            <w:vMerge/>
            <w:shd w:val="clear" w:color="auto" w:fill="DDD9C3" w:themeFill="background2" w:themeFillShade="E6"/>
            <w:vAlign w:val="center"/>
          </w:tcPr>
          <w:p w14:paraId="7DF9C6FD" w14:textId="77777777" w:rsidR="006A0D48" w:rsidRPr="00BC7BB5" w:rsidRDefault="006A0D48" w:rsidP="00CB471A">
            <w:pPr>
              <w:pStyle w:val="HEADINGP4RCHAPTER"/>
              <w:tabs>
                <w:tab w:val="left" w:pos="180"/>
                <w:tab w:val="center" w:pos="6624"/>
              </w:tabs>
              <w:spacing w:before="0" w:after="0"/>
              <w:jc w:val="left"/>
              <w:outlineLvl w:val="9"/>
              <w:rPr>
                <w:b w:val="0"/>
                <w:sz w:val="18"/>
                <w:szCs w:val="18"/>
              </w:rPr>
            </w:pPr>
          </w:p>
        </w:tc>
        <w:tc>
          <w:tcPr>
            <w:tcW w:w="576" w:type="pct"/>
            <w:vMerge/>
            <w:shd w:val="clear" w:color="auto" w:fill="DDD9C3" w:themeFill="background2" w:themeFillShade="E6"/>
            <w:vAlign w:val="center"/>
          </w:tcPr>
          <w:p w14:paraId="7253E359" w14:textId="77777777" w:rsidR="006A0D48" w:rsidRPr="00BC7BB5" w:rsidRDefault="006A0D48" w:rsidP="00CB471A">
            <w:pPr>
              <w:pStyle w:val="HEADINGP4RCHAPTER"/>
              <w:tabs>
                <w:tab w:val="left" w:pos="180"/>
                <w:tab w:val="center" w:pos="6624"/>
              </w:tabs>
              <w:spacing w:before="0" w:after="0"/>
              <w:jc w:val="left"/>
              <w:outlineLvl w:val="9"/>
              <w:rPr>
                <w:b w:val="0"/>
                <w:sz w:val="18"/>
                <w:szCs w:val="18"/>
              </w:rPr>
            </w:pPr>
          </w:p>
        </w:tc>
        <w:tc>
          <w:tcPr>
            <w:tcW w:w="506" w:type="pct"/>
            <w:vMerge/>
            <w:shd w:val="clear" w:color="auto" w:fill="DDD9C3" w:themeFill="background2" w:themeFillShade="E6"/>
            <w:vAlign w:val="center"/>
          </w:tcPr>
          <w:p w14:paraId="1745CEE3" w14:textId="77777777" w:rsidR="006A0D48" w:rsidRPr="00BC7BB5" w:rsidRDefault="006A0D48" w:rsidP="00CB471A">
            <w:pPr>
              <w:pStyle w:val="HEADINGP4RCHAPTER"/>
              <w:tabs>
                <w:tab w:val="left" w:pos="180"/>
                <w:tab w:val="center" w:pos="6624"/>
              </w:tabs>
              <w:spacing w:before="0" w:after="0"/>
              <w:jc w:val="left"/>
              <w:outlineLvl w:val="9"/>
              <w:rPr>
                <w:b w:val="0"/>
                <w:sz w:val="18"/>
                <w:szCs w:val="18"/>
              </w:rPr>
            </w:pPr>
          </w:p>
        </w:tc>
        <w:tc>
          <w:tcPr>
            <w:tcW w:w="1512" w:type="pct"/>
            <w:vMerge/>
            <w:shd w:val="clear" w:color="auto" w:fill="DDD9C3" w:themeFill="background2" w:themeFillShade="E6"/>
            <w:vAlign w:val="center"/>
          </w:tcPr>
          <w:p w14:paraId="6C1E9030" w14:textId="77777777" w:rsidR="006A0D48" w:rsidRPr="00BC7BB5" w:rsidRDefault="006A0D48" w:rsidP="00CB471A">
            <w:pPr>
              <w:pStyle w:val="HEADINGP4RCHAPTER"/>
              <w:tabs>
                <w:tab w:val="left" w:pos="180"/>
                <w:tab w:val="center" w:pos="6624"/>
              </w:tabs>
              <w:spacing w:before="0" w:after="0"/>
              <w:jc w:val="left"/>
              <w:outlineLvl w:val="9"/>
              <w:rPr>
                <w:b w:val="0"/>
                <w:sz w:val="18"/>
                <w:szCs w:val="18"/>
              </w:rPr>
            </w:pPr>
          </w:p>
        </w:tc>
      </w:tr>
      <w:tr w:rsidR="006A0D48" w:rsidRPr="00BC7BB5" w14:paraId="6D10F449" w14:textId="77777777" w:rsidTr="00CB471A">
        <w:tc>
          <w:tcPr>
            <w:tcW w:w="292" w:type="pct"/>
            <w:vAlign w:val="center"/>
          </w:tcPr>
          <w:p w14:paraId="50AC54D1" w14:textId="77777777" w:rsidR="006A0D48" w:rsidRPr="00BC7BB5" w:rsidRDefault="006A0D48" w:rsidP="00CB471A">
            <w:pPr>
              <w:pStyle w:val="MainParanoChapter-Ch3"/>
              <w:spacing w:before="0"/>
              <w:ind w:left="360"/>
              <w:jc w:val="center"/>
              <w:rPr>
                <w:sz w:val="18"/>
                <w:szCs w:val="18"/>
              </w:rPr>
            </w:pPr>
          </w:p>
        </w:tc>
        <w:tc>
          <w:tcPr>
            <w:tcW w:w="1270" w:type="pct"/>
            <w:vAlign w:val="center"/>
          </w:tcPr>
          <w:p w14:paraId="7E3EAF76" w14:textId="71630D30" w:rsidR="006A0D48" w:rsidRPr="00BC7BB5" w:rsidRDefault="00B656F6" w:rsidP="00CB471A">
            <w:pPr>
              <w:pStyle w:val="ListParagraph"/>
              <w:spacing w:after="120"/>
              <w:ind w:left="0"/>
              <w:rPr>
                <w:rFonts w:ascii="Times New Roman" w:hAnsi="Times New Roman" w:cs="Times New Roman"/>
                <w:sz w:val="18"/>
                <w:szCs w:val="18"/>
              </w:rPr>
            </w:pPr>
            <w:r w:rsidRPr="00B656F6">
              <w:rPr>
                <w:rFonts w:ascii="Times New Roman" w:hAnsi="Times New Roman" w:cs="Times New Roman"/>
                <w:sz w:val="18"/>
                <w:szCs w:val="18"/>
              </w:rPr>
              <w:t>Number of</w:t>
            </w:r>
            <w:r>
              <w:rPr>
                <w:rFonts w:ascii="Times New Roman" w:hAnsi="Times New Roman" w:cs="Times New Roman"/>
                <w:i/>
                <w:sz w:val="18"/>
                <w:szCs w:val="18"/>
              </w:rPr>
              <w:t xml:space="preserve"> </w:t>
            </w:r>
            <w:r w:rsidR="006A0D48" w:rsidRPr="00BC7BB5">
              <w:rPr>
                <w:rFonts w:ascii="Times New Roman" w:hAnsi="Times New Roman" w:cs="Times New Roman"/>
                <w:i/>
                <w:sz w:val="18"/>
                <w:szCs w:val="18"/>
              </w:rPr>
              <w:t>Interprofessions</w:t>
            </w:r>
            <w:r w:rsidR="006A0D48" w:rsidRPr="00BC7BB5">
              <w:rPr>
                <w:rFonts w:ascii="Times New Roman" w:hAnsi="Times New Roman" w:cs="Times New Roman"/>
                <w:sz w:val="18"/>
                <w:szCs w:val="18"/>
              </w:rPr>
              <w:t xml:space="preserve"> with business plans approved and intra-branch agreements </w:t>
            </w:r>
            <w:r w:rsidR="00561A0E">
              <w:rPr>
                <w:rFonts w:ascii="Times New Roman" w:hAnsi="Times New Roman" w:cs="Times New Roman"/>
                <w:sz w:val="18"/>
                <w:szCs w:val="18"/>
              </w:rPr>
              <w:t>(</w:t>
            </w:r>
            <w:r w:rsidR="00561A0E" w:rsidRPr="00561A0E">
              <w:rPr>
                <w:rFonts w:ascii="Times New Roman" w:hAnsi="Times New Roman" w:cs="Times New Roman"/>
                <w:i/>
                <w:sz w:val="18"/>
                <w:szCs w:val="18"/>
              </w:rPr>
              <w:t>Accords Interprofessionnels</w:t>
            </w:r>
            <w:r w:rsidR="00561A0E">
              <w:rPr>
                <w:rFonts w:ascii="Times New Roman" w:hAnsi="Times New Roman" w:cs="Times New Roman"/>
                <w:sz w:val="18"/>
                <w:szCs w:val="18"/>
              </w:rPr>
              <w:t>) adopted</w:t>
            </w:r>
            <w:r w:rsidR="006A0D48" w:rsidRPr="00BC7BB5">
              <w:rPr>
                <w:rFonts w:ascii="Times New Roman" w:hAnsi="Times New Roman" w:cs="Times New Roman"/>
                <w:sz w:val="18"/>
                <w:szCs w:val="18"/>
              </w:rPr>
              <w:t xml:space="preserve"> to ensure sustainability</w:t>
            </w:r>
          </w:p>
        </w:tc>
        <w:tc>
          <w:tcPr>
            <w:tcW w:w="390" w:type="pct"/>
            <w:vAlign w:val="center"/>
          </w:tcPr>
          <w:p w14:paraId="45DE4464" w14:textId="77777777" w:rsidR="006A0D48" w:rsidRPr="00BC7BB5" w:rsidRDefault="006A0D48" w:rsidP="00CB471A">
            <w:pPr>
              <w:spacing w:after="120"/>
              <w:rPr>
                <w:rFonts w:ascii="Times New Roman" w:hAnsi="Times New Roman" w:cs="Times New Roman"/>
                <w:sz w:val="18"/>
                <w:szCs w:val="18"/>
              </w:rPr>
            </w:pPr>
            <w:r w:rsidRPr="00BC7BB5">
              <w:rPr>
                <w:rFonts w:ascii="Times New Roman" w:hAnsi="Times New Roman" w:cs="Times New Roman"/>
                <w:sz w:val="18"/>
                <w:szCs w:val="18"/>
              </w:rPr>
              <w:t>10.0</w:t>
            </w:r>
          </w:p>
        </w:tc>
        <w:tc>
          <w:tcPr>
            <w:tcW w:w="454" w:type="pct"/>
            <w:vAlign w:val="center"/>
          </w:tcPr>
          <w:p w14:paraId="7AF29A59" w14:textId="700796E0" w:rsidR="006A0D48" w:rsidRPr="00BC7BB5" w:rsidRDefault="00D62281" w:rsidP="00CB471A">
            <w:pPr>
              <w:spacing w:after="120"/>
              <w:rPr>
                <w:rFonts w:ascii="Times New Roman" w:hAnsi="Times New Roman" w:cs="Times New Roman"/>
                <w:sz w:val="18"/>
                <w:szCs w:val="18"/>
              </w:rPr>
            </w:pPr>
            <w:r>
              <w:rPr>
                <w:rFonts w:ascii="Times New Roman" w:hAnsi="Times New Roman" w:cs="Times New Roman"/>
                <w:sz w:val="18"/>
                <w:szCs w:val="18"/>
              </w:rPr>
              <w:t>December 31, 2021</w:t>
            </w:r>
          </w:p>
        </w:tc>
        <w:tc>
          <w:tcPr>
            <w:tcW w:w="576" w:type="pct"/>
            <w:vAlign w:val="center"/>
          </w:tcPr>
          <w:p w14:paraId="4818495C" w14:textId="77777777" w:rsidR="006A0D48" w:rsidRPr="00BC7BB5" w:rsidRDefault="006A0D48" w:rsidP="00CB471A">
            <w:pPr>
              <w:spacing w:after="120"/>
              <w:rPr>
                <w:rFonts w:ascii="Times New Roman" w:hAnsi="Times New Roman" w:cs="Times New Roman"/>
                <w:sz w:val="18"/>
                <w:szCs w:val="18"/>
              </w:rPr>
            </w:pPr>
            <w:r w:rsidRPr="00BC7BB5">
              <w:rPr>
                <w:rFonts w:ascii="Times New Roman" w:hAnsi="Times New Roman" w:cs="Times New Roman"/>
                <w:sz w:val="18"/>
                <w:szCs w:val="18"/>
              </w:rPr>
              <w:t>1</w:t>
            </w:r>
          </w:p>
        </w:tc>
        <w:tc>
          <w:tcPr>
            <w:tcW w:w="506" w:type="pct"/>
            <w:vAlign w:val="center"/>
          </w:tcPr>
          <w:p w14:paraId="66C3202B" w14:textId="77777777" w:rsidR="006A0D48" w:rsidRPr="00BC7BB5" w:rsidRDefault="006A0D48" w:rsidP="00CB471A">
            <w:pPr>
              <w:spacing w:after="120"/>
              <w:rPr>
                <w:rFonts w:ascii="Times New Roman" w:hAnsi="Times New Roman" w:cs="Times New Roman"/>
                <w:sz w:val="18"/>
                <w:szCs w:val="18"/>
              </w:rPr>
            </w:pPr>
            <w:r w:rsidRPr="00BC7BB5">
              <w:rPr>
                <w:rFonts w:ascii="Times New Roman" w:hAnsi="Times New Roman" w:cs="Times New Roman"/>
                <w:sz w:val="18"/>
                <w:szCs w:val="18"/>
              </w:rPr>
              <w:t>2</w:t>
            </w:r>
          </w:p>
        </w:tc>
        <w:tc>
          <w:tcPr>
            <w:tcW w:w="1512" w:type="pct"/>
            <w:vAlign w:val="center"/>
          </w:tcPr>
          <w:p w14:paraId="66B5F1FA" w14:textId="6FDC1662" w:rsidR="006A0D48" w:rsidRPr="00BC7BB5" w:rsidRDefault="006A0D48" w:rsidP="00CB471A">
            <w:pPr>
              <w:spacing w:after="120"/>
              <w:rPr>
                <w:rFonts w:ascii="Times New Roman" w:hAnsi="Times New Roman" w:cs="Times New Roman"/>
                <w:sz w:val="18"/>
                <w:szCs w:val="18"/>
              </w:rPr>
            </w:pPr>
            <w:r w:rsidRPr="00BC7BB5">
              <w:rPr>
                <w:rFonts w:ascii="Times New Roman" w:hAnsi="Times New Roman" w:cs="Times New Roman"/>
                <w:sz w:val="18"/>
                <w:szCs w:val="18"/>
              </w:rPr>
              <w:t xml:space="preserve">US$5 </w:t>
            </w:r>
            <w:r w:rsidR="007152AB">
              <w:rPr>
                <w:rFonts w:ascii="Times New Roman" w:hAnsi="Times New Roman" w:cs="Times New Roman"/>
                <w:sz w:val="18"/>
                <w:szCs w:val="18"/>
              </w:rPr>
              <w:t>million for</w:t>
            </w:r>
            <w:r w:rsidRPr="00BC7BB5">
              <w:rPr>
                <w:rFonts w:ascii="Times New Roman" w:hAnsi="Times New Roman" w:cs="Times New Roman"/>
                <w:sz w:val="18"/>
                <w:szCs w:val="18"/>
              </w:rPr>
              <w:t xml:space="preserve"> each Interprofession with both a business plan approved and Intra-branch agreement </w:t>
            </w:r>
            <w:r w:rsidR="007152AB">
              <w:rPr>
                <w:rFonts w:ascii="Times New Roman" w:hAnsi="Times New Roman" w:cs="Times New Roman"/>
                <w:sz w:val="18"/>
                <w:szCs w:val="18"/>
              </w:rPr>
              <w:t>adopted</w:t>
            </w:r>
          </w:p>
        </w:tc>
      </w:tr>
      <w:tr w:rsidR="007152AB" w:rsidRPr="00BC7BB5" w14:paraId="06407884" w14:textId="77777777" w:rsidTr="00CB471A">
        <w:tc>
          <w:tcPr>
            <w:tcW w:w="292" w:type="pct"/>
            <w:vAlign w:val="center"/>
          </w:tcPr>
          <w:p w14:paraId="3E788703" w14:textId="77777777" w:rsidR="007152AB" w:rsidRPr="00BC7BB5" w:rsidRDefault="007152AB" w:rsidP="007152AB">
            <w:pPr>
              <w:pStyle w:val="MainParanoChapter-Ch3"/>
              <w:ind w:left="360"/>
              <w:jc w:val="center"/>
              <w:rPr>
                <w:sz w:val="18"/>
                <w:szCs w:val="18"/>
              </w:rPr>
            </w:pPr>
          </w:p>
        </w:tc>
        <w:tc>
          <w:tcPr>
            <w:tcW w:w="1270" w:type="pct"/>
            <w:vAlign w:val="center"/>
          </w:tcPr>
          <w:p w14:paraId="5907CD71" w14:textId="019CA6BE" w:rsidR="007152AB" w:rsidRPr="00BC7BB5" w:rsidRDefault="007152AB" w:rsidP="007152AB">
            <w:pPr>
              <w:spacing w:after="120"/>
              <w:rPr>
                <w:rFonts w:ascii="Times New Roman" w:hAnsi="Times New Roman" w:cs="Times New Roman"/>
                <w:sz w:val="18"/>
                <w:szCs w:val="18"/>
              </w:rPr>
            </w:pPr>
            <w:r w:rsidRPr="00BC7BB5">
              <w:rPr>
                <w:rFonts w:ascii="Times New Roman" w:hAnsi="Times New Roman" w:cs="Times New Roman"/>
                <w:sz w:val="18"/>
                <w:szCs w:val="18"/>
              </w:rPr>
              <w:t xml:space="preserve">Amended Law </w:t>
            </w:r>
            <w:r>
              <w:rPr>
                <w:rFonts w:ascii="Times New Roman" w:hAnsi="Times New Roman" w:cs="Times New Roman"/>
                <w:sz w:val="18"/>
                <w:szCs w:val="18"/>
              </w:rPr>
              <w:t xml:space="preserve">no. 4-12 </w:t>
            </w:r>
            <w:r w:rsidRPr="00BC7BB5">
              <w:rPr>
                <w:rFonts w:ascii="Times New Roman" w:hAnsi="Times New Roman" w:cs="Times New Roman"/>
                <w:sz w:val="18"/>
                <w:szCs w:val="18"/>
              </w:rPr>
              <w:t xml:space="preserve">on </w:t>
            </w:r>
            <w:r w:rsidR="00B656F6">
              <w:rPr>
                <w:rFonts w:ascii="Times New Roman" w:hAnsi="Times New Roman" w:cs="Times New Roman"/>
                <w:sz w:val="18"/>
                <w:szCs w:val="18"/>
              </w:rPr>
              <w:t>Agricultur</w:t>
            </w:r>
            <w:r w:rsidR="000B1C93">
              <w:rPr>
                <w:rFonts w:ascii="Times New Roman" w:hAnsi="Times New Roman" w:cs="Times New Roman"/>
                <w:sz w:val="18"/>
                <w:szCs w:val="18"/>
              </w:rPr>
              <w:t>al</w:t>
            </w:r>
            <w:r w:rsidR="00B656F6">
              <w:rPr>
                <w:rFonts w:ascii="Times New Roman" w:hAnsi="Times New Roman" w:cs="Times New Roman"/>
                <w:sz w:val="18"/>
                <w:szCs w:val="18"/>
              </w:rPr>
              <w:t xml:space="preserve"> </w:t>
            </w:r>
            <w:r w:rsidRPr="00BC7BB5">
              <w:rPr>
                <w:rFonts w:ascii="Times New Roman" w:hAnsi="Times New Roman" w:cs="Times New Roman"/>
                <w:sz w:val="18"/>
                <w:szCs w:val="18"/>
              </w:rPr>
              <w:t xml:space="preserve">Aggregation </w:t>
            </w:r>
            <w:r>
              <w:rPr>
                <w:rFonts w:ascii="Times New Roman" w:hAnsi="Times New Roman" w:cs="Times New Roman"/>
                <w:sz w:val="18"/>
                <w:szCs w:val="18"/>
              </w:rPr>
              <w:t>dated 2012 is under implementation</w:t>
            </w:r>
          </w:p>
          <w:p w14:paraId="1B614963" w14:textId="77777777" w:rsidR="007152AB" w:rsidRDefault="007152AB" w:rsidP="007152AB">
            <w:pPr>
              <w:spacing w:after="120"/>
              <w:rPr>
                <w:rFonts w:ascii="Times New Roman" w:hAnsi="Times New Roman" w:cs="Times New Roman"/>
                <w:sz w:val="18"/>
                <w:szCs w:val="18"/>
              </w:rPr>
            </w:pPr>
            <w:r>
              <w:rPr>
                <w:rFonts w:ascii="Times New Roman" w:hAnsi="Times New Roman" w:cs="Times New Roman"/>
                <w:sz w:val="18"/>
                <w:szCs w:val="18"/>
              </w:rPr>
              <w:t>2.1 Adoption by the Council of Government</w:t>
            </w:r>
          </w:p>
          <w:p w14:paraId="7E490C90" w14:textId="77777777" w:rsidR="007152AB" w:rsidRPr="00BC7BB5" w:rsidRDefault="007152AB" w:rsidP="007152AB">
            <w:pPr>
              <w:spacing w:after="120"/>
              <w:rPr>
                <w:rFonts w:ascii="Times New Roman" w:hAnsi="Times New Roman" w:cs="Times New Roman"/>
                <w:sz w:val="18"/>
                <w:szCs w:val="18"/>
              </w:rPr>
            </w:pPr>
            <w:r>
              <w:rPr>
                <w:rFonts w:ascii="Times New Roman" w:hAnsi="Times New Roman" w:cs="Times New Roman"/>
                <w:sz w:val="18"/>
                <w:szCs w:val="18"/>
              </w:rPr>
              <w:t>2.2</w:t>
            </w:r>
            <w:r w:rsidRPr="00BC7BB5">
              <w:rPr>
                <w:rFonts w:ascii="Times New Roman" w:hAnsi="Times New Roman" w:cs="Times New Roman"/>
                <w:sz w:val="18"/>
                <w:szCs w:val="18"/>
              </w:rPr>
              <w:t xml:space="preserve"> Amended Law published </w:t>
            </w:r>
          </w:p>
          <w:p w14:paraId="27A6561C" w14:textId="4052C68F" w:rsidR="007152AB" w:rsidRPr="00BC7BB5" w:rsidRDefault="007152AB" w:rsidP="007152AB">
            <w:pPr>
              <w:spacing w:after="120"/>
              <w:rPr>
                <w:rFonts w:ascii="Times New Roman" w:hAnsi="Times New Roman" w:cs="Times New Roman"/>
                <w:sz w:val="18"/>
                <w:szCs w:val="18"/>
              </w:rPr>
            </w:pPr>
            <w:r>
              <w:rPr>
                <w:rFonts w:ascii="Times New Roman" w:hAnsi="Times New Roman" w:cs="Times New Roman"/>
                <w:sz w:val="18"/>
                <w:szCs w:val="18"/>
              </w:rPr>
              <w:t>2.3</w:t>
            </w:r>
            <w:r w:rsidRPr="00BC7BB5">
              <w:rPr>
                <w:rFonts w:ascii="Times New Roman" w:hAnsi="Times New Roman" w:cs="Times New Roman"/>
                <w:sz w:val="18"/>
                <w:szCs w:val="18"/>
              </w:rPr>
              <w:t xml:space="preserve"> Implementation Decree and </w:t>
            </w:r>
            <w:r w:rsidR="00B656F6">
              <w:rPr>
                <w:rFonts w:ascii="Times New Roman" w:hAnsi="Times New Roman" w:cs="Times New Roman"/>
                <w:i/>
                <w:sz w:val="18"/>
                <w:szCs w:val="18"/>
              </w:rPr>
              <w:t>arrêté</w:t>
            </w:r>
            <w:r w:rsidRPr="00BC7BB5">
              <w:rPr>
                <w:rFonts w:ascii="Times New Roman" w:hAnsi="Times New Roman" w:cs="Times New Roman"/>
                <w:sz w:val="18"/>
                <w:szCs w:val="18"/>
              </w:rPr>
              <w:t xml:space="preserve"> published</w:t>
            </w:r>
          </w:p>
        </w:tc>
        <w:tc>
          <w:tcPr>
            <w:tcW w:w="390" w:type="pct"/>
            <w:vAlign w:val="center"/>
          </w:tcPr>
          <w:p w14:paraId="33423435" w14:textId="77777777" w:rsidR="007152AB" w:rsidRPr="00BC7BB5" w:rsidRDefault="007152AB" w:rsidP="007152AB">
            <w:pPr>
              <w:spacing w:after="120"/>
              <w:rPr>
                <w:rFonts w:ascii="Times New Roman" w:hAnsi="Times New Roman" w:cs="Times New Roman"/>
                <w:sz w:val="18"/>
                <w:szCs w:val="18"/>
              </w:rPr>
            </w:pPr>
            <w:r w:rsidRPr="00BC7BB5">
              <w:rPr>
                <w:rFonts w:ascii="Times New Roman" w:hAnsi="Times New Roman" w:cs="Times New Roman"/>
                <w:sz w:val="18"/>
                <w:szCs w:val="18"/>
              </w:rPr>
              <w:t>10.0</w:t>
            </w:r>
          </w:p>
        </w:tc>
        <w:tc>
          <w:tcPr>
            <w:tcW w:w="454" w:type="pct"/>
            <w:vAlign w:val="center"/>
          </w:tcPr>
          <w:p w14:paraId="0DD9AC66" w14:textId="77777777" w:rsidR="007152AB" w:rsidRPr="00BC7BB5" w:rsidRDefault="007152AB" w:rsidP="007152AB">
            <w:pPr>
              <w:spacing w:after="120"/>
              <w:rPr>
                <w:rFonts w:ascii="Times New Roman" w:hAnsi="Times New Roman" w:cs="Times New Roman"/>
                <w:sz w:val="18"/>
                <w:szCs w:val="18"/>
              </w:rPr>
            </w:pPr>
            <w:r w:rsidRPr="00BC7BB5">
              <w:rPr>
                <w:rFonts w:ascii="Times New Roman" w:hAnsi="Times New Roman" w:cs="Times New Roman"/>
                <w:sz w:val="18"/>
                <w:szCs w:val="18"/>
              </w:rPr>
              <w:t>December 31, 2020</w:t>
            </w:r>
          </w:p>
        </w:tc>
        <w:tc>
          <w:tcPr>
            <w:tcW w:w="576" w:type="pct"/>
            <w:vAlign w:val="center"/>
          </w:tcPr>
          <w:p w14:paraId="72B7820B" w14:textId="77777777" w:rsidR="007152AB" w:rsidRPr="00BC7BB5" w:rsidRDefault="007152AB" w:rsidP="007152AB">
            <w:pPr>
              <w:spacing w:after="120"/>
              <w:rPr>
                <w:rFonts w:ascii="Times New Roman" w:hAnsi="Times New Roman" w:cs="Times New Roman"/>
                <w:sz w:val="18"/>
                <w:szCs w:val="18"/>
              </w:rPr>
            </w:pPr>
            <w:r w:rsidRPr="00BC7BB5">
              <w:rPr>
                <w:rFonts w:ascii="Times New Roman" w:hAnsi="Times New Roman" w:cs="Times New Roman"/>
                <w:sz w:val="18"/>
                <w:szCs w:val="18"/>
              </w:rPr>
              <w:t>2.1 Yes</w:t>
            </w:r>
          </w:p>
          <w:p w14:paraId="47FE2E2F" w14:textId="77777777" w:rsidR="007152AB" w:rsidRDefault="007152AB" w:rsidP="007152AB">
            <w:pPr>
              <w:spacing w:after="120"/>
              <w:rPr>
                <w:rFonts w:ascii="Times New Roman" w:hAnsi="Times New Roman" w:cs="Times New Roman"/>
                <w:sz w:val="18"/>
                <w:szCs w:val="18"/>
              </w:rPr>
            </w:pPr>
            <w:r w:rsidRPr="00BC7BB5">
              <w:rPr>
                <w:rFonts w:ascii="Times New Roman" w:hAnsi="Times New Roman" w:cs="Times New Roman"/>
                <w:sz w:val="18"/>
                <w:szCs w:val="18"/>
              </w:rPr>
              <w:t xml:space="preserve">2.2 Yes </w:t>
            </w:r>
          </w:p>
          <w:p w14:paraId="0504DAA8" w14:textId="391F4EAF" w:rsidR="000B1C93" w:rsidRPr="00BC7BB5" w:rsidRDefault="000B1C93" w:rsidP="007152AB">
            <w:pPr>
              <w:spacing w:after="120"/>
              <w:rPr>
                <w:rFonts w:ascii="Times New Roman" w:hAnsi="Times New Roman" w:cs="Times New Roman"/>
                <w:sz w:val="18"/>
                <w:szCs w:val="18"/>
              </w:rPr>
            </w:pPr>
            <w:r>
              <w:rPr>
                <w:rFonts w:ascii="Times New Roman" w:hAnsi="Times New Roman" w:cs="Times New Roman"/>
                <w:sz w:val="18"/>
                <w:szCs w:val="18"/>
              </w:rPr>
              <w:t>2.3 Yes</w:t>
            </w:r>
          </w:p>
        </w:tc>
        <w:tc>
          <w:tcPr>
            <w:tcW w:w="506" w:type="pct"/>
            <w:vAlign w:val="center"/>
          </w:tcPr>
          <w:p w14:paraId="26451FD9" w14:textId="77777777" w:rsidR="007152AB" w:rsidRPr="00BC7BB5" w:rsidRDefault="007152AB" w:rsidP="007152AB">
            <w:pPr>
              <w:spacing w:after="120"/>
              <w:rPr>
                <w:rFonts w:ascii="Times New Roman" w:hAnsi="Times New Roman" w:cs="Times New Roman"/>
                <w:sz w:val="18"/>
                <w:szCs w:val="18"/>
              </w:rPr>
            </w:pPr>
            <w:r w:rsidRPr="00BC7BB5">
              <w:rPr>
                <w:rFonts w:ascii="Times New Roman" w:hAnsi="Times New Roman" w:cs="Times New Roman"/>
                <w:sz w:val="18"/>
                <w:szCs w:val="18"/>
              </w:rPr>
              <w:t xml:space="preserve">2.1 Yes </w:t>
            </w:r>
          </w:p>
          <w:p w14:paraId="6988AF4D" w14:textId="77777777" w:rsidR="007152AB" w:rsidRDefault="007152AB" w:rsidP="007152AB">
            <w:pPr>
              <w:spacing w:after="120"/>
              <w:rPr>
                <w:rFonts w:ascii="Times New Roman" w:hAnsi="Times New Roman" w:cs="Times New Roman"/>
                <w:sz w:val="18"/>
                <w:szCs w:val="18"/>
              </w:rPr>
            </w:pPr>
            <w:r w:rsidRPr="00BC7BB5">
              <w:rPr>
                <w:rFonts w:ascii="Times New Roman" w:hAnsi="Times New Roman" w:cs="Times New Roman"/>
                <w:sz w:val="18"/>
                <w:szCs w:val="18"/>
              </w:rPr>
              <w:t>2.2 Yes</w:t>
            </w:r>
          </w:p>
          <w:p w14:paraId="44E37FE1" w14:textId="73983F0A" w:rsidR="000B1C93" w:rsidRPr="00BC7BB5" w:rsidRDefault="000B1C93" w:rsidP="007152AB">
            <w:pPr>
              <w:spacing w:after="120"/>
              <w:rPr>
                <w:rFonts w:ascii="Times New Roman" w:hAnsi="Times New Roman" w:cs="Times New Roman"/>
                <w:sz w:val="18"/>
                <w:szCs w:val="18"/>
              </w:rPr>
            </w:pPr>
            <w:r>
              <w:rPr>
                <w:rFonts w:ascii="Times New Roman" w:hAnsi="Times New Roman" w:cs="Times New Roman"/>
                <w:sz w:val="18"/>
                <w:szCs w:val="18"/>
              </w:rPr>
              <w:t>2.3 Yes</w:t>
            </w:r>
          </w:p>
        </w:tc>
        <w:tc>
          <w:tcPr>
            <w:tcW w:w="1512" w:type="pct"/>
            <w:vAlign w:val="center"/>
          </w:tcPr>
          <w:p w14:paraId="14C4BEBF" w14:textId="77777777" w:rsidR="00F47017" w:rsidRDefault="00F47017" w:rsidP="007152AB">
            <w:pPr>
              <w:spacing w:after="120"/>
              <w:rPr>
                <w:rFonts w:ascii="Times New Roman" w:hAnsi="Times New Roman" w:cs="Times New Roman"/>
                <w:sz w:val="18"/>
                <w:szCs w:val="18"/>
              </w:rPr>
            </w:pPr>
            <w:r>
              <w:rPr>
                <w:rFonts w:ascii="Times New Roman" w:hAnsi="Times New Roman" w:cs="Times New Roman"/>
                <w:sz w:val="18"/>
                <w:szCs w:val="18"/>
              </w:rPr>
              <w:t>(2.1) US$2 million for the adoption of the amended law by the Council of Government</w:t>
            </w:r>
          </w:p>
          <w:p w14:paraId="66ADAF7B" w14:textId="6A929756" w:rsidR="007152AB" w:rsidRPr="00BC7BB5" w:rsidRDefault="00F47017" w:rsidP="007152AB">
            <w:pPr>
              <w:spacing w:after="120"/>
              <w:rPr>
                <w:rFonts w:ascii="Times New Roman" w:hAnsi="Times New Roman" w:cs="Times New Roman"/>
                <w:sz w:val="18"/>
                <w:szCs w:val="18"/>
              </w:rPr>
            </w:pPr>
            <w:r>
              <w:rPr>
                <w:rFonts w:ascii="Times New Roman" w:hAnsi="Times New Roman" w:cs="Times New Roman"/>
                <w:sz w:val="18"/>
                <w:szCs w:val="18"/>
              </w:rPr>
              <w:t>(2.2</w:t>
            </w:r>
            <w:r w:rsidR="007152AB" w:rsidRPr="00BC7BB5">
              <w:rPr>
                <w:rFonts w:ascii="Times New Roman" w:hAnsi="Times New Roman" w:cs="Times New Roman"/>
                <w:sz w:val="18"/>
                <w:szCs w:val="18"/>
              </w:rPr>
              <w:t>) US$5 million for publishing the amended Law (Official Bulletin)</w:t>
            </w:r>
          </w:p>
          <w:p w14:paraId="3031EC3C" w14:textId="34D47ADF" w:rsidR="007152AB" w:rsidRPr="00BC7BB5" w:rsidRDefault="00F47017" w:rsidP="007152AB">
            <w:pPr>
              <w:spacing w:after="120"/>
              <w:rPr>
                <w:rFonts w:ascii="Times New Roman" w:hAnsi="Times New Roman" w:cs="Times New Roman"/>
                <w:sz w:val="18"/>
                <w:szCs w:val="18"/>
              </w:rPr>
            </w:pPr>
            <w:r>
              <w:rPr>
                <w:rFonts w:ascii="Times New Roman" w:hAnsi="Times New Roman" w:cs="Times New Roman"/>
                <w:sz w:val="18"/>
                <w:szCs w:val="18"/>
              </w:rPr>
              <w:t>(2.3) US$3</w:t>
            </w:r>
            <w:r w:rsidR="007152AB" w:rsidRPr="00BC7BB5">
              <w:rPr>
                <w:rFonts w:ascii="Times New Roman" w:hAnsi="Times New Roman" w:cs="Times New Roman"/>
                <w:sz w:val="18"/>
                <w:szCs w:val="18"/>
              </w:rPr>
              <w:t xml:space="preserve"> million for publishing the related implementation Decree and </w:t>
            </w:r>
            <w:r w:rsidR="00B656F6">
              <w:rPr>
                <w:rFonts w:ascii="Times New Roman" w:hAnsi="Times New Roman" w:cs="Times New Roman"/>
                <w:i/>
                <w:sz w:val="18"/>
                <w:szCs w:val="18"/>
              </w:rPr>
              <w:t>arrêté</w:t>
            </w:r>
            <w:r w:rsidR="007152AB" w:rsidRPr="00BC7BB5">
              <w:rPr>
                <w:rFonts w:ascii="Times New Roman" w:hAnsi="Times New Roman" w:cs="Times New Roman"/>
                <w:sz w:val="18"/>
                <w:szCs w:val="18"/>
              </w:rPr>
              <w:t xml:space="preserve"> (Official Bulletin)</w:t>
            </w:r>
          </w:p>
        </w:tc>
      </w:tr>
      <w:tr w:rsidR="007152AB" w:rsidRPr="00BC7BB5" w14:paraId="3EED7607" w14:textId="77777777" w:rsidTr="00CB471A">
        <w:tc>
          <w:tcPr>
            <w:tcW w:w="292" w:type="pct"/>
            <w:vAlign w:val="center"/>
          </w:tcPr>
          <w:p w14:paraId="725C14B3" w14:textId="77777777" w:rsidR="007152AB" w:rsidRPr="00BC7BB5" w:rsidRDefault="007152AB" w:rsidP="007152AB">
            <w:pPr>
              <w:pStyle w:val="MainParanoChapter-Ch3"/>
              <w:spacing w:before="100" w:beforeAutospacing="1" w:after="120"/>
              <w:ind w:left="360"/>
              <w:jc w:val="center"/>
              <w:rPr>
                <w:sz w:val="18"/>
                <w:szCs w:val="18"/>
              </w:rPr>
            </w:pPr>
          </w:p>
        </w:tc>
        <w:tc>
          <w:tcPr>
            <w:tcW w:w="1270" w:type="pct"/>
            <w:vAlign w:val="center"/>
          </w:tcPr>
          <w:p w14:paraId="5193126F" w14:textId="71B57660" w:rsidR="007152AB" w:rsidRPr="00BC7BB5" w:rsidRDefault="007152AB" w:rsidP="007152AB">
            <w:pPr>
              <w:pStyle w:val="ListParagraph"/>
              <w:spacing w:before="100" w:beforeAutospacing="1" w:after="120"/>
              <w:ind w:left="0"/>
              <w:rPr>
                <w:rFonts w:ascii="Times New Roman" w:hAnsi="Times New Roman" w:cs="Times New Roman"/>
                <w:sz w:val="18"/>
                <w:szCs w:val="18"/>
              </w:rPr>
            </w:pPr>
            <w:r w:rsidRPr="00BC7BB5">
              <w:rPr>
                <w:rFonts w:ascii="Times New Roman" w:hAnsi="Times New Roman" w:cs="Times New Roman"/>
                <w:sz w:val="18"/>
                <w:szCs w:val="18"/>
              </w:rPr>
              <w:t>Number of new</w:t>
            </w:r>
            <w:r w:rsidR="000B1C93">
              <w:rPr>
                <w:rFonts w:ascii="Times New Roman" w:hAnsi="Times New Roman" w:cs="Times New Roman"/>
                <w:sz w:val="18"/>
                <w:szCs w:val="18"/>
              </w:rPr>
              <w:t>/</w:t>
            </w:r>
            <w:r w:rsidRPr="00BC7BB5">
              <w:rPr>
                <w:rFonts w:ascii="Times New Roman" w:hAnsi="Times New Roman" w:cs="Times New Roman"/>
                <w:sz w:val="18"/>
                <w:szCs w:val="18"/>
              </w:rPr>
              <w:t xml:space="preserve">upgraded conditioning, </w:t>
            </w:r>
            <w:r>
              <w:rPr>
                <w:rFonts w:ascii="Times New Roman" w:hAnsi="Times New Roman" w:cs="Times New Roman"/>
                <w:sz w:val="18"/>
                <w:szCs w:val="18"/>
              </w:rPr>
              <w:t xml:space="preserve">cold </w:t>
            </w:r>
            <w:r w:rsidRPr="00BC7BB5">
              <w:rPr>
                <w:rFonts w:ascii="Times New Roman" w:hAnsi="Times New Roman" w:cs="Times New Roman"/>
                <w:sz w:val="18"/>
                <w:szCs w:val="18"/>
              </w:rPr>
              <w:t>storage and</w:t>
            </w:r>
            <w:r>
              <w:rPr>
                <w:rFonts w:ascii="Times New Roman" w:hAnsi="Times New Roman" w:cs="Times New Roman"/>
                <w:sz w:val="18"/>
                <w:szCs w:val="18"/>
              </w:rPr>
              <w:t>/or</w:t>
            </w:r>
            <w:r w:rsidRPr="00BC7BB5">
              <w:rPr>
                <w:rFonts w:ascii="Times New Roman" w:hAnsi="Times New Roman" w:cs="Times New Roman"/>
                <w:sz w:val="18"/>
                <w:szCs w:val="18"/>
              </w:rPr>
              <w:t xml:space="preserve"> processing units </w:t>
            </w:r>
            <w:r>
              <w:rPr>
                <w:rFonts w:ascii="Times New Roman" w:hAnsi="Times New Roman" w:cs="Times New Roman"/>
                <w:sz w:val="18"/>
                <w:szCs w:val="18"/>
              </w:rPr>
              <w:t>in selected agri-food value chains under operation</w:t>
            </w:r>
          </w:p>
        </w:tc>
        <w:tc>
          <w:tcPr>
            <w:tcW w:w="390" w:type="pct"/>
            <w:vAlign w:val="center"/>
          </w:tcPr>
          <w:p w14:paraId="12370C76" w14:textId="6F7AE696" w:rsidR="007152AB" w:rsidRPr="00BC7BB5" w:rsidRDefault="00F47017" w:rsidP="007152AB">
            <w:pPr>
              <w:spacing w:before="100" w:beforeAutospacing="1" w:after="120"/>
              <w:rPr>
                <w:rFonts w:ascii="Times New Roman" w:hAnsi="Times New Roman" w:cs="Times New Roman"/>
                <w:sz w:val="18"/>
                <w:szCs w:val="18"/>
              </w:rPr>
            </w:pPr>
            <w:r>
              <w:rPr>
                <w:rFonts w:ascii="Times New Roman" w:hAnsi="Times New Roman" w:cs="Times New Roman"/>
                <w:sz w:val="18"/>
                <w:szCs w:val="18"/>
              </w:rPr>
              <w:t>70</w:t>
            </w:r>
            <w:r w:rsidR="007152AB" w:rsidRPr="00BC7BB5">
              <w:rPr>
                <w:rFonts w:ascii="Times New Roman" w:hAnsi="Times New Roman" w:cs="Times New Roman"/>
                <w:sz w:val="18"/>
                <w:szCs w:val="18"/>
              </w:rPr>
              <w:t>.0</w:t>
            </w:r>
          </w:p>
        </w:tc>
        <w:tc>
          <w:tcPr>
            <w:tcW w:w="454" w:type="pct"/>
            <w:vAlign w:val="center"/>
          </w:tcPr>
          <w:p w14:paraId="64E5C010" w14:textId="77777777" w:rsidR="007152AB" w:rsidRPr="00BC7BB5" w:rsidRDefault="007152AB" w:rsidP="007152AB">
            <w:pPr>
              <w:spacing w:before="100" w:beforeAutospacing="1" w:after="120"/>
              <w:rPr>
                <w:rFonts w:ascii="Times New Roman" w:hAnsi="Times New Roman" w:cs="Times New Roman"/>
                <w:sz w:val="18"/>
                <w:szCs w:val="18"/>
              </w:rPr>
            </w:pPr>
            <w:r w:rsidRPr="00BC7BB5">
              <w:rPr>
                <w:rFonts w:ascii="Times New Roman" w:hAnsi="Times New Roman" w:cs="Times New Roman"/>
                <w:sz w:val="18"/>
                <w:szCs w:val="18"/>
              </w:rPr>
              <w:t>December 31, 2022</w:t>
            </w:r>
          </w:p>
        </w:tc>
        <w:tc>
          <w:tcPr>
            <w:tcW w:w="576" w:type="pct"/>
            <w:vAlign w:val="center"/>
          </w:tcPr>
          <w:p w14:paraId="5D0624AA" w14:textId="77777777" w:rsidR="007152AB" w:rsidRPr="00BC7BB5" w:rsidRDefault="007152AB" w:rsidP="007152AB">
            <w:pPr>
              <w:spacing w:before="100" w:beforeAutospacing="1" w:after="120"/>
              <w:rPr>
                <w:rFonts w:ascii="Times New Roman" w:hAnsi="Times New Roman" w:cs="Times New Roman"/>
                <w:sz w:val="18"/>
                <w:szCs w:val="18"/>
              </w:rPr>
            </w:pPr>
            <w:r w:rsidRPr="00BC7BB5">
              <w:rPr>
                <w:rFonts w:ascii="Times New Roman" w:hAnsi="Times New Roman" w:cs="Times New Roman"/>
                <w:sz w:val="18"/>
                <w:szCs w:val="18"/>
              </w:rPr>
              <w:t>5</w:t>
            </w:r>
          </w:p>
        </w:tc>
        <w:tc>
          <w:tcPr>
            <w:tcW w:w="506" w:type="pct"/>
            <w:vAlign w:val="center"/>
          </w:tcPr>
          <w:p w14:paraId="4FB97B74" w14:textId="77777777" w:rsidR="007152AB" w:rsidRPr="00BC7BB5" w:rsidRDefault="007152AB" w:rsidP="007152AB">
            <w:pPr>
              <w:spacing w:before="100" w:beforeAutospacing="1" w:after="120"/>
              <w:rPr>
                <w:rFonts w:ascii="Times New Roman" w:hAnsi="Times New Roman" w:cs="Times New Roman"/>
                <w:sz w:val="18"/>
                <w:szCs w:val="18"/>
                <w:highlight w:val="yellow"/>
              </w:rPr>
            </w:pPr>
            <w:r w:rsidRPr="00BC7BB5">
              <w:rPr>
                <w:rFonts w:ascii="Times New Roman" w:hAnsi="Times New Roman" w:cs="Times New Roman"/>
                <w:sz w:val="18"/>
                <w:szCs w:val="18"/>
              </w:rPr>
              <w:t>70</w:t>
            </w:r>
          </w:p>
        </w:tc>
        <w:tc>
          <w:tcPr>
            <w:tcW w:w="1512" w:type="pct"/>
            <w:vAlign w:val="center"/>
          </w:tcPr>
          <w:p w14:paraId="19C1E7FC" w14:textId="768FAB37" w:rsidR="007152AB" w:rsidRPr="00B738F0" w:rsidRDefault="007152AB" w:rsidP="007152AB">
            <w:pPr>
              <w:spacing w:before="100" w:beforeAutospacing="1" w:after="120"/>
              <w:rPr>
                <w:rFonts w:ascii="Times New Roman" w:hAnsi="Times New Roman" w:cs="Times New Roman"/>
                <w:sz w:val="18"/>
                <w:szCs w:val="18"/>
                <w:highlight w:val="yellow"/>
              </w:rPr>
            </w:pPr>
            <w:r w:rsidRPr="00B738F0">
              <w:rPr>
                <w:rFonts w:ascii="Times New Roman" w:hAnsi="Times New Roman" w:cs="Times New Roman"/>
                <w:sz w:val="18"/>
                <w:szCs w:val="18"/>
              </w:rPr>
              <w:t xml:space="preserve">For each new/upgraded unit for conditioning, </w:t>
            </w:r>
            <w:r w:rsidR="00F47017">
              <w:rPr>
                <w:rFonts w:ascii="Times New Roman" w:hAnsi="Times New Roman" w:cs="Times New Roman"/>
                <w:sz w:val="18"/>
                <w:szCs w:val="18"/>
              </w:rPr>
              <w:t xml:space="preserve">cold </w:t>
            </w:r>
            <w:r w:rsidRPr="00B738F0">
              <w:rPr>
                <w:rFonts w:ascii="Times New Roman" w:hAnsi="Times New Roman" w:cs="Times New Roman"/>
                <w:sz w:val="18"/>
                <w:szCs w:val="18"/>
              </w:rPr>
              <w:t>storage and</w:t>
            </w:r>
            <w:r w:rsidR="000B1C93">
              <w:rPr>
                <w:rFonts w:ascii="Times New Roman" w:hAnsi="Times New Roman" w:cs="Times New Roman"/>
                <w:sz w:val="18"/>
                <w:szCs w:val="18"/>
              </w:rPr>
              <w:t>/</w:t>
            </w:r>
            <w:r w:rsidR="00F47017">
              <w:rPr>
                <w:rFonts w:ascii="Times New Roman" w:hAnsi="Times New Roman" w:cs="Times New Roman"/>
                <w:sz w:val="18"/>
                <w:szCs w:val="18"/>
              </w:rPr>
              <w:t>or</w:t>
            </w:r>
            <w:r w:rsidRPr="00B738F0">
              <w:rPr>
                <w:rFonts w:ascii="Times New Roman" w:hAnsi="Times New Roman" w:cs="Times New Roman"/>
                <w:sz w:val="18"/>
                <w:szCs w:val="18"/>
              </w:rPr>
              <w:t xml:space="preserve"> processing in </w:t>
            </w:r>
            <w:r w:rsidR="000B1C93">
              <w:rPr>
                <w:rFonts w:ascii="Times New Roman" w:hAnsi="Times New Roman" w:cs="Times New Roman"/>
                <w:sz w:val="18"/>
                <w:szCs w:val="18"/>
              </w:rPr>
              <w:t>s</w:t>
            </w:r>
            <w:r w:rsidRPr="00B738F0">
              <w:rPr>
                <w:rFonts w:ascii="Times New Roman" w:hAnsi="Times New Roman" w:cs="Times New Roman"/>
                <w:sz w:val="18"/>
                <w:szCs w:val="18"/>
              </w:rPr>
              <w:t xml:space="preserve">elected </w:t>
            </w:r>
            <w:r w:rsidR="000B1C93">
              <w:rPr>
                <w:rFonts w:ascii="Times New Roman" w:hAnsi="Times New Roman" w:cs="Times New Roman"/>
                <w:sz w:val="18"/>
                <w:szCs w:val="18"/>
              </w:rPr>
              <w:t>a</w:t>
            </w:r>
            <w:r w:rsidRPr="00B738F0">
              <w:rPr>
                <w:rFonts w:ascii="Times New Roman" w:hAnsi="Times New Roman" w:cs="Times New Roman"/>
                <w:sz w:val="18"/>
                <w:szCs w:val="18"/>
              </w:rPr>
              <w:t xml:space="preserve">gri-food </w:t>
            </w:r>
            <w:r w:rsidR="000B1C93">
              <w:rPr>
                <w:rFonts w:ascii="Times New Roman" w:hAnsi="Times New Roman" w:cs="Times New Roman"/>
                <w:sz w:val="18"/>
                <w:szCs w:val="18"/>
              </w:rPr>
              <w:t>v</w:t>
            </w:r>
            <w:r w:rsidRPr="00B738F0">
              <w:rPr>
                <w:rFonts w:ascii="Times New Roman" w:hAnsi="Times New Roman" w:cs="Times New Roman"/>
                <w:sz w:val="18"/>
                <w:szCs w:val="18"/>
              </w:rPr>
              <w:t xml:space="preserve">alue </w:t>
            </w:r>
            <w:r w:rsidR="000B1C93">
              <w:rPr>
                <w:rFonts w:ascii="Times New Roman" w:hAnsi="Times New Roman" w:cs="Times New Roman"/>
                <w:sz w:val="18"/>
                <w:szCs w:val="18"/>
              </w:rPr>
              <w:t>c</w:t>
            </w:r>
            <w:r w:rsidRPr="00B738F0">
              <w:rPr>
                <w:rFonts w:ascii="Times New Roman" w:hAnsi="Times New Roman" w:cs="Times New Roman"/>
                <w:sz w:val="18"/>
                <w:szCs w:val="18"/>
              </w:rPr>
              <w:t>hains receiv</w:t>
            </w:r>
            <w:r w:rsidR="00F47017">
              <w:rPr>
                <w:rFonts w:ascii="Times New Roman" w:hAnsi="Times New Roman" w:cs="Times New Roman"/>
                <w:sz w:val="18"/>
                <w:szCs w:val="18"/>
              </w:rPr>
              <w:t>ing FDA incentives</w:t>
            </w:r>
            <w:r w:rsidR="000B1C93">
              <w:rPr>
                <w:rFonts w:ascii="Times New Roman" w:hAnsi="Times New Roman" w:cs="Times New Roman"/>
                <w:sz w:val="18"/>
                <w:szCs w:val="18"/>
              </w:rPr>
              <w:t xml:space="preserve"> to operate</w:t>
            </w:r>
            <w:r w:rsidR="00F47017">
              <w:rPr>
                <w:rFonts w:ascii="Times New Roman" w:hAnsi="Times New Roman" w:cs="Times New Roman"/>
                <w:sz w:val="18"/>
                <w:szCs w:val="18"/>
              </w:rPr>
              <w:t xml:space="preserve">, </w:t>
            </w:r>
            <w:r w:rsidR="000B1C93">
              <w:rPr>
                <w:rFonts w:ascii="Times New Roman" w:hAnsi="Times New Roman" w:cs="Times New Roman"/>
                <w:sz w:val="18"/>
                <w:szCs w:val="18"/>
              </w:rPr>
              <w:t>US$</w:t>
            </w:r>
            <w:r w:rsidR="00F47017">
              <w:rPr>
                <w:rFonts w:ascii="Times New Roman" w:hAnsi="Times New Roman" w:cs="Times New Roman"/>
                <w:sz w:val="18"/>
                <w:szCs w:val="18"/>
              </w:rPr>
              <w:t>1,000,000</w:t>
            </w:r>
            <w:r w:rsidR="000B1C93">
              <w:rPr>
                <w:rFonts w:ascii="Times New Roman" w:hAnsi="Times New Roman" w:cs="Times New Roman"/>
                <w:sz w:val="18"/>
                <w:szCs w:val="18"/>
              </w:rPr>
              <w:t xml:space="preserve"> may be made available for withdrawal by the Borrower</w:t>
            </w:r>
            <w:r w:rsidR="00F47017">
              <w:rPr>
                <w:rFonts w:ascii="Times New Roman" w:hAnsi="Times New Roman" w:cs="Times New Roman"/>
                <w:sz w:val="18"/>
                <w:szCs w:val="18"/>
                <w:lang w:val="nn-NO"/>
              </w:rPr>
              <w:t>, up to USD 70</w:t>
            </w:r>
            <w:r w:rsidRPr="00B738F0">
              <w:rPr>
                <w:rFonts w:ascii="Times New Roman" w:hAnsi="Times New Roman" w:cs="Times New Roman"/>
                <w:sz w:val="18"/>
                <w:szCs w:val="18"/>
                <w:lang w:val="nn-NO"/>
              </w:rPr>
              <w:t xml:space="preserve">,000,000, with a minimum threshold of five (5) new/upgraded units having received FDA incentives </w:t>
            </w:r>
          </w:p>
        </w:tc>
      </w:tr>
      <w:tr w:rsidR="007152AB" w:rsidRPr="00BC7BB5" w14:paraId="0A09B2E2" w14:textId="77777777" w:rsidTr="00CB471A">
        <w:tc>
          <w:tcPr>
            <w:tcW w:w="292" w:type="pct"/>
            <w:vAlign w:val="center"/>
          </w:tcPr>
          <w:p w14:paraId="36D5CF53" w14:textId="77777777" w:rsidR="007152AB" w:rsidRPr="00BC7BB5" w:rsidRDefault="007152AB" w:rsidP="007152AB">
            <w:pPr>
              <w:pStyle w:val="MainParanoChapter-Ch3"/>
              <w:numPr>
                <w:ilvl w:val="0"/>
                <w:numId w:val="0"/>
              </w:numPr>
              <w:ind w:left="720" w:hanging="650"/>
              <w:jc w:val="left"/>
              <w:rPr>
                <w:sz w:val="18"/>
                <w:szCs w:val="18"/>
              </w:rPr>
            </w:pPr>
            <w:r w:rsidRPr="00BC7BB5">
              <w:rPr>
                <w:sz w:val="18"/>
                <w:szCs w:val="18"/>
              </w:rPr>
              <w:t>4.</w:t>
            </w:r>
          </w:p>
        </w:tc>
        <w:tc>
          <w:tcPr>
            <w:tcW w:w="1270" w:type="pct"/>
            <w:vAlign w:val="center"/>
          </w:tcPr>
          <w:p w14:paraId="3367189D" w14:textId="7ED5CAB0" w:rsidR="007152AB" w:rsidRPr="00BC7BB5" w:rsidRDefault="007152AB" w:rsidP="007152AB">
            <w:pPr>
              <w:pStyle w:val="ListParagraph"/>
              <w:spacing w:after="120"/>
              <w:ind w:left="0"/>
              <w:rPr>
                <w:rFonts w:ascii="Times New Roman" w:hAnsi="Times New Roman" w:cs="Times New Roman"/>
                <w:sz w:val="18"/>
                <w:szCs w:val="18"/>
              </w:rPr>
            </w:pPr>
            <w:r w:rsidRPr="00BC7BB5">
              <w:rPr>
                <w:rFonts w:ascii="Times New Roman" w:hAnsi="Times New Roman" w:cs="Times New Roman"/>
                <w:sz w:val="18"/>
                <w:szCs w:val="18"/>
              </w:rPr>
              <w:t>At least one wholesale market operating and applying the new management model</w:t>
            </w:r>
            <w:r w:rsidR="000B1C93">
              <w:rPr>
                <w:rFonts w:ascii="Times New Roman" w:hAnsi="Times New Roman" w:cs="Times New Roman"/>
                <w:sz w:val="18"/>
                <w:szCs w:val="18"/>
              </w:rPr>
              <w:t xml:space="preserve"> as defined in the POM</w:t>
            </w:r>
            <w:r w:rsidRPr="00BC7BB5">
              <w:rPr>
                <w:rFonts w:ascii="Times New Roman" w:hAnsi="Times New Roman" w:cs="Times New Roman"/>
                <w:sz w:val="18"/>
                <w:szCs w:val="18"/>
              </w:rPr>
              <w:t xml:space="preserve">: </w:t>
            </w:r>
          </w:p>
          <w:p w14:paraId="15280F96" w14:textId="77777777" w:rsidR="007152AB" w:rsidRPr="00BC7BB5" w:rsidRDefault="007152AB" w:rsidP="007152AB">
            <w:pPr>
              <w:pStyle w:val="ListParagraph"/>
              <w:ind w:left="0"/>
              <w:rPr>
                <w:rFonts w:ascii="Times New Roman" w:hAnsi="Times New Roman" w:cs="Times New Roman"/>
                <w:sz w:val="18"/>
                <w:szCs w:val="18"/>
              </w:rPr>
            </w:pPr>
            <w:r>
              <w:rPr>
                <w:rFonts w:ascii="Times New Roman" w:hAnsi="Times New Roman" w:cs="Times New Roman"/>
                <w:sz w:val="18"/>
                <w:szCs w:val="18"/>
              </w:rPr>
              <w:t xml:space="preserve">4.1 </w:t>
            </w:r>
            <w:r w:rsidRPr="00BC7BB5">
              <w:rPr>
                <w:rFonts w:ascii="Times New Roman" w:hAnsi="Times New Roman" w:cs="Times New Roman"/>
                <w:sz w:val="18"/>
                <w:szCs w:val="18"/>
              </w:rPr>
              <w:t>SDL</w:t>
            </w:r>
            <w:r>
              <w:rPr>
                <w:rFonts w:ascii="Times New Roman" w:hAnsi="Times New Roman" w:cs="Times New Roman"/>
                <w:sz w:val="18"/>
                <w:szCs w:val="18"/>
              </w:rPr>
              <w:t>/SDR</w:t>
            </w:r>
            <w:r w:rsidRPr="00BC7BB5">
              <w:rPr>
                <w:rFonts w:ascii="Times New Roman" w:hAnsi="Times New Roman" w:cs="Times New Roman"/>
                <w:sz w:val="18"/>
                <w:szCs w:val="18"/>
              </w:rPr>
              <w:t xml:space="preserve"> established</w:t>
            </w:r>
            <w:r>
              <w:rPr>
                <w:rFonts w:ascii="Times New Roman" w:hAnsi="Times New Roman" w:cs="Times New Roman"/>
                <w:sz w:val="18"/>
                <w:szCs w:val="18"/>
              </w:rPr>
              <w:t xml:space="preserve"> and registered</w:t>
            </w:r>
          </w:p>
          <w:p w14:paraId="3CEAAB15" w14:textId="77777777" w:rsidR="007152AB" w:rsidRPr="00BC7BB5" w:rsidRDefault="007152AB" w:rsidP="007152AB">
            <w:pPr>
              <w:pStyle w:val="ListParagraph"/>
              <w:ind w:left="0"/>
              <w:rPr>
                <w:rFonts w:ascii="Times New Roman" w:hAnsi="Times New Roman" w:cs="Times New Roman"/>
                <w:sz w:val="18"/>
                <w:szCs w:val="18"/>
              </w:rPr>
            </w:pPr>
            <w:r>
              <w:rPr>
                <w:rFonts w:ascii="Times New Roman" w:hAnsi="Times New Roman" w:cs="Times New Roman"/>
                <w:sz w:val="18"/>
                <w:szCs w:val="18"/>
              </w:rPr>
              <w:t>4.2</w:t>
            </w:r>
            <w:r w:rsidRPr="00BC7BB5">
              <w:rPr>
                <w:rFonts w:ascii="Times New Roman" w:hAnsi="Times New Roman" w:cs="Times New Roman"/>
                <w:sz w:val="18"/>
                <w:szCs w:val="18"/>
              </w:rPr>
              <w:t xml:space="preserve"> </w:t>
            </w:r>
            <w:r>
              <w:rPr>
                <w:rFonts w:ascii="Times New Roman" w:hAnsi="Times New Roman" w:cs="Times New Roman"/>
                <w:sz w:val="18"/>
                <w:szCs w:val="18"/>
              </w:rPr>
              <w:t>Wholesale market constructed and fully equipped</w:t>
            </w:r>
            <w:r w:rsidRPr="00BC7BB5">
              <w:rPr>
                <w:rFonts w:ascii="Times New Roman" w:hAnsi="Times New Roman" w:cs="Times New Roman"/>
                <w:sz w:val="18"/>
                <w:szCs w:val="18"/>
              </w:rPr>
              <w:t xml:space="preserve">  </w:t>
            </w:r>
          </w:p>
          <w:p w14:paraId="4468E412" w14:textId="7A2E34E3" w:rsidR="007152AB" w:rsidRPr="00BC7BB5" w:rsidRDefault="007152AB" w:rsidP="007152AB">
            <w:pPr>
              <w:pStyle w:val="ListParagraph"/>
              <w:ind w:left="0"/>
              <w:rPr>
                <w:rFonts w:ascii="Times New Roman" w:hAnsi="Times New Roman" w:cs="Times New Roman"/>
                <w:sz w:val="18"/>
                <w:szCs w:val="18"/>
              </w:rPr>
            </w:pPr>
            <w:r>
              <w:rPr>
                <w:rFonts w:ascii="Times New Roman" w:hAnsi="Times New Roman" w:cs="Times New Roman"/>
                <w:sz w:val="18"/>
                <w:szCs w:val="18"/>
              </w:rPr>
              <w:t xml:space="preserve">4.3 </w:t>
            </w:r>
            <w:r w:rsidR="000B1C93">
              <w:rPr>
                <w:rFonts w:ascii="Times New Roman" w:hAnsi="Times New Roman" w:cs="Times New Roman"/>
                <w:sz w:val="18"/>
                <w:szCs w:val="18"/>
              </w:rPr>
              <w:t>New wholes</w:t>
            </w:r>
            <w:r w:rsidR="000B1C93" w:rsidRPr="00BC7BB5">
              <w:rPr>
                <w:rFonts w:ascii="Times New Roman" w:hAnsi="Times New Roman" w:cs="Times New Roman"/>
                <w:sz w:val="18"/>
                <w:szCs w:val="18"/>
              </w:rPr>
              <w:t>a</w:t>
            </w:r>
            <w:r w:rsidR="000B1C93">
              <w:rPr>
                <w:rFonts w:ascii="Times New Roman" w:hAnsi="Times New Roman" w:cs="Times New Roman"/>
                <w:sz w:val="18"/>
                <w:szCs w:val="18"/>
              </w:rPr>
              <w:t xml:space="preserve">le </w:t>
            </w:r>
            <w:r>
              <w:rPr>
                <w:rFonts w:ascii="Times New Roman" w:hAnsi="Times New Roman" w:cs="Times New Roman"/>
                <w:sz w:val="18"/>
                <w:szCs w:val="18"/>
              </w:rPr>
              <w:t>ma</w:t>
            </w:r>
            <w:r w:rsidRPr="00BC7BB5">
              <w:rPr>
                <w:rFonts w:ascii="Times New Roman" w:hAnsi="Times New Roman" w:cs="Times New Roman"/>
                <w:sz w:val="18"/>
                <w:szCs w:val="18"/>
              </w:rPr>
              <w:t xml:space="preserve">rket </w:t>
            </w:r>
            <w:r>
              <w:rPr>
                <w:rFonts w:ascii="Times New Roman" w:hAnsi="Times New Roman" w:cs="Times New Roman"/>
                <w:sz w:val="18"/>
                <w:szCs w:val="18"/>
              </w:rPr>
              <w:t xml:space="preserve">is fully operational </w:t>
            </w:r>
          </w:p>
        </w:tc>
        <w:tc>
          <w:tcPr>
            <w:tcW w:w="390" w:type="pct"/>
            <w:vAlign w:val="center"/>
          </w:tcPr>
          <w:p w14:paraId="07026C5F" w14:textId="77777777" w:rsidR="007152AB" w:rsidRPr="00BC7BB5" w:rsidRDefault="007152AB" w:rsidP="007152AB">
            <w:pPr>
              <w:rPr>
                <w:rFonts w:ascii="Times New Roman" w:hAnsi="Times New Roman" w:cs="Times New Roman"/>
                <w:sz w:val="18"/>
                <w:szCs w:val="18"/>
              </w:rPr>
            </w:pPr>
          </w:p>
          <w:p w14:paraId="03042639" w14:textId="292F3447" w:rsidR="007152AB" w:rsidRPr="00BC7BB5" w:rsidRDefault="00F47017" w:rsidP="007152AB">
            <w:pPr>
              <w:rPr>
                <w:rFonts w:ascii="Times New Roman" w:hAnsi="Times New Roman" w:cs="Times New Roman"/>
                <w:sz w:val="18"/>
                <w:szCs w:val="18"/>
              </w:rPr>
            </w:pPr>
            <w:r>
              <w:rPr>
                <w:rFonts w:ascii="Times New Roman" w:hAnsi="Times New Roman" w:cs="Times New Roman"/>
                <w:sz w:val="18"/>
                <w:szCs w:val="18"/>
              </w:rPr>
              <w:t>34.5</w:t>
            </w:r>
          </w:p>
        </w:tc>
        <w:tc>
          <w:tcPr>
            <w:tcW w:w="454" w:type="pct"/>
            <w:vAlign w:val="center"/>
          </w:tcPr>
          <w:p w14:paraId="513B048A" w14:textId="77777777" w:rsidR="007152AB" w:rsidRPr="00BC7BB5" w:rsidRDefault="007152AB" w:rsidP="007152AB">
            <w:pPr>
              <w:rPr>
                <w:rFonts w:ascii="Times New Roman" w:hAnsi="Times New Roman" w:cs="Times New Roman"/>
                <w:sz w:val="18"/>
                <w:szCs w:val="18"/>
              </w:rPr>
            </w:pPr>
            <w:r w:rsidRPr="00BC7BB5">
              <w:rPr>
                <w:rFonts w:ascii="Times New Roman" w:hAnsi="Times New Roman" w:cs="Times New Roman"/>
                <w:sz w:val="18"/>
                <w:szCs w:val="18"/>
              </w:rPr>
              <w:t>December 31, 2022</w:t>
            </w:r>
          </w:p>
        </w:tc>
        <w:tc>
          <w:tcPr>
            <w:tcW w:w="576" w:type="pct"/>
            <w:vAlign w:val="center"/>
          </w:tcPr>
          <w:p w14:paraId="602A05F0" w14:textId="77777777" w:rsidR="007152AB" w:rsidRPr="00BC7BB5" w:rsidRDefault="007152AB" w:rsidP="007152AB">
            <w:pPr>
              <w:rPr>
                <w:rFonts w:ascii="Times New Roman" w:hAnsi="Times New Roman" w:cs="Times New Roman"/>
                <w:sz w:val="18"/>
                <w:szCs w:val="18"/>
              </w:rPr>
            </w:pPr>
            <w:r w:rsidRPr="00BC7BB5">
              <w:rPr>
                <w:rFonts w:ascii="Times New Roman" w:hAnsi="Times New Roman" w:cs="Times New Roman"/>
                <w:sz w:val="18"/>
                <w:szCs w:val="18"/>
              </w:rPr>
              <w:t>4.1 Yes</w:t>
            </w:r>
          </w:p>
          <w:p w14:paraId="4732B6EE" w14:textId="77777777" w:rsidR="007152AB" w:rsidRPr="00BC7BB5" w:rsidRDefault="007152AB" w:rsidP="007152AB">
            <w:pPr>
              <w:rPr>
                <w:rFonts w:ascii="Times New Roman" w:hAnsi="Times New Roman" w:cs="Times New Roman"/>
                <w:sz w:val="18"/>
                <w:szCs w:val="18"/>
              </w:rPr>
            </w:pPr>
            <w:r w:rsidRPr="00BC7BB5">
              <w:rPr>
                <w:rFonts w:ascii="Times New Roman" w:hAnsi="Times New Roman" w:cs="Times New Roman"/>
                <w:sz w:val="18"/>
                <w:szCs w:val="18"/>
              </w:rPr>
              <w:t>4.2 Yes</w:t>
            </w:r>
          </w:p>
          <w:p w14:paraId="7FA0B421" w14:textId="77777777" w:rsidR="007152AB" w:rsidRPr="00BC7BB5" w:rsidRDefault="007152AB" w:rsidP="007152AB">
            <w:pPr>
              <w:rPr>
                <w:rFonts w:ascii="Times New Roman" w:hAnsi="Times New Roman" w:cs="Times New Roman"/>
                <w:sz w:val="18"/>
                <w:szCs w:val="18"/>
              </w:rPr>
            </w:pPr>
            <w:r w:rsidRPr="00BC7BB5">
              <w:rPr>
                <w:rFonts w:ascii="Times New Roman" w:hAnsi="Times New Roman" w:cs="Times New Roman"/>
                <w:sz w:val="18"/>
                <w:szCs w:val="18"/>
              </w:rPr>
              <w:t>4.3 Yes</w:t>
            </w:r>
          </w:p>
          <w:p w14:paraId="532B56DD" w14:textId="73F4C6E9" w:rsidR="007152AB" w:rsidRPr="00BC7BB5" w:rsidRDefault="007152AB" w:rsidP="007152AB">
            <w:pPr>
              <w:rPr>
                <w:rFonts w:ascii="Times New Roman" w:hAnsi="Times New Roman" w:cs="Times New Roman"/>
                <w:sz w:val="18"/>
                <w:szCs w:val="18"/>
              </w:rPr>
            </w:pPr>
          </w:p>
        </w:tc>
        <w:tc>
          <w:tcPr>
            <w:tcW w:w="506" w:type="pct"/>
            <w:vAlign w:val="center"/>
          </w:tcPr>
          <w:p w14:paraId="40B0464F" w14:textId="77777777" w:rsidR="007152AB" w:rsidRPr="00BC7BB5" w:rsidRDefault="007152AB" w:rsidP="007152AB">
            <w:pPr>
              <w:rPr>
                <w:rFonts w:ascii="Times New Roman" w:hAnsi="Times New Roman" w:cs="Times New Roman"/>
                <w:sz w:val="18"/>
                <w:szCs w:val="18"/>
              </w:rPr>
            </w:pPr>
            <w:r w:rsidRPr="00BC7BB5">
              <w:rPr>
                <w:rFonts w:ascii="Times New Roman" w:hAnsi="Times New Roman" w:cs="Times New Roman"/>
                <w:sz w:val="18"/>
                <w:szCs w:val="18"/>
              </w:rPr>
              <w:t>4.1 Yes</w:t>
            </w:r>
          </w:p>
          <w:p w14:paraId="45861F5D" w14:textId="77777777" w:rsidR="007152AB" w:rsidRPr="00BC7BB5" w:rsidRDefault="007152AB" w:rsidP="007152AB">
            <w:pPr>
              <w:rPr>
                <w:rFonts w:ascii="Times New Roman" w:hAnsi="Times New Roman" w:cs="Times New Roman"/>
                <w:sz w:val="18"/>
                <w:szCs w:val="18"/>
              </w:rPr>
            </w:pPr>
            <w:r w:rsidRPr="00BC7BB5">
              <w:rPr>
                <w:rFonts w:ascii="Times New Roman" w:hAnsi="Times New Roman" w:cs="Times New Roman"/>
                <w:sz w:val="18"/>
                <w:szCs w:val="18"/>
              </w:rPr>
              <w:t>4.2 Yes</w:t>
            </w:r>
          </w:p>
          <w:p w14:paraId="456E0462" w14:textId="77777777" w:rsidR="007152AB" w:rsidRPr="00BC7BB5" w:rsidRDefault="007152AB" w:rsidP="007152AB">
            <w:pPr>
              <w:rPr>
                <w:rFonts w:ascii="Times New Roman" w:hAnsi="Times New Roman" w:cs="Times New Roman"/>
                <w:sz w:val="18"/>
                <w:szCs w:val="18"/>
              </w:rPr>
            </w:pPr>
            <w:r w:rsidRPr="00BC7BB5">
              <w:rPr>
                <w:rFonts w:ascii="Times New Roman" w:hAnsi="Times New Roman" w:cs="Times New Roman"/>
                <w:sz w:val="18"/>
                <w:szCs w:val="18"/>
              </w:rPr>
              <w:t>4.3 Yes</w:t>
            </w:r>
          </w:p>
          <w:p w14:paraId="28AAF606" w14:textId="095C46B4" w:rsidR="007152AB" w:rsidRPr="00BC7BB5" w:rsidRDefault="007152AB" w:rsidP="007152AB">
            <w:pPr>
              <w:rPr>
                <w:rFonts w:ascii="Times New Roman" w:hAnsi="Times New Roman" w:cs="Times New Roman"/>
                <w:sz w:val="18"/>
                <w:szCs w:val="18"/>
              </w:rPr>
            </w:pPr>
          </w:p>
        </w:tc>
        <w:tc>
          <w:tcPr>
            <w:tcW w:w="1512" w:type="pct"/>
            <w:vAlign w:val="center"/>
          </w:tcPr>
          <w:p w14:paraId="2846046C" w14:textId="68214CA7" w:rsidR="007152AB" w:rsidRPr="00BC7BB5" w:rsidRDefault="007152AB" w:rsidP="007152AB">
            <w:pPr>
              <w:rPr>
                <w:rFonts w:ascii="Times New Roman" w:hAnsi="Times New Roman" w:cs="Times New Roman"/>
                <w:sz w:val="18"/>
                <w:szCs w:val="18"/>
              </w:rPr>
            </w:pPr>
            <w:r w:rsidRPr="00BC7BB5">
              <w:rPr>
                <w:rFonts w:ascii="Times New Roman" w:hAnsi="Times New Roman" w:cs="Times New Roman"/>
                <w:sz w:val="18"/>
                <w:szCs w:val="18"/>
              </w:rPr>
              <w:t xml:space="preserve"> </w:t>
            </w:r>
            <w:r>
              <w:rPr>
                <w:rFonts w:ascii="Times New Roman" w:hAnsi="Times New Roman" w:cs="Times New Roman"/>
                <w:sz w:val="18"/>
                <w:szCs w:val="18"/>
              </w:rPr>
              <w:t>(4.1</w:t>
            </w:r>
            <w:r w:rsidRPr="00BC7BB5">
              <w:rPr>
                <w:rFonts w:ascii="Times New Roman" w:hAnsi="Times New Roman" w:cs="Times New Roman"/>
                <w:sz w:val="18"/>
                <w:szCs w:val="18"/>
              </w:rPr>
              <w:t>) US$10 million for establishing</w:t>
            </w:r>
            <w:r>
              <w:rPr>
                <w:rFonts w:ascii="Times New Roman" w:hAnsi="Times New Roman" w:cs="Times New Roman"/>
                <w:sz w:val="18"/>
                <w:szCs w:val="18"/>
              </w:rPr>
              <w:t xml:space="preserve"> and registering </w:t>
            </w:r>
            <w:r w:rsidRPr="00BC7BB5">
              <w:rPr>
                <w:rFonts w:ascii="Times New Roman" w:hAnsi="Times New Roman" w:cs="Times New Roman"/>
                <w:sz w:val="18"/>
                <w:szCs w:val="18"/>
              </w:rPr>
              <w:t>the SDL</w:t>
            </w:r>
            <w:r w:rsidR="00F47017">
              <w:rPr>
                <w:rFonts w:ascii="Times New Roman" w:hAnsi="Times New Roman" w:cs="Times New Roman"/>
                <w:sz w:val="18"/>
                <w:szCs w:val="18"/>
              </w:rPr>
              <w:t>/SDR</w:t>
            </w:r>
            <w:r w:rsidRPr="00BC7BB5">
              <w:rPr>
                <w:rFonts w:ascii="Times New Roman" w:hAnsi="Times New Roman" w:cs="Times New Roman"/>
                <w:sz w:val="18"/>
                <w:szCs w:val="18"/>
              </w:rPr>
              <w:t xml:space="preserve"> (management entity</w:t>
            </w:r>
            <w:r>
              <w:rPr>
                <w:rFonts w:ascii="Times New Roman" w:hAnsi="Times New Roman" w:cs="Times New Roman"/>
                <w:sz w:val="18"/>
                <w:szCs w:val="18"/>
              </w:rPr>
              <w:t>)</w:t>
            </w:r>
          </w:p>
          <w:p w14:paraId="212472BC" w14:textId="7AE8BFA3" w:rsidR="007152AB" w:rsidRPr="00BC7BB5" w:rsidRDefault="007152AB" w:rsidP="007152AB">
            <w:pPr>
              <w:rPr>
                <w:rFonts w:ascii="Times New Roman" w:hAnsi="Times New Roman" w:cs="Times New Roman"/>
                <w:sz w:val="18"/>
                <w:szCs w:val="18"/>
              </w:rPr>
            </w:pPr>
            <w:r>
              <w:rPr>
                <w:rFonts w:ascii="Times New Roman" w:hAnsi="Times New Roman" w:cs="Times New Roman"/>
                <w:sz w:val="18"/>
                <w:szCs w:val="18"/>
              </w:rPr>
              <w:t>(4.2</w:t>
            </w:r>
            <w:r w:rsidRPr="00BC7BB5">
              <w:rPr>
                <w:rFonts w:ascii="Times New Roman" w:hAnsi="Times New Roman" w:cs="Times New Roman"/>
                <w:sz w:val="18"/>
                <w:szCs w:val="18"/>
              </w:rPr>
              <w:t xml:space="preserve">) </w:t>
            </w:r>
            <w:r>
              <w:rPr>
                <w:rFonts w:ascii="Times New Roman" w:hAnsi="Times New Roman" w:cs="Times New Roman"/>
                <w:sz w:val="18"/>
                <w:szCs w:val="18"/>
              </w:rPr>
              <w:t>Following the establishment and registration of the SDL</w:t>
            </w:r>
            <w:r w:rsidR="000B1C93">
              <w:rPr>
                <w:rFonts w:ascii="Times New Roman" w:hAnsi="Times New Roman" w:cs="Times New Roman"/>
                <w:sz w:val="18"/>
                <w:szCs w:val="18"/>
              </w:rPr>
              <w:t>/SDR</w:t>
            </w:r>
            <w:r>
              <w:rPr>
                <w:rFonts w:ascii="Times New Roman" w:hAnsi="Times New Roman" w:cs="Times New Roman"/>
                <w:sz w:val="18"/>
                <w:szCs w:val="18"/>
              </w:rPr>
              <w:t xml:space="preserve"> referred to in </w:t>
            </w:r>
            <w:r w:rsidR="000B1C93">
              <w:rPr>
                <w:rFonts w:ascii="Times New Roman" w:hAnsi="Times New Roman" w:cs="Times New Roman"/>
                <w:sz w:val="18"/>
                <w:szCs w:val="18"/>
              </w:rPr>
              <w:t xml:space="preserve">DLR </w:t>
            </w:r>
            <w:r>
              <w:rPr>
                <w:rFonts w:ascii="Times New Roman" w:hAnsi="Times New Roman" w:cs="Times New Roman"/>
                <w:sz w:val="18"/>
                <w:szCs w:val="18"/>
              </w:rPr>
              <w:t xml:space="preserve">4.1, </w:t>
            </w:r>
            <w:r w:rsidR="00F47017">
              <w:rPr>
                <w:rFonts w:ascii="Times New Roman" w:hAnsi="Times New Roman" w:cs="Times New Roman"/>
                <w:sz w:val="18"/>
                <w:szCs w:val="18"/>
              </w:rPr>
              <w:t xml:space="preserve">US$12.5 </w:t>
            </w:r>
            <w:r w:rsidRPr="00BC7BB5">
              <w:rPr>
                <w:rFonts w:ascii="Times New Roman" w:hAnsi="Times New Roman" w:cs="Times New Roman"/>
                <w:sz w:val="18"/>
                <w:szCs w:val="18"/>
              </w:rPr>
              <w:t>million for finishing the construction and equipment of the market, no later than December 31, 2021</w:t>
            </w:r>
          </w:p>
          <w:p w14:paraId="0E52656D" w14:textId="6327AE83" w:rsidR="007152AB" w:rsidRPr="00BC7BB5" w:rsidRDefault="007152AB" w:rsidP="007152AB">
            <w:pPr>
              <w:rPr>
                <w:rFonts w:ascii="Times New Roman" w:hAnsi="Times New Roman" w:cs="Times New Roman"/>
                <w:sz w:val="18"/>
                <w:szCs w:val="18"/>
              </w:rPr>
            </w:pPr>
            <w:r>
              <w:rPr>
                <w:rFonts w:ascii="Times New Roman" w:hAnsi="Times New Roman" w:cs="Times New Roman"/>
                <w:sz w:val="18"/>
                <w:szCs w:val="18"/>
              </w:rPr>
              <w:t>(4.3</w:t>
            </w:r>
            <w:r w:rsidRPr="00BC7BB5">
              <w:rPr>
                <w:rFonts w:ascii="Times New Roman" w:hAnsi="Times New Roman" w:cs="Times New Roman"/>
                <w:sz w:val="18"/>
                <w:szCs w:val="18"/>
              </w:rPr>
              <w:t xml:space="preserve">) </w:t>
            </w:r>
            <w:r w:rsidRPr="00C62263">
              <w:rPr>
                <w:rFonts w:ascii="Times New Roman" w:hAnsi="Times New Roman" w:cs="Times New Roman"/>
                <w:sz w:val="18"/>
                <w:szCs w:val="18"/>
              </w:rPr>
              <w:t xml:space="preserve">Following the construction </w:t>
            </w:r>
            <w:r>
              <w:rPr>
                <w:rFonts w:ascii="Times New Roman" w:hAnsi="Times New Roman" w:cs="Times New Roman"/>
                <w:sz w:val="18"/>
                <w:szCs w:val="18"/>
              </w:rPr>
              <w:t>and full equipment of the whole</w:t>
            </w:r>
            <w:r w:rsidRPr="00C62263">
              <w:rPr>
                <w:rFonts w:ascii="Times New Roman" w:hAnsi="Times New Roman" w:cs="Times New Roman"/>
                <w:sz w:val="18"/>
                <w:szCs w:val="18"/>
              </w:rPr>
              <w:t>sa</w:t>
            </w:r>
            <w:r>
              <w:rPr>
                <w:rFonts w:ascii="Times New Roman" w:hAnsi="Times New Roman" w:cs="Times New Roman"/>
                <w:sz w:val="18"/>
                <w:szCs w:val="18"/>
              </w:rPr>
              <w:t xml:space="preserve">le market referred to in </w:t>
            </w:r>
            <w:r w:rsidR="000B1C93">
              <w:rPr>
                <w:rFonts w:ascii="Times New Roman" w:hAnsi="Times New Roman" w:cs="Times New Roman"/>
                <w:sz w:val="18"/>
                <w:szCs w:val="18"/>
              </w:rPr>
              <w:t xml:space="preserve">DLR </w:t>
            </w:r>
            <w:r w:rsidRPr="00C62263">
              <w:rPr>
                <w:rFonts w:ascii="Times New Roman" w:hAnsi="Times New Roman" w:cs="Times New Roman"/>
                <w:sz w:val="18"/>
                <w:szCs w:val="18"/>
              </w:rPr>
              <w:t>4.2</w:t>
            </w:r>
            <w:r>
              <w:rPr>
                <w:rFonts w:ascii="Times New Roman" w:hAnsi="Times New Roman" w:cs="Times New Roman"/>
                <w:sz w:val="18"/>
                <w:szCs w:val="18"/>
              </w:rPr>
              <w:t xml:space="preserve">, </w:t>
            </w:r>
            <w:r w:rsidRPr="00C62263">
              <w:rPr>
                <w:rFonts w:ascii="Times New Roman" w:hAnsi="Times New Roman" w:cs="Times New Roman"/>
                <w:sz w:val="18"/>
                <w:szCs w:val="18"/>
              </w:rPr>
              <w:t>US$</w:t>
            </w:r>
            <w:r w:rsidR="00F47017">
              <w:rPr>
                <w:rFonts w:ascii="Times New Roman" w:hAnsi="Times New Roman" w:cs="Times New Roman"/>
                <w:sz w:val="18"/>
                <w:szCs w:val="18"/>
              </w:rPr>
              <w:t>12</w:t>
            </w:r>
            <w:r w:rsidRPr="00BC7BB5">
              <w:rPr>
                <w:rFonts w:ascii="Times New Roman" w:hAnsi="Times New Roman" w:cs="Times New Roman"/>
                <w:sz w:val="18"/>
                <w:szCs w:val="18"/>
              </w:rPr>
              <w:t xml:space="preserve"> million for </w:t>
            </w:r>
            <w:r w:rsidR="000B1C93">
              <w:rPr>
                <w:rFonts w:ascii="Times New Roman" w:hAnsi="Times New Roman" w:cs="Times New Roman"/>
                <w:sz w:val="18"/>
                <w:szCs w:val="18"/>
              </w:rPr>
              <w:t xml:space="preserve">fully operational new </w:t>
            </w:r>
            <w:r w:rsidR="000B1C93">
              <w:rPr>
                <w:rFonts w:ascii="Times New Roman" w:hAnsi="Times New Roman" w:cs="Times New Roman"/>
                <w:sz w:val="18"/>
                <w:szCs w:val="18"/>
              </w:rPr>
              <w:lastRenderedPageBreak/>
              <w:t>wholesale market</w:t>
            </w:r>
            <w:r w:rsidRPr="00BC7BB5">
              <w:rPr>
                <w:rFonts w:ascii="Times New Roman" w:hAnsi="Times New Roman" w:cs="Times New Roman"/>
                <w:sz w:val="18"/>
                <w:szCs w:val="18"/>
              </w:rPr>
              <w:t>, no later than December 31, 2022</w:t>
            </w:r>
          </w:p>
        </w:tc>
      </w:tr>
      <w:tr w:rsidR="007152AB" w:rsidRPr="00BC7BB5" w14:paraId="1693953F" w14:textId="77777777" w:rsidTr="00CB471A">
        <w:tc>
          <w:tcPr>
            <w:tcW w:w="292" w:type="pct"/>
            <w:vAlign w:val="center"/>
          </w:tcPr>
          <w:p w14:paraId="312048FE" w14:textId="77777777" w:rsidR="007152AB" w:rsidRPr="00BC7BB5" w:rsidRDefault="007152AB" w:rsidP="007152AB">
            <w:pPr>
              <w:pStyle w:val="MainParanoChapter-Ch3"/>
              <w:numPr>
                <w:ilvl w:val="0"/>
                <w:numId w:val="0"/>
              </w:numPr>
              <w:tabs>
                <w:tab w:val="left" w:pos="70"/>
              </w:tabs>
              <w:spacing w:after="120"/>
              <w:ind w:left="70"/>
              <w:rPr>
                <w:sz w:val="18"/>
                <w:szCs w:val="18"/>
              </w:rPr>
            </w:pPr>
            <w:r w:rsidRPr="00BC7BB5">
              <w:rPr>
                <w:sz w:val="18"/>
                <w:szCs w:val="18"/>
              </w:rPr>
              <w:lastRenderedPageBreak/>
              <w:t>5.</w:t>
            </w:r>
          </w:p>
        </w:tc>
        <w:tc>
          <w:tcPr>
            <w:tcW w:w="1270" w:type="pct"/>
            <w:vAlign w:val="center"/>
          </w:tcPr>
          <w:p w14:paraId="3E9CF74A" w14:textId="3A031369" w:rsidR="007152AB" w:rsidRPr="00BC7BB5" w:rsidRDefault="00B656F6" w:rsidP="007152AB">
            <w:pPr>
              <w:pStyle w:val="ListParagraph"/>
              <w:spacing w:after="120"/>
              <w:ind w:left="0"/>
              <w:rPr>
                <w:rFonts w:ascii="Times New Roman" w:hAnsi="Times New Roman" w:cs="Times New Roman"/>
                <w:sz w:val="18"/>
                <w:szCs w:val="18"/>
                <w:highlight w:val="yellow"/>
              </w:rPr>
            </w:pPr>
            <w:r>
              <w:rPr>
                <w:rFonts w:ascii="Times New Roman" w:hAnsi="Times New Roman" w:cs="Times New Roman"/>
                <w:sz w:val="18"/>
                <w:szCs w:val="18"/>
              </w:rPr>
              <w:t>Number of s</w:t>
            </w:r>
            <w:r w:rsidR="000F547C" w:rsidRPr="00BC7BB5">
              <w:rPr>
                <w:rFonts w:ascii="Times New Roman" w:hAnsi="Times New Roman" w:cs="Times New Roman"/>
                <w:sz w:val="18"/>
                <w:szCs w:val="18"/>
              </w:rPr>
              <w:t>mall- and</w:t>
            </w:r>
            <w:r w:rsidR="000F547C">
              <w:rPr>
                <w:rFonts w:ascii="Times New Roman" w:hAnsi="Times New Roman" w:cs="Times New Roman"/>
                <w:sz w:val="18"/>
                <w:szCs w:val="18"/>
              </w:rPr>
              <w:t>/or</w:t>
            </w:r>
            <w:r w:rsidR="000F547C" w:rsidRPr="00BC7BB5">
              <w:rPr>
                <w:rFonts w:ascii="Times New Roman" w:hAnsi="Times New Roman" w:cs="Times New Roman"/>
                <w:sz w:val="18"/>
                <w:szCs w:val="18"/>
              </w:rPr>
              <w:t xml:space="preserve"> medium-size </w:t>
            </w:r>
            <w:r w:rsidR="000B1C93">
              <w:rPr>
                <w:rFonts w:ascii="Times New Roman" w:hAnsi="Times New Roman" w:cs="Times New Roman"/>
                <w:sz w:val="18"/>
                <w:szCs w:val="18"/>
              </w:rPr>
              <w:t>agri-food</w:t>
            </w:r>
            <w:r w:rsidR="000F547C" w:rsidRPr="00BC7BB5">
              <w:rPr>
                <w:rFonts w:ascii="Times New Roman" w:hAnsi="Times New Roman" w:cs="Times New Roman"/>
                <w:sz w:val="18"/>
                <w:szCs w:val="18"/>
              </w:rPr>
              <w:t xml:space="preserve"> enterprises authorized by ONSSA</w:t>
            </w:r>
          </w:p>
        </w:tc>
        <w:tc>
          <w:tcPr>
            <w:tcW w:w="390" w:type="pct"/>
            <w:vAlign w:val="center"/>
          </w:tcPr>
          <w:p w14:paraId="26C7A282" w14:textId="77777777" w:rsidR="007152AB" w:rsidRPr="00BC7BB5" w:rsidRDefault="007152AB" w:rsidP="007152AB">
            <w:pPr>
              <w:spacing w:after="120"/>
              <w:rPr>
                <w:rFonts w:ascii="Times New Roman" w:hAnsi="Times New Roman" w:cs="Times New Roman"/>
                <w:sz w:val="18"/>
                <w:szCs w:val="18"/>
              </w:rPr>
            </w:pPr>
          </w:p>
          <w:p w14:paraId="53B219C9" w14:textId="54ECA525" w:rsidR="007152AB" w:rsidRPr="00BC7BB5" w:rsidRDefault="00F47017" w:rsidP="007152AB">
            <w:pPr>
              <w:spacing w:after="120"/>
              <w:rPr>
                <w:rFonts w:ascii="Times New Roman" w:hAnsi="Times New Roman" w:cs="Times New Roman"/>
                <w:sz w:val="18"/>
                <w:szCs w:val="18"/>
              </w:rPr>
            </w:pPr>
            <w:r>
              <w:rPr>
                <w:rFonts w:ascii="Times New Roman" w:hAnsi="Times New Roman" w:cs="Times New Roman"/>
                <w:sz w:val="18"/>
                <w:szCs w:val="18"/>
              </w:rPr>
              <w:t>30</w:t>
            </w:r>
            <w:r w:rsidR="007152AB" w:rsidRPr="00BC7BB5">
              <w:rPr>
                <w:rFonts w:ascii="Times New Roman" w:hAnsi="Times New Roman" w:cs="Times New Roman"/>
                <w:sz w:val="18"/>
                <w:szCs w:val="18"/>
              </w:rPr>
              <w:t>.0</w:t>
            </w:r>
          </w:p>
        </w:tc>
        <w:tc>
          <w:tcPr>
            <w:tcW w:w="454" w:type="pct"/>
            <w:vAlign w:val="center"/>
          </w:tcPr>
          <w:p w14:paraId="72941593" w14:textId="77777777" w:rsidR="007152AB" w:rsidRPr="00BC7BB5" w:rsidRDefault="007152AB" w:rsidP="007152AB">
            <w:pPr>
              <w:spacing w:after="120"/>
              <w:rPr>
                <w:rFonts w:ascii="Times New Roman" w:hAnsi="Times New Roman" w:cs="Times New Roman"/>
                <w:sz w:val="18"/>
                <w:szCs w:val="18"/>
              </w:rPr>
            </w:pPr>
            <w:r w:rsidRPr="00BC7BB5">
              <w:rPr>
                <w:rFonts w:ascii="Times New Roman" w:hAnsi="Times New Roman" w:cs="Times New Roman"/>
                <w:sz w:val="18"/>
                <w:szCs w:val="18"/>
              </w:rPr>
              <w:t>December 31, 2022</w:t>
            </w:r>
          </w:p>
        </w:tc>
        <w:tc>
          <w:tcPr>
            <w:tcW w:w="576" w:type="pct"/>
            <w:vAlign w:val="center"/>
          </w:tcPr>
          <w:p w14:paraId="360C9546" w14:textId="61B2AFBE" w:rsidR="007152AB" w:rsidRPr="00BC7BB5" w:rsidRDefault="007152AB" w:rsidP="007152AB">
            <w:pPr>
              <w:spacing w:after="120"/>
              <w:rPr>
                <w:rFonts w:ascii="Times New Roman" w:hAnsi="Times New Roman" w:cs="Times New Roman"/>
                <w:sz w:val="18"/>
                <w:szCs w:val="18"/>
              </w:rPr>
            </w:pPr>
            <w:r>
              <w:rPr>
                <w:rFonts w:ascii="Times New Roman" w:hAnsi="Times New Roman" w:cs="Times New Roman"/>
                <w:sz w:val="18"/>
                <w:szCs w:val="18"/>
              </w:rPr>
              <w:t>+10</w:t>
            </w:r>
            <w:r w:rsidRPr="00BC7BB5">
              <w:rPr>
                <w:rFonts w:ascii="Times New Roman" w:hAnsi="Times New Roman" w:cs="Times New Roman"/>
                <w:sz w:val="18"/>
                <w:szCs w:val="18"/>
              </w:rPr>
              <w:t xml:space="preserve">0 operators  </w:t>
            </w:r>
          </w:p>
        </w:tc>
        <w:tc>
          <w:tcPr>
            <w:tcW w:w="506" w:type="pct"/>
            <w:vAlign w:val="center"/>
          </w:tcPr>
          <w:p w14:paraId="1BC7756D" w14:textId="77777777" w:rsidR="007152AB" w:rsidRPr="00BC7BB5" w:rsidRDefault="007152AB" w:rsidP="007152AB">
            <w:pPr>
              <w:spacing w:after="120"/>
              <w:rPr>
                <w:rFonts w:ascii="Times New Roman" w:hAnsi="Times New Roman" w:cs="Times New Roman"/>
                <w:sz w:val="18"/>
                <w:szCs w:val="18"/>
              </w:rPr>
            </w:pPr>
            <w:r w:rsidRPr="00BC7BB5">
              <w:rPr>
                <w:rFonts w:ascii="Times New Roman" w:hAnsi="Times New Roman" w:cs="Times New Roman"/>
                <w:sz w:val="18"/>
                <w:szCs w:val="18"/>
              </w:rPr>
              <w:t>+1,000 operators (cumulative)</w:t>
            </w:r>
          </w:p>
        </w:tc>
        <w:tc>
          <w:tcPr>
            <w:tcW w:w="1512" w:type="pct"/>
            <w:vAlign w:val="center"/>
          </w:tcPr>
          <w:p w14:paraId="1F443435" w14:textId="4281881D" w:rsidR="007152AB" w:rsidRPr="00CD040A" w:rsidRDefault="007152AB" w:rsidP="007152AB">
            <w:pPr>
              <w:spacing w:after="120"/>
              <w:rPr>
                <w:rFonts w:ascii="Times New Roman" w:hAnsi="Times New Roman" w:cs="Times New Roman"/>
                <w:sz w:val="18"/>
                <w:szCs w:val="18"/>
              </w:rPr>
            </w:pPr>
            <w:r w:rsidRPr="00CD040A">
              <w:rPr>
                <w:rFonts w:ascii="Times New Roman" w:hAnsi="Times New Roman" w:cs="Times New Roman"/>
                <w:sz w:val="18"/>
                <w:szCs w:val="18"/>
              </w:rPr>
              <w:t>For each additional small and</w:t>
            </w:r>
            <w:r w:rsidR="00F47017">
              <w:rPr>
                <w:rFonts w:ascii="Times New Roman" w:hAnsi="Times New Roman" w:cs="Times New Roman"/>
                <w:sz w:val="18"/>
                <w:szCs w:val="18"/>
              </w:rPr>
              <w:t>/or</w:t>
            </w:r>
            <w:r w:rsidRPr="00CD040A">
              <w:rPr>
                <w:rFonts w:ascii="Times New Roman" w:hAnsi="Times New Roman" w:cs="Times New Roman"/>
                <w:sz w:val="18"/>
                <w:szCs w:val="18"/>
              </w:rPr>
              <w:t xml:space="preserve"> medium size </w:t>
            </w:r>
            <w:r w:rsidR="00F47017">
              <w:rPr>
                <w:rFonts w:ascii="Times New Roman" w:hAnsi="Times New Roman" w:cs="Times New Roman"/>
                <w:sz w:val="18"/>
                <w:szCs w:val="18"/>
              </w:rPr>
              <w:t>enterprise</w:t>
            </w:r>
            <w:r w:rsidRPr="00CD040A">
              <w:rPr>
                <w:rFonts w:ascii="Times New Roman" w:hAnsi="Times New Roman" w:cs="Times New Roman"/>
                <w:sz w:val="18"/>
                <w:szCs w:val="18"/>
              </w:rPr>
              <w:t xml:space="preserve"> authorized by ONSSA and integrated into ONSSA’s official registry occurred durin</w:t>
            </w:r>
            <w:r w:rsidR="00F47017">
              <w:rPr>
                <w:rFonts w:ascii="Times New Roman" w:hAnsi="Times New Roman" w:cs="Times New Roman"/>
                <w:sz w:val="18"/>
                <w:szCs w:val="18"/>
              </w:rPr>
              <w:t>g a CY, starting CY 201</w:t>
            </w:r>
            <w:r w:rsidR="000E1756">
              <w:rPr>
                <w:rFonts w:ascii="Times New Roman" w:hAnsi="Times New Roman" w:cs="Times New Roman"/>
                <w:sz w:val="18"/>
                <w:szCs w:val="18"/>
              </w:rPr>
              <w:t>7</w:t>
            </w:r>
            <w:r w:rsidR="00F47017">
              <w:rPr>
                <w:rFonts w:ascii="Times New Roman" w:hAnsi="Times New Roman" w:cs="Times New Roman"/>
                <w:sz w:val="18"/>
                <w:szCs w:val="18"/>
              </w:rPr>
              <w:t xml:space="preserve"> </w:t>
            </w:r>
            <w:r w:rsidR="000B1C93">
              <w:rPr>
                <w:rFonts w:ascii="Times New Roman" w:hAnsi="Times New Roman" w:cs="Times New Roman"/>
                <w:sz w:val="18"/>
                <w:szCs w:val="18"/>
              </w:rPr>
              <w:t>US$</w:t>
            </w:r>
            <w:r w:rsidR="00F47017">
              <w:rPr>
                <w:rFonts w:ascii="Times New Roman" w:hAnsi="Times New Roman" w:cs="Times New Roman"/>
                <w:sz w:val="18"/>
                <w:szCs w:val="18"/>
              </w:rPr>
              <w:t>30</w:t>
            </w:r>
            <w:r w:rsidRPr="00CD040A">
              <w:rPr>
                <w:rFonts w:ascii="Times New Roman" w:hAnsi="Times New Roman" w:cs="Times New Roman"/>
                <w:sz w:val="18"/>
                <w:szCs w:val="18"/>
              </w:rPr>
              <w:t xml:space="preserve">,000 </w:t>
            </w:r>
            <w:r w:rsidRPr="00CD040A">
              <w:rPr>
                <w:rFonts w:ascii="Times New Roman" w:hAnsi="Times New Roman" w:cs="Times New Roman"/>
                <w:sz w:val="18"/>
                <w:szCs w:val="18"/>
                <w:lang w:val="nn-NO"/>
              </w:rPr>
              <w:t>may be made available for withdraw</w:t>
            </w:r>
            <w:r w:rsidR="00F47017">
              <w:rPr>
                <w:rFonts w:ascii="Times New Roman" w:hAnsi="Times New Roman" w:cs="Times New Roman"/>
                <w:sz w:val="18"/>
                <w:szCs w:val="18"/>
                <w:lang w:val="nn-NO"/>
              </w:rPr>
              <w:t xml:space="preserve">al by the Borrower, up to </w:t>
            </w:r>
            <w:r w:rsidR="000B1C93">
              <w:rPr>
                <w:rFonts w:ascii="Times New Roman" w:hAnsi="Times New Roman" w:cs="Times New Roman"/>
                <w:sz w:val="18"/>
                <w:szCs w:val="18"/>
                <w:lang w:val="nn-NO"/>
              </w:rPr>
              <w:t>US$</w:t>
            </w:r>
            <w:r w:rsidR="00F47017">
              <w:rPr>
                <w:rFonts w:ascii="Times New Roman" w:hAnsi="Times New Roman" w:cs="Times New Roman"/>
                <w:sz w:val="18"/>
                <w:szCs w:val="18"/>
                <w:lang w:val="nn-NO"/>
              </w:rPr>
              <w:t>30</w:t>
            </w:r>
            <w:r w:rsidRPr="00CD040A">
              <w:rPr>
                <w:rFonts w:ascii="Times New Roman" w:hAnsi="Times New Roman" w:cs="Times New Roman"/>
                <w:sz w:val="18"/>
                <w:szCs w:val="18"/>
                <w:lang w:val="nn-NO"/>
              </w:rPr>
              <w:t>,000,000, with a minimum threshold of</w:t>
            </w:r>
            <w:r w:rsidR="000B1C93">
              <w:rPr>
                <w:rFonts w:ascii="Times New Roman" w:hAnsi="Times New Roman" w:cs="Times New Roman"/>
                <w:sz w:val="18"/>
                <w:szCs w:val="18"/>
                <w:lang w:val="nn-NO"/>
              </w:rPr>
              <w:t>: (a)</w:t>
            </w:r>
            <w:r w:rsidRPr="00CD040A">
              <w:rPr>
                <w:rFonts w:ascii="Times New Roman" w:hAnsi="Times New Roman" w:cs="Times New Roman"/>
                <w:sz w:val="18"/>
                <w:szCs w:val="18"/>
              </w:rPr>
              <w:t xml:space="preserve"> one hundred (100) small and</w:t>
            </w:r>
            <w:r w:rsidR="000B1C93">
              <w:rPr>
                <w:rFonts w:ascii="Times New Roman" w:hAnsi="Times New Roman" w:cs="Times New Roman"/>
                <w:sz w:val="18"/>
                <w:szCs w:val="18"/>
              </w:rPr>
              <w:t>/or</w:t>
            </w:r>
            <w:r w:rsidRPr="00CD040A">
              <w:rPr>
                <w:rFonts w:ascii="Times New Roman" w:hAnsi="Times New Roman" w:cs="Times New Roman"/>
                <w:sz w:val="18"/>
                <w:szCs w:val="18"/>
              </w:rPr>
              <w:t xml:space="preserve"> medium size </w:t>
            </w:r>
            <w:r w:rsidR="000B1C93">
              <w:rPr>
                <w:rFonts w:ascii="Times New Roman" w:hAnsi="Times New Roman" w:cs="Times New Roman"/>
                <w:sz w:val="18"/>
                <w:szCs w:val="18"/>
              </w:rPr>
              <w:t>agri-food</w:t>
            </w:r>
            <w:r w:rsidRPr="00CD040A">
              <w:rPr>
                <w:rFonts w:ascii="Times New Roman" w:hAnsi="Times New Roman" w:cs="Times New Roman"/>
                <w:sz w:val="18"/>
                <w:szCs w:val="18"/>
              </w:rPr>
              <w:t xml:space="preserve"> enterprises</w:t>
            </w:r>
            <w:r w:rsidR="000B1C93">
              <w:rPr>
                <w:rFonts w:ascii="Times New Roman" w:hAnsi="Times New Roman" w:cs="Times New Roman"/>
                <w:sz w:val="18"/>
                <w:szCs w:val="18"/>
              </w:rPr>
              <w:t xml:space="preserve"> for the first Borrower’s withdrawal application request; and (b) additional fifty (50) small and/or medium size agri-food enterprises for each subsequent Borrower’s withdrawal application request.</w:t>
            </w:r>
          </w:p>
        </w:tc>
      </w:tr>
      <w:tr w:rsidR="000F547C" w:rsidRPr="00BC7BB5" w14:paraId="2ECE7245" w14:textId="77777777" w:rsidTr="00CB471A">
        <w:trPr>
          <w:trHeight w:val="800"/>
        </w:trPr>
        <w:tc>
          <w:tcPr>
            <w:tcW w:w="292" w:type="pct"/>
            <w:vAlign w:val="center"/>
          </w:tcPr>
          <w:p w14:paraId="36D14A02" w14:textId="77777777" w:rsidR="000F547C" w:rsidRPr="00BC7BB5" w:rsidRDefault="000F547C" w:rsidP="000F547C">
            <w:pPr>
              <w:pStyle w:val="MainParanoChapter-Ch3"/>
              <w:numPr>
                <w:ilvl w:val="0"/>
                <w:numId w:val="0"/>
              </w:numPr>
              <w:spacing w:after="120"/>
              <w:rPr>
                <w:sz w:val="18"/>
                <w:szCs w:val="18"/>
              </w:rPr>
            </w:pPr>
            <w:r w:rsidRPr="00BC7BB5">
              <w:rPr>
                <w:sz w:val="18"/>
                <w:szCs w:val="18"/>
              </w:rPr>
              <w:t xml:space="preserve"> 6.</w:t>
            </w:r>
          </w:p>
        </w:tc>
        <w:tc>
          <w:tcPr>
            <w:tcW w:w="1270" w:type="pct"/>
            <w:vAlign w:val="center"/>
          </w:tcPr>
          <w:p w14:paraId="55C9F6E9" w14:textId="6C2BE54B" w:rsidR="000F547C" w:rsidRDefault="00B656F6" w:rsidP="000F547C">
            <w:pPr>
              <w:spacing w:after="120"/>
              <w:rPr>
                <w:rFonts w:ascii="Times New Roman" w:hAnsi="Times New Roman" w:cs="Times New Roman"/>
                <w:sz w:val="18"/>
                <w:szCs w:val="18"/>
              </w:rPr>
            </w:pPr>
            <w:r>
              <w:rPr>
                <w:rFonts w:ascii="Times New Roman" w:hAnsi="Times New Roman" w:cs="Times New Roman"/>
                <w:sz w:val="18"/>
                <w:szCs w:val="18"/>
              </w:rPr>
              <w:t>The Borrower’s c</w:t>
            </w:r>
            <w:r w:rsidR="000F547C" w:rsidRPr="00BC7BB5">
              <w:rPr>
                <w:rFonts w:ascii="Times New Roman" w:hAnsi="Times New Roman" w:cs="Times New Roman"/>
                <w:sz w:val="18"/>
                <w:szCs w:val="18"/>
              </w:rPr>
              <w:t xml:space="preserve">enter for </w:t>
            </w:r>
            <w:r w:rsidR="000F547C">
              <w:rPr>
                <w:rFonts w:ascii="Times New Roman" w:hAnsi="Times New Roman" w:cs="Times New Roman"/>
                <w:sz w:val="18"/>
                <w:szCs w:val="18"/>
              </w:rPr>
              <w:t xml:space="preserve">the production of sterile </w:t>
            </w:r>
            <w:r w:rsidR="000F547C" w:rsidRPr="00CF10A7">
              <w:rPr>
                <w:rFonts w:ascii="Times New Roman" w:hAnsi="Times New Roman" w:cs="Times New Roman"/>
                <w:i/>
                <w:sz w:val="18"/>
                <w:szCs w:val="18"/>
              </w:rPr>
              <w:t>ceratitis</w:t>
            </w:r>
            <w:r w:rsidR="000F547C">
              <w:rPr>
                <w:rFonts w:ascii="Times New Roman" w:hAnsi="Times New Roman" w:cs="Times New Roman"/>
                <w:sz w:val="18"/>
                <w:szCs w:val="18"/>
              </w:rPr>
              <w:t xml:space="preserve"> males</w:t>
            </w:r>
            <w:r w:rsidR="000F547C" w:rsidRPr="00BC7BB5">
              <w:rPr>
                <w:rFonts w:ascii="Times New Roman" w:hAnsi="Times New Roman" w:cs="Times New Roman"/>
                <w:sz w:val="18"/>
                <w:szCs w:val="18"/>
              </w:rPr>
              <w:t xml:space="preserve"> providing farm treatment services to citrus producers</w:t>
            </w:r>
            <w:r w:rsidR="000F547C">
              <w:rPr>
                <w:rFonts w:ascii="Times New Roman" w:hAnsi="Times New Roman" w:cs="Times New Roman"/>
                <w:sz w:val="18"/>
                <w:szCs w:val="18"/>
              </w:rPr>
              <w:t>:</w:t>
            </w:r>
          </w:p>
          <w:p w14:paraId="40123AE9" w14:textId="77777777" w:rsidR="000F547C" w:rsidRDefault="000F547C" w:rsidP="000F547C">
            <w:pPr>
              <w:spacing w:after="120"/>
              <w:rPr>
                <w:rFonts w:ascii="Times New Roman" w:hAnsi="Times New Roman" w:cs="Times New Roman"/>
                <w:sz w:val="18"/>
                <w:szCs w:val="18"/>
              </w:rPr>
            </w:pPr>
            <w:r>
              <w:rPr>
                <w:rFonts w:ascii="Times New Roman" w:hAnsi="Times New Roman" w:cs="Times New Roman"/>
                <w:sz w:val="18"/>
                <w:szCs w:val="18"/>
              </w:rPr>
              <w:t>6.1 Agreement between the Borrower and IAEA signed for the provision of equipment and relevant training for the center</w:t>
            </w:r>
          </w:p>
          <w:p w14:paraId="16110A71" w14:textId="166AD690" w:rsidR="000F547C" w:rsidRPr="00BC7BB5" w:rsidRDefault="000F547C" w:rsidP="000F547C">
            <w:pPr>
              <w:spacing w:after="120"/>
              <w:rPr>
                <w:rFonts w:ascii="Times New Roman" w:hAnsi="Times New Roman" w:cs="Times New Roman"/>
                <w:sz w:val="18"/>
                <w:szCs w:val="18"/>
              </w:rPr>
            </w:pPr>
            <w:r>
              <w:rPr>
                <w:rFonts w:ascii="Times New Roman" w:hAnsi="Times New Roman" w:cs="Times New Roman"/>
                <w:sz w:val="18"/>
                <w:szCs w:val="18"/>
              </w:rPr>
              <w:t>6.2 The center has been constructed and fully equipped, and has launched its activities</w:t>
            </w:r>
          </w:p>
        </w:tc>
        <w:tc>
          <w:tcPr>
            <w:tcW w:w="390" w:type="pct"/>
            <w:vAlign w:val="center"/>
          </w:tcPr>
          <w:p w14:paraId="26CA511E" w14:textId="56BF623E" w:rsidR="000F547C" w:rsidRPr="00BC7BB5" w:rsidRDefault="00F47017" w:rsidP="000F547C">
            <w:pPr>
              <w:spacing w:after="120"/>
              <w:rPr>
                <w:rFonts w:ascii="Times New Roman" w:hAnsi="Times New Roman" w:cs="Times New Roman"/>
                <w:sz w:val="18"/>
                <w:szCs w:val="18"/>
              </w:rPr>
            </w:pPr>
            <w:r>
              <w:rPr>
                <w:rFonts w:ascii="Times New Roman" w:hAnsi="Times New Roman" w:cs="Times New Roman"/>
                <w:sz w:val="18"/>
                <w:szCs w:val="18"/>
              </w:rPr>
              <w:t>15</w:t>
            </w:r>
            <w:r w:rsidR="000F547C" w:rsidRPr="00BC7BB5">
              <w:rPr>
                <w:rFonts w:ascii="Times New Roman" w:hAnsi="Times New Roman" w:cs="Times New Roman"/>
                <w:sz w:val="18"/>
                <w:szCs w:val="18"/>
              </w:rPr>
              <w:t>.0</w:t>
            </w:r>
          </w:p>
        </w:tc>
        <w:tc>
          <w:tcPr>
            <w:tcW w:w="454" w:type="pct"/>
            <w:vAlign w:val="center"/>
          </w:tcPr>
          <w:p w14:paraId="3A96AAFD" w14:textId="77777777" w:rsidR="000F547C" w:rsidRPr="00BC7BB5" w:rsidRDefault="000F547C" w:rsidP="000F547C">
            <w:pPr>
              <w:spacing w:after="120"/>
              <w:rPr>
                <w:rFonts w:ascii="Times New Roman" w:hAnsi="Times New Roman" w:cs="Times New Roman"/>
                <w:sz w:val="18"/>
                <w:szCs w:val="18"/>
              </w:rPr>
            </w:pPr>
            <w:r w:rsidRPr="00BC7BB5">
              <w:rPr>
                <w:rFonts w:ascii="Times New Roman" w:hAnsi="Times New Roman" w:cs="Times New Roman"/>
                <w:sz w:val="18"/>
                <w:szCs w:val="18"/>
              </w:rPr>
              <w:t>December 31, 2021</w:t>
            </w:r>
          </w:p>
        </w:tc>
        <w:tc>
          <w:tcPr>
            <w:tcW w:w="576" w:type="pct"/>
            <w:vAlign w:val="center"/>
          </w:tcPr>
          <w:p w14:paraId="7D306CA7" w14:textId="77777777" w:rsidR="000E1756" w:rsidRDefault="000E1756" w:rsidP="000F547C">
            <w:pPr>
              <w:spacing w:after="120"/>
              <w:rPr>
                <w:rFonts w:ascii="Times New Roman" w:hAnsi="Times New Roman" w:cs="Times New Roman"/>
                <w:sz w:val="18"/>
                <w:szCs w:val="18"/>
              </w:rPr>
            </w:pPr>
            <w:r>
              <w:rPr>
                <w:rFonts w:ascii="Times New Roman" w:hAnsi="Times New Roman" w:cs="Times New Roman"/>
                <w:sz w:val="18"/>
                <w:szCs w:val="18"/>
              </w:rPr>
              <w:t xml:space="preserve">6.1 </w:t>
            </w:r>
            <w:r w:rsidR="000F547C" w:rsidRPr="00BC7BB5">
              <w:rPr>
                <w:rFonts w:ascii="Times New Roman" w:hAnsi="Times New Roman" w:cs="Times New Roman"/>
                <w:sz w:val="18"/>
                <w:szCs w:val="18"/>
              </w:rPr>
              <w:t>Yes</w:t>
            </w:r>
          </w:p>
          <w:p w14:paraId="412A8380" w14:textId="1FF6F4B6" w:rsidR="000F547C" w:rsidRPr="00BC7BB5" w:rsidRDefault="000E1756" w:rsidP="000F547C">
            <w:pPr>
              <w:spacing w:after="120"/>
              <w:rPr>
                <w:rFonts w:ascii="Times New Roman" w:hAnsi="Times New Roman" w:cs="Times New Roman"/>
                <w:sz w:val="18"/>
                <w:szCs w:val="18"/>
              </w:rPr>
            </w:pPr>
            <w:r>
              <w:rPr>
                <w:rFonts w:ascii="Times New Roman" w:hAnsi="Times New Roman" w:cs="Times New Roman"/>
                <w:sz w:val="18"/>
                <w:szCs w:val="18"/>
              </w:rPr>
              <w:t>6.2 Yes</w:t>
            </w:r>
          </w:p>
        </w:tc>
        <w:tc>
          <w:tcPr>
            <w:tcW w:w="506" w:type="pct"/>
            <w:vAlign w:val="center"/>
          </w:tcPr>
          <w:p w14:paraId="6F84FC18" w14:textId="77777777" w:rsidR="000E1756" w:rsidRDefault="000E1756" w:rsidP="000F547C">
            <w:pPr>
              <w:spacing w:after="120"/>
              <w:rPr>
                <w:rFonts w:ascii="Times New Roman" w:hAnsi="Times New Roman" w:cs="Times New Roman"/>
                <w:sz w:val="18"/>
                <w:szCs w:val="18"/>
              </w:rPr>
            </w:pPr>
            <w:r>
              <w:rPr>
                <w:rFonts w:ascii="Times New Roman" w:hAnsi="Times New Roman" w:cs="Times New Roman"/>
                <w:sz w:val="18"/>
                <w:szCs w:val="18"/>
              </w:rPr>
              <w:t xml:space="preserve">6.1 </w:t>
            </w:r>
            <w:r w:rsidR="000F547C" w:rsidRPr="00BC7BB5">
              <w:rPr>
                <w:rFonts w:ascii="Times New Roman" w:hAnsi="Times New Roman" w:cs="Times New Roman"/>
                <w:sz w:val="18"/>
                <w:szCs w:val="18"/>
              </w:rPr>
              <w:t>Yes</w:t>
            </w:r>
          </w:p>
          <w:p w14:paraId="1703AC4E" w14:textId="5C2AD342" w:rsidR="000F547C" w:rsidRPr="00BC7BB5" w:rsidRDefault="000E1756" w:rsidP="000F547C">
            <w:pPr>
              <w:spacing w:after="120"/>
              <w:rPr>
                <w:rFonts w:ascii="Times New Roman" w:hAnsi="Times New Roman" w:cs="Times New Roman"/>
                <w:sz w:val="18"/>
                <w:szCs w:val="18"/>
              </w:rPr>
            </w:pPr>
            <w:r>
              <w:rPr>
                <w:rFonts w:ascii="Times New Roman" w:hAnsi="Times New Roman" w:cs="Times New Roman"/>
                <w:sz w:val="18"/>
                <w:szCs w:val="18"/>
              </w:rPr>
              <w:t>6.2 Yes</w:t>
            </w:r>
          </w:p>
        </w:tc>
        <w:tc>
          <w:tcPr>
            <w:tcW w:w="1512" w:type="pct"/>
            <w:vAlign w:val="center"/>
          </w:tcPr>
          <w:p w14:paraId="533BD68B" w14:textId="77777777" w:rsidR="00F47017" w:rsidRDefault="00F47017" w:rsidP="000F547C">
            <w:pPr>
              <w:spacing w:after="120"/>
              <w:rPr>
                <w:rFonts w:ascii="Times New Roman" w:hAnsi="Times New Roman" w:cs="Times New Roman"/>
                <w:sz w:val="18"/>
                <w:szCs w:val="18"/>
              </w:rPr>
            </w:pPr>
            <w:r>
              <w:rPr>
                <w:rFonts w:ascii="Times New Roman" w:hAnsi="Times New Roman" w:cs="Times New Roman"/>
                <w:sz w:val="18"/>
                <w:szCs w:val="18"/>
              </w:rPr>
              <w:t>(6.1) US$5 million for the execution of the agreement between the Borrower and IAEA</w:t>
            </w:r>
          </w:p>
          <w:p w14:paraId="02F5E7E8" w14:textId="40067824" w:rsidR="000F547C" w:rsidRPr="00BC7BB5" w:rsidRDefault="00F47017" w:rsidP="000F547C">
            <w:pPr>
              <w:spacing w:after="120"/>
              <w:rPr>
                <w:rFonts w:ascii="Times New Roman" w:hAnsi="Times New Roman" w:cs="Times New Roman"/>
                <w:sz w:val="18"/>
                <w:szCs w:val="18"/>
              </w:rPr>
            </w:pPr>
            <w:r>
              <w:rPr>
                <w:rFonts w:ascii="Times New Roman" w:hAnsi="Times New Roman" w:cs="Times New Roman"/>
                <w:sz w:val="18"/>
                <w:szCs w:val="18"/>
              </w:rPr>
              <w:t xml:space="preserve">(6.2) </w:t>
            </w:r>
            <w:r w:rsidR="000F547C" w:rsidRPr="00BC7BB5">
              <w:rPr>
                <w:rFonts w:ascii="Times New Roman" w:hAnsi="Times New Roman" w:cs="Times New Roman"/>
                <w:sz w:val="18"/>
                <w:szCs w:val="18"/>
              </w:rPr>
              <w:t>US$10 million for operation of the Mediterranean fruit fly control center</w:t>
            </w:r>
          </w:p>
        </w:tc>
      </w:tr>
      <w:tr w:rsidR="000F547C" w:rsidRPr="00BC7BB5" w14:paraId="00F4E18E" w14:textId="77777777" w:rsidTr="00CB471A">
        <w:trPr>
          <w:trHeight w:val="800"/>
        </w:trPr>
        <w:tc>
          <w:tcPr>
            <w:tcW w:w="292" w:type="pct"/>
            <w:vAlign w:val="center"/>
          </w:tcPr>
          <w:p w14:paraId="41028361" w14:textId="77777777" w:rsidR="000F547C" w:rsidRPr="00BC7BB5" w:rsidRDefault="000F547C" w:rsidP="000F547C">
            <w:pPr>
              <w:pStyle w:val="MainParanoChapter-Ch3"/>
              <w:numPr>
                <w:ilvl w:val="0"/>
                <w:numId w:val="0"/>
              </w:numPr>
              <w:rPr>
                <w:sz w:val="18"/>
                <w:szCs w:val="18"/>
              </w:rPr>
            </w:pPr>
            <w:r w:rsidRPr="00BC7BB5">
              <w:rPr>
                <w:sz w:val="18"/>
                <w:szCs w:val="18"/>
              </w:rPr>
              <w:t xml:space="preserve"> 7.</w:t>
            </w:r>
          </w:p>
        </w:tc>
        <w:tc>
          <w:tcPr>
            <w:tcW w:w="1270" w:type="pct"/>
            <w:vAlign w:val="center"/>
          </w:tcPr>
          <w:p w14:paraId="5FEECF64" w14:textId="0C169A9C" w:rsidR="000F547C" w:rsidRPr="00BC7BB5" w:rsidRDefault="00B656F6" w:rsidP="000F547C">
            <w:pPr>
              <w:rPr>
                <w:rFonts w:ascii="Times New Roman" w:hAnsi="Times New Roman" w:cs="Times New Roman"/>
                <w:sz w:val="18"/>
                <w:szCs w:val="18"/>
              </w:rPr>
            </w:pPr>
            <w:r>
              <w:rPr>
                <w:rFonts w:ascii="Times New Roman" w:hAnsi="Times New Roman" w:cs="Times New Roman"/>
                <w:sz w:val="18"/>
                <w:szCs w:val="18"/>
              </w:rPr>
              <w:t>Number of s</w:t>
            </w:r>
            <w:r w:rsidR="000F547C" w:rsidRPr="00BC7BB5">
              <w:rPr>
                <w:rFonts w:ascii="Times New Roman" w:hAnsi="Times New Roman" w:cs="Times New Roman"/>
                <w:sz w:val="18"/>
                <w:szCs w:val="18"/>
              </w:rPr>
              <w:t>mall- and</w:t>
            </w:r>
            <w:r w:rsidR="000F547C">
              <w:rPr>
                <w:rFonts w:ascii="Times New Roman" w:hAnsi="Times New Roman" w:cs="Times New Roman"/>
                <w:sz w:val="18"/>
                <w:szCs w:val="18"/>
              </w:rPr>
              <w:t>/or</w:t>
            </w:r>
            <w:r w:rsidR="000F547C" w:rsidRPr="00BC7BB5">
              <w:rPr>
                <w:rFonts w:ascii="Times New Roman" w:hAnsi="Times New Roman" w:cs="Times New Roman"/>
                <w:sz w:val="18"/>
                <w:szCs w:val="18"/>
              </w:rPr>
              <w:t xml:space="preserve"> medium-size </w:t>
            </w:r>
            <w:r w:rsidR="000E1756">
              <w:rPr>
                <w:rFonts w:ascii="Times New Roman" w:hAnsi="Times New Roman" w:cs="Times New Roman"/>
                <w:sz w:val="18"/>
                <w:szCs w:val="18"/>
              </w:rPr>
              <w:t xml:space="preserve">producers and/or </w:t>
            </w:r>
            <w:r w:rsidR="000F547C" w:rsidRPr="00BC7BB5">
              <w:rPr>
                <w:rFonts w:ascii="Times New Roman" w:hAnsi="Times New Roman" w:cs="Times New Roman"/>
                <w:sz w:val="18"/>
                <w:szCs w:val="18"/>
              </w:rPr>
              <w:t>enterprises assisted by the Agri-food Innovation Centers (CIAs):</w:t>
            </w:r>
          </w:p>
          <w:p w14:paraId="67972770" w14:textId="0451D4B7" w:rsidR="000F547C" w:rsidRPr="00BC7BB5" w:rsidRDefault="000F547C" w:rsidP="000F547C">
            <w:pPr>
              <w:rPr>
                <w:rFonts w:ascii="Times New Roman" w:hAnsi="Times New Roman" w:cs="Times New Roman"/>
                <w:sz w:val="18"/>
                <w:szCs w:val="18"/>
              </w:rPr>
            </w:pPr>
            <w:r w:rsidRPr="00BC7BB5">
              <w:rPr>
                <w:rFonts w:ascii="Times New Roman" w:hAnsi="Times New Roman" w:cs="Times New Roman"/>
                <w:sz w:val="18"/>
                <w:szCs w:val="18"/>
              </w:rPr>
              <w:t xml:space="preserve">7.1 </w:t>
            </w:r>
            <w:r w:rsidR="000E1756">
              <w:rPr>
                <w:rFonts w:ascii="Times New Roman" w:hAnsi="Times New Roman" w:cs="Times New Roman"/>
                <w:sz w:val="18"/>
                <w:szCs w:val="18"/>
              </w:rPr>
              <w:t xml:space="preserve">Two </w:t>
            </w:r>
            <w:r w:rsidRPr="00BC7BB5">
              <w:rPr>
                <w:rFonts w:ascii="Times New Roman" w:hAnsi="Times New Roman" w:cs="Times New Roman"/>
                <w:sz w:val="18"/>
                <w:szCs w:val="18"/>
              </w:rPr>
              <w:t xml:space="preserve">Agri-food Innovation Centers (CIAs) </w:t>
            </w:r>
            <w:r w:rsidR="000E1756">
              <w:rPr>
                <w:rFonts w:ascii="Times New Roman" w:hAnsi="Times New Roman" w:cs="Times New Roman"/>
                <w:sz w:val="18"/>
                <w:szCs w:val="18"/>
              </w:rPr>
              <w:t xml:space="preserve">constructed/rehabilitated and fully equipped, </w:t>
            </w:r>
            <w:r>
              <w:rPr>
                <w:rFonts w:ascii="Times New Roman" w:hAnsi="Times New Roman" w:cs="Times New Roman"/>
                <w:sz w:val="18"/>
                <w:szCs w:val="18"/>
              </w:rPr>
              <w:t xml:space="preserve">and </w:t>
            </w:r>
            <w:r w:rsidR="000E1756">
              <w:rPr>
                <w:rFonts w:ascii="Times New Roman" w:hAnsi="Times New Roman" w:cs="Times New Roman"/>
                <w:sz w:val="18"/>
                <w:szCs w:val="18"/>
              </w:rPr>
              <w:t xml:space="preserve">are </w:t>
            </w:r>
            <w:r>
              <w:rPr>
                <w:rFonts w:ascii="Times New Roman" w:hAnsi="Times New Roman" w:cs="Times New Roman"/>
                <w:sz w:val="18"/>
                <w:szCs w:val="18"/>
              </w:rPr>
              <w:t>operational</w:t>
            </w:r>
          </w:p>
          <w:p w14:paraId="644E1EE5" w14:textId="0F343840" w:rsidR="000F547C" w:rsidRPr="00BC7BB5" w:rsidRDefault="000F547C" w:rsidP="000F547C">
            <w:pPr>
              <w:spacing w:after="120"/>
              <w:rPr>
                <w:rFonts w:ascii="Times New Roman" w:hAnsi="Times New Roman" w:cs="Times New Roman"/>
                <w:sz w:val="18"/>
                <w:szCs w:val="18"/>
              </w:rPr>
            </w:pPr>
            <w:r w:rsidRPr="00BC7BB5">
              <w:rPr>
                <w:rFonts w:ascii="Times New Roman" w:hAnsi="Times New Roman" w:cs="Times New Roman"/>
                <w:sz w:val="18"/>
                <w:szCs w:val="18"/>
              </w:rPr>
              <w:t>7.2 Number of small- and</w:t>
            </w:r>
            <w:r>
              <w:rPr>
                <w:rFonts w:ascii="Times New Roman" w:hAnsi="Times New Roman" w:cs="Times New Roman"/>
                <w:sz w:val="18"/>
                <w:szCs w:val="18"/>
              </w:rPr>
              <w:t>/or</w:t>
            </w:r>
            <w:r w:rsidRPr="00BC7BB5">
              <w:rPr>
                <w:rFonts w:ascii="Times New Roman" w:hAnsi="Times New Roman" w:cs="Times New Roman"/>
                <w:sz w:val="18"/>
                <w:szCs w:val="18"/>
              </w:rPr>
              <w:t xml:space="preserve"> medium-sized producers and</w:t>
            </w:r>
            <w:r w:rsidR="000E1756">
              <w:rPr>
                <w:rFonts w:ascii="Times New Roman" w:hAnsi="Times New Roman" w:cs="Times New Roman"/>
                <w:sz w:val="18"/>
                <w:szCs w:val="18"/>
              </w:rPr>
              <w:t>/or</w:t>
            </w:r>
            <w:r w:rsidRPr="00BC7BB5">
              <w:rPr>
                <w:rFonts w:ascii="Times New Roman" w:hAnsi="Times New Roman" w:cs="Times New Roman"/>
                <w:sz w:val="18"/>
                <w:szCs w:val="18"/>
              </w:rPr>
              <w:t xml:space="preserve"> enterprises assisted by the CIAs.</w:t>
            </w:r>
          </w:p>
        </w:tc>
        <w:tc>
          <w:tcPr>
            <w:tcW w:w="390" w:type="pct"/>
            <w:vAlign w:val="center"/>
          </w:tcPr>
          <w:p w14:paraId="2404227E" w14:textId="3A469ED3" w:rsidR="000F547C" w:rsidRPr="00BC7BB5" w:rsidRDefault="00F47017" w:rsidP="000F547C">
            <w:pPr>
              <w:spacing w:after="120"/>
              <w:rPr>
                <w:rFonts w:ascii="Times New Roman" w:hAnsi="Times New Roman" w:cs="Times New Roman"/>
                <w:sz w:val="18"/>
                <w:szCs w:val="18"/>
              </w:rPr>
            </w:pPr>
            <w:r>
              <w:rPr>
                <w:rFonts w:ascii="Times New Roman" w:hAnsi="Times New Roman" w:cs="Times New Roman"/>
                <w:sz w:val="18"/>
                <w:szCs w:val="18"/>
              </w:rPr>
              <w:t>20</w:t>
            </w:r>
            <w:r w:rsidR="000F547C" w:rsidRPr="00BC7BB5">
              <w:rPr>
                <w:rFonts w:ascii="Times New Roman" w:hAnsi="Times New Roman" w:cs="Times New Roman"/>
                <w:sz w:val="18"/>
                <w:szCs w:val="18"/>
              </w:rPr>
              <w:t>.0</w:t>
            </w:r>
          </w:p>
        </w:tc>
        <w:tc>
          <w:tcPr>
            <w:tcW w:w="454" w:type="pct"/>
            <w:vAlign w:val="center"/>
          </w:tcPr>
          <w:p w14:paraId="4DABF372" w14:textId="1A5D1149" w:rsidR="000F547C" w:rsidRPr="00BC7BB5" w:rsidRDefault="000F547C" w:rsidP="000F547C">
            <w:pPr>
              <w:spacing w:after="120"/>
              <w:rPr>
                <w:rFonts w:ascii="Times New Roman" w:hAnsi="Times New Roman" w:cs="Times New Roman"/>
                <w:sz w:val="18"/>
                <w:szCs w:val="18"/>
              </w:rPr>
            </w:pPr>
            <w:r w:rsidRPr="00BC7BB5">
              <w:rPr>
                <w:rFonts w:ascii="Times New Roman" w:hAnsi="Times New Roman" w:cs="Times New Roman"/>
                <w:sz w:val="18"/>
                <w:szCs w:val="18"/>
              </w:rPr>
              <w:t>7.1 December 21, 2021</w:t>
            </w:r>
          </w:p>
          <w:p w14:paraId="58A734AE" w14:textId="77777777" w:rsidR="000F547C" w:rsidRPr="00BC7BB5" w:rsidRDefault="000F547C" w:rsidP="000F547C">
            <w:pPr>
              <w:spacing w:after="120"/>
              <w:rPr>
                <w:rFonts w:ascii="Times New Roman" w:hAnsi="Times New Roman" w:cs="Times New Roman"/>
                <w:sz w:val="18"/>
                <w:szCs w:val="18"/>
              </w:rPr>
            </w:pPr>
            <w:r w:rsidRPr="00BC7BB5">
              <w:rPr>
                <w:rFonts w:ascii="Times New Roman" w:hAnsi="Times New Roman" w:cs="Times New Roman"/>
                <w:sz w:val="18"/>
                <w:szCs w:val="18"/>
              </w:rPr>
              <w:t>7.2 December 31, 2022</w:t>
            </w:r>
          </w:p>
        </w:tc>
        <w:tc>
          <w:tcPr>
            <w:tcW w:w="576" w:type="pct"/>
            <w:vAlign w:val="center"/>
          </w:tcPr>
          <w:p w14:paraId="219CD001" w14:textId="16109C05" w:rsidR="000F547C" w:rsidRPr="00BC7BB5" w:rsidRDefault="000F547C" w:rsidP="000F547C">
            <w:pPr>
              <w:spacing w:after="120"/>
              <w:rPr>
                <w:rFonts w:ascii="Times New Roman" w:hAnsi="Times New Roman" w:cs="Times New Roman"/>
                <w:sz w:val="18"/>
                <w:szCs w:val="18"/>
              </w:rPr>
            </w:pPr>
            <w:r w:rsidRPr="00BC7BB5">
              <w:rPr>
                <w:rFonts w:ascii="Times New Roman" w:hAnsi="Times New Roman" w:cs="Times New Roman"/>
                <w:sz w:val="18"/>
                <w:szCs w:val="18"/>
              </w:rPr>
              <w:t xml:space="preserve">7.1 </w:t>
            </w:r>
            <w:r w:rsidR="000E1756">
              <w:rPr>
                <w:rFonts w:ascii="Times New Roman" w:hAnsi="Times New Roman" w:cs="Times New Roman"/>
                <w:sz w:val="18"/>
                <w:szCs w:val="18"/>
              </w:rPr>
              <w:t>One</w:t>
            </w:r>
            <w:r w:rsidR="000E1756" w:rsidRPr="00BC7BB5">
              <w:rPr>
                <w:rFonts w:ascii="Times New Roman" w:hAnsi="Times New Roman" w:cs="Times New Roman"/>
                <w:sz w:val="18"/>
                <w:szCs w:val="18"/>
              </w:rPr>
              <w:t xml:space="preserve"> </w:t>
            </w:r>
            <w:r w:rsidRPr="00BC7BB5">
              <w:rPr>
                <w:rFonts w:ascii="Times New Roman" w:hAnsi="Times New Roman" w:cs="Times New Roman"/>
                <w:sz w:val="18"/>
                <w:szCs w:val="18"/>
              </w:rPr>
              <w:t>center</w:t>
            </w:r>
          </w:p>
          <w:p w14:paraId="17E47335" w14:textId="163E248A" w:rsidR="000F547C" w:rsidRPr="00BC7BB5" w:rsidRDefault="000F547C" w:rsidP="000F547C">
            <w:pPr>
              <w:spacing w:after="120"/>
              <w:rPr>
                <w:rFonts w:ascii="Times New Roman" w:hAnsi="Times New Roman" w:cs="Times New Roman"/>
                <w:sz w:val="18"/>
                <w:szCs w:val="18"/>
              </w:rPr>
            </w:pPr>
            <w:r w:rsidRPr="00BC7BB5">
              <w:rPr>
                <w:rFonts w:ascii="Times New Roman" w:hAnsi="Times New Roman" w:cs="Times New Roman"/>
                <w:sz w:val="18"/>
                <w:szCs w:val="18"/>
              </w:rPr>
              <w:t xml:space="preserve">7.2 </w:t>
            </w:r>
            <w:r w:rsidR="000E1756">
              <w:rPr>
                <w:rFonts w:ascii="Times New Roman" w:hAnsi="Times New Roman" w:cs="Times New Roman"/>
                <w:sz w:val="18"/>
                <w:szCs w:val="18"/>
              </w:rPr>
              <w:t>10</w:t>
            </w:r>
          </w:p>
        </w:tc>
        <w:tc>
          <w:tcPr>
            <w:tcW w:w="506" w:type="pct"/>
            <w:vAlign w:val="center"/>
          </w:tcPr>
          <w:p w14:paraId="32247E9D" w14:textId="0EC40065" w:rsidR="000F547C" w:rsidRPr="00BC7BB5" w:rsidRDefault="000F547C" w:rsidP="000F547C">
            <w:pPr>
              <w:spacing w:after="120"/>
              <w:rPr>
                <w:rFonts w:ascii="Times New Roman" w:hAnsi="Times New Roman" w:cs="Times New Roman"/>
                <w:sz w:val="18"/>
                <w:szCs w:val="18"/>
              </w:rPr>
            </w:pPr>
            <w:r w:rsidRPr="00BC7BB5">
              <w:rPr>
                <w:rFonts w:ascii="Times New Roman" w:hAnsi="Times New Roman" w:cs="Times New Roman"/>
                <w:sz w:val="18"/>
                <w:szCs w:val="18"/>
              </w:rPr>
              <w:t xml:space="preserve">7.1 </w:t>
            </w:r>
            <w:r w:rsidR="000E1756">
              <w:rPr>
                <w:rFonts w:ascii="Times New Roman" w:hAnsi="Times New Roman" w:cs="Times New Roman"/>
                <w:sz w:val="18"/>
                <w:szCs w:val="18"/>
              </w:rPr>
              <w:t>Two</w:t>
            </w:r>
            <w:r w:rsidR="000E1756" w:rsidRPr="00BC7BB5">
              <w:rPr>
                <w:rFonts w:ascii="Times New Roman" w:hAnsi="Times New Roman" w:cs="Times New Roman"/>
                <w:sz w:val="18"/>
                <w:szCs w:val="18"/>
              </w:rPr>
              <w:t xml:space="preserve"> </w:t>
            </w:r>
            <w:r w:rsidRPr="00BC7BB5">
              <w:rPr>
                <w:rFonts w:ascii="Times New Roman" w:hAnsi="Times New Roman" w:cs="Times New Roman"/>
                <w:sz w:val="18"/>
                <w:szCs w:val="18"/>
              </w:rPr>
              <w:t>centers</w:t>
            </w:r>
          </w:p>
          <w:p w14:paraId="3D1A1604" w14:textId="77777777" w:rsidR="000F547C" w:rsidRPr="00BC7BB5" w:rsidRDefault="000F547C" w:rsidP="000F547C">
            <w:pPr>
              <w:spacing w:after="120"/>
              <w:rPr>
                <w:rFonts w:ascii="Times New Roman" w:hAnsi="Times New Roman" w:cs="Times New Roman"/>
                <w:sz w:val="18"/>
                <w:szCs w:val="18"/>
              </w:rPr>
            </w:pPr>
            <w:r w:rsidRPr="00BC7BB5">
              <w:rPr>
                <w:rFonts w:ascii="Times New Roman" w:hAnsi="Times New Roman" w:cs="Times New Roman"/>
                <w:sz w:val="18"/>
                <w:szCs w:val="18"/>
              </w:rPr>
              <w:t>7.2 50</w:t>
            </w:r>
          </w:p>
          <w:p w14:paraId="2CCB6E26" w14:textId="77777777" w:rsidR="000F547C" w:rsidRPr="00BC7BB5" w:rsidRDefault="000F547C" w:rsidP="000F547C">
            <w:pPr>
              <w:spacing w:after="120"/>
              <w:rPr>
                <w:rFonts w:ascii="Times New Roman" w:hAnsi="Times New Roman" w:cs="Times New Roman"/>
                <w:sz w:val="18"/>
                <w:szCs w:val="18"/>
              </w:rPr>
            </w:pPr>
          </w:p>
        </w:tc>
        <w:tc>
          <w:tcPr>
            <w:tcW w:w="1512" w:type="pct"/>
            <w:vAlign w:val="center"/>
          </w:tcPr>
          <w:p w14:paraId="134D615A" w14:textId="64790CF2" w:rsidR="000F547C" w:rsidRPr="00BC7BB5" w:rsidRDefault="00F47017" w:rsidP="000F547C">
            <w:pPr>
              <w:spacing w:after="120"/>
              <w:rPr>
                <w:rFonts w:ascii="Times New Roman" w:hAnsi="Times New Roman" w:cs="Times New Roman"/>
                <w:sz w:val="18"/>
                <w:szCs w:val="18"/>
              </w:rPr>
            </w:pPr>
            <w:r>
              <w:rPr>
                <w:rFonts w:ascii="Times New Roman" w:hAnsi="Times New Roman" w:cs="Times New Roman"/>
                <w:sz w:val="18"/>
                <w:szCs w:val="18"/>
              </w:rPr>
              <w:t>7.1 US$2.5</w:t>
            </w:r>
            <w:r w:rsidR="000F547C" w:rsidRPr="00BC7BB5">
              <w:rPr>
                <w:rFonts w:ascii="Times New Roman" w:hAnsi="Times New Roman" w:cs="Times New Roman"/>
                <w:sz w:val="18"/>
                <w:szCs w:val="18"/>
              </w:rPr>
              <w:t xml:space="preserve"> million for the f</w:t>
            </w:r>
            <w:r>
              <w:rPr>
                <w:rFonts w:ascii="Times New Roman" w:hAnsi="Times New Roman" w:cs="Times New Roman"/>
                <w:sz w:val="18"/>
                <w:szCs w:val="18"/>
              </w:rPr>
              <w:t>irst center established and US$2.5</w:t>
            </w:r>
            <w:r w:rsidR="000F547C" w:rsidRPr="00BC7BB5">
              <w:rPr>
                <w:rFonts w:ascii="Times New Roman" w:hAnsi="Times New Roman" w:cs="Times New Roman"/>
                <w:sz w:val="18"/>
                <w:szCs w:val="18"/>
              </w:rPr>
              <w:t xml:space="preserve"> million for the second.</w:t>
            </w:r>
          </w:p>
          <w:p w14:paraId="1A9C805B" w14:textId="5BF3CE5E" w:rsidR="000F547C" w:rsidRPr="00BC7BB5" w:rsidRDefault="000F547C" w:rsidP="000F547C">
            <w:pPr>
              <w:spacing w:after="120"/>
              <w:rPr>
                <w:rFonts w:ascii="Times New Roman" w:hAnsi="Times New Roman" w:cs="Times New Roman"/>
                <w:sz w:val="18"/>
                <w:szCs w:val="18"/>
              </w:rPr>
            </w:pPr>
            <w:r w:rsidRPr="00BC7BB5">
              <w:rPr>
                <w:rFonts w:ascii="Times New Roman" w:hAnsi="Times New Roman" w:cs="Times New Roman"/>
                <w:sz w:val="18"/>
                <w:szCs w:val="18"/>
              </w:rPr>
              <w:t xml:space="preserve">7.2 </w:t>
            </w:r>
            <w:r w:rsidRPr="00CD040A">
              <w:rPr>
                <w:rFonts w:ascii="Times New Roman" w:hAnsi="Times New Roman" w:cs="Times New Roman"/>
                <w:sz w:val="18"/>
                <w:szCs w:val="18"/>
                <w:lang w:val="nn-NO"/>
              </w:rPr>
              <w:t xml:space="preserve">For each additional </w:t>
            </w:r>
            <w:r w:rsidRPr="00CD040A">
              <w:rPr>
                <w:rFonts w:ascii="Times New Roman" w:hAnsi="Times New Roman" w:cs="Times New Roman"/>
                <w:sz w:val="18"/>
                <w:szCs w:val="18"/>
              </w:rPr>
              <w:t>small and</w:t>
            </w:r>
            <w:r w:rsidR="00F47017">
              <w:rPr>
                <w:rFonts w:ascii="Times New Roman" w:hAnsi="Times New Roman" w:cs="Times New Roman"/>
                <w:sz w:val="18"/>
                <w:szCs w:val="18"/>
              </w:rPr>
              <w:t>/or</w:t>
            </w:r>
            <w:r w:rsidRPr="00CD040A">
              <w:rPr>
                <w:rFonts w:ascii="Times New Roman" w:hAnsi="Times New Roman" w:cs="Times New Roman"/>
                <w:sz w:val="18"/>
                <w:szCs w:val="18"/>
              </w:rPr>
              <w:t xml:space="preserve"> medium size producer and/or enterpri</w:t>
            </w:r>
            <w:r w:rsidR="00F47017">
              <w:rPr>
                <w:rFonts w:ascii="Times New Roman" w:hAnsi="Times New Roman" w:cs="Times New Roman"/>
                <w:sz w:val="18"/>
                <w:szCs w:val="18"/>
              </w:rPr>
              <w:t xml:space="preserve">se assisted by the CIA(s), </w:t>
            </w:r>
            <w:r w:rsidR="000E1756">
              <w:rPr>
                <w:rFonts w:ascii="Times New Roman" w:hAnsi="Times New Roman" w:cs="Times New Roman"/>
                <w:sz w:val="18"/>
                <w:szCs w:val="18"/>
              </w:rPr>
              <w:t>US$</w:t>
            </w:r>
            <w:r w:rsidR="00F47017">
              <w:rPr>
                <w:rFonts w:ascii="Times New Roman" w:hAnsi="Times New Roman" w:cs="Times New Roman"/>
                <w:sz w:val="18"/>
                <w:szCs w:val="18"/>
              </w:rPr>
              <w:t>300,000</w:t>
            </w:r>
            <w:r w:rsidR="000E1756">
              <w:rPr>
                <w:rFonts w:ascii="Times New Roman" w:hAnsi="Times New Roman" w:cs="Times New Roman"/>
                <w:sz w:val="18"/>
                <w:szCs w:val="18"/>
              </w:rPr>
              <w:t xml:space="preserve"> may be made available for withdrawal by the Borrower</w:t>
            </w:r>
            <w:r w:rsidR="00F47017">
              <w:rPr>
                <w:rFonts w:ascii="Times New Roman" w:hAnsi="Times New Roman" w:cs="Times New Roman"/>
                <w:sz w:val="18"/>
                <w:szCs w:val="18"/>
              </w:rPr>
              <w:t xml:space="preserve">, up to </w:t>
            </w:r>
            <w:r w:rsidR="000E1756">
              <w:rPr>
                <w:rFonts w:ascii="Times New Roman" w:hAnsi="Times New Roman" w:cs="Times New Roman"/>
                <w:sz w:val="18"/>
                <w:szCs w:val="18"/>
              </w:rPr>
              <w:t>US$</w:t>
            </w:r>
            <w:r w:rsidR="00F47017">
              <w:rPr>
                <w:rFonts w:ascii="Times New Roman" w:hAnsi="Times New Roman" w:cs="Times New Roman"/>
                <w:sz w:val="18"/>
                <w:szCs w:val="18"/>
              </w:rPr>
              <w:t>1</w:t>
            </w:r>
            <w:r w:rsidRPr="00CD040A">
              <w:rPr>
                <w:rFonts w:ascii="Times New Roman" w:hAnsi="Times New Roman" w:cs="Times New Roman"/>
                <w:sz w:val="18"/>
                <w:szCs w:val="18"/>
              </w:rPr>
              <w:t>5,000,000, with a minimum threshold of ten (10) small and medium size producers and/or enterprises assisted</w:t>
            </w:r>
          </w:p>
        </w:tc>
      </w:tr>
      <w:tr w:rsidR="000F547C" w:rsidRPr="00BC7BB5" w14:paraId="256338DC" w14:textId="77777777" w:rsidTr="00CB471A">
        <w:trPr>
          <w:trHeight w:val="980"/>
        </w:trPr>
        <w:tc>
          <w:tcPr>
            <w:tcW w:w="292" w:type="pct"/>
            <w:vAlign w:val="center"/>
          </w:tcPr>
          <w:p w14:paraId="4D7DA46E" w14:textId="77777777" w:rsidR="000F547C" w:rsidRPr="00AF1009" w:rsidRDefault="000F547C" w:rsidP="000F547C">
            <w:pPr>
              <w:pStyle w:val="MainParanoChapter-Ch3"/>
              <w:numPr>
                <w:ilvl w:val="0"/>
                <w:numId w:val="0"/>
              </w:numPr>
              <w:rPr>
                <w:sz w:val="18"/>
                <w:szCs w:val="18"/>
              </w:rPr>
            </w:pPr>
            <w:r w:rsidRPr="00BC7BB5">
              <w:rPr>
                <w:sz w:val="18"/>
                <w:szCs w:val="18"/>
              </w:rPr>
              <w:t xml:space="preserve"> </w:t>
            </w:r>
            <w:r w:rsidRPr="00AF1009">
              <w:rPr>
                <w:sz w:val="18"/>
                <w:szCs w:val="18"/>
              </w:rPr>
              <w:t>8.</w:t>
            </w:r>
          </w:p>
        </w:tc>
        <w:tc>
          <w:tcPr>
            <w:tcW w:w="1270" w:type="pct"/>
            <w:vAlign w:val="center"/>
          </w:tcPr>
          <w:p w14:paraId="63882AB6" w14:textId="4807A547" w:rsidR="000F547C" w:rsidRPr="00BC7BB5" w:rsidRDefault="000F547C" w:rsidP="000F547C">
            <w:pPr>
              <w:pStyle w:val="ListParagraph"/>
              <w:ind w:left="0"/>
              <w:rPr>
                <w:rFonts w:ascii="Times New Roman" w:hAnsi="Times New Roman" w:cs="Times New Roman"/>
                <w:sz w:val="18"/>
                <w:szCs w:val="18"/>
              </w:rPr>
            </w:pPr>
            <w:r>
              <w:rPr>
                <w:rFonts w:ascii="Times New Roman" w:hAnsi="Times New Roman" w:cs="Times New Roman"/>
                <w:sz w:val="18"/>
                <w:szCs w:val="18"/>
              </w:rPr>
              <w:t xml:space="preserve">Establishment of </w:t>
            </w:r>
            <w:r w:rsidRPr="00BC7BB5">
              <w:rPr>
                <w:rFonts w:ascii="Times New Roman" w:hAnsi="Times New Roman" w:cs="Times New Roman"/>
                <w:sz w:val="18"/>
                <w:szCs w:val="18"/>
              </w:rPr>
              <w:t>Integrated Financial M</w:t>
            </w:r>
            <w:r>
              <w:rPr>
                <w:rFonts w:ascii="Times New Roman" w:hAnsi="Times New Roman" w:cs="Times New Roman"/>
                <w:sz w:val="18"/>
                <w:szCs w:val="18"/>
              </w:rPr>
              <w:t>anagement system</w:t>
            </w:r>
            <w:r w:rsidRPr="00BC7BB5">
              <w:rPr>
                <w:rFonts w:ascii="Times New Roman" w:hAnsi="Times New Roman" w:cs="Times New Roman"/>
                <w:sz w:val="18"/>
                <w:szCs w:val="18"/>
              </w:rPr>
              <w:t xml:space="preserve"> to improve </w:t>
            </w:r>
            <w:r w:rsidR="000E1756">
              <w:rPr>
                <w:rFonts w:ascii="Times New Roman" w:hAnsi="Times New Roman" w:cs="Times New Roman"/>
                <w:sz w:val="18"/>
                <w:szCs w:val="18"/>
              </w:rPr>
              <w:t>P</w:t>
            </w:r>
            <w:r>
              <w:rPr>
                <w:rFonts w:ascii="Times New Roman" w:hAnsi="Times New Roman" w:cs="Times New Roman"/>
                <w:sz w:val="18"/>
                <w:szCs w:val="18"/>
              </w:rPr>
              <w:t>rogram management</w:t>
            </w:r>
            <w:r w:rsidRPr="00BC7BB5">
              <w:rPr>
                <w:rFonts w:ascii="Times New Roman" w:hAnsi="Times New Roman" w:cs="Times New Roman"/>
                <w:sz w:val="18"/>
                <w:szCs w:val="18"/>
              </w:rPr>
              <w:t>:</w:t>
            </w:r>
          </w:p>
          <w:p w14:paraId="79DB8159" w14:textId="77777777" w:rsidR="000F547C" w:rsidRPr="00BC7BB5" w:rsidRDefault="000F547C" w:rsidP="000F547C">
            <w:pPr>
              <w:pStyle w:val="ListParagraph"/>
              <w:ind w:left="0"/>
              <w:rPr>
                <w:rFonts w:ascii="Times New Roman" w:hAnsi="Times New Roman" w:cs="Times New Roman"/>
                <w:sz w:val="18"/>
                <w:szCs w:val="18"/>
              </w:rPr>
            </w:pPr>
            <w:r w:rsidRPr="00BC7BB5">
              <w:rPr>
                <w:rFonts w:ascii="Times New Roman" w:hAnsi="Times New Roman" w:cs="Times New Roman"/>
                <w:sz w:val="18"/>
                <w:szCs w:val="18"/>
              </w:rPr>
              <w:t xml:space="preserve">8.1 </w:t>
            </w:r>
            <w:r>
              <w:rPr>
                <w:rFonts w:ascii="Times New Roman" w:hAnsi="Times New Roman" w:cs="Times New Roman"/>
                <w:sz w:val="18"/>
                <w:szCs w:val="18"/>
              </w:rPr>
              <w:t>System designed</w:t>
            </w:r>
          </w:p>
          <w:p w14:paraId="283C0B01" w14:textId="685C79F2" w:rsidR="000F547C" w:rsidRPr="00AF1009" w:rsidRDefault="000F547C" w:rsidP="000F547C">
            <w:pPr>
              <w:pStyle w:val="ListParagraph"/>
              <w:spacing w:after="120"/>
              <w:ind w:left="0"/>
              <w:rPr>
                <w:rFonts w:ascii="Times New Roman" w:hAnsi="Times New Roman" w:cs="Times New Roman"/>
                <w:sz w:val="18"/>
                <w:szCs w:val="18"/>
              </w:rPr>
            </w:pPr>
            <w:r w:rsidRPr="00BC7BB5">
              <w:rPr>
                <w:rFonts w:ascii="Times New Roman" w:hAnsi="Times New Roman" w:cs="Times New Roman"/>
                <w:sz w:val="18"/>
                <w:szCs w:val="18"/>
              </w:rPr>
              <w:t xml:space="preserve">8.2 System </w:t>
            </w:r>
            <w:r w:rsidR="000E1756">
              <w:rPr>
                <w:rFonts w:ascii="Times New Roman" w:hAnsi="Times New Roman" w:cs="Times New Roman"/>
                <w:sz w:val="18"/>
                <w:szCs w:val="18"/>
              </w:rPr>
              <w:t>fully operational</w:t>
            </w:r>
          </w:p>
        </w:tc>
        <w:tc>
          <w:tcPr>
            <w:tcW w:w="390" w:type="pct"/>
            <w:vAlign w:val="center"/>
          </w:tcPr>
          <w:p w14:paraId="227EE25B" w14:textId="77777777" w:rsidR="000F547C" w:rsidRPr="00AF1009" w:rsidRDefault="000F547C" w:rsidP="000F547C">
            <w:pPr>
              <w:spacing w:after="120"/>
              <w:rPr>
                <w:rFonts w:ascii="Times New Roman" w:hAnsi="Times New Roman" w:cs="Times New Roman"/>
                <w:sz w:val="18"/>
                <w:szCs w:val="18"/>
              </w:rPr>
            </w:pPr>
            <w:r w:rsidRPr="00AF1009">
              <w:rPr>
                <w:rFonts w:ascii="Times New Roman" w:hAnsi="Times New Roman" w:cs="Times New Roman"/>
                <w:sz w:val="18"/>
                <w:szCs w:val="18"/>
              </w:rPr>
              <w:t>10.0</w:t>
            </w:r>
          </w:p>
        </w:tc>
        <w:tc>
          <w:tcPr>
            <w:tcW w:w="454" w:type="pct"/>
            <w:vAlign w:val="center"/>
          </w:tcPr>
          <w:p w14:paraId="78BE915A" w14:textId="5AD6EA67" w:rsidR="000F547C" w:rsidRPr="00AF1009" w:rsidRDefault="000F547C" w:rsidP="000F547C">
            <w:pPr>
              <w:spacing w:after="120"/>
              <w:rPr>
                <w:rFonts w:ascii="Times New Roman" w:hAnsi="Times New Roman" w:cs="Times New Roman"/>
                <w:sz w:val="18"/>
                <w:szCs w:val="18"/>
              </w:rPr>
            </w:pPr>
            <w:r w:rsidRPr="00AF1009">
              <w:rPr>
                <w:rFonts w:ascii="Times New Roman" w:hAnsi="Times New Roman" w:cs="Times New Roman"/>
                <w:sz w:val="18"/>
                <w:szCs w:val="18"/>
              </w:rPr>
              <w:t>December 31, 2020</w:t>
            </w:r>
          </w:p>
        </w:tc>
        <w:tc>
          <w:tcPr>
            <w:tcW w:w="576" w:type="pct"/>
            <w:vAlign w:val="center"/>
          </w:tcPr>
          <w:p w14:paraId="0B8F59AC" w14:textId="77777777" w:rsidR="000E1756" w:rsidRDefault="000E1756" w:rsidP="000F547C">
            <w:pPr>
              <w:spacing w:after="120"/>
              <w:rPr>
                <w:rFonts w:ascii="Times New Roman" w:hAnsi="Times New Roman" w:cs="Times New Roman"/>
                <w:sz w:val="18"/>
                <w:szCs w:val="18"/>
              </w:rPr>
            </w:pPr>
            <w:r>
              <w:rPr>
                <w:rFonts w:ascii="Times New Roman" w:hAnsi="Times New Roman" w:cs="Times New Roman"/>
                <w:sz w:val="18"/>
                <w:szCs w:val="18"/>
              </w:rPr>
              <w:t xml:space="preserve">8.1 </w:t>
            </w:r>
            <w:r w:rsidR="000F547C" w:rsidRPr="00AF1009">
              <w:rPr>
                <w:rFonts w:ascii="Times New Roman" w:hAnsi="Times New Roman" w:cs="Times New Roman"/>
                <w:sz w:val="18"/>
                <w:szCs w:val="18"/>
              </w:rPr>
              <w:t>Yes</w:t>
            </w:r>
          </w:p>
          <w:p w14:paraId="41DB10CC" w14:textId="7B19C710" w:rsidR="000F547C" w:rsidRPr="00AF1009" w:rsidRDefault="000E1756" w:rsidP="000F547C">
            <w:pPr>
              <w:spacing w:after="120"/>
              <w:rPr>
                <w:rFonts w:ascii="Times New Roman" w:hAnsi="Times New Roman" w:cs="Times New Roman"/>
                <w:sz w:val="18"/>
                <w:szCs w:val="18"/>
              </w:rPr>
            </w:pPr>
            <w:r>
              <w:rPr>
                <w:rFonts w:ascii="Times New Roman" w:hAnsi="Times New Roman" w:cs="Times New Roman"/>
                <w:sz w:val="18"/>
                <w:szCs w:val="18"/>
              </w:rPr>
              <w:t>8.2 Yes</w:t>
            </w:r>
          </w:p>
        </w:tc>
        <w:tc>
          <w:tcPr>
            <w:tcW w:w="506" w:type="pct"/>
            <w:vAlign w:val="center"/>
          </w:tcPr>
          <w:p w14:paraId="6ACDDF76" w14:textId="77777777" w:rsidR="000E1756" w:rsidRDefault="000E1756" w:rsidP="000F547C">
            <w:pPr>
              <w:spacing w:after="120"/>
              <w:rPr>
                <w:rFonts w:ascii="Times New Roman" w:hAnsi="Times New Roman" w:cs="Times New Roman"/>
                <w:sz w:val="18"/>
                <w:szCs w:val="18"/>
              </w:rPr>
            </w:pPr>
            <w:r>
              <w:rPr>
                <w:rFonts w:ascii="Times New Roman" w:hAnsi="Times New Roman" w:cs="Times New Roman"/>
                <w:sz w:val="18"/>
                <w:szCs w:val="18"/>
              </w:rPr>
              <w:t xml:space="preserve">8.1 </w:t>
            </w:r>
            <w:r w:rsidR="000F547C" w:rsidRPr="00AF1009">
              <w:rPr>
                <w:rFonts w:ascii="Times New Roman" w:hAnsi="Times New Roman" w:cs="Times New Roman"/>
                <w:sz w:val="18"/>
                <w:szCs w:val="18"/>
              </w:rPr>
              <w:t>Yes</w:t>
            </w:r>
          </w:p>
          <w:p w14:paraId="0C20398E" w14:textId="742C12BF" w:rsidR="000F547C" w:rsidRPr="00AF1009" w:rsidRDefault="000E1756" w:rsidP="000F547C">
            <w:pPr>
              <w:spacing w:after="120"/>
              <w:rPr>
                <w:rFonts w:ascii="Times New Roman" w:hAnsi="Times New Roman" w:cs="Times New Roman"/>
                <w:sz w:val="18"/>
                <w:szCs w:val="18"/>
              </w:rPr>
            </w:pPr>
            <w:r>
              <w:rPr>
                <w:rFonts w:ascii="Times New Roman" w:hAnsi="Times New Roman" w:cs="Times New Roman"/>
                <w:sz w:val="18"/>
                <w:szCs w:val="18"/>
              </w:rPr>
              <w:t>8.2 Yes</w:t>
            </w:r>
          </w:p>
        </w:tc>
        <w:tc>
          <w:tcPr>
            <w:tcW w:w="1512" w:type="pct"/>
            <w:vAlign w:val="center"/>
          </w:tcPr>
          <w:p w14:paraId="4B4CAF16" w14:textId="14279A86" w:rsidR="000F547C" w:rsidRPr="00AF1009" w:rsidRDefault="000E1756" w:rsidP="000F547C">
            <w:pPr>
              <w:pStyle w:val="ListParagraph"/>
              <w:ind w:left="0"/>
              <w:rPr>
                <w:rFonts w:ascii="Times New Roman" w:hAnsi="Times New Roman" w:cs="Times New Roman"/>
                <w:sz w:val="18"/>
                <w:szCs w:val="18"/>
              </w:rPr>
            </w:pPr>
            <w:r>
              <w:rPr>
                <w:rFonts w:ascii="Times New Roman" w:hAnsi="Times New Roman" w:cs="Times New Roman"/>
                <w:sz w:val="18"/>
                <w:szCs w:val="18"/>
              </w:rPr>
              <w:t xml:space="preserve">8.1 </w:t>
            </w:r>
            <w:r w:rsidR="000F547C" w:rsidRPr="00AF1009">
              <w:rPr>
                <w:rFonts w:ascii="Times New Roman" w:hAnsi="Times New Roman" w:cs="Times New Roman"/>
                <w:sz w:val="18"/>
                <w:szCs w:val="18"/>
              </w:rPr>
              <w:t>US$</w:t>
            </w:r>
            <w:r>
              <w:rPr>
                <w:rFonts w:ascii="Times New Roman" w:hAnsi="Times New Roman" w:cs="Times New Roman"/>
                <w:sz w:val="18"/>
                <w:szCs w:val="18"/>
              </w:rPr>
              <w:t>3</w:t>
            </w:r>
            <w:r w:rsidRPr="00AF1009">
              <w:rPr>
                <w:rFonts w:ascii="Times New Roman" w:hAnsi="Times New Roman" w:cs="Times New Roman"/>
                <w:sz w:val="18"/>
                <w:szCs w:val="18"/>
              </w:rPr>
              <w:t xml:space="preserve"> </w:t>
            </w:r>
            <w:r w:rsidR="000F547C" w:rsidRPr="00AF1009">
              <w:rPr>
                <w:rFonts w:ascii="Times New Roman" w:hAnsi="Times New Roman" w:cs="Times New Roman"/>
                <w:sz w:val="18"/>
                <w:szCs w:val="18"/>
              </w:rPr>
              <w:t xml:space="preserve">million  </w:t>
            </w:r>
          </w:p>
          <w:p w14:paraId="57E5C92A" w14:textId="4A4FD860" w:rsidR="000F547C" w:rsidRPr="00BC7BB5" w:rsidRDefault="000E1756" w:rsidP="000F547C">
            <w:pPr>
              <w:spacing w:after="120"/>
              <w:rPr>
                <w:rFonts w:ascii="Times New Roman" w:hAnsi="Times New Roman" w:cs="Times New Roman"/>
                <w:sz w:val="18"/>
                <w:szCs w:val="18"/>
              </w:rPr>
            </w:pPr>
            <w:r>
              <w:rPr>
                <w:rFonts w:ascii="Times New Roman" w:hAnsi="Times New Roman" w:cs="Times New Roman"/>
                <w:sz w:val="18"/>
                <w:szCs w:val="18"/>
              </w:rPr>
              <w:t xml:space="preserve">8.2 </w:t>
            </w:r>
            <w:r w:rsidR="000F547C" w:rsidRPr="00AF1009">
              <w:rPr>
                <w:rFonts w:ascii="Times New Roman" w:hAnsi="Times New Roman" w:cs="Times New Roman"/>
                <w:sz w:val="18"/>
                <w:szCs w:val="18"/>
              </w:rPr>
              <w:t>US$</w:t>
            </w:r>
            <w:r>
              <w:rPr>
                <w:rFonts w:ascii="Times New Roman" w:hAnsi="Times New Roman" w:cs="Times New Roman"/>
                <w:sz w:val="18"/>
                <w:szCs w:val="18"/>
              </w:rPr>
              <w:t>7</w:t>
            </w:r>
            <w:r w:rsidRPr="00AF1009">
              <w:rPr>
                <w:rFonts w:ascii="Times New Roman" w:hAnsi="Times New Roman" w:cs="Times New Roman"/>
                <w:sz w:val="18"/>
                <w:szCs w:val="18"/>
              </w:rPr>
              <w:t xml:space="preserve"> </w:t>
            </w:r>
            <w:r w:rsidR="000F547C" w:rsidRPr="00AF1009">
              <w:rPr>
                <w:rFonts w:ascii="Times New Roman" w:hAnsi="Times New Roman" w:cs="Times New Roman"/>
                <w:sz w:val="18"/>
                <w:szCs w:val="18"/>
              </w:rPr>
              <w:t xml:space="preserve">million </w:t>
            </w:r>
          </w:p>
        </w:tc>
      </w:tr>
    </w:tbl>
    <w:p w14:paraId="53B2A3C7" w14:textId="44459F6C" w:rsidR="004A08DC" w:rsidRPr="00BC7BB5" w:rsidRDefault="001D2940" w:rsidP="007267C9">
      <w:pPr>
        <w:jc w:val="center"/>
        <w:rPr>
          <w:rFonts w:ascii="Times New Roman" w:hAnsi="Times New Roman" w:cs="Times New Roman"/>
        </w:rPr>
      </w:pPr>
      <w:r w:rsidRPr="00BC7BB5">
        <w:rPr>
          <w:rFonts w:ascii="Times New Roman" w:hAnsi="Times New Roman" w:cs="Times New Roman"/>
        </w:rPr>
        <w:br w:type="page"/>
      </w:r>
    </w:p>
    <w:p w14:paraId="53B2A3C8" w14:textId="77777777" w:rsidR="0091032F" w:rsidRPr="00BC7BB5" w:rsidRDefault="0091032F">
      <w:pPr>
        <w:rPr>
          <w:rFonts w:ascii="Times New Roman" w:hAnsi="Times New Roman" w:cs="Times New Roman"/>
        </w:rPr>
        <w:sectPr w:rsidR="0091032F" w:rsidRPr="00BC7BB5" w:rsidSect="00335921">
          <w:pgSz w:w="15840" w:h="12240" w:orient="landscape"/>
          <w:pgMar w:top="1440" w:right="1440" w:bottom="1440" w:left="1440" w:header="720" w:footer="720" w:gutter="0"/>
          <w:pgNumType w:chapStyle="1"/>
          <w:cols w:space="720"/>
          <w:docGrid w:linePitch="360"/>
        </w:sectPr>
      </w:pPr>
    </w:p>
    <w:p w14:paraId="53B2A3C9" w14:textId="2270A8B1" w:rsidR="00AE45E6" w:rsidRPr="00BC7BB5" w:rsidRDefault="001D2940" w:rsidP="005D30EF">
      <w:pPr>
        <w:pStyle w:val="ListParagraph"/>
        <w:ind w:left="0"/>
        <w:jc w:val="center"/>
        <w:outlineLvl w:val="0"/>
        <w:rPr>
          <w:rFonts w:ascii="Times New Roman" w:hAnsi="Times New Roman" w:cs="Times New Roman"/>
          <w:b/>
        </w:rPr>
      </w:pPr>
      <w:bookmarkStart w:id="27" w:name="_Toc499113414"/>
      <w:r w:rsidRPr="00BC7BB5">
        <w:rPr>
          <w:rFonts w:ascii="Times New Roman" w:hAnsi="Times New Roman" w:cs="Times New Roman"/>
          <w:b/>
        </w:rPr>
        <w:lastRenderedPageBreak/>
        <w:t xml:space="preserve">Annex </w:t>
      </w:r>
      <w:r w:rsidR="009D1C20" w:rsidRPr="00BC7BB5">
        <w:rPr>
          <w:rFonts w:ascii="Times New Roman" w:hAnsi="Times New Roman" w:cs="Times New Roman"/>
          <w:b/>
        </w:rPr>
        <w:t>4</w:t>
      </w:r>
      <w:r w:rsidRPr="00BC7BB5">
        <w:rPr>
          <w:rFonts w:ascii="Times New Roman" w:hAnsi="Times New Roman" w:cs="Times New Roman"/>
          <w:b/>
        </w:rPr>
        <w:t xml:space="preserve">:  </w:t>
      </w:r>
      <w:r w:rsidR="00DD1EA4" w:rsidRPr="00BC7BB5">
        <w:rPr>
          <w:rFonts w:ascii="Times New Roman" w:hAnsi="Times New Roman" w:cs="Times New Roman"/>
          <w:b/>
        </w:rPr>
        <w:t>Summary</w:t>
      </w:r>
      <w:r w:rsidR="00142634" w:rsidRPr="00BC7BB5">
        <w:rPr>
          <w:rFonts w:ascii="Times New Roman" w:hAnsi="Times New Roman" w:cs="Times New Roman"/>
          <w:b/>
        </w:rPr>
        <w:t xml:space="preserve"> </w:t>
      </w:r>
      <w:r w:rsidRPr="00BC7BB5">
        <w:rPr>
          <w:rFonts w:ascii="Times New Roman" w:hAnsi="Times New Roman" w:cs="Times New Roman"/>
          <w:b/>
        </w:rPr>
        <w:t>Technical Assessment</w:t>
      </w:r>
      <w:bookmarkEnd w:id="27"/>
    </w:p>
    <w:p w14:paraId="53B2A3CA" w14:textId="16CBF4A2" w:rsidR="00DC6A3C" w:rsidRPr="00BC7BB5" w:rsidRDefault="00DC6A3C" w:rsidP="00CF260B">
      <w:pPr>
        <w:spacing w:after="0" w:line="240" w:lineRule="auto"/>
        <w:jc w:val="center"/>
        <w:rPr>
          <w:rFonts w:ascii="Times New Roman" w:hAnsi="Times New Roman" w:cs="Times New Roman"/>
          <w:b/>
        </w:rPr>
      </w:pPr>
    </w:p>
    <w:p w14:paraId="06333E42" w14:textId="5EDB4FE3" w:rsidR="00DD1EA4" w:rsidRPr="00BC7BB5" w:rsidRDefault="00DD1EA4" w:rsidP="00F561E8">
      <w:pPr>
        <w:pStyle w:val="NoSpacing"/>
        <w:numPr>
          <w:ilvl w:val="0"/>
          <w:numId w:val="30"/>
        </w:numPr>
        <w:ind w:left="0" w:firstLine="0"/>
        <w:rPr>
          <w:rFonts w:ascii="Times New Roman Bold" w:hAnsi="Times New Roman Bold" w:cs="Times New Roman"/>
          <w:b/>
          <w:smallCaps/>
        </w:rPr>
      </w:pPr>
      <w:r w:rsidRPr="00BC7BB5">
        <w:rPr>
          <w:rFonts w:ascii="Times New Roman Bold" w:hAnsi="Times New Roman Bold" w:cs="Times New Roman"/>
          <w:b/>
          <w:smallCaps/>
        </w:rPr>
        <w:t>Strategic relevance of the proposed Program</w:t>
      </w:r>
    </w:p>
    <w:p w14:paraId="116CC4BB" w14:textId="5B2F8430" w:rsidR="00DD1EA4" w:rsidRPr="00BC7BB5" w:rsidRDefault="00DD1EA4" w:rsidP="00B65FDD">
      <w:pPr>
        <w:pStyle w:val="NoSpacing"/>
        <w:jc w:val="both"/>
        <w:rPr>
          <w:rFonts w:ascii="Times New Roman" w:hAnsi="Times New Roman" w:cs="Times New Roman"/>
        </w:rPr>
      </w:pPr>
    </w:p>
    <w:p w14:paraId="48EF1DFF" w14:textId="072C90EC" w:rsidR="00D32B7B" w:rsidRPr="00BC7BB5" w:rsidRDefault="00FB30D8" w:rsidP="00F561E8">
      <w:pPr>
        <w:pStyle w:val="NoSpacing"/>
        <w:numPr>
          <w:ilvl w:val="0"/>
          <w:numId w:val="35"/>
        </w:numPr>
        <w:ind w:left="0" w:firstLine="0"/>
        <w:jc w:val="both"/>
        <w:rPr>
          <w:rFonts w:ascii="Times New Roman" w:hAnsi="Times New Roman" w:cs="Times New Roman"/>
        </w:rPr>
      </w:pPr>
      <w:r w:rsidRPr="00BC7BB5">
        <w:rPr>
          <w:rFonts w:ascii="Times New Roman" w:hAnsi="Times New Roman" w:cs="Times New Roman"/>
          <w:b/>
        </w:rPr>
        <w:t xml:space="preserve">Considering its role in the national economy, the </w:t>
      </w:r>
      <w:r w:rsidR="00DF7330" w:rsidRPr="00BC7BB5">
        <w:rPr>
          <w:rFonts w:ascii="Times New Roman" w:hAnsi="Times New Roman" w:cs="Times New Roman"/>
          <w:b/>
        </w:rPr>
        <w:t>agriculture</w:t>
      </w:r>
      <w:r w:rsidRPr="00BC7BB5">
        <w:rPr>
          <w:rFonts w:ascii="Times New Roman" w:hAnsi="Times New Roman" w:cs="Times New Roman"/>
          <w:b/>
        </w:rPr>
        <w:t xml:space="preserve"> sector will play a fundamental role in ensuring sustainable and inclusive growth in the future.</w:t>
      </w:r>
      <w:r w:rsidRPr="00BC7BB5">
        <w:rPr>
          <w:rFonts w:ascii="Times New Roman" w:hAnsi="Times New Roman" w:cs="Times New Roman"/>
        </w:rPr>
        <w:t xml:space="preserve"> Morocco’s GDP growth is strongly correlated with that of agriculture GDP. Agriculture was the fastest growing economic sector from 2000 to </w:t>
      </w:r>
      <w:r w:rsidRPr="001D1FDF">
        <w:rPr>
          <w:rFonts w:ascii="Times New Roman" w:hAnsi="Times New Roman" w:cs="Times New Roman"/>
        </w:rPr>
        <w:t>2015</w:t>
      </w:r>
      <w:r w:rsidRPr="00BC7BB5">
        <w:rPr>
          <w:rFonts w:ascii="Times New Roman" w:hAnsi="Times New Roman" w:cs="Times New Roman"/>
        </w:rPr>
        <w:t xml:space="preserve">, and the share of agriculture in Morocco’s GDP has fallen very slowly remaining at 15 percent in 2015. In </w:t>
      </w:r>
      <w:r w:rsidRPr="001D1FDF">
        <w:rPr>
          <w:rFonts w:ascii="Times New Roman" w:hAnsi="Times New Roman" w:cs="Times New Roman"/>
        </w:rPr>
        <w:t>201</w:t>
      </w:r>
      <w:r w:rsidR="001D1FDF" w:rsidRPr="001D1FDF">
        <w:rPr>
          <w:rFonts w:ascii="Times New Roman" w:hAnsi="Times New Roman" w:cs="Times New Roman"/>
        </w:rPr>
        <w:t>5</w:t>
      </w:r>
      <w:r w:rsidRPr="001D1FDF">
        <w:rPr>
          <w:rFonts w:ascii="Times New Roman" w:hAnsi="Times New Roman" w:cs="Times New Roman"/>
        </w:rPr>
        <w:t>,</w:t>
      </w:r>
      <w:r w:rsidRPr="00BC7BB5">
        <w:rPr>
          <w:rFonts w:ascii="Times New Roman" w:hAnsi="Times New Roman" w:cs="Times New Roman"/>
        </w:rPr>
        <w:t xml:space="preserve"> the sector represented 2</w:t>
      </w:r>
      <w:r w:rsidR="001D1FDF">
        <w:rPr>
          <w:rFonts w:ascii="Times New Roman" w:hAnsi="Times New Roman" w:cs="Times New Roman"/>
        </w:rPr>
        <w:t>1</w:t>
      </w:r>
      <w:r w:rsidRPr="00BC7BB5">
        <w:rPr>
          <w:rFonts w:ascii="Times New Roman" w:hAnsi="Times New Roman" w:cs="Times New Roman"/>
        </w:rPr>
        <w:t xml:space="preserve"> percent of total exports, and it was the first employer representing 41 percent of total employment (an estimated 4 million people) and 85 percent of </w:t>
      </w:r>
      <w:r w:rsidR="00014B54" w:rsidRPr="00BC7BB5">
        <w:rPr>
          <w:rFonts w:ascii="Times New Roman" w:hAnsi="Times New Roman" w:cs="Times New Roman"/>
        </w:rPr>
        <w:t xml:space="preserve">all </w:t>
      </w:r>
      <w:r w:rsidRPr="00BC7BB5">
        <w:rPr>
          <w:rFonts w:ascii="Times New Roman" w:hAnsi="Times New Roman" w:cs="Times New Roman"/>
        </w:rPr>
        <w:t>employment in rural areas. Women actively engage in agriculture, with 57 percent of the female population participating in agricultural work. The pace, quality and sustainability of transformation of the agri-food sector will therefore have a direct impact on the country’s key socio-economic development challenges</w:t>
      </w:r>
      <w:r w:rsidR="00CC1CD0" w:rsidRPr="00BC7BB5">
        <w:rPr>
          <w:rFonts w:ascii="Times New Roman" w:hAnsi="Times New Roman" w:cs="Times New Roman"/>
        </w:rPr>
        <w:t>.</w:t>
      </w:r>
    </w:p>
    <w:p w14:paraId="1B8F95A6" w14:textId="77777777" w:rsidR="00CC1CD0" w:rsidRPr="00BC7BB5" w:rsidRDefault="00CC1CD0" w:rsidP="00696665">
      <w:pPr>
        <w:pStyle w:val="NoSpacing"/>
        <w:jc w:val="both"/>
        <w:rPr>
          <w:rFonts w:ascii="Times New Roman" w:hAnsi="Times New Roman" w:cs="Times New Roman"/>
        </w:rPr>
      </w:pPr>
    </w:p>
    <w:p w14:paraId="71ECDA86" w14:textId="612E7813" w:rsidR="00CC1CD0" w:rsidRPr="00BC7BB5" w:rsidRDefault="00CC1CD0" w:rsidP="00F561E8">
      <w:pPr>
        <w:pStyle w:val="NoSpacing"/>
        <w:numPr>
          <w:ilvl w:val="0"/>
          <w:numId w:val="35"/>
        </w:numPr>
        <w:ind w:left="0" w:firstLine="0"/>
        <w:jc w:val="both"/>
        <w:rPr>
          <w:rFonts w:ascii="Times New Roman" w:hAnsi="Times New Roman" w:cs="Times New Roman"/>
        </w:rPr>
      </w:pPr>
      <w:r w:rsidRPr="00BC7BB5">
        <w:rPr>
          <w:rFonts w:ascii="Times New Roman" w:hAnsi="Times New Roman" w:cs="Times New Roman"/>
          <w:b/>
        </w:rPr>
        <w:t>However, agricultural growth has not substantially narrowed the rural</w:t>
      </w:r>
      <w:r w:rsidRPr="00BC7BB5">
        <w:rPr>
          <w:rFonts w:ascii="Times New Roman" w:hAnsi="Times New Roman" w:cs="Times New Roman"/>
        </w:rPr>
        <w:t>-</w:t>
      </w:r>
      <w:r w:rsidRPr="00BC7BB5">
        <w:rPr>
          <w:rFonts w:ascii="Times New Roman" w:hAnsi="Times New Roman" w:cs="Times New Roman"/>
          <w:b/>
        </w:rPr>
        <w:t>urban gap</w:t>
      </w:r>
      <w:r w:rsidR="00B6213B" w:rsidRPr="00BC7BB5">
        <w:rPr>
          <w:rFonts w:ascii="Times New Roman" w:hAnsi="Times New Roman" w:cs="Times New Roman"/>
          <w:b/>
        </w:rPr>
        <w:t xml:space="preserve"> and there are concerns about the sustainability of the current agricultural growth pattern.  </w:t>
      </w:r>
      <w:r w:rsidRPr="00BC7BB5">
        <w:rPr>
          <w:rFonts w:ascii="Times New Roman" w:hAnsi="Times New Roman" w:cs="Times New Roman"/>
        </w:rPr>
        <w:t xml:space="preserve">Morocco’s poverty rate dropped to 4.8 percent in 2014, but this decline is not equally distributed between rural and urban areas. </w:t>
      </w:r>
      <w:r w:rsidR="009A439C" w:rsidRPr="00BC7BB5">
        <w:rPr>
          <w:rFonts w:ascii="Times New Roman" w:hAnsi="Times New Roman" w:cs="Times New Roman"/>
        </w:rPr>
        <w:t>Th</w:t>
      </w:r>
      <w:r w:rsidRPr="00BC7BB5">
        <w:rPr>
          <w:rFonts w:ascii="Times New Roman" w:hAnsi="Times New Roman" w:cs="Times New Roman"/>
        </w:rPr>
        <w:t xml:space="preserve">e country’s gap between urban and rural living standards is the highest in MENA. The rural population accounts for 40 percent of the total population but 79.4 percent of the poor. The rural poor are largely employed in agriculture (including fisheries and forestry) and regions with large shares of agricultural GDP have poverty rates well above national averages (HCP, 2015). </w:t>
      </w:r>
      <w:r w:rsidR="00B6213B" w:rsidRPr="00BC7BB5">
        <w:rPr>
          <w:rFonts w:ascii="Times New Roman" w:hAnsi="Times New Roman" w:cs="Times New Roman"/>
        </w:rPr>
        <w:t>Furthermore, t</w:t>
      </w:r>
      <w:r w:rsidRPr="00BC7BB5">
        <w:rPr>
          <w:rFonts w:ascii="Times New Roman" w:hAnsi="Times New Roman" w:cs="Times New Roman"/>
        </w:rPr>
        <w:t>he agricultural growth path followed by Morocco since 2008 has been relatively extensive and based on production factor accumulation, and it is now getting constrained by a rarefaction of key resources (such as land and water). The agri-food sector is also highly vulnerable to climate variability resulting in the high volatility of agricultural GDP (which affects Morocco’s GDP). Morocco is susceptible to chronic drought</w:t>
      </w:r>
      <w:r w:rsidRPr="00BC7BB5">
        <w:rPr>
          <w:rStyle w:val="FootnoteReference"/>
        </w:rPr>
        <w:footnoteReference w:id="28"/>
      </w:r>
      <w:r w:rsidRPr="00BC7BB5">
        <w:rPr>
          <w:rFonts w:ascii="Times New Roman" w:hAnsi="Times New Roman" w:cs="Times New Roman"/>
        </w:rPr>
        <w:t xml:space="preserve">, and climate change is likely to exacerbate water scarcity, reduce yields, and increase </w:t>
      </w:r>
      <w:r w:rsidRPr="00BC7BB5">
        <w:rPr>
          <w:rFonts w:ascii="Times New Roman" w:hAnsi="Times New Roman" w:cs="Times New Roman"/>
          <w:color w:val="000000"/>
        </w:rPr>
        <w:t xml:space="preserve">volatility of agricultural production, with </w:t>
      </w:r>
      <w:r w:rsidRPr="00BC7BB5">
        <w:rPr>
          <w:rFonts w:ascii="Times New Roman" w:hAnsi="Times New Roman" w:cs="Times New Roman"/>
        </w:rPr>
        <w:t>substantial variation between regions</w:t>
      </w:r>
      <w:r w:rsidRPr="00BC7BB5">
        <w:rPr>
          <w:rFonts w:ascii="Times New Roman" w:hAnsi="Times New Roman" w:cs="Times New Roman"/>
          <w:color w:val="000000"/>
        </w:rPr>
        <w:t>.</w:t>
      </w:r>
      <w:r w:rsidRPr="00BC7BB5">
        <w:rPr>
          <w:rStyle w:val="FootnoteReference"/>
        </w:rPr>
        <w:footnoteReference w:id="29"/>
      </w:r>
      <w:r w:rsidR="00B6213B" w:rsidRPr="00BC7BB5">
        <w:rPr>
          <w:rFonts w:ascii="Times New Roman" w:hAnsi="Times New Roman" w:cs="Times New Roman"/>
        </w:rPr>
        <w:t xml:space="preserve"> Higher farm and household incomes, sustainable farming practices, better market access and more diverse income opportunities will be needed to improve the prospects of the rural poor.</w:t>
      </w:r>
    </w:p>
    <w:p w14:paraId="26883354" w14:textId="77777777" w:rsidR="00CC1CD0" w:rsidRPr="00BC7BB5" w:rsidRDefault="00CC1CD0" w:rsidP="00CC1CD0">
      <w:pPr>
        <w:pStyle w:val="ListParagraph"/>
        <w:spacing w:after="0"/>
        <w:rPr>
          <w:rFonts w:ascii="Times New Roman" w:hAnsi="Times New Roman" w:cs="Times New Roman"/>
        </w:rPr>
      </w:pPr>
    </w:p>
    <w:p w14:paraId="0C6D5DBD" w14:textId="5D9C6ACD" w:rsidR="006B0EFF" w:rsidRPr="00BC7BB5" w:rsidRDefault="00CC1CD0" w:rsidP="00F561E8">
      <w:pPr>
        <w:pStyle w:val="NoSpacing"/>
        <w:numPr>
          <w:ilvl w:val="0"/>
          <w:numId w:val="35"/>
        </w:numPr>
        <w:ind w:left="0" w:firstLine="0"/>
        <w:jc w:val="both"/>
        <w:rPr>
          <w:rFonts w:ascii="Times New Roman" w:hAnsi="Times New Roman" w:cs="Times New Roman"/>
        </w:rPr>
      </w:pPr>
      <w:r w:rsidRPr="00BC7BB5">
        <w:rPr>
          <w:rFonts w:ascii="Times New Roman" w:hAnsi="Times New Roman" w:cs="Times New Roman"/>
          <w:b/>
        </w:rPr>
        <w:t xml:space="preserve">The dualistic nature of </w:t>
      </w:r>
      <w:r w:rsidR="001B3DCF" w:rsidRPr="00BC7BB5">
        <w:rPr>
          <w:rFonts w:ascii="Times New Roman" w:hAnsi="Times New Roman" w:cs="Times New Roman"/>
          <w:b/>
        </w:rPr>
        <w:t>the agriculture sector</w:t>
      </w:r>
      <w:r w:rsidRPr="00BC7BB5">
        <w:rPr>
          <w:rFonts w:ascii="Times New Roman" w:hAnsi="Times New Roman" w:cs="Times New Roman"/>
          <w:b/>
        </w:rPr>
        <w:t xml:space="preserve"> is an important factor limiting inclusive and sustainable agricultural growth</w:t>
      </w:r>
      <w:r w:rsidRPr="00BC7BB5">
        <w:rPr>
          <w:rFonts w:ascii="Times New Roman" w:hAnsi="Times New Roman" w:cs="Times New Roman"/>
        </w:rPr>
        <w:t>. Less than one percent of farmers—representing 14 percent of cultivated land— have highly profitable, commercial, and export-oriented farms. Most small farms are operated by older household heads with low education levels—more than 45 percent of the heads of farming families are over 55 years old and 81 percent are illiterate. These heads</w:t>
      </w:r>
      <w:r w:rsidR="00090D1C">
        <w:rPr>
          <w:rFonts w:ascii="Times New Roman" w:hAnsi="Times New Roman" w:cs="Times New Roman"/>
        </w:rPr>
        <w:t xml:space="preserve"> </w:t>
      </w:r>
      <w:r w:rsidRPr="00BC7BB5">
        <w:rPr>
          <w:rFonts w:ascii="Times New Roman" w:hAnsi="Times New Roman" w:cs="Times New Roman"/>
        </w:rPr>
        <w:t>of</w:t>
      </w:r>
      <w:r w:rsidR="00090D1C">
        <w:rPr>
          <w:rFonts w:ascii="Times New Roman" w:hAnsi="Times New Roman" w:cs="Times New Roman"/>
        </w:rPr>
        <w:t xml:space="preserve"> </w:t>
      </w:r>
      <w:r w:rsidRPr="00BC7BB5">
        <w:rPr>
          <w:rFonts w:ascii="Times New Roman" w:hAnsi="Times New Roman" w:cs="Times New Roman"/>
        </w:rPr>
        <w:t>household lack technical know-how and rarely use modern technologies. To meet food consumption needs for their livestock and themselves, smallholders produce low-value agricultural commodities –such as wheat and barley -- for which subsidy schemes and market protection incentives are provided by the Government. Notwithstanding those structural issues, the emergence of more commercially-oriented family farm and medium-size farms has been observed in the past decade, and accompanied by an increase of the average farm size</w:t>
      </w:r>
      <w:r w:rsidR="00696665" w:rsidRPr="00BC7BB5">
        <w:rPr>
          <w:rFonts w:ascii="Times New Roman" w:hAnsi="Times New Roman" w:cs="Times New Roman"/>
        </w:rPr>
        <w:t>.</w:t>
      </w:r>
      <w:r w:rsidR="00E914BB" w:rsidRPr="00BC7BB5">
        <w:rPr>
          <w:rFonts w:ascii="Times New Roman" w:hAnsi="Times New Roman" w:cs="Times New Roman"/>
        </w:rPr>
        <w:t xml:space="preserve"> </w:t>
      </w:r>
      <w:r w:rsidR="00E4359F" w:rsidRPr="00BC7BB5">
        <w:rPr>
          <w:rFonts w:ascii="Times New Roman" w:hAnsi="Times New Roman" w:cs="Times New Roman"/>
        </w:rPr>
        <w:t>Beyond farm level, the</w:t>
      </w:r>
      <w:r w:rsidR="006B0EFF" w:rsidRPr="00BC7BB5">
        <w:rPr>
          <w:rFonts w:ascii="Times New Roman" w:hAnsi="Times New Roman" w:cs="Times New Roman"/>
        </w:rPr>
        <w:t xml:space="preserve"> dualistic nature of the agriculture sector is also reflected in the segmentation between domestic and export markets. </w:t>
      </w:r>
      <w:r w:rsidR="00760C3B" w:rsidRPr="00BC7BB5">
        <w:rPr>
          <w:rFonts w:ascii="Times New Roman" w:hAnsi="Times New Roman" w:cs="Times New Roman"/>
        </w:rPr>
        <w:t>For example, i</w:t>
      </w:r>
      <w:r w:rsidR="00FD0706" w:rsidRPr="00BC7BB5">
        <w:rPr>
          <w:rFonts w:ascii="Times New Roman" w:hAnsi="Times New Roman" w:cs="Times New Roman"/>
        </w:rPr>
        <w:t xml:space="preserve">n the olive sub-sector, </w:t>
      </w:r>
      <w:r w:rsidR="008E2FCC" w:rsidRPr="00BC7BB5">
        <w:rPr>
          <w:rFonts w:ascii="Times New Roman" w:hAnsi="Times New Roman" w:cs="Times New Roman"/>
        </w:rPr>
        <w:t>the majority of olive o</w:t>
      </w:r>
      <w:r w:rsidR="0053011E" w:rsidRPr="00BC7BB5">
        <w:rPr>
          <w:rFonts w:ascii="Times New Roman" w:hAnsi="Times New Roman" w:cs="Times New Roman"/>
        </w:rPr>
        <w:t>il production is directed to</w:t>
      </w:r>
      <w:r w:rsidR="008E2FCC" w:rsidRPr="00BC7BB5">
        <w:rPr>
          <w:rFonts w:ascii="Times New Roman" w:hAnsi="Times New Roman" w:cs="Times New Roman"/>
        </w:rPr>
        <w:t xml:space="preserve"> domestic markets, with lower quality oil (lampante)</w:t>
      </w:r>
      <w:r w:rsidR="00136B3F" w:rsidRPr="00BC7BB5">
        <w:rPr>
          <w:rFonts w:ascii="Times New Roman" w:hAnsi="Times New Roman" w:cs="Times New Roman"/>
        </w:rPr>
        <w:t xml:space="preserve"> processed in traditional mills which in many cases do not comply with domestic </w:t>
      </w:r>
      <w:r w:rsidR="0053011E" w:rsidRPr="00BC7BB5">
        <w:rPr>
          <w:rFonts w:ascii="Times New Roman" w:hAnsi="Times New Roman" w:cs="Times New Roman"/>
        </w:rPr>
        <w:t>food safety standards; while</w:t>
      </w:r>
      <w:r w:rsidR="00E62F36" w:rsidRPr="00BC7BB5">
        <w:rPr>
          <w:rFonts w:ascii="Times New Roman" w:hAnsi="Times New Roman" w:cs="Times New Roman"/>
        </w:rPr>
        <w:t>,</w:t>
      </w:r>
      <w:r w:rsidR="0053011E" w:rsidRPr="00BC7BB5">
        <w:rPr>
          <w:rFonts w:ascii="Times New Roman" w:hAnsi="Times New Roman" w:cs="Times New Roman"/>
        </w:rPr>
        <w:t xml:space="preserve"> in parallel, a small</w:t>
      </w:r>
      <w:r w:rsidR="00E62F36" w:rsidRPr="00BC7BB5">
        <w:rPr>
          <w:rFonts w:ascii="Times New Roman" w:hAnsi="Times New Roman" w:cs="Times New Roman"/>
        </w:rPr>
        <w:t>er</w:t>
      </w:r>
      <w:r w:rsidR="0053011E" w:rsidRPr="00BC7BB5">
        <w:rPr>
          <w:rFonts w:ascii="Times New Roman" w:hAnsi="Times New Roman" w:cs="Times New Roman"/>
        </w:rPr>
        <w:t xml:space="preserve"> modern sector oriented towards export markets is producing a </w:t>
      </w:r>
      <w:r w:rsidR="008159B3" w:rsidRPr="00BC7BB5">
        <w:rPr>
          <w:rFonts w:ascii="Times New Roman" w:hAnsi="Times New Roman" w:cs="Times New Roman"/>
        </w:rPr>
        <w:t>broader</w:t>
      </w:r>
      <w:r w:rsidR="0053011E" w:rsidRPr="00BC7BB5">
        <w:rPr>
          <w:rFonts w:ascii="Times New Roman" w:hAnsi="Times New Roman" w:cs="Times New Roman"/>
        </w:rPr>
        <w:t xml:space="preserve"> range of products and trying to diversify </w:t>
      </w:r>
      <w:r w:rsidR="00E62F36" w:rsidRPr="00BC7BB5">
        <w:rPr>
          <w:rFonts w:ascii="Times New Roman" w:hAnsi="Times New Roman" w:cs="Times New Roman"/>
        </w:rPr>
        <w:t xml:space="preserve">export destinations. In the citrus sub-sector, </w:t>
      </w:r>
      <w:r w:rsidR="00C050FF" w:rsidRPr="00BC7BB5">
        <w:rPr>
          <w:rFonts w:ascii="Times New Roman" w:hAnsi="Times New Roman" w:cs="Times New Roman"/>
        </w:rPr>
        <w:t xml:space="preserve">unlike with competitors, </w:t>
      </w:r>
      <w:r w:rsidR="008159B3" w:rsidRPr="00BC7BB5">
        <w:rPr>
          <w:rFonts w:ascii="Times New Roman" w:hAnsi="Times New Roman" w:cs="Times New Roman"/>
        </w:rPr>
        <w:t>domestic production and distribution channels are relatively disconnected from export channels</w:t>
      </w:r>
      <w:r w:rsidR="00A17935" w:rsidRPr="00BC7BB5">
        <w:rPr>
          <w:rFonts w:ascii="Times New Roman" w:hAnsi="Times New Roman" w:cs="Times New Roman"/>
        </w:rPr>
        <w:t>.</w:t>
      </w:r>
    </w:p>
    <w:p w14:paraId="5225DFAD" w14:textId="2FAD46CD" w:rsidR="00CC1CD0" w:rsidRPr="00BC7BB5" w:rsidRDefault="00CC1CD0" w:rsidP="006B0EFF">
      <w:pPr>
        <w:pStyle w:val="NoSpacing"/>
        <w:autoSpaceDE w:val="0"/>
        <w:autoSpaceDN w:val="0"/>
        <w:adjustRightInd w:val="0"/>
        <w:jc w:val="both"/>
        <w:rPr>
          <w:rFonts w:ascii="Times New Roman" w:hAnsi="Times New Roman" w:cs="Times New Roman"/>
        </w:rPr>
      </w:pPr>
      <w:r w:rsidRPr="00BC7BB5">
        <w:rPr>
          <w:rFonts w:ascii="Times New Roman" w:hAnsi="Times New Roman" w:cs="Times New Roman"/>
        </w:rPr>
        <w:lastRenderedPageBreak/>
        <w:t xml:space="preserve"> </w:t>
      </w:r>
    </w:p>
    <w:p w14:paraId="079B067E" w14:textId="0575BB65" w:rsidR="00696665" w:rsidRPr="00BC7BB5" w:rsidRDefault="00696665" w:rsidP="00F561E8">
      <w:pPr>
        <w:pStyle w:val="NoSpacing"/>
        <w:numPr>
          <w:ilvl w:val="0"/>
          <w:numId w:val="35"/>
        </w:numPr>
        <w:ind w:left="0" w:firstLine="0"/>
        <w:jc w:val="both"/>
        <w:rPr>
          <w:rFonts w:ascii="Times New Roman" w:hAnsi="Times New Roman" w:cs="Times New Roman"/>
        </w:rPr>
      </w:pPr>
      <w:r w:rsidRPr="00BC7BB5">
        <w:rPr>
          <w:rFonts w:ascii="Times New Roman" w:hAnsi="Times New Roman" w:cs="Times New Roman"/>
          <w:b/>
        </w:rPr>
        <w:t>Agro-industry is the country’s second-largest industrial sub-sector, however its growth has not kept pace with agricultural growth</w:t>
      </w:r>
      <w:r w:rsidRPr="00BC7BB5">
        <w:rPr>
          <w:rFonts w:ascii="Times New Roman" w:hAnsi="Times New Roman" w:cs="Times New Roman"/>
        </w:rPr>
        <w:t>. It represents 27 percent of industrial GDP and 5 percent of total GDP. The sector’s value-added is around MAD30 billion (US$3 billion). Its growth has been lower than that of the manufacturing sector and that of (primary) agriculture over the past years</w:t>
      </w:r>
      <w:r w:rsidRPr="00BC7BB5">
        <w:t xml:space="preserve">. </w:t>
      </w:r>
      <w:r w:rsidRPr="00BC7BB5">
        <w:rPr>
          <w:rFonts w:ascii="Times New Roman" w:hAnsi="Times New Roman" w:cs="Times New Roman"/>
        </w:rPr>
        <w:t>While agro-industrial exports have increased in value, volumes have remained</w:t>
      </w:r>
      <w:r w:rsidR="00E4359F" w:rsidRPr="00BC7BB5">
        <w:rPr>
          <w:rFonts w:ascii="Times New Roman" w:hAnsi="Times New Roman" w:cs="Times New Roman"/>
        </w:rPr>
        <w:t xml:space="preserve"> constant over the past decade</w:t>
      </w:r>
      <w:r w:rsidRPr="00BC7BB5">
        <w:rPr>
          <w:rFonts w:ascii="Times New Roman" w:hAnsi="Times New Roman" w:cs="Times New Roman"/>
        </w:rPr>
        <w:t xml:space="preserve">, with exported goods accounting for only 12 percent of total industrial exports. A significant part of the industry uses imported inputs. It is estimated that close to 40 percent of the revenues generated by enterprises in the agri-food sector relate to the processing of imported products (milling, tobacco, sugar beverages, etc.) rather that adding value to </w:t>
      </w:r>
      <w:r w:rsidR="00E4359F" w:rsidRPr="00BC7BB5">
        <w:rPr>
          <w:rFonts w:ascii="Times New Roman" w:hAnsi="Times New Roman" w:cs="Times New Roman"/>
        </w:rPr>
        <w:t>domestic production</w:t>
      </w:r>
      <w:r w:rsidRPr="00BC7BB5">
        <w:t>.</w:t>
      </w:r>
    </w:p>
    <w:p w14:paraId="6154BB74" w14:textId="77777777" w:rsidR="00696665" w:rsidRPr="00BC7BB5" w:rsidRDefault="00696665" w:rsidP="008C3E21">
      <w:pPr>
        <w:pStyle w:val="ListParagraph"/>
        <w:spacing w:after="0"/>
        <w:rPr>
          <w:rFonts w:ascii="Times New Roman" w:hAnsi="Times New Roman" w:cs="Times New Roman"/>
        </w:rPr>
      </w:pPr>
    </w:p>
    <w:p w14:paraId="0AA84D60" w14:textId="3E680424" w:rsidR="00696665" w:rsidRPr="00BC7BB5" w:rsidRDefault="00696665" w:rsidP="00F561E8">
      <w:pPr>
        <w:pStyle w:val="NoSpacing"/>
        <w:numPr>
          <w:ilvl w:val="0"/>
          <w:numId w:val="35"/>
        </w:numPr>
        <w:ind w:left="0" w:firstLine="0"/>
        <w:jc w:val="both"/>
        <w:rPr>
          <w:rFonts w:ascii="Times New Roman" w:hAnsi="Times New Roman" w:cs="Times New Roman"/>
        </w:rPr>
      </w:pPr>
      <w:r w:rsidRPr="00BC7BB5">
        <w:rPr>
          <w:rFonts w:ascii="Times New Roman" w:hAnsi="Times New Roman" w:cs="Times New Roman"/>
          <w:b/>
        </w:rPr>
        <w:t xml:space="preserve">The </w:t>
      </w:r>
      <w:r w:rsidR="00DF7330" w:rsidRPr="00BC7BB5">
        <w:rPr>
          <w:rFonts w:ascii="Times New Roman" w:hAnsi="Times New Roman" w:cs="Times New Roman"/>
          <w:b/>
        </w:rPr>
        <w:t xml:space="preserve">economic fabric of the </w:t>
      </w:r>
      <w:r w:rsidRPr="00BC7BB5">
        <w:rPr>
          <w:rFonts w:ascii="Times New Roman" w:hAnsi="Times New Roman" w:cs="Times New Roman"/>
          <w:b/>
        </w:rPr>
        <w:t>agri-food sector</w:t>
      </w:r>
      <w:r w:rsidR="00DF7330" w:rsidRPr="00BC7BB5">
        <w:rPr>
          <w:rFonts w:ascii="Times New Roman" w:hAnsi="Times New Roman" w:cs="Times New Roman"/>
          <w:b/>
        </w:rPr>
        <w:t xml:space="preserve"> (including agriculture, agro-industry and the related services)</w:t>
      </w:r>
      <w:r w:rsidRPr="00BC7BB5">
        <w:rPr>
          <w:rFonts w:ascii="Times New Roman" w:hAnsi="Times New Roman" w:cs="Times New Roman"/>
          <w:b/>
        </w:rPr>
        <w:t xml:space="preserve"> is dominated by SMEs and cooperatives. </w:t>
      </w:r>
      <w:r w:rsidRPr="00BC7BB5">
        <w:rPr>
          <w:rFonts w:ascii="Times New Roman" w:hAnsi="Times New Roman" w:cs="Times New Roman"/>
        </w:rPr>
        <w:t>The agribusiness sector comprises some 2,050</w:t>
      </w:r>
      <w:r w:rsidRPr="00BC7BB5">
        <w:rPr>
          <w:rStyle w:val="FootnoteReference"/>
        </w:rPr>
        <w:footnoteReference w:id="30"/>
      </w:r>
      <w:r w:rsidRPr="00BC7BB5">
        <w:rPr>
          <w:rFonts w:ascii="Times New Roman" w:hAnsi="Times New Roman" w:cs="Times New Roman"/>
        </w:rPr>
        <w:t xml:space="preserve"> industrial units, most of them SMEs, and employs up to 143,000 people. Most SMEs in the agri-food sector are active in simple value addition, and the dominant products include milled cereals, oil, canned fruits and vegetables, canned fish, and animal feed. Since the passing of a new Law on cooperatives in 2012, there has been a sharp increase in the number of agriculture cooperatives, reaching 10,500</w:t>
      </w:r>
      <w:r w:rsidRPr="00BC7BB5">
        <w:rPr>
          <w:rStyle w:val="FootnoteReference"/>
        </w:rPr>
        <w:footnoteReference w:id="31"/>
      </w:r>
      <w:r w:rsidRPr="00BC7BB5">
        <w:rPr>
          <w:rFonts w:ascii="Times New Roman" w:hAnsi="Times New Roman" w:cs="Times New Roman"/>
        </w:rPr>
        <w:t xml:space="preserve"> cooperatives in 2015. An estimated 10 percent of them is also active in the processing and/or marketing of their own production, </w:t>
      </w:r>
      <w:r w:rsidR="00760C3B" w:rsidRPr="00BC7BB5">
        <w:rPr>
          <w:rFonts w:ascii="Times New Roman" w:hAnsi="Times New Roman" w:cs="Times New Roman"/>
        </w:rPr>
        <w:t>including</w:t>
      </w:r>
      <w:r w:rsidRPr="00BC7BB5">
        <w:rPr>
          <w:rFonts w:ascii="Times New Roman" w:hAnsi="Times New Roman" w:cs="Times New Roman"/>
        </w:rPr>
        <w:t xml:space="preserve"> niche or certified products </w:t>
      </w:r>
      <w:r w:rsidR="005F6E32" w:rsidRPr="00BC7BB5">
        <w:rPr>
          <w:rFonts w:ascii="Times New Roman" w:hAnsi="Times New Roman" w:cs="Times New Roman"/>
        </w:rPr>
        <w:t xml:space="preserve">(such as argan and </w:t>
      </w:r>
      <w:r w:rsidRPr="00BC7BB5">
        <w:rPr>
          <w:rFonts w:ascii="Times New Roman" w:hAnsi="Times New Roman" w:cs="Times New Roman"/>
        </w:rPr>
        <w:t>olive oil, and dairy products</w:t>
      </w:r>
      <w:r w:rsidR="00760C3B" w:rsidRPr="00BC7BB5">
        <w:rPr>
          <w:rFonts w:ascii="Times New Roman" w:hAnsi="Times New Roman" w:cs="Times New Roman"/>
        </w:rPr>
        <w:t>)</w:t>
      </w:r>
      <w:r w:rsidRPr="00BC7BB5">
        <w:rPr>
          <w:rFonts w:ascii="Times New Roman" w:hAnsi="Times New Roman" w:cs="Times New Roman"/>
        </w:rPr>
        <w:t>.</w:t>
      </w:r>
    </w:p>
    <w:p w14:paraId="75AD157E" w14:textId="77777777" w:rsidR="00696665" w:rsidRPr="00BC7BB5" w:rsidRDefault="00696665" w:rsidP="008C3E21">
      <w:pPr>
        <w:pStyle w:val="ListParagraph"/>
        <w:spacing w:after="0"/>
        <w:rPr>
          <w:rFonts w:ascii="Times New Roman" w:hAnsi="Times New Roman" w:cs="Times New Roman"/>
        </w:rPr>
      </w:pPr>
    </w:p>
    <w:p w14:paraId="0C1E76C4" w14:textId="3018B8CF" w:rsidR="00696665" w:rsidRPr="00BC7BB5" w:rsidRDefault="00696665" w:rsidP="00F561E8">
      <w:pPr>
        <w:pStyle w:val="NoSpacing"/>
        <w:numPr>
          <w:ilvl w:val="0"/>
          <w:numId w:val="35"/>
        </w:numPr>
        <w:ind w:left="0" w:firstLine="0"/>
        <w:jc w:val="both"/>
        <w:rPr>
          <w:rFonts w:ascii="Times New Roman" w:hAnsi="Times New Roman" w:cs="Times New Roman"/>
        </w:rPr>
      </w:pPr>
      <w:r w:rsidRPr="00BC7BB5">
        <w:rPr>
          <w:rFonts w:ascii="Times New Roman" w:hAnsi="Times New Roman" w:cs="Times New Roman"/>
          <w:b/>
        </w:rPr>
        <w:t xml:space="preserve">Market conditions and sector attractiveness are favorable to a higher growth of the agri-food sector in Morocco and increased potential for job creation. </w:t>
      </w:r>
      <w:r w:rsidRPr="00BC7BB5">
        <w:rPr>
          <w:rFonts w:ascii="Times New Roman" w:hAnsi="Times New Roman" w:cs="Times New Roman"/>
        </w:rPr>
        <w:t>Domestic demand for high-value and differentiated products is increasing with a growing population, growing urbanization and changes in consumption habits. Export opportunities are su</w:t>
      </w:r>
      <w:r w:rsidR="00015052" w:rsidRPr="00BC7BB5">
        <w:rPr>
          <w:rFonts w:ascii="Times New Roman" w:hAnsi="Times New Roman" w:cs="Times New Roman"/>
        </w:rPr>
        <w:t>bstantial</w:t>
      </w:r>
      <w:r w:rsidRPr="00BC7BB5">
        <w:rPr>
          <w:rFonts w:ascii="Times New Roman" w:hAnsi="Times New Roman" w:cs="Times New Roman"/>
        </w:rPr>
        <w:t xml:space="preserve"> for products with growing demand worldwide such as olive oil and fruit and vegetables, which can be produced at competitive costs in Morocco.  The Free Trade Agreement with the EU and the increasing ability of producers and agri-food enterprises to comply with phyto-sanitary and sanitary req</w:t>
      </w:r>
      <w:r w:rsidR="00887F82" w:rsidRPr="00BC7BB5">
        <w:rPr>
          <w:rFonts w:ascii="Times New Roman" w:hAnsi="Times New Roman" w:cs="Times New Roman"/>
        </w:rPr>
        <w:t>uirements</w:t>
      </w:r>
      <w:r w:rsidRPr="00BC7BB5">
        <w:rPr>
          <w:rFonts w:ascii="Times New Roman" w:hAnsi="Times New Roman" w:cs="Times New Roman"/>
        </w:rPr>
        <w:t xml:space="preserve"> are enabling Moroccan entrepreneurs to respond to those export opportunities. Finally, the sector’s growth potential is also supported by the improvement of the enabling environment for doing business in Morocco in general</w:t>
      </w:r>
      <w:r w:rsidR="00015052" w:rsidRPr="00BC7BB5">
        <w:rPr>
          <w:rStyle w:val="FootnoteReference"/>
          <w:rFonts w:ascii="Times New Roman" w:hAnsi="Times New Roman" w:cs="Times New Roman"/>
        </w:rPr>
        <w:footnoteReference w:id="32"/>
      </w:r>
      <w:r w:rsidR="00015052" w:rsidRPr="00BC7BB5">
        <w:rPr>
          <w:rFonts w:ascii="Times New Roman" w:hAnsi="Times New Roman" w:cs="Times New Roman"/>
        </w:rPr>
        <w:t xml:space="preserve">. </w:t>
      </w:r>
      <w:r w:rsidRPr="00BC7BB5">
        <w:rPr>
          <w:rFonts w:ascii="Times New Roman" w:hAnsi="Times New Roman" w:cs="Times New Roman"/>
        </w:rPr>
        <w:t>T</w:t>
      </w:r>
      <w:r w:rsidR="00015052" w:rsidRPr="00BC7BB5">
        <w:rPr>
          <w:rFonts w:ascii="Times New Roman" w:hAnsi="Times New Roman" w:cs="Times New Roman"/>
        </w:rPr>
        <w:t>ransport infrastructure has</w:t>
      </w:r>
      <w:r w:rsidRPr="00BC7BB5">
        <w:rPr>
          <w:rFonts w:ascii="Times New Roman" w:hAnsi="Times New Roman" w:cs="Times New Roman"/>
        </w:rPr>
        <w:t xml:space="preserve"> significantly improved through the development of highways, the rural roads network and port infrastructure, reducing the time and the cost of transport of perishable products.</w:t>
      </w:r>
    </w:p>
    <w:p w14:paraId="07BEF793" w14:textId="77777777" w:rsidR="00696665" w:rsidRPr="00BC7BB5" w:rsidRDefault="00696665" w:rsidP="008C3E21">
      <w:pPr>
        <w:pStyle w:val="NoSpacing"/>
        <w:ind w:left="420"/>
        <w:jc w:val="both"/>
        <w:rPr>
          <w:rFonts w:ascii="Times New Roman" w:hAnsi="Times New Roman" w:cs="Times New Roman"/>
        </w:rPr>
      </w:pPr>
    </w:p>
    <w:p w14:paraId="0AE4997D" w14:textId="6E67B58C" w:rsidR="00696665" w:rsidRPr="00BC7BB5" w:rsidRDefault="008328EB" w:rsidP="00F561E8">
      <w:pPr>
        <w:pStyle w:val="NoSpacing"/>
        <w:numPr>
          <w:ilvl w:val="0"/>
          <w:numId w:val="35"/>
        </w:numPr>
        <w:ind w:left="0" w:firstLine="0"/>
        <w:jc w:val="both"/>
        <w:rPr>
          <w:rFonts w:ascii="Times New Roman" w:hAnsi="Times New Roman" w:cs="Times New Roman"/>
        </w:rPr>
      </w:pPr>
      <w:r w:rsidRPr="00BC7BB5">
        <w:rPr>
          <w:rFonts w:ascii="Times New Roman" w:hAnsi="Times New Roman" w:cs="Times New Roman"/>
          <w:b/>
        </w:rPr>
        <w:t>Agribusiness SMEs’ performance is hindered by binding constraints at firm level</w:t>
      </w:r>
      <w:r w:rsidRPr="00BC7BB5">
        <w:rPr>
          <w:rFonts w:ascii="Times New Roman" w:hAnsi="Times New Roman" w:cs="Times New Roman"/>
        </w:rPr>
        <w:t xml:space="preserve">. </w:t>
      </w:r>
      <w:r w:rsidR="00696665" w:rsidRPr="00BC7BB5">
        <w:rPr>
          <w:rFonts w:ascii="Times New Roman" w:hAnsi="Times New Roman" w:cs="Times New Roman"/>
        </w:rPr>
        <w:t>The diagnostic of the agri-food sector carried out by the Ministry of Agriculture and Marine Fisheries (MAPM)</w:t>
      </w:r>
      <w:r w:rsidR="00696665" w:rsidRPr="00BC7BB5">
        <w:rPr>
          <w:rStyle w:val="FootnoteReference"/>
        </w:rPr>
        <w:footnoteReference w:id="33"/>
      </w:r>
      <w:r w:rsidR="00696665" w:rsidRPr="00BC7BB5">
        <w:rPr>
          <w:rFonts w:ascii="Times New Roman" w:hAnsi="Times New Roman" w:cs="Times New Roman"/>
        </w:rPr>
        <w:t xml:space="preserve"> in 2014 through interviews with </w:t>
      </w:r>
      <w:r w:rsidR="00090D1C">
        <w:rPr>
          <w:rFonts w:ascii="Times New Roman" w:hAnsi="Times New Roman" w:cs="Times New Roman"/>
        </w:rPr>
        <w:t xml:space="preserve">over </w:t>
      </w:r>
      <w:r w:rsidR="00696665" w:rsidRPr="00BC7BB5">
        <w:rPr>
          <w:rFonts w:ascii="Times New Roman" w:hAnsi="Times New Roman" w:cs="Times New Roman"/>
        </w:rPr>
        <w:t>60 players across the industry indicates that</w:t>
      </w:r>
      <w:r w:rsidRPr="00BC7BB5">
        <w:rPr>
          <w:rFonts w:ascii="Times New Roman" w:hAnsi="Times New Roman" w:cs="Times New Roman"/>
        </w:rPr>
        <w:t xml:space="preserve"> those constraints include</w:t>
      </w:r>
      <w:r w:rsidR="00696665" w:rsidRPr="00BC7BB5">
        <w:rPr>
          <w:rFonts w:ascii="Times New Roman" w:hAnsi="Times New Roman" w:cs="Times New Roman"/>
        </w:rPr>
        <w:t xml:space="preserve"> limited investment by SMEs, lack of capacity for product innovation, and difficulties accessing modern marketing networks.</w:t>
      </w:r>
      <w:r w:rsidRPr="00BC7BB5">
        <w:rPr>
          <w:rFonts w:ascii="Times New Roman" w:hAnsi="Times New Roman" w:cs="Times New Roman"/>
        </w:rPr>
        <w:t xml:space="preserve"> </w:t>
      </w:r>
      <w:r w:rsidR="00696665" w:rsidRPr="00BC7BB5">
        <w:rPr>
          <w:rFonts w:ascii="Times New Roman" w:hAnsi="Times New Roman" w:cs="Times New Roman"/>
        </w:rPr>
        <w:t xml:space="preserve">Investments in the agri-food sector have been concentrated with large players, in part because public support and incentives to investments are not adapted to SMEs. </w:t>
      </w:r>
      <w:r w:rsidR="00696665" w:rsidRPr="00BC7BB5">
        <w:rPr>
          <w:rFonts w:ascii="Times New Roman" w:hAnsi="Times New Roman" w:cs="Times New Roman"/>
          <w:color w:val="222222"/>
        </w:rPr>
        <w:t>Agribusiness development in Morocco is also limited by weak capacity for innovation</w:t>
      </w:r>
      <w:r w:rsidR="00696665" w:rsidRPr="00BC7BB5">
        <w:rPr>
          <w:rStyle w:val="FootnoteReference"/>
          <w:color w:val="222222"/>
        </w:rPr>
        <w:footnoteReference w:id="34"/>
      </w:r>
      <w:r w:rsidR="00696665" w:rsidRPr="00BC7BB5">
        <w:rPr>
          <w:rFonts w:ascii="Times New Roman" w:hAnsi="Times New Roman" w:cs="Times New Roman"/>
          <w:color w:val="222222"/>
        </w:rPr>
        <w:t xml:space="preserve"> by Moroccan SMEs, as they do not have </w:t>
      </w:r>
      <w:r w:rsidR="00F463C9" w:rsidRPr="00BC7BB5">
        <w:rPr>
          <w:rFonts w:ascii="Times New Roman" w:hAnsi="Times New Roman" w:cs="Times New Roman"/>
          <w:color w:val="222222"/>
        </w:rPr>
        <w:t xml:space="preserve">the </w:t>
      </w:r>
      <w:r w:rsidR="00696665" w:rsidRPr="00BC7BB5">
        <w:rPr>
          <w:rFonts w:ascii="Times New Roman" w:hAnsi="Times New Roman" w:cs="Times New Roman"/>
          <w:color w:val="222222"/>
        </w:rPr>
        <w:t>critical size to invest in</w:t>
      </w:r>
      <w:r w:rsidR="007B7EA1">
        <w:rPr>
          <w:rFonts w:ascii="Times New Roman" w:hAnsi="Times New Roman" w:cs="Times New Roman"/>
          <w:color w:val="222222"/>
        </w:rPr>
        <w:t xml:space="preserve"> research and development</w:t>
      </w:r>
      <w:r w:rsidR="00696665" w:rsidRPr="00BC7BB5">
        <w:rPr>
          <w:rFonts w:ascii="Times New Roman" w:hAnsi="Times New Roman" w:cs="Times New Roman"/>
          <w:color w:val="222222"/>
        </w:rPr>
        <w:t xml:space="preserve"> </w:t>
      </w:r>
      <w:r w:rsidR="00090D1C">
        <w:rPr>
          <w:rFonts w:ascii="Times New Roman" w:hAnsi="Times New Roman" w:cs="Times New Roman"/>
          <w:color w:val="222222"/>
        </w:rPr>
        <w:t>(</w:t>
      </w:r>
      <w:r w:rsidR="00696665" w:rsidRPr="00BC7BB5">
        <w:rPr>
          <w:rFonts w:ascii="Times New Roman" w:hAnsi="Times New Roman" w:cs="Times New Roman"/>
          <w:color w:val="222222"/>
        </w:rPr>
        <w:t>R&amp;D</w:t>
      </w:r>
      <w:r w:rsidR="00090D1C">
        <w:rPr>
          <w:rFonts w:ascii="Times New Roman" w:hAnsi="Times New Roman" w:cs="Times New Roman"/>
          <w:color w:val="222222"/>
        </w:rPr>
        <w:t>)</w:t>
      </w:r>
      <w:r w:rsidR="007B7EA1">
        <w:rPr>
          <w:rFonts w:ascii="Times New Roman" w:hAnsi="Times New Roman" w:cs="Times New Roman"/>
          <w:color w:val="222222"/>
        </w:rPr>
        <w:fldChar w:fldCharType="begin"/>
      </w:r>
      <w:r w:rsidR="007B7EA1">
        <w:instrText xml:space="preserve"> XE "</w:instrText>
      </w:r>
      <w:r w:rsidR="007B7EA1" w:rsidRPr="00142083">
        <w:rPr>
          <w:rFonts w:ascii="Times New Roman" w:hAnsi="Times New Roman" w:cs="Times New Roman"/>
          <w:color w:val="222222"/>
        </w:rPr>
        <w:instrText>R&amp;D:</w:instrText>
      </w:r>
      <w:r w:rsidR="007B7EA1" w:rsidRPr="00142083">
        <w:instrText>research and development</w:instrText>
      </w:r>
      <w:r w:rsidR="007B7EA1">
        <w:instrText xml:space="preserve">" </w:instrText>
      </w:r>
      <w:r w:rsidR="007B7EA1">
        <w:rPr>
          <w:rFonts w:ascii="Times New Roman" w:hAnsi="Times New Roman" w:cs="Times New Roman"/>
          <w:color w:val="222222"/>
        </w:rPr>
        <w:fldChar w:fldCharType="end"/>
      </w:r>
      <w:r w:rsidR="00696665" w:rsidRPr="00BC7BB5">
        <w:rPr>
          <w:rFonts w:ascii="Times New Roman" w:hAnsi="Times New Roman" w:cs="Times New Roman"/>
          <w:color w:val="222222"/>
        </w:rPr>
        <w:t xml:space="preserve"> activities or set up shared training mechanisms. </w:t>
      </w:r>
      <w:r w:rsidR="00696665" w:rsidRPr="00BC7BB5">
        <w:rPr>
          <w:rFonts w:ascii="Times New Roman" w:hAnsi="Times New Roman" w:cs="Times New Roman"/>
        </w:rPr>
        <w:t xml:space="preserve">Further consultations indicate that SMEs and cooperatives </w:t>
      </w:r>
      <w:r w:rsidR="00696665" w:rsidRPr="00BC7BB5">
        <w:rPr>
          <w:rFonts w:ascii="Times New Roman" w:hAnsi="Times New Roman" w:cs="Times New Roman"/>
          <w:color w:val="222222"/>
        </w:rPr>
        <w:t xml:space="preserve">face three types </w:t>
      </w:r>
      <w:r w:rsidR="00696665" w:rsidRPr="00BC7BB5">
        <w:rPr>
          <w:rFonts w:ascii="Times New Roman" w:hAnsi="Times New Roman" w:cs="Times New Roman"/>
          <w:color w:val="222222"/>
        </w:rPr>
        <w:lastRenderedPageBreak/>
        <w:t xml:space="preserve">of challenges to innovation: </w:t>
      </w:r>
      <w:r w:rsidR="00696665" w:rsidRPr="00BC7BB5">
        <w:rPr>
          <w:rFonts w:ascii="Times New Roman" w:hAnsi="Times New Roman" w:cs="Times New Roman"/>
          <w:i/>
          <w:color w:val="222222"/>
        </w:rPr>
        <w:t>technical challenges</w:t>
      </w:r>
      <w:r w:rsidR="00696665" w:rsidRPr="00BC7BB5">
        <w:rPr>
          <w:rFonts w:ascii="Times New Roman" w:hAnsi="Times New Roman" w:cs="Times New Roman"/>
          <w:color w:val="222222"/>
        </w:rPr>
        <w:t xml:space="preserve"> (mastery of industrial processes, product development, product testing, access to technological facilities, alignment with sanitary regulations, etc.), </w:t>
      </w:r>
      <w:r w:rsidR="00696665" w:rsidRPr="00BC7BB5">
        <w:rPr>
          <w:rFonts w:ascii="Times New Roman" w:hAnsi="Times New Roman" w:cs="Times New Roman"/>
          <w:i/>
          <w:color w:val="222222"/>
        </w:rPr>
        <w:t>management challenges</w:t>
      </w:r>
      <w:r w:rsidR="00696665" w:rsidRPr="00BC7BB5">
        <w:rPr>
          <w:rFonts w:ascii="Times New Roman" w:hAnsi="Times New Roman" w:cs="Times New Roman"/>
          <w:color w:val="222222"/>
        </w:rPr>
        <w:t xml:space="preserve"> (business planning, business development, accounting, abi</w:t>
      </w:r>
      <w:r w:rsidR="00015052" w:rsidRPr="00BC7BB5">
        <w:rPr>
          <w:rFonts w:ascii="Times New Roman" w:hAnsi="Times New Roman" w:cs="Times New Roman"/>
          <w:color w:val="222222"/>
        </w:rPr>
        <w:t xml:space="preserve">lity to raise financing, etc.) </w:t>
      </w:r>
      <w:r w:rsidR="00696665" w:rsidRPr="00BC7BB5">
        <w:rPr>
          <w:rFonts w:ascii="Times New Roman" w:hAnsi="Times New Roman" w:cs="Times New Roman"/>
          <w:color w:val="222222"/>
        </w:rPr>
        <w:t xml:space="preserve">and </w:t>
      </w:r>
      <w:r w:rsidR="00696665" w:rsidRPr="00BC7BB5">
        <w:rPr>
          <w:rFonts w:ascii="Times New Roman" w:hAnsi="Times New Roman" w:cs="Times New Roman"/>
          <w:i/>
          <w:color w:val="222222"/>
        </w:rPr>
        <w:t>marketing challenges</w:t>
      </w:r>
      <w:r w:rsidR="00696665" w:rsidRPr="00BC7BB5">
        <w:rPr>
          <w:rFonts w:ascii="Times New Roman" w:hAnsi="Times New Roman" w:cs="Times New Roman"/>
          <w:color w:val="222222"/>
        </w:rPr>
        <w:t xml:space="preserve"> (market knowledge, access to markets, etc.).</w:t>
      </w:r>
    </w:p>
    <w:p w14:paraId="2F3438CC" w14:textId="77777777" w:rsidR="00BB7D06" w:rsidRPr="00BC7BB5" w:rsidRDefault="00BB7D06" w:rsidP="00BB7D06">
      <w:pPr>
        <w:pStyle w:val="NoSpacing"/>
        <w:jc w:val="both"/>
        <w:rPr>
          <w:rFonts w:ascii="Times New Roman" w:hAnsi="Times New Roman" w:cs="Times New Roman"/>
        </w:rPr>
      </w:pPr>
    </w:p>
    <w:p w14:paraId="445D5ECF" w14:textId="1A68E60D" w:rsidR="00B210DD" w:rsidRPr="00BC7BB5" w:rsidRDefault="007E6645" w:rsidP="00F561E8">
      <w:pPr>
        <w:pStyle w:val="NoSpacing"/>
        <w:numPr>
          <w:ilvl w:val="0"/>
          <w:numId w:val="35"/>
        </w:numPr>
        <w:ind w:left="0" w:firstLine="0"/>
        <w:jc w:val="both"/>
        <w:rPr>
          <w:rFonts w:ascii="Times New Roman" w:hAnsi="Times New Roman" w:cs="Times New Roman"/>
        </w:rPr>
      </w:pPr>
      <w:r w:rsidRPr="00BC7BB5">
        <w:rPr>
          <w:rFonts w:ascii="Times New Roman" w:hAnsi="Times New Roman" w:cs="Times New Roman"/>
          <w:b/>
        </w:rPr>
        <w:t>The Government’s strategy for the development of the agri-food sector</w:t>
      </w:r>
      <w:r w:rsidR="00BB7D06" w:rsidRPr="00BC7BB5">
        <w:rPr>
          <w:rFonts w:ascii="Times New Roman" w:hAnsi="Times New Roman" w:cs="Times New Roman"/>
          <w:b/>
        </w:rPr>
        <w:t xml:space="preserve"> </w:t>
      </w:r>
      <w:r w:rsidR="004942FA" w:rsidRPr="00BC7BB5">
        <w:rPr>
          <w:rFonts w:ascii="Times New Roman" w:hAnsi="Times New Roman" w:cs="Times New Roman"/>
          <w:b/>
        </w:rPr>
        <w:t>t</w:t>
      </w:r>
      <w:r w:rsidR="00D62E71" w:rsidRPr="00BC7BB5">
        <w:rPr>
          <w:rFonts w:ascii="Times New Roman" w:hAnsi="Times New Roman" w:cs="Times New Roman"/>
          <w:b/>
        </w:rPr>
        <w:t xml:space="preserve">he PMV </w:t>
      </w:r>
      <w:r w:rsidR="00BB7D06" w:rsidRPr="00BC7BB5">
        <w:rPr>
          <w:rFonts w:ascii="Times New Roman" w:hAnsi="Times New Roman" w:cs="Times New Roman"/>
          <w:b/>
        </w:rPr>
        <w:t>has been reviewed in 2014 to better respond to those challenges.</w:t>
      </w:r>
      <w:r w:rsidR="00BB7D06" w:rsidRPr="00BC7BB5">
        <w:rPr>
          <w:rFonts w:ascii="Times New Roman" w:hAnsi="Times New Roman" w:cs="Times New Roman"/>
        </w:rPr>
        <w:t xml:space="preserve"> </w:t>
      </w:r>
      <w:r w:rsidR="00F66376" w:rsidRPr="00BC7BB5">
        <w:rPr>
          <w:rFonts w:ascii="Times New Roman" w:hAnsi="Times New Roman" w:cs="Times New Roman"/>
        </w:rPr>
        <w:t xml:space="preserve"> T</w:t>
      </w:r>
      <w:r w:rsidRPr="00BC7BB5">
        <w:rPr>
          <w:rFonts w:ascii="Times New Roman" w:hAnsi="Times New Roman" w:cs="Times New Roman"/>
        </w:rPr>
        <w:t>he Plan Maroc Vert</w:t>
      </w:r>
      <w:r w:rsidR="00F66376" w:rsidRPr="00BC7BB5">
        <w:rPr>
          <w:rFonts w:ascii="Times New Roman" w:hAnsi="Times New Roman" w:cs="Times New Roman"/>
        </w:rPr>
        <w:t xml:space="preserve"> (PMV)</w:t>
      </w:r>
      <w:r w:rsidRPr="00BC7BB5">
        <w:rPr>
          <w:rFonts w:ascii="Times New Roman" w:hAnsi="Times New Roman" w:cs="Times New Roman"/>
        </w:rPr>
        <w:t xml:space="preserve">, </w:t>
      </w:r>
      <w:r w:rsidR="00F66376" w:rsidRPr="00BC7BB5">
        <w:rPr>
          <w:rFonts w:ascii="Times New Roman" w:hAnsi="Times New Roman" w:cs="Times New Roman"/>
        </w:rPr>
        <w:t xml:space="preserve">the sector strategy </w:t>
      </w:r>
      <w:r w:rsidRPr="00BC7BB5">
        <w:rPr>
          <w:rFonts w:ascii="Times New Roman" w:hAnsi="Times New Roman" w:cs="Times New Roman"/>
        </w:rPr>
        <w:t>launched in 2008</w:t>
      </w:r>
      <w:r w:rsidR="00E233DA" w:rsidRPr="00BC7BB5">
        <w:rPr>
          <w:rFonts w:ascii="Times New Roman" w:hAnsi="Times New Roman" w:cs="Times New Roman"/>
        </w:rPr>
        <w:t>,</w:t>
      </w:r>
      <w:r w:rsidR="00F66376" w:rsidRPr="00BC7BB5">
        <w:rPr>
          <w:rFonts w:ascii="Times New Roman" w:hAnsi="Times New Roman" w:cs="Times New Roman"/>
        </w:rPr>
        <w:t xml:space="preserve"> was evaluated by MAPMDREF in 2014</w:t>
      </w:r>
      <w:r w:rsidR="00F12C00" w:rsidRPr="00BC7BB5">
        <w:rPr>
          <w:rFonts w:ascii="Times New Roman" w:hAnsi="Times New Roman" w:cs="Times New Roman"/>
        </w:rPr>
        <w:t>. Notwithstanding initial achievem</w:t>
      </w:r>
      <w:r w:rsidR="00887F82" w:rsidRPr="00BC7BB5">
        <w:rPr>
          <w:rFonts w:ascii="Times New Roman" w:hAnsi="Times New Roman" w:cs="Times New Roman"/>
        </w:rPr>
        <w:t>ents at the institutional level</w:t>
      </w:r>
      <w:r w:rsidR="00F12C00" w:rsidRPr="00BC7BB5">
        <w:rPr>
          <w:rFonts w:ascii="Times New Roman" w:hAnsi="Times New Roman" w:cs="Times New Roman"/>
        </w:rPr>
        <w:t xml:space="preserve"> and results at </w:t>
      </w:r>
      <w:r w:rsidR="00887F82" w:rsidRPr="00BC7BB5">
        <w:rPr>
          <w:rFonts w:ascii="Times New Roman" w:hAnsi="Times New Roman" w:cs="Times New Roman"/>
        </w:rPr>
        <w:t>farm level</w:t>
      </w:r>
      <w:r w:rsidR="00F12C00" w:rsidRPr="00BC7BB5">
        <w:rPr>
          <w:rFonts w:ascii="Times New Roman" w:hAnsi="Times New Roman" w:cs="Times New Roman"/>
        </w:rPr>
        <w:t xml:space="preserve"> (e.g. expan</w:t>
      </w:r>
      <w:r w:rsidR="00887F82" w:rsidRPr="00BC7BB5">
        <w:rPr>
          <w:rFonts w:ascii="Times New Roman" w:hAnsi="Times New Roman" w:cs="Times New Roman"/>
        </w:rPr>
        <w:t>ded areas under new plantations</w:t>
      </w:r>
      <w:r w:rsidR="00F12C00" w:rsidRPr="00BC7BB5">
        <w:rPr>
          <w:rFonts w:ascii="Times New Roman" w:hAnsi="Times New Roman" w:cs="Times New Roman"/>
        </w:rPr>
        <w:t xml:space="preserve"> and productivity gains</w:t>
      </w:r>
      <w:r w:rsidR="00887F82" w:rsidRPr="00BC7BB5">
        <w:rPr>
          <w:rFonts w:ascii="Times New Roman" w:hAnsi="Times New Roman" w:cs="Times New Roman"/>
        </w:rPr>
        <w:t>)</w:t>
      </w:r>
      <w:r w:rsidR="00F12C00" w:rsidRPr="00BC7BB5">
        <w:rPr>
          <w:rFonts w:ascii="Times New Roman" w:hAnsi="Times New Roman" w:cs="Times New Roman"/>
        </w:rPr>
        <w:t xml:space="preserve">, </w:t>
      </w:r>
      <w:r w:rsidR="00443BC3" w:rsidRPr="00BC7BB5">
        <w:rPr>
          <w:rFonts w:ascii="Times New Roman" w:hAnsi="Times New Roman" w:cs="Times New Roman"/>
        </w:rPr>
        <w:t xml:space="preserve">the review recommended that the PMV should place greater </w:t>
      </w:r>
      <w:r w:rsidR="00887F82" w:rsidRPr="00BC7BB5">
        <w:rPr>
          <w:rFonts w:ascii="Times New Roman" w:hAnsi="Times New Roman" w:cs="Times New Roman"/>
        </w:rPr>
        <w:t>emphasis on</w:t>
      </w:r>
      <w:r w:rsidR="005B4C95" w:rsidRPr="00BC7BB5">
        <w:rPr>
          <w:rFonts w:ascii="Times New Roman" w:hAnsi="Times New Roman" w:cs="Times New Roman"/>
        </w:rPr>
        <w:t xml:space="preserve"> value-chain development, adding </w:t>
      </w:r>
      <w:r w:rsidR="00443BC3" w:rsidRPr="00BC7BB5">
        <w:rPr>
          <w:rFonts w:ascii="Times New Roman" w:hAnsi="Times New Roman" w:cs="Times New Roman"/>
        </w:rPr>
        <w:t xml:space="preserve">value beyond </w:t>
      </w:r>
      <w:r w:rsidR="00887F82" w:rsidRPr="00BC7BB5">
        <w:rPr>
          <w:rFonts w:ascii="Times New Roman" w:hAnsi="Times New Roman" w:cs="Times New Roman"/>
        </w:rPr>
        <w:t xml:space="preserve">the farm </w:t>
      </w:r>
      <w:r w:rsidR="00443BC3" w:rsidRPr="00BC7BB5">
        <w:rPr>
          <w:rFonts w:ascii="Times New Roman" w:hAnsi="Times New Roman" w:cs="Times New Roman"/>
        </w:rPr>
        <w:t xml:space="preserve">gate, </w:t>
      </w:r>
      <w:r w:rsidR="00892233" w:rsidRPr="00BC7BB5">
        <w:rPr>
          <w:rFonts w:ascii="Times New Roman" w:hAnsi="Times New Roman" w:cs="Times New Roman"/>
        </w:rPr>
        <w:t xml:space="preserve">the </w:t>
      </w:r>
      <w:r w:rsidR="00443BC3" w:rsidRPr="00BC7BB5">
        <w:rPr>
          <w:rFonts w:ascii="Times New Roman" w:hAnsi="Times New Roman" w:cs="Times New Roman"/>
        </w:rPr>
        <w:t xml:space="preserve">diversification of markets and attracting private sector investments to the agri-food sector. </w:t>
      </w:r>
      <w:r w:rsidR="00F463C9" w:rsidRPr="00BC7BB5">
        <w:rPr>
          <w:rFonts w:ascii="Times New Roman" w:hAnsi="Times New Roman" w:cs="Times New Roman"/>
        </w:rPr>
        <w:t xml:space="preserve">The review highlighted specifically the situation of tree crops (such as fruit trees and olives) and the need to match recent increases in plantation areas with increased investments in value addition in response to market demand. </w:t>
      </w:r>
      <w:r w:rsidR="0004067D" w:rsidRPr="00BC7BB5">
        <w:rPr>
          <w:rFonts w:ascii="Times New Roman" w:hAnsi="Times New Roman" w:cs="Times New Roman"/>
        </w:rPr>
        <w:t>With regards to</w:t>
      </w:r>
      <w:r w:rsidR="00987241" w:rsidRPr="00BC7BB5">
        <w:rPr>
          <w:rFonts w:ascii="Times New Roman" w:hAnsi="Times New Roman" w:cs="Times New Roman"/>
        </w:rPr>
        <w:t xml:space="preserve"> </w:t>
      </w:r>
      <w:r w:rsidR="00F463C9" w:rsidRPr="00BC7BB5">
        <w:rPr>
          <w:rFonts w:ascii="Times New Roman" w:hAnsi="Times New Roman" w:cs="Times New Roman"/>
        </w:rPr>
        <w:t xml:space="preserve">the </w:t>
      </w:r>
      <w:r w:rsidR="00987241" w:rsidRPr="00BC7BB5">
        <w:rPr>
          <w:rFonts w:ascii="Times New Roman" w:hAnsi="Times New Roman" w:cs="Times New Roman"/>
        </w:rPr>
        <w:t>PMV</w:t>
      </w:r>
      <w:r w:rsidR="00F463C9" w:rsidRPr="00BC7BB5">
        <w:rPr>
          <w:rFonts w:ascii="Times New Roman" w:hAnsi="Times New Roman" w:cs="Times New Roman"/>
        </w:rPr>
        <w:t>’s</w:t>
      </w:r>
      <w:r w:rsidR="00FA7808" w:rsidRPr="00BC7BB5">
        <w:rPr>
          <w:rFonts w:ascii="Times New Roman" w:hAnsi="Times New Roman" w:cs="Times New Roman"/>
        </w:rPr>
        <w:t xml:space="preserve"> instruments </w:t>
      </w:r>
      <w:r w:rsidR="00987241" w:rsidRPr="00BC7BB5">
        <w:rPr>
          <w:rFonts w:ascii="Times New Roman" w:hAnsi="Times New Roman" w:cs="Times New Roman"/>
        </w:rPr>
        <w:t>for investment support</w:t>
      </w:r>
      <w:r w:rsidR="00FA7808" w:rsidRPr="00BC7BB5">
        <w:rPr>
          <w:rFonts w:ascii="Times New Roman" w:hAnsi="Times New Roman" w:cs="Times New Roman"/>
        </w:rPr>
        <w:t>, the revi</w:t>
      </w:r>
      <w:r w:rsidR="00987241" w:rsidRPr="00BC7BB5">
        <w:rPr>
          <w:rFonts w:ascii="Times New Roman" w:hAnsi="Times New Roman" w:cs="Times New Roman"/>
        </w:rPr>
        <w:t xml:space="preserve">ew also recommended </w:t>
      </w:r>
      <w:r w:rsidR="00FA7808" w:rsidRPr="00BC7BB5">
        <w:rPr>
          <w:rFonts w:ascii="Times New Roman" w:hAnsi="Times New Roman" w:cs="Times New Roman"/>
        </w:rPr>
        <w:t xml:space="preserve">adjustments to increase their accessibility to a larger range of stakeholders and </w:t>
      </w:r>
      <w:r w:rsidR="00622F19" w:rsidRPr="00BC7BB5">
        <w:rPr>
          <w:rFonts w:ascii="Times New Roman" w:hAnsi="Times New Roman" w:cs="Times New Roman"/>
        </w:rPr>
        <w:t xml:space="preserve">to </w:t>
      </w:r>
      <w:r w:rsidR="00FA7808" w:rsidRPr="00BC7BB5">
        <w:rPr>
          <w:rFonts w:ascii="Times New Roman" w:hAnsi="Times New Roman" w:cs="Times New Roman"/>
        </w:rPr>
        <w:t>address impact and sustainability concerns. The proposed Program would support MAPMDREF in the implementation of those recommendations</w:t>
      </w:r>
      <w:r w:rsidR="001F260F" w:rsidRPr="00BC7BB5">
        <w:rPr>
          <w:rFonts w:ascii="Times New Roman" w:hAnsi="Times New Roman" w:cs="Times New Roman"/>
        </w:rPr>
        <w:t xml:space="preserve"> </w:t>
      </w:r>
      <w:r w:rsidR="00F463C9" w:rsidRPr="00BC7BB5">
        <w:rPr>
          <w:rFonts w:ascii="Times New Roman" w:hAnsi="Times New Roman" w:cs="Times New Roman"/>
        </w:rPr>
        <w:t>with a view to consolidating and sustaining</w:t>
      </w:r>
      <w:r w:rsidR="001F260F" w:rsidRPr="00BC7BB5">
        <w:rPr>
          <w:rFonts w:ascii="Times New Roman" w:hAnsi="Times New Roman" w:cs="Times New Roman"/>
        </w:rPr>
        <w:t xml:space="preserve"> the achievements of the first phase of the PMV – while addressing some of the shortcomings that have been identified in terms of marketing and valorization of agri-food production.</w:t>
      </w:r>
    </w:p>
    <w:p w14:paraId="31885347" w14:textId="4A736DC4" w:rsidR="00157F95" w:rsidRPr="00BC7BB5" w:rsidRDefault="00157F95" w:rsidP="00157F95">
      <w:pPr>
        <w:pStyle w:val="NoSpacing"/>
        <w:jc w:val="both"/>
        <w:rPr>
          <w:rFonts w:ascii="Times New Roman" w:hAnsi="Times New Roman" w:cs="Times New Roman"/>
        </w:rPr>
      </w:pPr>
    </w:p>
    <w:p w14:paraId="2DDC5750" w14:textId="4DFF0801" w:rsidR="00157F95" w:rsidRPr="00BC7BB5" w:rsidRDefault="00157F95" w:rsidP="00F561E8">
      <w:pPr>
        <w:pStyle w:val="NoSpacing"/>
        <w:numPr>
          <w:ilvl w:val="0"/>
          <w:numId w:val="30"/>
        </w:numPr>
        <w:ind w:left="0" w:firstLine="0"/>
        <w:rPr>
          <w:rFonts w:ascii="Times New Roman Bold" w:hAnsi="Times New Roman Bold" w:cs="Times New Roman"/>
          <w:b/>
          <w:smallCaps/>
        </w:rPr>
      </w:pPr>
      <w:r w:rsidRPr="00BC7BB5">
        <w:rPr>
          <w:rFonts w:ascii="Times New Roman Bold" w:hAnsi="Times New Roman Bold" w:cs="Times New Roman"/>
          <w:b/>
          <w:smallCaps/>
        </w:rPr>
        <w:t>Technical soundness</w:t>
      </w:r>
    </w:p>
    <w:p w14:paraId="4946DF4E" w14:textId="77777777" w:rsidR="00157F95" w:rsidRPr="00BC7BB5" w:rsidRDefault="00157F95" w:rsidP="00157F95">
      <w:pPr>
        <w:pStyle w:val="NoSpacing"/>
        <w:jc w:val="both"/>
        <w:rPr>
          <w:rFonts w:ascii="Times New Roman" w:hAnsi="Times New Roman" w:cs="Times New Roman"/>
        </w:rPr>
      </w:pPr>
    </w:p>
    <w:p w14:paraId="0B98D982" w14:textId="128B8496" w:rsidR="00CC1CD0" w:rsidRPr="00BC7BB5" w:rsidRDefault="0029414A" w:rsidP="00F561E8">
      <w:pPr>
        <w:pStyle w:val="NoSpacing"/>
        <w:numPr>
          <w:ilvl w:val="0"/>
          <w:numId w:val="35"/>
        </w:numPr>
        <w:ind w:left="0" w:firstLine="0"/>
        <w:jc w:val="both"/>
        <w:rPr>
          <w:rFonts w:ascii="Times New Roman" w:hAnsi="Times New Roman" w:cs="Times New Roman"/>
        </w:rPr>
      </w:pPr>
      <w:r>
        <w:rPr>
          <w:rFonts w:ascii="Times New Roman" w:hAnsi="Times New Roman" w:cs="Times New Roman"/>
          <w:b/>
        </w:rPr>
        <w:t xml:space="preserve">The design of the </w:t>
      </w:r>
      <w:r w:rsidR="00157F95" w:rsidRPr="00BC7BB5">
        <w:rPr>
          <w:rFonts w:ascii="Times New Roman" w:hAnsi="Times New Roman" w:cs="Times New Roman"/>
          <w:b/>
        </w:rPr>
        <w:t>Program</w:t>
      </w:r>
      <w:r w:rsidR="008E1A49" w:rsidRPr="00BC7BB5">
        <w:rPr>
          <w:rFonts w:ascii="Times New Roman" w:hAnsi="Times New Roman" w:cs="Times New Roman"/>
          <w:b/>
        </w:rPr>
        <w:t xml:space="preserve"> was informed by recent evaluations and analytical work</w:t>
      </w:r>
      <w:r w:rsidR="008E1A49" w:rsidRPr="00BC7BB5">
        <w:rPr>
          <w:rFonts w:ascii="Times New Roman" w:hAnsi="Times New Roman" w:cs="Times New Roman"/>
        </w:rPr>
        <w:t>.</w:t>
      </w:r>
      <w:r w:rsidR="00157F95" w:rsidRPr="00BC7BB5">
        <w:rPr>
          <w:rFonts w:ascii="Times New Roman" w:hAnsi="Times New Roman" w:cs="Times New Roman"/>
        </w:rPr>
        <w:t xml:space="preserve"> </w:t>
      </w:r>
      <w:r w:rsidR="008E1A49" w:rsidRPr="00BC7BB5">
        <w:rPr>
          <w:rFonts w:ascii="Times New Roman" w:hAnsi="Times New Roman" w:cs="Times New Roman"/>
        </w:rPr>
        <w:t>It benefitted from the results and the recommendations of</w:t>
      </w:r>
      <w:r w:rsidR="00157F95" w:rsidRPr="00BC7BB5">
        <w:rPr>
          <w:rFonts w:ascii="Times New Roman" w:hAnsi="Times New Roman" w:cs="Times New Roman"/>
        </w:rPr>
        <w:t xml:space="preserve"> the mid-term review of the PMV carried out by MAPMDREF in 2014</w:t>
      </w:r>
      <w:r w:rsidR="00F9174F" w:rsidRPr="00BC7BB5">
        <w:rPr>
          <w:rFonts w:ascii="Times New Roman" w:hAnsi="Times New Roman" w:cs="Times New Roman"/>
        </w:rPr>
        <w:t xml:space="preserve"> and</w:t>
      </w:r>
      <w:r w:rsidR="00015052" w:rsidRPr="00BC7BB5">
        <w:rPr>
          <w:rFonts w:ascii="Times New Roman" w:hAnsi="Times New Roman" w:cs="Times New Roman"/>
        </w:rPr>
        <w:t xml:space="preserve"> from</w:t>
      </w:r>
      <w:r w:rsidR="00F9174F" w:rsidRPr="00BC7BB5">
        <w:rPr>
          <w:rFonts w:ascii="Times New Roman" w:hAnsi="Times New Roman" w:cs="Times New Roman"/>
        </w:rPr>
        <w:t xml:space="preserve"> reviews of earlier donor assistance to the PMV</w:t>
      </w:r>
      <w:r w:rsidR="00F9174F" w:rsidRPr="00BC7BB5">
        <w:rPr>
          <w:rStyle w:val="FootnoteReference"/>
          <w:rFonts w:ascii="Times New Roman" w:hAnsi="Times New Roman" w:cs="Times New Roman"/>
        </w:rPr>
        <w:footnoteReference w:id="35"/>
      </w:r>
      <w:r w:rsidR="00157F95" w:rsidRPr="00BC7BB5">
        <w:rPr>
          <w:rFonts w:ascii="Times New Roman" w:hAnsi="Times New Roman" w:cs="Times New Roman"/>
        </w:rPr>
        <w:t xml:space="preserve">. </w:t>
      </w:r>
      <w:r w:rsidR="00EA595D" w:rsidRPr="00BC7BB5">
        <w:rPr>
          <w:rFonts w:ascii="Times New Roman" w:hAnsi="Times New Roman" w:cs="Times New Roman"/>
        </w:rPr>
        <w:t xml:space="preserve">It also benefitted </w:t>
      </w:r>
      <w:r w:rsidR="001B78DC" w:rsidRPr="00BC7BB5">
        <w:rPr>
          <w:rFonts w:ascii="Times New Roman" w:hAnsi="Times New Roman" w:cs="Times New Roman"/>
        </w:rPr>
        <w:t>from</w:t>
      </w:r>
      <w:r w:rsidR="00EA595D" w:rsidRPr="00BC7BB5">
        <w:rPr>
          <w:rFonts w:ascii="Times New Roman" w:hAnsi="Times New Roman" w:cs="Times New Roman"/>
        </w:rPr>
        <w:t xml:space="preserve"> recent sector work carried out by the Bank</w:t>
      </w:r>
      <w:r w:rsidR="004B2974" w:rsidRPr="00BC7BB5">
        <w:rPr>
          <w:rStyle w:val="FootnoteReference"/>
          <w:rFonts w:ascii="Times New Roman" w:hAnsi="Times New Roman" w:cs="Times New Roman"/>
        </w:rPr>
        <w:footnoteReference w:id="36"/>
      </w:r>
      <w:r w:rsidR="00EA595D" w:rsidRPr="00BC7BB5">
        <w:rPr>
          <w:rFonts w:ascii="Times New Roman" w:hAnsi="Times New Roman" w:cs="Times New Roman"/>
        </w:rPr>
        <w:t>, as well as</w:t>
      </w:r>
      <w:r w:rsidR="004F7DC7" w:rsidRPr="00BC7BB5">
        <w:rPr>
          <w:rFonts w:ascii="Times New Roman" w:hAnsi="Times New Roman" w:cs="Times New Roman"/>
        </w:rPr>
        <w:t xml:space="preserve"> other partners such as FAO</w:t>
      </w:r>
      <w:r w:rsidR="009904DB" w:rsidRPr="00BC7BB5">
        <w:rPr>
          <w:rStyle w:val="FootnoteReference"/>
          <w:rFonts w:ascii="Times New Roman" w:hAnsi="Times New Roman" w:cs="Times New Roman"/>
        </w:rPr>
        <w:footnoteReference w:id="37"/>
      </w:r>
      <w:r w:rsidR="004F7DC7" w:rsidRPr="00BC7BB5">
        <w:rPr>
          <w:rFonts w:ascii="Times New Roman" w:hAnsi="Times New Roman" w:cs="Times New Roman"/>
        </w:rPr>
        <w:t xml:space="preserve">. </w:t>
      </w:r>
      <w:r w:rsidR="00287F6D" w:rsidRPr="00BC7BB5">
        <w:rPr>
          <w:rFonts w:ascii="Times New Roman" w:hAnsi="Times New Roman" w:cs="Times New Roman"/>
        </w:rPr>
        <w:t>On that basis, t</w:t>
      </w:r>
      <w:r w:rsidR="001B5DA6" w:rsidRPr="00BC7BB5">
        <w:rPr>
          <w:rFonts w:ascii="Times New Roman" w:hAnsi="Times New Roman" w:cs="Times New Roman"/>
        </w:rPr>
        <w:t xml:space="preserve">he design of the Program recognizes that </w:t>
      </w:r>
      <w:r w:rsidR="001277F6" w:rsidRPr="00BC7BB5">
        <w:rPr>
          <w:rFonts w:ascii="Times New Roman" w:hAnsi="Times New Roman" w:cs="Times New Roman"/>
        </w:rPr>
        <w:t xml:space="preserve">improvements are needed in three </w:t>
      </w:r>
      <w:r w:rsidR="0089450B" w:rsidRPr="00BC7BB5">
        <w:rPr>
          <w:rFonts w:ascii="Times New Roman" w:hAnsi="Times New Roman" w:cs="Times New Roman"/>
        </w:rPr>
        <w:t xml:space="preserve">complementary </w:t>
      </w:r>
      <w:r w:rsidR="001277F6" w:rsidRPr="00BC7BB5">
        <w:rPr>
          <w:rFonts w:ascii="Times New Roman" w:hAnsi="Times New Roman" w:cs="Times New Roman"/>
        </w:rPr>
        <w:t>areas:</w:t>
      </w:r>
      <w:r w:rsidR="001133C5" w:rsidRPr="00BC7BB5">
        <w:rPr>
          <w:rFonts w:ascii="Times New Roman" w:hAnsi="Times New Roman" w:cs="Times New Roman"/>
        </w:rPr>
        <w:t xml:space="preserve"> (a) strengthen</w:t>
      </w:r>
      <w:r w:rsidR="001277F6" w:rsidRPr="00BC7BB5">
        <w:rPr>
          <w:rFonts w:ascii="Times New Roman" w:hAnsi="Times New Roman" w:cs="Times New Roman"/>
        </w:rPr>
        <w:t>ing</w:t>
      </w:r>
      <w:r w:rsidR="001133C5" w:rsidRPr="00BC7BB5">
        <w:rPr>
          <w:rFonts w:ascii="Times New Roman" w:hAnsi="Times New Roman" w:cs="Times New Roman"/>
        </w:rPr>
        <w:t xml:space="preserve"> the capacity of some of the entities and agencies created under the PMV</w:t>
      </w:r>
      <w:r w:rsidR="003F068F" w:rsidRPr="00BC7BB5">
        <w:rPr>
          <w:rFonts w:ascii="Times New Roman" w:hAnsi="Times New Roman" w:cs="Times New Roman"/>
        </w:rPr>
        <w:t>, including ONSSA, ADA and the i</w:t>
      </w:r>
      <w:r w:rsidR="001133C5" w:rsidRPr="00BC7BB5">
        <w:rPr>
          <w:rFonts w:ascii="Times New Roman" w:hAnsi="Times New Roman" w:cs="Times New Roman"/>
        </w:rPr>
        <w:t>nterprofessions</w:t>
      </w:r>
      <w:r w:rsidR="001277F6" w:rsidRPr="00BC7BB5">
        <w:rPr>
          <w:rFonts w:ascii="Times New Roman" w:hAnsi="Times New Roman" w:cs="Times New Roman"/>
        </w:rPr>
        <w:t xml:space="preserve"> to enable them to fully carry out their mandate</w:t>
      </w:r>
      <w:r w:rsidR="00287F6D" w:rsidRPr="00BC7BB5">
        <w:rPr>
          <w:rFonts w:ascii="Times New Roman" w:hAnsi="Times New Roman" w:cs="Times New Roman"/>
        </w:rPr>
        <w:t>; (b) accelerating</w:t>
      </w:r>
      <w:r w:rsidR="001133C5" w:rsidRPr="00BC7BB5">
        <w:rPr>
          <w:rFonts w:ascii="Times New Roman" w:hAnsi="Times New Roman" w:cs="Times New Roman"/>
        </w:rPr>
        <w:t xml:space="preserve"> the implementation of key reforms initiated under the PMV</w:t>
      </w:r>
      <w:r w:rsidR="0072732C" w:rsidRPr="00BC7BB5">
        <w:rPr>
          <w:rFonts w:ascii="Times New Roman" w:hAnsi="Times New Roman" w:cs="Times New Roman"/>
        </w:rPr>
        <w:t xml:space="preserve"> (such as the reform of wholesale markets)</w:t>
      </w:r>
      <w:r w:rsidR="00090D1C">
        <w:rPr>
          <w:rFonts w:ascii="Times New Roman" w:hAnsi="Times New Roman" w:cs="Times New Roman"/>
        </w:rPr>
        <w:t>;</w:t>
      </w:r>
      <w:r w:rsidR="0072732C" w:rsidRPr="00BC7BB5">
        <w:rPr>
          <w:rFonts w:ascii="Times New Roman" w:hAnsi="Times New Roman" w:cs="Times New Roman"/>
        </w:rPr>
        <w:t xml:space="preserve"> and (c) support</w:t>
      </w:r>
      <w:r w:rsidR="00553A17" w:rsidRPr="00BC7BB5">
        <w:rPr>
          <w:rFonts w:ascii="Times New Roman" w:hAnsi="Times New Roman" w:cs="Times New Roman"/>
        </w:rPr>
        <w:t>ing</w:t>
      </w:r>
      <w:r w:rsidR="0072732C" w:rsidRPr="00BC7BB5">
        <w:rPr>
          <w:rFonts w:ascii="Times New Roman" w:hAnsi="Times New Roman" w:cs="Times New Roman"/>
        </w:rPr>
        <w:t xml:space="preserve"> improvements to existing PMV instruments for the promotion of </w:t>
      </w:r>
      <w:r w:rsidR="00553A17" w:rsidRPr="00BC7BB5">
        <w:rPr>
          <w:rFonts w:ascii="Times New Roman" w:hAnsi="Times New Roman" w:cs="Times New Roman"/>
        </w:rPr>
        <w:t>investments by small and medium producers and enterprises in the agri-food sector.</w:t>
      </w:r>
    </w:p>
    <w:p w14:paraId="6D0D11CB" w14:textId="77777777" w:rsidR="00B672AA" w:rsidRPr="00BC7BB5" w:rsidRDefault="00B672AA" w:rsidP="00B672AA">
      <w:pPr>
        <w:pStyle w:val="NoSpacing"/>
        <w:jc w:val="both"/>
        <w:rPr>
          <w:rFonts w:ascii="Times New Roman" w:hAnsi="Times New Roman" w:cs="Times New Roman"/>
        </w:rPr>
      </w:pPr>
    </w:p>
    <w:p w14:paraId="282572C8" w14:textId="650CE396" w:rsidR="000A2644" w:rsidRPr="00BC7BB5" w:rsidRDefault="009D0E16" w:rsidP="00F561E8">
      <w:pPr>
        <w:pStyle w:val="NoSpacing"/>
        <w:numPr>
          <w:ilvl w:val="0"/>
          <w:numId w:val="35"/>
        </w:numPr>
        <w:ind w:left="0" w:firstLine="0"/>
        <w:jc w:val="both"/>
        <w:rPr>
          <w:rFonts w:ascii="Times New Roman" w:hAnsi="Times New Roman" w:cs="Times New Roman"/>
        </w:rPr>
      </w:pPr>
      <w:r w:rsidRPr="00BC7BB5">
        <w:rPr>
          <w:rFonts w:ascii="Times New Roman" w:hAnsi="Times New Roman" w:cs="Times New Roman"/>
          <w:color w:val="000000" w:themeColor="text1"/>
        </w:rPr>
        <w:t xml:space="preserve">To achieve its development objective, </w:t>
      </w:r>
      <w:r w:rsidRPr="00BC7BB5">
        <w:rPr>
          <w:rFonts w:ascii="Times New Roman" w:hAnsi="Times New Roman" w:cs="Times New Roman"/>
          <w:b/>
          <w:color w:val="000000" w:themeColor="text1"/>
        </w:rPr>
        <w:t xml:space="preserve">the Program would invest in </w:t>
      </w:r>
      <w:r w:rsidR="00654D34" w:rsidRPr="00BC7BB5">
        <w:rPr>
          <w:rFonts w:ascii="Times New Roman" w:hAnsi="Times New Roman" w:cs="Times New Roman"/>
          <w:b/>
          <w:color w:val="000000" w:themeColor="text1"/>
        </w:rPr>
        <w:t xml:space="preserve">two </w:t>
      </w:r>
      <w:r w:rsidR="00015052" w:rsidRPr="00BC7BB5">
        <w:rPr>
          <w:rFonts w:ascii="Times New Roman" w:hAnsi="Times New Roman" w:cs="Times New Roman"/>
          <w:b/>
          <w:color w:val="000000" w:themeColor="text1"/>
        </w:rPr>
        <w:t xml:space="preserve">complementary </w:t>
      </w:r>
      <w:r w:rsidRPr="00BC7BB5">
        <w:rPr>
          <w:rFonts w:ascii="Times New Roman" w:hAnsi="Times New Roman" w:cs="Times New Roman"/>
          <w:b/>
          <w:color w:val="000000" w:themeColor="text1"/>
        </w:rPr>
        <w:t>areas</w:t>
      </w:r>
      <w:r w:rsidRPr="00BC7BB5">
        <w:rPr>
          <w:rFonts w:ascii="Times New Roman" w:hAnsi="Times New Roman" w:cs="Times New Roman"/>
          <w:color w:val="000000" w:themeColor="text1"/>
        </w:rPr>
        <w:t xml:space="preserve">: </w:t>
      </w:r>
      <w:r w:rsidR="00BB61C4" w:rsidRPr="00BC7BB5">
        <w:rPr>
          <w:rFonts w:ascii="Times New Roman" w:hAnsi="Times New Roman" w:cs="Times New Roman"/>
          <w:color w:val="000000" w:themeColor="text1"/>
        </w:rPr>
        <w:t xml:space="preserve">(a) </w:t>
      </w:r>
      <w:r w:rsidR="00207701" w:rsidRPr="00BC7BB5">
        <w:rPr>
          <w:rFonts w:ascii="Times New Roman" w:hAnsi="Times New Roman" w:cs="Times New Roman"/>
          <w:i/>
          <w:color w:val="000000" w:themeColor="text1"/>
        </w:rPr>
        <w:t>increased</w:t>
      </w:r>
      <w:r w:rsidR="00BB61C4" w:rsidRPr="00BC7BB5">
        <w:rPr>
          <w:rFonts w:ascii="Times New Roman" w:hAnsi="Times New Roman" w:cs="Times New Roman"/>
          <w:i/>
          <w:color w:val="000000" w:themeColor="text1"/>
        </w:rPr>
        <w:t xml:space="preserve"> market efficiency and integration</w:t>
      </w:r>
      <w:r w:rsidR="00BB61C4" w:rsidRPr="00BC7BB5">
        <w:rPr>
          <w:rFonts w:ascii="Times New Roman" w:hAnsi="Times New Roman" w:cs="Times New Roman"/>
          <w:color w:val="000000" w:themeColor="text1"/>
        </w:rPr>
        <w:t>, by (i) strengthening the capacity of intra-branch organizations</w:t>
      </w:r>
      <w:r w:rsidR="00090D1C">
        <w:rPr>
          <w:rFonts w:ascii="Times New Roman" w:hAnsi="Times New Roman" w:cs="Times New Roman"/>
          <w:color w:val="000000" w:themeColor="text1"/>
        </w:rPr>
        <w:t>,</w:t>
      </w:r>
      <w:r w:rsidR="00090D1C" w:rsidRPr="00BC7BB5">
        <w:rPr>
          <w:rFonts w:ascii="Times New Roman" w:hAnsi="Times New Roman" w:cs="Times New Roman"/>
          <w:color w:val="000000" w:themeColor="text1"/>
        </w:rPr>
        <w:t xml:space="preserve"> </w:t>
      </w:r>
      <w:r w:rsidR="00BB61C4" w:rsidRPr="00BC7BB5">
        <w:rPr>
          <w:rFonts w:ascii="Times New Roman" w:hAnsi="Times New Roman" w:cs="Times New Roman"/>
          <w:color w:val="000000" w:themeColor="text1"/>
        </w:rPr>
        <w:t>(ii) enabling greater access of small and medium producers and enterprises to existing instruments to incentivize vertical and horizontal integration</w:t>
      </w:r>
      <w:r w:rsidR="00090D1C">
        <w:rPr>
          <w:rFonts w:ascii="Times New Roman" w:hAnsi="Times New Roman" w:cs="Times New Roman"/>
          <w:color w:val="000000" w:themeColor="text1"/>
        </w:rPr>
        <w:t>,</w:t>
      </w:r>
      <w:r w:rsidR="00090D1C" w:rsidRPr="00BC7BB5">
        <w:rPr>
          <w:rFonts w:ascii="Times New Roman" w:hAnsi="Times New Roman" w:cs="Times New Roman"/>
          <w:color w:val="000000" w:themeColor="text1"/>
        </w:rPr>
        <w:t xml:space="preserve"> </w:t>
      </w:r>
      <w:r w:rsidR="00BB61C4" w:rsidRPr="00BC7BB5">
        <w:rPr>
          <w:rFonts w:ascii="Times New Roman" w:hAnsi="Times New Roman" w:cs="Times New Roman"/>
          <w:color w:val="000000" w:themeColor="text1"/>
        </w:rPr>
        <w:t>(iii) upgrading selected market infrastructure and modernizing their management, and (iv) improving access to market information; and (b</w:t>
      </w:r>
      <w:r w:rsidR="00BB61C4" w:rsidRPr="00BC7BB5">
        <w:rPr>
          <w:rFonts w:ascii="Times New Roman" w:hAnsi="Times New Roman" w:cs="Times New Roman"/>
          <w:i/>
          <w:color w:val="000000" w:themeColor="text1"/>
        </w:rPr>
        <w:t>) i</w:t>
      </w:r>
      <w:r w:rsidR="00207701" w:rsidRPr="00BC7BB5">
        <w:rPr>
          <w:rFonts w:ascii="Times New Roman" w:hAnsi="Times New Roman" w:cs="Times New Roman"/>
          <w:i/>
          <w:color w:val="000000" w:themeColor="text1"/>
        </w:rPr>
        <w:t>mproved</w:t>
      </w:r>
      <w:r w:rsidR="003F068F" w:rsidRPr="00BC7BB5">
        <w:rPr>
          <w:rFonts w:ascii="Times New Roman" w:hAnsi="Times New Roman" w:cs="Times New Roman"/>
          <w:i/>
          <w:color w:val="000000" w:themeColor="text1"/>
        </w:rPr>
        <w:t xml:space="preserve"> </w:t>
      </w:r>
      <w:r w:rsidR="00BB61C4" w:rsidRPr="00BC7BB5">
        <w:rPr>
          <w:rFonts w:ascii="Times New Roman" w:hAnsi="Times New Roman" w:cs="Times New Roman"/>
          <w:i/>
          <w:color w:val="000000" w:themeColor="text1"/>
        </w:rPr>
        <w:t>value-added of agri-food products,</w:t>
      </w:r>
      <w:r w:rsidR="00BB61C4" w:rsidRPr="00BC7BB5">
        <w:rPr>
          <w:rFonts w:ascii="Times New Roman" w:hAnsi="Times New Roman" w:cs="Times New Roman"/>
          <w:color w:val="000000" w:themeColor="text1"/>
        </w:rPr>
        <w:t xml:space="preserve"> by (i) enabling risk-based implementation of the national food safety law and regulations</w:t>
      </w:r>
      <w:r w:rsidR="00207701" w:rsidRPr="00BC7BB5">
        <w:rPr>
          <w:rFonts w:ascii="Times New Roman" w:hAnsi="Times New Roman" w:cs="Times New Roman"/>
          <w:color w:val="000000" w:themeColor="text1"/>
        </w:rPr>
        <w:t>, (ii)</w:t>
      </w:r>
      <w:r w:rsidR="00BB61C4" w:rsidRPr="00BC7BB5">
        <w:rPr>
          <w:rFonts w:ascii="Times New Roman" w:hAnsi="Times New Roman" w:cs="Times New Roman"/>
          <w:color w:val="000000" w:themeColor="text1"/>
        </w:rPr>
        <w:t xml:space="preserve"> promoting quality standards and certification systems</w:t>
      </w:r>
      <w:r w:rsidR="00207701" w:rsidRPr="00BC7BB5">
        <w:rPr>
          <w:rFonts w:ascii="Times New Roman" w:hAnsi="Times New Roman" w:cs="Times New Roman"/>
          <w:color w:val="000000" w:themeColor="text1"/>
        </w:rPr>
        <w:t>,</w:t>
      </w:r>
      <w:r w:rsidR="00BB61C4" w:rsidRPr="00BC7BB5">
        <w:rPr>
          <w:rFonts w:ascii="Times New Roman" w:hAnsi="Times New Roman" w:cs="Times New Roman"/>
          <w:color w:val="000000" w:themeColor="text1"/>
        </w:rPr>
        <w:t xml:space="preserve"> (i</w:t>
      </w:r>
      <w:r w:rsidR="00207701" w:rsidRPr="00BC7BB5">
        <w:rPr>
          <w:rFonts w:ascii="Times New Roman" w:hAnsi="Times New Roman" w:cs="Times New Roman"/>
          <w:color w:val="000000" w:themeColor="text1"/>
        </w:rPr>
        <w:t>i</w:t>
      </w:r>
      <w:r w:rsidR="00BB61C4" w:rsidRPr="00BC7BB5">
        <w:rPr>
          <w:rFonts w:ascii="Times New Roman" w:hAnsi="Times New Roman" w:cs="Times New Roman"/>
          <w:color w:val="000000" w:themeColor="text1"/>
        </w:rPr>
        <w:t>i) improving access to business development services for producers and agribusiness SMEs and their readiness for access to finance and investments</w:t>
      </w:r>
      <w:r w:rsidR="00090D1C">
        <w:rPr>
          <w:rFonts w:ascii="Times New Roman" w:hAnsi="Times New Roman" w:cs="Times New Roman"/>
          <w:color w:val="000000" w:themeColor="text1"/>
        </w:rPr>
        <w:t>,</w:t>
      </w:r>
      <w:r w:rsidR="00207701" w:rsidRPr="00BC7BB5">
        <w:rPr>
          <w:rFonts w:ascii="Times New Roman" w:hAnsi="Times New Roman" w:cs="Times New Roman"/>
          <w:color w:val="000000" w:themeColor="text1"/>
        </w:rPr>
        <w:t xml:space="preserve"> and (iv) financing innovation</w:t>
      </w:r>
      <w:r w:rsidR="00762EAB" w:rsidRPr="00BC7BB5">
        <w:rPr>
          <w:rFonts w:ascii="Times New Roman" w:hAnsi="Times New Roman" w:cs="Times New Roman"/>
          <w:color w:val="000000" w:themeColor="text1"/>
        </w:rPr>
        <w:t>.</w:t>
      </w:r>
    </w:p>
    <w:p w14:paraId="0562C74E" w14:textId="77777777" w:rsidR="00E233DA" w:rsidRPr="00BC7BB5" w:rsidRDefault="00E233DA" w:rsidP="00E233DA">
      <w:pPr>
        <w:spacing w:after="0"/>
        <w:jc w:val="both"/>
        <w:rPr>
          <w:rFonts w:ascii="Times New Roman" w:hAnsi="Times New Roman" w:cs="Times New Roman"/>
          <w:b/>
          <w:i/>
        </w:rPr>
      </w:pPr>
    </w:p>
    <w:p w14:paraId="0BD2A7FE" w14:textId="6C0671E8" w:rsidR="00D12F1D" w:rsidRPr="00A6265D" w:rsidRDefault="00D12F1D" w:rsidP="00FF1F7A">
      <w:pPr>
        <w:jc w:val="both"/>
        <w:rPr>
          <w:rFonts w:ascii="Times New Roman" w:hAnsi="Times New Roman" w:cs="Times New Roman"/>
          <w:b/>
        </w:rPr>
      </w:pPr>
      <w:r w:rsidRPr="00A6265D">
        <w:rPr>
          <w:rFonts w:ascii="Times New Roman" w:hAnsi="Times New Roman" w:cs="Times New Roman"/>
          <w:b/>
        </w:rPr>
        <w:t xml:space="preserve">Result area 1: </w:t>
      </w:r>
      <w:r w:rsidR="00207701" w:rsidRPr="00A6265D">
        <w:rPr>
          <w:rFonts w:ascii="Times New Roman" w:hAnsi="Times New Roman" w:cs="Times New Roman"/>
          <w:b/>
        </w:rPr>
        <w:t>Increased</w:t>
      </w:r>
      <w:r w:rsidR="00BB61C4" w:rsidRPr="00A6265D">
        <w:rPr>
          <w:rFonts w:ascii="Times New Roman" w:hAnsi="Times New Roman" w:cs="Times New Roman"/>
          <w:b/>
        </w:rPr>
        <w:t xml:space="preserve"> </w:t>
      </w:r>
      <w:r w:rsidRPr="00A6265D">
        <w:rPr>
          <w:rFonts w:ascii="Times New Roman" w:hAnsi="Times New Roman" w:cs="Times New Roman"/>
          <w:b/>
        </w:rPr>
        <w:t xml:space="preserve">market efficiency and </w:t>
      </w:r>
      <w:r w:rsidR="008538BE">
        <w:rPr>
          <w:rFonts w:ascii="Times New Roman" w:hAnsi="Times New Roman" w:cs="Times New Roman"/>
          <w:b/>
        </w:rPr>
        <w:t>integration</w:t>
      </w:r>
    </w:p>
    <w:p w14:paraId="21EB5923" w14:textId="3D9D909D" w:rsidR="00762EAB" w:rsidRPr="00BC7BB5" w:rsidRDefault="00D12F1D" w:rsidP="00F561E8">
      <w:pPr>
        <w:pStyle w:val="NoSpacing"/>
        <w:numPr>
          <w:ilvl w:val="0"/>
          <w:numId w:val="35"/>
        </w:numPr>
        <w:ind w:left="0" w:firstLine="0"/>
        <w:jc w:val="both"/>
        <w:rPr>
          <w:rFonts w:ascii="Times New Roman" w:hAnsi="Times New Roman" w:cs="Times New Roman"/>
        </w:rPr>
      </w:pPr>
      <w:r w:rsidRPr="00BC7BB5">
        <w:rPr>
          <w:rFonts w:ascii="Times New Roman" w:hAnsi="Times New Roman" w:cs="Times New Roman"/>
        </w:rPr>
        <w:t xml:space="preserve">The structure of the Moroccan agriculture sector, heavily dominated by small family holdings producing primarily for domestic markets and self-consumption, and the structure of the broader agri-food </w:t>
      </w:r>
      <w:r w:rsidRPr="00BC7BB5">
        <w:rPr>
          <w:rFonts w:ascii="Times New Roman" w:hAnsi="Times New Roman" w:cs="Times New Roman"/>
        </w:rPr>
        <w:lastRenderedPageBreak/>
        <w:t>sector with a small number of large, modern enterprises coexisting with a weak network of SMEs poorly equipped to meet the demands of high-value markets, represent important challenges for Morocco’s ability to competitively meet the demand of export markets or that of more modern value-chains on domestic markets (e.g.</w:t>
      </w:r>
      <w:r w:rsidR="00F30B5E">
        <w:rPr>
          <w:rFonts w:ascii="Times New Roman" w:hAnsi="Times New Roman" w:cs="Times New Roman"/>
        </w:rPr>
        <w:t>,</w:t>
      </w:r>
      <w:r w:rsidRPr="00BC7BB5">
        <w:rPr>
          <w:rFonts w:ascii="Times New Roman" w:hAnsi="Times New Roman" w:cs="Times New Roman"/>
        </w:rPr>
        <w:t xml:space="preserve"> supermarkets). The importance of improving market efficiency and coordination along value-chains has been reflected in the PMV, in particul</w:t>
      </w:r>
      <w:r w:rsidR="004F5AA8" w:rsidRPr="00BC7BB5">
        <w:rPr>
          <w:rFonts w:ascii="Times New Roman" w:hAnsi="Times New Roman" w:cs="Times New Roman"/>
        </w:rPr>
        <w:t>ar through the creation of the i</w:t>
      </w:r>
      <w:r w:rsidRPr="00BC7BB5">
        <w:rPr>
          <w:rFonts w:ascii="Times New Roman" w:hAnsi="Times New Roman" w:cs="Times New Roman"/>
        </w:rPr>
        <w:t xml:space="preserve">nterprofessions </w:t>
      </w:r>
      <w:r w:rsidR="00BB61C4" w:rsidRPr="00BC7BB5">
        <w:rPr>
          <w:rFonts w:ascii="Times New Roman" w:hAnsi="Times New Roman" w:cs="Times New Roman"/>
        </w:rPr>
        <w:t xml:space="preserve">(intra-branch organizations) </w:t>
      </w:r>
      <w:r w:rsidRPr="00BC7BB5">
        <w:rPr>
          <w:rFonts w:ascii="Times New Roman" w:hAnsi="Times New Roman" w:cs="Times New Roman"/>
        </w:rPr>
        <w:t>as platform</w:t>
      </w:r>
      <w:r w:rsidR="00BB61C4" w:rsidRPr="00BC7BB5">
        <w:rPr>
          <w:rFonts w:ascii="Times New Roman" w:hAnsi="Times New Roman" w:cs="Times New Roman"/>
        </w:rPr>
        <w:t>s</w:t>
      </w:r>
      <w:r w:rsidRPr="00BC7BB5">
        <w:rPr>
          <w:rFonts w:ascii="Times New Roman" w:hAnsi="Times New Roman" w:cs="Times New Roman"/>
        </w:rPr>
        <w:t xml:space="preserve"> for public-private dialogue and to coordinate actions of stakeholders involved upstream and downstream in priority sub-sectors; through the specific actions taken to improve the legal and regulatory framework for wholesale marke</w:t>
      </w:r>
      <w:r w:rsidR="00AE50EA" w:rsidRPr="00BC7BB5">
        <w:rPr>
          <w:rFonts w:ascii="Times New Roman" w:hAnsi="Times New Roman" w:cs="Times New Roman"/>
        </w:rPr>
        <w:t>ts and slaughterhouses</w:t>
      </w:r>
      <w:r w:rsidRPr="00BC7BB5">
        <w:rPr>
          <w:rFonts w:ascii="Times New Roman" w:hAnsi="Times New Roman" w:cs="Times New Roman"/>
        </w:rPr>
        <w:t xml:space="preserve"> considering the inefficiencies in the cu</w:t>
      </w:r>
      <w:r w:rsidR="00AE50EA" w:rsidRPr="00BC7BB5">
        <w:rPr>
          <w:rFonts w:ascii="Times New Roman" w:hAnsi="Times New Roman" w:cs="Times New Roman"/>
        </w:rPr>
        <w:t>rrent management of those facilities</w:t>
      </w:r>
      <w:r w:rsidRPr="00BC7BB5">
        <w:rPr>
          <w:rFonts w:ascii="Times New Roman" w:hAnsi="Times New Roman" w:cs="Times New Roman"/>
        </w:rPr>
        <w:t>; through the creation of a specific instrument under the PMV, to support aggregation projects through the FDA; and throug</w:t>
      </w:r>
      <w:r w:rsidR="00AE50EA" w:rsidRPr="00BC7BB5">
        <w:rPr>
          <w:rFonts w:ascii="Times New Roman" w:hAnsi="Times New Roman" w:cs="Times New Roman"/>
        </w:rPr>
        <w:t>h a</w:t>
      </w:r>
      <w:r w:rsidRPr="00BC7BB5">
        <w:rPr>
          <w:rFonts w:ascii="Times New Roman" w:hAnsi="Times New Roman" w:cs="Times New Roman"/>
        </w:rPr>
        <w:t xml:space="preserve"> market information system to improve the transparency of market information. </w:t>
      </w:r>
      <w:r w:rsidR="00AE50EA" w:rsidRPr="00BC7BB5">
        <w:rPr>
          <w:rFonts w:ascii="Times New Roman" w:hAnsi="Times New Roman" w:cs="Times New Roman"/>
        </w:rPr>
        <w:t>T</w:t>
      </w:r>
      <w:r w:rsidRPr="00BC7BB5">
        <w:rPr>
          <w:rFonts w:ascii="Times New Roman" w:hAnsi="Times New Roman" w:cs="Times New Roman"/>
        </w:rPr>
        <w:t xml:space="preserve">he </w:t>
      </w:r>
      <w:r w:rsidR="00AE50EA" w:rsidRPr="00BC7BB5">
        <w:rPr>
          <w:rFonts w:ascii="Times New Roman" w:hAnsi="Times New Roman" w:cs="Times New Roman"/>
        </w:rPr>
        <w:t xml:space="preserve">mid-term </w:t>
      </w:r>
      <w:r w:rsidRPr="00BC7BB5">
        <w:rPr>
          <w:rFonts w:ascii="Times New Roman" w:hAnsi="Times New Roman" w:cs="Times New Roman"/>
        </w:rPr>
        <w:t>review of the PMV pointed to the need to accelerate the actual implementation of those reforms and to specific adjustments to incre</w:t>
      </w:r>
      <w:r w:rsidR="00836773" w:rsidRPr="00BC7BB5">
        <w:rPr>
          <w:rFonts w:ascii="Times New Roman" w:hAnsi="Times New Roman" w:cs="Times New Roman"/>
        </w:rPr>
        <w:t>ase their impact</w:t>
      </w:r>
      <w:r w:rsidR="008C0FB7" w:rsidRPr="00BC7BB5">
        <w:rPr>
          <w:rFonts w:ascii="Times New Roman" w:hAnsi="Times New Roman" w:cs="Times New Roman"/>
        </w:rPr>
        <w:t>.</w:t>
      </w:r>
    </w:p>
    <w:p w14:paraId="0EEBCEC6" w14:textId="77777777" w:rsidR="00A6265D" w:rsidRDefault="00A6265D" w:rsidP="00A6265D">
      <w:pPr>
        <w:pStyle w:val="NoSpacing"/>
        <w:jc w:val="both"/>
        <w:rPr>
          <w:rFonts w:ascii="Times New Roman" w:hAnsi="Times New Roman" w:cs="Times New Roman"/>
        </w:rPr>
      </w:pPr>
    </w:p>
    <w:p w14:paraId="099457BD" w14:textId="442307B7" w:rsidR="001813CF" w:rsidRPr="00BC7BB5" w:rsidRDefault="001813CF" w:rsidP="00A6265D">
      <w:pPr>
        <w:pStyle w:val="NoSpacing"/>
        <w:jc w:val="both"/>
        <w:rPr>
          <w:rFonts w:ascii="Times New Roman" w:hAnsi="Times New Roman" w:cs="Times New Roman"/>
          <w:b/>
          <w:i/>
        </w:rPr>
      </w:pPr>
      <w:r w:rsidRPr="00BC7BB5">
        <w:rPr>
          <w:rFonts w:ascii="Times New Roman" w:hAnsi="Times New Roman" w:cs="Times New Roman"/>
          <w:b/>
          <w:i/>
        </w:rPr>
        <w:t>Strengthening the Interprofessions (Intra-branch organizations)</w:t>
      </w:r>
    </w:p>
    <w:p w14:paraId="3C745C32" w14:textId="77777777" w:rsidR="001813CF" w:rsidRPr="00BC7BB5" w:rsidRDefault="001813CF" w:rsidP="001C3815">
      <w:pPr>
        <w:pStyle w:val="NoSpacing"/>
        <w:jc w:val="both"/>
        <w:rPr>
          <w:rFonts w:ascii="Times New Roman" w:hAnsi="Times New Roman" w:cs="Times New Roman"/>
        </w:rPr>
      </w:pPr>
    </w:p>
    <w:p w14:paraId="315E3B23" w14:textId="6D3F8560" w:rsidR="000C0224" w:rsidRPr="00BC7BB5" w:rsidRDefault="004F5AA8" w:rsidP="00F561E8">
      <w:pPr>
        <w:pStyle w:val="NoSpacing"/>
        <w:numPr>
          <w:ilvl w:val="0"/>
          <w:numId w:val="35"/>
        </w:numPr>
        <w:ind w:left="0" w:firstLine="0"/>
        <w:jc w:val="both"/>
        <w:rPr>
          <w:rFonts w:ascii="Times New Roman" w:hAnsi="Times New Roman" w:cs="Times New Roman"/>
        </w:rPr>
      </w:pPr>
      <w:r w:rsidRPr="00BC7BB5">
        <w:rPr>
          <w:rFonts w:ascii="Times New Roman" w:hAnsi="Times New Roman" w:cs="Times New Roman"/>
          <w:b/>
        </w:rPr>
        <w:t>The i</w:t>
      </w:r>
      <w:r w:rsidR="007F16F1" w:rsidRPr="00BC7BB5">
        <w:rPr>
          <w:rFonts w:ascii="Times New Roman" w:hAnsi="Times New Roman" w:cs="Times New Roman"/>
          <w:b/>
        </w:rPr>
        <w:t>nterprofessions</w:t>
      </w:r>
      <w:r w:rsidRPr="00BC7BB5">
        <w:rPr>
          <w:rFonts w:ascii="Times New Roman" w:hAnsi="Times New Roman" w:cs="Times New Roman"/>
          <w:b/>
        </w:rPr>
        <w:t xml:space="preserve"> need support to build</w:t>
      </w:r>
      <w:r w:rsidR="007F16F1" w:rsidRPr="00BC7BB5">
        <w:rPr>
          <w:rFonts w:ascii="Times New Roman" w:hAnsi="Times New Roman" w:cs="Times New Roman"/>
          <w:b/>
        </w:rPr>
        <w:t xml:space="preserve"> their capacity to carry out their mandate</w:t>
      </w:r>
      <w:r w:rsidR="007F16F1" w:rsidRPr="00BC7BB5">
        <w:rPr>
          <w:rFonts w:ascii="Times New Roman" w:hAnsi="Times New Roman" w:cs="Times New Roman"/>
        </w:rPr>
        <w:t xml:space="preserve">. </w:t>
      </w:r>
      <w:r w:rsidR="00BB61C4" w:rsidRPr="00BC7BB5">
        <w:rPr>
          <w:rFonts w:ascii="Times New Roman" w:hAnsi="Times New Roman" w:cs="Times New Roman"/>
        </w:rPr>
        <w:t xml:space="preserve">The </w:t>
      </w:r>
      <w:r w:rsidR="006B70BC" w:rsidRPr="00BC7BB5">
        <w:rPr>
          <w:rFonts w:ascii="Times New Roman" w:hAnsi="Times New Roman" w:cs="Times New Roman"/>
        </w:rPr>
        <w:t>Interprofessions were created by Law 03-12 in July 2012 as a cornersto</w:t>
      </w:r>
      <w:r w:rsidR="00836773" w:rsidRPr="00BC7BB5">
        <w:rPr>
          <w:rFonts w:ascii="Times New Roman" w:hAnsi="Times New Roman" w:cs="Times New Roman"/>
        </w:rPr>
        <w:t xml:space="preserve">ne of the PMV and given </w:t>
      </w:r>
      <w:r w:rsidR="006B70BC" w:rsidRPr="00BC7BB5">
        <w:rPr>
          <w:rFonts w:ascii="Times New Roman" w:hAnsi="Times New Roman" w:cs="Times New Roman"/>
        </w:rPr>
        <w:t>a broad mandate which includes</w:t>
      </w:r>
      <w:r w:rsidR="00786012" w:rsidRPr="00BC7BB5">
        <w:rPr>
          <w:rFonts w:ascii="Times New Roman" w:hAnsi="Times New Roman" w:cs="Times New Roman"/>
        </w:rPr>
        <w:t xml:space="preserve"> the promotion of Moroccan products on domestic and export markets, market development, contributing to research and extension programs, </w:t>
      </w:r>
      <w:r w:rsidR="00CC76C2" w:rsidRPr="00BC7BB5">
        <w:rPr>
          <w:rFonts w:ascii="Times New Roman" w:hAnsi="Times New Roman" w:cs="Times New Roman"/>
        </w:rPr>
        <w:t xml:space="preserve">awareness raising about norms and standards, intra-sectoral coordination and conflict resolution, and representation of the private sector in public-private dialogue. </w:t>
      </w:r>
      <w:r w:rsidR="00F02F95" w:rsidRPr="00BC7BB5">
        <w:rPr>
          <w:rFonts w:ascii="Times New Roman" w:hAnsi="Times New Roman" w:cs="Times New Roman"/>
        </w:rPr>
        <w:t>Unlike similar intra-branch associations in competitor countries (Spain, Portugal, etc.)</w:t>
      </w:r>
      <w:r w:rsidR="00BB61C4" w:rsidRPr="00BC7BB5">
        <w:rPr>
          <w:rFonts w:ascii="Times New Roman" w:hAnsi="Times New Roman" w:cs="Times New Roman"/>
        </w:rPr>
        <w:t>,</w:t>
      </w:r>
      <w:r w:rsidR="00F02F95" w:rsidRPr="00BC7BB5">
        <w:rPr>
          <w:rFonts w:ascii="Times New Roman" w:hAnsi="Times New Roman" w:cs="Times New Roman"/>
        </w:rPr>
        <w:t xml:space="preserve"> in Morocco the Interprofessions are still in their early stages of development and while some are relatively well o</w:t>
      </w:r>
      <w:r w:rsidR="00836773" w:rsidRPr="00BC7BB5">
        <w:rPr>
          <w:rFonts w:ascii="Times New Roman" w:hAnsi="Times New Roman" w:cs="Times New Roman"/>
        </w:rPr>
        <w:t>rganized (such as Maroc Citrus</w:t>
      </w:r>
      <w:r w:rsidR="00F02F95" w:rsidRPr="00BC7BB5">
        <w:rPr>
          <w:rFonts w:ascii="Times New Roman" w:hAnsi="Times New Roman" w:cs="Times New Roman"/>
        </w:rPr>
        <w:t xml:space="preserve">), most of them still </w:t>
      </w:r>
      <w:r w:rsidR="00CC2ED3" w:rsidRPr="00BC7BB5">
        <w:rPr>
          <w:rFonts w:ascii="Times New Roman" w:hAnsi="Times New Roman" w:cs="Times New Roman"/>
        </w:rPr>
        <w:t xml:space="preserve">lack </w:t>
      </w:r>
      <w:r w:rsidR="00F02F95" w:rsidRPr="00BC7BB5">
        <w:rPr>
          <w:rFonts w:ascii="Times New Roman" w:hAnsi="Times New Roman" w:cs="Times New Roman"/>
        </w:rPr>
        <w:t xml:space="preserve">adequate resources to carry out their mandate – and in need of technical and financial support </w:t>
      </w:r>
      <w:r w:rsidR="00351649" w:rsidRPr="00BC7BB5">
        <w:rPr>
          <w:rFonts w:ascii="Times New Roman" w:hAnsi="Times New Roman" w:cs="Times New Roman"/>
        </w:rPr>
        <w:t xml:space="preserve">before they can effectively </w:t>
      </w:r>
      <w:r w:rsidR="00CC2ED3" w:rsidRPr="00BC7BB5">
        <w:rPr>
          <w:rFonts w:ascii="Times New Roman" w:hAnsi="Times New Roman" w:cs="Times New Roman"/>
        </w:rPr>
        <w:t>fulfil their missions</w:t>
      </w:r>
      <w:r w:rsidR="000F4E6C" w:rsidRPr="00BC7BB5">
        <w:rPr>
          <w:rFonts w:ascii="Times New Roman" w:hAnsi="Times New Roman" w:cs="Times New Roman"/>
        </w:rPr>
        <w:t xml:space="preserve">. </w:t>
      </w:r>
    </w:p>
    <w:p w14:paraId="094140C5" w14:textId="77777777" w:rsidR="000C0224" w:rsidRPr="00BC7BB5" w:rsidRDefault="000C0224" w:rsidP="000C0224">
      <w:pPr>
        <w:pStyle w:val="NoSpacing"/>
        <w:ind w:left="360"/>
        <w:jc w:val="both"/>
        <w:rPr>
          <w:rFonts w:ascii="Times New Roman" w:hAnsi="Times New Roman" w:cs="Times New Roman"/>
        </w:rPr>
      </w:pPr>
    </w:p>
    <w:p w14:paraId="1577E32D" w14:textId="13DBB0A1" w:rsidR="007F16F1" w:rsidRPr="00BC7BB5" w:rsidRDefault="009D2D18" w:rsidP="00F561E8">
      <w:pPr>
        <w:pStyle w:val="NoSpacing"/>
        <w:numPr>
          <w:ilvl w:val="0"/>
          <w:numId w:val="35"/>
        </w:numPr>
        <w:ind w:left="0" w:firstLine="0"/>
        <w:jc w:val="both"/>
        <w:rPr>
          <w:rFonts w:ascii="Times New Roman" w:hAnsi="Times New Roman" w:cs="Times New Roman"/>
        </w:rPr>
      </w:pPr>
      <w:r w:rsidRPr="00BC7BB5">
        <w:rPr>
          <w:rFonts w:ascii="Times New Roman" w:hAnsi="Times New Roman" w:cs="Times New Roman"/>
        </w:rPr>
        <w:t xml:space="preserve">Under the proposed Program, Maroc Citrus </w:t>
      </w:r>
      <w:r w:rsidR="00BC6797" w:rsidRPr="00BC7BB5">
        <w:rPr>
          <w:rFonts w:ascii="Times New Roman" w:hAnsi="Times New Roman" w:cs="Times New Roman"/>
        </w:rPr>
        <w:t xml:space="preserve">(recognized to represent the citrus sub-sector) </w:t>
      </w:r>
      <w:r w:rsidRPr="00BC7BB5">
        <w:rPr>
          <w:rFonts w:ascii="Times New Roman" w:hAnsi="Times New Roman" w:cs="Times New Roman"/>
        </w:rPr>
        <w:t>and Interprolive</w:t>
      </w:r>
      <w:r w:rsidR="001440E0" w:rsidRPr="00BC7BB5">
        <w:rPr>
          <w:rFonts w:ascii="Times New Roman" w:hAnsi="Times New Roman" w:cs="Times New Roman"/>
        </w:rPr>
        <w:t xml:space="preserve"> (</w:t>
      </w:r>
      <w:r w:rsidR="00BC6797" w:rsidRPr="00BC7BB5">
        <w:rPr>
          <w:rFonts w:ascii="Times New Roman" w:hAnsi="Times New Roman" w:cs="Times New Roman"/>
        </w:rPr>
        <w:t>recognized to represent the olive sub-sector)</w:t>
      </w:r>
      <w:r w:rsidRPr="00BC7BB5">
        <w:rPr>
          <w:rFonts w:ascii="Times New Roman" w:hAnsi="Times New Roman" w:cs="Times New Roman"/>
        </w:rPr>
        <w:t xml:space="preserve"> would receive support for the preparation an</w:t>
      </w:r>
      <w:r w:rsidR="00C94BF7" w:rsidRPr="00BC7BB5">
        <w:rPr>
          <w:rFonts w:ascii="Times New Roman" w:hAnsi="Times New Roman" w:cs="Times New Roman"/>
        </w:rPr>
        <w:t>d subsequent implementation of their</w:t>
      </w:r>
      <w:r w:rsidRPr="00BC7BB5">
        <w:rPr>
          <w:rFonts w:ascii="Times New Roman" w:hAnsi="Times New Roman" w:cs="Times New Roman"/>
        </w:rPr>
        <w:t xml:space="preserve"> business plan</w:t>
      </w:r>
      <w:r w:rsidR="00C94BF7" w:rsidRPr="00BC7BB5">
        <w:rPr>
          <w:rFonts w:ascii="Times New Roman" w:hAnsi="Times New Roman" w:cs="Times New Roman"/>
        </w:rPr>
        <w:t>s</w:t>
      </w:r>
      <w:r w:rsidRPr="00BC7BB5">
        <w:rPr>
          <w:rFonts w:ascii="Times New Roman" w:hAnsi="Times New Roman" w:cs="Times New Roman"/>
        </w:rPr>
        <w:t xml:space="preserve"> which would, in particular: (a) define </w:t>
      </w:r>
      <w:r w:rsidR="00C94BF7" w:rsidRPr="00BC7BB5">
        <w:rPr>
          <w:rFonts w:ascii="Times New Roman" w:hAnsi="Times New Roman" w:cs="Times New Roman"/>
        </w:rPr>
        <w:t>a</w:t>
      </w:r>
      <w:r w:rsidRPr="00BC7BB5">
        <w:rPr>
          <w:rFonts w:ascii="Times New Roman" w:hAnsi="Times New Roman" w:cs="Times New Roman"/>
        </w:rPr>
        <w:t xml:space="preserve"> financing plan, (b) develop a road map for greater sector representation</w:t>
      </w:r>
      <w:r w:rsidR="00C94BF7" w:rsidRPr="00BC7BB5">
        <w:rPr>
          <w:rFonts w:ascii="Times New Roman" w:hAnsi="Times New Roman" w:cs="Times New Roman"/>
        </w:rPr>
        <w:t>,</w:t>
      </w:r>
      <w:r w:rsidRPr="00BC7BB5">
        <w:rPr>
          <w:rFonts w:ascii="Times New Roman" w:hAnsi="Times New Roman" w:cs="Times New Roman"/>
        </w:rPr>
        <w:t xml:space="preserve"> and (c) on that basis, position more selectively and strategically </w:t>
      </w:r>
      <w:r w:rsidR="00C94BF7" w:rsidRPr="00BC7BB5">
        <w:rPr>
          <w:rFonts w:ascii="Times New Roman" w:hAnsi="Times New Roman" w:cs="Times New Roman"/>
        </w:rPr>
        <w:t>their</w:t>
      </w:r>
      <w:r w:rsidRPr="00BC7BB5">
        <w:rPr>
          <w:rFonts w:ascii="Times New Roman" w:hAnsi="Times New Roman" w:cs="Times New Roman"/>
        </w:rPr>
        <w:t xml:space="preserve"> services to </w:t>
      </w:r>
      <w:r w:rsidR="00C94BF7" w:rsidRPr="00BC7BB5">
        <w:rPr>
          <w:rFonts w:ascii="Times New Roman" w:hAnsi="Times New Roman" w:cs="Times New Roman"/>
        </w:rPr>
        <w:t xml:space="preserve">their </w:t>
      </w:r>
      <w:r w:rsidRPr="00BC7BB5">
        <w:rPr>
          <w:rFonts w:ascii="Times New Roman" w:hAnsi="Times New Roman" w:cs="Times New Roman"/>
        </w:rPr>
        <w:t>members</w:t>
      </w:r>
      <w:r w:rsidR="00C94BF7" w:rsidRPr="00BC7BB5">
        <w:rPr>
          <w:rFonts w:ascii="Times New Roman" w:hAnsi="Times New Roman" w:cs="Times New Roman"/>
        </w:rPr>
        <w:t>.</w:t>
      </w:r>
      <w:r w:rsidR="00CC2ED3" w:rsidRPr="00BC7BB5">
        <w:rPr>
          <w:rFonts w:ascii="Times New Roman" w:hAnsi="Times New Roman" w:cs="Times New Roman"/>
        </w:rPr>
        <w:t xml:space="preserve"> The signature of intra-branch </w:t>
      </w:r>
      <w:r w:rsidR="004F5AA8" w:rsidRPr="00BC7BB5">
        <w:rPr>
          <w:rFonts w:ascii="Times New Roman" w:hAnsi="Times New Roman" w:cs="Times New Roman"/>
        </w:rPr>
        <w:t>agreements on the financing of i</w:t>
      </w:r>
      <w:r w:rsidR="00CC2ED3" w:rsidRPr="00BC7BB5">
        <w:rPr>
          <w:rFonts w:ascii="Times New Roman" w:hAnsi="Times New Roman" w:cs="Times New Roman"/>
        </w:rPr>
        <w:t>nterprofessions (</w:t>
      </w:r>
      <w:r w:rsidR="00CC2ED3" w:rsidRPr="00BC7BB5">
        <w:rPr>
          <w:rFonts w:ascii="Times New Roman" w:hAnsi="Times New Roman" w:cs="Times New Roman"/>
          <w:i/>
        </w:rPr>
        <w:t>Accords interprofessionnels</w:t>
      </w:r>
      <w:r w:rsidR="00CC2ED3" w:rsidRPr="00BC7BB5">
        <w:rPr>
          <w:rFonts w:ascii="Times New Roman" w:hAnsi="Times New Roman" w:cs="Times New Roman"/>
        </w:rPr>
        <w:t xml:space="preserve">), as envisaged in Law 03-12, would be supported by the </w:t>
      </w:r>
      <w:r w:rsidR="00F30B5E">
        <w:rPr>
          <w:rFonts w:ascii="Times New Roman" w:hAnsi="Times New Roman" w:cs="Times New Roman"/>
        </w:rPr>
        <w:t>P</w:t>
      </w:r>
      <w:r w:rsidR="00CC2ED3" w:rsidRPr="00BC7BB5">
        <w:rPr>
          <w:rFonts w:ascii="Times New Roman" w:hAnsi="Times New Roman" w:cs="Times New Roman"/>
        </w:rPr>
        <w:t>rogram as a key milestone to ensure their financial sustainability.</w:t>
      </w:r>
    </w:p>
    <w:p w14:paraId="33006B23" w14:textId="77777777" w:rsidR="00A6265D" w:rsidRDefault="00A6265D" w:rsidP="00A6265D">
      <w:pPr>
        <w:pStyle w:val="NoSpacing"/>
        <w:jc w:val="both"/>
        <w:rPr>
          <w:rFonts w:ascii="Times New Roman" w:hAnsi="Times New Roman" w:cs="Times New Roman"/>
        </w:rPr>
      </w:pPr>
    </w:p>
    <w:p w14:paraId="5FD2BCF5" w14:textId="12CE6A52" w:rsidR="000C0224" w:rsidRPr="00BC7BB5" w:rsidRDefault="00F30B5E" w:rsidP="00A6265D">
      <w:pPr>
        <w:pStyle w:val="NoSpacing"/>
        <w:jc w:val="both"/>
        <w:rPr>
          <w:rFonts w:ascii="Times New Roman" w:hAnsi="Times New Roman" w:cs="Times New Roman"/>
          <w:b/>
          <w:i/>
        </w:rPr>
      </w:pPr>
      <w:r>
        <w:rPr>
          <w:rFonts w:ascii="Times New Roman" w:hAnsi="Times New Roman" w:cs="Times New Roman"/>
          <w:b/>
          <w:i/>
        </w:rPr>
        <w:t>Supporting the integration of small and medium producers</w:t>
      </w:r>
      <w:r w:rsidR="008A4CBD" w:rsidRPr="00BC7BB5">
        <w:rPr>
          <w:rFonts w:ascii="Times New Roman" w:hAnsi="Times New Roman" w:cs="Times New Roman"/>
          <w:b/>
          <w:i/>
        </w:rPr>
        <w:t xml:space="preserve"> in selected </w:t>
      </w:r>
      <w:r>
        <w:rPr>
          <w:rFonts w:ascii="Times New Roman" w:hAnsi="Times New Roman" w:cs="Times New Roman"/>
          <w:b/>
          <w:i/>
        </w:rPr>
        <w:t xml:space="preserve">agri-food </w:t>
      </w:r>
      <w:r w:rsidR="008A4CBD" w:rsidRPr="00BC7BB5">
        <w:rPr>
          <w:rFonts w:ascii="Times New Roman" w:hAnsi="Times New Roman" w:cs="Times New Roman"/>
          <w:b/>
          <w:i/>
        </w:rPr>
        <w:t>value</w:t>
      </w:r>
      <w:r w:rsidR="00EC0483">
        <w:rPr>
          <w:rFonts w:ascii="Times New Roman" w:hAnsi="Times New Roman" w:cs="Times New Roman"/>
          <w:b/>
          <w:i/>
        </w:rPr>
        <w:t xml:space="preserve"> </w:t>
      </w:r>
      <w:r w:rsidR="008A4CBD" w:rsidRPr="00BC7BB5">
        <w:rPr>
          <w:rFonts w:ascii="Times New Roman" w:hAnsi="Times New Roman" w:cs="Times New Roman"/>
          <w:b/>
          <w:i/>
        </w:rPr>
        <w:t>chains</w:t>
      </w:r>
    </w:p>
    <w:p w14:paraId="7E089059" w14:textId="73FB6EDA" w:rsidR="001813CF" w:rsidRPr="00BC7BB5" w:rsidRDefault="001813CF" w:rsidP="001813CF">
      <w:pPr>
        <w:pStyle w:val="NoSpacing"/>
        <w:ind w:left="720"/>
        <w:jc w:val="both"/>
        <w:rPr>
          <w:rFonts w:ascii="Times New Roman" w:hAnsi="Times New Roman" w:cs="Times New Roman"/>
          <w:i/>
        </w:rPr>
      </w:pPr>
    </w:p>
    <w:p w14:paraId="4F856E54" w14:textId="24B63B2A" w:rsidR="008A4CBD" w:rsidRPr="00BC7BB5" w:rsidRDefault="00F24DD0" w:rsidP="00F561E8">
      <w:pPr>
        <w:pStyle w:val="NoSpacing"/>
        <w:numPr>
          <w:ilvl w:val="0"/>
          <w:numId w:val="35"/>
        </w:numPr>
        <w:ind w:left="0" w:firstLine="0"/>
        <w:jc w:val="both"/>
        <w:rPr>
          <w:rFonts w:ascii="Times New Roman" w:hAnsi="Times New Roman" w:cs="Times New Roman"/>
        </w:rPr>
      </w:pPr>
      <w:r w:rsidRPr="00BC7BB5">
        <w:rPr>
          <w:rFonts w:ascii="Times New Roman" w:hAnsi="Times New Roman" w:cs="Times New Roman"/>
        </w:rPr>
        <w:t>Under the PMV, two sets of instruments have been put in place by MAPM</w:t>
      </w:r>
      <w:r w:rsidR="008920A6" w:rsidRPr="00BC7BB5">
        <w:rPr>
          <w:rFonts w:ascii="Times New Roman" w:hAnsi="Times New Roman" w:cs="Times New Roman"/>
        </w:rPr>
        <w:t>DREF</w:t>
      </w:r>
      <w:r w:rsidRPr="00BC7BB5">
        <w:rPr>
          <w:rFonts w:ascii="Times New Roman" w:hAnsi="Times New Roman" w:cs="Times New Roman"/>
        </w:rPr>
        <w:t xml:space="preserve"> to promote coordination between producers and buyers (whether cooperatives/GIEs, processors, exporters or other stakeholders) and to incentivize investments in value-addin</w:t>
      </w:r>
      <w:r w:rsidR="006F464F" w:rsidRPr="00BC7BB5">
        <w:rPr>
          <w:rFonts w:ascii="Times New Roman" w:hAnsi="Times New Roman" w:cs="Times New Roman"/>
        </w:rPr>
        <w:t>g activities. Tho</w:t>
      </w:r>
      <w:r w:rsidRPr="00BC7BB5">
        <w:rPr>
          <w:rFonts w:ascii="Times New Roman" w:hAnsi="Times New Roman" w:cs="Times New Roman"/>
        </w:rPr>
        <w:t xml:space="preserve">se include the aggregation model under Pillar </w:t>
      </w:r>
      <w:r w:rsidR="00597D2E" w:rsidRPr="00BC7BB5">
        <w:rPr>
          <w:rFonts w:ascii="Times New Roman" w:hAnsi="Times New Roman" w:cs="Times New Roman"/>
        </w:rPr>
        <w:t xml:space="preserve">I </w:t>
      </w:r>
      <w:r w:rsidRPr="00BC7BB5">
        <w:rPr>
          <w:rFonts w:ascii="Times New Roman" w:hAnsi="Times New Roman" w:cs="Times New Roman"/>
        </w:rPr>
        <w:t xml:space="preserve">of the PMV and the subprojects financed under its Pillar </w:t>
      </w:r>
      <w:r w:rsidR="00597D2E" w:rsidRPr="00BC7BB5">
        <w:rPr>
          <w:rFonts w:ascii="Times New Roman" w:hAnsi="Times New Roman" w:cs="Times New Roman"/>
        </w:rPr>
        <w:t>II</w:t>
      </w:r>
      <w:r w:rsidRPr="00BC7BB5">
        <w:rPr>
          <w:rFonts w:ascii="Times New Roman" w:hAnsi="Times New Roman" w:cs="Times New Roman"/>
        </w:rPr>
        <w:t>. Those two schemes complement the incentive schemes which already existed under the FDA to promote, at farm-level, the adoption of improved technologies and farming practices and to foster</w:t>
      </w:r>
      <w:r w:rsidR="00EE50E2" w:rsidRPr="00BC7BB5">
        <w:rPr>
          <w:rFonts w:ascii="Times New Roman" w:hAnsi="Times New Roman" w:cs="Times New Roman"/>
        </w:rPr>
        <w:t>, beyond the farm gate,</w:t>
      </w:r>
      <w:r w:rsidRPr="00BC7BB5">
        <w:rPr>
          <w:rFonts w:ascii="Times New Roman" w:hAnsi="Times New Roman" w:cs="Times New Roman"/>
        </w:rPr>
        <w:t xml:space="preserve"> investments into modern processing and conditioning units</w:t>
      </w:r>
      <w:r w:rsidR="008920A6" w:rsidRPr="00BC7BB5">
        <w:rPr>
          <w:rFonts w:ascii="Times New Roman" w:hAnsi="Times New Roman" w:cs="Times New Roman"/>
        </w:rPr>
        <w:t xml:space="preserve">. The </w:t>
      </w:r>
      <w:r w:rsidR="00EE50E2" w:rsidRPr="00BC7BB5">
        <w:rPr>
          <w:rFonts w:ascii="Times New Roman" w:hAnsi="Times New Roman" w:cs="Times New Roman"/>
        </w:rPr>
        <w:t xml:space="preserve">proposed </w:t>
      </w:r>
      <w:r w:rsidR="008920A6" w:rsidRPr="00BC7BB5">
        <w:rPr>
          <w:rFonts w:ascii="Times New Roman" w:hAnsi="Times New Roman" w:cs="Times New Roman"/>
        </w:rPr>
        <w:t>Program would improve those instruments based on the</w:t>
      </w:r>
      <w:r w:rsidR="00EE50E2" w:rsidRPr="00BC7BB5">
        <w:rPr>
          <w:rFonts w:ascii="Times New Roman" w:hAnsi="Times New Roman" w:cs="Times New Roman"/>
        </w:rPr>
        <w:t>ir</w:t>
      </w:r>
      <w:r w:rsidR="008920A6" w:rsidRPr="00BC7BB5">
        <w:rPr>
          <w:rFonts w:ascii="Times New Roman" w:hAnsi="Times New Roman" w:cs="Times New Roman"/>
        </w:rPr>
        <w:t xml:space="preserve"> evaluation carried out respectively </w:t>
      </w:r>
      <w:r w:rsidR="00EE50E2" w:rsidRPr="00BC7BB5">
        <w:rPr>
          <w:rFonts w:ascii="Times New Roman" w:hAnsi="Times New Roman" w:cs="Times New Roman"/>
        </w:rPr>
        <w:t xml:space="preserve">by </w:t>
      </w:r>
      <w:r w:rsidR="008920A6" w:rsidRPr="00BC7BB5">
        <w:rPr>
          <w:rFonts w:ascii="Times New Roman" w:hAnsi="Times New Roman" w:cs="Times New Roman"/>
        </w:rPr>
        <w:t xml:space="preserve">MAPMDREF and ADA, </w:t>
      </w:r>
      <w:r w:rsidR="00597D2E" w:rsidRPr="00BC7BB5">
        <w:rPr>
          <w:rFonts w:ascii="Times New Roman" w:hAnsi="Times New Roman" w:cs="Times New Roman"/>
        </w:rPr>
        <w:t>while also</w:t>
      </w:r>
      <w:r w:rsidR="008920A6" w:rsidRPr="00BC7BB5">
        <w:rPr>
          <w:rFonts w:ascii="Times New Roman" w:hAnsi="Times New Roman" w:cs="Times New Roman"/>
        </w:rPr>
        <w:t xml:space="preserve"> introducing best practices based </w:t>
      </w:r>
      <w:r w:rsidR="00597D2E" w:rsidRPr="00BC7BB5">
        <w:rPr>
          <w:rFonts w:ascii="Times New Roman" w:hAnsi="Times New Roman" w:cs="Times New Roman"/>
        </w:rPr>
        <w:t>o</w:t>
      </w:r>
      <w:r w:rsidR="008920A6" w:rsidRPr="00BC7BB5">
        <w:rPr>
          <w:rFonts w:ascii="Times New Roman" w:hAnsi="Times New Roman" w:cs="Times New Roman"/>
        </w:rPr>
        <w:t>n international experience.</w:t>
      </w:r>
    </w:p>
    <w:p w14:paraId="1DCB4A42" w14:textId="77777777" w:rsidR="008920A6" w:rsidRPr="00BC7BB5" w:rsidRDefault="008920A6" w:rsidP="008920A6">
      <w:pPr>
        <w:spacing w:after="0" w:line="240" w:lineRule="auto"/>
        <w:jc w:val="both"/>
        <w:rPr>
          <w:rFonts w:ascii="Times New Roman" w:hAnsi="Times New Roman" w:cs="Times New Roman"/>
        </w:rPr>
      </w:pPr>
    </w:p>
    <w:p w14:paraId="01712D5E" w14:textId="47E0517C" w:rsidR="008C0FB7" w:rsidRPr="00BC7BB5" w:rsidRDefault="00DC4D2B" w:rsidP="00F561E8">
      <w:pPr>
        <w:pStyle w:val="NoSpacing"/>
        <w:numPr>
          <w:ilvl w:val="0"/>
          <w:numId w:val="35"/>
        </w:numPr>
        <w:ind w:left="0" w:firstLine="0"/>
        <w:jc w:val="both"/>
        <w:rPr>
          <w:rFonts w:ascii="Times New Roman" w:hAnsi="Times New Roman" w:cs="Times New Roman"/>
        </w:rPr>
      </w:pPr>
      <w:r w:rsidRPr="00BC7BB5">
        <w:rPr>
          <w:rFonts w:ascii="Times New Roman" w:hAnsi="Times New Roman" w:cs="Times New Roman"/>
          <w:b/>
        </w:rPr>
        <w:t>Scaling up and improving the inclusiveness of a</w:t>
      </w:r>
      <w:r w:rsidR="008920A6" w:rsidRPr="00BC7BB5">
        <w:rPr>
          <w:rFonts w:ascii="Times New Roman" w:hAnsi="Times New Roman" w:cs="Times New Roman"/>
          <w:b/>
        </w:rPr>
        <w:t>ggregation projects</w:t>
      </w:r>
      <w:r w:rsidR="008920A6" w:rsidRPr="00BC7BB5">
        <w:rPr>
          <w:rFonts w:ascii="Times New Roman" w:hAnsi="Times New Roman" w:cs="Times New Roman"/>
        </w:rPr>
        <w:t xml:space="preserve">. </w:t>
      </w:r>
      <w:r w:rsidR="00DA29FB" w:rsidRPr="00BC7BB5">
        <w:rPr>
          <w:rFonts w:ascii="Times New Roman" w:hAnsi="Times New Roman" w:cs="Times New Roman"/>
        </w:rPr>
        <w:t xml:space="preserve">The Moroccan model of aggregation of production was created by Law 04-12 </w:t>
      </w:r>
      <w:r w:rsidR="00F30B5E">
        <w:rPr>
          <w:rFonts w:ascii="Times New Roman" w:hAnsi="Times New Roman" w:cs="Times New Roman"/>
        </w:rPr>
        <w:t>dated July</w:t>
      </w:r>
      <w:r w:rsidR="00DA29FB" w:rsidRPr="00BC7BB5">
        <w:rPr>
          <w:rFonts w:ascii="Times New Roman" w:hAnsi="Times New Roman" w:cs="Times New Roman"/>
        </w:rPr>
        <w:t xml:space="preserve"> 2012 to encourage vertical and horizontal integration along priority value-chains. The </w:t>
      </w:r>
      <w:r w:rsidR="007F53AB" w:rsidRPr="00BC7BB5">
        <w:rPr>
          <w:rFonts w:ascii="Times New Roman" w:hAnsi="Times New Roman" w:cs="Times New Roman"/>
        </w:rPr>
        <w:t>l</w:t>
      </w:r>
      <w:r w:rsidR="00DA29FB" w:rsidRPr="00BC7BB5">
        <w:rPr>
          <w:rFonts w:ascii="Times New Roman" w:hAnsi="Times New Roman" w:cs="Times New Roman"/>
        </w:rPr>
        <w:t xml:space="preserve">aw regulates contractual arrangements between producers </w:t>
      </w:r>
      <w:r w:rsidR="00DA29FB" w:rsidRPr="00BC7BB5">
        <w:rPr>
          <w:rFonts w:ascii="Times New Roman" w:hAnsi="Times New Roman" w:cs="Times New Roman"/>
          <w:i/>
        </w:rPr>
        <w:t>(agrégés</w:t>
      </w:r>
      <w:r w:rsidR="00DA29FB" w:rsidRPr="00BC7BB5">
        <w:rPr>
          <w:rFonts w:ascii="Times New Roman" w:hAnsi="Times New Roman" w:cs="Times New Roman"/>
        </w:rPr>
        <w:t xml:space="preserve"> in the context of aggregation) and buyers (</w:t>
      </w:r>
      <w:r w:rsidR="00DA29FB" w:rsidRPr="00BC7BB5">
        <w:rPr>
          <w:rFonts w:ascii="Times New Roman" w:hAnsi="Times New Roman" w:cs="Times New Roman"/>
          <w:i/>
        </w:rPr>
        <w:t>agrégateur</w:t>
      </w:r>
      <w:r w:rsidR="00DA29FB" w:rsidRPr="00BC7BB5">
        <w:rPr>
          <w:rFonts w:ascii="Times New Roman" w:hAnsi="Times New Roman" w:cs="Times New Roman"/>
        </w:rPr>
        <w:t xml:space="preserve">) in the context of an aggregation project. The </w:t>
      </w:r>
      <w:r w:rsidR="007F53AB" w:rsidRPr="00BC7BB5">
        <w:rPr>
          <w:rFonts w:ascii="Times New Roman" w:hAnsi="Times New Roman" w:cs="Times New Roman"/>
        </w:rPr>
        <w:t>l</w:t>
      </w:r>
      <w:r w:rsidR="00DA29FB" w:rsidRPr="00BC7BB5">
        <w:rPr>
          <w:rFonts w:ascii="Times New Roman" w:hAnsi="Times New Roman" w:cs="Times New Roman"/>
        </w:rPr>
        <w:t>aw defines aggregation (</w:t>
      </w:r>
      <w:r w:rsidR="00DA29FB" w:rsidRPr="00BC7BB5">
        <w:rPr>
          <w:rFonts w:ascii="Times New Roman" w:hAnsi="Times New Roman" w:cs="Times New Roman"/>
          <w:i/>
        </w:rPr>
        <w:t>agrégation agricole</w:t>
      </w:r>
      <w:r w:rsidR="00DA29FB" w:rsidRPr="00BC7BB5">
        <w:rPr>
          <w:rFonts w:ascii="Times New Roman" w:hAnsi="Times New Roman" w:cs="Times New Roman"/>
        </w:rPr>
        <w:t xml:space="preserve">) as the voluntary association of a group of producers with </w:t>
      </w:r>
      <w:r w:rsidR="00DA29FB" w:rsidRPr="00BC7BB5">
        <w:rPr>
          <w:rFonts w:ascii="Times New Roman" w:hAnsi="Times New Roman" w:cs="Times New Roman"/>
        </w:rPr>
        <w:lastRenderedPageBreak/>
        <w:t>a specific buyer through a contract (</w:t>
      </w:r>
      <w:r w:rsidR="00DA29FB" w:rsidRPr="00BC7BB5">
        <w:rPr>
          <w:rFonts w:ascii="Times New Roman" w:hAnsi="Times New Roman" w:cs="Times New Roman"/>
          <w:i/>
        </w:rPr>
        <w:t>contrat d’agrégation</w:t>
      </w:r>
      <w:r w:rsidR="00DA29FB" w:rsidRPr="00BC7BB5">
        <w:rPr>
          <w:rFonts w:ascii="Times New Roman" w:hAnsi="Times New Roman" w:cs="Times New Roman"/>
        </w:rPr>
        <w:t>) defining both the technical support to be provided by the buyer to those producers and the conditions for the purchase of their pr</w:t>
      </w:r>
      <w:r w:rsidR="00A31DFF" w:rsidRPr="00BC7BB5">
        <w:rPr>
          <w:rFonts w:ascii="Times New Roman" w:hAnsi="Times New Roman" w:cs="Times New Roman"/>
        </w:rPr>
        <w:t xml:space="preserve">oduction. Aggregation projects </w:t>
      </w:r>
      <w:r w:rsidR="00DA29FB" w:rsidRPr="00BC7BB5">
        <w:rPr>
          <w:rFonts w:ascii="Times New Roman" w:hAnsi="Times New Roman" w:cs="Times New Roman"/>
        </w:rPr>
        <w:t>must aim at one or several of the following objectives: (a) better organization of agricultural production through technical assistance for producers, and collective purchase and/or use of production inputs and equipment, (b) facilitating access to finance and/or agricultural insurance, (c) facilitating market access for producers, and (d) value-addition for agri-food products (through cond</w:t>
      </w:r>
      <w:r w:rsidR="00A31DFF" w:rsidRPr="00BC7BB5">
        <w:rPr>
          <w:rFonts w:ascii="Times New Roman" w:hAnsi="Times New Roman" w:cs="Times New Roman"/>
        </w:rPr>
        <w:t>itioning, storage, processing,</w:t>
      </w:r>
      <w:r w:rsidR="00DA29FB" w:rsidRPr="00BC7BB5">
        <w:rPr>
          <w:rFonts w:ascii="Times New Roman" w:hAnsi="Times New Roman" w:cs="Times New Roman"/>
        </w:rPr>
        <w:t xml:space="preserve"> etc.).</w:t>
      </w:r>
      <w:r w:rsidR="00A31DFF" w:rsidRPr="00BC7BB5">
        <w:rPr>
          <w:rFonts w:ascii="Times New Roman" w:hAnsi="Times New Roman" w:cs="Times New Roman"/>
        </w:rPr>
        <w:t xml:space="preserve"> To</w:t>
      </w:r>
      <w:r w:rsidR="00DA29FB" w:rsidRPr="00BC7BB5">
        <w:rPr>
          <w:rFonts w:ascii="Times New Roman" w:hAnsi="Times New Roman" w:cs="Times New Roman"/>
        </w:rPr>
        <w:t xml:space="preserve"> be eligible for financial support from the FDA, aggregation projects must meet the requirements of the law and be validated by MAPM</w:t>
      </w:r>
      <w:r w:rsidR="00A31DFF" w:rsidRPr="00BC7BB5">
        <w:rPr>
          <w:rFonts w:ascii="Times New Roman" w:hAnsi="Times New Roman" w:cs="Times New Roman"/>
        </w:rPr>
        <w:t>DREF</w:t>
      </w:r>
      <w:r w:rsidR="00DA29FB" w:rsidRPr="00BC7BB5">
        <w:rPr>
          <w:rFonts w:ascii="Times New Roman" w:hAnsi="Times New Roman" w:cs="Times New Roman"/>
        </w:rPr>
        <w:t xml:space="preserve"> through </w:t>
      </w:r>
      <w:r w:rsidR="00BD4363">
        <w:rPr>
          <w:rFonts w:ascii="Times New Roman" w:hAnsi="Times New Roman" w:cs="Times New Roman"/>
        </w:rPr>
        <w:t xml:space="preserve">the regional technical committees </w:t>
      </w:r>
      <w:r w:rsidR="00C96F80">
        <w:rPr>
          <w:rFonts w:ascii="Times New Roman" w:hAnsi="Times New Roman" w:cs="Times New Roman"/>
        </w:rPr>
        <w:t>in charge of evaluating the aggregation projects submitted by proponents</w:t>
      </w:r>
      <w:r w:rsidR="00DA29FB" w:rsidRPr="00BC7BB5">
        <w:rPr>
          <w:rFonts w:ascii="Times New Roman" w:hAnsi="Times New Roman" w:cs="Times New Roman"/>
        </w:rPr>
        <w:t>.</w:t>
      </w:r>
    </w:p>
    <w:p w14:paraId="2DCC5D52" w14:textId="77777777" w:rsidR="004C17FC" w:rsidRPr="00BC7BB5" w:rsidRDefault="004C17FC" w:rsidP="008C3E21">
      <w:pPr>
        <w:pStyle w:val="NoSpacing"/>
        <w:jc w:val="both"/>
        <w:rPr>
          <w:rFonts w:ascii="Times New Roman" w:hAnsi="Times New Roman" w:cs="Times New Roman"/>
        </w:rPr>
      </w:pPr>
    </w:p>
    <w:p w14:paraId="0B6DDF2C" w14:textId="0E75A193" w:rsidR="004C17FC" w:rsidRPr="00BC7BB5" w:rsidRDefault="004C17FC" w:rsidP="00F561E8">
      <w:pPr>
        <w:pStyle w:val="NoSpacing"/>
        <w:numPr>
          <w:ilvl w:val="0"/>
          <w:numId w:val="35"/>
        </w:numPr>
        <w:ind w:left="0" w:firstLine="0"/>
        <w:jc w:val="both"/>
        <w:rPr>
          <w:rFonts w:ascii="Times New Roman" w:hAnsi="Times New Roman" w:cs="Times New Roman"/>
        </w:rPr>
      </w:pPr>
      <w:r w:rsidRPr="00BC7BB5">
        <w:rPr>
          <w:rFonts w:ascii="Times New Roman" w:hAnsi="Times New Roman" w:cs="Times New Roman"/>
        </w:rPr>
        <w:t xml:space="preserve">Following ADA’s evaluation of the aggregation model and to stimulate greater uptake by both producers and buyers, various adjustments have been introduced to simplify the requirements for proponents of aggregation projects. ADA intends to continue to adjust the model based on the experience to date, specifically to make it more accessible for operators of lower organizational capacity, such as cooperatives and GIEs, and to make it more attractive for producers. Similar to the lessons from other countries with programs fostering commercial partnerships between producers and buyers (such as the productive alliances model in Latin America), the proposed improvements that would be supported by the Program would include: (a) ensuring greater awareness about the benefits and specificities of aggregation through communication campaigns, (b) on a pilot basis, </w:t>
      </w:r>
      <w:r w:rsidR="004F5AA8" w:rsidRPr="00BC7BB5">
        <w:rPr>
          <w:rFonts w:ascii="Times New Roman" w:hAnsi="Times New Roman" w:cs="Times New Roman"/>
        </w:rPr>
        <w:t xml:space="preserve">providing </w:t>
      </w:r>
      <w:r w:rsidRPr="00BC7BB5">
        <w:rPr>
          <w:rFonts w:ascii="Times New Roman" w:hAnsi="Times New Roman" w:cs="Times New Roman"/>
        </w:rPr>
        <w:t xml:space="preserve">technical and financial assistance to groups of producers (such as cooperatives and GIEs) interested in aggregation to strengthen their organizational and managerial capacity and enable them to </w:t>
      </w:r>
      <w:r w:rsidR="003F068F" w:rsidRPr="00BC7BB5">
        <w:rPr>
          <w:rFonts w:ascii="Times New Roman" w:hAnsi="Times New Roman" w:cs="Times New Roman"/>
        </w:rPr>
        <w:t>enter into commercial partnerships with buyers (productive alliances)</w:t>
      </w:r>
      <w:r w:rsidRPr="00BC7BB5">
        <w:rPr>
          <w:rFonts w:ascii="Times New Roman" w:hAnsi="Times New Roman" w:cs="Times New Roman"/>
        </w:rPr>
        <w:t xml:space="preserve">, (c) further simplification of the administrative requirements for aggregation, and (d) amendment of Law 04-12 to enable </w:t>
      </w:r>
      <w:r w:rsidRPr="00BC7BB5">
        <w:rPr>
          <w:rFonts w:ascii="Times New Roman" w:hAnsi="Times New Roman" w:cs="Times New Roman"/>
          <w:i/>
        </w:rPr>
        <w:t>agrégateurs</w:t>
      </w:r>
      <w:r w:rsidRPr="00BC7BB5">
        <w:rPr>
          <w:rFonts w:ascii="Times New Roman" w:hAnsi="Times New Roman" w:cs="Times New Roman"/>
        </w:rPr>
        <w:t xml:space="preserve"> </w:t>
      </w:r>
      <w:r w:rsidR="00041656">
        <w:rPr>
          <w:rFonts w:ascii="Times New Roman" w:hAnsi="Times New Roman" w:cs="Times New Roman"/>
        </w:rPr>
        <w:t xml:space="preserve">of fruit and vegetables </w:t>
      </w:r>
      <w:r w:rsidRPr="00BC7BB5">
        <w:rPr>
          <w:rFonts w:ascii="Times New Roman" w:hAnsi="Times New Roman" w:cs="Times New Roman"/>
        </w:rPr>
        <w:t>to sell directly to supermarkets and other modern commercialization platforms.</w:t>
      </w:r>
    </w:p>
    <w:p w14:paraId="6E708AD0" w14:textId="47BC8A53" w:rsidR="008920A6" w:rsidRPr="00BC7BB5" w:rsidRDefault="008920A6" w:rsidP="008C3E21">
      <w:pPr>
        <w:pStyle w:val="NoSpacing"/>
        <w:jc w:val="both"/>
        <w:rPr>
          <w:rFonts w:ascii="Times New Roman" w:hAnsi="Times New Roman" w:cs="Times New Roman"/>
        </w:rPr>
      </w:pPr>
    </w:p>
    <w:p w14:paraId="602C7E2D" w14:textId="34869A3D" w:rsidR="004C17FC" w:rsidRPr="00BC7BB5" w:rsidRDefault="004C17FC" w:rsidP="00F561E8">
      <w:pPr>
        <w:pStyle w:val="NoSpacing"/>
        <w:numPr>
          <w:ilvl w:val="0"/>
          <w:numId w:val="35"/>
        </w:numPr>
        <w:ind w:left="0" w:firstLine="0"/>
        <w:jc w:val="both"/>
        <w:rPr>
          <w:rFonts w:ascii="Times New Roman" w:hAnsi="Times New Roman" w:cs="Times New Roman"/>
        </w:rPr>
      </w:pPr>
      <w:r w:rsidRPr="00BC7BB5">
        <w:rPr>
          <w:rFonts w:ascii="Times New Roman" w:hAnsi="Times New Roman" w:cs="Times New Roman"/>
        </w:rPr>
        <w:t>W</w:t>
      </w:r>
      <w:r w:rsidR="00F6393E" w:rsidRPr="00BC7BB5">
        <w:rPr>
          <w:rFonts w:ascii="Times New Roman" w:hAnsi="Times New Roman" w:cs="Times New Roman"/>
        </w:rPr>
        <w:t xml:space="preserve">hile Law </w:t>
      </w:r>
      <w:r w:rsidRPr="00BC7BB5">
        <w:rPr>
          <w:rFonts w:ascii="Times New Roman" w:hAnsi="Times New Roman" w:cs="Times New Roman"/>
        </w:rPr>
        <w:t xml:space="preserve">04-12 </w:t>
      </w:r>
      <w:r w:rsidR="00F6393E" w:rsidRPr="00BC7BB5">
        <w:rPr>
          <w:rFonts w:ascii="Times New Roman" w:hAnsi="Times New Roman" w:cs="Times New Roman"/>
        </w:rPr>
        <w:t xml:space="preserve">provides for a wide definition of aggregation as forms of commercial partnerships between producers and buyers, existing </w:t>
      </w:r>
      <w:r w:rsidRPr="00BC7BB5">
        <w:rPr>
          <w:rFonts w:ascii="Times New Roman" w:hAnsi="Times New Roman" w:cs="Times New Roman"/>
        </w:rPr>
        <w:t xml:space="preserve">instructions </w:t>
      </w:r>
      <w:r w:rsidR="00F6393E" w:rsidRPr="00BC7BB5">
        <w:rPr>
          <w:rFonts w:ascii="Times New Roman" w:hAnsi="Times New Roman" w:cs="Times New Roman"/>
        </w:rPr>
        <w:t>to enable the implementation of the law only cover the specific case of aggregation around a processing or conditioning unit. Partnerships involving other buyers/</w:t>
      </w:r>
      <w:r w:rsidR="00F6393E" w:rsidRPr="00BC7BB5">
        <w:rPr>
          <w:rFonts w:ascii="Times New Roman" w:hAnsi="Times New Roman" w:cs="Times New Roman"/>
          <w:i/>
        </w:rPr>
        <w:t>agrég</w:t>
      </w:r>
      <w:r w:rsidRPr="00BC7BB5">
        <w:rPr>
          <w:rFonts w:ascii="Times New Roman" w:hAnsi="Times New Roman" w:cs="Times New Roman"/>
          <w:i/>
        </w:rPr>
        <w:t>ateurs</w:t>
      </w:r>
      <w:r w:rsidR="00F6393E" w:rsidRPr="00BC7BB5">
        <w:rPr>
          <w:rFonts w:ascii="Times New Roman" w:hAnsi="Times New Roman" w:cs="Times New Roman"/>
        </w:rPr>
        <w:t xml:space="preserve"> and/or which do not involve the establishment of a new processing or conditioning unit are therefore excluded from potential support, while the </w:t>
      </w:r>
      <w:r w:rsidRPr="00BC7BB5">
        <w:rPr>
          <w:rFonts w:ascii="Times New Roman" w:hAnsi="Times New Roman" w:cs="Times New Roman"/>
        </w:rPr>
        <w:t>l</w:t>
      </w:r>
      <w:r w:rsidR="00F6393E" w:rsidRPr="00BC7BB5">
        <w:rPr>
          <w:rFonts w:ascii="Times New Roman" w:hAnsi="Times New Roman" w:cs="Times New Roman"/>
        </w:rPr>
        <w:t>aw itself would allow such partnerships (e.g. a cooperative interested in upgrading the quality of its products or business model to respond to market demand, or interested in developing a new range of products).</w:t>
      </w:r>
      <w:r w:rsidR="00F969D3" w:rsidRPr="00BC7BB5">
        <w:rPr>
          <w:rFonts w:ascii="Times New Roman" w:hAnsi="Times New Roman" w:cs="Times New Roman"/>
        </w:rPr>
        <w:t xml:space="preserve"> The</w:t>
      </w:r>
      <w:r w:rsidRPr="00BC7BB5">
        <w:rPr>
          <w:rFonts w:ascii="Times New Roman" w:hAnsi="Times New Roman" w:cs="Times New Roman"/>
        </w:rPr>
        <w:t xml:space="preserve"> proposed pilot to support groups of producers to update their business models with a view to entering into commercial agreements with buyers would aim at testing new modalities to fill that gap. Subject to the results of the pilot, it could be expanded for example through the</w:t>
      </w:r>
      <w:r w:rsidR="00F969D3" w:rsidRPr="00BC7BB5">
        <w:rPr>
          <w:rFonts w:ascii="Times New Roman" w:hAnsi="Times New Roman" w:cs="Times New Roman"/>
        </w:rPr>
        <w:t xml:space="preserve"> </w:t>
      </w:r>
      <w:r w:rsidRPr="00BC7BB5">
        <w:rPr>
          <w:rFonts w:ascii="Times New Roman" w:hAnsi="Times New Roman" w:cs="Times New Roman"/>
        </w:rPr>
        <w:t>development of updated instructions under the law</w:t>
      </w:r>
      <w:r w:rsidR="00F969D3" w:rsidRPr="00BC7BB5">
        <w:rPr>
          <w:rFonts w:ascii="Times New Roman" w:hAnsi="Times New Roman" w:cs="Times New Roman"/>
        </w:rPr>
        <w:t>.</w:t>
      </w:r>
      <w:r w:rsidRPr="00BC7BB5">
        <w:rPr>
          <w:rFonts w:ascii="Times New Roman" w:hAnsi="Times New Roman" w:cs="Times New Roman"/>
        </w:rPr>
        <w:t xml:space="preserve"> Such adjustments would enable the aggregation model to become more inclusive while also accelerating progress towards better value-chain coordination.</w:t>
      </w:r>
    </w:p>
    <w:p w14:paraId="1D36E6ED" w14:textId="6092BE1E" w:rsidR="00996EC4" w:rsidRPr="00BC7BB5" w:rsidRDefault="00996EC4" w:rsidP="008C3E21">
      <w:pPr>
        <w:pStyle w:val="NoSpacing"/>
        <w:jc w:val="both"/>
        <w:rPr>
          <w:rFonts w:ascii="Times New Roman" w:hAnsi="Times New Roman" w:cs="Times New Roman"/>
        </w:rPr>
      </w:pPr>
    </w:p>
    <w:p w14:paraId="470E5600" w14:textId="4B014E4B" w:rsidR="00DA29FB" w:rsidRPr="00BC7BB5" w:rsidRDefault="00996EC4" w:rsidP="00F561E8">
      <w:pPr>
        <w:pStyle w:val="NoSpacing"/>
        <w:numPr>
          <w:ilvl w:val="0"/>
          <w:numId w:val="35"/>
        </w:numPr>
        <w:ind w:left="0" w:firstLine="0"/>
        <w:jc w:val="both"/>
        <w:rPr>
          <w:rFonts w:ascii="Times New Roman" w:hAnsi="Times New Roman" w:cs="Times New Roman"/>
        </w:rPr>
      </w:pPr>
      <w:r w:rsidRPr="00BC7BB5">
        <w:rPr>
          <w:rFonts w:ascii="Times New Roman" w:hAnsi="Times New Roman" w:cs="Times New Roman"/>
          <w:b/>
        </w:rPr>
        <w:t>Transition from</w:t>
      </w:r>
      <w:r w:rsidR="008415BF" w:rsidRPr="00BC7BB5">
        <w:rPr>
          <w:rFonts w:ascii="Times New Roman" w:hAnsi="Times New Roman" w:cs="Times New Roman"/>
          <w:b/>
        </w:rPr>
        <w:t xml:space="preserve"> Pil</w:t>
      </w:r>
      <w:r w:rsidR="00597D2E" w:rsidRPr="00BC7BB5">
        <w:rPr>
          <w:rFonts w:ascii="Times New Roman" w:hAnsi="Times New Roman" w:cs="Times New Roman"/>
          <w:b/>
        </w:rPr>
        <w:t>la</w:t>
      </w:r>
      <w:r w:rsidRPr="00BC7BB5">
        <w:rPr>
          <w:rFonts w:ascii="Times New Roman" w:hAnsi="Times New Roman" w:cs="Times New Roman"/>
          <w:b/>
        </w:rPr>
        <w:t>r II support to aggregation</w:t>
      </w:r>
      <w:r w:rsidRPr="00BC7BB5">
        <w:rPr>
          <w:rFonts w:ascii="Times New Roman" w:hAnsi="Times New Roman" w:cs="Times New Roman"/>
        </w:rPr>
        <w:t>. Pil</w:t>
      </w:r>
      <w:r w:rsidR="00597D2E" w:rsidRPr="00BC7BB5">
        <w:rPr>
          <w:rFonts w:ascii="Times New Roman" w:hAnsi="Times New Roman" w:cs="Times New Roman"/>
        </w:rPr>
        <w:t>la</w:t>
      </w:r>
      <w:r w:rsidRPr="00BC7BB5">
        <w:rPr>
          <w:rFonts w:ascii="Times New Roman" w:hAnsi="Times New Roman" w:cs="Times New Roman"/>
        </w:rPr>
        <w:t xml:space="preserve">r II was designed to address the situation of small </w:t>
      </w:r>
      <w:r w:rsidR="00597D2E" w:rsidRPr="00BC7BB5">
        <w:rPr>
          <w:rFonts w:ascii="Times New Roman" w:hAnsi="Times New Roman" w:cs="Times New Roman"/>
        </w:rPr>
        <w:t xml:space="preserve">semi-subsistence </w:t>
      </w:r>
      <w:r w:rsidRPr="00BC7BB5">
        <w:rPr>
          <w:rFonts w:ascii="Times New Roman" w:hAnsi="Times New Roman" w:cs="Times New Roman"/>
        </w:rPr>
        <w:t xml:space="preserve">producers located </w:t>
      </w:r>
      <w:r w:rsidR="00197C0D" w:rsidRPr="00BC7BB5">
        <w:rPr>
          <w:rFonts w:ascii="Times New Roman" w:hAnsi="Times New Roman" w:cs="Times New Roman"/>
        </w:rPr>
        <w:t>in challenging production areas</w:t>
      </w:r>
      <w:r w:rsidRPr="00BC7BB5">
        <w:rPr>
          <w:rFonts w:ascii="Times New Roman" w:hAnsi="Times New Roman" w:cs="Times New Roman"/>
        </w:rPr>
        <w:t>. The modalities for the implement</w:t>
      </w:r>
      <w:r w:rsidR="00197C0D" w:rsidRPr="00BC7BB5">
        <w:rPr>
          <w:rFonts w:ascii="Times New Roman" w:hAnsi="Times New Roman" w:cs="Times New Roman"/>
        </w:rPr>
        <w:t>ation of Pillar II projects</w:t>
      </w:r>
      <w:r w:rsidRPr="00BC7BB5">
        <w:rPr>
          <w:rFonts w:ascii="Times New Roman" w:hAnsi="Times New Roman" w:cs="Times New Roman"/>
        </w:rPr>
        <w:t xml:space="preserve"> differ significantly from those of </w:t>
      </w:r>
      <w:r w:rsidR="00197C0D" w:rsidRPr="00BC7BB5">
        <w:rPr>
          <w:rFonts w:ascii="Times New Roman" w:hAnsi="Times New Roman" w:cs="Times New Roman"/>
        </w:rPr>
        <w:t>aggregation projects</w:t>
      </w:r>
      <w:r w:rsidRPr="00BC7BB5">
        <w:rPr>
          <w:rFonts w:ascii="Times New Roman" w:hAnsi="Times New Roman" w:cs="Times New Roman"/>
        </w:rPr>
        <w:t xml:space="preserve">, with the </w:t>
      </w:r>
      <w:r w:rsidR="00597D2E" w:rsidRPr="00BC7BB5">
        <w:rPr>
          <w:rFonts w:ascii="Times New Roman" w:hAnsi="Times New Roman" w:cs="Times New Roman"/>
        </w:rPr>
        <w:t xml:space="preserve">full </w:t>
      </w:r>
      <w:r w:rsidR="00197C0D" w:rsidRPr="00BC7BB5">
        <w:rPr>
          <w:rFonts w:ascii="Times New Roman" w:hAnsi="Times New Roman" w:cs="Times New Roman"/>
        </w:rPr>
        <w:t xml:space="preserve">costs of </w:t>
      </w:r>
      <w:r w:rsidR="00597D2E" w:rsidRPr="00BC7BB5">
        <w:rPr>
          <w:rFonts w:ascii="Times New Roman" w:hAnsi="Times New Roman" w:cs="Times New Roman"/>
        </w:rPr>
        <w:t xml:space="preserve">Pillar II </w:t>
      </w:r>
      <w:r w:rsidR="00197C0D" w:rsidRPr="00BC7BB5">
        <w:rPr>
          <w:rFonts w:ascii="Times New Roman" w:hAnsi="Times New Roman" w:cs="Times New Roman"/>
        </w:rPr>
        <w:t>project</w:t>
      </w:r>
      <w:r w:rsidR="00597D2E" w:rsidRPr="00BC7BB5">
        <w:rPr>
          <w:rFonts w:ascii="Times New Roman" w:hAnsi="Times New Roman" w:cs="Times New Roman"/>
        </w:rPr>
        <w:t>s</w:t>
      </w:r>
      <w:r w:rsidRPr="00BC7BB5">
        <w:rPr>
          <w:rFonts w:ascii="Times New Roman" w:hAnsi="Times New Roman" w:cs="Times New Roman"/>
        </w:rPr>
        <w:t xml:space="preserve"> born by MAPM</w:t>
      </w:r>
      <w:r w:rsidR="00C05506" w:rsidRPr="00BC7BB5">
        <w:rPr>
          <w:rFonts w:ascii="Times New Roman" w:hAnsi="Times New Roman" w:cs="Times New Roman"/>
        </w:rPr>
        <w:t>DREF</w:t>
      </w:r>
      <w:r w:rsidRPr="00BC7BB5">
        <w:rPr>
          <w:rFonts w:ascii="Times New Roman" w:hAnsi="Times New Roman" w:cs="Times New Roman"/>
        </w:rPr>
        <w:t xml:space="preserve"> and </w:t>
      </w:r>
      <w:r w:rsidR="00597D2E" w:rsidRPr="00BC7BB5">
        <w:rPr>
          <w:rFonts w:ascii="Times New Roman" w:hAnsi="Times New Roman" w:cs="Times New Roman"/>
        </w:rPr>
        <w:t xml:space="preserve">by </w:t>
      </w:r>
      <w:r w:rsidRPr="00BC7BB5">
        <w:rPr>
          <w:rFonts w:ascii="Times New Roman" w:hAnsi="Times New Roman" w:cs="Times New Roman"/>
        </w:rPr>
        <w:t xml:space="preserve">donors supporting </w:t>
      </w:r>
      <w:r w:rsidR="00197C0D" w:rsidRPr="00BC7BB5">
        <w:rPr>
          <w:rFonts w:ascii="Times New Roman" w:hAnsi="Times New Roman" w:cs="Times New Roman"/>
        </w:rPr>
        <w:t>Pill</w:t>
      </w:r>
      <w:r w:rsidR="00597D2E" w:rsidRPr="00BC7BB5">
        <w:rPr>
          <w:rFonts w:ascii="Times New Roman" w:hAnsi="Times New Roman" w:cs="Times New Roman"/>
        </w:rPr>
        <w:t>a</w:t>
      </w:r>
      <w:r w:rsidR="00197C0D" w:rsidRPr="00BC7BB5">
        <w:rPr>
          <w:rFonts w:ascii="Times New Roman" w:hAnsi="Times New Roman" w:cs="Times New Roman"/>
        </w:rPr>
        <w:t>r II</w:t>
      </w:r>
      <w:r w:rsidRPr="00BC7BB5">
        <w:rPr>
          <w:rFonts w:ascii="Times New Roman" w:hAnsi="Times New Roman" w:cs="Times New Roman"/>
        </w:rPr>
        <w:t xml:space="preserve">. While some </w:t>
      </w:r>
      <w:r w:rsidR="00597D2E" w:rsidRPr="00BC7BB5">
        <w:rPr>
          <w:rFonts w:ascii="Times New Roman" w:hAnsi="Times New Roman" w:cs="Times New Roman"/>
        </w:rPr>
        <w:t xml:space="preserve">value-addition </w:t>
      </w:r>
      <w:r w:rsidRPr="00BC7BB5">
        <w:rPr>
          <w:rFonts w:ascii="Times New Roman" w:hAnsi="Times New Roman" w:cs="Times New Roman"/>
        </w:rPr>
        <w:t>projects have been successfully implemented, the sustai</w:t>
      </w:r>
      <w:r w:rsidR="00197C0D" w:rsidRPr="00BC7BB5">
        <w:rPr>
          <w:rFonts w:ascii="Times New Roman" w:hAnsi="Times New Roman" w:cs="Times New Roman"/>
        </w:rPr>
        <w:t xml:space="preserve">nability of </w:t>
      </w:r>
      <w:r w:rsidR="0025628E" w:rsidRPr="00BC7BB5">
        <w:rPr>
          <w:rFonts w:ascii="Times New Roman" w:hAnsi="Times New Roman" w:cs="Times New Roman"/>
        </w:rPr>
        <w:t xml:space="preserve">many is </w:t>
      </w:r>
      <w:r w:rsidRPr="00BC7BB5">
        <w:rPr>
          <w:rFonts w:ascii="Times New Roman" w:hAnsi="Times New Roman" w:cs="Times New Roman"/>
        </w:rPr>
        <w:t>at risk due to factors such as over-dimensioning compared to the capacity of the beneficia</w:t>
      </w:r>
      <w:r w:rsidR="00197C0D" w:rsidRPr="00BC7BB5">
        <w:rPr>
          <w:rFonts w:ascii="Times New Roman" w:hAnsi="Times New Roman" w:cs="Times New Roman"/>
        </w:rPr>
        <w:t>ries</w:t>
      </w:r>
      <w:r w:rsidRPr="00BC7BB5">
        <w:rPr>
          <w:rFonts w:ascii="Times New Roman" w:hAnsi="Times New Roman" w:cs="Times New Roman"/>
        </w:rPr>
        <w:t xml:space="preserve">, lack of attention to financing </w:t>
      </w:r>
      <w:r w:rsidR="00597D2E" w:rsidRPr="00BC7BB5">
        <w:rPr>
          <w:rFonts w:ascii="Times New Roman" w:hAnsi="Times New Roman" w:cs="Times New Roman"/>
        </w:rPr>
        <w:t>needs for operations</w:t>
      </w:r>
      <w:r w:rsidRPr="00BC7BB5">
        <w:rPr>
          <w:rFonts w:ascii="Times New Roman" w:hAnsi="Times New Roman" w:cs="Times New Roman"/>
        </w:rPr>
        <w:t xml:space="preserve">, and/or the lack of </w:t>
      </w:r>
      <w:r w:rsidR="00197C0D" w:rsidRPr="00BC7BB5">
        <w:rPr>
          <w:rFonts w:ascii="Times New Roman" w:hAnsi="Times New Roman" w:cs="Times New Roman"/>
        </w:rPr>
        <w:t xml:space="preserve">management </w:t>
      </w:r>
      <w:r w:rsidRPr="00BC7BB5">
        <w:rPr>
          <w:rFonts w:ascii="Times New Roman" w:hAnsi="Times New Roman" w:cs="Times New Roman"/>
        </w:rPr>
        <w:t>c</w:t>
      </w:r>
      <w:r w:rsidR="00197C0D" w:rsidRPr="00BC7BB5">
        <w:rPr>
          <w:rFonts w:ascii="Times New Roman" w:hAnsi="Times New Roman" w:cs="Times New Roman"/>
        </w:rPr>
        <w:t>apacity of producers’ groups</w:t>
      </w:r>
      <w:r w:rsidRPr="00BC7BB5">
        <w:rPr>
          <w:rFonts w:ascii="Times New Roman" w:hAnsi="Times New Roman" w:cs="Times New Roman"/>
        </w:rPr>
        <w:t>.</w:t>
      </w:r>
      <w:r w:rsidR="006D0A94" w:rsidRPr="00BC7BB5">
        <w:rPr>
          <w:rFonts w:ascii="Times New Roman" w:hAnsi="Times New Roman" w:cs="Times New Roman"/>
        </w:rPr>
        <w:t xml:space="preserve"> For example, the evaluation of the MCA-financed GIEs established for olive oil production, car</w:t>
      </w:r>
      <w:r w:rsidR="00197C0D" w:rsidRPr="00BC7BB5">
        <w:rPr>
          <w:rFonts w:ascii="Times New Roman" w:hAnsi="Times New Roman" w:cs="Times New Roman"/>
        </w:rPr>
        <w:t>ried out by the DDFP</w:t>
      </w:r>
      <w:r w:rsidR="006D0A94" w:rsidRPr="00BC7BB5">
        <w:rPr>
          <w:rFonts w:ascii="Times New Roman" w:hAnsi="Times New Roman" w:cs="Times New Roman"/>
        </w:rPr>
        <w:t xml:space="preserve">, has identified the need for complementary technical </w:t>
      </w:r>
      <w:r w:rsidR="00597D2E" w:rsidRPr="00BC7BB5">
        <w:rPr>
          <w:rFonts w:ascii="Times New Roman" w:hAnsi="Times New Roman" w:cs="Times New Roman"/>
        </w:rPr>
        <w:t xml:space="preserve">and financial </w:t>
      </w:r>
      <w:r w:rsidR="006D0A94" w:rsidRPr="00BC7BB5">
        <w:rPr>
          <w:rFonts w:ascii="Times New Roman" w:hAnsi="Times New Roman" w:cs="Times New Roman"/>
        </w:rPr>
        <w:t xml:space="preserve">assistance to enable those GIEs to become operational and sustainable. </w:t>
      </w:r>
      <w:r w:rsidR="000478FA" w:rsidRPr="00BC7BB5">
        <w:rPr>
          <w:rFonts w:ascii="Times New Roman" w:hAnsi="Times New Roman" w:cs="Times New Roman"/>
        </w:rPr>
        <w:t xml:space="preserve">The proposed </w:t>
      </w:r>
      <w:r w:rsidR="003F068F" w:rsidRPr="00BC7BB5">
        <w:rPr>
          <w:rFonts w:ascii="Times New Roman" w:hAnsi="Times New Roman" w:cs="Times New Roman"/>
        </w:rPr>
        <w:t xml:space="preserve">productive alliances </w:t>
      </w:r>
      <w:r w:rsidR="00597D2E" w:rsidRPr="00BC7BB5">
        <w:rPr>
          <w:rFonts w:ascii="Times New Roman" w:hAnsi="Times New Roman" w:cs="Times New Roman"/>
        </w:rPr>
        <w:t xml:space="preserve">pilot under the </w:t>
      </w:r>
      <w:r w:rsidR="003F068F" w:rsidRPr="00BC7BB5">
        <w:rPr>
          <w:rFonts w:ascii="Times New Roman" w:hAnsi="Times New Roman" w:cs="Times New Roman"/>
        </w:rPr>
        <w:t>Program c</w:t>
      </w:r>
      <w:r w:rsidR="000478FA" w:rsidRPr="00BC7BB5">
        <w:rPr>
          <w:rFonts w:ascii="Times New Roman" w:hAnsi="Times New Roman" w:cs="Times New Roman"/>
        </w:rPr>
        <w:t>ould support s</w:t>
      </w:r>
      <w:r w:rsidR="00197C0D" w:rsidRPr="00BC7BB5">
        <w:rPr>
          <w:rFonts w:ascii="Times New Roman" w:hAnsi="Times New Roman" w:cs="Times New Roman"/>
        </w:rPr>
        <w:t xml:space="preserve">uch </w:t>
      </w:r>
      <w:r w:rsidR="000478FA" w:rsidRPr="00BC7BB5">
        <w:rPr>
          <w:rFonts w:ascii="Times New Roman" w:hAnsi="Times New Roman" w:cs="Times New Roman"/>
        </w:rPr>
        <w:t>cooperatives and GIEs wh</w:t>
      </w:r>
      <w:r w:rsidR="004F5AA8" w:rsidRPr="00BC7BB5">
        <w:rPr>
          <w:rFonts w:ascii="Times New Roman" w:hAnsi="Times New Roman" w:cs="Times New Roman"/>
        </w:rPr>
        <w:t>ich</w:t>
      </w:r>
      <w:r w:rsidR="000478FA" w:rsidRPr="00BC7BB5">
        <w:rPr>
          <w:rFonts w:ascii="Times New Roman" w:hAnsi="Times New Roman" w:cs="Times New Roman"/>
        </w:rPr>
        <w:t xml:space="preserve"> have the potential to become commercially profitable and sustainable.</w:t>
      </w:r>
    </w:p>
    <w:p w14:paraId="6658F08F" w14:textId="77777777" w:rsidR="00992384" w:rsidRPr="00BC7BB5" w:rsidRDefault="00992384" w:rsidP="008C3E21">
      <w:pPr>
        <w:pStyle w:val="NoSpacing"/>
        <w:jc w:val="both"/>
        <w:rPr>
          <w:rFonts w:ascii="Times New Roman" w:hAnsi="Times New Roman" w:cs="Times New Roman"/>
        </w:rPr>
      </w:pPr>
    </w:p>
    <w:p w14:paraId="308D0A3C" w14:textId="2CDEE589" w:rsidR="00444236" w:rsidRPr="00BC7BB5" w:rsidRDefault="00444236" w:rsidP="00F561E8">
      <w:pPr>
        <w:pStyle w:val="NoSpacing"/>
        <w:numPr>
          <w:ilvl w:val="0"/>
          <w:numId w:val="35"/>
        </w:numPr>
        <w:ind w:left="0" w:firstLine="0"/>
        <w:jc w:val="both"/>
        <w:rPr>
          <w:rFonts w:ascii="Times New Roman" w:hAnsi="Times New Roman" w:cs="Times New Roman"/>
        </w:rPr>
      </w:pPr>
      <w:r w:rsidRPr="00BC7BB5">
        <w:rPr>
          <w:rFonts w:ascii="Times New Roman" w:hAnsi="Times New Roman" w:cs="Times New Roman"/>
          <w:b/>
        </w:rPr>
        <w:lastRenderedPageBreak/>
        <w:t>FDA incentives for processing and value-adding</w:t>
      </w:r>
      <w:r w:rsidRPr="00BC7BB5">
        <w:rPr>
          <w:rFonts w:ascii="Times New Roman" w:hAnsi="Times New Roman" w:cs="Times New Roman"/>
        </w:rPr>
        <w:t xml:space="preserve">. </w:t>
      </w:r>
      <w:r w:rsidR="00315F95" w:rsidRPr="00BC7BB5">
        <w:rPr>
          <w:rFonts w:ascii="Times New Roman" w:hAnsi="Times New Roman" w:cs="Times New Roman"/>
        </w:rPr>
        <w:t>The level of FDA incentives for processing and value-adding have been increased under the CP IAA</w:t>
      </w:r>
      <w:r w:rsidR="00597D2E" w:rsidRPr="00BC7BB5">
        <w:rPr>
          <w:rFonts w:ascii="Times New Roman" w:hAnsi="Times New Roman" w:cs="Times New Roman"/>
        </w:rPr>
        <w:t xml:space="preserve"> for selected sub-sectors (including citrus)</w:t>
      </w:r>
      <w:r w:rsidR="00315F95" w:rsidRPr="00BC7BB5">
        <w:rPr>
          <w:rFonts w:ascii="Times New Roman" w:hAnsi="Times New Roman" w:cs="Times New Roman"/>
        </w:rPr>
        <w:t xml:space="preserve">. </w:t>
      </w:r>
      <w:r w:rsidR="00332F4E" w:rsidRPr="00BC7BB5">
        <w:rPr>
          <w:rFonts w:ascii="Times New Roman" w:hAnsi="Times New Roman" w:cs="Times New Roman"/>
        </w:rPr>
        <w:t>There is a need, howe</w:t>
      </w:r>
      <w:r w:rsidR="003F068F" w:rsidRPr="00BC7BB5">
        <w:rPr>
          <w:rFonts w:ascii="Times New Roman" w:hAnsi="Times New Roman" w:cs="Times New Roman"/>
        </w:rPr>
        <w:t>ver, to</w:t>
      </w:r>
      <w:r w:rsidR="00332F4E" w:rsidRPr="00BC7BB5">
        <w:rPr>
          <w:rFonts w:ascii="Times New Roman" w:hAnsi="Times New Roman" w:cs="Times New Roman"/>
        </w:rPr>
        <w:t xml:space="preserve"> enhance the systems used by MAPMDREF to appraise</w:t>
      </w:r>
      <w:r w:rsidR="00265A19" w:rsidRPr="00BC7BB5">
        <w:rPr>
          <w:rFonts w:ascii="Times New Roman" w:hAnsi="Times New Roman" w:cs="Times New Roman"/>
        </w:rPr>
        <w:t xml:space="preserve">, </w:t>
      </w:r>
      <w:r w:rsidR="00332F4E" w:rsidRPr="00BC7BB5">
        <w:rPr>
          <w:rFonts w:ascii="Times New Roman" w:hAnsi="Times New Roman" w:cs="Times New Roman"/>
        </w:rPr>
        <w:t xml:space="preserve">monitor and evaluate those investment projects, </w:t>
      </w:r>
      <w:r w:rsidR="00597D2E" w:rsidRPr="00BC7BB5">
        <w:rPr>
          <w:rFonts w:ascii="Times New Roman" w:hAnsi="Times New Roman" w:cs="Times New Roman"/>
        </w:rPr>
        <w:t>specifically to ensure that the pro</w:t>
      </w:r>
      <w:r w:rsidR="00041656">
        <w:rPr>
          <w:rFonts w:ascii="Times New Roman" w:hAnsi="Times New Roman" w:cs="Times New Roman"/>
        </w:rPr>
        <w:t>jects</w:t>
      </w:r>
      <w:r w:rsidR="00597D2E" w:rsidRPr="00BC7BB5">
        <w:rPr>
          <w:rFonts w:ascii="Times New Roman" w:hAnsi="Times New Roman" w:cs="Times New Roman"/>
        </w:rPr>
        <w:t xml:space="preserve"> financed are financial viable</w:t>
      </w:r>
      <w:r w:rsidR="003F068F" w:rsidRPr="00BC7BB5">
        <w:rPr>
          <w:rFonts w:ascii="Times New Roman" w:hAnsi="Times New Roman" w:cs="Times New Roman"/>
        </w:rPr>
        <w:t xml:space="preserve"> (financial evaluation)</w:t>
      </w:r>
      <w:r w:rsidR="00597D2E" w:rsidRPr="00BC7BB5">
        <w:rPr>
          <w:rFonts w:ascii="Times New Roman" w:hAnsi="Times New Roman" w:cs="Times New Roman"/>
        </w:rPr>
        <w:t xml:space="preserve"> and that environmental and social regulations are complied with. T</w:t>
      </w:r>
      <w:r w:rsidR="00332F4E" w:rsidRPr="00BC7BB5">
        <w:rPr>
          <w:rFonts w:ascii="Times New Roman" w:hAnsi="Times New Roman" w:cs="Times New Roman"/>
        </w:rPr>
        <w:t xml:space="preserve">he </w:t>
      </w:r>
      <w:r w:rsidR="00597D2E" w:rsidRPr="00BC7BB5">
        <w:rPr>
          <w:rFonts w:ascii="Times New Roman" w:hAnsi="Times New Roman" w:cs="Times New Roman"/>
        </w:rPr>
        <w:t xml:space="preserve">proposed </w:t>
      </w:r>
      <w:r w:rsidR="00332F4E" w:rsidRPr="00BC7BB5">
        <w:rPr>
          <w:rFonts w:ascii="Times New Roman" w:hAnsi="Times New Roman" w:cs="Times New Roman"/>
        </w:rPr>
        <w:t xml:space="preserve">Program would support those upgrades to operational modalities, and subsequently finance </w:t>
      </w:r>
      <w:r w:rsidR="00597D2E" w:rsidRPr="00BC7BB5">
        <w:rPr>
          <w:rFonts w:ascii="Times New Roman" w:hAnsi="Times New Roman" w:cs="Times New Roman"/>
        </w:rPr>
        <w:t xml:space="preserve">the related incentives for private </w:t>
      </w:r>
      <w:r w:rsidR="00332F4E" w:rsidRPr="00BC7BB5">
        <w:rPr>
          <w:rFonts w:ascii="Times New Roman" w:hAnsi="Times New Roman" w:cs="Times New Roman"/>
        </w:rPr>
        <w:t>investment in the olive and citrus sub-sectors.</w:t>
      </w:r>
    </w:p>
    <w:p w14:paraId="2BC70D12" w14:textId="77777777" w:rsidR="00A6265D" w:rsidRDefault="00A6265D" w:rsidP="00A6265D">
      <w:pPr>
        <w:pStyle w:val="NoSpacing"/>
        <w:jc w:val="both"/>
        <w:rPr>
          <w:rFonts w:ascii="Times New Roman" w:hAnsi="Times New Roman" w:cs="Times New Roman"/>
        </w:rPr>
      </w:pPr>
    </w:p>
    <w:p w14:paraId="26C26599" w14:textId="45C972EA" w:rsidR="000C0224" w:rsidRPr="00BC7BB5" w:rsidRDefault="00D4799D" w:rsidP="00A6265D">
      <w:pPr>
        <w:pStyle w:val="NoSpacing"/>
        <w:jc w:val="both"/>
        <w:rPr>
          <w:rFonts w:ascii="Times New Roman" w:hAnsi="Times New Roman" w:cs="Times New Roman"/>
          <w:b/>
          <w:i/>
        </w:rPr>
      </w:pPr>
      <w:r w:rsidRPr="00BC7BB5">
        <w:rPr>
          <w:rFonts w:ascii="Times New Roman" w:hAnsi="Times New Roman" w:cs="Times New Roman"/>
          <w:b/>
          <w:i/>
        </w:rPr>
        <w:t xml:space="preserve">Modernizing the management of wholesale markets </w:t>
      </w:r>
    </w:p>
    <w:p w14:paraId="190D4095" w14:textId="77777777" w:rsidR="000C0224" w:rsidRPr="00BC7BB5" w:rsidRDefault="000C0224" w:rsidP="000C0224">
      <w:pPr>
        <w:pStyle w:val="NoSpacing"/>
        <w:ind w:left="720"/>
        <w:jc w:val="both"/>
        <w:rPr>
          <w:rFonts w:ascii="Times New Roman" w:hAnsi="Times New Roman" w:cs="Times New Roman"/>
          <w:i/>
        </w:rPr>
      </w:pPr>
    </w:p>
    <w:p w14:paraId="60B4A4E2" w14:textId="422EFF55" w:rsidR="00D4799D" w:rsidRPr="00BC7BB5" w:rsidRDefault="004225F4" w:rsidP="00F561E8">
      <w:pPr>
        <w:pStyle w:val="NoSpacing"/>
        <w:numPr>
          <w:ilvl w:val="0"/>
          <w:numId w:val="35"/>
        </w:numPr>
        <w:ind w:left="0" w:firstLine="0"/>
        <w:jc w:val="both"/>
        <w:rPr>
          <w:rFonts w:ascii="Times New Roman" w:hAnsi="Times New Roman" w:cs="Times New Roman"/>
        </w:rPr>
      </w:pPr>
      <w:r w:rsidRPr="00BC7BB5">
        <w:rPr>
          <w:rFonts w:ascii="Times New Roman" w:hAnsi="Times New Roman" w:cs="Times New Roman"/>
          <w:b/>
        </w:rPr>
        <w:t>Dysfunctional wholesale marketing and distribution systems for fruit and vegetables in Morocco result in high marketing costs, low producer incomes and high consumer prices on domestic markets, while undermining incentives for improving quality</w:t>
      </w:r>
      <w:r w:rsidRPr="00BC7BB5">
        <w:rPr>
          <w:rFonts w:ascii="Times New Roman" w:hAnsi="Times New Roman" w:cs="Times New Roman"/>
        </w:rPr>
        <w:t xml:space="preserve">. </w:t>
      </w:r>
      <w:r w:rsidR="00653B1A" w:rsidRPr="00BC7BB5">
        <w:rPr>
          <w:rFonts w:ascii="Times New Roman" w:hAnsi="Times New Roman" w:cs="Times New Roman"/>
        </w:rPr>
        <w:t xml:space="preserve">For example, an analysis of price formation along domestic marketing channels for citrus indicates that inefficiencies in marketing channels result in losses of up to MAD 2/kg at producer level and higher prices for Moroccan consumers, without the food safety and product quality standards observed for exports. </w:t>
      </w:r>
      <w:r w:rsidR="00976977" w:rsidRPr="00BC7BB5">
        <w:rPr>
          <w:rFonts w:ascii="Times New Roman" w:hAnsi="Times New Roman" w:cs="Times New Roman"/>
        </w:rPr>
        <w:t>The 38 municipal fruit and vegetable wholesale markets in Morocco are faced with decaying infrastructure, inadequate management, limited marketing services and poor sanitary conditions</w:t>
      </w:r>
      <w:r w:rsidR="00976977" w:rsidRPr="00BC7BB5">
        <w:rPr>
          <w:rFonts w:ascii="Times New Roman" w:hAnsi="Times New Roman" w:cs="Times New Roman"/>
          <w:b/>
        </w:rPr>
        <w:t>.</w:t>
      </w:r>
      <w:r w:rsidR="00976977" w:rsidRPr="00BC7BB5">
        <w:rPr>
          <w:rFonts w:ascii="Times New Roman" w:hAnsi="Times New Roman" w:cs="Times New Roman"/>
        </w:rPr>
        <w:t xml:space="preserve"> The </w:t>
      </w:r>
      <w:r w:rsidR="00976977" w:rsidRPr="00BC7BB5">
        <w:rPr>
          <w:rFonts w:ascii="Times New Roman" w:hAnsi="Times New Roman" w:cs="Times New Roman"/>
          <w:i/>
        </w:rPr>
        <w:t>Charte Communale</w:t>
      </w:r>
      <w:r w:rsidR="00976977" w:rsidRPr="00BC7BB5">
        <w:rPr>
          <w:rFonts w:ascii="Times New Roman" w:hAnsi="Times New Roman" w:cs="Times New Roman"/>
        </w:rPr>
        <w:t xml:space="preserve"> stipulates that the communes have a monopoly on decisions regarding the establishment and management of fruit and vegetable wholesale markets in their jurisdictions. Prices are in principle set by the market management and a fixed tax (</w:t>
      </w:r>
      <w:r w:rsidR="00976977" w:rsidRPr="00BC7BB5">
        <w:rPr>
          <w:rFonts w:ascii="Times New Roman" w:hAnsi="Times New Roman" w:cs="Times New Roman"/>
          <w:i/>
        </w:rPr>
        <w:t>redevance</w:t>
      </w:r>
      <w:r w:rsidR="00976977" w:rsidRPr="00BC7BB5">
        <w:rPr>
          <w:rFonts w:ascii="Times New Roman" w:hAnsi="Times New Roman" w:cs="Times New Roman"/>
        </w:rPr>
        <w:t>) of 7 percent on the gross sales value of each transaction is levied by the communes at the markets</w:t>
      </w:r>
      <w:r w:rsidR="00653B1A" w:rsidRPr="00BC7BB5">
        <w:rPr>
          <w:rFonts w:ascii="Times New Roman" w:hAnsi="Times New Roman" w:cs="Times New Roman"/>
        </w:rPr>
        <w:t>, which penalizes high-value products</w:t>
      </w:r>
      <w:r w:rsidR="00976977" w:rsidRPr="00BC7BB5">
        <w:rPr>
          <w:rFonts w:ascii="Times New Roman" w:hAnsi="Times New Roman" w:cs="Times New Roman"/>
        </w:rPr>
        <w:t xml:space="preserve">. The lack of uniform rules governing the operation of markets and the inadequate reinvestment of market revenues have contributed to </w:t>
      </w:r>
      <w:r w:rsidR="00653B1A" w:rsidRPr="00BC7BB5">
        <w:rPr>
          <w:rFonts w:ascii="Times New Roman" w:hAnsi="Times New Roman" w:cs="Times New Roman"/>
        </w:rPr>
        <w:t xml:space="preserve">the </w:t>
      </w:r>
      <w:r w:rsidR="00976977" w:rsidRPr="00BC7BB5">
        <w:rPr>
          <w:rFonts w:ascii="Times New Roman" w:hAnsi="Times New Roman" w:cs="Times New Roman"/>
        </w:rPr>
        <w:t xml:space="preserve">opaque management and poor physical </w:t>
      </w:r>
      <w:r w:rsidR="00653B1A" w:rsidRPr="00BC7BB5">
        <w:rPr>
          <w:rFonts w:ascii="Times New Roman" w:hAnsi="Times New Roman" w:cs="Times New Roman"/>
        </w:rPr>
        <w:t xml:space="preserve">and sanitary </w:t>
      </w:r>
      <w:r w:rsidR="00976977" w:rsidRPr="00BC7BB5">
        <w:rPr>
          <w:rFonts w:ascii="Times New Roman" w:hAnsi="Times New Roman" w:cs="Times New Roman"/>
        </w:rPr>
        <w:t xml:space="preserve">condition of </w:t>
      </w:r>
      <w:r w:rsidR="00653B1A" w:rsidRPr="00BC7BB5">
        <w:rPr>
          <w:rFonts w:ascii="Times New Roman" w:hAnsi="Times New Roman" w:cs="Times New Roman"/>
        </w:rPr>
        <w:t xml:space="preserve">Morocco’s wholesale </w:t>
      </w:r>
      <w:r w:rsidR="00976977" w:rsidRPr="00BC7BB5">
        <w:rPr>
          <w:rFonts w:ascii="Times New Roman" w:hAnsi="Times New Roman" w:cs="Times New Roman"/>
        </w:rPr>
        <w:t xml:space="preserve">markets. Furthermore, current legislation prohibits farmers and traders from selling directly to </w:t>
      </w:r>
      <w:r w:rsidR="00653B1A" w:rsidRPr="00BC7BB5">
        <w:rPr>
          <w:rFonts w:ascii="Times New Roman" w:hAnsi="Times New Roman" w:cs="Times New Roman"/>
        </w:rPr>
        <w:t xml:space="preserve">food </w:t>
      </w:r>
      <w:r w:rsidR="00976977" w:rsidRPr="00BC7BB5">
        <w:rPr>
          <w:rFonts w:ascii="Times New Roman" w:hAnsi="Times New Roman" w:cs="Times New Roman"/>
        </w:rPr>
        <w:t>retailers</w:t>
      </w:r>
      <w:r w:rsidR="00653B1A" w:rsidRPr="00BC7BB5">
        <w:rPr>
          <w:rFonts w:ascii="Times New Roman" w:hAnsi="Times New Roman" w:cs="Times New Roman"/>
        </w:rPr>
        <w:t xml:space="preserve"> and supermarkets</w:t>
      </w:r>
      <w:r w:rsidR="00976977" w:rsidRPr="00BC7BB5">
        <w:rPr>
          <w:rFonts w:ascii="Times New Roman" w:hAnsi="Times New Roman" w:cs="Times New Roman"/>
        </w:rPr>
        <w:t xml:space="preserve"> in urban communes. However, farmers, especially small ones, often lack the resources to transport their products to distant wholesale markets. As a result, their produce is often first traded in a wholesale market closer to the farm where a 7 percent tax is levied, then marketed through a second wholesale market of the commune where the retailer is located which levies an additional 7 percent tax before selling to the retailer. The current system depresses producer revenues due to high transaction costs. It also creates high consumer prices, which hurts the urban </w:t>
      </w:r>
      <w:r w:rsidR="00CE680E" w:rsidRPr="00BC7BB5">
        <w:rPr>
          <w:rFonts w:ascii="Times New Roman" w:hAnsi="Times New Roman" w:cs="Times New Roman"/>
        </w:rPr>
        <w:t>poor disproportionately. It</w:t>
      </w:r>
      <w:r w:rsidR="00976977" w:rsidRPr="00BC7BB5">
        <w:rPr>
          <w:rFonts w:ascii="Times New Roman" w:hAnsi="Times New Roman" w:cs="Times New Roman"/>
        </w:rPr>
        <w:t xml:space="preserve"> undermines incentive for value addition, constrains producers’ integration in value chains, and distorts domestic trade flows. The weak services of wholesale markets have pushed many producers to market their produce</w:t>
      </w:r>
      <w:r w:rsidR="00CE680E" w:rsidRPr="00BC7BB5">
        <w:rPr>
          <w:rFonts w:ascii="Times New Roman" w:hAnsi="Times New Roman" w:cs="Times New Roman"/>
        </w:rPr>
        <w:t xml:space="preserve"> through informal channels. </w:t>
      </w:r>
      <w:r w:rsidR="00976977" w:rsidRPr="00BC7BB5">
        <w:rPr>
          <w:rFonts w:ascii="Times New Roman" w:hAnsi="Times New Roman" w:cs="Times New Roman"/>
        </w:rPr>
        <w:t>MAPM</w:t>
      </w:r>
      <w:r w:rsidR="00CE680E" w:rsidRPr="00BC7BB5">
        <w:rPr>
          <w:rFonts w:ascii="Times New Roman" w:hAnsi="Times New Roman" w:cs="Times New Roman"/>
        </w:rPr>
        <w:t>DREF</w:t>
      </w:r>
      <w:r w:rsidR="00976977" w:rsidRPr="00BC7BB5">
        <w:rPr>
          <w:rFonts w:ascii="Times New Roman" w:hAnsi="Times New Roman" w:cs="Times New Roman"/>
        </w:rPr>
        <w:t xml:space="preserve"> has estimated that currently only 30-50 percent of the domestic fruit and vegetable production flows through the municipal wholesale markets</w:t>
      </w:r>
      <w:r w:rsidR="0052342A" w:rsidRPr="00BC7BB5">
        <w:rPr>
          <w:rFonts w:ascii="Times New Roman" w:hAnsi="Times New Roman" w:cs="Times New Roman"/>
        </w:rPr>
        <w:t>.</w:t>
      </w:r>
      <w:r w:rsidR="00CF1801" w:rsidRPr="00BC7BB5">
        <w:rPr>
          <w:rFonts w:ascii="Times New Roman" w:hAnsi="Times New Roman" w:cs="Times New Roman"/>
        </w:rPr>
        <w:t xml:space="preserve"> Finally, this puts domestic producers in a disadvantageous position since importers are allowed to market imported produce directly to retailers after paying the fixed transaction tax o</w:t>
      </w:r>
      <w:r w:rsidR="007C5142" w:rsidRPr="00BC7BB5">
        <w:rPr>
          <w:rFonts w:ascii="Times New Roman" w:hAnsi="Times New Roman" w:cs="Times New Roman"/>
        </w:rPr>
        <w:t>f 7 percent at</w:t>
      </w:r>
      <w:r w:rsidR="00CF1801" w:rsidRPr="00BC7BB5">
        <w:rPr>
          <w:rFonts w:ascii="Times New Roman" w:hAnsi="Times New Roman" w:cs="Times New Roman"/>
        </w:rPr>
        <w:t xml:space="preserve"> entry. </w:t>
      </w:r>
    </w:p>
    <w:p w14:paraId="4CE2FD6D" w14:textId="77777777" w:rsidR="000D1CF5" w:rsidRPr="00BC7BB5" w:rsidRDefault="000D1CF5" w:rsidP="000D1CF5">
      <w:pPr>
        <w:spacing w:after="0" w:line="240" w:lineRule="auto"/>
        <w:ind w:left="360"/>
        <w:jc w:val="both"/>
        <w:rPr>
          <w:rFonts w:ascii="Times New Roman" w:hAnsi="Times New Roman" w:cs="Times New Roman"/>
        </w:rPr>
      </w:pPr>
    </w:p>
    <w:p w14:paraId="79E7726F" w14:textId="2E86CC26" w:rsidR="0052342A" w:rsidRPr="00BC7BB5" w:rsidRDefault="00924E86" w:rsidP="00F561E8">
      <w:pPr>
        <w:pStyle w:val="NoSpacing"/>
        <w:numPr>
          <w:ilvl w:val="0"/>
          <w:numId w:val="35"/>
        </w:numPr>
        <w:ind w:left="0" w:firstLine="0"/>
        <w:jc w:val="both"/>
        <w:rPr>
          <w:rFonts w:ascii="Times New Roman" w:hAnsi="Times New Roman" w:cs="Times New Roman"/>
        </w:rPr>
      </w:pPr>
      <w:r w:rsidRPr="00BC7BB5">
        <w:rPr>
          <w:rFonts w:ascii="Times New Roman" w:hAnsi="Times New Roman" w:cs="Times New Roman"/>
          <w:b/>
        </w:rPr>
        <w:t xml:space="preserve">The Government has been working to improve the institutional and regulatory framework governing fruit and vegetable wholesale markets. </w:t>
      </w:r>
      <w:r w:rsidR="000D1CF5" w:rsidRPr="00BC7BB5">
        <w:rPr>
          <w:rFonts w:ascii="Times New Roman" w:hAnsi="Times New Roman" w:cs="Times New Roman"/>
        </w:rPr>
        <w:t>A</w:t>
      </w:r>
      <w:r w:rsidRPr="00BC7BB5">
        <w:rPr>
          <w:rFonts w:ascii="Times New Roman" w:hAnsi="Times New Roman" w:cs="Times New Roman"/>
        </w:rPr>
        <w:t xml:space="preserve"> national strategy and action plan</w:t>
      </w:r>
      <w:r w:rsidR="000D1CF5" w:rsidRPr="00BC7BB5">
        <w:rPr>
          <w:rFonts w:ascii="Times New Roman" w:hAnsi="Times New Roman" w:cs="Times New Roman"/>
        </w:rPr>
        <w:t xml:space="preserve"> was adopted</w:t>
      </w:r>
      <w:r w:rsidRPr="00BC7BB5">
        <w:rPr>
          <w:rFonts w:ascii="Times New Roman" w:hAnsi="Times New Roman" w:cs="Times New Roman"/>
        </w:rPr>
        <w:t xml:space="preserve"> in 2010 for the restructuring of fruit and vegetable wholesale marketing (</w:t>
      </w:r>
      <w:r w:rsidRPr="00BC7BB5">
        <w:rPr>
          <w:rFonts w:ascii="Times New Roman" w:hAnsi="Times New Roman" w:cs="Times New Roman"/>
          <w:i/>
        </w:rPr>
        <w:t>Schéma National d’Orientation des Marchés de Gros de Fruits et Légume</w:t>
      </w:r>
      <w:r w:rsidRPr="00BC7BB5">
        <w:rPr>
          <w:rFonts w:ascii="Times New Roman" w:hAnsi="Times New Roman" w:cs="Times New Roman"/>
        </w:rPr>
        <w:t xml:space="preserve">s). The </w:t>
      </w:r>
      <w:r w:rsidR="005A681D" w:rsidRPr="00BC7BB5">
        <w:rPr>
          <w:rFonts w:ascii="Times New Roman" w:hAnsi="Times New Roman" w:cs="Times New Roman"/>
        </w:rPr>
        <w:t>strategy</w:t>
      </w:r>
      <w:r w:rsidRPr="00BC7BB5">
        <w:rPr>
          <w:rFonts w:ascii="Times New Roman" w:hAnsi="Times New Roman" w:cs="Times New Roman"/>
        </w:rPr>
        <w:t xml:space="preserve"> includes: (i) an overall plan for </w:t>
      </w:r>
      <w:r w:rsidR="00653B1A" w:rsidRPr="00BC7BB5">
        <w:rPr>
          <w:rFonts w:ascii="Times New Roman" w:hAnsi="Times New Roman" w:cs="Times New Roman"/>
        </w:rPr>
        <w:t xml:space="preserve">reducing the number of </w:t>
      </w:r>
      <w:r w:rsidRPr="00BC7BB5">
        <w:rPr>
          <w:rFonts w:ascii="Times New Roman" w:hAnsi="Times New Roman" w:cs="Times New Roman"/>
        </w:rPr>
        <w:t>wholesale markets (</w:t>
      </w:r>
      <w:r w:rsidRPr="00BC7BB5">
        <w:rPr>
          <w:rFonts w:ascii="Times New Roman" w:hAnsi="Times New Roman" w:cs="Times New Roman"/>
          <w:i/>
        </w:rPr>
        <w:t>Schéma d’Implantation des Marchés de Gros</w:t>
      </w:r>
      <w:r w:rsidRPr="00BC7BB5">
        <w:rPr>
          <w:rFonts w:ascii="Times New Roman" w:hAnsi="Times New Roman" w:cs="Times New Roman"/>
        </w:rPr>
        <w:t xml:space="preserve">) </w:t>
      </w:r>
      <w:r w:rsidR="00653B1A" w:rsidRPr="00BC7BB5">
        <w:rPr>
          <w:rFonts w:ascii="Times New Roman" w:hAnsi="Times New Roman" w:cs="Times New Roman"/>
        </w:rPr>
        <w:t xml:space="preserve">in a manner </w:t>
      </w:r>
      <w:r w:rsidR="000D1CF5" w:rsidRPr="00BC7BB5">
        <w:rPr>
          <w:rFonts w:ascii="Times New Roman" w:hAnsi="Times New Roman" w:cs="Times New Roman"/>
        </w:rPr>
        <w:t>which</w:t>
      </w:r>
      <w:r w:rsidRPr="00BC7BB5">
        <w:rPr>
          <w:rFonts w:ascii="Times New Roman" w:hAnsi="Times New Roman" w:cs="Times New Roman"/>
        </w:rPr>
        <w:t xml:space="preserve"> takes into account the projected evolution of domestic production, consumption, and trade trends until 2020; (ii) </w:t>
      </w:r>
      <w:r w:rsidR="00653B1A" w:rsidRPr="00BC7BB5">
        <w:rPr>
          <w:rFonts w:ascii="Times New Roman" w:hAnsi="Times New Roman" w:cs="Times New Roman"/>
        </w:rPr>
        <w:t xml:space="preserve">the </w:t>
      </w:r>
      <w:r w:rsidRPr="00BC7BB5">
        <w:rPr>
          <w:rFonts w:ascii="Times New Roman" w:hAnsi="Times New Roman" w:cs="Times New Roman"/>
        </w:rPr>
        <w:t xml:space="preserve">identification of viable wholesale market ownership and management models, including required institutional and regulatory adjustments; and (iii) necessary accompanying measures for the implementation of the </w:t>
      </w:r>
      <w:r w:rsidRPr="00BC7BB5">
        <w:rPr>
          <w:rFonts w:ascii="Times New Roman" w:hAnsi="Times New Roman" w:cs="Times New Roman"/>
          <w:i/>
        </w:rPr>
        <w:t>Schéma National d’Orientation</w:t>
      </w:r>
      <w:r w:rsidRPr="00BC7BB5">
        <w:rPr>
          <w:rFonts w:ascii="Times New Roman" w:hAnsi="Times New Roman" w:cs="Times New Roman"/>
        </w:rPr>
        <w:t>.</w:t>
      </w:r>
      <w:r w:rsidR="00653B1A" w:rsidRPr="00BC7BB5">
        <w:rPr>
          <w:rFonts w:ascii="Times New Roman" w:hAnsi="Times New Roman" w:cs="Times New Roman"/>
        </w:rPr>
        <w:t xml:space="preserve"> As a next step, the Government has been planning </w:t>
      </w:r>
      <w:r w:rsidR="000210CF" w:rsidRPr="00BC7BB5">
        <w:rPr>
          <w:rFonts w:ascii="Times New Roman" w:hAnsi="Times New Roman" w:cs="Times New Roman"/>
        </w:rPr>
        <w:t>to update the national strategy and action plan to integrate reforms on decentralization, and to implement the</w:t>
      </w:r>
      <w:r w:rsidR="00653B1A" w:rsidRPr="00BC7BB5">
        <w:rPr>
          <w:rFonts w:ascii="Times New Roman" w:hAnsi="Times New Roman" w:cs="Times New Roman"/>
        </w:rPr>
        <w:t xml:space="preserve"> new management models for wholesale markets in partnership with interested communes and regional authorities. With World Bank support provided under the previous PMV DPL series, national, regional, and local government stakeholders have gradually converged on a viable ownership and management model for wholesale market infrastructure.</w:t>
      </w:r>
    </w:p>
    <w:p w14:paraId="4EE1E031" w14:textId="77777777" w:rsidR="00FF1F7A" w:rsidRPr="00BC7BB5" w:rsidRDefault="00FF1F7A" w:rsidP="008C3E21">
      <w:pPr>
        <w:pStyle w:val="NoSpacing"/>
        <w:jc w:val="both"/>
        <w:rPr>
          <w:rFonts w:ascii="Times New Roman" w:hAnsi="Times New Roman" w:cs="Times New Roman"/>
        </w:rPr>
      </w:pPr>
    </w:p>
    <w:p w14:paraId="5E6FC8C6" w14:textId="48F03E95" w:rsidR="00890F3E" w:rsidRPr="00BC7BB5" w:rsidRDefault="00890F3E" w:rsidP="00F561E8">
      <w:pPr>
        <w:pStyle w:val="NoSpacing"/>
        <w:numPr>
          <w:ilvl w:val="0"/>
          <w:numId w:val="35"/>
        </w:numPr>
        <w:ind w:left="0" w:firstLine="0"/>
        <w:jc w:val="both"/>
        <w:rPr>
          <w:rFonts w:ascii="Times New Roman" w:hAnsi="Times New Roman" w:cs="Times New Roman"/>
        </w:rPr>
      </w:pPr>
      <w:r w:rsidRPr="00BC7BB5">
        <w:rPr>
          <w:rFonts w:ascii="Times New Roman" w:hAnsi="Times New Roman" w:cs="Times New Roman"/>
          <w:b/>
        </w:rPr>
        <w:t>Preconditions for introducing a new ownership and management model at the Rabat</w:t>
      </w:r>
      <w:r w:rsidR="005C2F81" w:rsidRPr="00BC7BB5">
        <w:rPr>
          <w:rFonts w:ascii="Times New Roman" w:hAnsi="Times New Roman" w:cs="Times New Roman"/>
          <w:b/>
        </w:rPr>
        <w:t>-Salé-Kénitra</w:t>
      </w:r>
      <w:r w:rsidRPr="00BC7BB5">
        <w:rPr>
          <w:rFonts w:ascii="Times New Roman" w:hAnsi="Times New Roman" w:cs="Times New Roman"/>
          <w:b/>
        </w:rPr>
        <w:t xml:space="preserve"> wholesale market are being met.</w:t>
      </w:r>
      <w:r w:rsidRPr="00BC7BB5">
        <w:rPr>
          <w:rFonts w:ascii="Times New Roman" w:hAnsi="Times New Roman" w:cs="Times New Roman"/>
        </w:rPr>
        <w:t xml:space="preserve"> </w:t>
      </w:r>
      <w:r w:rsidR="00350F77" w:rsidRPr="00BC7BB5">
        <w:rPr>
          <w:rFonts w:ascii="Times New Roman" w:hAnsi="Times New Roman" w:cs="Times New Roman"/>
        </w:rPr>
        <w:t>The Wilaya of Rabat</w:t>
      </w:r>
      <w:r w:rsidR="005C2F81" w:rsidRPr="00BC7BB5">
        <w:rPr>
          <w:rFonts w:ascii="Times New Roman" w:hAnsi="Times New Roman" w:cs="Times New Roman"/>
        </w:rPr>
        <w:t>-Salé-Kénitra</w:t>
      </w:r>
      <w:r w:rsidR="00350F77" w:rsidRPr="00BC7BB5">
        <w:rPr>
          <w:rFonts w:ascii="Times New Roman" w:hAnsi="Times New Roman" w:cs="Times New Roman"/>
        </w:rPr>
        <w:t xml:space="preserve"> has demonstrated a strong desire to advance the development of a region</w:t>
      </w:r>
      <w:r w:rsidR="009C2BCF" w:rsidRPr="00BC7BB5">
        <w:rPr>
          <w:rFonts w:ascii="Times New Roman" w:hAnsi="Times New Roman" w:cs="Times New Roman"/>
        </w:rPr>
        <w:t>al agri-food platform</w:t>
      </w:r>
      <w:r w:rsidR="00350F77" w:rsidRPr="00BC7BB5">
        <w:rPr>
          <w:rFonts w:ascii="Times New Roman" w:hAnsi="Times New Roman" w:cs="Times New Roman"/>
        </w:rPr>
        <w:t xml:space="preserve"> to which the existing municipal wholesale markets of Rabat, Salé, </w:t>
      </w:r>
      <w:r w:rsidR="00365F66" w:rsidRPr="00BC7BB5">
        <w:rPr>
          <w:rFonts w:ascii="Times New Roman" w:hAnsi="Times New Roman" w:cs="Times New Roman"/>
        </w:rPr>
        <w:t xml:space="preserve">Kénitra </w:t>
      </w:r>
      <w:r w:rsidR="00350F77" w:rsidRPr="00BC7BB5">
        <w:rPr>
          <w:rFonts w:ascii="Times New Roman" w:hAnsi="Times New Roman" w:cs="Times New Roman"/>
        </w:rPr>
        <w:t xml:space="preserve">and Témara would be transferred. </w:t>
      </w:r>
      <w:r w:rsidR="009C2BCF" w:rsidRPr="00BC7BB5">
        <w:rPr>
          <w:rFonts w:ascii="Times New Roman" w:hAnsi="Times New Roman" w:cs="Times New Roman"/>
        </w:rPr>
        <w:t>A suitable site has been identified</w:t>
      </w:r>
      <w:r w:rsidR="00350F77" w:rsidRPr="00BC7BB5">
        <w:rPr>
          <w:rFonts w:ascii="Times New Roman" w:hAnsi="Times New Roman" w:cs="Times New Roman"/>
        </w:rPr>
        <w:t xml:space="preserve"> </w:t>
      </w:r>
      <w:r w:rsidR="009C2BCF" w:rsidRPr="00BC7BB5">
        <w:rPr>
          <w:rFonts w:ascii="Times New Roman" w:hAnsi="Times New Roman" w:cs="Times New Roman"/>
        </w:rPr>
        <w:t>for that purpose</w:t>
      </w:r>
      <w:r w:rsidR="00350F77" w:rsidRPr="00BC7BB5">
        <w:rPr>
          <w:rFonts w:ascii="Times New Roman" w:hAnsi="Times New Roman" w:cs="Times New Roman"/>
        </w:rPr>
        <w:t>, which would accommodate a modern fruit and vegetable wholesale market in addition to warehouses, technical service areas (e.g.</w:t>
      </w:r>
      <w:r w:rsidR="00F30B5E">
        <w:rPr>
          <w:rFonts w:ascii="Times New Roman" w:hAnsi="Times New Roman" w:cs="Times New Roman"/>
        </w:rPr>
        <w:t>,</w:t>
      </w:r>
      <w:r w:rsidR="00350F77" w:rsidRPr="00BC7BB5">
        <w:rPr>
          <w:rFonts w:ascii="Times New Roman" w:hAnsi="Times New Roman" w:cs="Times New Roman"/>
        </w:rPr>
        <w:t xml:space="preserve"> washing, cold storage, processing units etc.), business service areas (e.g.</w:t>
      </w:r>
      <w:r w:rsidR="00F30B5E">
        <w:rPr>
          <w:rFonts w:ascii="Times New Roman" w:hAnsi="Times New Roman" w:cs="Times New Roman"/>
        </w:rPr>
        <w:t>,</w:t>
      </w:r>
      <w:r w:rsidR="00350F77" w:rsidRPr="00BC7BB5">
        <w:rPr>
          <w:rFonts w:ascii="Times New Roman" w:hAnsi="Times New Roman" w:cs="Times New Roman"/>
        </w:rPr>
        <w:t xml:space="preserve"> banks, offices, etc.), and retail product markets (e.g. seafood, meat, flowers etc.). The platform would be developed in three </w:t>
      </w:r>
      <w:r w:rsidR="009C2BCF" w:rsidRPr="00BC7BB5">
        <w:rPr>
          <w:rFonts w:ascii="Times New Roman" w:hAnsi="Times New Roman" w:cs="Times New Roman"/>
        </w:rPr>
        <w:t>phases over a 10-year period</w:t>
      </w:r>
      <w:r w:rsidR="0029414A">
        <w:rPr>
          <w:rFonts w:ascii="Times New Roman" w:hAnsi="Times New Roman" w:cs="Times New Roman"/>
        </w:rPr>
        <w:t xml:space="preserve">. </w:t>
      </w:r>
      <w:r w:rsidR="00F30B5E">
        <w:rPr>
          <w:rFonts w:ascii="Times New Roman" w:hAnsi="Times New Roman" w:cs="Times New Roman"/>
        </w:rPr>
        <w:t xml:space="preserve">The </w:t>
      </w:r>
      <w:r w:rsidR="00350F77" w:rsidRPr="00BC7BB5">
        <w:rPr>
          <w:rFonts w:ascii="Times New Roman" w:hAnsi="Times New Roman" w:cs="Times New Roman"/>
        </w:rPr>
        <w:t xml:space="preserve">Program would support the development of </w:t>
      </w:r>
      <w:r w:rsidR="00265A19" w:rsidRPr="00BC7BB5">
        <w:rPr>
          <w:rFonts w:ascii="Times New Roman" w:hAnsi="Times New Roman" w:cs="Times New Roman"/>
        </w:rPr>
        <w:t>the core market infrastructure</w:t>
      </w:r>
      <w:r w:rsidR="00350F77" w:rsidRPr="00BC7BB5">
        <w:rPr>
          <w:rFonts w:ascii="Times New Roman" w:hAnsi="Times New Roman" w:cs="Times New Roman"/>
        </w:rPr>
        <w:t xml:space="preserve">, which is envisaged during the first phase for a total cost of </w:t>
      </w:r>
      <w:r w:rsidR="009C2BCF" w:rsidRPr="00BC7BB5">
        <w:rPr>
          <w:rFonts w:ascii="Times New Roman" w:hAnsi="Times New Roman" w:cs="Times New Roman"/>
        </w:rPr>
        <w:t xml:space="preserve">approximately </w:t>
      </w:r>
      <w:r w:rsidR="00365F66" w:rsidRPr="00BC7BB5">
        <w:rPr>
          <w:rFonts w:ascii="Times New Roman" w:hAnsi="Times New Roman" w:cs="Times New Roman"/>
        </w:rPr>
        <w:t>US</w:t>
      </w:r>
      <w:r w:rsidR="000118F5">
        <w:rPr>
          <w:rFonts w:ascii="Times New Roman" w:hAnsi="Times New Roman" w:cs="Times New Roman"/>
        </w:rPr>
        <w:t>$</w:t>
      </w:r>
      <w:r w:rsidR="00365F66" w:rsidRPr="00BC7BB5">
        <w:rPr>
          <w:rFonts w:ascii="Times New Roman" w:hAnsi="Times New Roman" w:cs="Times New Roman"/>
        </w:rPr>
        <w:t>5</w:t>
      </w:r>
      <w:r w:rsidR="00350F77" w:rsidRPr="00BC7BB5">
        <w:rPr>
          <w:rFonts w:ascii="Times New Roman" w:hAnsi="Times New Roman" w:cs="Times New Roman"/>
        </w:rPr>
        <w:t xml:space="preserve">5 million. </w:t>
      </w:r>
      <w:r w:rsidR="00350F77" w:rsidRPr="00BC7BB5">
        <w:rPr>
          <w:rFonts w:ascii="Times New Roman" w:hAnsi="Times New Roman" w:cs="Times New Roman"/>
          <w:color w:val="222222"/>
        </w:rPr>
        <w:t>This core infrastructure could evolve flexibly over time (e.g.</w:t>
      </w:r>
      <w:r w:rsidR="00F30B5E">
        <w:rPr>
          <w:rFonts w:ascii="Times New Roman" w:hAnsi="Times New Roman" w:cs="Times New Roman"/>
          <w:color w:val="222222"/>
        </w:rPr>
        <w:t>,</w:t>
      </w:r>
      <w:r w:rsidR="00350F77" w:rsidRPr="00BC7BB5">
        <w:rPr>
          <w:rFonts w:ascii="Times New Roman" w:hAnsi="Times New Roman" w:cs="Times New Roman"/>
          <w:color w:val="222222"/>
        </w:rPr>
        <w:t xml:space="preserve"> construction of additional warehouses) in response to changes in demand and the needs of operators.</w:t>
      </w:r>
      <w:r w:rsidR="00350F77" w:rsidRPr="00BC7BB5">
        <w:rPr>
          <w:rFonts w:ascii="Times New Roman" w:hAnsi="Times New Roman" w:cs="Times New Roman"/>
        </w:rPr>
        <w:t xml:space="preserve">  A convention would describe the respective roles of the project’s national, regional, and local government sponsors</w:t>
      </w:r>
      <w:r w:rsidR="00350F77" w:rsidRPr="00BC7BB5">
        <w:rPr>
          <w:rStyle w:val="FootnoteReference"/>
        </w:rPr>
        <w:footnoteReference w:id="38"/>
      </w:r>
      <w:r w:rsidR="00350F77" w:rsidRPr="00BC7BB5">
        <w:rPr>
          <w:rFonts w:ascii="Times New Roman" w:hAnsi="Times New Roman" w:cs="Times New Roman"/>
        </w:rPr>
        <w:t>, the designated entity in charge of the construction of the platform (</w:t>
      </w:r>
      <w:r w:rsidR="00350F77" w:rsidRPr="00BC7BB5">
        <w:rPr>
          <w:rFonts w:ascii="Times New Roman" w:hAnsi="Times New Roman" w:cs="Times New Roman"/>
          <w:i/>
        </w:rPr>
        <w:t xml:space="preserve">Rabat </w:t>
      </w:r>
      <w:r w:rsidR="00365F66" w:rsidRPr="00BC7BB5">
        <w:rPr>
          <w:rFonts w:ascii="Times New Roman" w:hAnsi="Times New Roman" w:cs="Times New Roman"/>
          <w:i/>
        </w:rPr>
        <w:t xml:space="preserve">Région </w:t>
      </w:r>
      <w:r w:rsidR="00350F77" w:rsidRPr="00BC7BB5">
        <w:rPr>
          <w:rFonts w:ascii="Times New Roman" w:hAnsi="Times New Roman" w:cs="Times New Roman"/>
          <w:i/>
        </w:rPr>
        <w:t>Aménagement SA</w:t>
      </w:r>
      <w:r w:rsidR="00350F77" w:rsidRPr="00BC7BB5">
        <w:rPr>
          <w:rFonts w:ascii="Times New Roman" w:hAnsi="Times New Roman" w:cs="Times New Roman"/>
        </w:rPr>
        <w:t>), and the (still to be created) local development company (</w:t>
      </w:r>
      <w:r w:rsidR="00350F77" w:rsidRPr="00BC7BB5">
        <w:rPr>
          <w:rFonts w:ascii="Times New Roman" w:hAnsi="Times New Roman" w:cs="Times New Roman"/>
          <w:i/>
        </w:rPr>
        <w:t>Société de Développement Local</w:t>
      </w:r>
      <w:r w:rsidR="00900635">
        <w:rPr>
          <w:rFonts w:ascii="Times New Roman" w:hAnsi="Times New Roman" w:cs="Times New Roman"/>
          <w:i/>
        </w:rPr>
        <w:t>/Régional</w:t>
      </w:r>
      <w:r w:rsidR="00350F77" w:rsidRPr="00BC7BB5">
        <w:rPr>
          <w:rFonts w:ascii="Times New Roman" w:hAnsi="Times New Roman" w:cs="Times New Roman"/>
        </w:rPr>
        <w:t>, SDL</w:t>
      </w:r>
      <w:r w:rsidR="00900635">
        <w:rPr>
          <w:rFonts w:ascii="Times New Roman" w:hAnsi="Times New Roman" w:cs="Times New Roman"/>
        </w:rPr>
        <w:t>/SDR</w:t>
      </w:r>
      <w:r w:rsidR="00350F77" w:rsidRPr="00BC7BB5">
        <w:rPr>
          <w:rFonts w:ascii="Times New Roman" w:hAnsi="Times New Roman" w:cs="Times New Roman"/>
        </w:rPr>
        <w:t xml:space="preserve">) that will oversee the management of the wholesale market infrastructure. It is expected that the market would be built by </w:t>
      </w:r>
      <w:r w:rsidR="00350F77" w:rsidRPr="00BC7BB5">
        <w:rPr>
          <w:rFonts w:ascii="Times New Roman" w:hAnsi="Times New Roman" w:cs="Times New Roman"/>
          <w:i/>
        </w:rPr>
        <w:t xml:space="preserve">Rabat </w:t>
      </w:r>
      <w:r w:rsidR="00365F66" w:rsidRPr="00BC7BB5">
        <w:rPr>
          <w:rFonts w:ascii="Times New Roman" w:hAnsi="Times New Roman" w:cs="Times New Roman"/>
          <w:i/>
        </w:rPr>
        <w:t xml:space="preserve">Région </w:t>
      </w:r>
      <w:r w:rsidR="00350F77" w:rsidRPr="00BC7BB5">
        <w:rPr>
          <w:rFonts w:ascii="Times New Roman" w:hAnsi="Times New Roman" w:cs="Times New Roman"/>
          <w:i/>
        </w:rPr>
        <w:t>Aménagement SA</w:t>
      </w:r>
      <w:r w:rsidR="00350F77" w:rsidRPr="00BC7BB5">
        <w:rPr>
          <w:rFonts w:ascii="Times New Roman" w:hAnsi="Times New Roman" w:cs="Times New Roman"/>
        </w:rPr>
        <w:t xml:space="preserve"> within two years of the signature of the convention, after which management responsibilities would be transferred to the SDL</w:t>
      </w:r>
      <w:r w:rsidR="00F30B5E">
        <w:rPr>
          <w:rFonts w:ascii="Times New Roman" w:hAnsi="Times New Roman" w:cs="Times New Roman"/>
        </w:rPr>
        <w:t>/SDR</w:t>
      </w:r>
      <w:r w:rsidR="00350F77" w:rsidRPr="00BC7BB5">
        <w:rPr>
          <w:rFonts w:ascii="Times New Roman" w:hAnsi="Times New Roman" w:cs="Times New Roman"/>
        </w:rPr>
        <w:t xml:space="preserve"> and its management team</w:t>
      </w:r>
      <w:r w:rsidR="00F30B5E">
        <w:rPr>
          <w:rFonts w:ascii="Times New Roman" w:hAnsi="Times New Roman" w:cs="Times New Roman"/>
        </w:rPr>
        <w:t>.</w:t>
      </w:r>
      <w:r w:rsidR="00350F77" w:rsidRPr="00BC7BB5">
        <w:rPr>
          <w:rFonts w:ascii="Times New Roman" w:hAnsi="Times New Roman" w:cs="Times New Roman"/>
        </w:rPr>
        <w:t xml:space="preserve">  Importantly, </w:t>
      </w:r>
      <w:r w:rsidR="00350F77" w:rsidRPr="00BC7BB5">
        <w:rPr>
          <w:rFonts w:ascii="Times New Roman" w:hAnsi="Times New Roman" w:cs="Times New Roman"/>
          <w:i/>
        </w:rPr>
        <w:t xml:space="preserve">Rabat </w:t>
      </w:r>
      <w:r w:rsidR="00365F66" w:rsidRPr="00BC7BB5">
        <w:rPr>
          <w:rFonts w:ascii="Times New Roman" w:hAnsi="Times New Roman" w:cs="Times New Roman"/>
          <w:i/>
        </w:rPr>
        <w:t xml:space="preserve">Région </w:t>
      </w:r>
      <w:r w:rsidR="00350F77" w:rsidRPr="00BC7BB5">
        <w:rPr>
          <w:rFonts w:ascii="Times New Roman" w:hAnsi="Times New Roman" w:cs="Times New Roman"/>
          <w:i/>
        </w:rPr>
        <w:t>Aménagement SA</w:t>
      </w:r>
      <w:r w:rsidR="00350F77" w:rsidRPr="00BC7BB5">
        <w:rPr>
          <w:rFonts w:ascii="Times New Roman" w:hAnsi="Times New Roman" w:cs="Times New Roman"/>
        </w:rPr>
        <w:t xml:space="preserve"> and the Wilaya of </w:t>
      </w:r>
      <w:r w:rsidR="00365F66" w:rsidRPr="00BC7BB5">
        <w:rPr>
          <w:rFonts w:ascii="Times New Roman" w:hAnsi="Times New Roman" w:cs="Times New Roman"/>
        </w:rPr>
        <w:t>Rabat-Salé-Kénitra</w:t>
      </w:r>
      <w:r w:rsidR="00350F77" w:rsidRPr="00BC7BB5">
        <w:rPr>
          <w:rFonts w:ascii="Times New Roman" w:hAnsi="Times New Roman" w:cs="Times New Roman"/>
        </w:rPr>
        <w:t xml:space="preserve"> have had the opportunity to visit successful wholesale markets abroad, including the wholesale markets of Madrid (Mercamadrid) and Paris (Rungis), and </w:t>
      </w:r>
      <w:r w:rsidR="00350F77" w:rsidRPr="00BC7BB5">
        <w:rPr>
          <w:rFonts w:ascii="Times New Roman" w:hAnsi="Times New Roman" w:cs="Times New Roman"/>
          <w:i/>
        </w:rPr>
        <w:t xml:space="preserve">Rabat </w:t>
      </w:r>
      <w:r w:rsidR="00365F66" w:rsidRPr="00BC7BB5">
        <w:rPr>
          <w:rFonts w:ascii="Times New Roman" w:hAnsi="Times New Roman" w:cs="Times New Roman"/>
          <w:i/>
        </w:rPr>
        <w:t xml:space="preserve">Région </w:t>
      </w:r>
      <w:r w:rsidR="00350F77" w:rsidRPr="00BC7BB5">
        <w:rPr>
          <w:rFonts w:ascii="Times New Roman" w:hAnsi="Times New Roman" w:cs="Times New Roman"/>
          <w:i/>
        </w:rPr>
        <w:t>Aménagement</w:t>
      </w:r>
      <w:r w:rsidR="00350F77" w:rsidRPr="00BC7BB5">
        <w:rPr>
          <w:rFonts w:ascii="Times New Roman" w:hAnsi="Times New Roman" w:cs="Times New Roman"/>
        </w:rPr>
        <w:t xml:space="preserve"> has been benefiting from technical support provided by the Rungis wholesale market in the preparation of a detailed business plan. Technical support would continue to be provided during the detailed infrastructure design and construction phases of the project</w:t>
      </w:r>
      <w:r w:rsidR="001C6315" w:rsidRPr="00BC7BB5">
        <w:rPr>
          <w:rFonts w:ascii="Times New Roman" w:hAnsi="Times New Roman" w:cs="Times New Roman"/>
        </w:rPr>
        <w:t>.</w:t>
      </w:r>
    </w:p>
    <w:p w14:paraId="65163197" w14:textId="77777777" w:rsidR="00350F77" w:rsidRPr="00BC7BB5" w:rsidRDefault="00350F77" w:rsidP="008C3E21">
      <w:pPr>
        <w:pStyle w:val="NoSpacing"/>
        <w:jc w:val="both"/>
        <w:rPr>
          <w:rFonts w:ascii="Times New Roman" w:hAnsi="Times New Roman" w:cs="Times New Roman"/>
        </w:rPr>
      </w:pPr>
    </w:p>
    <w:p w14:paraId="2E79EE7D" w14:textId="444F529E" w:rsidR="00350F77" w:rsidRDefault="00350F77" w:rsidP="00F561E8">
      <w:pPr>
        <w:pStyle w:val="NoSpacing"/>
        <w:numPr>
          <w:ilvl w:val="0"/>
          <w:numId w:val="35"/>
        </w:numPr>
        <w:ind w:left="0" w:firstLine="0"/>
        <w:jc w:val="both"/>
        <w:rPr>
          <w:rFonts w:ascii="Times New Roman" w:hAnsi="Times New Roman" w:cs="Times New Roman"/>
        </w:rPr>
      </w:pPr>
      <w:r w:rsidRPr="00BC7BB5">
        <w:rPr>
          <w:rFonts w:ascii="Times New Roman" w:hAnsi="Times New Roman" w:cs="Times New Roman"/>
          <w:b/>
        </w:rPr>
        <w:t>The implementation of a new management model for wholesale market infrastructure and services under the proposed Program would deliver a variety of market efficiencies</w:t>
      </w:r>
      <w:r w:rsidRPr="00BC7BB5">
        <w:rPr>
          <w:rFonts w:ascii="Times New Roman" w:hAnsi="Times New Roman" w:cs="Times New Roman"/>
        </w:rPr>
        <w:t xml:space="preserve">. In 2016, an estimated 350,000 to 400,000 tons of fruit and vegetable were consumed in the Rabat region of which 225,000 tons were channeled through the existing municipal wholesale markets of Rabat, Salé, and Témara. Citrus fruit (oranges) accounted for 60 percent of the fruit marketed through those markets. Due to its links to a major and rapidly growing consumption center, the creation of a modern wholesale market in Rabat could have a structuring effect on fruit and vegetables value chains in Morocco, while its demonstration effect could accelerate the modernization of the broader network of wholesale markets in Morocco targeted under the </w:t>
      </w:r>
      <w:r w:rsidRPr="00BC7BB5">
        <w:rPr>
          <w:rFonts w:ascii="Times New Roman" w:hAnsi="Times New Roman" w:cs="Times New Roman"/>
          <w:i/>
        </w:rPr>
        <w:t>Schéma National</w:t>
      </w:r>
      <w:r w:rsidRPr="00BC7BB5">
        <w:rPr>
          <w:rFonts w:ascii="Times New Roman" w:hAnsi="Times New Roman" w:cs="Times New Roman"/>
        </w:rPr>
        <w:t>.</w:t>
      </w:r>
      <w:r w:rsidRPr="00BC7BB5">
        <w:rPr>
          <w:rFonts w:ascii="Times New Roman" w:hAnsi="Times New Roman" w:cs="Times New Roman"/>
          <w:color w:val="222222"/>
        </w:rPr>
        <w:t xml:space="preserve"> In line with intern</w:t>
      </w:r>
      <w:r w:rsidR="00E814AC" w:rsidRPr="00BC7BB5">
        <w:rPr>
          <w:rFonts w:ascii="Times New Roman" w:hAnsi="Times New Roman" w:cs="Times New Roman"/>
          <w:color w:val="222222"/>
        </w:rPr>
        <w:t>a</w:t>
      </w:r>
      <w:r w:rsidRPr="00BC7BB5">
        <w:rPr>
          <w:rFonts w:ascii="Times New Roman" w:hAnsi="Times New Roman" w:cs="Times New Roman"/>
          <w:color w:val="222222"/>
        </w:rPr>
        <w:t>tional practices: (a) the wholesale market’s business model would no longer rely on fee-based tax collection (</w:t>
      </w:r>
      <w:r w:rsidRPr="00BC7BB5">
        <w:rPr>
          <w:rFonts w:ascii="Times New Roman" w:hAnsi="Times New Roman" w:cs="Times New Roman"/>
          <w:i/>
          <w:color w:val="222222"/>
        </w:rPr>
        <w:t>redevance</w:t>
      </w:r>
      <w:r w:rsidRPr="00BC7BB5">
        <w:rPr>
          <w:rFonts w:ascii="Times New Roman" w:hAnsi="Times New Roman" w:cs="Times New Roman"/>
          <w:color w:val="222222"/>
        </w:rPr>
        <w:t>) by proxies (</w:t>
      </w:r>
      <w:r w:rsidRPr="00BC7BB5">
        <w:rPr>
          <w:rFonts w:ascii="Times New Roman" w:hAnsi="Times New Roman" w:cs="Times New Roman"/>
          <w:i/>
          <w:color w:val="222222"/>
        </w:rPr>
        <w:t>mandataires</w:t>
      </w:r>
      <w:r w:rsidRPr="00BC7BB5">
        <w:rPr>
          <w:rFonts w:ascii="Times New Roman" w:hAnsi="Times New Roman" w:cs="Times New Roman"/>
          <w:color w:val="222222"/>
        </w:rPr>
        <w:t>), but on charging a cost of using the public space based on the areas, entrees, or services used; (b)  the management of the wholesale market would be the responsibility of a local development society (</w:t>
      </w:r>
      <w:r w:rsidRPr="0029414A">
        <w:rPr>
          <w:rFonts w:ascii="Times New Roman" w:hAnsi="Times New Roman" w:cs="Times New Roman"/>
          <w:i/>
          <w:color w:val="222222"/>
        </w:rPr>
        <w:t>Société de Développement Locale</w:t>
      </w:r>
      <w:r w:rsidRPr="00BC7BB5">
        <w:rPr>
          <w:rFonts w:ascii="Times New Roman" w:hAnsi="Times New Roman" w:cs="Times New Roman"/>
          <w:color w:val="222222"/>
        </w:rPr>
        <w:t>, SDL</w:t>
      </w:r>
      <w:r w:rsidR="00F30B5E">
        <w:rPr>
          <w:rFonts w:ascii="Times New Roman" w:hAnsi="Times New Roman" w:cs="Times New Roman"/>
          <w:color w:val="222222"/>
        </w:rPr>
        <w:t>/SDR</w:t>
      </w:r>
      <w:r w:rsidRPr="00BC7BB5">
        <w:rPr>
          <w:rFonts w:ascii="Times New Roman" w:hAnsi="Times New Roman" w:cs="Times New Roman"/>
          <w:color w:val="222222"/>
        </w:rPr>
        <w:t>), an autonomous entity capable of reinvesting revenues, accessing bank loans, and recruiting professional market management team</w:t>
      </w:r>
      <w:r w:rsidR="00E814AC" w:rsidRPr="00BC7BB5">
        <w:rPr>
          <w:rFonts w:ascii="Times New Roman" w:hAnsi="Times New Roman" w:cs="Times New Roman"/>
          <w:color w:val="222222"/>
        </w:rPr>
        <w:t>s</w:t>
      </w:r>
      <w:r w:rsidR="00F30B5E">
        <w:rPr>
          <w:rFonts w:ascii="Times New Roman" w:hAnsi="Times New Roman" w:cs="Times New Roman"/>
          <w:color w:val="222222"/>
        </w:rPr>
        <w:t>;</w:t>
      </w:r>
      <w:r w:rsidR="00F30B5E" w:rsidRPr="00BC7BB5">
        <w:rPr>
          <w:rFonts w:ascii="Times New Roman" w:hAnsi="Times New Roman" w:cs="Times New Roman"/>
          <w:color w:val="222222"/>
        </w:rPr>
        <w:t xml:space="preserve"> </w:t>
      </w:r>
      <w:r w:rsidR="00E814AC" w:rsidRPr="00BC7BB5">
        <w:rPr>
          <w:rFonts w:ascii="Times New Roman" w:hAnsi="Times New Roman" w:cs="Times New Roman"/>
          <w:color w:val="222222"/>
        </w:rPr>
        <w:t xml:space="preserve">and (c) </w:t>
      </w:r>
      <w:r w:rsidRPr="00BC7BB5">
        <w:rPr>
          <w:rFonts w:ascii="Times New Roman" w:hAnsi="Times New Roman" w:cs="Times New Roman"/>
          <w:color w:val="222222"/>
        </w:rPr>
        <w:t xml:space="preserve"> the regional agri-food platform would operate in a more competitive environment, especially with respect to warehousing, so that it is incentivized to offer services tailored to user needs at a competitive price. Finally,</w:t>
      </w:r>
      <w:r w:rsidRPr="00BC7BB5">
        <w:rPr>
          <w:rFonts w:ascii="Times New Roman" w:hAnsi="Times New Roman" w:cs="Times New Roman"/>
        </w:rPr>
        <w:t xml:space="preserve"> the proposed Program would support the development and implementation of the social management plan, which would accompany the closing of the existing wholesale markets </w:t>
      </w:r>
      <w:r w:rsidR="00365F66" w:rsidRPr="00BC7BB5">
        <w:rPr>
          <w:rFonts w:ascii="Times New Roman" w:hAnsi="Times New Roman" w:cs="Times New Roman"/>
        </w:rPr>
        <w:t>being relocated</w:t>
      </w:r>
      <w:r w:rsidRPr="00BC7BB5">
        <w:rPr>
          <w:rFonts w:ascii="Times New Roman" w:hAnsi="Times New Roman" w:cs="Times New Roman"/>
        </w:rPr>
        <w:t xml:space="preserve"> with a view to proactively manage any adverse social impacts, in particular on current (25) </w:t>
      </w:r>
      <w:r w:rsidRPr="00BC7BB5">
        <w:rPr>
          <w:rFonts w:ascii="Times New Roman" w:hAnsi="Times New Roman" w:cs="Times New Roman"/>
          <w:i/>
        </w:rPr>
        <w:t>mandataires</w:t>
      </w:r>
      <w:r w:rsidRPr="00BC7BB5">
        <w:rPr>
          <w:rFonts w:ascii="Times New Roman" w:hAnsi="Times New Roman" w:cs="Times New Roman"/>
        </w:rPr>
        <w:t>, operators, communities, and public employment linked to the existing wholesale markets</w:t>
      </w:r>
      <w:r w:rsidR="00265A19" w:rsidRPr="00BC7BB5">
        <w:rPr>
          <w:rFonts w:ascii="Times New Roman" w:hAnsi="Times New Roman" w:cs="Times New Roman"/>
        </w:rPr>
        <w:t>.</w:t>
      </w:r>
    </w:p>
    <w:p w14:paraId="17BFEB7A" w14:textId="77777777" w:rsidR="00F30B5E" w:rsidRPr="00BC7BB5" w:rsidRDefault="00F30B5E" w:rsidP="00F30B5E">
      <w:pPr>
        <w:pStyle w:val="NoSpacing"/>
        <w:jc w:val="both"/>
        <w:rPr>
          <w:rFonts w:ascii="Times New Roman" w:hAnsi="Times New Roman" w:cs="Times New Roman"/>
        </w:rPr>
      </w:pPr>
    </w:p>
    <w:p w14:paraId="3522A8A0" w14:textId="149DE2BD" w:rsidR="00901740" w:rsidRPr="00BC7BB5" w:rsidRDefault="00901740" w:rsidP="00F561E8">
      <w:pPr>
        <w:pStyle w:val="NoSpacing"/>
        <w:numPr>
          <w:ilvl w:val="0"/>
          <w:numId w:val="35"/>
        </w:numPr>
        <w:ind w:left="0" w:firstLine="0"/>
        <w:jc w:val="both"/>
        <w:rPr>
          <w:rFonts w:ascii="Times New Roman" w:hAnsi="Times New Roman" w:cs="Times New Roman"/>
        </w:rPr>
      </w:pPr>
      <w:r w:rsidRPr="00BC7BB5">
        <w:rPr>
          <w:rFonts w:ascii="Times New Roman" w:hAnsi="Times New Roman" w:cs="Times New Roman"/>
          <w:b/>
        </w:rPr>
        <w:t xml:space="preserve">A number of political, </w:t>
      </w:r>
      <w:r w:rsidR="00F22450" w:rsidRPr="00BC7BB5">
        <w:rPr>
          <w:rFonts w:ascii="Times New Roman" w:hAnsi="Times New Roman" w:cs="Times New Roman"/>
          <w:b/>
        </w:rPr>
        <w:t xml:space="preserve">technical and </w:t>
      </w:r>
      <w:r w:rsidRPr="00BC7BB5">
        <w:rPr>
          <w:rFonts w:ascii="Times New Roman" w:hAnsi="Times New Roman" w:cs="Times New Roman"/>
          <w:b/>
        </w:rPr>
        <w:t xml:space="preserve">commercial risks must be effectively managed to ensure the successful launch of the new wholesale market. </w:t>
      </w:r>
      <w:r w:rsidRPr="00BC7BB5">
        <w:rPr>
          <w:rFonts w:ascii="Times New Roman" w:hAnsi="Times New Roman" w:cs="Times New Roman"/>
        </w:rPr>
        <w:t xml:space="preserve">First, the closure of existing wholesale markets and </w:t>
      </w:r>
      <w:r w:rsidRPr="00BC7BB5">
        <w:rPr>
          <w:rFonts w:ascii="Times New Roman" w:hAnsi="Times New Roman" w:cs="Times New Roman"/>
        </w:rPr>
        <w:lastRenderedPageBreak/>
        <w:t>their transfer to new sites are delicate operations because they lead to a profound change in the interactions between market users. The inability or lack of political will of municipalities to enforce this transfer has resulted in the failure of many wholesale markets in other countries. In light of this, it is critical that</w:t>
      </w:r>
      <w:r w:rsidR="00F30B5E">
        <w:rPr>
          <w:rFonts w:ascii="Times New Roman" w:hAnsi="Times New Roman" w:cs="Times New Roman"/>
        </w:rPr>
        <w:t>:</w:t>
      </w:r>
      <w:r w:rsidRPr="00BC7BB5">
        <w:rPr>
          <w:rFonts w:ascii="Times New Roman" w:hAnsi="Times New Roman" w:cs="Times New Roman"/>
        </w:rPr>
        <w:t xml:space="preserve"> (i) the municipalities </w:t>
      </w:r>
      <w:r w:rsidR="00F30B5E">
        <w:rPr>
          <w:rFonts w:ascii="Times New Roman" w:hAnsi="Times New Roman" w:cs="Times New Roman"/>
        </w:rPr>
        <w:t>where</w:t>
      </w:r>
      <w:r w:rsidRPr="00BC7BB5">
        <w:rPr>
          <w:rFonts w:ascii="Times New Roman" w:hAnsi="Times New Roman" w:cs="Times New Roman"/>
        </w:rPr>
        <w:t xml:space="preserve"> the existing wholesale markets </w:t>
      </w:r>
      <w:r w:rsidR="00F30B5E">
        <w:rPr>
          <w:rFonts w:ascii="Times New Roman" w:hAnsi="Times New Roman" w:cs="Times New Roman"/>
        </w:rPr>
        <w:t xml:space="preserve">are located </w:t>
      </w:r>
      <w:r w:rsidRPr="00BC7BB5">
        <w:rPr>
          <w:rFonts w:ascii="Times New Roman" w:hAnsi="Times New Roman" w:cs="Times New Roman"/>
        </w:rPr>
        <w:t>(i.e. Rabat, Salé</w:t>
      </w:r>
      <w:r w:rsidR="00900635">
        <w:rPr>
          <w:rFonts w:ascii="Times New Roman" w:hAnsi="Times New Roman" w:cs="Times New Roman"/>
        </w:rPr>
        <w:t>, Kénitra</w:t>
      </w:r>
      <w:r w:rsidR="00F30B5E">
        <w:rPr>
          <w:rFonts w:ascii="Times New Roman" w:hAnsi="Times New Roman" w:cs="Times New Roman"/>
        </w:rPr>
        <w:t>,</w:t>
      </w:r>
      <w:r w:rsidRPr="00BC7BB5">
        <w:rPr>
          <w:rFonts w:ascii="Times New Roman" w:hAnsi="Times New Roman" w:cs="Times New Roman"/>
        </w:rPr>
        <w:t xml:space="preserve"> and Temara) have a clear commitment to close these markets as soon as the new market becomes operational; </w:t>
      </w:r>
      <w:r w:rsidR="00F22450" w:rsidRPr="00BC7BB5">
        <w:rPr>
          <w:rFonts w:ascii="Times New Roman" w:hAnsi="Times New Roman" w:cs="Times New Roman"/>
        </w:rPr>
        <w:t xml:space="preserve">and </w:t>
      </w:r>
      <w:r w:rsidRPr="00BC7BB5">
        <w:rPr>
          <w:rFonts w:ascii="Times New Roman" w:hAnsi="Times New Roman" w:cs="Times New Roman"/>
        </w:rPr>
        <w:t xml:space="preserve">(ii) the Wilaya does not allow the opening of any competing </w:t>
      </w:r>
      <w:r w:rsidR="00F22450" w:rsidRPr="00BC7BB5">
        <w:rPr>
          <w:rFonts w:ascii="Times New Roman" w:hAnsi="Times New Roman" w:cs="Times New Roman"/>
        </w:rPr>
        <w:t xml:space="preserve">wholesale markets </w:t>
      </w:r>
      <w:r w:rsidRPr="00BC7BB5">
        <w:rPr>
          <w:rFonts w:ascii="Times New Roman" w:hAnsi="Times New Roman" w:cs="Times New Roman"/>
        </w:rPr>
        <w:t xml:space="preserve">on its territory. </w:t>
      </w:r>
    </w:p>
    <w:p w14:paraId="0DABC99C" w14:textId="77777777" w:rsidR="00901740" w:rsidRPr="00BC7BB5" w:rsidRDefault="00901740" w:rsidP="008C3E21">
      <w:pPr>
        <w:pStyle w:val="ListParagraph"/>
        <w:spacing w:after="0" w:line="240" w:lineRule="auto"/>
        <w:ind w:left="0"/>
        <w:rPr>
          <w:rFonts w:ascii="Times New Roman" w:hAnsi="Times New Roman" w:cs="Times New Roman"/>
        </w:rPr>
      </w:pPr>
    </w:p>
    <w:p w14:paraId="12622417" w14:textId="08102B01" w:rsidR="00901740" w:rsidRPr="00BC7BB5" w:rsidRDefault="00901740" w:rsidP="00F561E8">
      <w:pPr>
        <w:pStyle w:val="NoSpacing"/>
        <w:numPr>
          <w:ilvl w:val="0"/>
          <w:numId w:val="35"/>
        </w:numPr>
        <w:ind w:left="0" w:firstLine="0"/>
        <w:jc w:val="both"/>
        <w:rPr>
          <w:rFonts w:ascii="Times New Roman" w:hAnsi="Times New Roman" w:cs="Times New Roman"/>
        </w:rPr>
      </w:pPr>
      <w:r w:rsidRPr="00BC7BB5">
        <w:rPr>
          <w:rFonts w:ascii="Times New Roman" w:hAnsi="Times New Roman" w:cs="Times New Roman"/>
        </w:rPr>
        <w:t xml:space="preserve">Second, the existing commission system and </w:t>
      </w:r>
      <w:r w:rsidR="00900635">
        <w:rPr>
          <w:rFonts w:ascii="Times New Roman" w:hAnsi="Times New Roman" w:cs="Times New Roman"/>
        </w:rPr>
        <w:t>lack</w:t>
      </w:r>
      <w:r w:rsidRPr="00BC7BB5">
        <w:rPr>
          <w:rFonts w:ascii="Times New Roman" w:hAnsi="Times New Roman" w:cs="Times New Roman"/>
        </w:rPr>
        <w:t xml:space="preserve"> </w:t>
      </w:r>
      <w:r w:rsidR="00900635">
        <w:rPr>
          <w:rFonts w:ascii="Times New Roman" w:hAnsi="Times New Roman" w:cs="Times New Roman"/>
        </w:rPr>
        <w:t xml:space="preserve">of </w:t>
      </w:r>
      <w:r w:rsidRPr="00BC7BB5">
        <w:rPr>
          <w:rFonts w:ascii="Times New Roman" w:hAnsi="Times New Roman" w:cs="Times New Roman"/>
        </w:rPr>
        <w:t>technical expertise</w:t>
      </w:r>
      <w:r w:rsidR="00900635">
        <w:rPr>
          <w:rFonts w:ascii="Times New Roman" w:hAnsi="Times New Roman" w:cs="Times New Roman"/>
        </w:rPr>
        <w:t xml:space="preserve"> with regards to wholesale markets</w:t>
      </w:r>
      <w:r w:rsidRPr="00BC7BB5">
        <w:rPr>
          <w:rFonts w:ascii="Times New Roman" w:hAnsi="Times New Roman" w:cs="Times New Roman"/>
        </w:rPr>
        <w:t xml:space="preserve"> at the level of </w:t>
      </w:r>
      <w:r w:rsidR="00900635">
        <w:rPr>
          <w:rFonts w:ascii="Times New Roman" w:hAnsi="Times New Roman" w:cs="Times New Roman"/>
        </w:rPr>
        <w:t xml:space="preserve">the </w:t>
      </w:r>
      <w:r w:rsidR="00F30B5E">
        <w:rPr>
          <w:rFonts w:ascii="Times New Roman" w:hAnsi="Times New Roman" w:cs="Times New Roman"/>
        </w:rPr>
        <w:t xml:space="preserve">recently </w:t>
      </w:r>
      <w:r w:rsidR="00900635">
        <w:rPr>
          <w:rFonts w:ascii="Times New Roman" w:hAnsi="Times New Roman" w:cs="Times New Roman"/>
        </w:rPr>
        <w:t xml:space="preserve">created </w:t>
      </w:r>
      <w:r w:rsidR="00907328" w:rsidRPr="00BC7BB5">
        <w:rPr>
          <w:rFonts w:ascii="Times New Roman" w:hAnsi="Times New Roman" w:cs="Times New Roman"/>
          <w:i/>
        </w:rPr>
        <w:t xml:space="preserve">Rabat </w:t>
      </w:r>
      <w:r w:rsidR="0029414A">
        <w:rPr>
          <w:rFonts w:ascii="Times New Roman" w:hAnsi="Times New Roman" w:cs="Times New Roman"/>
          <w:i/>
        </w:rPr>
        <w:t xml:space="preserve">Région </w:t>
      </w:r>
      <w:r w:rsidR="00907328" w:rsidRPr="00BC7BB5">
        <w:rPr>
          <w:rFonts w:ascii="Times New Roman" w:hAnsi="Times New Roman" w:cs="Times New Roman"/>
          <w:i/>
        </w:rPr>
        <w:t>Aménagement</w:t>
      </w:r>
      <w:r w:rsidRPr="00BC7BB5">
        <w:rPr>
          <w:rFonts w:ascii="Times New Roman" w:hAnsi="Times New Roman" w:cs="Times New Roman"/>
        </w:rPr>
        <w:t xml:space="preserve"> could result in misalignments between the design of the wholesale market infrastructure and the needs of the fu</w:t>
      </w:r>
      <w:r w:rsidR="00265A19" w:rsidRPr="00BC7BB5">
        <w:rPr>
          <w:rFonts w:ascii="Times New Roman" w:hAnsi="Times New Roman" w:cs="Times New Roman"/>
        </w:rPr>
        <w:t>ture operators and market users</w:t>
      </w:r>
      <w:r w:rsidRPr="00BC7BB5">
        <w:rPr>
          <w:rStyle w:val="FootnoteReference"/>
        </w:rPr>
        <w:footnoteReference w:id="39"/>
      </w:r>
      <w:r w:rsidR="00265A19" w:rsidRPr="00BC7BB5">
        <w:rPr>
          <w:rFonts w:ascii="Times New Roman" w:hAnsi="Times New Roman" w:cs="Times New Roman"/>
        </w:rPr>
        <w:t>.</w:t>
      </w:r>
      <w:r w:rsidRPr="00BC7BB5">
        <w:rPr>
          <w:rFonts w:ascii="Times New Roman" w:hAnsi="Times New Roman" w:cs="Times New Roman"/>
        </w:rPr>
        <w:t xml:space="preserve"> It is therefore essential that the SDL</w:t>
      </w:r>
      <w:r w:rsidR="00900635">
        <w:rPr>
          <w:rFonts w:ascii="Times New Roman" w:hAnsi="Times New Roman" w:cs="Times New Roman"/>
        </w:rPr>
        <w:t>/SDR</w:t>
      </w:r>
      <w:r w:rsidR="00907328" w:rsidRPr="00BC7BB5">
        <w:rPr>
          <w:rFonts w:ascii="Times New Roman" w:hAnsi="Times New Roman" w:cs="Times New Roman"/>
        </w:rPr>
        <w:t xml:space="preserve"> which will manage the market</w:t>
      </w:r>
      <w:r w:rsidRPr="00BC7BB5">
        <w:rPr>
          <w:rFonts w:ascii="Times New Roman" w:hAnsi="Times New Roman" w:cs="Times New Roman"/>
        </w:rPr>
        <w:t xml:space="preserve"> be created as soon as possible and a "project team" be established and trained to form the nucleus of the SDL</w:t>
      </w:r>
      <w:r w:rsidR="00900635">
        <w:rPr>
          <w:rFonts w:ascii="Times New Roman" w:hAnsi="Times New Roman" w:cs="Times New Roman"/>
        </w:rPr>
        <w:t>/SDR</w:t>
      </w:r>
      <w:r w:rsidRPr="00BC7BB5">
        <w:rPr>
          <w:rFonts w:ascii="Times New Roman" w:hAnsi="Times New Roman" w:cs="Times New Roman"/>
        </w:rPr>
        <w:t>’s future market management team. In this context, it is worth underlining that the steps and time required to create a SDL</w:t>
      </w:r>
      <w:r w:rsidR="00900635">
        <w:rPr>
          <w:rFonts w:ascii="Times New Roman" w:hAnsi="Times New Roman" w:cs="Times New Roman"/>
        </w:rPr>
        <w:t>/SDR</w:t>
      </w:r>
      <w:r w:rsidRPr="00BC7BB5">
        <w:rPr>
          <w:rFonts w:ascii="Times New Roman" w:hAnsi="Times New Roman" w:cs="Times New Roman"/>
        </w:rPr>
        <w:t xml:space="preserve"> are often underestimated, in particular the modalities for transferring the new infrastructure to the SDL</w:t>
      </w:r>
      <w:r w:rsidR="00900635">
        <w:rPr>
          <w:rFonts w:ascii="Times New Roman" w:hAnsi="Times New Roman" w:cs="Times New Roman"/>
        </w:rPr>
        <w:t>/SDR</w:t>
      </w:r>
      <w:r w:rsidRPr="00BC7BB5">
        <w:rPr>
          <w:rFonts w:ascii="Times New Roman" w:hAnsi="Times New Roman" w:cs="Times New Roman"/>
        </w:rPr>
        <w:t xml:space="preserve"> and the definition of the shares of the different shareholders in the company's capital. The latter not only has important implications for the flows of possible dividends to the participating municipalities, but also determines the weight of the different partners in the decision-making process relating to the functioning of the market. </w:t>
      </w:r>
    </w:p>
    <w:p w14:paraId="5A0F4598" w14:textId="77777777" w:rsidR="00901740" w:rsidRPr="00BC7BB5" w:rsidRDefault="00901740" w:rsidP="008C3E21">
      <w:pPr>
        <w:pStyle w:val="ListParagraph"/>
        <w:spacing w:after="0" w:line="240" w:lineRule="auto"/>
        <w:ind w:left="0"/>
        <w:rPr>
          <w:rFonts w:ascii="Times New Roman" w:hAnsi="Times New Roman" w:cs="Times New Roman"/>
        </w:rPr>
      </w:pPr>
    </w:p>
    <w:p w14:paraId="0F909463" w14:textId="75E51DBA" w:rsidR="001C6315" w:rsidRPr="00BC7BB5" w:rsidRDefault="00901740" w:rsidP="00F561E8">
      <w:pPr>
        <w:pStyle w:val="NoSpacing"/>
        <w:numPr>
          <w:ilvl w:val="0"/>
          <w:numId w:val="35"/>
        </w:numPr>
        <w:ind w:left="0" w:firstLine="0"/>
        <w:jc w:val="both"/>
        <w:rPr>
          <w:rFonts w:ascii="Times New Roman" w:hAnsi="Times New Roman" w:cs="Times New Roman"/>
        </w:rPr>
      </w:pPr>
      <w:r w:rsidRPr="00BC7BB5">
        <w:rPr>
          <w:rFonts w:ascii="Times New Roman" w:hAnsi="Times New Roman" w:cs="Times New Roman"/>
        </w:rPr>
        <w:t>Third, if the newly established SDL</w:t>
      </w:r>
      <w:r w:rsidR="00900635">
        <w:rPr>
          <w:rFonts w:ascii="Times New Roman" w:hAnsi="Times New Roman" w:cs="Times New Roman"/>
        </w:rPr>
        <w:t>/SDR</w:t>
      </w:r>
      <w:r w:rsidRPr="00BC7BB5">
        <w:rPr>
          <w:rFonts w:ascii="Times New Roman" w:hAnsi="Times New Roman" w:cs="Times New Roman"/>
        </w:rPr>
        <w:t xml:space="preserve"> and its management team are to ensure the modern management of the wholesale market and meet the needs of its users, they must be actively involved in the design phase of the project and in all the phases preceding the launch of the new market, including signing contracts w</w:t>
      </w:r>
      <w:r w:rsidR="00907328" w:rsidRPr="00BC7BB5">
        <w:rPr>
          <w:rFonts w:ascii="Times New Roman" w:hAnsi="Times New Roman" w:cs="Times New Roman"/>
        </w:rPr>
        <w:t>ith users and service companies and</w:t>
      </w:r>
      <w:r w:rsidRPr="00BC7BB5">
        <w:rPr>
          <w:rFonts w:ascii="Times New Roman" w:hAnsi="Times New Roman" w:cs="Times New Roman"/>
        </w:rPr>
        <w:t xml:space="preserve"> defining the tariffs and i</w:t>
      </w:r>
      <w:r w:rsidR="00907328" w:rsidRPr="00BC7BB5">
        <w:rPr>
          <w:rFonts w:ascii="Times New Roman" w:hAnsi="Times New Roman" w:cs="Times New Roman"/>
        </w:rPr>
        <w:t>nternal rules of the market</w:t>
      </w:r>
      <w:r w:rsidRPr="00BC7BB5">
        <w:rPr>
          <w:rFonts w:ascii="Times New Roman" w:hAnsi="Times New Roman" w:cs="Times New Roman"/>
        </w:rPr>
        <w:t>. Moreover, the SDL</w:t>
      </w:r>
      <w:r w:rsidR="00900635">
        <w:rPr>
          <w:rFonts w:ascii="Times New Roman" w:hAnsi="Times New Roman" w:cs="Times New Roman"/>
        </w:rPr>
        <w:t>/SDR</w:t>
      </w:r>
      <w:r w:rsidRPr="00BC7BB5">
        <w:rPr>
          <w:rFonts w:ascii="Times New Roman" w:hAnsi="Times New Roman" w:cs="Times New Roman"/>
        </w:rPr>
        <w:t xml:space="preserve"> should have an adequate operating budget from its inception so that</w:t>
      </w:r>
      <w:r w:rsidR="00907328" w:rsidRPr="00BC7BB5">
        <w:rPr>
          <w:rFonts w:ascii="Times New Roman" w:hAnsi="Times New Roman" w:cs="Times New Roman"/>
        </w:rPr>
        <w:t xml:space="preserve"> it can </w:t>
      </w:r>
      <w:r w:rsidRPr="00BC7BB5">
        <w:rPr>
          <w:rFonts w:ascii="Times New Roman" w:hAnsi="Times New Roman" w:cs="Times New Roman"/>
        </w:rPr>
        <w:t>take on the work of prospecting users and preparing the market infrastructure, including through promotional activities. In this context, it is essential that the SDL</w:t>
      </w:r>
      <w:r w:rsidR="00900635">
        <w:rPr>
          <w:rFonts w:ascii="Times New Roman" w:hAnsi="Times New Roman" w:cs="Times New Roman"/>
        </w:rPr>
        <w:t>/SDR</w:t>
      </w:r>
      <w:r w:rsidRPr="00BC7BB5">
        <w:rPr>
          <w:rFonts w:ascii="Times New Roman" w:hAnsi="Times New Roman" w:cs="Times New Roman"/>
        </w:rPr>
        <w:t xml:space="preserve"> clarifies the position of the future wholesale market in relation to large-scale distribution networks as the avoidance of the market by reta</w:t>
      </w:r>
      <w:r w:rsidR="00907328" w:rsidRPr="00BC7BB5">
        <w:rPr>
          <w:rFonts w:ascii="Times New Roman" w:hAnsi="Times New Roman" w:cs="Times New Roman"/>
        </w:rPr>
        <w:t>ilers would undermine the</w:t>
      </w:r>
      <w:r w:rsidRPr="00BC7BB5">
        <w:rPr>
          <w:rFonts w:ascii="Times New Roman" w:hAnsi="Times New Roman" w:cs="Times New Roman"/>
        </w:rPr>
        <w:t xml:space="preserve"> development of the market. </w:t>
      </w:r>
      <w:r w:rsidR="00907328" w:rsidRPr="00BC7BB5">
        <w:rPr>
          <w:rFonts w:ascii="Times New Roman" w:hAnsi="Times New Roman" w:cs="Times New Roman"/>
        </w:rPr>
        <w:t xml:space="preserve">Finally, </w:t>
      </w:r>
      <w:r w:rsidR="00F30B5E">
        <w:rPr>
          <w:rFonts w:ascii="Times New Roman" w:hAnsi="Times New Roman" w:cs="Times New Roman"/>
        </w:rPr>
        <w:t xml:space="preserve">the </w:t>
      </w:r>
      <w:r w:rsidR="00907328" w:rsidRPr="00BC7BB5">
        <w:rPr>
          <w:rFonts w:ascii="Times New Roman" w:hAnsi="Times New Roman" w:cs="Times New Roman"/>
        </w:rPr>
        <w:t xml:space="preserve">government </w:t>
      </w:r>
      <w:r w:rsidRPr="00BC7BB5">
        <w:rPr>
          <w:rFonts w:ascii="Times New Roman" w:hAnsi="Times New Roman" w:cs="Times New Roman"/>
        </w:rPr>
        <w:t>must ensure the construction of required off-site infrastructure (access roads, etc.), connectivity to utility networks (water, electricity, etc.), and the development of an environmental management plan that would render the market a model structure from an energy use and waste management perspective.</w:t>
      </w:r>
    </w:p>
    <w:p w14:paraId="1D4AC850" w14:textId="77777777" w:rsidR="00901740" w:rsidRPr="00BC7BB5" w:rsidRDefault="00901740" w:rsidP="00901740">
      <w:pPr>
        <w:spacing w:after="0" w:line="240" w:lineRule="auto"/>
        <w:ind w:left="360"/>
        <w:jc w:val="both"/>
        <w:rPr>
          <w:rFonts w:ascii="Times New Roman" w:hAnsi="Times New Roman" w:cs="Times New Roman"/>
        </w:rPr>
      </w:pPr>
    </w:p>
    <w:p w14:paraId="0102ABD0" w14:textId="316B8C7D" w:rsidR="00F52889" w:rsidRPr="00BC7BB5" w:rsidRDefault="005F2084" w:rsidP="00A6265D">
      <w:pPr>
        <w:pStyle w:val="NoSpacing"/>
        <w:jc w:val="both"/>
        <w:rPr>
          <w:rFonts w:ascii="Times New Roman" w:hAnsi="Times New Roman" w:cs="Times New Roman"/>
          <w:i/>
        </w:rPr>
      </w:pPr>
      <w:r w:rsidRPr="00BC7BB5">
        <w:rPr>
          <w:rFonts w:ascii="Times New Roman" w:hAnsi="Times New Roman" w:cs="Times New Roman"/>
          <w:b/>
          <w:i/>
        </w:rPr>
        <w:t>Improving access to information</w:t>
      </w:r>
    </w:p>
    <w:p w14:paraId="64150DB1" w14:textId="77777777" w:rsidR="00F52889" w:rsidRPr="00BC7BB5" w:rsidRDefault="00F52889" w:rsidP="00F52889">
      <w:pPr>
        <w:pStyle w:val="NoSpacing"/>
        <w:ind w:left="720"/>
        <w:jc w:val="both"/>
        <w:rPr>
          <w:rFonts w:ascii="Times New Roman" w:hAnsi="Times New Roman" w:cs="Times New Roman"/>
          <w:i/>
        </w:rPr>
      </w:pPr>
    </w:p>
    <w:p w14:paraId="6CD5E39A" w14:textId="77777777" w:rsidR="00F52889" w:rsidRPr="00BC7BB5" w:rsidRDefault="00B71A87" w:rsidP="00F561E8">
      <w:pPr>
        <w:pStyle w:val="NoSpacing"/>
        <w:numPr>
          <w:ilvl w:val="0"/>
          <w:numId w:val="35"/>
        </w:numPr>
        <w:ind w:left="0" w:firstLine="0"/>
        <w:jc w:val="both"/>
        <w:rPr>
          <w:rFonts w:ascii="Times New Roman" w:hAnsi="Times New Roman" w:cs="Times New Roman"/>
        </w:rPr>
      </w:pPr>
      <w:r w:rsidRPr="00BC7BB5">
        <w:rPr>
          <w:rFonts w:ascii="Times New Roman" w:hAnsi="Times New Roman" w:cs="Times New Roman"/>
          <w:b/>
          <w:color w:val="000000" w:themeColor="text1"/>
        </w:rPr>
        <w:t xml:space="preserve">Improved market information tends to reduce the risks and lower the transaction costs of </w:t>
      </w:r>
      <w:r w:rsidR="00F22450" w:rsidRPr="00BC7BB5">
        <w:rPr>
          <w:rFonts w:ascii="Times New Roman" w:hAnsi="Times New Roman" w:cs="Times New Roman"/>
          <w:b/>
          <w:color w:val="000000" w:themeColor="text1"/>
        </w:rPr>
        <w:t xml:space="preserve">producers </w:t>
      </w:r>
      <w:r w:rsidRPr="00BC7BB5">
        <w:rPr>
          <w:rFonts w:ascii="Times New Roman" w:hAnsi="Times New Roman" w:cs="Times New Roman"/>
          <w:b/>
          <w:color w:val="000000" w:themeColor="text1"/>
        </w:rPr>
        <w:t>and other actors participating in agri-food value chains</w:t>
      </w:r>
      <w:r w:rsidRPr="00BC7BB5">
        <w:rPr>
          <w:rFonts w:ascii="Times New Roman" w:hAnsi="Times New Roman" w:cs="Times New Roman"/>
          <w:color w:val="000000" w:themeColor="text1"/>
        </w:rPr>
        <w:t>. These efficiency gains can lead to increased participation in the agri-food value chains and greater stability of prices and supply/demand. More efficient and transparent agricultural markets benefit all value chain actors (producers, traders, investors, policymakers, processors and consumers) and can improve agribusiness management across the value chain. Access to reliable market information helps farmers become better managers by assisting them in planning production in line with market demand and negotiate prices on a more even footing with wholesalers, processors, and retailers.</w:t>
      </w:r>
    </w:p>
    <w:p w14:paraId="41662C52" w14:textId="77777777" w:rsidR="00F52889" w:rsidRPr="00BC7BB5" w:rsidRDefault="00F52889" w:rsidP="00F52889">
      <w:pPr>
        <w:pStyle w:val="NoSpacing"/>
        <w:ind w:left="360"/>
        <w:jc w:val="both"/>
        <w:rPr>
          <w:rFonts w:ascii="Times New Roman" w:hAnsi="Times New Roman" w:cs="Times New Roman"/>
        </w:rPr>
      </w:pPr>
    </w:p>
    <w:p w14:paraId="1F70299E" w14:textId="306ADA70" w:rsidR="005F2084" w:rsidRPr="00BC7BB5" w:rsidRDefault="0029414A" w:rsidP="00F561E8">
      <w:pPr>
        <w:pStyle w:val="NoSpacing"/>
        <w:numPr>
          <w:ilvl w:val="0"/>
          <w:numId w:val="35"/>
        </w:numPr>
        <w:ind w:left="0" w:firstLine="0"/>
        <w:jc w:val="both"/>
        <w:rPr>
          <w:rFonts w:ascii="Times New Roman" w:hAnsi="Times New Roman" w:cs="Times New Roman"/>
        </w:rPr>
      </w:pPr>
      <w:r>
        <w:rPr>
          <w:rFonts w:ascii="Times New Roman" w:hAnsi="Times New Roman" w:cs="Times New Roman"/>
          <w:color w:val="000000" w:themeColor="text1"/>
        </w:rPr>
        <w:t xml:space="preserve"> The </w:t>
      </w:r>
      <w:r w:rsidR="00B71A87" w:rsidRPr="00BC7BB5">
        <w:rPr>
          <w:rFonts w:ascii="Times New Roman" w:hAnsi="Times New Roman" w:cs="Times New Roman"/>
          <w:color w:val="000000" w:themeColor="text1"/>
        </w:rPr>
        <w:t>Program would strengthen the dissemination of information regarding domestic agricultural markets (e.g. price, location of points of sale, etc.) to producers and other operators. Specifically, the Program would support the modernization of the MAPM</w:t>
      </w:r>
      <w:r w:rsidR="00F22450" w:rsidRPr="00BC7BB5">
        <w:rPr>
          <w:rFonts w:ascii="Times New Roman" w:hAnsi="Times New Roman" w:cs="Times New Roman"/>
          <w:color w:val="000000" w:themeColor="text1"/>
        </w:rPr>
        <w:t>DREF</w:t>
      </w:r>
      <w:r w:rsidR="00B71A87" w:rsidRPr="00BC7BB5">
        <w:rPr>
          <w:rFonts w:ascii="Times New Roman" w:hAnsi="Times New Roman" w:cs="Times New Roman"/>
          <w:color w:val="000000" w:themeColor="text1"/>
        </w:rPr>
        <w:t xml:space="preserve">’s existing </w:t>
      </w:r>
      <w:r w:rsidR="00B71A87" w:rsidRPr="00BC7BB5">
        <w:rPr>
          <w:rFonts w:ascii="Times New Roman" w:hAnsi="Times New Roman" w:cs="Times New Roman"/>
          <w:i/>
          <w:color w:val="000000" w:themeColor="text1"/>
        </w:rPr>
        <w:t>Asaar</w:t>
      </w:r>
      <w:r w:rsidR="00B71A87" w:rsidRPr="00BC7BB5">
        <w:rPr>
          <w:rFonts w:ascii="Times New Roman" w:hAnsi="Times New Roman" w:cs="Times New Roman"/>
          <w:color w:val="000000" w:themeColor="text1"/>
        </w:rPr>
        <w:t xml:space="preserve"> platform as well as the dev</w:t>
      </w:r>
      <w:r w:rsidR="00F22450" w:rsidRPr="00BC7BB5">
        <w:rPr>
          <w:rFonts w:ascii="Times New Roman" w:hAnsi="Times New Roman" w:cs="Times New Roman"/>
          <w:color w:val="000000" w:themeColor="text1"/>
        </w:rPr>
        <w:t>e</w:t>
      </w:r>
      <w:r w:rsidR="00B71A87" w:rsidRPr="00BC7BB5">
        <w:rPr>
          <w:rFonts w:ascii="Times New Roman" w:hAnsi="Times New Roman" w:cs="Times New Roman"/>
          <w:color w:val="000000" w:themeColor="text1"/>
        </w:rPr>
        <w:t xml:space="preserve">lopment of new ICT tools (mobile apps, SMS, etc.) in the platform to reach up to 200,000 users. Currently, most producers do not have access to internet and therefore to </w:t>
      </w:r>
      <w:r w:rsidR="00F22450" w:rsidRPr="00BC7BB5">
        <w:rPr>
          <w:rFonts w:ascii="Times New Roman" w:hAnsi="Times New Roman" w:cs="Times New Roman"/>
          <w:color w:val="000000" w:themeColor="text1"/>
        </w:rPr>
        <w:t xml:space="preserve">information managed by the </w:t>
      </w:r>
      <w:r w:rsidR="00B71A87" w:rsidRPr="00BC7BB5">
        <w:rPr>
          <w:rFonts w:ascii="Times New Roman" w:hAnsi="Times New Roman" w:cs="Times New Roman"/>
          <w:color w:val="000000" w:themeColor="text1"/>
        </w:rPr>
        <w:t xml:space="preserve">Asaar </w:t>
      </w:r>
      <w:r w:rsidR="00F22450" w:rsidRPr="00BC7BB5">
        <w:rPr>
          <w:rFonts w:ascii="Times New Roman" w:hAnsi="Times New Roman" w:cs="Times New Roman"/>
          <w:color w:val="000000" w:themeColor="text1"/>
        </w:rPr>
        <w:t>platform.</w:t>
      </w:r>
      <w:r w:rsidR="00B71A87" w:rsidRPr="00BC7BB5">
        <w:rPr>
          <w:rFonts w:ascii="Times New Roman" w:hAnsi="Times New Roman" w:cs="Times New Roman"/>
          <w:color w:val="000000" w:themeColor="text1"/>
        </w:rPr>
        <w:t xml:space="preserve"> </w:t>
      </w:r>
      <w:r w:rsidR="00F22450" w:rsidRPr="00BC7BB5">
        <w:rPr>
          <w:rFonts w:ascii="Times New Roman" w:hAnsi="Times New Roman" w:cs="Times New Roman"/>
          <w:color w:val="000000" w:themeColor="text1"/>
        </w:rPr>
        <w:t>I</w:t>
      </w:r>
      <w:r w:rsidR="00B71A87" w:rsidRPr="00BC7BB5">
        <w:rPr>
          <w:rFonts w:ascii="Times New Roman" w:hAnsi="Times New Roman" w:cs="Times New Roman"/>
          <w:color w:val="000000" w:themeColor="text1"/>
        </w:rPr>
        <w:t xml:space="preserve">n addition, the available information is not tailored to their needs. The use of voice messaging, </w:t>
      </w:r>
      <w:r w:rsidR="00B71A87" w:rsidRPr="00BC7BB5">
        <w:rPr>
          <w:rFonts w:ascii="Times New Roman" w:hAnsi="Times New Roman" w:cs="Times New Roman"/>
          <w:color w:val="000000" w:themeColor="text1"/>
        </w:rPr>
        <w:lastRenderedPageBreak/>
        <w:t>SMS and mobile apps present new opportunities to address this gap and increase the impact and inclusiveness of the current market information system</w:t>
      </w:r>
      <w:r w:rsidR="00592F4B" w:rsidRPr="00BC7BB5">
        <w:rPr>
          <w:rFonts w:ascii="Times New Roman" w:hAnsi="Times New Roman" w:cs="Times New Roman"/>
          <w:color w:val="000000" w:themeColor="text1"/>
        </w:rPr>
        <w:t>.</w:t>
      </w:r>
    </w:p>
    <w:p w14:paraId="146A098B" w14:textId="38EF4B58" w:rsidR="00592F4B" w:rsidRPr="00BC7BB5" w:rsidRDefault="00592F4B" w:rsidP="00592F4B">
      <w:pPr>
        <w:spacing w:after="0" w:line="240" w:lineRule="auto"/>
        <w:ind w:left="360"/>
        <w:jc w:val="both"/>
        <w:rPr>
          <w:rFonts w:ascii="Times New Roman" w:hAnsi="Times New Roman" w:cs="Times New Roman"/>
        </w:rPr>
      </w:pPr>
    </w:p>
    <w:p w14:paraId="32F7039D" w14:textId="0D2AE181" w:rsidR="00062920" w:rsidRPr="00A6265D" w:rsidRDefault="00062920" w:rsidP="00062920">
      <w:pPr>
        <w:jc w:val="both"/>
        <w:rPr>
          <w:rFonts w:ascii="Times New Roman" w:hAnsi="Times New Roman" w:cs="Times New Roman"/>
          <w:b/>
        </w:rPr>
      </w:pPr>
      <w:r w:rsidRPr="00A6265D">
        <w:rPr>
          <w:rFonts w:ascii="Times New Roman" w:hAnsi="Times New Roman" w:cs="Times New Roman"/>
          <w:b/>
        </w:rPr>
        <w:t>Result Area 2</w:t>
      </w:r>
      <w:r w:rsidR="000A2644" w:rsidRPr="00A6265D">
        <w:rPr>
          <w:rFonts w:ascii="Times New Roman" w:hAnsi="Times New Roman" w:cs="Times New Roman"/>
          <w:b/>
        </w:rPr>
        <w:t>:</w:t>
      </w:r>
      <w:r w:rsidRPr="00A6265D">
        <w:rPr>
          <w:rFonts w:ascii="Times New Roman" w:hAnsi="Times New Roman" w:cs="Times New Roman"/>
          <w:b/>
        </w:rPr>
        <w:t xml:space="preserve"> </w:t>
      </w:r>
      <w:r w:rsidR="00DE5B18" w:rsidRPr="00A6265D">
        <w:rPr>
          <w:rFonts w:ascii="Times New Roman" w:hAnsi="Times New Roman" w:cs="Times New Roman"/>
          <w:b/>
        </w:rPr>
        <w:t>Improved</w:t>
      </w:r>
      <w:r w:rsidR="00DE387F" w:rsidRPr="00A6265D">
        <w:rPr>
          <w:rFonts w:ascii="Times New Roman" w:hAnsi="Times New Roman" w:cs="Times New Roman"/>
          <w:b/>
        </w:rPr>
        <w:t xml:space="preserve"> </w:t>
      </w:r>
      <w:r w:rsidR="00F30B5E">
        <w:rPr>
          <w:rFonts w:ascii="Times New Roman" w:hAnsi="Times New Roman" w:cs="Times New Roman"/>
          <w:b/>
        </w:rPr>
        <w:t>added-</w:t>
      </w:r>
      <w:r w:rsidR="00F22450" w:rsidRPr="00A6265D">
        <w:rPr>
          <w:rFonts w:ascii="Times New Roman" w:hAnsi="Times New Roman" w:cs="Times New Roman"/>
          <w:b/>
        </w:rPr>
        <w:t>value of agri-food products</w:t>
      </w:r>
    </w:p>
    <w:p w14:paraId="1A7A8AD9" w14:textId="4119C7BD" w:rsidR="00C648F7" w:rsidRPr="00BC7BB5" w:rsidRDefault="00C648F7" w:rsidP="00F561E8">
      <w:pPr>
        <w:pStyle w:val="NoSpacing"/>
        <w:numPr>
          <w:ilvl w:val="0"/>
          <w:numId w:val="35"/>
        </w:numPr>
        <w:ind w:left="0" w:firstLine="0"/>
        <w:jc w:val="both"/>
        <w:rPr>
          <w:rFonts w:ascii="Times New Roman" w:eastAsia="Times New Roman" w:hAnsi="Times New Roman" w:cs="Times New Roman"/>
          <w:color w:val="222222"/>
        </w:rPr>
      </w:pPr>
      <w:r w:rsidRPr="00BC7BB5">
        <w:rPr>
          <w:rFonts w:ascii="Times New Roman" w:hAnsi="Times New Roman" w:cs="Times New Roman"/>
          <w:b/>
          <w:color w:val="222222"/>
        </w:rPr>
        <w:t>Food safety and quality are intricately connected</w:t>
      </w:r>
      <w:r w:rsidR="0011106D" w:rsidRPr="00BC7BB5">
        <w:rPr>
          <w:rFonts w:ascii="Times New Roman" w:hAnsi="Times New Roman" w:cs="Times New Roman"/>
          <w:b/>
          <w:color w:val="222222"/>
        </w:rPr>
        <w:t xml:space="preserve"> and essential elements to improve the added-value of agri-food products</w:t>
      </w:r>
      <w:r w:rsidRPr="00BC7BB5">
        <w:rPr>
          <w:rFonts w:ascii="Times New Roman" w:hAnsi="Times New Roman" w:cs="Times New Roman"/>
          <w:color w:val="222222"/>
        </w:rPr>
        <w:t xml:space="preserve">. Whereas food safety refers to all hazards that may </w:t>
      </w:r>
      <w:r w:rsidR="00F30B5E">
        <w:rPr>
          <w:rFonts w:ascii="Times New Roman" w:hAnsi="Times New Roman" w:cs="Times New Roman"/>
          <w:color w:val="222222"/>
        </w:rPr>
        <w:t>affect</w:t>
      </w:r>
      <w:r w:rsidRPr="00BC7BB5">
        <w:rPr>
          <w:rFonts w:ascii="Times New Roman" w:hAnsi="Times New Roman" w:cs="Times New Roman"/>
          <w:color w:val="222222"/>
        </w:rPr>
        <w:t xml:space="preserve"> the health of the consumers, quality includes all other attributes that influence a product’s value to the consumer. This includes both negative (such as spoilage, discoloration, odors etc.) and positive attributes (such as the origin, color, flavor, texture, and production or processing method of the food). Food safety can therefore not be viewed as a totally independent aspect from quality. However, the complexity of both concepts has brought the need of managing food safety and quality aspects separately.</w:t>
      </w:r>
    </w:p>
    <w:p w14:paraId="545F3DFF" w14:textId="77777777" w:rsidR="00C648F7" w:rsidRPr="00BC7BB5" w:rsidRDefault="00C648F7" w:rsidP="00C648F7">
      <w:pPr>
        <w:pStyle w:val="NoSpacing"/>
        <w:ind w:left="360"/>
        <w:jc w:val="both"/>
        <w:rPr>
          <w:rFonts w:ascii="Times New Roman" w:eastAsia="Times New Roman" w:hAnsi="Times New Roman" w:cs="Times New Roman"/>
          <w:color w:val="222222"/>
        </w:rPr>
      </w:pPr>
    </w:p>
    <w:p w14:paraId="6C6449F0" w14:textId="15106824" w:rsidR="00F52889" w:rsidRPr="00BC7BB5" w:rsidRDefault="00F30B5E" w:rsidP="00A6265D">
      <w:pPr>
        <w:pStyle w:val="NoSpacing"/>
        <w:jc w:val="both"/>
        <w:rPr>
          <w:rFonts w:ascii="Times New Roman" w:eastAsia="Times New Roman" w:hAnsi="Times New Roman" w:cs="Times New Roman"/>
          <w:b/>
          <w:i/>
          <w:color w:val="222222"/>
        </w:rPr>
      </w:pPr>
      <w:r>
        <w:rPr>
          <w:rFonts w:ascii="Times New Roman" w:eastAsia="Times New Roman" w:hAnsi="Times New Roman" w:cs="Times New Roman"/>
          <w:b/>
          <w:i/>
          <w:color w:val="222222"/>
        </w:rPr>
        <w:t>Improving food safety</w:t>
      </w:r>
    </w:p>
    <w:p w14:paraId="3EC29432" w14:textId="09AA8930" w:rsidR="00F52889" w:rsidRPr="00BC7BB5" w:rsidRDefault="00F52889" w:rsidP="00F52889">
      <w:pPr>
        <w:pStyle w:val="NoSpacing"/>
        <w:ind w:left="360"/>
        <w:jc w:val="both"/>
        <w:rPr>
          <w:rFonts w:ascii="Times New Roman" w:eastAsia="Times New Roman" w:hAnsi="Times New Roman" w:cs="Times New Roman"/>
          <w:color w:val="222222"/>
        </w:rPr>
      </w:pPr>
    </w:p>
    <w:p w14:paraId="1AD3A4FF" w14:textId="694245D2" w:rsidR="00592F4B" w:rsidRPr="00BC7BB5" w:rsidRDefault="00C648F7" w:rsidP="00F561E8">
      <w:pPr>
        <w:pStyle w:val="NoSpacing"/>
        <w:numPr>
          <w:ilvl w:val="0"/>
          <w:numId w:val="35"/>
        </w:numPr>
        <w:ind w:left="0" w:firstLine="0"/>
        <w:jc w:val="both"/>
        <w:rPr>
          <w:rFonts w:ascii="Times New Roman" w:eastAsia="Times New Roman" w:hAnsi="Times New Roman" w:cs="Times New Roman"/>
          <w:color w:val="222222"/>
        </w:rPr>
      </w:pPr>
      <w:r w:rsidRPr="00BC7BB5">
        <w:rPr>
          <w:rFonts w:ascii="Times New Roman" w:eastAsia="Times New Roman" w:hAnsi="Times New Roman" w:cs="Times New Roman"/>
          <w:b/>
          <w:color w:val="222222"/>
        </w:rPr>
        <w:t>T</w:t>
      </w:r>
      <w:r w:rsidR="007A08D1" w:rsidRPr="00BC7BB5">
        <w:rPr>
          <w:rFonts w:ascii="Times New Roman" w:eastAsia="Times New Roman" w:hAnsi="Times New Roman" w:cs="Times New Roman"/>
          <w:b/>
          <w:color w:val="222222"/>
        </w:rPr>
        <w:t xml:space="preserve">o take </w:t>
      </w:r>
      <w:r w:rsidRPr="00BC7BB5">
        <w:rPr>
          <w:rFonts w:ascii="Times New Roman" w:eastAsia="Times New Roman" w:hAnsi="Times New Roman" w:cs="Times New Roman"/>
          <w:b/>
          <w:color w:val="222222"/>
        </w:rPr>
        <w:t>advantage of export opportunities for its agri-food products, Morocco needs to comply with importing countries' mandatory requirements with regards to food safety</w:t>
      </w:r>
      <w:r w:rsidRPr="00BC7BB5">
        <w:rPr>
          <w:rFonts w:ascii="Times New Roman" w:eastAsia="Times New Roman" w:hAnsi="Times New Roman" w:cs="Times New Roman"/>
          <w:color w:val="222222"/>
        </w:rPr>
        <w:t xml:space="preserve">. </w:t>
      </w:r>
      <w:r w:rsidRPr="00BC7BB5">
        <w:rPr>
          <w:rFonts w:ascii="Times New Roman" w:hAnsi="Times New Roman" w:cs="Times New Roman"/>
          <w:color w:val="000000" w:themeColor="text1"/>
        </w:rPr>
        <w:t>Sanitary and phytosanitary (SPS</w:t>
      </w:r>
      <w:r w:rsidRPr="00BC7BB5">
        <w:rPr>
          <w:rFonts w:ascii="Times New Roman" w:hAnsi="Times New Roman" w:cs="Times New Roman"/>
          <w:color w:val="000000" w:themeColor="text1"/>
        </w:rPr>
        <w:fldChar w:fldCharType="begin"/>
      </w:r>
      <w:r w:rsidRPr="00BC7BB5">
        <w:instrText xml:space="preserve"> XE "</w:instrText>
      </w:r>
      <w:r w:rsidRPr="00BC7BB5">
        <w:rPr>
          <w:rFonts w:ascii="Times New Roman" w:hAnsi="Times New Roman" w:cs="Times New Roman"/>
          <w:color w:val="000000" w:themeColor="text1"/>
        </w:rPr>
        <w:instrText>SPS:</w:instrText>
      </w:r>
      <w:r w:rsidRPr="00BC7BB5">
        <w:instrText xml:space="preserve">Sanitary and phytosanitary" </w:instrText>
      </w:r>
      <w:r w:rsidRPr="00BC7BB5">
        <w:rPr>
          <w:rFonts w:ascii="Times New Roman" w:hAnsi="Times New Roman" w:cs="Times New Roman"/>
          <w:color w:val="000000" w:themeColor="text1"/>
        </w:rPr>
        <w:fldChar w:fldCharType="end"/>
      </w:r>
      <w:r w:rsidRPr="00BC7BB5">
        <w:rPr>
          <w:rFonts w:ascii="Times New Roman" w:hAnsi="Times New Roman" w:cs="Times New Roman"/>
          <w:color w:val="000000" w:themeColor="text1"/>
        </w:rPr>
        <w:t>) measures have become the most significant non-tariff barriers to accessing export markets. Compliance with international food safety standards has become a pre-condition for producers and manufacturers to entering major export markets (such as the EU</w:t>
      </w:r>
      <w:r w:rsidRPr="00BC7BB5">
        <w:rPr>
          <w:rFonts w:ascii="Times New Roman" w:hAnsi="Times New Roman" w:cs="Times New Roman"/>
          <w:color w:val="000000" w:themeColor="text1"/>
        </w:rPr>
        <w:fldChar w:fldCharType="begin"/>
      </w:r>
      <w:r w:rsidRPr="00BC7BB5">
        <w:instrText xml:space="preserve"> XE "</w:instrText>
      </w:r>
      <w:r w:rsidRPr="00BC7BB5">
        <w:rPr>
          <w:rFonts w:ascii="Times New Roman" w:hAnsi="Times New Roman" w:cs="Times New Roman"/>
          <w:color w:val="000000" w:themeColor="text1"/>
        </w:rPr>
        <w:instrText>EU:</w:instrText>
      </w:r>
      <w:r w:rsidRPr="00BC7BB5">
        <w:instrText xml:space="preserve">European Union" </w:instrText>
      </w:r>
      <w:r w:rsidRPr="00BC7BB5">
        <w:rPr>
          <w:rFonts w:ascii="Times New Roman" w:hAnsi="Times New Roman" w:cs="Times New Roman"/>
          <w:color w:val="000000" w:themeColor="text1"/>
        </w:rPr>
        <w:fldChar w:fldCharType="end"/>
      </w:r>
      <w:r w:rsidRPr="00BC7BB5">
        <w:rPr>
          <w:rFonts w:ascii="Times New Roman" w:hAnsi="Times New Roman" w:cs="Times New Roman"/>
          <w:color w:val="000000" w:themeColor="text1"/>
        </w:rPr>
        <w:t xml:space="preserve">, the US, Canada and the Russian Federation in the case of Moroccan exports). </w:t>
      </w:r>
      <w:r w:rsidRPr="00BC7BB5">
        <w:rPr>
          <w:rFonts w:ascii="Times New Roman" w:eastAsia="Times New Roman" w:hAnsi="Times New Roman" w:cs="Times New Roman"/>
          <w:color w:val="222222"/>
        </w:rPr>
        <w:t>Those requirements have been a driving force for the integration of various services dealing with food safety in Morocco into a single food safety agency, overseeing food safety for the entire food chain, the National Food Safety Authority (</w:t>
      </w:r>
      <w:r w:rsidRPr="00BC7BB5">
        <w:rPr>
          <w:rFonts w:ascii="Times New Roman" w:eastAsia="Times New Roman" w:hAnsi="Times New Roman" w:cs="Times New Roman"/>
          <w:i/>
          <w:color w:val="222222"/>
        </w:rPr>
        <w:t>Office National pour la Sécurité Sanitaire des Aliments</w:t>
      </w:r>
      <w:r w:rsidRPr="00BC7BB5">
        <w:rPr>
          <w:rFonts w:ascii="Times New Roman" w:eastAsia="Times New Roman" w:hAnsi="Times New Roman" w:cs="Times New Roman"/>
          <w:color w:val="222222"/>
        </w:rPr>
        <w:t xml:space="preserve">) - ONSSA. </w:t>
      </w:r>
      <w:r w:rsidRPr="00BC7BB5">
        <w:rPr>
          <w:rFonts w:ascii="Times New Roman" w:hAnsi="Times New Roman" w:cs="Times New Roman"/>
          <w:color w:val="222222"/>
        </w:rPr>
        <w:t>Created by Law 25-08 of 18 February 2009, ONSSA is an autonomous agency placed under the authority of the Minister of Agriculture and Marine Fisheries (MAPM</w:t>
      </w:r>
      <w:r w:rsidR="00535722">
        <w:rPr>
          <w:rFonts w:ascii="Times New Roman" w:hAnsi="Times New Roman" w:cs="Times New Roman"/>
          <w:color w:val="222222"/>
        </w:rPr>
        <w:fldChar w:fldCharType="begin"/>
      </w:r>
      <w:r w:rsidR="00535722">
        <w:instrText xml:space="preserve"> XE "</w:instrText>
      </w:r>
      <w:r w:rsidR="00535722" w:rsidRPr="00EA70E7">
        <w:rPr>
          <w:rFonts w:ascii="Times New Roman" w:hAnsi="Times New Roman" w:cs="Times New Roman"/>
          <w:color w:val="222222"/>
        </w:rPr>
        <w:instrText>MAPM:</w:instrText>
      </w:r>
      <w:r w:rsidR="00535722" w:rsidRPr="00EA70E7">
        <w:instrText>Minister of Agriculture and Marine Fisheries</w:instrText>
      </w:r>
      <w:r w:rsidR="00535722">
        <w:instrText xml:space="preserve">" </w:instrText>
      </w:r>
      <w:r w:rsidR="00535722">
        <w:rPr>
          <w:rFonts w:ascii="Times New Roman" w:hAnsi="Times New Roman" w:cs="Times New Roman"/>
          <w:color w:val="222222"/>
        </w:rPr>
        <w:fldChar w:fldCharType="end"/>
      </w:r>
      <w:r w:rsidRPr="00BC7BB5">
        <w:rPr>
          <w:rFonts w:ascii="Times New Roman" w:hAnsi="Times New Roman" w:cs="Times New Roman"/>
          <w:color w:val="222222"/>
        </w:rPr>
        <w:t>). Its integrated structure is in line with best practice at international level which recommends that each country should have a single coordinating agency for food safety control "from farm to fork”</w:t>
      </w:r>
      <w:r w:rsidR="007A08D1" w:rsidRPr="00BC7BB5">
        <w:rPr>
          <w:rFonts w:ascii="Times New Roman" w:hAnsi="Times New Roman" w:cs="Times New Roman"/>
          <w:color w:val="222222"/>
        </w:rPr>
        <w:t>.</w:t>
      </w:r>
    </w:p>
    <w:p w14:paraId="7656B4E8" w14:textId="77777777" w:rsidR="009B61F3" w:rsidRPr="00BC7BB5" w:rsidRDefault="009B61F3" w:rsidP="009B61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eastAsia="Times New Roman" w:hAnsi="Times New Roman" w:cs="Times New Roman"/>
          <w:color w:val="222222"/>
        </w:rPr>
      </w:pPr>
    </w:p>
    <w:p w14:paraId="00949D6D" w14:textId="3A87E034" w:rsidR="00444236" w:rsidRPr="00BC7BB5" w:rsidRDefault="009B61F3" w:rsidP="00F561E8">
      <w:pPr>
        <w:pStyle w:val="NoSpacing"/>
        <w:numPr>
          <w:ilvl w:val="0"/>
          <w:numId w:val="35"/>
        </w:numPr>
        <w:ind w:left="0" w:firstLine="0"/>
        <w:jc w:val="both"/>
        <w:rPr>
          <w:rFonts w:ascii="Times New Roman" w:hAnsi="Times New Roman" w:cs="Times New Roman"/>
        </w:rPr>
      </w:pPr>
      <w:r w:rsidRPr="00BC7BB5">
        <w:rPr>
          <w:rFonts w:ascii="Times New Roman" w:hAnsi="Times New Roman" w:cs="Times New Roman"/>
          <w:b/>
          <w:color w:val="222222"/>
        </w:rPr>
        <w:t>ONSSA is generally considered at international level as a credible official agency for all aspects concerning the safety of agri-food products in Morocco</w:t>
      </w:r>
      <w:r w:rsidRPr="00BC7BB5">
        <w:rPr>
          <w:rFonts w:ascii="Times New Roman" w:hAnsi="Times New Roman" w:cs="Times New Roman"/>
          <w:color w:val="222222"/>
        </w:rPr>
        <w:t xml:space="preserve">. Since its creation and the adoption of Law no. 28-07 of 11 February 2010, which empowers it to carry out its mandate, ONSSA has adopted a number of decrees so that Moroccan </w:t>
      </w:r>
      <w:r w:rsidR="00C648F7" w:rsidRPr="00BC7BB5">
        <w:rPr>
          <w:rFonts w:ascii="Times New Roman" w:hAnsi="Times New Roman" w:cs="Times New Roman"/>
          <w:color w:val="222222"/>
        </w:rPr>
        <w:t xml:space="preserve">food safety </w:t>
      </w:r>
      <w:r w:rsidRPr="00BC7BB5">
        <w:rPr>
          <w:rFonts w:ascii="Times New Roman" w:hAnsi="Times New Roman" w:cs="Times New Roman"/>
          <w:color w:val="222222"/>
        </w:rPr>
        <w:t>regulation</w:t>
      </w:r>
      <w:r w:rsidR="00C648F7" w:rsidRPr="00BC7BB5">
        <w:rPr>
          <w:rFonts w:ascii="Times New Roman" w:hAnsi="Times New Roman" w:cs="Times New Roman"/>
          <w:color w:val="222222"/>
        </w:rPr>
        <w:t>s</w:t>
      </w:r>
      <w:r w:rsidRPr="00BC7BB5">
        <w:rPr>
          <w:rFonts w:ascii="Times New Roman" w:hAnsi="Times New Roman" w:cs="Times New Roman"/>
          <w:color w:val="222222"/>
        </w:rPr>
        <w:t xml:space="preserve"> </w:t>
      </w:r>
      <w:r w:rsidR="00C648F7" w:rsidRPr="00BC7BB5">
        <w:rPr>
          <w:rFonts w:ascii="Times New Roman" w:hAnsi="Times New Roman" w:cs="Times New Roman"/>
          <w:color w:val="222222"/>
        </w:rPr>
        <w:t xml:space="preserve">have </w:t>
      </w:r>
      <w:r w:rsidRPr="00BC7BB5">
        <w:rPr>
          <w:rFonts w:ascii="Times New Roman" w:hAnsi="Times New Roman" w:cs="Times New Roman"/>
          <w:color w:val="222222"/>
        </w:rPr>
        <w:t xml:space="preserve">practically incorporated much of the recent </w:t>
      </w:r>
      <w:r w:rsidR="00535722">
        <w:rPr>
          <w:rFonts w:ascii="Times New Roman" w:hAnsi="Times New Roman" w:cs="Times New Roman"/>
          <w:color w:val="222222"/>
        </w:rPr>
        <w:t>EU</w:t>
      </w:r>
      <w:r w:rsidRPr="00BC7BB5">
        <w:rPr>
          <w:rFonts w:ascii="Times New Roman" w:hAnsi="Times New Roman" w:cs="Times New Roman"/>
          <w:color w:val="222222"/>
        </w:rPr>
        <w:t xml:space="preserve"> law in this area. As for its strategy, the Office is working on the implementation of its 2015-2020 business plan. From the outset, it opted for a quality management system integrated at all levels of the organization: ISO 9001 for central administration and all regional directorates, ISO 17020 for regional inspection services and ISO 17025 for laboratories.</w:t>
      </w:r>
    </w:p>
    <w:p w14:paraId="4ADAEFD9" w14:textId="77777777" w:rsidR="009B61F3" w:rsidRPr="00BC7BB5" w:rsidRDefault="009B61F3" w:rsidP="008C3E21">
      <w:pPr>
        <w:pStyle w:val="ListParagraph"/>
        <w:spacing w:after="0" w:line="240" w:lineRule="auto"/>
        <w:rPr>
          <w:rFonts w:ascii="Times New Roman" w:hAnsi="Times New Roman" w:cs="Times New Roman"/>
        </w:rPr>
      </w:pPr>
    </w:p>
    <w:p w14:paraId="645766B2" w14:textId="3D0342A2" w:rsidR="009B61F3" w:rsidRPr="00BC7BB5" w:rsidRDefault="009B61F3" w:rsidP="00F561E8">
      <w:pPr>
        <w:pStyle w:val="NoSpacing"/>
        <w:numPr>
          <w:ilvl w:val="0"/>
          <w:numId w:val="35"/>
        </w:numPr>
        <w:ind w:left="0" w:firstLine="0"/>
        <w:jc w:val="both"/>
        <w:rPr>
          <w:rFonts w:ascii="Times New Roman" w:hAnsi="Times New Roman" w:cs="Times New Roman"/>
        </w:rPr>
      </w:pPr>
      <w:r w:rsidRPr="00BC7BB5">
        <w:rPr>
          <w:rFonts w:ascii="Times New Roman" w:eastAsia="Times New Roman" w:hAnsi="Times New Roman" w:cs="Times New Roman"/>
          <w:b/>
          <w:color w:val="222222"/>
        </w:rPr>
        <w:t xml:space="preserve">While it is operational since 2010, ONSSA is confronted with </w:t>
      </w:r>
      <w:r w:rsidR="00C648F7" w:rsidRPr="00BC7BB5">
        <w:rPr>
          <w:rFonts w:ascii="Times New Roman" w:eastAsia="Times New Roman" w:hAnsi="Times New Roman" w:cs="Times New Roman"/>
          <w:b/>
          <w:color w:val="222222"/>
        </w:rPr>
        <w:t xml:space="preserve">a </w:t>
      </w:r>
      <w:r w:rsidRPr="00BC7BB5">
        <w:rPr>
          <w:rFonts w:ascii="Times New Roman" w:eastAsia="Times New Roman" w:hAnsi="Times New Roman" w:cs="Times New Roman"/>
          <w:b/>
          <w:color w:val="222222"/>
        </w:rPr>
        <w:t>multiplicity of operators active in the agri-food sector and, in particular, the substantial size of the informal sector</w:t>
      </w:r>
      <w:r w:rsidRPr="00BC7BB5">
        <w:rPr>
          <w:rFonts w:ascii="Times New Roman" w:eastAsia="Times New Roman" w:hAnsi="Times New Roman" w:cs="Times New Roman"/>
          <w:color w:val="222222"/>
        </w:rPr>
        <w:t xml:space="preserve">.  </w:t>
      </w:r>
      <w:r w:rsidRPr="00BC7BB5">
        <w:rPr>
          <w:rFonts w:ascii="Times New Roman" w:hAnsi="Times New Roman" w:cs="Times New Roman"/>
          <w:color w:val="222222"/>
        </w:rPr>
        <w:t xml:space="preserve">The main difficulties encountered by the Office are the informal culture and the resistance to change that persists in the agri-food sector, except for exporters who are aware that alignment with international </w:t>
      </w:r>
      <w:r w:rsidR="00C648F7" w:rsidRPr="00BC7BB5">
        <w:rPr>
          <w:rFonts w:ascii="Times New Roman" w:hAnsi="Times New Roman" w:cs="Times New Roman"/>
          <w:color w:val="222222"/>
        </w:rPr>
        <w:t xml:space="preserve">standards </w:t>
      </w:r>
      <w:r w:rsidRPr="00BC7BB5">
        <w:rPr>
          <w:rFonts w:ascii="Times New Roman" w:hAnsi="Times New Roman" w:cs="Times New Roman"/>
          <w:color w:val="222222"/>
        </w:rPr>
        <w:t xml:space="preserve">is a condition for the development of exports. Faced with this, ONSSA acts with caution in its enforcement tasks so as not to jeopardize entire sections of the </w:t>
      </w:r>
      <w:r w:rsidR="00C648F7" w:rsidRPr="00BC7BB5">
        <w:rPr>
          <w:rFonts w:ascii="Times New Roman" w:hAnsi="Times New Roman" w:cs="Times New Roman"/>
          <w:color w:val="222222"/>
        </w:rPr>
        <w:t xml:space="preserve">local </w:t>
      </w:r>
      <w:r w:rsidRPr="00BC7BB5">
        <w:rPr>
          <w:rFonts w:ascii="Times New Roman" w:hAnsi="Times New Roman" w:cs="Times New Roman"/>
          <w:color w:val="222222"/>
        </w:rPr>
        <w:t>economy. Progress on the ground is visible but slow</w:t>
      </w:r>
      <w:r w:rsidR="005452B4" w:rsidRPr="00BC7BB5">
        <w:rPr>
          <w:rFonts w:ascii="Times New Roman" w:hAnsi="Times New Roman" w:cs="Times New Roman"/>
          <w:color w:val="222222"/>
        </w:rPr>
        <w:t xml:space="preserve">. </w:t>
      </w:r>
    </w:p>
    <w:p w14:paraId="7D4905C3" w14:textId="77777777" w:rsidR="005A26FB" w:rsidRPr="00BC7BB5" w:rsidRDefault="005A26FB" w:rsidP="005A26FB">
      <w:pPr>
        <w:pStyle w:val="ListParagraph"/>
        <w:spacing w:after="0" w:line="240" w:lineRule="auto"/>
        <w:rPr>
          <w:rFonts w:ascii="Times New Roman" w:hAnsi="Times New Roman" w:cs="Times New Roman"/>
        </w:rPr>
      </w:pPr>
    </w:p>
    <w:p w14:paraId="37C9C330" w14:textId="235092A3" w:rsidR="005A26FB" w:rsidRPr="00BC7BB5" w:rsidRDefault="005A26FB" w:rsidP="00F561E8">
      <w:pPr>
        <w:pStyle w:val="NoSpacing"/>
        <w:numPr>
          <w:ilvl w:val="0"/>
          <w:numId w:val="35"/>
        </w:numPr>
        <w:ind w:left="0" w:firstLine="0"/>
        <w:jc w:val="both"/>
        <w:rPr>
          <w:rFonts w:ascii="Times New Roman" w:hAnsi="Times New Roman" w:cs="Times New Roman"/>
        </w:rPr>
      </w:pPr>
      <w:r w:rsidRPr="00BC7BB5">
        <w:rPr>
          <w:rFonts w:ascii="Times New Roman" w:eastAsia="Times New Roman" w:hAnsi="Times New Roman" w:cs="Times New Roman"/>
          <w:color w:val="222222"/>
        </w:rPr>
        <w:t>The activities selecte</w:t>
      </w:r>
      <w:r w:rsidR="0029414A">
        <w:rPr>
          <w:rFonts w:ascii="Times New Roman" w:eastAsia="Times New Roman" w:hAnsi="Times New Roman" w:cs="Times New Roman"/>
          <w:color w:val="222222"/>
        </w:rPr>
        <w:t>d for support under the</w:t>
      </w:r>
      <w:r w:rsidRPr="00BC7BB5">
        <w:rPr>
          <w:rFonts w:ascii="Times New Roman" w:eastAsia="Times New Roman" w:hAnsi="Times New Roman" w:cs="Times New Roman"/>
          <w:color w:val="222222"/>
        </w:rPr>
        <w:t xml:space="preserve"> Program would aim at addressing critical areas for the improvement of food safety in Morocco, thereby accelerating the implementation of the key provision of Law 25-08. In line with international experience, and considering the relatively low awareness of </w:t>
      </w:r>
      <w:r w:rsidR="000B21B3" w:rsidRPr="00BC7BB5">
        <w:rPr>
          <w:rFonts w:ascii="Times New Roman" w:eastAsia="Times New Roman" w:hAnsi="Times New Roman" w:cs="Times New Roman"/>
          <w:color w:val="222222"/>
        </w:rPr>
        <w:t xml:space="preserve">Moroccan </w:t>
      </w:r>
      <w:r w:rsidRPr="00BC7BB5">
        <w:rPr>
          <w:rFonts w:ascii="Times New Roman" w:eastAsia="Times New Roman" w:hAnsi="Times New Roman" w:cs="Times New Roman"/>
          <w:color w:val="222222"/>
        </w:rPr>
        <w:t>consumers about food safety issues, the Program includes actions targeting both the demand</w:t>
      </w:r>
      <w:r w:rsidR="00F30B5E">
        <w:rPr>
          <w:rFonts w:ascii="Times New Roman" w:eastAsia="Times New Roman" w:hAnsi="Times New Roman" w:cs="Times New Roman"/>
          <w:color w:val="222222"/>
        </w:rPr>
        <w:t xml:space="preserve"> </w:t>
      </w:r>
      <w:r w:rsidRPr="00BC7BB5">
        <w:rPr>
          <w:rFonts w:ascii="Times New Roman" w:eastAsia="Times New Roman" w:hAnsi="Times New Roman" w:cs="Times New Roman"/>
          <w:color w:val="222222"/>
        </w:rPr>
        <w:t>side (consumer demand for safe products) and the supply</w:t>
      </w:r>
      <w:r w:rsidR="00F30B5E">
        <w:rPr>
          <w:rFonts w:ascii="Times New Roman" w:eastAsia="Times New Roman" w:hAnsi="Times New Roman" w:cs="Times New Roman"/>
          <w:color w:val="222222"/>
        </w:rPr>
        <w:t xml:space="preserve"> </w:t>
      </w:r>
      <w:r w:rsidRPr="00BC7BB5">
        <w:rPr>
          <w:rFonts w:ascii="Times New Roman" w:eastAsia="Times New Roman" w:hAnsi="Times New Roman" w:cs="Times New Roman"/>
          <w:color w:val="222222"/>
        </w:rPr>
        <w:t>side (agri-food producers and processors’ compliance with food safety requirements), while also strengthening the capacity of ONSSA to carry out its mandate</w:t>
      </w:r>
      <w:r w:rsidR="00BB5098" w:rsidRPr="00BC7BB5">
        <w:rPr>
          <w:rFonts w:ascii="Times New Roman" w:eastAsia="Times New Roman" w:hAnsi="Times New Roman" w:cs="Times New Roman"/>
          <w:color w:val="222222"/>
        </w:rPr>
        <w:t>:</w:t>
      </w:r>
    </w:p>
    <w:p w14:paraId="6C6522A9" w14:textId="77777777" w:rsidR="00FF1F7A" w:rsidRPr="00BC7BB5" w:rsidRDefault="00FF1F7A" w:rsidP="008C3E21">
      <w:pPr>
        <w:pStyle w:val="NoSpacing"/>
        <w:jc w:val="both"/>
        <w:rPr>
          <w:rFonts w:ascii="Times New Roman" w:eastAsia="Times New Roman" w:hAnsi="Times New Roman" w:cs="Times New Roman"/>
          <w:color w:val="222222"/>
        </w:rPr>
      </w:pPr>
    </w:p>
    <w:p w14:paraId="49B67C05" w14:textId="23CE9C28" w:rsidR="00BB5098" w:rsidRPr="00BC7BB5" w:rsidRDefault="00BB5098" w:rsidP="00F561E8">
      <w:pPr>
        <w:pStyle w:val="NoSpacing"/>
        <w:numPr>
          <w:ilvl w:val="0"/>
          <w:numId w:val="35"/>
        </w:numPr>
        <w:ind w:left="0" w:firstLine="0"/>
        <w:jc w:val="both"/>
        <w:rPr>
          <w:rFonts w:ascii="Times New Roman" w:eastAsia="Times New Roman" w:hAnsi="Times New Roman" w:cs="Times New Roman"/>
          <w:color w:val="222222"/>
        </w:rPr>
      </w:pPr>
      <w:r w:rsidRPr="00A6265D">
        <w:rPr>
          <w:rFonts w:ascii="Times New Roman" w:eastAsia="Times New Roman" w:hAnsi="Times New Roman" w:cs="Times New Roman"/>
          <w:b/>
          <w:color w:val="222222"/>
        </w:rPr>
        <w:lastRenderedPageBreak/>
        <w:t>Census of agri-food operators and support for compliance with food safety standards</w:t>
      </w:r>
      <w:r w:rsidR="00F30B5E">
        <w:rPr>
          <w:rFonts w:ascii="Times New Roman" w:eastAsia="Times New Roman" w:hAnsi="Times New Roman" w:cs="Times New Roman"/>
          <w:b/>
          <w:color w:val="222222"/>
        </w:rPr>
        <w:t>.</w:t>
      </w:r>
      <w:r w:rsidR="00F30B5E" w:rsidRPr="00BC7BB5">
        <w:rPr>
          <w:rFonts w:ascii="Times New Roman" w:eastAsia="Times New Roman" w:hAnsi="Times New Roman" w:cs="Times New Roman"/>
          <w:color w:val="222222"/>
        </w:rPr>
        <w:t xml:space="preserve"> </w:t>
      </w:r>
      <w:r w:rsidRPr="00BC7BB5">
        <w:rPr>
          <w:rFonts w:ascii="Times New Roman" w:eastAsia="Times New Roman" w:hAnsi="Times New Roman" w:cs="Times New Roman"/>
          <w:color w:val="222222"/>
        </w:rPr>
        <w:t xml:space="preserve">The objective of </w:t>
      </w:r>
      <w:r w:rsidR="000B21B3" w:rsidRPr="00BC7BB5">
        <w:rPr>
          <w:rFonts w:ascii="Times New Roman" w:eastAsia="Times New Roman" w:hAnsi="Times New Roman" w:cs="Times New Roman"/>
          <w:color w:val="222222"/>
        </w:rPr>
        <w:t>improving the safety of agri-</w:t>
      </w:r>
      <w:r w:rsidR="00413383" w:rsidRPr="00BC7BB5">
        <w:rPr>
          <w:rFonts w:ascii="Times New Roman" w:eastAsia="Times New Roman" w:hAnsi="Times New Roman" w:cs="Times New Roman"/>
          <w:color w:val="222222"/>
        </w:rPr>
        <w:t xml:space="preserve">food </w:t>
      </w:r>
      <w:r w:rsidR="000B21B3" w:rsidRPr="00BC7BB5">
        <w:rPr>
          <w:rFonts w:ascii="Times New Roman" w:eastAsia="Times New Roman" w:hAnsi="Times New Roman" w:cs="Times New Roman"/>
          <w:color w:val="222222"/>
        </w:rPr>
        <w:t>products cannot be met without good knowledge of the economic operators by ONSSA. The current database of those operators at the ONSSA level is incomplete and many small and medium-sized enterprises (SMEs) are still poorly equipped to meet regulatory food safety requirements and to obtain the related authorizations from ONSSA. The Program would therefore finance both</w:t>
      </w:r>
      <w:r w:rsidR="00F30B5E">
        <w:rPr>
          <w:rFonts w:ascii="Times New Roman" w:eastAsia="Times New Roman" w:hAnsi="Times New Roman" w:cs="Times New Roman"/>
          <w:color w:val="222222"/>
        </w:rPr>
        <w:t>:</w:t>
      </w:r>
      <w:r w:rsidR="000B21B3" w:rsidRPr="00BC7BB5">
        <w:rPr>
          <w:rFonts w:ascii="Times New Roman" w:eastAsia="Times New Roman" w:hAnsi="Times New Roman" w:cs="Times New Roman"/>
          <w:color w:val="222222"/>
        </w:rPr>
        <w:t xml:space="preserve"> (a) a census of agri-food enterprises, starting with those involved with olive trituration and the processing of citrus, and (b) technical support to those enterprises to enable them to meet food safety requirements and obtain the related </w:t>
      </w:r>
      <w:r w:rsidRPr="00BC7BB5">
        <w:rPr>
          <w:rFonts w:ascii="Times New Roman" w:eastAsia="Times New Roman" w:hAnsi="Times New Roman" w:cs="Times New Roman"/>
          <w:color w:val="222222"/>
        </w:rPr>
        <w:t>authorizations.</w:t>
      </w:r>
    </w:p>
    <w:p w14:paraId="7B6F7721" w14:textId="77777777" w:rsidR="00FF1F7A" w:rsidRPr="00BC7BB5" w:rsidRDefault="00FF1F7A" w:rsidP="008C3E21">
      <w:pPr>
        <w:pStyle w:val="NoSpacing"/>
        <w:jc w:val="both"/>
        <w:rPr>
          <w:rFonts w:ascii="Times New Roman" w:eastAsia="Times New Roman" w:hAnsi="Times New Roman" w:cs="Times New Roman"/>
          <w:color w:val="222222"/>
        </w:rPr>
      </w:pPr>
    </w:p>
    <w:p w14:paraId="10AB9AB3" w14:textId="056AF8FB" w:rsidR="00BB5098" w:rsidRPr="00BC7BB5" w:rsidRDefault="00BB5098" w:rsidP="00F561E8">
      <w:pPr>
        <w:pStyle w:val="NoSpacing"/>
        <w:numPr>
          <w:ilvl w:val="0"/>
          <w:numId w:val="35"/>
        </w:numPr>
        <w:ind w:left="0" w:firstLine="0"/>
        <w:jc w:val="both"/>
        <w:rPr>
          <w:rFonts w:ascii="Times New Roman" w:eastAsia="Times New Roman" w:hAnsi="Times New Roman" w:cs="Times New Roman"/>
          <w:color w:val="222222"/>
        </w:rPr>
      </w:pPr>
      <w:r w:rsidRPr="00A6265D">
        <w:rPr>
          <w:rFonts w:ascii="Times New Roman" w:eastAsia="Times New Roman" w:hAnsi="Times New Roman" w:cs="Times New Roman"/>
          <w:b/>
          <w:color w:val="222222"/>
        </w:rPr>
        <w:t>Accelerating the broad adoption of the producers’ register of agricultural inputs</w:t>
      </w:r>
      <w:r w:rsidR="00F30B5E">
        <w:rPr>
          <w:rFonts w:ascii="Times New Roman" w:eastAsia="Times New Roman" w:hAnsi="Times New Roman" w:cs="Times New Roman"/>
          <w:b/>
          <w:color w:val="222222"/>
        </w:rPr>
        <w:t>.</w:t>
      </w:r>
      <w:r w:rsidR="00F30B5E" w:rsidRPr="00BC7BB5">
        <w:rPr>
          <w:rFonts w:ascii="Times New Roman" w:eastAsia="Times New Roman" w:hAnsi="Times New Roman" w:cs="Times New Roman"/>
          <w:color w:val="222222"/>
        </w:rPr>
        <w:t xml:space="preserve"> </w:t>
      </w:r>
      <w:r w:rsidR="000B21B3" w:rsidRPr="00BC7BB5">
        <w:rPr>
          <w:rFonts w:ascii="Times New Roman" w:eastAsia="Times New Roman" w:hAnsi="Times New Roman" w:cs="Times New Roman"/>
          <w:color w:val="222222"/>
        </w:rPr>
        <w:t>Among the requirements imposed on agricultural producers is the traceability of their products and of their mode of production, including the identification of agricultural inputs used. This is a prerequisite for access to export markets (in particular, Morocco’s main export markets, the European Union and the US), and to be able to fulfill the mandatory specifications, in particular, of large supermarkets. The region of Souss-Massa, which accounts for 40 percent of the national production of fruits and vegetables and 70 percent of the volume exported, is central to the development of an export-oriented fruit and vegetables sub-sector. While ONSSA estimates that approximately 3,000 producers of citrus of this region respect the legal obligation to keep an agricultural input register, many others do not and thus are left out of growing export mark</w:t>
      </w:r>
      <w:r w:rsidR="0029414A">
        <w:rPr>
          <w:rFonts w:ascii="Times New Roman" w:eastAsia="Times New Roman" w:hAnsi="Times New Roman" w:cs="Times New Roman"/>
          <w:color w:val="222222"/>
        </w:rPr>
        <w:t>et opportunities. The P</w:t>
      </w:r>
      <w:r w:rsidR="000B21B3" w:rsidRPr="00BC7BB5">
        <w:rPr>
          <w:rFonts w:ascii="Times New Roman" w:eastAsia="Times New Roman" w:hAnsi="Times New Roman" w:cs="Times New Roman"/>
          <w:color w:val="222222"/>
        </w:rPr>
        <w:t>rogram would finance awareness-raising and technical assistance activities (covering the rational use of pesticides and fertilizers, including commercial requirements with respect to residues) for those (often) smaller producers and their associations to eventually reach a target of 70 percent of producers implementing the agricultural inputs register requirements</w:t>
      </w:r>
      <w:r w:rsidRPr="00BC7BB5">
        <w:rPr>
          <w:rFonts w:ascii="Times New Roman" w:eastAsia="Times New Roman" w:hAnsi="Times New Roman" w:cs="Times New Roman"/>
          <w:color w:val="222222"/>
        </w:rPr>
        <w:t>.</w:t>
      </w:r>
    </w:p>
    <w:p w14:paraId="225A7D27" w14:textId="77777777" w:rsidR="00BB5098" w:rsidRPr="00BC7BB5" w:rsidRDefault="00BB5098" w:rsidP="008C3E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222"/>
        </w:rPr>
      </w:pPr>
      <w:r w:rsidRPr="00BC7BB5">
        <w:rPr>
          <w:rFonts w:ascii="Times New Roman" w:eastAsia="Times New Roman" w:hAnsi="Times New Roman" w:cs="Times New Roman"/>
          <w:color w:val="222222"/>
        </w:rPr>
        <w:t xml:space="preserve"> </w:t>
      </w:r>
    </w:p>
    <w:p w14:paraId="047FF685" w14:textId="0A3C2CF5" w:rsidR="00BB5098" w:rsidRPr="00BC7BB5" w:rsidRDefault="00BB5098" w:rsidP="00F561E8">
      <w:pPr>
        <w:pStyle w:val="NoSpacing"/>
        <w:numPr>
          <w:ilvl w:val="0"/>
          <w:numId w:val="35"/>
        </w:numPr>
        <w:ind w:left="0" w:firstLine="0"/>
        <w:jc w:val="both"/>
        <w:rPr>
          <w:rFonts w:ascii="Times New Roman" w:eastAsia="Times New Roman" w:hAnsi="Times New Roman" w:cs="Times New Roman"/>
          <w:color w:val="222222"/>
        </w:rPr>
      </w:pPr>
      <w:r w:rsidRPr="00A6265D">
        <w:rPr>
          <w:rFonts w:ascii="Times New Roman" w:hAnsi="Times New Roman" w:cs="Times New Roman"/>
          <w:b/>
          <w:color w:val="222222"/>
        </w:rPr>
        <w:t>Increasing awareness about food safety</w:t>
      </w:r>
      <w:r w:rsidR="00F30B5E">
        <w:rPr>
          <w:rFonts w:ascii="Times New Roman" w:hAnsi="Times New Roman" w:cs="Times New Roman"/>
          <w:color w:val="222222"/>
        </w:rPr>
        <w:t>.</w:t>
      </w:r>
      <w:r w:rsidR="00F30B5E" w:rsidRPr="00BC7BB5">
        <w:rPr>
          <w:rFonts w:ascii="Times New Roman" w:hAnsi="Times New Roman" w:cs="Times New Roman"/>
          <w:color w:val="222222"/>
        </w:rPr>
        <w:t xml:space="preserve"> </w:t>
      </w:r>
      <w:r w:rsidR="00650228" w:rsidRPr="00BC7BB5">
        <w:rPr>
          <w:rFonts w:ascii="Times New Roman" w:hAnsi="Times New Roman" w:cs="Times New Roman"/>
          <w:color w:val="222222"/>
        </w:rPr>
        <w:t>Since the Food Safety Act No. 28-07 is fairly recent (</w:t>
      </w:r>
      <w:r w:rsidR="00EC0483" w:rsidRPr="00BC7BB5">
        <w:rPr>
          <w:rFonts w:ascii="Times New Roman" w:hAnsi="Times New Roman" w:cs="Times New Roman"/>
          <w:color w:val="222222"/>
        </w:rPr>
        <w:t>20</w:t>
      </w:r>
      <w:r w:rsidR="00EC0483">
        <w:rPr>
          <w:rFonts w:ascii="Times New Roman" w:hAnsi="Times New Roman" w:cs="Times New Roman"/>
          <w:color w:val="222222"/>
        </w:rPr>
        <w:t>08</w:t>
      </w:r>
      <w:r w:rsidR="00650228" w:rsidRPr="00BC7BB5">
        <w:rPr>
          <w:rFonts w:ascii="Times New Roman" w:hAnsi="Times New Roman" w:cs="Times New Roman"/>
          <w:color w:val="222222"/>
        </w:rPr>
        <w:t>) with subsequent regulations even more recent, many agri-food producers, processors and other operators are still not fully familiar with their provisions (and with the role of ONSSA). On the other hand, consumers constitute an important group to demand that health rules be respected and who can drive the demand for improved food safety and quality. The</w:t>
      </w:r>
      <w:r w:rsidR="0029414A">
        <w:rPr>
          <w:rFonts w:ascii="Times New Roman" w:hAnsi="Times New Roman" w:cs="Times New Roman"/>
          <w:color w:val="222222"/>
        </w:rPr>
        <w:t xml:space="preserve"> </w:t>
      </w:r>
      <w:r w:rsidR="00650228" w:rsidRPr="00BC7BB5">
        <w:rPr>
          <w:rFonts w:ascii="Times New Roman" w:hAnsi="Times New Roman" w:cs="Times New Roman"/>
          <w:color w:val="222222"/>
        </w:rPr>
        <w:t>Program would therefore finance structured awareness campaigns organized by ONSSA and targeting those two types of stakeholders. These campaigns would also raise consumers’ awareness of the role of ONSSA. In many countries, consumers are an important source of information for food safety control agencies, allowing official services to become aware of anomalies and irregularities and thus improving the efficiency of controls. Topics such as accreditation / authorization of agri-food enterprises, maintenance of the agricultural input registers by producers and labeling of foodstuffs would be the focus of such campaigns. In other countries, such campaigns have contributed to the reduction of informal marketing channels by raising the awareness of consumers about the greater food safety risks in those circuits</w:t>
      </w:r>
      <w:r w:rsidRPr="00BC7BB5">
        <w:rPr>
          <w:rFonts w:ascii="Times New Roman" w:hAnsi="Times New Roman" w:cs="Times New Roman"/>
          <w:color w:val="222222"/>
        </w:rPr>
        <w:t>.</w:t>
      </w:r>
    </w:p>
    <w:p w14:paraId="3C210C61" w14:textId="77777777" w:rsidR="00BB5098" w:rsidRPr="00BC7BB5" w:rsidRDefault="00BB5098" w:rsidP="00BB50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222"/>
        </w:rPr>
      </w:pPr>
    </w:p>
    <w:p w14:paraId="5AE4CAB1" w14:textId="1AF3F17E" w:rsidR="00BB5098" w:rsidRPr="00BC7BB5" w:rsidRDefault="00BB5098" w:rsidP="00F561E8">
      <w:pPr>
        <w:pStyle w:val="NoSpacing"/>
        <w:numPr>
          <w:ilvl w:val="0"/>
          <w:numId w:val="35"/>
        </w:numPr>
        <w:ind w:left="0" w:firstLine="0"/>
        <w:jc w:val="both"/>
        <w:rPr>
          <w:rFonts w:ascii="Times New Roman" w:eastAsia="Times New Roman" w:hAnsi="Times New Roman" w:cs="Times New Roman"/>
          <w:color w:val="222222"/>
        </w:rPr>
      </w:pPr>
      <w:r w:rsidRPr="00A6265D">
        <w:rPr>
          <w:rFonts w:ascii="Times New Roman" w:hAnsi="Times New Roman" w:cs="Times New Roman"/>
          <w:b/>
          <w:color w:val="222222"/>
        </w:rPr>
        <w:t>Upgrading the capacity of ONSSA laboratories</w:t>
      </w:r>
      <w:r w:rsidR="00F30B5E">
        <w:rPr>
          <w:rFonts w:ascii="Times New Roman" w:hAnsi="Times New Roman" w:cs="Times New Roman"/>
          <w:b/>
          <w:color w:val="222222"/>
        </w:rPr>
        <w:t>.</w:t>
      </w:r>
      <w:r w:rsidR="00F30B5E" w:rsidRPr="00BC7BB5">
        <w:rPr>
          <w:rFonts w:ascii="Times New Roman" w:hAnsi="Times New Roman" w:cs="Times New Roman"/>
          <w:color w:val="222222"/>
        </w:rPr>
        <w:t xml:space="preserve"> </w:t>
      </w:r>
      <w:r w:rsidR="00650228" w:rsidRPr="00BC7BB5">
        <w:rPr>
          <w:rFonts w:ascii="Times New Roman" w:hAnsi="Times New Roman" w:cs="Times New Roman"/>
          <w:color w:val="222222"/>
        </w:rPr>
        <w:t>The safety of agri-food products is first and foremost the responsibility of producers and other operators involved with processing and marketing those products. The public authorities can only impose the rules to be respected and apply a control plan based on the evaluation of risks. This, of course, involves inspections of listed establishments, but also sampling to ensure that preventive systems are sufficiently well designed and applied (including good agricultural practices, good manufacturing practices, good hygiene practices, HACCP, etc.). This approach requires significant analytical capacities in laboratories with ISO 17025 accreditation attesting to their credibility. ONSSA has about ten laboratories, which means that some of the analyzes have to be outsourced, thus increasing quality control ris</w:t>
      </w:r>
      <w:r w:rsidR="0029414A">
        <w:rPr>
          <w:rFonts w:ascii="Times New Roman" w:hAnsi="Times New Roman" w:cs="Times New Roman"/>
          <w:color w:val="222222"/>
        </w:rPr>
        <w:t xml:space="preserve">ks for the Office. The </w:t>
      </w:r>
      <w:r w:rsidR="00650228" w:rsidRPr="00BC7BB5">
        <w:rPr>
          <w:rFonts w:ascii="Times New Roman" w:hAnsi="Times New Roman" w:cs="Times New Roman"/>
          <w:color w:val="222222"/>
        </w:rPr>
        <w:t>Program would focus on strengthening ONSSA’s laboratory capacities for the non-animal products sector (phytopathology and contaminants; residues analysis), in line with the value-chains selected by the Program. The laboratories would receive complementary equipment and training would to provide services in response to the needs of local agricultural producers</w:t>
      </w:r>
      <w:r w:rsidRPr="00BC7BB5">
        <w:rPr>
          <w:rFonts w:ascii="Times New Roman" w:hAnsi="Times New Roman" w:cs="Times New Roman"/>
          <w:color w:val="222222"/>
        </w:rPr>
        <w:t>.</w:t>
      </w:r>
    </w:p>
    <w:p w14:paraId="1640BFE5" w14:textId="77777777" w:rsidR="00BB5098" w:rsidRPr="00BC7BB5" w:rsidRDefault="00BB5098" w:rsidP="008C3E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222"/>
        </w:rPr>
      </w:pPr>
    </w:p>
    <w:p w14:paraId="4D0E74A1" w14:textId="460B9111" w:rsidR="00BB5098" w:rsidRPr="00BC7BB5" w:rsidRDefault="00BB5098" w:rsidP="00F561E8">
      <w:pPr>
        <w:pStyle w:val="NoSpacing"/>
        <w:numPr>
          <w:ilvl w:val="0"/>
          <w:numId w:val="35"/>
        </w:numPr>
        <w:ind w:left="0" w:firstLine="0"/>
        <w:jc w:val="both"/>
        <w:rPr>
          <w:rFonts w:ascii="Times New Roman" w:eastAsia="Times New Roman" w:hAnsi="Times New Roman" w:cs="Times New Roman"/>
          <w:color w:val="222222"/>
        </w:rPr>
      </w:pPr>
      <w:r w:rsidRPr="00A6265D">
        <w:rPr>
          <w:rFonts w:ascii="Times New Roman" w:hAnsi="Times New Roman" w:cs="Times New Roman"/>
          <w:b/>
          <w:color w:val="222222"/>
        </w:rPr>
        <w:lastRenderedPageBreak/>
        <w:t>Upgrading ONSSA’s capacity for scientific risk assessment</w:t>
      </w:r>
      <w:r w:rsidR="00F30B5E">
        <w:rPr>
          <w:rFonts w:ascii="Times New Roman" w:hAnsi="Times New Roman" w:cs="Times New Roman"/>
          <w:b/>
          <w:color w:val="222222"/>
        </w:rPr>
        <w:t>.</w:t>
      </w:r>
      <w:r w:rsidR="00F30B5E" w:rsidRPr="00BC7BB5">
        <w:rPr>
          <w:rFonts w:ascii="Times New Roman" w:hAnsi="Times New Roman" w:cs="Times New Roman"/>
          <w:color w:val="222222"/>
        </w:rPr>
        <w:t xml:space="preserve"> </w:t>
      </w:r>
      <w:r w:rsidR="0089460E" w:rsidRPr="00BC7BB5">
        <w:rPr>
          <w:rFonts w:ascii="Times New Roman" w:hAnsi="Times New Roman" w:cs="Times New Roman"/>
          <w:color w:val="222222"/>
        </w:rPr>
        <w:t xml:space="preserve">While ONSSA is recognized internationally, thanks to the audits of the work of the Office which have been carried out by the European Commission and by various other jurisdictions to which Morocco exports, it should be noted that its plans for the monitoring and control of agri-food value-chains are not yet sufficiently based on scientific risk assessment. To address this, a new Division was created at the end of 2015 (the DERS – </w:t>
      </w:r>
      <w:r w:rsidR="0089460E" w:rsidRPr="00BC7BB5">
        <w:rPr>
          <w:rFonts w:ascii="Times New Roman" w:hAnsi="Times New Roman" w:cs="Times New Roman"/>
          <w:i/>
          <w:color w:val="222222"/>
        </w:rPr>
        <w:t>Division de l’Evaluation des Risques Sanitaires</w:t>
      </w:r>
      <w:r w:rsidR="0089460E" w:rsidRPr="00BC7BB5">
        <w:rPr>
          <w:rFonts w:ascii="Times New Roman" w:hAnsi="Times New Roman" w:cs="Times New Roman"/>
          <w:color w:val="222222"/>
        </w:rPr>
        <w:t>, Division of</w:t>
      </w:r>
      <w:r w:rsidR="0029414A">
        <w:rPr>
          <w:rFonts w:ascii="Times New Roman" w:hAnsi="Times New Roman" w:cs="Times New Roman"/>
          <w:color w:val="222222"/>
        </w:rPr>
        <w:t xml:space="preserve"> Risk Assessment). The </w:t>
      </w:r>
      <w:r w:rsidR="0089460E" w:rsidRPr="00BC7BB5">
        <w:rPr>
          <w:rFonts w:ascii="Times New Roman" w:hAnsi="Times New Roman" w:cs="Times New Roman"/>
          <w:color w:val="222222"/>
        </w:rPr>
        <w:t>Program would aim at</w:t>
      </w:r>
      <w:r w:rsidR="00F30B5E">
        <w:rPr>
          <w:rFonts w:ascii="Times New Roman" w:hAnsi="Times New Roman" w:cs="Times New Roman"/>
          <w:color w:val="222222"/>
        </w:rPr>
        <w:t>:</w:t>
      </w:r>
      <w:r w:rsidR="0089460E" w:rsidRPr="00BC7BB5">
        <w:rPr>
          <w:rFonts w:ascii="Times New Roman" w:hAnsi="Times New Roman" w:cs="Times New Roman"/>
          <w:color w:val="222222"/>
        </w:rPr>
        <w:t xml:space="preserve"> (a) completing the training of this new team of four academics so that it better directs the control plans and the sanitary inspections of the Office to the most important food safety risks and; (b) carrying out in Morocco, for the first time, a whole food chain study. Such studies provide a better understanding of the actual exposure of consumers to residues and contaminants, thereby enhancing food safety risk assessments and enabling food safety authorities to take appropriate risk management measures</w:t>
      </w:r>
      <w:r w:rsidRPr="00BC7BB5">
        <w:rPr>
          <w:rFonts w:ascii="Times New Roman" w:hAnsi="Times New Roman" w:cs="Times New Roman"/>
          <w:color w:val="222222"/>
        </w:rPr>
        <w:t>.</w:t>
      </w:r>
    </w:p>
    <w:p w14:paraId="3E9D266C" w14:textId="77777777" w:rsidR="00BB5098" w:rsidRPr="00BC7BB5" w:rsidRDefault="00BB5098" w:rsidP="008C3E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222"/>
        </w:rPr>
      </w:pPr>
    </w:p>
    <w:p w14:paraId="2DD7C039" w14:textId="5EE83079" w:rsidR="00BB5098" w:rsidRPr="00BC7BB5" w:rsidRDefault="00BB5098" w:rsidP="00F561E8">
      <w:pPr>
        <w:pStyle w:val="NoSpacing"/>
        <w:numPr>
          <w:ilvl w:val="0"/>
          <w:numId w:val="35"/>
        </w:numPr>
        <w:ind w:left="0" w:firstLine="0"/>
        <w:jc w:val="both"/>
        <w:rPr>
          <w:rFonts w:ascii="Times New Roman" w:eastAsia="Times New Roman" w:hAnsi="Times New Roman" w:cs="Times New Roman"/>
          <w:color w:val="222222"/>
        </w:rPr>
      </w:pPr>
      <w:r w:rsidRPr="00A6265D">
        <w:rPr>
          <w:rFonts w:ascii="Times New Roman" w:hAnsi="Times New Roman" w:cs="Times New Roman"/>
          <w:b/>
          <w:color w:val="222222"/>
        </w:rPr>
        <w:t>Control of the Mediterranean fruit fly</w:t>
      </w:r>
      <w:r w:rsidR="00F30B5E">
        <w:rPr>
          <w:rFonts w:ascii="Times New Roman" w:hAnsi="Times New Roman" w:cs="Times New Roman"/>
          <w:b/>
          <w:color w:val="222222"/>
        </w:rPr>
        <w:t>.</w:t>
      </w:r>
      <w:r w:rsidR="00F30B5E" w:rsidRPr="00BC7BB5">
        <w:rPr>
          <w:rFonts w:ascii="Times New Roman" w:hAnsi="Times New Roman" w:cs="Times New Roman"/>
          <w:color w:val="222222"/>
        </w:rPr>
        <w:t xml:space="preserve"> </w:t>
      </w:r>
      <w:r w:rsidR="004B680C" w:rsidRPr="00BC7BB5">
        <w:rPr>
          <w:rFonts w:ascii="Times New Roman" w:hAnsi="Times New Roman" w:cs="Times New Roman"/>
          <w:color w:val="222222"/>
        </w:rPr>
        <w:t>The Mediterranean fruit fly (ceratitis)</w:t>
      </w:r>
      <w:r w:rsidRPr="00BC7BB5">
        <w:rPr>
          <w:rFonts w:ascii="Times New Roman" w:hAnsi="Times New Roman" w:cs="Times New Roman"/>
          <w:color w:val="222222"/>
        </w:rPr>
        <w:t xml:space="preserve"> represents the </w:t>
      </w:r>
      <w:r w:rsidR="004B680C" w:rsidRPr="00BC7BB5">
        <w:rPr>
          <w:rFonts w:ascii="Times New Roman" w:hAnsi="Times New Roman" w:cs="Times New Roman"/>
          <w:color w:val="222222"/>
        </w:rPr>
        <w:t xml:space="preserve">highest phytosanitary </w:t>
      </w:r>
      <w:r w:rsidRPr="00BC7BB5">
        <w:rPr>
          <w:rFonts w:ascii="Times New Roman" w:hAnsi="Times New Roman" w:cs="Times New Roman"/>
          <w:color w:val="222222"/>
        </w:rPr>
        <w:t>risk</w:t>
      </w:r>
      <w:r w:rsidR="004B680C" w:rsidRPr="00BC7BB5">
        <w:rPr>
          <w:rFonts w:ascii="Times New Roman" w:hAnsi="Times New Roman" w:cs="Times New Roman"/>
          <w:color w:val="222222"/>
        </w:rPr>
        <w:t xml:space="preserve"> for citrus in Morocco</w:t>
      </w:r>
      <w:r w:rsidRPr="00BC7BB5">
        <w:rPr>
          <w:rFonts w:ascii="Times New Roman" w:hAnsi="Times New Roman" w:cs="Times New Roman"/>
          <w:color w:val="222222"/>
        </w:rPr>
        <w:t>. Attacks by the Mediterranean fruit fly both reduce yields and makes citrus unsuitable for exports. Morocco has responded by introducing the release of sterile ceratitis m</w:t>
      </w:r>
      <w:r w:rsidR="004B680C" w:rsidRPr="00BC7BB5">
        <w:rPr>
          <w:rFonts w:ascii="Times New Roman" w:hAnsi="Times New Roman" w:cs="Times New Roman"/>
          <w:color w:val="222222"/>
        </w:rPr>
        <w:t xml:space="preserve">ales as </w:t>
      </w:r>
      <w:r w:rsidRPr="00BC7BB5">
        <w:rPr>
          <w:rFonts w:ascii="Times New Roman" w:hAnsi="Times New Roman" w:cs="Times New Roman"/>
          <w:color w:val="222222"/>
        </w:rPr>
        <w:t>p</w:t>
      </w:r>
      <w:r w:rsidR="004B680C" w:rsidRPr="00BC7BB5">
        <w:rPr>
          <w:rFonts w:ascii="Times New Roman" w:hAnsi="Times New Roman" w:cs="Times New Roman"/>
          <w:color w:val="222222"/>
        </w:rPr>
        <w:t>a</w:t>
      </w:r>
      <w:r w:rsidRPr="00BC7BB5">
        <w:rPr>
          <w:rFonts w:ascii="Times New Roman" w:hAnsi="Times New Roman" w:cs="Times New Roman"/>
          <w:color w:val="222222"/>
        </w:rPr>
        <w:t xml:space="preserve">rt of its integrated pest management strategy. This biological control technique has already been successfully applied in various countries. This initiative has been welcomed by countries importing citrus from Morocco (EU, USA, Russian Federation) but it is currently limited to one region (Souss) and an area too small due to the costs and difficulties of securing a timely supply of insects. Those must currently be imported from Spain and the insects need to be delivered in good time and in good conditions for the operation to be effective. Currently, large quantities of citrus fruits are downgraded in quality and remain on the domestic market. The Program would finance in-country production of sterile males to address this major export constraint for Moroccan citrus. </w:t>
      </w:r>
      <w:r w:rsidR="00F5294B" w:rsidRPr="00BC7BB5">
        <w:rPr>
          <w:rFonts w:ascii="Times New Roman" w:hAnsi="Times New Roman" w:cs="Times New Roman"/>
          <w:color w:val="222222"/>
        </w:rPr>
        <w:t>Whereas t</w:t>
      </w:r>
      <w:r w:rsidRPr="00BC7BB5">
        <w:rPr>
          <w:rFonts w:ascii="Times New Roman" w:hAnsi="Times New Roman" w:cs="Times New Roman"/>
          <w:color w:val="222222"/>
        </w:rPr>
        <w:t>he International Atomic Energy Agency will be providing the sterilization equipment to Morocco</w:t>
      </w:r>
      <w:r w:rsidR="00F5294B" w:rsidRPr="00BC7BB5">
        <w:rPr>
          <w:rFonts w:ascii="Times New Roman" w:hAnsi="Times New Roman" w:cs="Times New Roman"/>
          <w:color w:val="222222"/>
        </w:rPr>
        <w:t>,</w:t>
      </w:r>
      <w:r w:rsidRPr="00BC7BB5">
        <w:rPr>
          <w:rFonts w:ascii="Times New Roman" w:hAnsi="Times New Roman" w:cs="Times New Roman"/>
          <w:color w:val="222222"/>
        </w:rPr>
        <w:t xml:space="preserve"> the Program would cover the transport of equipment, the construction and equipment of the ad hoc building as well as the identification of the areas to be treated. This long-awaited intervention is likely to reduce the use of pesticides and improve export opportunities, including in the longer term for other regions of Morocco. The sustainability of the facility will be ensured by collaboration between </w:t>
      </w:r>
      <w:r w:rsidR="00FB1E71" w:rsidRPr="00BC7BB5">
        <w:rPr>
          <w:rFonts w:ascii="Times New Roman" w:hAnsi="Times New Roman" w:cs="Times New Roman"/>
          <w:color w:val="222222"/>
        </w:rPr>
        <w:t>public agencies</w:t>
      </w:r>
      <w:r w:rsidR="0029414A">
        <w:rPr>
          <w:rFonts w:ascii="Times New Roman" w:hAnsi="Times New Roman" w:cs="Times New Roman"/>
          <w:color w:val="222222"/>
        </w:rPr>
        <w:t xml:space="preserve"> (ONSSA, DRA) and the i</w:t>
      </w:r>
      <w:r w:rsidRPr="00BC7BB5">
        <w:rPr>
          <w:rFonts w:ascii="Times New Roman" w:hAnsi="Times New Roman" w:cs="Times New Roman"/>
          <w:color w:val="222222"/>
        </w:rPr>
        <w:t>n</w:t>
      </w:r>
      <w:r w:rsidR="00FB1E71" w:rsidRPr="00BC7BB5">
        <w:rPr>
          <w:rFonts w:ascii="Times New Roman" w:hAnsi="Times New Roman" w:cs="Times New Roman"/>
          <w:color w:val="222222"/>
        </w:rPr>
        <w:t>terprofession (Maroc Citrus).</w:t>
      </w:r>
    </w:p>
    <w:p w14:paraId="63A464FC" w14:textId="77777777" w:rsidR="008E3F90" w:rsidRPr="00BC7BB5" w:rsidRDefault="008E3F90" w:rsidP="008E3F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eastAsia="Times New Roman" w:hAnsi="Times New Roman" w:cs="Times New Roman"/>
          <w:color w:val="222222"/>
        </w:rPr>
      </w:pPr>
    </w:p>
    <w:p w14:paraId="5E179185" w14:textId="5A0015E2" w:rsidR="00E80B88" w:rsidRPr="00BC7BB5" w:rsidRDefault="00946ED3" w:rsidP="00A6265D">
      <w:pPr>
        <w:pStyle w:val="NoSpacing"/>
        <w:jc w:val="both"/>
        <w:rPr>
          <w:rFonts w:ascii="Times New Roman" w:eastAsia="Times New Roman" w:hAnsi="Times New Roman" w:cs="Times New Roman"/>
          <w:b/>
          <w:i/>
          <w:color w:val="222222"/>
        </w:rPr>
      </w:pPr>
      <w:r w:rsidRPr="00BC7BB5">
        <w:rPr>
          <w:rFonts w:ascii="Times New Roman" w:eastAsia="Times New Roman" w:hAnsi="Times New Roman" w:cs="Times New Roman"/>
          <w:b/>
          <w:i/>
          <w:color w:val="222222"/>
        </w:rPr>
        <w:t xml:space="preserve">Promoting </w:t>
      </w:r>
      <w:r w:rsidR="003E6D81" w:rsidRPr="00BC7BB5">
        <w:rPr>
          <w:rFonts w:ascii="Times New Roman" w:eastAsia="Times New Roman" w:hAnsi="Times New Roman" w:cs="Times New Roman"/>
          <w:b/>
          <w:i/>
          <w:color w:val="222222"/>
        </w:rPr>
        <w:t>q</w:t>
      </w:r>
      <w:r w:rsidR="008E3F90" w:rsidRPr="00BC7BB5">
        <w:rPr>
          <w:rFonts w:ascii="Times New Roman" w:eastAsia="Times New Roman" w:hAnsi="Times New Roman" w:cs="Times New Roman"/>
          <w:b/>
          <w:i/>
          <w:color w:val="222222"/>
        </w:rPr>
        <w:t xml:space="preserve">uality </w:t>
      </w:r>
      <w:r w:rsidR="00886928">
        <w:rPr>
          <w:rFonts w:ascii="Times New Roman" w:eastAsia="Times New Roman" w:hAnsi="Times New Roman" w:cs="Times New Roman"/>
          <w:b/>
          <w:i/>
          <w:color w:val="222222"/>
        </w:rPr>
        <w:t xml:space="preserve">standards and certification systems </w:t>
      </w:r>
    </w:p>
    <w:p w14:paraId="6A34D5A4" w14:textId="6D302DC4" w:rsidR="00E80B88" w:rsidRPr="00BC7BB5" w:rsidRDefault="008E3F90" w:rsidP="00E80B88">
      <w:pPr>
        <w:pStyle w:val="NoSpacing"/>
        <w:ind w:left="720"/>
        <w:jc w:val="both"/>
        <w:rPr>
          <w:rFonts w:ascii="Times New Roman" w:eastAsia="Times New Roman" w:hAnsi="Times New Roman" w:cs="Times New Roman"/>
          <w:i/>
          <w:color w:val="222222"/>
        </w:rPr>
      </w:pPr>
      <w:r w:rsidRPr="00BC7BB5">
        <w:rPr>
          <w:rFonts w:ascii="Times New Roman" w:eastAsia="Times New Roman" w:hAnsi="Times New Roman" w:cs="Times New Roman"/>
          <w:i/>
          <w:color w:val="222222"/>
        </w:rPr>
        <w:t xml:space="preserve"> </w:t>
      </w:r>
    </w:p>
    <w:p w14:paraId="370574C0" w14:textId="0E33938A" w:rsidR="008E3F90" w:rsidRPr="00BC7BB5" w:rsidRDefault="003E6D81" w:rsidP="00F561E8">
      <w:pPr>
        <w:pStyle w:val="NoSpacing"/>
        <w:numPr>
          <w:ilvl w:val="0"/>
          <w:numId w:val="35"/>
        </w:numPr>
        <w:ind w:left="0" w:firstLine="0"/>
        <w:jc w:val="both"/>
        <w:rPr>
          <w:rFonts w:ascii="Times New Roman" w:eastAsia="Times New Roman" w:hAnsi="Times New Roman" w:cs="Times New Roman"/>
          <w:color w:val="222222"/>
        </w:rPr>
      </w:pPr>
      <w:r w:rsidRPr="00BC7BB5">
        <w:rPr>
          <w:rFonts w:ascii="Times New Roman" w:hAnsi="Times New Roman" w:cs="Times New Roman"/>
        </w:rPr>
        <w:t>Although price and taste remain the most important factors determining consumer food choices, the purchases of consumers with higher disposable incomes are increasingly driven by other factors and values such as food safety, expected health benefits, sustainability, and product origin. Organic certification as well as origin and quality labels (</w:t>
      </w:r>
      <w:r w:rsidRPr="00BC7BB5">
        <w:rPr>
          <w:rFonts w:ascii="Times New Roman" w:hAnsi="Times New Roman" w:cs="Times New Roman"/>
          <w:i/>
          <w:color w:val="000000" w:themeColor="text1"/>
        </w:rPr>
        <w:t>signes distinctifs d’origine et de qualité</w:t>
      </w:r>
      <w:r w:rsidRPr="00BC7BB5">
        <w:rPr>
          <w:rFonts w:ascii="Times New Roman" w:hAnsi="Times New Roman" w:cs="Times New Roman"/>
        </w:rPr>
        <w:t xml:space="preserve">, </w:t>
      </w:r>
      <w:r w:rsidRPr="00BC7BB5">
        <w:rPr>
          <w:rFonts w:ascii="Times New Roman" w:hAnsi="Times New Roman" w:cs="Times New Roman"/>
          <w:i/>
        </w:rPr>
        <w:t>SDOQ</w:t>
      </w:r>
      <w:r w:rsidRPr="00BC7BB5">
        <w:rPr>
          <w:rFonts w:ascii="Times New Roman" w:hAnsi="Times New Roman" w:cs="Times New Roman"/>
        </w:rPr>
        <w:t xml:space="preserve">), </w:t>
      </w:r>
      <w:bookmarkStart w:id="28" w:name="_Hlk495052839"/>
      <w:r w:rsidRPr="00BC7BB5">
        <w:rPr>
          <w:rFonts w:ascii="Times New Roman" w:hAnsi="Times New Roman" w:cs="Times New Roman"/>
        </w:rPr>
        <w:t>including Protected Geographical Indications</w:t>
      </w:r>
      <w:r w:rsidRPr="00BC7BB5">
        <w:rPr>
          <w:rStyle w:val="FootnoteReference"/>
        </w:rPr>
        <w:footnoteReference w:id="40"/>
      </w:r>
      <w:r w:rsidRPr="00BC7BB5">
        <w:rPr>
          <w:rFonts w:ascii="Times New Roman" w:hAnsi="Times New Roman" w:cs="Times New Roman"/>
        </w:rPr>
        <w:t xml:space="preserve"> (PGI</w:t>
      </w:r>
      <w:r w:rsidR="00535722">
        <w:rPr>
          <w:rFonts w:ascii="Times New Roman" w:hAnsi="Times New Roman" w:cs="Times New Roman"/>
        </w:rPr>
        <w:fldChar w:fldCharType="begin"/>
      </w:r>
      <w:r w:rsidR="00535722">
        <w:instrText xml:space="preserve"> XE "</w:instrText>
      </w:r>
      <w:r w:rsidR="00535722" w:rsidRPr="00B62E2D">
        <w:rPr>
          <w:rFonts w:ascii="Times New Roman" w:hAnsi="Times New Roman" w:cs="Times New Roman"/>
        </w:rPr>
        <w:instrText>PGI:</w:instrText>
      </w:r>
      <w:r w:rsidR="00535722" w:rsidRPr="00B62E2D">
        <w:instrText>Protected Geographical Indications</w:instrText>
      </w:r>
      <w:r w:rsidR="00535722">
        <w:instrText xml:space="preserve">" </w:instrText>
      </w:r>
      <w:r w:rsidR="00535722">
        <w:rPr>
          <w:rFonts w:ascii="Times New Roman" w:hAnsi="Times New Roman" w:cs="Times New Roman"/>
        </w:rPr>
        <w:fldChar w:fldCharType="end"/>
      </w:r>
      <w:r w:rsidRPr="00BC7BB5">
        <w:rPr>
          <w:rFonts w:ascii="Times New Roman" w:hAnsi="Times New Roman" w:cs="Times New Roman"/>
        </w:rPr>
        <w:t>s), Appellations of Origin</w:t>
      </w:r>
      <w:r w:rsidRPr="00BC7BB5">
        <w:rPr>
          <w:rStyle w:val="FootnoteReference"/>
        </w:rPr>
        <w:footnoteReference w:id="41"/>
      </w:r>
      <w:r w:rsidRPr="00BC7BB5">
        <w:rPr>
          <w:rFonts w:ascii="Times New Roman" w:hAnsi="Times New Roman" w:cs="Times New Roman"/>
        </w:rPr>
        <w:t xml:space="preserve"> (</w:t>
      </w:r>
      <w:r w:rsidR="00EC0483">
        <w:rPr>
          <w:rFonts w:ascii="Times New Roman" w:hAnsi="Times New Roman" w:cs="Times New Roman"/>
        </w:rPr>
        <w:t>A</w:t>
      </w:r>
      <w:r w:rsidRPr="00BC7BB5">
        <w:rPr>
          <w:rFonts w:ascii="Times New Roman" w:hAnsi="Times New Roman" w:cs="Times New Roman"/>
        </w:rPr>
        <w:t>O), and agricultural trademarks</w:t>
      </w:r>
      <w:r w:rsidRPr="00BC7BB5">
        <w:rPr>
          <w:rStyle w:val="FootnoteReference"/>
        </w:rPr>
        <w:footnoteReference w:id="42"/>
      </w:r>
      <w:r w:rsidRPr="00BC7BB5">
        <w:rPr>
          <w:rFonts w:ascii="Times New Roman" w:hAnsi="Times New Roman" w:cs="Times New Roman"/>
        </w:rPr>
        <w:t>,</w:t>
      </w:r>
      <w:bookmarkEnd w:id="28"/>
      <w:r w:rsidRPr="00BC7BB5">
        <w:rPr>
          <w:rFonts w:ascii="Times New Roman" w:hAnsi="Times New Roman" w:cs="Times New Roman"/>
        </w:rPr>
        <w:t xml:space="preserve"> are specific quality schemes that have proven to be particularly effective tools for differentiating agri-food products and generating added value in targeted agri-food markets.</w:t>
      </w:r>
      <w:r w:rsidRPr="00BC7BB5">
        <w:rPr>
          <w:rStyle w:val="FootnoteReference"/>
        </w:rPr>
        <w:footnoteReference w:id="43"/>
      </w:r>
      <w:r w:rsidRPr="00BC7BB5">
        <w:rPr>
          <w:rFonts w:ascii="Times New Roman" w:hAnsi="Times New Roman" w:cs="Times New Roman"/>
        </w:rPr>
        <w:t xml:space="preserve"> Today, organic is the biggest sustainability standard in terms of area and product variety worldwide.</w:t>
      </w:r>
      <w:r w:rsidRPr="00BC7BB5">
        <w:rPr>
          <w:rStyle w:val="FootnoteReference"/>
        </w:rPr>
        <w:footnoteReference w:id="44"/>
      </w:r>
      <w:r w:rsidRPr="00BC7BB5">
        <w:rPr>
          <w:rFonts w:ascii="Times New Roman" w:hAnsi="Times New Roman" w:cs="Times New Roman"/>
        </w:rPr>
        <w:t xml:space="preserve"> Although it only contributes to 1-8</w:t>
      </w:r>
      <w:r w:rsidR="00886928">
        <w:rPr>
          <w:rFonts w:ascii="Times New Roman" w:hAnsi="Times New Roman" w:cs="Times New Roman"/>
        </w:rPr>
        <w:t xml:space="preserve"> percent</w:t>
      </w:r>
      <w:r w:rsidR="00886928" w:rsidRPr="00BC7BB5">
        <w:rPr>
          <w:rFonts w:ascii="Times New Roman" w:hAnsi="Times New Roman" w:cs="Times New Roman"/>
        </w:rPr>
        <w:t xml:space="preserve"> </w:t>
      </w:r>
      <w:r w:rsidRPr="00BC7BB5">
        <w:rPr>
          <w:rFonts w:ascii="Times New Roman" w:hAnsi="Times New Roman" w:cs="Times New Roman"/>
        </w:rPr>
        <w:t xml:space="preserve">of total food sales, organic agriculture is also the fastest growing agri-food sector in North </w:t>
      </w:r>
      <w:r w:rsidRPr="00BC7BB5">
        <w:rPr>
          <w:rFonts w:ascii="Times New Roman" w:hAnsi="Times New Roman" w:cs="Times New Roman"/>
        </w:rPr>
        <w:lastRenderedPageBreak/>
        <w:t>America and Europe</w:t>
      </w:r>
      <w:r w:rsidRPr="00BC7BB5">
        <w:rPr>
          <w:rFonts w:ascii="Times New Roman" w:hAnsi="Times New Roman" w:cs="Times New Roman"/>
          <w:bCs/>
        </w:rPr>
        <w:t>.</w:t>
      </w:r>
      <w:r w:rsidRPr="00BC7BB5">
        <w:rPr>
          <w:rStyle w:val="FootnoteReference"/>
        </w:rPr>
        <w:footnoteReference w:id="45"/>
      </w:r>
      <w:r w:rsidRPr="00BC7BB5">
        <w:rPr>
          <w:rFonts w:ascii="Times New Roman" w:hAnsi="Times New Roman" w:cs="Times New Roman"/>
        </w:rPr>
        <w:t xml:space="preserve"> SDOQs have been experiencing equally rapid growth in recent years.</w:t>
      </w:r>
      <w:r w:rsidRPr="00BC7BB5">
        <w:rPr>
          <w:rStyle w:val="FootnoteReference"/>
        </w:rPr>
        <w:footnoteReference w:id="46"/>
      </w:r>
      <w:r w:rsidRPr="00BC7BB5">
        <w:rPr>
          <w:rFonts w:ascii="Times New Roman" w:hAnsi="Times New Roman" w:cs="Times New Roman"/>
        </w:rPr>
        <w:t xml:space="preserve"> Importantly, the price premiums linked to organic certification and SDOQs can raise producer incomes thanks to increased farm profitability. In addition, organic certification and SDOQs can deliver important employment benefits.</w:t>
      </w:r>
      <w:r w:rsidRPr="00BC7BB5">
        <w:rPr>
          <w:rStyle w:val="FootnoteReference"/>
        </w:rPr>
        <w:footnoteReference w:id="47"/>
      </w:r>
      <w:r w:rsidRPr="00BC7BB5">
        <w:rPr>
          <w:rFonts w:ascii="Times New Roman" w:hAnsi="Times New Roman" w:cs="Times New Roman"/>
        </w:rPr>
        <w:t xml:space="preserve"> Whereas SDOQs can prevent the delocalization of production, jobs, and people in rural areas, especially when linked to other activities such as tourism, organic agriculture typically requires more labor due to more labor intensive agroecological farming practices (e.g.</w:t>
      </w:r>
      <w:r w:rsidR="00886928">
        <w:rPr>
          <w:rFonts w:ascii="Times New Roman" w:hAnsi="Times New Roman" w:cs="Times New Roman"/>
        </w:rPr>
        <w:t>,</w:t>
      </w:r>
      <w:r w:rsidRPr="00BC7BB5">
        <w:rPr>
          <w:rFonts w:ascii="Times New Roman" w:hAnsi="Times New Roman" w:cs="Times New Roman"/>
        </w:rPr>
        <w:t xml:space="preserve"> crop rotations, composting, weeding, pruning etc.), the higher share of labor intensive commodities (e.g.</w:t>
      </w:r>
      <w:r w:rsidR="00886928">
        <w:rPr>
          <w:rFonts w:ascii="Times New Roman" w:hAnsi="Times New Roman" w:cs="Times New Roman"/>
        </w:rPr>
        <w:t>,</w:t>
      </w:r>
      <w:r w:rsidRPr="00BC7BB5">
        <w:rPr>
          <w:rFonts w:ascii="Times New Roman" w:hAnsi="Times New Roman" w:cs="Times New Roman"/>
        </w:rPr>
        <w:t xml:space="preserve"> fruit and vegetables) that are certified organic, and smaller farm sizes</w:t>
      </w:r>
      <w:r w:rsidRPr="00BC7BB5">
        <w:rPr>
          <w:rStyle w:val="FootnoteReference"/>
        </w:rPr>
        <w:footnoteReference w:id="48"/>
      </w:r>
      <w:r w:rsidRPr="00BC7BB5">
        <w:rPr>
          <w:rFonts w:ascii="Times New Roman" w:hAnsi="Times New Roman" w:cs="Times New Roman"/>
        </w:rPr>
        <w:t>.</w:t>
      </w:r>
    </w:p>
    <w:p w14:paraId="6691ECA1" w14:textId="77777777" w:rsidR="00FF1F7A" w:rsidRPr="00BC7BB5" w:rsidRDefault="00FF1F7A" w:rsidP="00FF1F7A">
      <w:pPr>
        <w:pStyle w:val="NoSpacing"/>
        <w:jc w:val="both"/>
        <w:rPr>
          <w:rFonts w:ascii="Times New Roman" w:eastAsia="Times New Roman" w:hAnsi="Times New Roman" w:cs="Times New Roman"/>
          <w:color w:val="222222"/>
        </w:rPr>
      </w:pPr>
    </w:p>
    <w:p w14:paraId="0242F27E" w14:textId="5F837ED6" w:rsidR="00BB5098" w:rsidRPr="00BC7BB5" w:rsidRDefault="005C02CF" w:rsidP="00F561E8">
      <w:pPr>
        <w:pStyle w:val="NoSpacing"/>
        <w:numPr>
          <w:ilvl w:val="0"/>
          <w:numId w:val="35"/>
        </w:numPr>
        <w:ind w:left="0" w:firstLine="0"/>
        <w:jc w:val="both"/>
        <w:rPr>
          <w:rFonts w:ascii="Times New Roman" w:hAnsi="Times New Roman" w:cs="Times New Roman"/>
        </w:rPr>
      </w:pPr>
      <w:r w:rsidRPr="00BC7BB5">
        <w:rPr>
          <w:rFonts w:ascii="Times New Roman" w:hAnsi="Times New Roman" w:cs="Times New Roman"/>
        </w:rPr>
        <w:t>Morocco has strong potential to seize upon these growing export opportunities. First, Morocco enjoys geographic proximity to the EU and improved market access thanks to the recently adopted agricultural FTA.</w:t>
      </w:r>
      <w:r w:rsidRPr="00BC7BB5">
        <w:rPr>
          <w:rStyle w:val="FootnoteReference"/>
        </w:rPr>
        <w:footnoteReference w:id="49"/>
      </w:r>
      <w:r w:rsidRPr="00BC7BB5">
        <w:rPr>
          <w:rFonts w:ascii="Times New Roman" w:hAnsi="Times New Roman" w:cs="Times New Roman"/>
        </w:rPr>
        <w:t xml:space="preserve"> Second, agriculture in Morocco is less fertilizer-intensive: 56.6 kg of nitrogen and phosphate fertilizers per hectare of arable land per year compared to Spain (122.2 kg), France (130.2 kg), Italy (114.6 kg</w:t>
      </w:r>
      <w:r w:rsidR="00535722">
        <w:rPr>
          <w:rFonts w:ascii="Times New Roman" w:hAnsi="Times New Roman" w:cs="Times New Roman"/>
        </w:rPr>
        <w:fldChar w:fldCharType="begin"/>
      </w:r>
      <w:r w:rsidR="00535722">
        <w:instrText xml:space="preserve"> XE "</w:instrText>
      </w:r>
      <w:r w:rsidR="00535722" w:rsidRPr="0025376C">
        <w:rPr>
          <w:rFonts w:ascii="Times New Roman" w:hAnsi="Times New Roman" w:cs="Times New Roman"/>
        </w:rPr>
        <w:instrText>kg:</w:instrText>
      </w:r>
      <w:r w:rsidR="00535722" w:rsidRPr="0025376C">
        <w:instrText>Kilograms</w:instrText>
      </w:r>
      <w:r w:rsidR="00535722">
        <w:instrText xml:space="preserve">" </w:instrText>
      </w:r>
      <w:r w:rsidR="00535722">
        <w:rPr>
          <w:rFonts w:ascii="Times New Roman" w:hAnsi="Times New Roman" w:cs="Times New Roman"/>
        </w:rPr>
        <w:fldChar w:fldCharType="end"/>
      </w:r>
      <w:r w:rsidRPr="00BC7BB5">
        <w:rPr>
          <w:rFonts w:ascii="Times New Roman" w:hAnsi="Times New Roman" w:cs="Times New Roman"/>
        </w:rPr>
        <w:t>), and the US (107 kg). Third, the country’s smaller farms (the average size of a family farm in Morocco is only about 2 hectares), in combination with competitive unit labor costs, lend themselves well for more labor-intensive organic production systems. Lastly, the Government has made important progress in recent years in establishing a supportive legal and institutional framework for building organic agri-food markets domestically</w:t>
      </w:r>
      <w:r w:rsidRPr="00BC7BB5">
        <w:rPr>
          <w:rStyle w:val="FootnoteReference"/>
        </w:rPr>
        <w:footnoteReference w:id="50"/>
      </w:r>
      <w:r w:rsidRPr="00BC7BB5">
        <w:rPr>
          <w:rFonts w:ascii="Times New Roman" w:hAnsi="Times New Roman" w:cs="Times New Roman"/>
        </w:rPr>
        <w:t>.</w:t>
      </w:r>
    </w:p>
    <w:p w14:paraId="444035EF" w14:textId="77777777" w:rsidR="00B2165B" w:rsidRPr="00BC7BB5" w:rsidRDefault="00B2165B" w:rsidP="00B2165B">
      <w:pPr>
        <w:pStyle w:val="NoSpacing"/>
        <w:ind w:left="360"/>
        <w:jc w:val="both"/>
        <w:rPr>
          <w:rFonts w:ascii="Times New Roman" w:hAnsi="Times New Roman" w:cs="Times New Roman"/>
        </w:rPr>
      </w:pPr>
    </w:p>
    <w:p w14:paraId="14FA9397" w14:textId="7ABF74AF" w:rsidR="008222CA" w:rsidRPr="00BC7BB5" w:rsidRDefault="00DD2887" w:rsidP="00F561E8">
      <w:pPr>
        <w:pStyle w:val="NoSpacing"/>
        <w:numPr>
          <w:ilvl w:val="0"/>
          <w:numId w:val="35"/>
        </w:numPr>
        <w:ind w:left="0" w:firstLine="0"/>
        <w:jc w:val="both"/>
        <w:rPr>
          <w:rFonts w:ascii="Times New Roman" w:hAnsi="Times New Roman" w:cs="Times New Roman"/>
        </w:rPr>
      </w:pPr>
      <w:r w:rsidRPr="00BC7BB5">
        <w:rPr>
          <w:rFonts w:ascii="Times New Roman" w:hAnsi="Times New Roman" w:cs="Times New Roman"/>
          <w:b/>
        </w:rPr>
        <w:t xml:space="preserve">Morocco has extensive experience with </w:t>
      </w:r>
      <w:r w:rsidR="0045732F" w:rsidRPr="00BC7BB5">
        <w:rPr>
          <w:rFonts w:ascii="Times New Roman" w:hAnsi="Times New Roman" w:cs="Times New Roman"/>
          <w:b/>
        </w:rPr>
        <w:t>SDOQs</w:t>
      </w:r>
      <w:r w:rsidRPr="00BC7BB5">
        <w:rPr>
          <w:rFonts w:ascii="Times New Roman" w:hAnsi="Times New Roman" w:cs="Times New Roman"/>
          <w:b/>
        </w:rPr>
        <w:t>, but their socio-economic impact has been limited so far.</w:t>
      </w:r>
      <w:r w:rsidRPr="00BC7BB5">
        <w:rPr>
          <w:rFonts w:ascii="Times New Roman" w:hAnsi="Times New Roman" w:cs="Times New Roman"/>
        </w:rPr>
        <w:t xml:space="preserve"> </w:t>
      </w:r>
      <w:r w:rsidR="0045732F" w:rsidRPr="00BC7BB5">
        <w:rPr>
          <w:rFonts w:ascii="Times New Roman" w:hAnsi="Times New Roman" w:cs="Times New Roman"/>
        </w:rPr>
        <w:t>The legal and institutional framework governing SDOQs has been in place since 2009</w:t>
      </w:r>
      <w:r w:rsidR="0045732F" w:rsidRPr="00BC7BB5">
        <w:rPr>
          <w:rStyle w:val="FootnoteReference"/>
        </w:rPr>
        <w:footnoteReference w:id="51"/>
      </w:r>
      <w:r w:rsidR="0045732F" w:rsidRPr="00BC7BB5">
        <w:rPr>
          <w:rFonts w:ascii="Times New Roman" w:hAnsi="Times New Roman" w:cs="Times New Roman"/>
        </w:rPr>
        <w:t xml:space="preserve">. In </w:t>
      </w:r>
      <w:r w:rsidR="0045732F" w:rsidRPr="00BC7BB5">
        <w:rPr>
          <w:rFonts w:ascii="Times New Roman" w:hAnsi="Times New Roman" w:cs="Times New Roman"/>
        </w:rPr>
        <w:lastRenderedPageBreak/>
        <w:t>addition, the promotion of SDOQs has formed an integral part of the technical assistance and investment activities pursued by MAPMDREF under the smallholder agricultural development pillar (Pillar II) of the PMV</w:t>
      </w:r>
      <w:r w:rsidRPr="00BC7BB5">
        <w:rPr>
          <w:rFonts w:ascii="Times New Roman" w:hAnsi="Times New Roman" w:cs="Times New Roman"/>
        </w:rPr>
        <w:t xml:space="preserve">. </w:t>
      </w:r>
      <w:r w:rsidR="0045732F" w:rsidRPr="00BC7BB5">
        <w:rPr>
          <w:rFonts w:ascii="Times New Roman" w:hAnsi="Times New Roman" w:cs="Times New Roman"/>
        </w:rPr>
        <w:t xml:space="preserve">As of January 2017, 53 products had been recognized as SDOQs in Morocco, including 43 PGIs, five </w:t>
      </w:r>
      <w:r w:rsidR="00EC0483">
        <w:rPr>
          <w:rFonts w:ascii="Times New Roman" w:hAnsi="Times New Roman" w:cs="Times New Roman"/>
        </w:rPr>
        <w:t>A</w:t>
      </w:r>
      <w:r w:rsidR="00EC0483" w:rsidRPr="00BC7BB5">
        <w:rPr>
          <w:rFonts w:ascii="Times New Roman" w:hAnsi="Times New Roman" w:cs="Times New Roman"/>
        </w:rPr>
        <w:t>Os</w:t>
      </w:r>
      <w:r w:rsidR="0045732F" w:rsidRPr="00BC7BB5">
        <w:rPr>
          <w:rFonts w:ascii="Times New Roman" w:hAnsi="Times New Roman" w:cs="Times New Roman"/>
        </w:rPr>
        <w:t xml:space="preserve">, and five agricultural trademarks. Of these 53 products, eight SDOQs, including seven PGIs and one </w:t>
      </w:r>
      <w:r w:rsidR="00EC0483">
        <w:rPr>
          <w:rFonts w:ascii="Times New Roman" w:hAnsi="Times New Roman" w:cs="Times New Roman"/>
        </w:rPr>
        <w:t>A</w:t>
      </w:r>
      <w:r w:rsidR="00EC0483" w:rsidRPr="00BC7BB5">
        <w:rPr>
          <w:rFonts w:ascii="Times New Roman" w:hAnsi="Times New Roman" w:cs="Times New Roman"/>
        </w:rPr>
        <w:t>Os</w:t>
      </w:r>
      <w:r w:rsidR="0045732F" w:rsidRPr="00BC7BB5">
        <w:rPr>
          <w:rFonts w:ascii="Times New Roman" w:hAnsi="Times New Roman" w:cs="Times New Roman"/>
        </w:rPr>
        <w:t xml:space="preserve">, had been certified. PGIs “Clémentines de Berkane” and “Agrane” account for the largest shares and have shown important growth in the period 2013-2016.  </w:t>
      </w:r>
      <w:r w:rsidRPr="00BC7BB5">
        <w:rPr>
          <w:rFonts w:ascii="Times New Roman" w:hAnsi="Times New Roman" w:cs="Times New Roman"/>
        </w:rPr>
        <w:t>However, both certified and non-certified producer organizations in Morocco continue to face difficulties in (i) disseminating knowledge of certification standards, criteria, and best management practices; (ii) developing and managing processing capacities; (iii) upholding effective internal control systems; (iv) maintaining transparent business management systems; and (v) finding stable marketing outlets.</w:t>
      </w:r>
      <w:r w:rsidR="00EF5AD6" w:rsidRPr="00BC7BB5">
        <w:rPr>
          <w:rFonts w:ascii="Times New Roman" w:hAnsi="Times New Roman" w:cs="Times New Roman"/>
        </w:rPr>
        <w:t xml:space="preserve"> C</w:t>
      </w:r>
      <w:r w:rsidRPr="00BC7BB5">
        <w:rPr>
          <w:rFonts w:ascii="Times New Roman" w:hAnsi="Times New Roman" w:cs="Times New Roman"/>
        </w:rPr>
        <w:t>onsumer awareness of Morocco’s specific quality schemes is overall low and official labels are insufficiently protected to prevent misuse.</w:t>
      </w:r>
    </w:p>
    <w:p w14:paraId="51807056" w14:textId="77777777" w:rsidR="00DD2887" w:rsidRPr="00BC7BB5" w:rsidRDefault="00DD2887" w:rsidP="008C3E21">
      <w:pPr>
        <w:pStyle w:val="NoSpacing"/>
        <w:ind w:left="360"/>
        <w:jc w:val="both"/>
        <w:rPr>
          <w:rFonts w:ascii="Times New Roman" w:hAnsi="Times New Roman" w:cs="Times New Roman"/>
        </w:rPr>
      </w:pPr>
    </w:p>
    <w:p w14:paraId="2D2BEF3D" w14:textId="3C874D23" w:rsidR="00DD2887" w:rsidRPr="00BC7BB5" w:rsidRDefault="0045732F" w:rsidP="00F561E8">
      <w:pPr>
        <w:pStyle w:val="NoSpacing"/>
        <w:numPr>
          <w:ilvl w:val="0"/>
          <w:numId w:val="35"/>
        </w:numPr>
        <w:ind w:left="0" w:firstLine="0"/>
        <w:jc w:val="both"/>
        <w:rPr>
          <w:rFonts w:ascii="Times New Roman" w:hAnsi="Times New Roman" w:cs="Times New Roman"/>
        </w:rPr>
      </w:pPr>
      <w:r w:rsidRPr="00BC7BB5">
        <w:rPr>
          <w:rFonts w:ascii="Times New Roman" w:hAnsi="Times New Roman" w:cs="Times New Roman"/>
          <w:b/>
        </w:rPr>
        <w:t xml:space="preserve">Activities under the proposed Program would help deepen and scale up the impacts of existing quality schemes in Morocco. </w:t>
      </w:r>
      <w:r w:rsidR="00613EC9">
        <w:rPr>
          <w:rFonts w:ascii="Times New Roman" w:hAnsi="Times New Roman" w:cs="Times New Roman"/>
        </w:rPr>
        <w:t xml:space="preserve">The </w:t>
      </w:r>
      <w:r w:rsidRPr="00BC7BB5">
        <w:rPr>
          <w:rFonts w:ascii="Times New Roman" w:hAnsi="Times New Roman" w:cs="Times New Roman"/>
        </w:rPr>
        <w:t>Program would help DDFP’s Labeling Division to develop training and communication materials, organize workshops and seminars, and deliver technical assistance and training to producers with regards to the regulatory and technical aspects of organic certification and SDOQs. Through a “train-the-trainer” approach, the proposed Program would build scalable capacity at the level of central (ONCA, ONSSA, ADA) and regional (DRA) government institutions as well as producer organizations to manage specific quality schemes’ certification processes and compliance requirements. In addition, the proposed Program would extend current FDA support of up to 70 percent of the certification cost for organic products to include SD</w:t>
      </w:r>
      <w:r w:rsidR="00613EC9">
        <w:rPr>
          <w:rFonts w:ascii="Times New Roman" w:hAnsi="Times New Roman" w:cs="Times New Roman"/>
        </w:rPr>
        <w:t>OQs. Furthermore, the P</w:t>
      </w:r>
      <w:r w:rsidRPr="00BC7BB5">
        <w:rPr>
          <w:rFonts w:ascii="Times New Roman" w:hAnsi="Times New Roman" w:cs="Times New Roman"/>
        </w:rPr>
        <w:t xml:space="preserve">rogram would </w:t>
      </w:r>
      <w:r w:rsidRPr="00BC7BB5">
        <w:rPr>
          <w:rFonts w:ascii="Times New Roman" w:hAnsi="Times New Roman" w:cs="Times New Roman"/>
          <w:color w:val="000000" w:themeColor="text1"/>
        </w:rPr>
        <w:t>support both targeted and mass awareness raising campaigns to raise the knowledge and profile of both organic and SDOQ certification systems among producers, commercial and industrial operators, and consumers. Finally, the Program would support communication campaigns in support of government and industry efforts to enhance the quality of Moroccan olive products (olive oil and table olives). Specifically, the campaigns would help shift olive consumption from bulk to packaged and labeled olive products by: (i) sensitizing consumers to the health risks linked to consuming olive products in bulk; and (ii) reassuring consumers of the authenticity and natural taste profile of packaged and labeled olive products</w:t>
      </w:r>
      <w:r w:rsidR="00DD2887" w:rsidRPr="00BC7BB5">
        <w:rPr>
          <w:rFonts w:ascii="Times New Roman" w:hAnsi="Times New Roman" w:cs="Times New Roman"/>
        </w:rPr>
        <w:t>.</w:t>
      </w:r>
    </w:p>
    <w:p w14:paraId="408CF2F2" w14:textId="77777777" w:rsidR="008F7090" w:rsidRPr="00BC7BB5" w:rsidRDefault="008F7090" w:rsidP="008F7090">
      <w:pPr>
        <w:pStyle w:val="NoSpacing"/>
        <w:ind w:left="360"/>
        <w:jc w:val="both"/>
        <w:rPr>
          <w:rFonts w:ascii="Times New Roman" w:hAnsi="Times New Roman" w:cs="Times New Roman"/>
        </w:rPr>
      </w:pPr>
    </w:p>
    <w:p w14:paraId="3A4D3B0E" w14:textId="77777777" w:rsidR="00E80B88" w:rsidRPr="00BC7BB5" w:rsidRDefault="001813CF" w:rsidP="00A6265D">
      <w:pPr>
        <w:pStyle w:val="NoSpacing"/>
        <w:jc w:val="both"/>
        <w:rPr>
          <w:rFonts w:ascii="Times New Roman" w:hAnsi="Times New Roman" w:cs="Times New Roman"/>
          <w:i/>
        </w:rPr>
      </w:pPr>
      <w:r w:rsidRPr="00BC7BB5">
        <w:rPr>
          <w:rFonts w:ascii="Times New Roman" w:hAnsi="Times New Roman" w:cs="Times New Roman"/>
          <w:b/>
          <w:bCs/>
          <w:i/>
          <w:color w:val="000000" w:themeColor="text1"/>
        </w:rPr>
        <w:t>Strengthening business development and technical support services for the agri-food sector</w:t>
      </w:r>
    </w:p>
    <w:p w14:paraId="4D536CA4" w14:textId="2C168135" w:rsidR="00E80B88" w:rsidRPr="00BC7BB5" w:rsidRDefault="001813CF" w:rsidP="00E80B88">
      <w:pPr>
        <w:pStyle w:val="NoSpacing"/>
        <w:ind w:left="360"/>
        <w:jc w:val="both"/>
        <w:rPr>
          <w:rFonts w:ascii="Times New Roman" w:hAnsi="Times New Roman" w:cs="Times New Roman"/>
        </w:rPr>
      </w:pPr>
      <w:r w:rsidRPr="00BC7BB5">
        <w:rPr>
          <w:rFonts w:ascii="Times New Roman" w:hAnsi="Times New Roman" w:cs="Times New Roman"/>
          <w:b/>
          <w:bCs/>
          <w:color w:val="000000" w:themeColor="text1"/>
        </w:rPr>
        <w:t xml:space="preserve"> </w:t>
      </w:r>
    </w:p>
    <w:p w14:paraId="67B9CABF" w14:textId="56698630" w:rsidR="008F7090" w:rsidRDefault="004255A7" w:rsidP="00F561E8">
      <w:pPr>
        <w:pStyle w:val="NoSpacing"/>
        <w:numPr>
          <w:ilvl w:val="0"/>
          <w:numId w:val="35"/>
        </w:numPr>
        <w:ind w:left="0" w:firstLine="0"/>
        <w:jc w:val="both"/>
        <w:rPr>
          <w:rFonts w:ascii="Times New Roman" w:hAnsi="Times New Roman" w:cs="Times New Roman"/>
        </w:rPr>
      </w:pPr>
      <w:r w:rsidRPr="00BC7BB5">
        <w:rPr>
          <w:rFonts w:ascii="Times New Roman" w:hAnsi="Times New Roman" w:cs="Times New Roman"/>
          <w:b/>
        </w:rPr>
        <w:t>The development of the agri-food sector requires business management skills</w:t>
      </w:r>
      <w:r w:rsidRPr="00BC7BB5">
        <w:rPr>
          <w:rFonts w:ascii="Times New Roman" w:hAnsi="Times New Roman" w:cs="Times New Roman"/>
        </w:rPr>
        <w:t xml:space="preserve"> which in turn call for effective and inclusive business development services that suit the needs of small and medium enterprises and producers. Business services are also essential in facilitating the modernization and expansion of SMEs, which are often referred to as the “missing middle” – the rapidly transforming middle segments of agri-food chains (processing, logistics and wholesale) which accounts for up to 30–40 percent of the value-added of agri-food chains in developing economies</w:t>
      </w:r>
      <w:r w:rsidRPr="00BC7BB5">
        <w:rPr>
          <w:rFonts w:ascii="Times New Roman" w:hAnsi="Times New Roman" w:cs="Times New Roman"/>
          <w:vertAlign w:val="superscript"/>
        </w:rPr>
        <w:footnoteReference w:id="52"/>
      </w:r>
      <w:r w:rsidRPr="00BC7BB5">
        <w:rPr>
          <w:rFonts w:ascii="Times New Roman" w:hAnsi="Times New Roman" w:cs="Times New Roman"/>
        </w:rPr>
        <w:t>.</w:t>
      </w:r>
      <w:r w:rsidR="00970AFA" w:rsidRPr="00BC7BB5">
        <w:rPr>
          <w:rFonts w:ascii="Times New Roman" w:hAnsi="Times New Roman" w:cs="Times New Roman"/>
        </w:rPr>
        <w:t xml:space="preserve"> So far, growth in Morocco’s food industry has been led by large enterprises with appropriate access to technology and the capacity to mobilize capital. To develop the agri-food industry further, however, strengthening and expanding the fabric of SMEs will be necessary. To reduce risks inherent to innovations, stimulate investments and facilitate the development of SMEs in the agri-food sector, multiple challenges must be tackled pertaining to access to technology, access to finance, improvement of capabilities, and improving return on innovation and investment</w:t>
      </w:r>
      <w:r w:rsidRPr="00BC7BB5">
        <w:rPr>
          <w:rFonts w:ascii="Times New Roman" w:hAnsi="Times New Roman" w:cs="Times New Roman"/>
        </w:rPr>
        <w:t>.</w:t>
      </w:r>
    </w:p>
    <w:p w14:paraId="294DB3E2" w14:textId="77777777" w:rsidR="00613EC9" w:rsidRPr="00BC7BB5" w:rsidRDefault="00613EC9" w:rsidP="00613EC9">
      <w:pPr>
        <w:pStyle w:val="NoSpacing"/>
        <w:jc w:val="both"/>
        <w:rPr>
          <w:rFonts w:ascii="Times New Roman" w:hAnsi="Times New Roman" w:cs="Times New Roman"/>
        </w:rPr>
      </w:pPr>
    </w:p>
    <w:p w14:paraId="3E68279F" w14:textId="3AE7E666" w:rsidR="004255A7" w:rsidRPr="00BC7BB5" w:rsidRDefault="00685831" w:rsidP="00F561E8">
      <w:pPr>
        <w:pStyle w:val="NoSpacing"/>
        <w:numPr>
          <w:ilvl w:val="0"/>
          <w:numId w:val="35"/>
        </w:numPr>
        <w:ind w:left="0" w:firstLine="0"/>
        <w:jc w:val="both"/>
        <w:rPr>
          <w:rFonts w:ascii="Times New Roman" w:hAnsi="Times New Roman" w:cs="Times New Roman"/>
        </w:rPr>
      </w:pPr>
      <w:r w:rsidRPr="00BC7BB5">
        <w:rPr>
          <w:rFonts w:ascii="Times New Roman" w:hAnsi="Times New Roman" w:cs="Times New Roman"/>
        </w:rPr>
        <w:t>T</w:t>
      </w:r>
      <w:r w:rsidR="00C65746" w:rsidRPr="00BC7BB5">
        <w:rPr>
          <w:rFonts w:ascii="Times New Roman" w:hAnsi="Times New Roman" w:cs="Times New Roman"/>
        </w:rPr>
        <w:t xml:space="preserve">he ecosystem of support to entrepreneurship and innovation in the agri-food sector (including business development services) has not kept up with the needs of SMEs in the sector. In fact, the ecosystem </w:t>
      </w:r>
      <w:r w:rsidR="00C65746" w:rsidRPr="00BC7BB5">
        <w:rPr>
          <w:rFonts w:ascii="Times New Roman" w:hAnsi="Times New Roman" w:cs="Times New Roman"/>
        </w:rPr>
        <w:lastRenderedPageBreak/>
        <w:t>shows critical gaps that need to be addressed to facilitate the growth of SMEs as well as the influx of new SMEs in the agri-food sector</w:t>
      </w:r>
      <w:r w:rsidRPr="00BC7BB5">
        <w:rPr>
          <w:rFonts w:ascii="Times New Roman" w:hAnsi="Times New Roman" w:cs="Times New Roman"/>
        </w:rPr>
        <w:t>.</w:t>
      </w:r>
    </w:p>
    <w:p w14:paraId="512E0DC8" w14:textId="77777777" w:rsidR="00C65746" w:rsidRPr="00BC7BB5" w:rsidRDefault="00C65746" w:rsidP="008C3E21">
      <w:pPr>
        <w:pStyle w:val="ListParagraph"/>
        <w:spacing w:after="0" w:line="240" w:lineRule="auto"/>
        <w:rPr>
          <w:rFonts w:ascii="Times New Roman" w:hAnsi="Times New Roman" w:cs="Times New Roman"/>
        </w:rPr>
      </w:pPr>
    </w:p>
    <w:p w14:paraId="3271FAB7" w14:textId="152965A3" w:rsidR="00C65746" w:rsidRPr="00BC7BB5" w:rsidRDefault="00C65746" w:rsidP="00F561E8">
      <w:pPr>
        <w:pStyle w:val="NoSpacing"/>
        <w:numPr>
          <w:ilvl w:val="0"/>
          <w:numId w:val="35"/>
        </w:numPr>
        <w:ind w:left="0" w:firstLine="0"/>
        <w:jc w:val="both"/>
        <w:rPr>
          <w:rFonts w:ascii="Times New Roman" w:hAnsi="Times New Roman" w:cs="Times New Roman"/>
        </w:rPr>
      </w:pPr>
      <w:r w:rsidRPr="00BC7BB5">
        <w:rPr>
          <w:rFonts w:ascii="Times New Roman" w:hAnsi="Times New Roman" w:cs="Times New Roman"/>
          <w:b/>
        </w:rPr>
        <w:t>On the private sector side, there is a lack of a well-established private market of support services to innovation and entrepreneurship for SMES and, in particular, in agro-processing.</w:t>
      </w:r>
      <w:r w:rsidRPr="00BC7BB5">
        <w:rPr>
          <w:rFonts w:ascii="Times New Roman" w:hAnsi="Times New Roman" w:cs="Times New Roman"/>
        </w:rPr>
        <w:t xml:space="preserve"> </w:t>
      </w:r>
      <w:r w:rsidRPr="00BC7BB5">
        <w:rPr>
          <w:rFonts w:ascii="Times New Roman" w:hAnsi="Times New Roman" w:cs="Times New Roman"/>
          <w:b/>
        </w:rPr>
        <w:t xml:space="preserve"> </w:t>
      </w:r>
      <w:r w:rsidRPr="00BC7BB5">
        <w:rPr>
          <w:rFonts w:ascii="Times New Roman" w:hAnsi="Times New Roman" w:cs="Times New Roman"/>
        </w:rPr>
        <w:t xml:space="preserve">The private offer of support services to SMEs is of limited scale, scope and coverage and expertise. </w:t>
      </w:r>
      <w:r w:rsidRPr="00BC7BB5">
        <w:rPr>
          <w:rFonts w:ascii="Times New Roman" w:hAnsi="Times New Roman" w:cs="Times New Roman"/>
          <w:b/>
        </w:rPr>
        <w:t xml:space="preserve"> </w:t>
      </w:r>
      <w:r w:rsidRPr="00BC7BB5">
        <w:rPr>
          <w:rFonts w:ascii="Times New Roman" w:hAnsi="Times New Roman" w:cs="Times New Roman"/>
        </w:rPr>
        <w:t>Incubation and entrepreneurship services are mainly offered by associative actors with limited resources and sustainability, and do not cover the whole territory. There is no incubator specialized in agro-processing. Most of the ecosystem is either highly dependent on funding from one private financer (i.e. OCP</w:t>
      </w:r>
      <w:r w:rsidR="00730643" w:rsidRPr="00BC7BB5">
        <w:rPr>
          <w:rFonts w:ascii="Times New Roman" w:hAnsi="Times New Roman" w:cs="Times New Roman"/>
        </w:rPr>
        <w:fldChar w:fldCharType="begin"/>
      </w:r>
      <w:r w:rsidR="00730643" w:rsidRPr="00BC7BB5">
        <w:instrText xml:space="preserve"> XE "</w:instrText>
      </w:r>
      <w:r w:rsidR="00730643" w:rsidRPr="00BC7BB5">
        <w:rPr>
          <w:rFonts w:ascii="Times New Roman" w:hAnsi="Times New Roman" w:cs="Times New Roman"/>
        </w:rPr>
        <w:instrText>OCP</w:instrText>
      </w:r>
      <w:r w:rsidR="00730643" w:rsidRPr="00BC7BB5">
        <w:instrText xml:space="preserve">" </w:instrText>
      </w:r>
      <w:r w:rsidR="00730643" w:rsidRPr="00BC7BB5">
        <w:rPr>
          <w:rFonts w:ascii="Times New Roman" w:hAnsi="Times New Roman" w:cs="Times New Roman"/>
        </w:rPr>
        <w:fldChar w:fldCharType="end"/>
      </w:r>
      <w:r w:rsidRPr="00BC7BB5">
        <w:rPr>
          <w:rFonts w:ascii="Times New Roman" w:hAnsi="Times New Roman" w:cs="Times New Roman"/>
        </w:rPr>
        <w:t xml:space="preserve"> Entrepreneurship Network), or external donor programs, which poses a larger sustainability issue. Services offer is of uneven territorial coverage, with a higher concentration in Casablanca, Rabat and Marrakech.</w:t>
      </w:r>
    </w:p>
    <w:p w14:paraId="036615E3" w14:textId="77777777" w:rsidR="00C65746" w:rsidRPr="00BC7BB5" w:rsidRDefault="00C65746" w:rsidP="000C58E8">
      <w:pPr>
        <w:pStyle w:val="ListParagraph"/>
        <w:spacing w:after="0" w:line="240" w:lineRule="auto"/>
        <w:rPr>
          <w:rFonts w:ascii="Times New Roman" w:hAnsi="Times New Roman" w:cs="Times New Roman"/>
        </w:rPr>
      </w:pPr>
    </w:p>
    <w:p w14:paraId="3281B21C" w14:textId="7474DE33" w:rsidR="00C65746" w:rsidRPr="00BC7BB5" w:rsidRDefault="00C65746" w:rsidP="00F561E8">
      <w:pPr>
        <w:pStyle w:val="NoSpacing"/>
        <w:numPr>
          <w:ilvl w:val="0"/>
          <w:numId w:val="35"/>
        </w:numPr>
        <w:ind w:left="0" w:firstLine="0"/>
        <w:jc w:val="both"/>
        <w:rPr>
          <w:rFonts w:ascii="Times New Roman" w:hAnsi="Times New Roman" w:cs="Times New Roman"/>
        </w:rPr>
      </w:pPr>
      <w:r w:rsidRPr="00BC7BB5">
        <w:rPr>
          <w:rFonts w:ascii="Times New Roman" w:hAnsi="Times New Roman" w:cs="Times New Roman"/>
          <w:b/>
        </w:rPr>
        <w:t xml:space="preserve">The span of services needed for entrepreneurship and innovation is unevenly covered, </w:t>
      </w:r>
      <w:r w:rsidRPr="00BC7BB5">
        <w:rPr>
          <w:rFonts w:ascii="Times New Roman" w:hAnsi="Times New Roman" w:cs="Times New Roman"/>
        </w:rPr>
        <w:t>with unequal per</w:t>
      </w:r>
      <w:r w:rsidR="00685831" w:rsidRPr="00BC7BB5">
        <w:rPr>
          <w:rFonts w:ascii="Times New Roman" w:hAnsi="Times New Roman" w:cs="Times New Roman"/>
        </w:rPr>
        <w:t>formance and market orientation</w:t>
      </w:r>
      <w:r w:rsidRPr="00BC7BB5">
        <w:rPr>
          <w:rFonts w:ascii="Times New Roman" w:hAnsi="Times New Roman" w:cs="Times New Roman"/>
        </w:rPr>
        <w:t>, as well as clear gaps in terms of acceleration services, later-stage financing and access to market.</w:t>
      </w:r>
      <w:r w:rsidRPr="00BC7BB5">
        <w:rPr>
          <w:rFonts w:ascii="Times New Roman" w:hAnsi="Times New Roman" w:cs="Times New Roman"/>
          <w:b/>
        </w:rPr>
        <w:t xml:space="preserve"> </w:t>
      </w:r>
      <w:r w:rsidRPr="00BC7BB5">
        <w:rPr>
          <w:rFonts w:ascii="Times New Roman" w:hAnsi="Times New Roman" w:cs="Times New Roman"/>
        </w:rPr>
        <w:t>When accessible, most of the proposed activities cover the very first phases of entrepreneurship, namely awareness raising, incubation and support for project start-up financing through grants or loans of honor. Overarching and structured support in acceleration beyond the seed stage is currently lacking beyond ad-hoc programs. In the survey conducted for the Climate Entrepreneurship Support in Morocco in 2016, 54 percent of entrepreneurs found there to be a lack of access to market information, stating this as the biggest market barrier to doing business in Morocco.</w:t>
      </w:r>
    </w:p>
    <w:p w14:paraId="5D311876" w14:textId="1FC3132F" w:rsidR="00C65746" w:rsidRPr="00BC7BB5" w:rsidRDefault="00C65746" w:rsidP="000C58E8">
      <w:pPr>
        <w:pStyle w:val="ListParagraph"/>
        <w:spacing w:after="0" w:line="240" w:lineRule="auto"/>
        <w:rPr>
          <w:rFonts w:ascii="Times New Roman" w:hAnsi="Times New Roman" w:cs="Times New Roman"/>
        </w:rPr>
      </w:pPr>
    </w:p>
    <w:p w14:paraId="01BC8356" w14:textId="20D7BDD5" w:rsidR="00C65746" w:rsidRPr="00BC7BB5" w:rsidRDefault="00C65746" w:rsidP="00F561E8">
      <w:pPr>
        <w:pStyle w:val="NoSpacing"/>
        <w:numPr>
          <w:ilvl w:val="0"/>
          <w:numId w:val="35"/>
        </w:numPr>
        <w:ind w:left="0" w:firstLine="0"/>
        <w:jc w:val="both"/>
        <w:rPr>
          <w:rFonts w:ascii="Times New Roman" w:hAnsi="Times New Roman" w:cs="Times New Roman"/>
        </w:rPr>
      </w:pPr>
      <w:r w:rsidRPr="00BC7BB5">
        <w:rPr>
          <w:rFonts w:ascii="Times New Roman" w:hAnsi="Times New Roman" w:cs="Times New Roman"/>
          <w:b/>
          <w:color w:val="222222"/>
        </w:rPr>
        <w:t>The supply of private specialized, technical agricultural services (agronomy and livestock husbandry, financial management services and laboratories) is incomplete compared to the needs expressed by agri-food sector SMEs.</w:t>
      </w:r>
      <w:r w:rsidRPr="00BC7BB5">
        <w:rPr>
          <w:rFonts w:ascii="Times New Roman" w:hAnsi="Times New Roman" w:cs="Times New Roman"/>
          <w:color w:val="222222"/>
        </w:rPr>
        <w:t xml:space="preserve"> Private support services for marketing and market access are almost nonexistent. The offer of services is difficult to identify and assess, due to its dispersion across the territory.</w:t>
      </w:r>
    </w:p>
    <w:p w14:paraId="29700904" w14:textId="77777777" w:rsidR="00C65746" w:rsidRPr="00BC7BB5" w:rsidRDefault="00C65746" w:rsidP="008C3E21">
      <w:pPr>
        <w:pStyle w:val="ListParagraph"/>
        <w:spacing w:after="0" w:line="240" w:lineRule="auto"/>
        <w:rPr>
          <w:rFonts w:ascii="Times New Roman" w:hAnsi="Times New Roman" w:cs="Times New Roman"/>
        </w:rPr>
      </w:pPr>
    </w:p>
    <w:p w14:paraId="0F9A4F0D" w14:textId="5A57085A" w:rsidR="00C65746" w:rsidRPr="00BC7BB5" w:rsidRDefault="00C65746" w:rsidP="00F561E8">
      <w:pPr>
        <w:pStyle w:val="NoSpacing"/>
        <w:numPr>
          <w:ilvl w:val="0"/>
          <w:numId w:val="35"/>
        </w:numPr>
        <w:ind w:left="0" w:firstLine="0"/>
        <w:jc w:val="both"/>
        <w:rPr>
          <w:rFonts w:ascii="Times New Roman" w:hAnsi="Times New Roman" w:cs="Times New Roman"/>
        </w:rPr>
      </w:pPr>
      <w:r w:rsidRPr="00BC7BB5">
        <w:rPr>
          <w:rFonts w:ascii="Times New Roman" w:hAnsi="Times New Roman" w:cs="Times New Roman"/>
          <w:b/>
          <w:color w:val="000000"/>
        </w:rPr>
        <w:t>Governmen</w:t>
      </w:r>
      <w:r w:rsidRPr="00BC7BB5">
        <w:rPr>
          <w:rFonts w:ascii="Times New Roman" w:hAnsi="Times New Roman" w:cs="Times New Roman"/>
          <w:color w:val="000000"/>
        </w:rPr>
        <w:t>t</w:t>
      </w:r>
      <w:r w:rsidRPr="00BC7BB5">
        <w:rPr>
          <w:rFonts w:ascii="Times New Roman" w:hAnsi="Times New Roman" w:cs="Times New Roman"/>
          <w:b/>
        </w:rPr>
        <w:t>-run support to SMEs is fragmented and uncoordinated, with a supply-driven approach that limits its impact.</w:t>
      </w:r>
      <w:r w:rsidRPr="00BC7BB5">
        <w:rPr>
          <w:rFonts w:ascii="Times New Roman" w:hAnsi="Times New Roman" w:cs="Times New Roman"/>
        </w:rPr>
        <w:t xml:space="preserve"> For cooperatives, at least eight ministries and national and regional government agencies have a mandate for technical assistance, but with different approaches and objectives</w:t>
      </w:r>
      <w:r w:rsidRPr="00BC7BB5">
        <w:rPr>
          <w:rStyle w:val="FootnoteReference"/>
        </w:rPr>
        <w:footnoteReference w:id="53"/>
      </w:r>
      <w:r w:rsidRPr="00BC7BB5">
        <w:rPr>
          <w:rFonts w:ascii="Times New Roman" w:hAnsi="Times New Roman" w:cs="Times New Roman"/>
        </w:rPr>
        <w:t>.  Those include MAPMDREF</w:t>
      </w:r>
      <w:r w:rsidR="00685831" w:rsidRPr="00BC7BB5">
        <w:rPr>
          <w:rFonts w:ascii="Times New Roman" w:hAnsi="Times New Roman" w:cs="Times New Roman"/>
        </w:rPr>
        <w:t>, ADA, ODCO, MIICEN and MES</w:t>
      </w:r>
      <w:r w:rsidR="00EB7144" w:rsidRPr="00BC7BB5">
        <w:rPr>
          <w:rFonts w:ascii="Times New Roman" w:hAnsi="Times New Roman" w:cs="Times New Roman"/>
        </w:rPr>
        <w:t>. B</w:t>
      </w:r>
      <w:r w:rsidRPr="00BC7BB5">
        <w:rPr>
          <w:rFonts w:ascii="Times New Roman" w:hAnsi="Times New Roman" w:cs="Times New Roman"/>
          <w:color w:val="222222"/>
        </w:rPr>
        <w:t>eneficiaries emphasize that the programs are too limited in time to allow a transformative impact. Tho</w:t>
      </w:r>
      <w:r w:rsidR="00EB7144" w:rsidRPr="00BC7BB5">
        <w:rPr>
          <w:rFonts w:ascii="Times New Roman" w:hAnsi="Times New Roman" w:cs="Times New Roman"/>
          <w:color w:val="222222"/>
        </w:rPr>
        <w:t>se services are not</w:t>
      </w:r>
      <w:r w:rsidRPr="00BC7BB5">
        <w:rPr>
          <w:rFonts w:ascii="Times New Roman" w:hAnsi="Times New Roman" w:cs="Times New Roman"/>
          <w:color w:val="222222"/>
        </w:rPr>
        <w:t xml:space="preserve"> close to beneficiaries and they are not easily accessible even in the main agricultural production areas. Most</w:t>
      </w:r>
      <w:r w:rsidRPr="00BC7BB5">
        <w:rPr>
          <w:rFonts w:ascii="Times New Roman" w:hAnsi="Times New Roman" w:cs="Times New Roman"/>
          <w:b/>
          <w:color w:val="222222"/>
        </w:rPr>
        <w:t xml:space="preserve"> </w:t>
      </w:r>
      <w:r w:rsidRPr="00BC7BB5">
        <w:rPr>
          <w:rFonts w:ascii="Times New Roman" w:hAnsi="Times New Roman" w:cs="Times New Roman"/>
          <w:color w:val="222222"/>
        </w:rPr>
        <w:t xml:space="preserve">of the agencies do not collaborate, have limited ties with the private sector, and thus operate relatively inefficiently as an ecosystem. Most technical assistance and public support players remain focused on primary agriculture extension services and on R&amp;D and agronomic technology at farm-production level </w:t>
      </w:r>
      <w:r w:rsidRPr="00BC7BB5">
        <w:rPr>
          <w:rFonts w:ascii="Times New Roman" w:hAnsi="Times New Roman" w:cs="Times New Roman"/>
        </w:rPr>
        <w:t>(e.g.</w:t>
      </w:r>
      <w:r w:rsidR="00886928">
        <w:rPr>
          <w:rFonts w:ascii="Times New Roman" w:hAnsi="Times New Roman" w:cs="Times New Roman"/>
        </w:rPr>
        <w:t>,</w:t>
      </w:r>
      <w:r w:rsidRPr="00BC7BB5">
        <w:rPr>
          <w:rFonts w:ascii="Times New Roman" w:hAnsi="Times New Roman" w:cs="Times New Roman"/>
        </w:rPr>
        <w:t xml:space="preserve"> CTT, CIRDA, INRA centers). </w:t>
      </w:r>
      <w:r w:rsidRPr="00BC7BB5">
        <w:rPr>
          <w:rFonts w:ascii="Times New Roman" w:hAnsi="Times New Roman" w:cs="Times New Roman"/>
          <w:color w:val="222222"/>
        </w:rPr>
        <w:t>The availability of advice or support services for marketing is low. Incubation services and agribusiness technical laboratory services are non-existent. “Business development services” is not provided besides ad-hoc programs</w:t>
      </w:r>
      <w:r w:rsidR="00115CED" w:rsidRPr="00BC7BB5">
        <w:rPr>
          <w:rFonts w:ascii="Times New Roman" w:hAnsi="Times New Roman" w:cs="Times New Roman"/>
          <w:color w:val="222222"/>
        </w:rPr>
        <w:t>.</w:t>
      </w:r>
    </w:p>
    <w:p w14:paraId="6AB63288" w14:textId="77777777" w:rsidR="00115CED" w:rsidRPr="00BC7BB5" w:rsidRDefault="00115CED" w:rsidP="008C3E21">
      <w:pPr>
        <w:pStyle w:val="NoSpacing"/>
        <w:ind w:left="360"/>
        <w:jc w:val="both"/>
        <w:rPr>
          <w:rFonts w:ascii="Times New Roman" w:hAnsi="Times New Roman" w:cs="Times New Roman"/>
        </w:rPr>
      </w:pPr>
    </w:p>
    <w:p w14:paraId="38F7AA95" w14:textId="33980A96" w:rsidR="00115CED" w:rsidRPr="00BC7BB5" w:rsidRDefault="00115CED" w:rsidP="00F561E8">
      <w:pPr>
        <w:pStyle w:val="NoSpacing"/>
        <w:numPr>
          <w:ilvl w:val="0"/>
          <w:numId w:val="35"/>
        </w:numPr>
        <w:ind w:left="0" w:firstLine="0"/>
        <w:jc w:val="both"/>
        <w:rPr>
          <w:rFonts w:ascii="Times New Roman" w:hAnsi="Times New Roman" w:cs="Times New Roman"/>
        </w:rPr>
      </w:pPr>
      <w:r w:rsidRPr="00BC7BB5">
        <w:rPr>
          <w:rFonts w:ascii="Times New Roman" w:hAnsi="Times New Roman" w:cs="Times New Roman"/>
          <w:b/>
        </w:rPr>
        <w:t>There is experience in the development of specialized post-production innovation and services centers in Morocco in specific value chains,</w:t>
      </w:r>
      <w:r w:rsidRPr="00BC7BB5">
        <w:rPr>
          <w:rFonts w:ascii="Times New Roman" w:hAnsi="Times New Roman" w:cs="Times New Roman"/>
        </w:rPr>
        <w:t xml:space="preserve"> established through a form of </w:t>
      </w:r>
      <w:r w:rsidR="00AB2526" w:rsidRPr="00BC7BB5">
        <w:rPr>
          <w:rFonts w:ascii="Times New Roman" w:hAnsi="Times New Roman" w:cs="Times New Roman"/>
        </w:rPr>
        <w:t>PPP</w:t>
      </w:r>
      <w:r w:rsidRPr="00BC7BB5">
        <w:rPr>
          <w:rFonts w:ascii="Times New Roman" w:hAnsi="Times New Roman" w:cs="Times New Roman"/>
        </w:rPr>
        <w:t xml:space="preserve"> between professional organisations and line ministries (agriculture and industry), with mixed results. Those include</w:t>
      </w:r>
      <w:r w:rsidR="00AB2526" w:rsidRPr="00BC7BB5">
        <w:rPr>
          <w:rFonts w:ascii="Times New Roman" w:hAnsi="Times New Roman" w:cs="Times New Roman"/>
        </w:rPr>
        <w:t xml:space="preserve"> the</w:t>
      </w:r>
      <w:r w:rsidRPr="00BC7BB5">
        <w:rPr>
          <w:rFonts w:ascii="Times New Roman" w:hAnsi="Times New Roman" w:cs="Times New Roman"/>
        </w:rPr>
        <w:t xml:space="preserve"> </w:t>
      </w:r>
      <w:r w:rsidRPr="00BC7BB5">
        <w:rPr>
          <w:rFonts w:ascii="Times New Roman" w:hAnsi="Times New Roman" w:cs="Times New Roman"/>
          <w:i/>
        </w:rPr>
        <w:t>Zoopole</w:t>
      </w:r>
      <w:r w:rsidRPr="00BC7BB5">
        <w:rPr>
          <w:rFonts w:ascii="Times New Roman" w:hAnsi="Times New Roman" w:cs="Times New Roman"/>
        </w:rPr>
        <w:t xml:space="preserve"> in Casablanca specialized in meat and poultry processing, the </w:t>
      </w:r>
      <w:r w:rsidRPr="00BC7BB5">
        <w:rPr>
          <w:rFonts w:ascii="Times New Roman" w:hAnsi="Times New Roman" w:cs="Times New Roman"/>
          <w:i/>
        </w:rPr>
        <w:t>Centre de Transfert &amp; Technologie (CTT</w:t>
      </w:r>
      <w:r w:rsidR="00730643" w:rsidRPr="00BC7BB5">
        <w:rPr>
          <w:rFonts w:ascii="Times New Roman" w:hAnsi="Times New Roman" w:cs="Times New Roman"/>
          <w:i/>
        </w:rPr>
        <w:fldChar w:fldCharType="begin"/>
      </w:r>
      <w:r w:rsidR="00730643" w:rsidRPr="00BC7BB5">
        <w:instrText xml:space="preserve"> XE "</w:instrText>
      </w:r>
      <w:r w:rsidR="00730643" w:rsidRPr="00BC7BB5">
        <w:rPr>
          <w:rFonts w:ascii="Times New Roman" w:hAnsi="Times New Roman" w:cs="Times New Roman"/>
          <w:i/>
        </w:rPr>
        <w:instrText>CTT:</w:instrText>
      </w:r>
      <w:r w:rsidR="00730643" w:rsidRPr="00BC7BB5">
        <w:instrText xml:space="preserve">Centre de Transfert &amp; Technologie" </w:instrText>
      </w:r>
      <w:r w:rsidR="00730643" w:rsidRPr="00BC7BB5">
        <w:rPr>
          <w:rFonts w:ascii="Times New Roman" w:hAnsi="Times New Roman" w:cs="Times New Roman"/>
          <w:i/>
        </w:rPr>
        <w:fldChar w:fldCharType="end"/>
      </w:r>
      <w:r w:rsidRPr="00BC7BB5">
        <w:rPr>
          <w:rFonts w:ascii="Times New Roman" w:hAnsi="Times New Roman" w:cs="Times New Roman"/>
          <w:i/>
        </w:rPr>
        <w:t xml:space="preserve">) in Agadir </w:t>
      </w:r>
      <w:r w:rsidRPr="00BC7BB5">
        <w:rPr>
          <w:rFonts w:ascii="Times New Roman" w:hAnsi="Times New Roman" w:cs="Times New Roman"/>
        </w:rPr>
        <w:t>around fruits and vegetables</w:t>
      </w:r>
      <w:r w:rsidRPr="00BC7BB5">
        <w:rPr>
          <w:rFonts w:ascii="Times New Roman" w:hAnsi="Times New Roman" w:cs="Times New Roman"/>
          <w:i/>
        </w:rPr>
        <w:t xml:space="preserve"> </w:t>
      </w:r>
      <w:r w:rsidRPr="00BC7BB5">
        <w:rPr>
          <w:rFonts w:ascii="Times New Roman" w:hAnsi="Times New Roman" w:cs="Times New Roman"/>
        </w:rPr>
        <w:t xml:space="preserve">founded by APEFEL in 2005 with the support of UNIDO, and the </w:t>
      </w:r>
      <w:r w:rsidRPr="00BC7BB5">
        <w:rPr>
          <w:rFonts w:ascii="Times New Roman" w:hAnsi="Times New Roman" w:cs="Times New Roman"/>
          <w:i/>
        </w:rPr>
        <w:t>Centre Technique Industriel marocain de l’agro-alimentaire</w:t>
      </w:r>
      <w:r w:rsidRPr="00BC7BB5">
        <w:rPr>
          <w:rFonts w:ascii="Times New Roman" w:hAnsi="Times New Roman" w:cs="Times New Roman"/>
        </w:rPr>
        <w:t> (CETIA</w:t>
      </w:r>
      <w:r w:rsidR="00730643" w:rsidRPr="00BC7BB5">
        <w:rPr>
          <w:rFonts w:ascii="Times New Roman" w:hAnsi="Times New Roman" w:cs="Times New Roman"/>
        </w:rPr>
        <w:fldChar w:fldCharType="begin"/>
      </w:r>
      <w:r w:rsidR="00730643" w:rsidRPr="00BC7BB5">
        <w:instrText xml:space="preserve"> XE "</w:instrText>
      </w:r>
      <w:r w:rsidR="00730643" w:rsidRPr="00BC7BB5">
        <w:rPr>
          <w:rFonts w:ascii="Times New Roman" w:hAnsi="Times New Roman" w:cs="Times New Roman"/>
        </w:rPr>
        <w:instrText>CETIA:</w:instrText>
      </w:r>
      <w:r w:rsidR="00730643" w:rsidRPr="00BC7BB5">
        <w:instrText xml:space="preserve">Centre Technique Industriel marocain de l’agro-alimentaire" </w:instrText>
      </w:r>
      <w:r w:rsidR="00730643" w:rsidRPr="00BC7BB5">
        <w:rPr>
          <w:rFonts w:ascii="Times New Roman" w:hAnsi="Times New Roman" w:cs="Times New Roman"/>
        </w:rPr>
        <w:fldChar w:fldCharType="end"/>
      </w:r>
      <w:r w:rsidRPr="00BC7BB5">
        <w:rPr>
          <w:rFonts w:ascii="Times New Roman" w:hAnsi="Times New Roman" w:cs="Times New Roman"/>
        </w:rPr>
        <w:t xml:space="preserve">), founded in 1998 by FENAGRI.  </w:t>
      </w:r>
      <w:r w:rsidR="00AB2526" w:rsidRPr="00BC7BB5">
        <w:rPr>
          <w:rFonts w:ascii="Times New Roman" w:hAnsi="Times New Roman" w:cs="Times New Roman"/>
        </w:rPr>
        <w:t>The technical assessment found</w:t>
      </w:r>
      <w:r w:rsidRPr="00BC7BB5">
        <w:rPr>
          <w:rFonts w:ascii="Times New Roman" w:hAnsi="Times New Roman" w:cs="Times New Roman"/>
        </w:rPr>
        <w:t xml:space="preserve"> that CTT and Zoopole show positive results, while CETIA has been closed due to a lack of financial resources. Consultations indicate that the success factors for those centers depend on the adequacy of proposed services to the </w:t>
      </w:r>
      <w:r w:rsidR="00AB2526" w:rsidRPr="00BC7BB5">
        <w:rPr>
          <w:rFonts w:ascii="Times New Roman" w:hAnsi="Times New Roman" w:cs="Times New Roman"/>
        </w:rPr>
        <w:t>demand</w:t>
      </w:r>
      <w:r w:rsidRPr="00BC7BB5">
        <w:rPr>
          <w:rFonts w:ascii="Times New Roman" w:hAnsi="Times New Roman" w:cs="Times New Roman"/>
        </w:rPr>
        <w:t xml:space="preserve"> of the industry (mix of research, technical support, training etc.), the financial sustainability of the business model with a diversification of income resources </w:t>
      </w:r>
      <w:r w:rsidRPr="00BC7BB5">
        <w:rPr>
          <w:rFonts w:ascii="Times New Roman" w:hAnsi="Times New Roman" w:cs="Times New Roman"/>
        </w:rPr>
        <w:lastRenderedPageBreak/>
        <w:t>(public support, professional organization contribution, service fees), and the adoption of results-based management (for instance, project-based financing for technic</w:t>
      </w:r>
      <w:r w:rsidR="00AB2526" w:rsidRPr="00BC7BB5">
        <w:rPr>
          <w:rFonts w:ascii="Times New Roman" w:hAnsi="Times New Roman" w:cs="Times New Roman"/>
        </w:rPr>
        <w:t>al centers established by MIIC</w:t>
      </w:r>
      <w:r w:rsidRPr="00BC7BB5">
        <w:rPr>
          <w:rFonts w:ascii="Times New Roman" w:hAnsi="Times New Roman" w:cs="Times New Roman"/>
        </w:rPr>
        <w:t>EN).</w:t>
      </w:r>
    </w:p>
    <w:p w14:paraId="53DC1ED8" w14:textId="77777777" w:rsidR="00C65746" w:rsidRPr="00BC7BB5" w:rsidRDefault="00C65746" w:rsidP="008C3E21">
      <w:pPr>
        <w:pStyle w:val="ListParagraph"/>
        <w:spacing w:after="0" w:line="240" w:lineRule="auto"/>
        <w:rPr>
          <w:rFonts w:ascii="Times New Roman" w:hAnsi="Times New Roman" w:cs="Times New Roman"/>
        </w:rPr>
      </w:pPr>
    </w:p>
    <w:p w14:paraId="32F84CA0" w14:textId="2E3BAA9F" w:rsidR="00C65746" w:rsidRPr="00BC7BB5" w:rsidRDefault="00DD2B47" w:rsidP="00F561E8">
      <w:pPr>
        <w:pStyle w:val="NoSpacing"/>
        <w:numPr>
          <w:ilvl w:val="0"/>
          <w:numId w:val="35"/>
        </w:numPr>
        <w:ind w:left="0" w:firstLine="0"/>
        <w:jc w:val="both"/>
        <w:rPr>
          <w:rFonts w:ascii="Times New Roman" w:hAnsi="Times New Roman" w:cs="Times New Roman"/>
        </w:rPr>
      </w:pPr>
      <w:r w:rsidRPr="00BC7BB5">
        <w:rPr>
          <w:rFonts w:ascii="Times New Roman" w:hAnsi="Times New Roman" w:cs="Times New Roman"/>
          <w:b/>
        </w:rPr>
        <w:t>I</w:t>
      </w:r>
      <w:r w:rsidR="00115CED" w:rsidRPr="00BC7BB5">
        <w:rPr>
          <w:rFonts w:ascii="Times New Roman" w:hAnsi="Times New Roman" w:cs="Times New Roman"/>
          <w:b/>
        </w:rPr>
        <w:t xml:space="preserve">nnovation at firm level is also held back by the lack of skilled labor. </w:t>
      </w:r>
      <w:r w:rsidR="00115CED" w:rsidRPr="00BC7BB5">
        <w:rPr>
          <w:rFonts w:ascii="Times New Roman" w:hAnsi="Times New Roman" w:cs="Times New Roman"/>
          <w:color w:val="000000" w:themeColor="text1"/>
        </w:rPr>
        <w:t>Finding the right skills is one of the three main challenges highlighted by surveys of agri-food enterprises in Morocco. The CP IAA estimates that, for 2016-2010, an additional 45,000 mostly workers and technicians would need to be trained to meet the needs of the agri-food sector.</w:t>
      </w:r>
    </w:p>
    <w:p w14:paraId="6B59CDFA" w14:textId="77777777" w:rsidR="00D22ACC" w:rsidRPr="00BC7BB5" w:rsidRDefault="00D22ACC" w:rsidP="00DD2B47">
      <w:pPr>
        <w:pStyle w:val="ListParagraph"/>
        <w:spacing w:after="0" w:line="240" w:lineRule="auto"/>
        <w:rPr>
          <w:rFonts w:ascii="Times New Roman" w:hAnsi="Times New Roman" w:cs="Times New Roman"/>
        </w:rPr>
      </w:pPr>
    </w:p>
    <w:p w14:paraId="3748EBAF" w14:textId="5D8B5202" w:rsidR="00D22ACC" w:rsidRPr="00BC7BB5" w:rsidRDefault="00D22ACC" w:rsidP="00F561E8">
      <w:pPr>
        <w:pStyle w:val="NoSpacing"/>
        <w:numPr>
          <w:ilvl w:val="0"/>
          <w:numId w:val="35"/>
        </w:numPr>
        <w:ind w:left="0" w:firstLine="0"/>
        <w:jc w:val="both"/>
        <w:rPr>
          <w:rFonts w:ascii="Times New Roman" w:hAnsi="Times New Roman" w:cs="Times New Roman"/>
        </w:rPr>
      </w:pPr>
      <w:r w:rsidRPr="00BC7BB5">
        <w:rPr>
          <w:rFonts w:ascii="Times New Roman" w:hAnsi="Times New Roman" w:cs="Times New Roman"/>
          <w:b/>
          <w:bCs/>
          <w:color w:val="000000"/>
        </w:rPr>
        <w:t>The Program aims at fostering innovation and entrepreneurship in the agri-food sector, by improving agribusiness SMEs access to finance and skills, increasing their capacity for innovation, and their access to marketing and distribution networks</w:t>
      </w:r>
      <w:r w:rsidRPr="00BC7BB5">
        <w:rPr>
          <w:rFonts w:ascii="Times New Roman" w:hAnsi="Times New Roman" w:cs="Times New Roman"/>
          <w:b/>
          <w:bCs/>
          <w:color w:val="000000"/>
          <w:vertAlign w:val="superscript"/>
        </w:rPr>
        <w:footnoteReference w:id="54"/>
      </w:r>
      <w:r w:rsidRPr="00BC7BB5">
        <w:rPr>
          <w:rFonts w:ascii="Times New Roman" w:hAnsi="Times New Roman" w:cs="Times New Roman"/>
          <w:b/>
          <w:bCs/>
          <w:color w:val="000000"/>
        </w:rPr>
        <w:t xml:space="preserve">. </w:t>
      </w:r>
      <w:r w:rsidRPr="00BC7BB5">
        <w:rPr>
          <w:rFonts w:ascii="Times New Roman" w:hAnsi="Times New Roman" w:cs="Times New Roman"/>
          <w:bCs/>
          <w:color w:val="000000"/>
        </w:rPr>
        <w:t>Considering the vulnerability of Morocco to climate change and water scarcity, this result area will also support the adoption of climate smart technologies. The rationale for Program intervention is to compensate the identified gaps and market failures that limit innovation and value-addition at SME level, in particular the lack of public goods such as innovation support infrastructure, the information asymmetry in agri-food markets, the lack of economies of scale at SME level and associated high cost of innovation, and high cost and scarcity of skilled labor.</w:t>
      </w:r>
    </w:p>
    <w:p w14:paraId="5BB411BA" w14:textId="77777777" w:rsidR="00FF1F7A" w:rsidRPr="00BC7BB5" w:rsidRDefault="00FF1F7A" w:rsidP="00FF1F7A">
      <w:pPr>
        <w:pStyle w:val="NoSpacing"/>
        <w:jc w:val="both"/>
        <w:rPr>
          <w:rFonts w:ascii="Times New Roman" w:hAnsi="Times New Roman" w:cs="Times New Roman"/>
        </w:rPr>
      </w:pPr>
    </w:p>
    <w:p w14:paraId="7397A42A" w14:textId="7810198D" w:rsidR="00D22ACC" w:rsidRPr="00BC7BB5" w:rsidRDefault="00D22ACC" w:rsidP="00F561E8">
      <w:pPr>
        <w:pStyle w:val="NoSpacing"/>
        <w:numPr>
          <w:ilvl w:val="0"/>
          <w:numId w:val="35"/>
        </w:numPr>
        <w:ind w:left="0" w:firstLine="0"/>
        <w:jc w:val="both"/>
        <w:rPr>
          <w:rFonts w:ascii="Times New Roman" w:hAnsi="Times New Roman" w:cs="Times New Roman"/>
        </w:rPr>
      </w:pPr>
      <w:r w:rsidRPr="00BC7BB5">
        <w:rPr>
          <w:rFonts w:ascii="Times New Roman" w:hAnsi="Times New Roman" w:cs="Times New Roman"/>
          <w:bCs/>
          <w:color w:val="000000"/>
        </w:rPr>
        <w:t xml:space="preserve">To </w:t>
      </w:r>
      <w:r w:rsidR="005C184E" w:rsidRPr="00BC7BB5">
        <w:rPr>
          <w:rFonts w:ascii="Times New Roman" w:hAnsi="Times New Roman" w:cs="Times New Roman"/>
          <w:bCs/>
          <w:color w:val="000000"/>
        </w:rPr>
        <w:t>address the gaps in the ecosystem and</w:t>
      </w:r>
      <w:r w:rsidR="005C184E" w:rsidRPr="00BC7BB5">
        <w:rPr>
          <w:rFonts w:ascii="Times New Roman" w:hAnsi="Times New Roman" w:cs="Times New Roman"/>
          <w:color w:val="222222"/>
        </w:rPr>
        <w:t xml:space="preserve"> support </w:t>
      </w:r>
      <w:r w:rsidR="005C184E" w:rsidRPr="00BC7BB5">
        <w:rPr>
          <w:rFonts w:ascii="Times New Roman" w:hAnsi="Times New Roman" w:cs="Times New Roman"/>
        </w:rPr>
        <w:t>the development of innovative agribusiness SMEs, s</w:t>
      </w:r>
      <w:r w:rsidR="005C184E" w:rsidRPr="00BC7BB5">
        <w:rPr>
          <w:rFonts w:ascii="Times New Roman" w:hAnsi="Times New Roman" w:cs="Times New Roman"/>
          <w:bCs/>
        </w:rPr>
        <w:t>upport under the proposed Program would be provided through two activities</w:t>
      </w:r>
      <w:r w:rsidR="00886928">
        <w:rPr>
          <w:rFonts w:ascii="Times New Roman" w:hAnsi="Times New Roman" w:cs="Times New Roman"/>
          <w:bCs/>
        </w:rPr>
        <w:t>:</w:t>
      </w:r>
      <w:r w:rsidR="005C184E" w:rsidRPr="00BC7BB5">
        <w:rPr>
          <w:rFonts w:ascii="Times New Roman" w:hAnsi="Times New Roman" w:cs="Times New Roman"/>
          <w:bCs/>
        </w:rPr>
        <w:t xml:space="preserve"> (a) Technical and Business Services to be offered by the </w:t>
      </w:r>
      <w:r w:rsidR="005C184E" w:rsidRPr="00BC7BB5">
        <w:rPr>
          <w:rFonts w:ascii="Times New Roman" w:hAnsi="Times New Roman" w:cs="Times New Roman"/>
          <w:bCs/>
          <w:i/>
        </w:rPr>
        <w:t>Centres d’Innovation Agro-Alimentaire (CIA</w:t>
      </w:r>
      <w:r w:rsidR="005C184E" w:rsidRPr="00BC7BB5">
        <w:rPr>
          <w:rFonts w:ascii="Times New Roman" w:hAnsi="Times New Roman" w:cs="Times New Roman"/>
          <w:bCs/>
          <w:i/>
        </w:rPr>
        <w:fldChar w:fldCharType="begin"/>
      </w:r>
      <w:r w:rsidR="005C184E" w:rsidRPr="00BC7BB5">
        <w:instrText xml:space="preserve"> XE "</w:instrText>
      </w:r>
      <w:r w:rsidR="005C184E" w:rsidRPr="00BC7BB5">
        <w:rPr>
          <w:rFonts w:ascii="Times New Roman" w:hAnsi="Times New Roman" w:cs="Times New Roman"/>
          <w:bCs/>
          <w:i/>
        </w:rPr>
        <w:instrText>CIAA:</w:instrText>
      </w:r>
      <w:r w:rsidR="005C184E" w:rsidRPr="00BC7BB5">
        <w:instrText xml:space="preserve">Centres d’Innovation Agro-Alimentaire" </w:instrText>
      </w:r>
      <w:r w:rsidR="005C184E" w:rsidRPr="00BC7BB5">
        <w:rPr>
          <w:rFonts w:ascii="Times New Roman" w:hAnsi="Times New Roman" w:cs="Times New Roman"/>
          <w:bCs/>
          <w:i/>
        </w:rPr>
        <w:fldChar w:fldCharType="end"/>
      </w:r>
      <w:r w:rsidR="005C184E" w:rsidRPr="00BC7BB5">
        <w:rPr>
          <w:rFonts w:ascii="Times New Roman" w:hAnsi="Times New Roman" w:cs="Times New Roman"/>
          <w:bCs/>
          <w:i/>
        </w:rPr>
        <w:t>)</w:t>
      </w:r>
      <w:r w:rsidR="00886928">
        <w:rPr>
          <w:rFonts w:ascii="Times New Roman" w:hAnsi="Times New Roman" w:cs="Times New Roman"/>
          <w:bCs/>
          <w:i/>
        </w:rPr>
        <w:t>,</w:t>
      </w:r>
      <w:r w:rsidR="005C184E" w:rsidRPr="00BC7BB5">
        <w:rPr>
          <w:rFonts w:ascii="Times New Roman" w:hAnsi="Times New Roman" w:cs="Times New Roman"/>
          <w:bCs/>
        </w:rPr>
        <w:t xml:space="preserve"> and</w:t>
      </w:r>
      <w:r w:rsidR="005C184E" w:rsidRPr="00BC7BB5">
        <w:rPr>
          <w:rFonts w:ascii="Times New Roman" w:hAnsi="Times New Roman" w:cs="Times New Roman"/>
        </w:rPr>
        <w:t xml:space="preserve"> (b) </w:t>
      </w:r>
      <w:r w:rsidR="005C184E" w:rsidRPr="00BC7BB5">
        <w:rPr>
          <w:rFonts w:ascii="Times New Roman" w:hAnsi="Times New Roman" w:cs="Times New Roman"/>
          <w:bCs/>
        </w:rPr>
        <w:t>a competitive grant mechanism</w:t>
      </w:r>
      <w:r w:rsidR="005C184E" w:rsidRPr="00BC7BB5">
        <w:rPr>
          <w:rFonts w:ascii="Times New Roman" w:hAnsi="Times New Roman" w:cs="Times New Roman"/>
        </w:rPr>
        <w:t xml:space="preserve"> to support SMEs innovative projects through CIAs</w:t>
      </w:r>
      <w:r w:rsidRPr="00BC7BB5">
        <w:rPr>
          <w:rFonts w:ascii="Times New Roman" w:hAnsi="Times New Roman" w:cs="Times New Roman"/>
        </w:rPr>
        <w:t>.</w:t>
      </w:r>
    </w:p>
    <w:p w14:paraId="4BD2508C" w14:textId="77777777" w:rsidR="00FF1F7A" w:rsidRPr="00BC7BB5" w:rsidRDefault="00FF1F7A" w:rsidP="00FF1F7A">
      <w:pPr>
        <w:pStyle w:val="NoSpacing"/>
        <w:jc w:val="both"/>
        <w:rPr>
          <w:rFonts w:ascii="Times New Roman" w:hAnsi="Times New Roman" w:cs="Times New Roman"/>
        </w:rPr>
      </w:pPr>
    </w:p>
    <w:p w14:paraId="10D78BF2" w14:textId="5154CE63" w:rsidR="00D22ACC" w:rsidRPr="00BC7BB5" w:rsidRDefault="00D22ACC" w:rsidP="00F561E8">
      <w:pPr>
        <w:pStyle w:val="NoSpacing"/>
        <w:numPr>
          <w:ilvl w:val="0"/>
          <w:numId w:val="35"/>
        </w:numPr>
        <w:ind w:left="0" w:firstLine="0"/>
        <w:jc w:val="both"/>
        <w:rPr>
          <w:rFonts w:ascii="Times New Roman" w:hAnsi="Times New Roman" w:cs="Times New Roman"/>
        </w:rPr>
      </w:pPr>
      <w:r w:rsidRPr="00BC7BB5">
        <w:rPr>
          <w:rFonts w:ascii="Times New Roman" w:hAnsi="Times New Roman" w:cs="Times New Roman"/>
          <w:b/>
        </w:rPr>
        <w:t>Establishment of CIAs.</w:t>
      </w:r>
      <w:r w:rsidRPr="00BC7BB5">
        <w:rPr>
          <w:rFonts w:ascii="Times New Roman" w:hAnsi="Times New Roman" w:cs="Times New Roman"/>
        </w:rPr>
        <w:t xml:space="preserve"> </w:t>
      </w:r>
      <w:r w:rsidR="005C184E" w:rsidRPr="00BC7BB5">
        <w:rPr>
          <w:rFonts w:ascii="Times New Roman" w:hAnsi="Times New Roman" w:cs="Times New Roman"/>
          <w:color w:val="222222"/>
        </w:rPr>
        <w:t xml:space="preserve">The CIAs would offer a range of services </w:t>
      </w:r>
      <w:r w:rsidR="00B24E33" w:rsidRPr="00BC7BB5">
        <w:rPr>
          <w:rFonts w:ascii="Times New Roman" w:hAnsi="Times New Roman" w:cs="Times New Roman"/>
          <w:color w:val="222222"/>
        </w:rPr>
        <w:t xml:space="preserve">(business development services, incubation, technical services, etc.) </w:t>
      </w:r>
      <w:r w:rsidR="005C184E" w:rsidRPr="00BC7BB5">
        <w:rPr>
          <w:rFonts w:ascii="Times New Roman" w:hAnsi="Times New Roman" w:cs="Times New Roman"/>
          <w:color w:val="222222"/>
        </w:rPr>
        <w:t xml:space="preserve">and trainings aiming at improving agri-food SMEs’ capacity and skills (managerial, technical, access to market, etc.) to add value and access market opportunities. </w:t>
      </w:r>
      <w:r w:rsidR="005C184E" w:rsidRPr="00BC7BB5">
        <w:rPr>
          <w:rFonts w:ascii="Times New Roman" w:hAnsi="Times New Roman" w:cs="Times New Roman"/>
        </w:rPr>
        <w:t>The Program would support the establishment and operation of two CIAs, whose mission, activities and main operational features are based on assessments of the existing ecosystems, survey of the demand for services from SMEs and early design feasibility carried out in 2017. The centers would offer a set of services identified based on SMEs’ needs assessment, to which individual beneficiaries would have access on whole or in part depending on their specific needs which are expected to be heterogeneous: technical support, management support, market knowledge and market access, incubation and networking</w:t>
      </w:r>
      <w:r w:rsidR="001D4249" w:rsidRPr="00BC7BB5">
        <w:rPr>
          <w:rFonts w:ascii="Times New Roman" w:hAnsi="Times New Roman" w:cs="Times New Roman"/>
        </w:rPr>
        <w:t xml:space="preserve">. </w:t>
      </w:r>
    </w:p>
    <w:p w14:paraId="0394A507" w14:textId="77777777" w:rsidR="0030368C" w:rsidRPr="00BC7BB5" w:rsidRDefault="0030368C" w:rsidP="0030368C">
      <w:pPr>
        <w:pStyle w:val="NoSpacing"/>
        <w:ind w:left="360"/>
        <w:jc w:val="both"/>
        <w:rPr>
          <w:rFonts w:ascii="Times New Roman" w:hAnsi="Times New Roman" w:cs="Times New Roman"/>
        </w:rPr>
      </w:pPr>
    </w:p>
    <w:p w14:paraId="1482514A" w14:textId="0DC611C6" w:rsidR="0030368C" w:rsidRPr="00BC7BB5" w:rsidRDefault="0030368C" w:rsidP="00F561E8">
      <w:pPr>
        <w:pStyle w:val="NoSpacing"/>
        <w:numPr>
          <w:ilvl w:val="0"/>
          <w:numId w:val="35"/>
        </w:numPr>
        <w:ind w:left="0" w:firstLine="0"/>
        <w:jc w:val="both"/>
        <w:rPr>
          <w:rFonts w:ascii="Times New Roman" w:hAnsi="Times New Roman" w:cs="Times New Roman"/>
        </w:rPr>
      </w:pPr>
      <w:r w:rsidRPr="00BC7BB5">
        <w:rPr>
          <w:rFonts w:ascii="Times New Roman" w:hAnsi="Times New Roman" w:cs="Times New Roman"/>
          <w:b/>
        </w:rPr>
        <w:t>The main design features</w:t>
      </w:r>
      <w:r w:rsidRPr="00BC7BB5">
        <w:rPr>
          <w:rFonts w:ascii="Times New Roman" w:hAnsi="Times New Roman" w:cs="Times New Roman"/>
        </w:rPr>
        <w:t xml:space="preserve"> of the CIAs would include the following:</w:t>
      </w:r>
    </w:p>
    <w:p w14:paraId="36403A3C" w14:textId="77777777" w:rsidR="00DD0D1E" w:rsidRPr="00BC7BB5" w:rsidRDefault="00DD0D1E" w:rsidP="008C3E21">
      <w:pPr>
        <w:spacing w:after="0" w:line="240" w:lineRule="auto"/>
        <w:ind w:left="806"/>
        <w:jc w:val="both"/>
        <w:rPr>
          <w:rFonts w:ascii="Times New Roman" w:hAnsi="Times New Roman" w:cs="Times New Roman"/>
        </w:rPr>
      </w:pPr>
    </w:p>
    <w:p w14:paraId="3B2CC6D5" w14:textId="4176FDB6" w:rsidR="0030368C" w:rsidRPr="00BC7BB5" w:rsidRDefault="00474E2C" w:rsidP="00F561E8">
      <w:pPr>
        <w:pStyle w:val="ListParagraph"/>
        <w:numPr>
          <w:ilvl w:val="1"/>
          <w:numId w:val="19"/>
        </w:numPr>
        <w:spacing w:after="160" w:line="240" w:lineRule="auto"/>
        <w:ind w:left="720" w:firstLine="0"/>
        <w:jc w:val="both"/>
        <w:rPr>
          <w:rFonts w:ascii="Times New Roman" w:hAnsi="Times New Roman" w:cs="Times New Roman"/>
        </w:rPr>
      </w:pPr>
      <w:r w:rsidRPr="00BC7BB5">
        <w:rPr>
          <w:rFonts w:ascii="Times New Roman" w:hAnsi="Times New Roman" w:cs="Times New Roman"/>
        </w:rPr>
        <w:t>T</w:t>
      </w:r>
      <w:r w:rsidR="0030368C" w:rsidRPr="00BC7BB5">
        <w:rPr>
          <w:rFonts w:ascii="Times New Roman" w:hAnsi="Times New Roman" w:cs="Times New Roman"/>
        </w:rPr>
        <w:t>he CIAs would</w:t>
      </w:r>
      <w:r w:rsidRPr="00BC7BB5">
        <w:rPr>
          <w:rFonts w:ascii="Times New Roman" w:hAnsi="Times New Roman" w:cs="Times New Roman"/>
        </w:rPr>
        <w:t xml:space="preserve"> provide</w:t>
      </w:r>
      <w:r w:rsidR="0030368C" w:rsidRPr="00BC7BB5">
        <w:rPr>
          <w:rFonts w:ascii="Times New Roman" w:hAnsi="Times New Roman" w:cs="Times New Roman"/>
        </w:rPr>
        <w:t xml:space="preserve"> services mostly through partnerships with the existing private players and public agencies with established capacities (e.g.</w:t>
      </w:r>
      <w:r w:rsidR="00886928">
        <w:rPr>
          <w:rFonts w:ascii="Times New Roman" w:hAnsi="Times New Roman" w:cs="Times New Roman"/>
        </w:rPr>
        <w:t>,</w:t>
      </w:r>
      <w:r w:rsidR="0030368C" w:rsidRPr="00BC7BB5">
        <w:rPr>
          <w:rFonts w:ascii="Times New Roman" w:hAnsi="Times New Roman" w:cs="Times New Roman"/>
        </w:rPr>
        <w:t xml:space="preserve"> EACCE, ONSSA). The CIAs would complement the existing ecosystem, acting as an interface between beneficiaries and existing service providers, and developing internally only the services where a market gap has been identified. The centers would specialize in specific activities that no private player has the capacity to offer when the centers become operational (for instance</w:t>
      </w:r>
      <w:r w:rsidR="00886928">
        <w:rPr>
          <w:rFonts w:ascii="Times New Roman" w:hAnsi="Times New Roman" w:cs="Times New Roman"/>
        </w:rPr>
        <w:t>,</w:t>
      </w:r>
      <w:r w:rsidR="0030368C" w:rsidRPr="00BC7BB5">
        <w:rPr>
          <w:rFonts w:ascii="Times New Roman" w:hAnsi="Times New Roman" w:cs="Times New Roman"/>
        </w:rPr>
        <w:t xml:space="preserve"> sensory analyzes, testing, conditioning, etc.) and would recruit staff with required expertise accordingly;</w:t>
      </w:r>
    </w:p>
    <w:p w14:paraId="3FD4BF35" w14:textId="5C919197" w:rsidR="0030368C" w:rsidRPr="00BC7BB5" w:rsidRDefault="0030368C" w:rsidP="00F561E8">
      <w:pPr>
        <w:pStyle w:val="ListParagraph"/>
        <w:numPr>
          <w:ilvl w:val="1"/>
          <w:numId w:val="19"/>
        </w:numPr>
        <w:spacing w:after="160" w:line="240" w:lineRule="auto"/>
        <w:ind w:left="720" w:firstLine="0"/>
        <w:jc w:val="both"/>
        <w:rPr>
          <w:rFonts w:ascii="Times New Roman" w:hAnsi="Times New Roman" w:cs="Times New Roman"/>
        </w:rPr>
      </w:pPr>
      <w:r w:rsidRPr="00BC7BB5">
        <w:rPr>
          <w:rFonts w:ascii="Times New Roman" w:hAnsi="Times New Roman" w:cs="Times New Roman"/>
        </w:rPr>
        <w:t xml:space="preserve">The CIA business model is built on public and private financing with an objective of gradual financial sustainability over the medium-term. </w:t>
      </w:r>
      <w:r w:rsidR="00004BD5">
        <w:rPr>
          <w:rFonts w:ascii="Times New Roman" w:hAnsi="Times New Roman" w:cs="Times New Roman"/>
        </w:rPr>
        <w:t>The level of p</w:t>
      </w:r>
      <w:r w:rsidR="00151327">
        <w:rPr>
          <w:rFonts w:ascii="Times New Roman" w:hAnsi="Times New Roman" w:cs="Times New Roman"/>
        </w:rPr>
        <w:t xml:space="preserve">ublic </w:t>
      </w:r>
      <w:r w:rsidR="00004BD5">
        <w:rPr>
          <w:rFonts w:ascii="Times New Roman" w:hAnsi="Times New Roman" w:cs="Times New Roman"/>
        </w:rPr>
        <w:t>financial incentives</w:t>
      </w:r>
      <w:r w:rsidR="00151327">
        <w:rPr>
          <w:rFonts w:ascii="Times New Roman" w:hAnsi="Times New Roman" w:cs="Times New Roman"/>
        </w:rPr>
        <w:t xml:space="preserve"> </w:t>
      </w:r>
      <w:r w:rsidR="00004BD5">
        <w:rPr>
          <w:rFonts w:ascii="Times New Roman" w:hAnsi="Times New Roman" w:cs="Times New Roman"/>
        </w:rPr>
        <w:t>provided for services offered by the CIAs to private operators would be based on the status of those operators (SMEs, cooperatives, GIEs, etc.) and the nature of those services</w:t>
      </w:r>
      <w:r w:rsidR="00474E2C" w:rsidRPr="00BC7BB5">
        <w:rPr>
          <w:rFonts w:ascii="Times New Roman" w:hAnsi="Times New Roman" w:cs="Times New Roman"/>
        </w:rPr>
        <w:t xml:space="preserve">. Beneficiaries would </w:t>
      </w:r>
      <w:r w:rsidRPr="00BC7BB5">
        <w:rPr>
          <w:rFonts w:ascii="Times New Roman" w:hAnsi="Times New Roman" w:cs="Times New Roman"/>
        </w:rPr>
        <w:t xml:space="preserve">pay a service fee and/or a membership fee which would be fully or partly subsidized by public financing.  Public financing would be </w:t>
      </w:r>
      <w:r w:rsidR="00474E2C" w:rsidRPr="00BC7BB5">
        <w:rPr>
          <w:rFonts w:ascii="Times New Roman" w:hAnsi="Times New Roman" w:cs="Times New Roman"/>
        </w:rPr>
        <w:t>resul</w:t>
      </w:r>
      <w:r w:rsidR="00004BD5">
        <w:rPr>
          <w:rFonts w:ascii="Times New Roman" w:hAnsi="Times New Roman" w:cs="Times New Roman"/>
        </w:rPr>
        <w:t>ts-based depending on the CIA</w:t>
      </w:r>
      <w:r w:rsidR="00474E2C" w:rsidRPr="00BC7BB5">
        <w:rPr>
          <w:rFonts w:ascii="Times New Roman" w:hAnsi="Times New Roman" w:cs="Times New Roman"/>
        </w:rPr>
        <w:t>’s performance</w:t>
      </w:r>
      <w:r w:rsidR="007C733A" w:rsidRPr="00BC7BB5">
        <w:rPr>
          <w:rFonts w:ascii="Times New Roman" w:hAnsi="Times New Roman" w:cs="Times New Roman"/>
        </w:rPr>
        <w:t xml:space="preserve"> in terms </w:t>
      </w:r>
      <w:r w:rsidR="007C733A" w:rsidRPr="00BC7BB5">
        <w:rPr>
          <w:rFonts w:ascii="Times New Roman" w:hAnsi="Times New Roman" w:cs="Times New Roman"/>
        </w:rPr>
        <w:lastRenderedPageBreak/>
        <w:t>of volume and quality of services provided</w:t>
      </w:r>
      <w:r w:rsidR="00004BD5">
        <w:rPr>
          <w:rFonts w:ascii="Times New Roman" w:hAnsi="Times New Roman" w:cs="Times New Roman"/>
        </w:rPr>
        <w:t>. The CIA</w:t>
      </w:r>
      <w:r w:rsidRPr="00BC7BB5">
        <w:rPr>
          <w:rFonts w:ascii="Times New Roman" w:hAnsi="Times New Roman" w:cs="Times New Roman"/>
        </w:rPr>
        <w:t xml:space="preserve">s would be </w:t>
      </w:r>
      <w:r w:rsidR="00004BD5">
        <w:rPr>
          <w:rFonts w:ascii="Times New Roman" w:hAnsi="Times New Roman" w:cs="Times New Roman"/>
        </w:rPr>
        <w:t>established by</w:t>
      </w:r>
      <w:r w:rsidRPr="00BC7BB5">
        <w:rPr>
          <w:rFonts w:ascii="Times New Roman" w:hAnsi="Times New Roman" w:cs="Times New Roman"/>
        </w:rPr>
        <w:t xml:space="preserve"> MAPMDREF and would be </w:t>
      </w:r>
      <w:r w:rsidR="00004BD5">
        <w:rPr>
          <w:rFonts w:ascii="Times New Roman" w:hAnsi="Times New Roman" w:cs="Times New Roman"/>
        </w:rPr>
        <w:t>managed in partnership with the private sector</w:t>
      </w:r>
      <w:r w:rsidRPr="00BC7BB5">
        <w:rPr>
          <w:rFonts w:ascii="Times New Roman" w:hAnsi="Times New Roman" w:cs="Times New Roman"/>
        </w:rPr>
        <w:t>;</w:t>
      </w:r>
    </w:p>
    <w:p w14:paraId="3D2917A9" w14:textId="0F17F107" w:rsidR="009E0B98" w:rsidRPr="00BC7BB5" w:rsidRDefault="009E0B98" w:rsidP="00F561E8">
      <w:pPr>
        <w:pStyle w:val="ListParagraph"/>
        <w:numPr>
          <w:ilvl w:val="1"/>
          <w:numId w:val="19"/>
        </w:numPr>
        <w:spacing w:after="160" w:line="240" w:lineRule="auto"/>
        <w:ind w:left="720" w:firstLine="0"/>
        <w:jc w:val="both"/>
        <w:rPr>
          <w:rFonts w:ascii="Times New Roman" w:hAnsi="Times New Roman" w:cs="Times New Roman"/>
        </w:rPr>
      </w:pPr>
      <w:r w:rsidRPr="00BC7BB5">
        <w:rPr>
          <w:rFonts w:ascii="Times New Roman" w:hAnsi="Times New Roman" w:cs="Times New Roman"/>
        </w:rPr>
        <w:t>To</w:t>
      </w:r>
      <w:r w:rsidRPr="00BC7BB5">
        <w:rPr>
          <w:rFonts w:ascii="Times New Roman" w:hAnsi="Times New Roman" w:cs="Times New Roman"/>
          <w:color w:val="222222"/>
        </w:rPr>
        <w:t xml:space="preserve"> ensure the financial sustainability of the centers and the alignment of their services with market demand, it is envisaged to </w:t>
      </w:r>
      <w:r w:rsidR="007C733A" w:rsidRPr="00BC7BB5">
        <w:rPr>
          <w:rFonts w:ascii="Times New Roman" w:hAnsi="Times New Roman" w:cs="Times New Roman"/>
          <w:color w:val="222222"/>
        </w:rPr>
        <w:t xml:space="preserve">delegate or </w:t>
      </w:r>
      <w:r w:rsidRPr="00BC7BB5">
        <w:rPr>
          <w:rFonts w:ascii="Times New Roman" w:hAnsi="Times New Roman" w:cs="Times New Roman"/>
          <w:color w:val="222222"/>
        </w:rPr>
        <w:t>contract out the management of the centers</w:t>
      </w:r>
      <w:r w:rsidR="0067370B" w:rsidRPr="00BC7BB5">
        <w:rPr>
          <w:rFonts w:ascii="Times New Roman" w:hAnsi="Times New Roman" w:cs="Times New Roman"/>
          <w:color w:val="222222"/>
        </w:rPr>
        <w:t>, on a competitive basis,</w:t>
      </w:r>
      <w:r w:rsidRPr="00BC7BB5">
        <w:rPr>
          <w:rFonts w:ascii="Times New Roman" w:hAnsi="Times New Roman" w:cs="Times New Roman"/>
          <w:color w:val="222222"/>
        </w:rPr>
        <w:t xml:space="preserve"> to private operators with experience in the provision of services and training for producers and enterprises in the agri-food sector. This model</w:t>
      </w:r>
      <w:r w:rsidR="00004BD5">
        <w:rPr>
          <w:rFonts w:ascii="Times New Roman" w:hAnsi="Times New Roman" w:cs="Times New Roman"/>
          <w:color w:val="222222"/>
        </w:rPr>
        <w:t xml:space="preserve">, which needs to be assessed, would </w:t>
      </w:r>
      <w:r w:rsidRPr="00BC7BB5">
        <w:rPr>
          <w:rFonts w:ascii="Times New Roman" w:hAnsi="Times New Roman" w:cs="Times New Roman"/>
          <w:color w:val="222222"/>
        </w:rPr>
        <w:t xml:space="preserve">allow </w:t>
      </w:r>
      <w:r w:rsidR="00004BD5">
        <w:rPr>
          <w:rFonts w:ascii="Times New Roman" w:hAnsi="Times New Roman" w:cs="Times New Roman"/>
          <w:color w:val="222222"/>
        </w:rPr>
        <w:t xml:space="preserve">for </w:t>
      </w:r>
      <w:r w:rsidRPr="00BC7BB5">
        <w:rPr>
          <w:rFonts w:ascii="Times New Roman" w:hAnsi="Times New Roman" w:cs="Times New Roman"/>
          <w:color w:val="222222"/>
        </w:rPr>
        <w:t>a higher degree of flexibility and efficiency in terms of resource management, as compared to publicly-managed centers. Operators at both national and international level may be interested in managing those centers as part of such public-private partnership</w:t>
      </w:r>
      <w:r w:rsidR="007C733A" w:rsidRPr="00BC7BB5">
        <w:rPr>
          <w:rFonts w:ascii="Times New Roman" w:hAnsi="Times New Roman" w:cs="Times New Roman"/>
          <w:color w:val="222222"/>
        </w:rPr>
        <w:t>s. The most appropriate institutional arrangement is being assessed from options including sub-contracting to a PPP within the Moroccan PPP Framework or the establishment of new entity with public-private equity arrangements;</w:t>
      </w:r>
    </w:p>
    <w:p w14:paraId="5FB82852" w14:textId="35C89F17" w:rsidR="0030368C" w:rsidRPr="00BC7BB5" w:rsidRDefault="0030368C" w:rsidP="00F561E8">
      <w:pPr>
        <w:pStyle w:val="ListParagraph"/>
        <w:numPr>
          <w:ilvl w:val="1"/>
          <w:numId w:val="19"/>
        </w:numPr>
        <w:spacing w:after="0" w:line="240" w:lineRule="auto"/>
        <w:ind w:left="720" w:firstLine="0"/>
        <w:jc w:val="both"/>
        <w:rPr>
          <w:rFonts w:ascii="Times New Roman" w:hAnsi="Times New Roman" w:cs="Times New Roman"/>
        </w:rPr>
      </w:pPr>
      <w:r w:rsidRPr="00BC7BB5">
        <w:rPr>
          <w:rFonts w:ascii="Times New Roman" w:hAnsi="Times New Roman" w:cs="Times New Roman"/>
        </w:rPr>
        <w:t xml:space="preserve">In terms of human resources, the CIAs would have a small team of dedicated staff including a CIA manager, administrative staff, ecosystem-coordination staff, and technical specialized staff in services to be developed internally. The incubator would be part of the CIA and would be managed by a dedicated team. </w:t>
      </w:r>
    </w:p>
    <w:p w14:paraId="1338DBBF" w14:textId="118F5C7B" w:rsidR="0030368C" w:rsidRPr="00BC7BB5" w:rsidRDefault="0030368C" w:rsidP="0030368C">
      <w:pPr>
        <w:pStyle w:val="NoSpacing"/>
        <w:ind w:left="360"/>
        <w:jc w:val="both"/>
        <w:rPr>
          <w:rFonts w:ascii="Times New Roman" w:hAnsi="Times New Roman" w:cs="Times New Roman"/>
        </w:rPr>
      </w:pPr>
    </w:p>
    <w:p w14:paraId="0FB81E92" w14:textId="689EAEB8" w:rsidR="0030368C" w:rsidRPr="00BC7BB5" w:rsidRDefault="007219A1" w:rsidP="00F561E8">
      <w:pPr>
        <w:pStyle w:val="NoSpacing"/>
        <w:numPr>
          <w:ilvl w:val="0"/>
          <w:numId w:val="35"/>
        </w:numPr>
        <w:ind w:left="0" w:firstLine="0"/>
        <w:jc w:val="both"/>
        <w:rPr>
          <w:rFonts w:ascii="Times New Roman" w:hAnsi="Times New Roman" w:cs="Times New Roman"/>
        </w:rPr>
      </w:pPr>
      <w:r w:rsidRPr="00BC7BB5">
        <w:rPr>
          <w:rFonts w:ascii="Times New Roman" w:hAnsi="Times New Roman" w:cs="Times New Roman"/>
          <w:b/>
        </w:rPr>
        <w:t>Assessment of programs comparable to the CIAs indicate positive results and impacts</w:t>
      </w:r>
      <w:r w:rsidRPr="00BC7BB5">
        <w:rPr>
          <w:rFonts w:ascii="Times New Roman" w:hAnsi="Times New Roman" w:cs="Times New Roman"/>
        </w:rPr>
        <w:t>. Those include an assessment</w:t>
      </w:r>
      <w:r w:rsidRPr="00BC7BB5">
        <w:rPr>
          <w:rStyle w:val="FootnoteReference"/>
        </w:rPr>
        <w:footnoteReference w:id="55"/>
      </w:r>
      <w:r w:rsidRPr="00BC7BB5">
        <w:rPr>
          <w:rFonts w:ascii="Times New Roman" w:hAnsi="Times New Roman" w:cs="Times New Roman"/>
        </w:rPr>
        <w:t xml:space="preserve"> conducted by FAO in 2016 on experiences of Agribusiness “Business Development Centers” offering a wide range of non-financial services; the assessment of good practices for agribusiness incubators led by the World Bank’s </w:t>
      </w:r>
      <w:r w:rsidR="00535722">
        <w:rPr>
          <w:rFonts w:ascii="Times New Roman" w:hAnsi="Times New Roman" w:cs="Times New Roman"/>
        </w:rPr>
        <w:t>Independent Evaluation Group (</w:t>
      </w:r>
      <w:r w:rsidRPr="00BC7BB5">
        <w:rPr>
          <w:rFonts w:ascii="Times New Roman" w:hAnsi="Times New Roman" w:cs="Times New Roman"/>
        </w:rPr>
        <w:t>IEG</w:t>
      </w:r>
      <w:r w:rsidR="00535722">
        <w:rPr>
          <w:rFonts w:ascii="Times New Roman" w:hAnsi="Times New Roman" w:cs="Times New Roman"/>
        </w:rPr>
        <w:fldChar w:fldCharType="begin"/>
      </w:r>
      <w:r w:rsidR="00535722">
        <w:instrText xml:space="preserve"> XE "</w:instrText>
      </w:r>
      <w:r w:rsidR="00535722" w:rsidRPr="00C57C22">
        <w:rPr>
          <w:rFonts w:ascii="Times New Roman" w:hAnsi="Times New Roman" w:cs="Times New Roman"/>
        </w:rPr>
        <w:instrText>IEG:</w:instrText>
      </w:r>
      <w:r w:rsidR="00535722" w:rsidRPr="00C57C22">
        <w:instrText>Independent Evaluation Group</w:instrText>
      </w:r>
      <w:r w:rsidR="00535722">
        <w:instrText xml:space="preserve">" </w:instrText>
      </w:r>
      <w:r w:rsidR="00535722">
        <w:rPr>
          <w:rFonts w:ascii="Times New Roman" w:hAnsi="Times New Roman" w:cs="Times New Roman"/>
        </w:rPr>
        <w:fldChar w:fldCharType="end"/>
      </w:r>
      <w:r w:rsidR="00535722">
        <w:rPr>
          <w:rFonts w:ascii="Times New Roman" w:hAnsi="Times New Roman" w:cs="Times New Roman"/>
        </w:rPr>
        <w:t>)</w:t>
      </w:r>
      <w:r w:rsidRPr="00BC7BB5">
        <w:rPr>
          <w:rFonts w:ascii="Times New Roman" w:hAnsi="Times New Roman" w:cs="Times New Roman"/>
        </w:rPr>
        <w:t xml:space="preserve"> in 2010 based on cases across Africa, Asia, and Latin America, which found that the majority have been successful in creating sustainable and competitive enterprises and benefits that outweigh the cost, while diffusing a number of technologies, as well as product and process innovations. International experience also indicates that returns to management and innovation support services are high. </w:t>
      </w:r>
    </w:p>
    <w:p w14:paraId="22EDDD8B" w14:textId="12CC2BE6" w:rsidR="002879D4" w:rsidRPr="00BC7BB5" w:rsidRDefault="002879D4" w:rsidP="002879D4">
      <w:pPr>
        <w:pStyle w:val="NoSpacing"/>
        <w:ind w:left="360"/>
        <w:jc w:val="both"/>
        <w:rPr>
          <w:rFonts w:ascii="Times New Roman" w:hAnsi="Times New Roman" w:cs="Times New Roman"/>
        </w:rPr>
      </w:pPr>
    </w:p>
    <w:p w14:paraId="5B1ED472" w14:textId="26BEE34F" w:rsidR="002879D4" w:rsidRPr="00BC7BB5" w:rsidRDefault="002879D4" w:rsidP="00F561E8">
      <w:pPr>
        <w:pStyle w:val="NoSpacing"/>
        <w:numPr>
          <w:ilvl w:val="0"/>
          <w:numId w:val="35"/>
        </w:numPr>
        <w:ind w:left="0" w:firstLine="0"/>
        <w:jc w:val="both"/>
        <w:rPr>
          <w:rFonts w:ascii="Times New Roman" w:eastAsia="Times New Roman" w:hAnsi="Times New Roman" w:cs="Times New Roman"/>
          <w:color w:val="222222"/>
          <w:u w:val="single"/>
        </w:rPr>
      </w:pPr>
      <w:r w:rsidRPr="00BC7BB5">
        <w:rPr>
          <w:rFonts w:ascii="Times New Roman" w:eastAsia="Times New Roman" w:hAnsi="Times New Roman" w:cs="Times New Roman"/>
          <w:color w:val="222222"/>
        </w:rPr>
        <w:t>The d</w:t>
      </w:r>
      <w:r w:rsidRPr="00BC7BB5">
        <w:rPr>
          <w:rFonts w:ascii="Times New Roman" w:hAnsi="Times New Roman" w:cs="Times New Roman"/>
        </w:rPr>
        <w:t xml:space="preserve">esign of the centers builds on </w:t>
      </w:r>
      <w:r w:rsidR="001360BC" w:rsidRPr="00BC7BB5">
        <w:rPr>
          <w:rFonts w:ascii="Times New Roman" w:hAnsi="Times New Roman" w:cs="Times New Roman"/>
        </w:rPr>
        <w:t>global experience</w:t>
      </w:r>
      <w:r w:rsidRPr="00BC7BB5">
        <w:rPr>
          <w:rFonts w:ascii="Times New Roman" w:hAnsi="Times New Roman" w:cs="Times New Roman"/>
        </w:rPr>
        <w:t xml:space="preserve">. MAPMDREF’s proposal encompasses the set of principles recommended at international level, </w:t>
      </w:r>
      <w:r w:rsidR="001360BC" w:rsidRPr="00BC7BB5">
        <w:rPr>
          <w:rFonts w:ascii="Times New Roman" w:hAnsi="Times New Roman" w:cs="Times New Roman"/>
        </w:rPr>
        <w:t>inc</w:t>
      </w:r>
      <w:r w:rsidR="007E6572" w:rsidRPr="00BC7BB5">
        <w:rPr>
          <w:rFonts w:ascii="Times New Roman" w:hAnsi="Times New Roman" w:cs="Times New Roman"/>
        </w:rPr>
        <w:t>l</w:t>
      </w:r>
      <w:r w:rsidR="001360BC" w:rsidRPr="00BC7BB5">
        <w:rPr>
          <w:rFonts w:ascii="Times New Roman" w:hAnsi="Times New Roman" w:cs="Times New Roman"/>
        </w:rPr>
        <w:t>uding</w:t>
      </w:r>
      <w:r w:rsidRPr="00BC7BB5">
        <w:rPr>
          <w:rFonts w:ascii="Times New Roman" w:hAnsi="Times New Roman" w:cs="Times New Roman"/>
        </w:rPr>
        <w:t xml:space="preserve"> by the World Bank</w:t>
      </w:r>
      <w:r w:rsidR="007E6572" w:rsidRPr="00BC7BB5">
        <w:rPr>
          <w:rFonts w:ascii="Times New Roman" w:hAnsi="Times New Roman" w:cs="Times New Roman"/>
        </w:rPr>
        <w:t>’s</w:t>
      </w:r>
      <w:r w:rsidRPr="00BC7BB5">
        <w:rPr>
          <w:rFonts w:ascii="Times New Roman" w:hAnsi="Times New Roman" w:cs="Times New Roman"/>
        </w:rPr>
        <w:t xml:space="preserve"> Infodev Agribusiness Entrepreneurship Center approach:</w:t>
      </w:r>
    </w:p>
    <w:p w14:paraId="48C8F4C0" w14:textId="77777777" w:rsidR="002879D4" w:rsidRPr="00BC7BB5" w:rsidRDefault="002879D4" w:rsidP="008C3E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0"/>
        <w:jc w:val="both"/>
        <w:rPr>
          <w:rFonts w:ascii="Times New Roman" w:hAnsi="Times New Roman" w:cs="Times New Roman"/>
        </w:rPr>
      </w:pPr>
    </w:p>
    <w:p w14:paraId="606253B2" w14:textId="77777777" w:rsidR="002879D4" w:rsidRPr="00BC7BB5" w:rsidRDefault="002879D4" w:rsidP="00F561E8">
      <w:pPr>
        <w:pStyle w:val="ListParagraph"/>
        <w:numPr>
          <w:ilvl w:val="0"/>
          <w:numId w:val="25"/>
        </w:numPr>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firstLine="0"/>
        <w:jc w:val="both"/>
        <w:rPr>
          <w:rFonts w:ascii="Times New Roman" w:hAnsi="Times New Roman" w:cs="Times New Roman"/>
        </w:rPr>
      </w:pPr>
      <w:r w:rsidRPr="00BC7BB5">
        <w:rPr>
          <w:rFonts w:ascii="Times New Roman" w:hAnsi="Times New Roman" w:cs="Times New Roman"/>
        </w:rPr>
        <w:t>Location in area of significant population of beneficiaries to ensure proximity of service as well as scale of demand;</w:t>
      </w:r>
    </w:p>
    <w:p w14:paraId="3731CDB9" w14:textId="77777777" w:rsidR="002879D4" w:rsidRPr="00BC7BB5" w:rsidRDefault="002879D4" w:rsidP="00F561E8">
      <w:pPr>
        <w:pStyle w:val="ListParagraph"/>
        <w:numPr>
          <w:ilvl w:val="0"/>
          <w:numId w:val="25"/>
        </w:numPr>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firstLine="0"/>
        <w:jc w:val="both"/>
        <w:rPr>
          <w:rFonts w:ascii="Times New Roman" w:hAnsi="Times New Roman" w:cs="Times New Roman"/>
        </w:rPr>
      </w:pPr>
      <w:r w:rsidRPr="00BC7BB5">
        <w:rPr>
          <w:rFonts w:ascii="Times New Roman" w:hAnsi="Times New Roman" w:cs="Times New Roman"/>
        </w:rPr>
        <w:t xml:space="preserve">Targeting of value-adding potential entrepreneurs and SMEs in agribusiness; </w:t>
      </w:r>
    </w:p>
    <w:p w14:paraId="0CAE07EE" w14:textId="3AC817FE" w:rsidR="002879D4" w:rsidRPr="00BC7BB5" w:rsidRDefault="002879D4" w:rsidP="00F561E8">
      <w:pPr>
        <w:pStyle w:val="ListParagraph"/>
        <w:numPr>
          <w:ilvl w:val="0"/>
          <w:numId w:val="25"/>
        </w:numPr>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firstLine="0"/>
        <w:jc w:val="both"/>
        <w:rPr>
          <w:rFonts w:ascii="Times New Roman" w:hAnsi="Times New Roman" w:cs="Times New Roman"/>
        </w:rPr>
      </w:pPr>
      <w:r w:rsidRPr="00BC7BB5">
        <w:rPr>
          <w:rFonts w:ascii="Times New Roman" w:hAnsi="Times New Roman" w:cs="Times New Roman"/>
        </w:rPr>
        <w:t>“One stop” entry point instead of fragmented offer, with flexibility to adjust to specific demands of beneficiaries;</w:t>
      </w:r>
    </w:p>
    <w:p w14:paraId="0B72E126" w14:textId="40DC4ED9" w:rsidR="002879D4" w:rsidRPr="00BC7BB5" w:rsidRDefault="002879D4" w:rsidP="00F561E8">
      <w:pPr>
        <w:pStyle w:val="ListParagraph"/>
        <w:numPr>
          <w:ilvl w:val="0"/>
          <w:numId w:val="25"/>
        </w:numPr>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firstLine="0"/>
        <w:jc w:val="both"/>
        <w:rPr>
          <w:rFonts w:ascii="Times New Roman" w:hAnsi="Times New Roman" w:cs="Times New Roman"/>
        </w:rPr>
      </w:pPr>
      <w:r w:rsidRPr="00BC7BB5">
        <w:rPr>
          <w:rFonts w:ascii="Times New Roman" w:hAnsi="Times New Roman" w:cs="Times New Roman"/>
        </w:rPr>
        <w:t>Business model driven by market dynamics, relying at least partly on external resources generated through private demand; and</w:t>
      </w:r>
    </w:p>
    <w:p w14:paraId="5EC9AA54" w14:textId="00DC6ED2" w:rsidR="008C3E21" w:rsidRPr="00BC7BB5" w:rsidRDefault="008C3E21" w:rsidP="00F561E8">
      <w:pPr>
        <w:pStyle w:val="ListParagraph"/>
        <w:numPr>
          <w:ilvl w:val="0"/>
          <w:numId w:val="25"/>
        </w:numPr>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firstLine="0"/>
        <w:jc w:val="both"/>
        <w:rPr>
          <w:rFonts w:ascii="Times New Roman" w:hAnsi="Times New Roman" w:cs="Times New Roman"/>
        </w:rPr>
      </w:pPr>
      <w:r w:rsidRPr="00BC7BB5">
        <w:rPr>
          <w:rFonts w:ascii="Times New Roman" w:hAnsi="Times New Roman" w:cs="Times New Roman"/>
        </w:rPr>
        <w:t>Leveraging of public-private partnerships and existing expertise.</w:t>
      </w:r>
    </w:p>
    <w:p w14:paraId="51341E4F" w14:textId="3863262C" w:rsidR="002879D4" w:rsidRPr="00BC7BB5" w:rsidRDefault="002879D4" w:rsidP="008C3E21">
      <w:pPr>
        <w:pStyle w:val="Default"/>
        <w:tabs>
          <w:tab w:val="left" w:pos="1080"/>
          <w:tab w:val="left" w:pos="1440"/>
        </w:tabs>
        <w:ind w:left="1500"/>
        <w:jc w:val="both"/>
        <w:rPr>
          <w:color w:val="auto"/>
          <w:sz w:val="22"/>
          <w:szCs w:val="22"/>
        </w:rPr>
      </w:pPr>
    </w:p>
    <w:p w14:paraId="04EEA3F8" w14:textId="1BC3F03A" w:rsidR="002879D4" w:rsidRPr="00BC7BB5" w:rsidRDefault="002879D4" w:rsidP="00F561E8">
      <w:pPr>
        <w:pStyle w:val="NoSpacing"/>
        <w:numPr>
          <w:ilvl w:val="0"/>
          <w:numId w:val="35"/>
        </w:numPr>
        <w:ind w:left="0" w:firstLine="0"/>
        <w:jc w:val="both"/>
        <w:rPr>
          <w:rFonts w:ascii="Times New Roman" w:eastAsia="Times New Roman" w:hAnsi="Times New Roman" w:cs="Times New Roman"/>
          <w:color w:val="222222"/>
          <w:u w:val="single"/>
        </w:rPr>
      </w:pPr>
      <w:r w:rsidRPr="00BC7BB5">
        <w:rPr>
          <w:rFonts w:ascii="Times New Roman" w:hAnsi="Times New Roman" w:cs="Times New Roman"/>
        </w:rPr>
        <w:t>The Government’s proposal prese</w:t>
      </w:r>
      <w:r w:rsidR="00D33D55" w:rsidRPr="00BC7BB5">
        <w:rPr>
          <w:rFonts w:ascii="Times New Roman" w:hAnsi="Times New Roman" w:cs="Times New Roman"/>
        </w:rPr>
        <w:t>nts some risks that would</w:t>
      </w:r>
      <w:r w:rsidRPr="00BC7BB5">
        <w:rPr>
          <w:rFonts w:ascii="Times New Roman" w:hAnsi="Times New Roman" w:cs="Times New Roman"/>
        </w:rPr>
        <w:t xml:space="preserve"> be mitigated in the final design and implementation plan:</w:t>
      </w:r>
    </w:p>
    <w:p w14:paraId="5215128C" w14:textId="77777777" w:rsidR="002879D4" w:rsidRPr="00BC7BB5" w:rsidRDefault="002879D4" w:rsidP="002879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46"/>
        <w:jc w:val="both"/>
        <w:rPr>
          <w:rFonts w:ascii="Times New Roman" w:eastAsia="Times New Roman" w:hAnsi="Times New Roman" w:cs="Times New Roman"/>
          <w:color w:val="222222"/>
          <w:u w:val="single"/>
        </w:rPr>
      </w:pPr>
    </w:p>
    <w:p w14:paraId="0D755A35" w14:textId="11A286CC" w:rsidR="002879D4" w:rsidRPr="00BC7BB5" w:rsidRDefault="002879D4" w:rsidP="00F561E8">
      <w:pPr>
        <w:pStyle w:val="ListParagraph"/>
        <w:numPr>
          <w:ilvl w:val="0"/>
          <w:numId w:val="36"/>
        </w:numPr>
        <w:tabs>
          <w:tab w:val="left" w:pos="720"/>
          <w:tab w:val="left" w:pos="108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40" w:lineRule="auto"/>
        <w:ind w:left="720" w:firstLine="0"/>
        <w:jc w:val="both"/>
        <w:rPr>
          <w:rFonts w:ascii="Times New Roman" w:eastAsia="Times New Roman" w:hAnsi="Times New Roman" w:cs="Times New Roman"/>
          <w:color w:val="222222"/>
          <w:u w:val="single"/>
        </w:rPr>
      </w:pPr>
      <w:r w:rsidRPr="00BC7BB5">
        <w:rPr>
          <w:rFonts w:ascii="Times New Roman" w:hAnsi="Times New Roman" w:cs="Times New Roman"/>
        </w:rPr>
        <w:t>Extent of market demand for support services and beneficiaries’ willingness to pay. A survey of a representative sample of target firms is currently underway for a more precise appreciation of demand for services. While the lack of capabilities for innovation among the target population is of consensus based on research, they might be either not aware of their lack of capabilities, which could be mitigated through communication and awareness building program to be executed by CIA;</w:t>
      </w:r>
    </w:p>
    <w:p w14:paraId="6A125275" w14:textId="4B19BFAD" w:rsidR="002879D4" w:rsidRPr="00BC7BB5" w:rsidRDefault="002879D4" w:rsidP="00F561E8">
      <w:pPr>
        <w:pStyle w:val="ListParagraph"/>
        <w:numPr>
          <w:ilvl w:val="0"/>
          <w:numId w:val="36"/>
        </w:numPr>
        <w:tabs>
          <w:tab w:val="left" w:pos="720"/>
          <w:tab w:val="left" w:pos="108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40" w:lineRule="auto"/>
        <w:ind w:left="720" w:firstLine="0"/>
        <w:jc w:val="both"/>
        <w:rPr>
          <w:rFonts w:ascii="Times New Roman" w:eastAsia="Times New Roman" w:hAnsi="Times New Roman" w:cs="Times New Roman"/>
          <w:color w:val="222222"/>
          <w:u w:val="single"/>
        </w:rPr>
      </w:pPr>
      <w:r w:rsidRPr="00BC7BB5">
        <w:rPr>
          <w:rFonts w:ascii="Times New Roman" w:hAnsi="Times New Roman" w:cs="Times New Roman"/>
        </w:rPr>
        <w:lastRenderedPageBreak/>
        <w:t>Heterogeneity of potential beneficiaries’ capacities and needs (SMEs’ start-ups, cooperatives) highlighting the need to develop tailored support programs based on specific sub-groups. The centers will need to focus on specific services in</w:t>
      </w:r>
      <w:r w:rsidR="007E6572" w:rsidRPr="00BC7BB5">
        <w:rPr>
          <w:rFonts w:ascii="Times New Roman" w:hAnsi="Times New Roman" w:cs="Times New Roman"/>
        </w:rPr>
        <w:t>i</w:t>
      </w:r>
      <w:r w:rsidRPr="00BC7BB5">
        <w:rPr>
          <w:rFonts w:ascii="Times New Roman" w:hAnsi="Times New Roman" w:cs="Times New Roman"/>
        </w:rPr>
        <w:t>tially and extent gradually their offer;</w:t>
      </w:r>
    </w:p>
    <w:p w14:paraId="5BF23CFA" w14:textId="3CC59A7C" w:rsidR="002879D4" w:rsidRPr="00BC7BB5" w:rsidRDefault="002879D4" w:rsidP="00F561E8">
      <w:pPr>
        <w:pStyle w:val="ListParagraph"/>
        <w:numPr>
          <w:ilvl w:val="0"/>
          <w:numId w:val="36"/>
        </w:numPr>
        <w:tabs>
          <w:tab w:val="left" w:pos="720"/>
          <w:tab w:val="left" w:pos="108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40" w:lineRule="auto"/>
        <w:ind w:left="720" w:firstLine="0"/>
        <w:jc w:val="both"/>
        <w:rPr>
          <w:rFonts w:ascii="Times New Roman" w:eastAsia="Times New Roman" w:hAnsi="Times New Roman" w:cs="Times New Roman"/>
          <w:color w:val="222222"/>
          <w:u w:val="single"/>
        </w:rPr>
      </w:pPr>
      <w:r w:rsidRPr="00BC7BB5">
        <w:rPr>
          <w:rFonts w:ascii="Times New Roman" w:hAnsi="Times New Roman" w:cs="Times New Roman"/>
        </w:rPr>
        <w:t>Limitations coming from the low offer of private providers with required capacity to support implementation, in some areas; and</w:t>
      </w:r>
    </w:p>
    <w:p w14:paraId="37896D45" w14:textId="5BF8FD42" w:rsidR="002879D4" w:rsidRPr="00BC7BB5" w:rsidRDefault="00D33D55" w:rsidP="00F561E8">
      <w:pPr>
        <w:pStyle w:val="ListParagraph"/>
        <w:numPr>
          <w:ilvl w:val="0"/>
          <w:numId w:val="36"/>
        </w:numPr>
        <w:tabs>
          <w:tab w:val="left" w:pos="108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40" w:lineRule="auto"/>
        <w:ind w:left="720" w:firstLine="0"/>
        <w:jc w:val="both"/>
        <w:rPr>
          <w:rFonts w:ascii="Times New Roman" w:eastAsia="Times New Roman" w:hAnsi="Times New Roman" w:cs="Times New Roman"/>
          <w:color w:val="222222"/>
          <w:u w:val="single"/>
        </w:rPr>
      </w:pPr>
      <w:r w:rsidRPr="00BC7BB5">
        <w:rPr>
          <w:rFonts w:ascii="Times New Roman" w:hAnsi="Times New Roman" w:cs="Times New Roman"/>
        </w:rPr>
        <w:t>The n</w:t>
      </w:r>
      <w:r w:rsidR="002879D4" w:rsidRPr="00BC7BB5">
        <w:rPr>
          <w:rFonts w:ascii="Times New Roman" w:hAnsi="Times New Roman" w:cs="Times New Roman"/>
        </w:rPr>
        <w:t>eed to</w:t>
      </w:r>
      <w:r w:rsidR="00886928">
        <w:rPr>
          <w:rFonts w:ascii="Times New Roman" w:hAnsi="Times New Roman" w:cs="Times New Roman"/>
        </w:rPr>
        <w:t>:</w:t>
      </w:r>
      <w:r w:rsidR="002879D4" w:rsidRPr="00BC7BB5">
        <w:rPr>
          <w:rFonts w:ascii="Times New Roman" w:hAnsi="Times New Roman" w:cs="Times New Roman"/>
        </w:rPr>
        <w:t xml:space="preserve"> (i) pay utmost attention to the CIA</w:t>
      </w:r>
      <w:r w:rsidR="00B85DD1" w:rsidRPr="00BC7BB5">
        <w:rPr>
          <w:rFonts w:ascii="Times New Roman" w:hAnsi="Times New Roman" w:cs="Times New Roman"/>
        </w:rPr>
        <w:t>’s</w:t>
      </w:r>
      <w:r w:rsidR="002879D4" w:rsidRPr="00BC7BB5">
        <w:rPr>
          <w:rFonts w:ascii="Times New Roman" w:hAnsi="Times New Roman" w:cs="Times New Roman"/>
        </w:rPr>
        <w:t xml:space="preserve"> positioning and value proposition, coming to fill gaps (both in terms of services and geographic reach)</w:t>
      </w:r>
      <w:r w:rsidR="00886928">
        <w:rPr>
          <w:rFonts w:ascii="Times New Roman" w:hAnsi="Times New Roman" w:cs="Times New Roman"/>
        </w:rPr>
        <w:t>,</w:t>
      </w:r>
      <w:r w:rsidR="002879D4" w:rsidRPr="00BC7BB5">
        <w:rPr>
          <w:rFonts w:ascii="Times New Roman" w:hAnsi="Times New Roman" w:cs="Times New Roman"/>
        </w:rPr>
        <w:t xml:space="preserve"> and (ii) build ties with the existing private and public players.</w:t>
      </w:r>
    </w:p>
    <w:p w14:paraId="2CDB11D2" w14:textId="2B1D598F" w:rsidR="009873D8" w:rsidRPr="00BC7BB5" w:rsidRDefault="009873D8" w:rsidP="00F561E8">
      <w:pPr>
        <w:pStyle w:val="NoSpacing"/>
        <w:numPr>
          <w:ilvl w:val="0"/>
          <w:numId w:val="35"/>
        </w:numPr>
        <w:ind w:left="0" w:firstLine="0"/>
        <w:jc w:val="both"/>
        <w:rPr>
          <w:rFonts w:ascii="Times New Roman" w:hAnsi="Times New Roman" w:cs="Times New Roman"/>
        </w:rPr>
      </w:pPr>
      <w:r w:rsidRPr="00BC7BB5">
        <w:rPr>
          <w:rFonts w:ascii="Times New Roman" w:hAnsi="Times New Roman" w:cs="Times New Roman"/>
        </w:rPr>
        <w:t>Technical assistance will be mobilized during the first year of the Program to further define the business model, the modalities of access for beneficiaries, and to support the preparation of the public-private partnership. This assistance will possibly be provided by</w:t>
      </w:r>
      <w:r w:rsidR="00535722">
        <w:rPr>
          <w:rFonts w:ascii="Times New Roman" w:hAnsi="Times New Roman" w:cs="Times New Roman"/>
        </w:rPr>
        <w:t xml:space="preserve"> International Finance Corporation</w:t>
      </w:r>
      <w:r w:rsidRPr="00BC7BB5">
        <w:rPr>
          <w:rFonts w:ascii="Times New Roman" w:hAnsi="Times New Roman" w:cs="Times New Roman"/>
        </w:rPr>
        <w:t xml:space="preserve"> </w:t>
      </w:r>
      <w:r w:rsidR="00535722">
        <w:rPr>
          <w:rFonts w:ascii="Times New Roman" w:hAnsi="Times New Roman" w:cs="Times New Roman"/>
        </w:rPr>
        <w:t>(</w:t>
      </w:r>
      <w:r w:rsidRPr="00BC7BB5">
        <w:rPr>
          <w:rFonts w:ascii="Times New Roman" w:hAnsi="Times New Roman" w:cs="Times New Roman"/>
        </w:rPr>
        <w:t>IFC</w:t>
      </w:r>
      <w:r w:rsidR="00535722">
        <w:rPr>
          <w:rFonts w:ascii="Times New Roman" w:hAnsi="Times New Roman" w:cs="Times New Roman"/>
        </w:rPr>
        <w:t>)</w:t>
      </w:r>
      <w:r w:rsidRPr="00BC7BB5">
        <w:rPr>
          <w:rFonts w:ascii="Times New Roman" w:hAnsi="Times New Roman" w:cs="Times New Roman"/>
        </w:rPr>
        <w:t xml:space="preserve"> with SECO funding currently under </w:t>
      </w:r>
      <w:r w:rsidR="001B0C1B">
        <w:rPr>
          <w:rFonts w:ascii="Times New Roman" w:hAnsi="Times New Roman" w:cs="Times New Roman"/>
        </w:rPr>
        <w:t>review</w:t>
      </w:r>
      <w:r w:rsidRPr="00BC7BB5">
        <w:rPr>
          <w:rFonts w:ascii="Times New Roman" w:hAnsi="Times New Roman" w:cs="Times New Roman"/>
        </w:rPr>
        <w:t>.</w:t>
      </w:r>
    </w:p>
    <w:p w14:paraId="36CF98B0" w14:textId="77777777" w:rsidR="009873D8" w:rsidRPr="00BC7BB5" w:rsidRDefault="009873D8" w:rsidP="009873D8">
      <w:pPr>
        <w:pStyle w:val="NoSpacing"/>
        <w:ind w:left="360"/>
        <w:jc w:val="both"/>
        <w:rPr>
          <w:rFonts w:ascii="Times New Roman" w:hAnsi="Times New Roman" w:cs="Times New Roman"/>
        </w:rPr>
      </w:pPr>
    </w:p>
    <w:p w14:paraId="568EC67E" w14:textId="477A2987" w:rsidR="009873D8" w:rsidRPr="00BC7BB5" w:rsidRDefault="009873D8" w:rsidP="00A6265D">
      <w:pPr>
        <w:pStyle w:val="NoSpacing"/>
        <w:jc w:val="both"/>
        <w:rPr>
          <w:rFonts w:ascii="Times New Roman" w:hAnsi="Times New Roman" w:cs="Times New Roman"/>
          <w:b/>
          <w:i/>
        </w:rPr>
      </w:pPr>
      <w:r w:rsidRPr="00BC7BB5">
        <w:rPr>
          <w:rFonts w:ascii="Times New Roman" w:hAnsi="Times New Roman" w:cs="Times New Roman"/>
          <w:b/>
          <w:i/>
        </w:rPr>
        <w:t>Financing innovation</w:t>
      </w:r>
    </w:p>
    <w:p w14:paraId="5167AC15" w14:textId="161C4BA5" w:rsidR="009873D8" w:rsidRPr="00BC7BB5" w:rsidRDefault="00E029D6" w:rsidP="009873D8">
      <w:pPr>
        <w:pStyle w:val="NoSpacing"/>
        <w:ind w:left="720"/>
        <w:jc w:val="both"/>
        <w:rPr>
          <w:rFonts w:ascii="Times New Roman" w:hAnsi="Times New Roman" w:cs="Times New Roman"/>
          <w:i/>
        </w:rPr>
      </w:pPr>
      <w:r w:rsidRPr="00BC7BB5">
        <w:rPr>
          <w:rFonts w:ascii="Times New Roman" w:hAnsi="Times New Roman" w:cs="Times New Roman"/>
          <w:b/>
          <w:i/>
        </w:rPr>
        <w:t xml:space="preserve"> </w:t>
      </w:r>
    </w:p>
    <w:p w14:paraId="6395096D" w14:textId="3BC3FDE4" w:rsidR="00E029D6" w:rsidRPr="00BC7BB5" w:rsidRDefault="00E029D6" w:rsidP="00F561E8">
      <w:pPr>
        <w:pStyle w:val="NoSpacing"/>
        <w:numPr>
          <w:ilvl w:val="0"/>
          <w:numId w:val="35"/>
        </w:numPr>
        <w:ind w:left="0" w:firstLine="0"/>
        <w:jc w:val="both"/>
        <w:rPr>
          <w:rFonts w:ascii="Times New Roman" w:hAnsi="Times New Roman" w:cs="Times New Roman"/>
        </w:rPr>
      </w:pPr>
      <w:r w:rsidRPr="00BC7BB5">
        <w:rPr>
          <w:rFonts w:ascii="Times New Roman" w:hAnsi="Times New Roman" w:cs="Times New Roman"/>
          <w:bCs/>
          <w:color w:val="000000" w:themeColor="text1"/>
        </w:rPr>
        <w:t xml:space="preserve">In addition to the CIAs, the Program would facilitate agri-food SMEs’ development of value-adding technology through a </w:t>
      </w:r>
      <w:r w:rsidR="00FF3AC5" w:rsidRPr="00BC7BB5">
        <w:rPr>
          <w:rFonts w:ascii="Times New Roman" w:hAnsi="Times New Roman" w:cs="Times New Roman"/>
          <w:bCs/>
          <w:color w:val="000000" w:themeColor="text1"/>
        </w:rPr>
        <w:t xml:space="preserve">competitive innovation </w:t>
      </w:r>
      <w:r w:rsidRPr="00BC7BB5">
        <w:rPr>
          <w:rFonts w:ascii="Times New Roman" w:hAnsi="Times New Roman" w:cs="Times New Roman"/>
          <w:bCs/>
          <w:color w:val="000000" w:themeColor="text1"/>
        </w:rPr>
        <w:t xml:space="preserve">grant mechanism. In order to reduce the risks associated with innovation, the </w:t>
      </w:r>
      <w:r w:rsidR="00FF3AC5" w:rsidRPr="00BC7BB5">
        <w:rPr>
          <w:rFonts w:ascii="Times New Roman" w:hAnsi="Times New Roman" w:cs="Times New Roman"/>
          <w:bCs/>
          <w:color w:val="000000" w:themeColor="text1"/>
        </w:rPr>
        <w:t xml:space="preserve">proposed </w:t>
      </w:r>
      <w:r w:rsidRPr="00BC7BB5">
        <w:rPr>
          <w:rFonts w:ascii="Times New Roman" w:hAnsi="Times New Roman" w:cs="Times New Roman"/>
          <w:bCs/>
          <w:color w:val="000000" w:themeColor="text1"/>
        </w:rPr>
        <w:t xml:space="preserve">Program would offer </w:t>
      </w:r>
      <w:r w:rsidR="00FF3AC5" w:rsidRPr="00BC7BB5">
        <w:rPr>
          <w:rFonts w:ascii="Times New Roman" w:hAnsi="Times New Roman" w:cs="Times New Roman"/>
          <w:bCs/>
          <w:color w:val="000000" w:themeColor="text1"/>
        </w:rPr>
        <w:t xml:space="preserve">those </w:t>
      </w:r>
      <w:r w:rsidRPr="00BC7BB5">
        <w:rPr>
          <w:rFonts w:ascii="Times New Roman" w:hAnsi="Times New Roman" w:cs="Times New Roman"/>
          <w:bCs/>
          <w:color w:val="000000" w:themeColor="text1"/>
        </w:rPr>
        <w:t>grants to innovation projects which target the development and market-introduction of a new agri-food product or service, or an environment-friendly or climate smart technology for the agri-food sector, presented by existing SMEs or start-ups.</w:t>
      </w:r>
    </w:p>
    <w:p w14:paraId="60D82EEC" w14:textId="4324531B" w:rsidR="002879D4" w:rsidRPr="00BC7BB5" w:rsidRDefault="00E029D6" w:rsidP="008C3E21">
      <w:pPr>
        <w:pStyle w:val="NoSpacing"/>
        <w:jc w:val="both"/>
        <w:rPr>
          <w:rFonts w:ascii="Times New Roman" w:hAnsi="Times New Roman" w:cs="Times New Roman"/>
        </w:rPr>
      </w:pPr>
      <w:r w:rsidRPr="00BC7BB5">
        <w:rPr>
          <w:rFonts w:ascii="Times New Roman" w:hAnsi="Times New Roman" w:cs="Times New Roman"/>
          <w:bCs/>
          <w:color w:val="000000" w:themeColor="text1"/>
        </w:rPr>
        <w:t xml:space="preserve"> </w:t>
      </w:r>
    </w:p>
    <w:p w14:paraId="596C911A" w14:textId="365B044C" w:rsidR="00E029D6" w:rsidRPr="00BC7BB5" w:rsidRDefault="00E029D6" w:rsidP="00F561E8">
      <w:pPr>
        <w:pStyle w:val="NoSpacing"/>
        <w:numPr>
          <w:ilvl w:val="0"/>
          <w:numId w:val="35"/>
        </w:numPr>
        <w:ind w:left="0" w:firstLine="0"/>
        <w:jc w:val="both"/>
        <w:rPr>
          <w:rFonts w:ascii="Times New Roman" w:eastAsia="Times New Roman" w:hAnsi="Times New Roman" w:cs="Times New Roman"/>
          <w:color w:val="222222"/>
          <w:u w:val="single"/>
        </w:rPr>
      </w:pPr>
      <w:r w:rsidRPr="00BC7BB5">
        <w:rPr>
          <w:rFonts w:ascii="Times New Roman" w:hAnsi="Times New Roman" w:cs="Times New Roman"/>
          <w:bCs/>
          <w:color w:val="000000" w:themeColor="text1"/>
        </w:rPr>
        <w:t xml:space="preserve">According to </w:t>
      </w:r>
      <w:r w:rsidR="00574D49">
        <w:rPr>
          <w:rFonts w:ascii="Times New Roman" w:hAnsi="Times New Roman" w:cs="Times New Roman"/>
          <w:bCs/>
          <w:color w:val="000000" w:themeColor="text1"/>
        </w:rPr>
        <w:t>the</w:t>
      </w:r>
      <w:r w:rsidR="00574D49" w:rsidRPr="00BC7BB5">
        <w:rPr>
          <w:rFonts w:ascii="Times New Roman" w:hAnsi="Times New Roman" w:cs="Times New Roman"/>
          <w:bCs/>
          <w:color w:val="000000" w:themeColor="text1"/>
        </w:rPr>
        <w:t xml:space="preserve"> </w:t>
      </w:r>
      <w:r w:rsidRPr="00BC7BB5">
        <w:rPr>
          <w:rFonts w:ascii="Times New Roman" w:hAnsi="Times New Roman" w:cs="Times New Roman"/>
          <w:bCs/>
          <w:color w:val="000000" w:themeColor="text1"/>
        </w:rPr>
        <w:t>World Bank assessment of Agribusiness Innovation Funds</w:t>
      </w:r>
      <w:r w:rsidRPr="00BC7BB5">
        <w:rPr>
          <w:rStyle w:val="FootnoteReference"/>
          <w:color w:val="000000" w:themeColor="text1"/>
        </w:rPr>
        <w:footnoteReference w:id="56"/>
      </w:r>
      <w:r w:rsidRPr="00BC7BB5">
        <w:rPr>
          <w:rFonts w:ascii="Times New Roman" w:hAnsi="Times New Roman" w:cs="Times New Roman"/>
          <w:bCs/>
          <w:color w:val="000000" w:themeColor="text1"/>
        </w:rPr>
        <w:t>, matching grants are efficient tools when the objective is to promote</w:t>
      </w:r>
      <w:r w:rsidR="00574D49">
        <w:rPr>
          <w:rFonts w:ascii="Times New Roman" w:hAnsi="Times New Roman" w:cs="Times New Roman"/>
          <w:bCs/>
          <w:color w:val="000000" w:themeColor="text1"/>
        </w:rPr>
        <w:t>:</w:t>
      </w:r>
      <w:r w:rsidRPr="00BC7BB5">
        <w:rPr>
          <w:rFonts w:ascii="Times New Roman" w:hAnsi="Times New Roman" w:cs="Times New Roman"/>
          <w:bCs/>
          <w:color w:val="000000" w:themeColor="text1"/>
        </w:rPr>
        <w:t xml:space="preserve"> (a) the transfer and adoption of technology (particularly among research providers and the private sector); (b) overall agribusiness sector development (particularly through productive partnerships and technical assistance and services); or (c) the productive activities of farmer groups, value-added activities, and small-scale infrastructure, often associated with community-driven development approaches.</w:t>
      </w:r>
    </w:p>
    <w:p w14:paraId="350777D3" w14:textId="77777777" w:rsidR="00E029D6" w:rsidRPr="00BC7BB5" w:rsidRDefault="00E029D6" w:rsidP="008C3E21">
      <w:pPr>
        <w:pStyle w:val="ListParagraph"/>
        <w:spacing w:after="0" w:line="240" w:lineRule="auto"/>
        <w:ind w:left="0"/>
        <w:rPr>
          <w:rFonts w:ascii="Times New Roman" w:eastAsia="Times New Roman" w:hAnsi="Times New Roman" w:cs="Times New Roman"/>
          <w:color w:val="222222"/>
          <w:u w:val="single"/>
        </w:rPr>
      </w:pPr>
    </w:p>
    <w:p w14:paraId="27E1E516" w14:textId="60D51471" w:rsidR="00E029D6" w:rsidRPr="00BC7BB5" w:rsidRDefault="00E029D6" w:rsidP="00F561E8">
      <w:pPr>
        <w:pStyle w:val="NoSpacing"/>
        <w:numPr>
          <w:ilvl w:val="0"/>
          <w:numId w:val="35"/>
        </w:numPr>
        <w:ind w:left="0" w:firstLine="0"/>
        <w:jc w:val="both"/>
        <w:rPr>
          <w:rFonts w:ascii="Times New Roman" w:hAnsi="Times New Roman" w:cs="Times New Roman"/>
        </w:rPr>
      </w:pPr>
      <w:r w:rsidRPr="00BC7BB5">
        <w:rPr>
          <w:rFonts w:ascii="Times New Roman" w:hAnsi="Times New Roman" w:cs="Times New Roman"/>
          <w:bCs/>
          <w:color w:val="000000" w:themeColor="text1"/>
        </w:rPr>
        <w:t>Detailed implementation design would build on learnings from international experience in matters of matching grants parameters, institutional arrangement and M&amp;E in order to avoid possible distortions effects resulting from such mechanisms such as the promoting non-viable or non-feasible business activities, or the crowding out financial institutions and private investment.</w:t>
      </w:r>
    </w:p>
    <w:p w14:paraId="3A3D4A2E" w14:textId="77777777" w:rsidR="00E029D6" w:rsidRPr="00BC7BB5" w:rsidRDefault="00E029D6" w:rsidP="004A6AFC">
      <w:pPr>
        <w:pStyle w:val="ListParagraph"/>
        <w:spacing w:after="0" w:line="240" w:lineRule="auto"/>
        <w:rPr>
          <w:rFonts w:ascii="Times New Roman" w:hAnsi="Times New Roman" w:cs="Times New Roman"/>
        </w:rPr>
      </w:pPr>
    </w:p>
    <w:p w14:paraId="371E1945" w14:textId="7635F7E2" w:rsidR="004D6050" w:rsidRPr="00BC7BB5" w:rsidRDefault="004D6050" w:rsidP="004D6050">
      <w:pPr>
        <w:pStyle w:val="NoSpacing"/>
        <w:ind w:left="360"/>
        <w:jc w:val="both"/>
        <w:rPr>
          <w:rFonts w:ascii="Times New Roman" w:hAnsi="Times New Roman" w:cs="Times New Roman"/>
        </w:rPr>
      </w:pPr>
    </w:p>
    <w:p w14:paraId="39608FE8" w14:textId="77777777" w:rsidR="00DE7350" w:rsidRPr="00BC7BB5" w:rsidRDefault="00DE7350" w:rsidP="00DE7350">
      <w:pPr>
        <w:pStyle w:val="NoSpacing"/>
        <w:jc w:val="both"/>
        <w:rPr>
          <w:rFonts w:ascii="Times New Roman" w:hAnsi="Times New Roman" w:cs="Times New Roman"/>
          <w:b/>
        </w:rPr>
      </w:pPr>
      <w:r w:rsidRPr="00BC7BB5">
        <w:rPr>
          <w:rFonts w:ascii="Times New Roman" w:hAnsi="Times New Roman" w:cs="Times New Roman"/>
          <w:b/>
        </w:rPr>
        <w:t>Program’s Result Framework and Monitoring and Evaluation</w:t>
      </w:r>
    </w:p>
    <w:p w14:paraId="577C780A" w14:textId="77777777" w:rsidR="00DE7350" w:rsidRPr="00BC7BB5" w:rsidRDefault="00DE7350" w:rsidP="00DE7350">
      <w:pPr>
        <w:pStyle w:val="NoSpacing"/>
        <w:ind w:left="360"/>
        <w:jc w:val="both"/>
        <w:rPr>
          <w:rFonts w:ascii="Times New Roman" w:hAnsi="Times New Roman" w:cs="Times New Roman"/>
        </w:rPr>
      </w:pPr>
    </w:p>
    <w:p w14:paraId="7603A293" w14:textId="089575F6" w:rsidR="00317E73" w:rsidRPr="00BC7BB5" w:rsidRDefault="00317E73" w:rsidP="00F561E8">
      <w:pPr>
        <w:pStyle w:val="NoSpacing"/>
        <w:numPr>
          <w:ilvl w:val="0"/>
          <w:numId w:val="35"/>
        </w:numPr>
        <w:ind w:left="0" w:firstLine="0"/>
        <w:jc w:val="both"/>
        <w:rPr>
          <w:rFonts w:ascii="Times New Roman" w:hAnsi="Times New Roman" w:cs="Times New Roman"/>
        </w:rPr>
      </w:pPr>
      <w:r w:rsidRPr="00BC7BB5">
        <w:rPr>
          <w:rFonts w:ascii="Times New Roman" w:hAnsi="Times New Roman" w:cs="Times New Roman"/>
          <w:b/>
        </w:rPr>
        <w:t xml:space="preserve">Results </w:t>
      </w:r>
      <w:r w:rsidR="00574D49">
        <w:rPr>
          <w:rFonts w:ascii="Times New Roman" w:hAnsi="Times New Roman" w:cs="Times New Roman"/>
          <w:b/>
        </w:rPr>
        <w:t>c</w:t>
      </w:r>
      <w:r w:rsidRPr="00BC7BB5">
        <w:rPr>
          <w:rFonts w:ascii="Times New Roman" w:hAnsi="Times New Roman" w:cs="Times New Roman"/>
          <w:b/>
        </w:rPr>
        <w:t xml:space="preserve">hain. </w:t>
      </w:r>
      <w:r w:rsidRPr="00BC7BB5">
        <w:rPr>
          <w:rFonts w:ascii="Times New Roman" w:hAnsi="Times New Roman" w:cs="Times New Roman"/>
        </w:rPr>
        <w:t xml:space="preserve">Figure </w:t>
      </w:r>
      <w:r w:rsidR="0025628E" w:rsidRPr="00BC7BB5">
        <w:rPr>
          <w:rFonts w:ascii="Times New Roman" w:hAnsi="Times New Roman" w:cs="Times New Roman"/>
        </w:rPr>
        <w:t>4.1</w:t>
      </w:r>
      <w:r w:rsidRPr="00BC7BB5">
        <w:rPr>
          <w:rFonts w:ascii="Times New Roman" w:hAnsi="Times New Roman" w:cs="Times New Roman"/>
        </w:rPr>
        <w:t xml:space="preserve"> summarizes the Program’s logical chain. Structured around </w:t>
      </w:r>
      <w:r w:rsidR="00712D7B" w:rsidRPr="00BC7BB5">
        <w:rPr>
          <w:rFonts w:ascii="Times New Roman" w:hAnsi="Times New Roman" w:cs="Times New Roman"/>
        </w:rPr>
        <w:t xml:space="preserve">two </w:t>
      </w:r>
      <w:r w:rsidRPr="00BC7BB5">
        <w:rPr>
          <w:rFonts w:ascii="Times New Roman" w:hAnsi="Times New Roman" w:cs="Times New Roman"/>
        </w:rPr>
        <w:t xml:space="preserve">complementary areas, the </w:t>
      </w:r>
      <w:r w:rsidR="00893B56" w:rsidRPr="00BC7BB5">
        <w:rPr>
          <w:rFonts w:ascii="Times New Roman" w:hAnsi="Times New Roman" w:cs="Times New Roman"/>
        </w:rPr>
        <w:t xml:space="preserve">proposed </w:t>
      </w:r>
      <w:r w:rsidRPr="00BC7BB5">
        <w:rPr>
          <w:rFonts w:ascii="Times New Roman" w:hAnsi="Times New Roman" w:cs="Times New Roman"/>
        </w:rPr>
        <w:t xml:space="preserve">Program is expected to </w:t>
      </w:r>
      <w:r w:rsidR="00984B72" w:rsidRPr="00BC7BB5">
        <w:rPr>
          <w:rFonts w:ascii="Times New Roman" w:hAnsi="Times New Roman" w:cs="Times New Roman"/>
        </w:rPr>
        <w:t>increase</w:t>
      </w:r>
      <w:r w:rsidR="00893B56" w:rsidRPr="00BC7BB5">
        <w:rPr>
          <w:rFonts w:ascii="Times New Roman" w:hAnsi="Times New Roman" w:cs="Times New Roman"/>
        </w:rPr>
        <w:t xml:space="preserve"> market efficiency and integration in selected sub-sectors and to </w:t>
      </w:r>
      <w:r w:rsidRPr="00BC7BB5">
        <w:rPr>
          <w:rFonts w:ascii="Times New Roman" w:hAnsi="Times New Roman" w:cs="Times New Roman"/>
        </w:rPr>
        <w:t xml:space="preserve">assist small- and medium-size producers and enterprises in adding value to and enhancing the quality of </w:t>
      </w:r>
      <w:r w:rsidR="00893B56" w:rsidRPr="00BC7BB5">
        <w:rPr>
          <w:rFonts w:ascii="Times New Roman" w:hAnsi="Times New Roman" w:cs="Times New Roman"/>
        </w:rPr>
        <w:t xml:space="preserve">agri-food </w:t>
      </w:r>
      <w:r w:rsidRPr="00BC7BB5">
        <w:rPr>
          <w:rFonts w:ascii="Times New Roman" w:hAnsi="Times New Roman" w:cs="Times New Roman"/>
        </w:rPr>
        <w:t>products.</w:t>
      </w:r>
      <w:r w:rsidR="00984B72" w:rsidRPr="00BC7BB5">
        <w:rPr>
          <w:rFonts w:ascii="Times New Roman" w:hAnsi="Times New Roman" w:cs="Times New Roman"/>
        </w:rPr>
        <w:t xml:space="preserve"> The outputs and intermediate outcomes which are included as DLIs in the proposed Program are circled in red in Figure A4.1.</w:t>
      </w:r>
    </w:p>
    <w:p w14:paraId="2010CF0C" w14:textId="77777777" w:rsidR="00496DE9" w:rsidRPr="00BC7BB5" w:rsidRDefault="00496DE9" w:rsidP="00496DE9">
      <w:pPr>
        <w:pStyle w:val="NoSpacing"/>
        <w:ind w:left="360"/>
        <w:jc w:val="both"/>
        <w:rPr>
          <w:rFonts w:ascii="Times New Roman" w:hAnsi="Times New Roman" w:cs="Times New Roman"/>
        </w:rPr>
      </w:pPr>
    </w:p>
    <w:p w14:paraId="05E85C96" w14:textId="4CE6C4D8" w:rsidR="00317E73" w:rsidRPr="00BC7BB5" w:rsidRDefault="00495026" w:rsidP="007C7DE0">
      <w:pPr>
        <w:spacing w:after="120"/>
        <w:jc w:val="center"/>
        <w:rPr>
          <w:rFonts w:ascii="Times New Roman" w:hAnsi="Times New Roman" w:cs="Times New Roman"/>
          <w:b/>
        </w:rPr>
      </w:pPr>
      <w:r w:rsidRPr="00BC7BB5">
        <w:rPr>
          <w:rFonts w:ascii="Times New Roman" w:hAnsi="Times New Roman" w:cs="Times New Roman"/>
        </w:rPr>
        <w:br w:type="page"/>
      </w:r>
      <w:r w:rsidR="00317E73" w:rsidRPr="00BC7BB5">
        <w:rPr>
          <w:rFonts w:ascii="Times New Roman" w:hAnsi="Times New Roman" w:cs="Times New Roman"/>
          <w:b/>
        </w:rPr>
        <w:lastRenderedPageBreak/>
        <w:t xml:space="preserve">Figure </w:t>
      </w:r>
      <w:r w:rsidR="00081487" w:rsidRPr="00BC7BB5">
        <w:rPr>
          <w:rFonts w:ascii="Times New Roman" w:hAnsi="Times New Roman" w:cs="Times New Roman"/>
          <w:b/>
        </w:rPr>
        <w:t>A</w:t>
      </w:r>
      <w:r w:rsidRPr="00BC7BB5">
        <w:rPr>
          <w:rFonts w:ascii="Times New Roman" w:hAnsi="Times New Roman" w:cs="Times New Roman"/>
          <w:b/>
        </w:rPr>
        <w:t>4.1</w:t>
      </w:r>
      <w:r w:rsidR="00317E73" w:rsidRPr="00BC7BB5">
        <w:rPr>
          <w:rFonts w:ascii="Times New Roman" w:hAnsi="Times New Roman" w:cs="Times New Roman"/>
          <w:b/>
        </w:rPr>
        <w:t>: Results chain for the Program</w:t>
      </w:r>
    </w:p>
    <w:tbl>
      <w:tblPr>
        <w:tblStyle w:val="TableGrid"/>
        <w:tblW w:w="0" w:type="auto"/>
        <w:tblLook w:val="04A0" w:firstRow="1" w:lastRow="0" w:firstColumn="1" w:lastColumn="0" w:noHBand="0" w:noVBand="1"/>
      </w:tblPr>
      <w:tblGrid>
        <w:gridCol w:w="2605"/>
        <w:gridCol w:w="2340"/>
        <w:gridCol w:w="2430"/>
        <w:gridCol w:w="1975"/>
      </w:tblGrid>
      <w:tr w:rsidR="00065F6E" w:rsidRPr="00BC7BB5" w14:paraId="198DA824" w14:textId="77777777" w:rsidTr="00065F6E">
        <w:tc>
          <w:tcPr>
            <w:tcW w:w="9350" w:type="dxa"/>
            <w:gridSpan w:val="4"/>
            <w:shd w:val="clear" w:color="auto" w:fill="auto"/>
          </w:tcPr>
          <w:p w14:paraId="5B3BA09E" w14:textId="68C97A95" w:rsidR="00065F6E" w:rsidRPr="00BC7BB5" w:rsidRDefault="00065F6E" w:rsidP="00EE0015">
            <w:pPr>
              <w:rPr>
                <w:rFonts w:ascii="Times New Roman" w:hAnsi="Times New Roman" w:cs="Times New Roman"/>
                <w:b/>
                <w:sz w:val="18"/>
                <w:szCs w:val="18"/>
              </w:rPr>
            </w:pPr>
            <w:r w:rsidRPr="00BC7BB5">
              <w:rPr>
                <w:rFonts w:ascii="Times New Roman" w:hAnsi="Times New Roman" w:cs="Times New Roman"/>
                <w:b/>
                <w:sz w:val="20"/>
                <w:szCs w:val="18"/>
              </w:rPr>
              <w:t>Program Development Objective</w:t>
            </w:r>
            <w:r w:rsidRPr="00BC7BB5">
              <w:rPr>
                <w:rFonts w:ascii="Times New Roman" w:hAnsi="Times New Roman" w:cs="Times New Roman"/>
                <w:sz w:val="20"/>
                <w:szCs w:val="18"/>
              </w:rPr>
              <w:t>: To</w:t>
            </w:r>
            <w:r w:rsidRPr="00BC7BB5">
              <w:rPr>
                <w:rFonts w:ascii="Times New Roman" w:hAnsi="Times New Roman" w:cs="Times New Roman"/>
                <w:color w:val="000000" w:themeColor="text1"/>
                <w:sz w:val="20"/>
                <w:szCs w:val="18"/>
              </w:rPr>
              <w:t xml:space="preserve"> increase the volume of added-value products commercialized in selected agri-food value chains in the Program area</w:t>
            </w:r>
            <w:r w:rsidRPr="00BC7BB5" w:rsidDel="0026112C">
              <w:rPr>
                <w:rFonts w:ascii="Times New Roman" w:hAnsi="Times New Roman" w:cs="Times New Roman"/>
                <w:sz w:val="20"/>
                <w:szCs w:val="18"/>
              </w:rPr>
              <w:t xml:space="preserve"> </w:t>
            </w:r>
          </w:p>
        </w:tc>
      </w:tr>
      <w:tr w:rsidR="00065F6E" w:rsidRPr="00BC7BB5" w14:paraId="1991B75B" w14:textId="77777777" w:rsidTr="00065F6E">
        <w:tc>
          <w:tcPr>
            <w:tcW w:w="2605" w:type="dxa"/>
            <w:shd w:val="clear" w:color="auto" w:fill="365F91" w:themeFill="accent1" w:themeFillShade="BF"/>
          </w:tcPr>
          <w:p w14:paraId="6A781F47" w14:textId="77777777" w:rsidR="00065F6E" w:rsidRPr="00BC7BB5" w:rsidRDefault="00065F6E" w:rsidP="00BC7BB5">
            <w:pPr>
              <w:jc w:val="center"/>
              <w:rPr>
                <w:rFonts w:ascii="Times New Roman" w:hAnsi="Times New Roman" w:cs="Times New Roman"/>
                <w:b/>
                <w:color w:val="FFFFFF" w:themeColor="background1"/>
              </w:rPr>
            </w:pPr>
            <w:r w:rsidRPr="00BC7BB5">
              <w:rPr>
                <w:rFonts w:ascii="Times New Roman" w:hAnsi="Times New Roman" w:cs="Times New Roman"/>
                <w:b/>
                <w:color w:val="FFFFFF" w:themeColor="background1"/>
              </w:rPr>
              <w:t>Activities/Actions</w:t>
            </w:r>
          </w:p>
        </w:tc>
        <w:tc>
          <w:tcPr>
            <w:tcW w:w="2340" w:type="dxa"/>
            <w:shd w:val="clear" w:color="auto" w:fill="365F91" w:themeFill="accent1" w:themeFillShade="BF"/>
          </w:tcPr>
          <w:p w14:paraId="1D54DB75" w14:textId="77777777" w:rsidR="00065F6E" w:rsidRPr="00BC7BB5" w:rsidRDefault="00065F6E" w:rsidP="00BC7BB5">
            <w:pPr>
              <w:jc w:val="center"/>
              <w:rPr>
                <w:rFonts w:ascii="Times New Roman" w:hAnsi="Times New Roman" w:cs="Times New Roman"/>
                <w:b/>
                <w:color w:val="FFFFFF" w:themeColor="background1"/>
              </w:rPr>
            </w:pPr>
            <w:r w:rsidRPr="00BC7BB5">
              <w:rPr>
                <w:rFonts w:ascii="Times New Roman" w:hAnsi="Times New Roman" w:cs="Times New Roman"/>
                <w:b/>
                <w:color w:val="FFFFFF" w:themeColor="background1"/>
              </w:rPr>
              <w:t>Outputs</w:t>
            </w:r>
          </w:p>
        </w:tc>
        <w:tc>
          <w:tcPr>
            <w:tcW w:w="2430" w:type="dxa"/>
            <w:shd w:val="clear" w:color="auto" w:fill="365F91" w:themeFill="accent1" w:themeFillShade="BF"/>
          </w:tcPr>
          <w:p w14:paraId="5B73EA39" w14:textId="77777777" w:rsidR="00065F6E" w:rsidRPr="00BC7BB5" w:rsidRDefault="00065F6E" w:rsidP="00BC7BB5">
            <w:pPr>
              <w:jc w:val="center"/>
              <w:rPr>
                <w:rFonts w:ascii="Times New Roman" w:hAnsi="Times New Roman" w:cs="Times New Roman"/>
                <w:b/>
                <w:color w:val="FFFFFF" w:themeColor="background1"/>
              </w:rPr>
            </w:pPr>
            <w:r w:rsidRPr="00BC7BB5">
              <w:rPr>
                <w:rFonts w:ascii="Times New Roman" w:hAnsi="Times New Roman" w:cs="Times New Roman"/>
                <w:b/>
                <w:color w:val="FFFFFF" w:themeColor="background1"/>
              </w:rPr>
              <w:t>Intermediate outcomes</w:t>
            </w:r>
          </w:p>
        </w:tc>
        <w:tc>
          <w:tcPr>
            <w:tcW w:w="1975" w:type="dxa"/>
            <w:shd w:val="clear" w:color="auto" w:fill="365F91" w:themeFill="accent1" w:themeFillShade="BF"/>
          </w:tcPr>
          <w:p w14:paraId="08ED7AEE" w14:textId="77777777" w:rsidR="00065F6E" w:rsidRPr="00BC7BB5" w:rsidRDefault="00065F6E" w:rsidP="00BC7BB5">
            <w:pPr>
              <w:jc w:val="center"/>
              <w:rPr>
                <w:rFonts w:ascii="Times New Roman" w:hAnsi="Times New Roman" w:cs="Times New Roman"/>
                <w:b/>
                <w:color w:val="FFFFFF" w:themeColor="background1"/>
              </w:rPr>
            </w:pPr>
            <w:r w:rsidRPr="00BC7BB5">
              <w:rPr>
                <w:rFonts w:ascii="Times New Roman" w:hAnsi="Times New Roman" w:cs="Times New Roman"/>
                <w:b/>
                <w:color w:val="FFFFFF" w:themeColor="background1"/>
              </w:rPr>
              <w:t>Outcomes</w:t>
            </w:r>
          </w:p>
        </w:tc>
      </w:tr>
      <w:tr w:rsidR="00065F6E" w:rsidRPr="00BC7BB5" w14:paraId="30CC2F5D" w14:textId="77777777" w:rsidTr="00065F6E">
        <w:tc>
          <w:tcPr>
            <w:tcW w:w="7375" w:type="dxa"/>
            <w:gridSpan w:val="3"/>
            <w:shd w:val="clear" w:color="auto" w:fill="D99594" w:themeFill="accent2" w:themeFillTint="99"/>
          </w:tcPr>
          <w:p w14:paraId="0633EF0F" w14:textId="608C5618" w:rsidR="00065F6E" w:rsidRPr="00BC7BB5" w:rsidRDefault="00065F6E" w:rsidP="00BC7BB5">
            <w:pPr>
              <w:rPr>
                <w:rFonts w:ascii="Times New Roman" w:hAnsi="Times New Roman" w:cs="Times New Roman"/>
                <w:b/>
                <w:sz w:val="18"/>
                <w:szCs w:val="18"/>
              </w:rPr>
            </w:pPr>
            <w:r w:rsidRPr="00BC7BB5">
              <w:rPr>
                <w:rFonts w:ascii="Times New Roman" w:hAnsi="Times New Roman" w:cs="Times New Roman"/>
                <w:b/>
                <w:sz w:val="18"/>
                <w:szCs w:val="18"/>
              </w:rPr>
              <w:t xml:space="preserve">Results Area 1: Increased market efficiency and </w:t>
            </w:r>
            <w:r w:rsidR="00574D49">
              <w:rPr>
                <w:rFonts w:ascii="Times New Roman" w:hAnsi="Times New Roman" w:cs="Times New Roman"/>
                <w:b/>
                <w:sz w:val="18"/>
                <w:szCs w:val="18"/>
              </w:rPr>
              <w:t>i</w:t>
            </w:r>
            <w:r w:rsidRPr="00BC7BB5">
              <w:rPr>
                <w:rFonts w:ascii="Times New Roman" w:hAnsi="Times New Roman" w:cs="Times New Roman"/>
                <w:b/>
                <w:sz w:val="18"/>
                <w:szCs w:val="18"/>
              </w:rPr>
              <w:t xml:space="preserve">ntegration </w:t>
            </w:r>
          </w:p>
        </w:tc>
        <w:tc>
          <w:tcPr>
            <w:tcW w:w="1975" w:type="dxa"/>
            <w:shd w:val="clear" w:color="auto" w:fill="auto"/>
          </w:tcPr>
          <w:p w14:paraId="1166D37D" w14:textId="77777777" w:rsidR="00065F6E" w:rsidRPr="00BC7BB5" w:rsidRDefault="00065F6E" w:rsidP="00BC7BB5">
            <w:pPr>
              <w:rPr>
                <w:rFonts w:ascii="Times New Roman" w:hAnsi="Times New Roman" w:cs="Times New Roman"/>
                <w:b/>
                <w:sz w:val="18"/>
                <w:szCs w:val="18"/>
              </w:rPr>
            </w:pPr>
          </w:p>
        </w:tc>
      </w:tr>
      <w:tr w:rsidR="00065F6E" w:rsidRPr="00BC7BB5" w14:paraId="3C39BC0B" w14:textId="77777777" w:rsidTr="00065F6E">
        <w:tc>
          <w:tcPr>
            <w:tcW w:w="2605" w:type="dxa"/>
          </w:tcPr>
          <w:p w14:paraId="2441CB2B" w14:textId="77777777" w:rsidR="00065F6E" w:rsidRPr="00BC7BB5" w:rsidRDefault="00065F6E" w:rsidP="00BC7BB5">
            <w:pPr>
              <w:spacing w:after="240"/>
              <w:rPr>
                <w:rFonts w:ascii="Times New Roman" w:hAnsi="Times New Roman" w:cs="Times New Roman"/>
                <w:sz w:val="18"/>
                <w:szCs w:val="18"/>
              </w:rPr>
            </w:pPr>
            <w:r w:rsidRPr="00BC7BB5">
              <w:rPr>
                <w:rFonts w:ascii="Times New Roman" w:hAnsi="Times New Roman" w:cs="Times New Roman"/>
                <w:sz w:val="18"/>
                <w:szCs w:val="18"/>
              </w:rPr>
              <w:t>Supporting intra-branch organizations to fulfill their mandates and ensure their sustainability in the long term</w:t>
            </w:r>
          </w:p>
          <w:p w14:paraId="0B1BF5EF" w14:textId="77777777" w:rsidR="00065F6E" w:rsidRPr="00BC7BB5" w:rsidRDefault="00065F6E" w:rsidP="00BC7BB5">
            <w:pPr>
              <w:spacing w:after="240"/>
              <w:rPr>
                <w:rFonts w:ascii="Times New Roman" w:hAnsi="Times New Roman" w:cs="Times New Roman"/>
                <w:sz w:val="18"/>
                <w:szCs w:val="18"/>
              </w:rPr>
            </w:pPr>
            <w:r w:rsidRPr="00BC7BB5">
              <w:rPr>
                <w:rFonts w:ascii="Times New Roman" w:hAnsi="Times New Roman" w:cs="Times New Roman"/>
                <w:sz w:val="18"/>
                <w:szCs w:val="18"/>
              </w:rPr>
              <w:t>Supporting processing/aggregation through financial incentives and assistance (olives, citrus)</w:t>
            </w:r>
          </w:p>
          <w:p w14:paraId="4AB685F9" w14:textId="77777777" w:rsidR="00065F6E" w:rsidRPr="00BC7BB5" w:rsidRDefault="00065F6E" w:rsidP="00BC7BB5">
            <w:pPr>
              <w:spacing w:after="240"/>
              <w:rPr>
                <w:rFonts w:ascii="Times New Roman" w:hAnsi="Times New Roman" w:cs="Times New Roman"/>
                <w:sz w:val="18"/>
                <w:szCs w:val="18"/>
              </w:rPr>
            </w:pPr>
            <w:r w:rsidRPr="00BC7BB5">
              <w:rPr>
                <w:rFonts w:ascii="Times New Roman" w:hAnsi="Times New Roman" w:cs="Times New Roman"/>
                <w:noProof/>
                <w:sz w:val="18"/>
                <w:szCs w:val="18"/>
              </w:rPr>
              <mc:AlternateContent>
                <mc:Choice Requires="wps">
                  <w:drawing>
                    <wp:anchor distT="0" distB="0" distL="114300" distR="114300" simplePos="0" relativeHeight="251688960" behindDoc="0" locked="0" layoutInCell="1" allowOverlap="1" wp14:anchorId="42E876D2" wp14:editId="49A498FF">
                      <wp:simplePos x="0" y="0"/>
                      <wp:positionH relativeFrom="column">
                        <wp:posOffset>-40005</wp:posOffset>
                      </wp:positionH>
                      <wp:positionV relativeFrom="paragraph">
                        <wp:posOffset>617855</wp:posOffset>
                      </wp:positionV>
                      <wp:extent cx="1581150" cy="622300"/>
                      <wp:effectExtent l="0" t="0" r="19050" b="25400"/>
                      <wp:wrapNone/>
                      <wp:docPr id="8" name="Rectangle: Rounded Corners 8"/>
                      <wp:cNvGraphicFramePr/>
                      <a:graphic xmlns:a="http://schemas.openxmlformats.org/drawingml/2006/main">
                        <a:graphicData uri="http://schemas.microsoft.com/office/word/2010/wordprocessingShape">
                          <wps:wsp>
                            <wps:cNvSpPr/>
                            <wps:spPr>
                              <a:xfrm>
                                <a:off x="0" y="0"/>
                                <a:ext cx="1581150" cy="622300"/>
                              </a:xfrm>
                              <a:prstGeom prst="roundRect">
                                <a:avLst/>
                              </a:prstGeom>
                              <a:noFill/>
                              <a:ln>
                                <a:solidFill>
                                  <a:srgbClr val="FF0000"/>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92DB36C" id="Rectangle: Rounded Corners 8" o:spid="_x0000_s1026" style="position:absolute;margin-left:-3.15pt;margin-top:48.65pt;width:124.5pt;height:49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" filled="f" strokecolor="red" strokeweight="2pt">
                      <v:stroke dashstyle="dash"/>
                    </v:roundrect>
                  </w:pict>
                </mc:Fallback>
              </mc:AlternateContent>
            </w:r>
            <w:r w:rsidRPr="00BC7BB5">
              <w:rPr>
                <w:rFonts w:ascii="Times New Roman" w:hAnsi="Times New Roman" w:cs="Times New Roman"/>
                <w:sz w:val="18"/>
                <w:szCs w:val="18"/>
              </w:rPr>
              <w:t xml:space="preserve">Prepare an amendment to aggregation allowing direct transaction with buyers outside of wholesale markets </w:t>
            </w:r>
          </w:p>
          <w:p w14:paraId="573E8B7B" w14:textId="77777777" w:rsidR="00065F6E" w:rsidRPr="00BC7BB5" w:rsidRDefault="00065F6E" w:rsidP="00BC7BB5">
            <w:pPr>
              <w:spacing w:after="240"/>
              <w:rPr>
                <w:rFonts w:ascii="Times New Roman" w:hAnsi="Times New Roman" w:cs="Times New Roman"/>
                <w:sz w:val="18"/>
                <w:szCs w:val="18"/>
              </w:rPr>
            </w:pPr>
            <w:r w:rsidRPr="00BC7BB5">
              <w:rPr>
                <w:rFonts w:ascii="Times New Roman" w:hAnsi="Times New Roman" w:cs="Times New Roman"/>
                <w:sz w:val="18"/>
                <w:szCs w:val="18"/>
              </w:rPr>
              <w:t xml:space="preserve">Building wholesale markets (after signing the necessary conventions) and creating its managing entity </w:t>
            </w:r>
          </w:p>
          <w:p w14:paraId="1579C85A" w14:textId="77777777" w:rsidR="00065F6E" w:rsidRPr="00BC7BB5" w:rsidRDefault="00065F6E" w:rsidP="00065F6E">
            <w:pPr>
              <w:spacing w:after="120"/>
            </w:pPr>
            <w:r w:rsidRPr="00BC7BB5">
              <w:rPr>
                <w:rFonts w:ascii="Times New Roman" w:hAnsi="Times New Roman" w:cs="Times New Roman"/>
                <w:sz w:val="18"/>
                <w:szCs w:val="18"/>
              </w:rPr>
              <w:t xml:space="preserve">Improving and extending reach of the market information system to farmers </w:t>
            </w:r>
          </w:p>
        </w:tc>
        <w:tc>
          <w:tcPr>
            <w:tcW w:w="2340" w:type="dxa"/>
          </w:tcPr>
          <w:p w14:paraId="7C07CFED" w14:textId="3F0E7DAB" w:rsidR="00065F6E" w:rsidRPr="00BC7BB5" w:rsidRDefault="00065F6E" w:rsidP="00BC7BB5">
            <w:pPr>
              <w:spacing w:after="240"/>
              <w:rPr>
                <w:rFonts w:ascii="Times New Roman" w:hAnsi="Times New Roman" w:cs="Times New Roman"/>
                <w:sz w:val="18"/>
                <w:szCs w:val="18"/>
              </w:rPr>
            </w:pPr>
            <w:r w:rsidRPr="00BC7BB5">
              <w:rPr>
                <w:rFonts w:ascii="Times New Roman" w:hAnsi="Times New Roman" w:cs="Times New Roman"/>
                <w:noProof/>
                <w:sz w:val="18"/>
                <w:szCs w:val="18"/>
              </w:rPr>
              <mc:AlternateContent>
                <mc:Choice Requires="wps">
                  <w:drawing>
                    <wp:anchor distT="0" distB="0" distL="114300" distR="114300" simplePos="0" relativeHeight="251687936" behindDoc="0" locked="0" layoutInCell="1" allowOverlap="1" wp14:anchorId="414A8487" wp14:editId="683F6974">
                      <wp:simplePos x="0" y="0"/>
                      <wp:positionH relativeFrom="column">
                        <wp:posOffset>-55880</wp:posOffset>
                      </wp:positionH>
                      <wp:positionV relativeFrom="paragraph">
                        <wp:posOffset>513715</wp:posOffset>
                      </wp:positionV>
                      <wp:extent cx="1422400" cy="723900"/>
                      <wp:effectExtent l="0" t="0" r="25400" b="19050"/>
                      <wp:wrapNone/>
                      <wp:docPr id="19" name="Rectangle: Rounded Corners 19"/>
                      <wp:cNvGraphicFramePr/>
                      <a:graphic xmlns:a="http://schemas.openxmlformats.org/drawingml/2006/main">
                        <a:graphicData uri="http://schemas.microsoft.com/office/word/2010/wordprocessingShape">
                          <wps:wsp>
                            <wps:cNvSpPr/>
                            <wps:spPr>
                              <a:xfrm>
                                <a:off x="0" y="0"/>
                                <a:ext cx="1422400" cy="723900"/>
                              </a:xfrm>
                              <a:prstGeom prst="round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2148927" id="Rectangle: Rounded Corners 19" o:spid="_x0000_s1026" style="position:absolute;margin-left:-4.4pt;margin-top:40.45pt;width:112pt;height:57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" filled="f" strokecolor="red" strokeweight="2pt"/>
                  </w:pict>
                </mc:Fallback>
              </mc:AlternateContent>
            </w:r>
            <w:r w:rsidRPr="00BC7BB5">
              <w:rPr>
                <w:rFonts w:ascii="Times New Roman" w:hAnsi="Times New Roman" w:cs="Times New Roman"/>
                <w:sz w:val="18"/>
                <w:szCs w:val="18"/>
              </w:rPr>
              <w:t xml:space="preserve">Business plans for intra-branch organizations prepared </w:t>
            </w:r>
          </w:p>
          <w:p w14:paraId="52C0AFE2" w14:textId="6A6C85B1" w:rsidR="00065F6E" w:rsidRPr="00BC7BB5" w:rsidRDefault="00065F6E" w:rsidP="00BC7BB5">
            <w:pPr>
              <w:spacing w:after="240"/>
              <w:rPr>
                <w:rFonts w:ascii="Times New Roman" w:hAnsi="Times New Roman" w:cs="Times New Roman"/>
                <w:color w:val="4F81BD" w:themeColor="accent1"/>
                <w:sz w:val="18"/>
                <w:szCs w:val="18"/>
              </w:rPr>
            </w:pPr>
            <w:r w:rsidRPr="00BC7BB5">
              <w:rPr>
                <w:rFonts w:ascii="Times New Roman" w:hAnsi="Times New Roman" w:cs="Times New Roman"/>
                <w:noProof/>
                <w:color w:val="4F81BD" w:themeColor="accent1"/>
                <w:sz w:val="18"/>
                <w:szCs w:val="18"/>
              </w:rPr>
              <mc:AlternateContent>
                <mc:Choice Requires="wps">
                  <w:drawing>
                    <wp:anchor distT="0" distB="0" distL="114300" distR="114300" simplePos="0" relativeHeight="251689984" behindDoc="0" locked="0" layoutInCell="1" allowOverlap="1" wp14:anchorId="248D7BD7" wp14:editId="3FD97E2B">
                      <wp:simplePos x="0" y="0"/>
                      <wp:positionH relativeFrom="column">
                        <wp:posOffset>-55880</wp:posOffset>
                      </wp:positionH>
                      <wp:positionV relativeFrom="paragraph">
                        <wp:posOffset>786130</wp:posOffset>
                      </wp:positionV>
                      <wp:extent cx="1422400" cy="438150"/>
                      <wp:effectExtent l="0" t="0" r="25400" b="19050"/>
                      <wp:wrapNone/>
                      <wp:docPr id="40" name="Rectangle: Rounded Corners 40"/>
                      <wp:cNvGraphicFramePr/>
                      <a:graphic xmlns:a="http://schemas.openxmlformats.org/drawingml/2006/main">
                        <a:graphicData uri="http://schemas.microsoft.com/office/word/2010/wordprocessingShape">
                          <wps:wsp>
                            <wps:cNvSpPr/>
                            <wps:spPr>
                              <a:xfrm>
                                <a:off x="0" y="0"/>
                                <a:ext cx="1422400" cy="438150"/>
                              </a:xfrm>
                              <a:prstGeom prst="round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2243071" id="Rectangle: Rounded Corners 40" o:spid="_x0000_s1026" style="position:absolute;margin-left:-4.4pt;margin-top:61.9pt;width:112pt;height:34.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" filled="f" strokecolor="red" strokeweight="2pt"/>
                  </w:pict>
                </mc:Fallback>
              </mc:AlternateContent>
            </w:r>
            <w:r w:rsidRPr="00BC7BB5">
              <w:rPr>
                <w:rFonts w:ascii="Times New Roman" w:hAnsi="Times New Roman" w:cs="Times New Roman"/>
                <w:color w:val="4F81BD" w:themeColor="accent1"/>
                <w:sz w:val="18"/>
                <w:szCs w:val="18"/>
              </w:rPr>
              <w:t xml:space="preserve">Investment projects either to add value or to integrate small- and medium-sized producers to functioning markets </w:t>
            </w:r>
          </w:p>
          <w:p w14:paraId="45284373" w14:textId="5E85F905" w:rsidR="00065F6E" w:rsidRPr="00BC7BB5" w:rsidRDefault="00065F6E" w:rsidP="00BC7BB5">
            <w:pPr>
              <w:spacing w:after="240"/>
              <w:rPr>
                <w:rFonts w:ascii="Times New Roman" w:hAnsi="Times New Roman" w:cs="Times New Roman"/>
                <w:sz w:val="18"/>
                <w:szCs w:val="18"/>
              </w:rPr>
            </w:pPr>
            <w:r w:rsidRPr="00BC7BB5">
              <w:rPr>
                <w:rFonts w:ascii="Times New Roman" w:hAnsi="Times New Roman" w:cs="Times New Roman"/>
                <w:noProof/>
                <w:color w:val="4F81BD" w:themeColor="accent1"/>
                <w:sz w:val="18"/>
                <w:szCs w:val="18"/>
              </w:rPr>
              <mc:AlternateContent>
                <mc:Choice Requires="wps">
                  <w:drawing>
                    <wp:anchor distT="0" distB="0" distL="114300" distR="114300" simplePos="0" relativeHeight="251691008" behindDoc="0" locked="0" layoutInCell="1" allowOverlap="1" wp14:anchorId="15BEA3D1" wp14:editId="6516E445">
                      <wp:simplePos x="0" y="0"/>
                      <wp:positionH relativeFrom="column">
                        <wp:posOffset>-49530</wp:posOffset>
                      </wp:positionH>
                      <wp:positionV relativeFrom="paragraph">
                        <wp:posOffset>497205</wp:posOffset>
                      </wp:positionV>
                      <wp:extent cx="1416050" cy="349250"/>
                      <wp:effectExtent l="0" t="0" r="12700" b="12700"/>
                      <wp:wrapNone/>
                      <wp:docPr id="41" name="Rectangle: Rounded Corners 41"/>
                      <wp:cNvGraphicFramePr/>
                      <a:graphic xmlns:a="http://schemas.openxmlformats.org/drawingml/2006/main">
                        <a:graphicData uri="http://schemas.microsoft.com/office/word/2010/wordprocessingShape">
                          <wps:wsp>
                            <wps:cNvSpPr/>
                            <wps:spPr>
                              <a:xfrm>
                                <a:off x="0" y="0"/>
                                <a:ext cx="1416050" cy="349250"/>
                              </a:xfrm>
                              <a:prstGeom prst="roundRect">
                                <a:avLst/>
                              </a:prstGeom>
                              <a:noFill/>
                              <a:ln>
                                <a:solidFill>
                                  <a:srgbClr val="FF0000"/>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0794BE5" id="Rectangle: Rounded Corners 41" o:spid="_x0000_s1026" style="position:absolute;margin-left:-3.9pt;margin-top:39.15pt;width:111.5pt;height:2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" filled="f" strokecolor="red" strokeweight="2pt">
                      <v:stroke dashstyle="dash"/>
                    </v:roundrect>
                  </w:pict>
                </mc:Fallback>
              </mc:AlternateContent>
            </w:r>
            <w:r w:rsidRPr="00BC7BB5">
              <w:rPr>
                <w:rFonts w:ascii="Times New Roman" w:hAnsi="Times New Roman" w:cs="Times New Roman"/>
                <w:color w:val="4F81BD" w:themeColor="accent1"/>
                <w:sz w:val="18"/>
                <w:szCs w:val="18"/>
              </w:rPr>
              <w:t>Aggregation law amended and ready to be implemented (</w:t>
            </w:r>
            <w:r w:rsidRPr="00BC7BB5">
              <w:rPr>
                <w:rFonts w:ascii="Times New Roman" w:hAnsi="Times New Roman" w:cs="Times New Roman"/>
                <w:i/>
                <w:color w:val="4F81BD" w:themeColor="accent1"/>
                <w:sz w:val="18"/>
                <w:szCs w:val="18"/>
              </w:rPr>
              <w:t>arrêtés</w:t>
            </w:r>
            <w:r w:rsidRPr="00BC7BB5">
              <w:rPr>
                <w:rFonts w:ascii="Times New Roman" w:hAnsi="Times New Roman" w:cs="Times New Roman"/>
                <w:color w:val="4F81BD" w:themeColor="accent1"/>
                <w:sz w:val="18"/>
                <w:szCs w:val="18"/>
              </w:rPr>
              <w:t xml:space="preserve"> published)</w:t>
            </w:r>
          </w:p>
          <w:p w14:paraId="34B05E28" w14:textId="63160335" w:rsidR="00065F6E" w:rsidRPr="00BC7BB5" w:rsidRDefault="00065F6E" w:rsidP="00BC7BB5">
            <w:pPr>
              <w:spacing w:after="240"/>
              <w:rPr>
                <w:rFonts w:ascii="Times New Roman" w:hAnsi="Times New Roman" w:cs="Times New Roman"/>
                <w:sz w:val="18"/>
                <w:szCs w:val="18"/>
              </w:rPr>
            </w:pPr>
            <w:r w:rsidRPr="00BC7BB5">
              <w:rPr>
                <w:rFonts w:ascii="Times New Roman" w:hAnsi="Times New Roman" w:cs="Times New Roman"/>
                <w:sz w:val="18"/>
                <w:szCs w:val="18"/>
              </w:rPr>
              <w:t>At least, one wholesale market built</w:t>
            </w:r>
          </w:p>
          <w:p w14:paraId="6D18F407" w14:textId="77777777" w:rsidR="00065F6E" w:rsidRPr="00BC7BB5" w:rsidRDefault="00065F6E" w:rsidP="00BC7BB5">
            <w:pPr>
              <w:spacing w:after="240"/>
            </w:pPr>
            <w:r w:rsidRPr="00BC7BB5">
              <w:rPr>
                <w:rFonts w:ascii="Times New Roman" w:hAnsi="Times New Roman" w:cs="Times New Roman"/>
                <w:sz w:val="18"/>
                <w:szCs w:val="18"/>
              </w:rPr>
              <w:t>Applications for access to market information through mobile telephones created</w:t>
            </w:r>
          </w:p>
        </w:tc>
        <w:tc>
          <w:tcPr>
            <w:tcW w:w="2430" w:type="dxa"/>
          </w:tcPr>
          <w:p w14:paraId="7156A607" w14:textId="71130595" w:rsidR="00065F6E" w:rsidRPr="00BC7BB5" w:rsidRDefault="00065F6E" w:rsidP="00BC7BB5">
            <w:pPr>
              <w:spacing w:after="240"/>
              <w:rPr>
                <w:rFonts w:ascii="Times New Roman" w:hAnsi="Times New Roman" w:cs="Times New Roman"/>
                <w:b/>
                <w:color w:val="4F81BD" w:themeColor="accent1"/>
                <w:sz w:val="18"/>
                <w:szCs w:val="18"/>
              </w:rPr>
            </w:pPr>
            <w:r w:rsidRPr="00BC7BB5">
              <w:rPr>
                <w:rFonts w:ascii="Times New Roman" w:hAnsi="Times New Roman" w:cs="Times New Roman"/>
                <w:b/>
                <w:noProof/>
                <w:color w:val="4F81BD" w:themeColor="accent1"/>
                <w:sz w:val="18"/>
                <w:szCs w:val="18"/>
              </w:rPr>
              <mc:AlternateContent>
                <mc:Choice Requires="wps">
                  <w:drawing>
                    <wp:anchor distT="0" distB="0" distL="114300" distR="114300" simplePos="0" relativeHeight="251692032" behindDoc="0" locked="0" layoutInCell="1" allowOverlap="1" wp14:anchorId="148F8D6A" wp14:editId="4BD91C46">
                      <wp:simplePos x="0" y="0"/>
                      <wp:positionH relativeFrom="column">
                        <wp:posOffset>-66040</wp:posOffset>
                      </wp:positionH>
                      <wp:positionV relativeFrom="paragraph">
                        <wp:posOffset>-26035</wp:posOffset>
                      </wp:positionV>
                      <wp:extent cx="1504950" cy="590550"/>
                      <wp:effectExtent l="0" t="0" r="19050" b="19050"/>
                      <wp:wrapNone/>
                      <wp:docPr id="50" name="Rectangle: Rounded Corners 50"/>
                      <wp:cNvGraphicFramePr/>
                      <a:graphic xmlns:a="http://schemas.openxmlformats.org/drawingml/2006/main">
                        <a:graphicData uri="http://schemas.microsoft.com/office/word/2010/wordprocessingShape">
                          <wps:wsp>
                            <wps:cNvSpPr/>
                            <wps:spPr>
                              <a:xfrm>
                                <a:off x="0" y="0"/>
                                <a:ext cx="1504950" cy="590550"/>
                              </a:xfrm>
                              <a:prstGeom prst="round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29D2653" id="Rectangle: Rounded Corners 50" o:spid="_x0000_s1026" style="position:absolute;margin-left:-5.2pt;margin-top:-2.05pt;width:118.5pt;height:46.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" filled="f" strokecolor="red" strokeweight="2pt"/>
                  </w:pict>
                </mc:Fallback>
              </mc:AlternateContent>
            </w:r>
            <w:r w:rsidRPr="00BC7BB5">
              <w:rPr>
                <w:rFonts w:ascii="Times New Roman" w:hAnsi="Times New Roman" w:cs="Times New Roman"/>
                <w:color w:val="4F81BD" w:themeColor="accent1"/>
                <w:sz w:val="18"/>
                <w:szCs w:val="18"/>
              </w:rPr>
              <w:t>Business plans approved and intra-branch agreeme</w:t>
            </w:r>
            <w:r w:rsidR="00900635">
              <w:rPr>
                <w:rFonts w:ascii="Times New Roman" w:hAnsi="Times New Roman" w:cs="Times New Roman"/>
                <w:color w:val="4F81BD" w:themeColor="accent1"/>
                <w:sz w:val="18"/>
                <w:szCs w:val="18"/>
              </w:rPr>
              <w:t>nts adopted</w:t>
            </w:r>
            <w:r w:rsidRPr="00BC7BB5">
              <w:rPr>
                <w:rFonts w:ascii="Times New Roman" w:hAnsi="Times New Roman" w:cs="Times New Roman"/>
                <w:color w:val="4F81BD" w:themeColor="accent1"/>
                <w:sz w:val="18"/>
                <w:szCs w:val="18"/>
              </w:rPr>
              <w:t xml:space="preserve"> to secure organization sustainability</w:t>
            </w:r>
          </w:p>
          <w:p w14:paraId="242C538E" w14:textId="354CF0F8" w:rsidR="00065F6E" w:rsidRPr="00BC7BB5" w:rsidRDefault="00065F6E" w:rsidP="00BC7BB5">
            <w:pPr>
              <w:spacing w:after="240"/>
              <w:rPr>
                <w:rFonts w:ascii="Times New Roman" w:hAnsi="Times New Roman" w:cs="Times New Roman"/>
                <w:color w:val="4F81BD" w:themeColor="accent1"/>
                <w:sz w:val="18"/>
                <w:szCs w:val="18"/>
              </w:rPr>
            </w:pPr>
            <w:r w:rsidRPr="00BC7BB5">
              <w:rPr>
                <w:rFonts w:ascii="Times New Roman" w:hAnsi="Times New Roman" w:cs="Times New Roman"/>
                <w:noProof/>
                <w:color w:val="4F81BD" w:themeColor="accent1"/>
                <w:sz w:val="18"/>
                <w:szCs w:val="18"/>
              </w:rPr>
              <mc:AlternateContent>
                <mc:Choice Requires="wps">
                  <w:drawing>
                    <wp:anchor distT="0" distB="0" distL="114300" distR="114300" simplePos="0" relativeHeight="251695104" behindDoc="0" locked="0" layoutInCell="1" allowOverlap="1" wp14:anchorId="0578CB9C" wp14:editId="0AC3BA44">
                      <wp:simplePos x="0" y="0"/>
                      <wp:positionH relativeFrom="column">
                        <wp:posOffset>-46990</wp:posOffset>
                      </wp:positionH>
                      <wp:positionV relativeFrom="paragraph">
                        <wp:posOffset>622935</wp:posOffset>
                      </wp:positionV>
                      <wp:extent cx="1485900" cy="406400"/>
                      <wp:effectExtent l="0" t="0" r="19050" b="12700"/>
                      <wp:wrapNone/>
                      <wp:docPr id="51" name="Rectangle: Rounded Corners 51"/>
                      <wp:cNvGraphicFramePr/>
                      <a:graphic xmlns:a="http://schemas.openxmlformats.org/drawingml/2006/main">
                        <a:graphicData uri="http://schemas.microsoft.com/office/word/2010/wordprocessingShape">
                          <wps:wsp>
                            <wps:cNvSpPr/>
                            <wps:spPr>
                              <a:xfrm>
                                <a:off x="0" y="0"/>
                                <a:ext cx="1485900" cy="406400"/>
                              </a:xfrm>
                              <a:prstGeom prst="round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49C9CCE" id="Rectangle: Rounded Corners 51" o:spid="_x0000_s1026" style="position:absolute;margin-left:-3.7pt;margin-top:49.05pt;width:117pt;height:32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" filled="f" strokecolor="red" strokeweight="2pt"/>
                  </w:pict>
                </mc:Fallback>
              </mc:AlternateContent>
            </w:r>
            <w:r w:rsidRPr="00BC7BB5">
              <w:rPr>
                <w:rFonts w:ascii="Times New Roman" w:hAnsi="Times New Roman" w:cs="Times New Roman"/>
                <w:b/>
                <w:noProof/>
                <w:color w:val="4F81BD" w:themeColor="accent1"/>
                <w:sz w:val="18"/>
                <w:szCs w:val="18"/>
              </w:rPr>
              <mc:AlternateContent>
                <mc:Choice Requires="wps">
                  <w:drawing>
                    <wp:anchor distT="0" distB="0" distL="114300" distR="114300" simplePos="0" relativeHeight="251693056" behindDoc="0" locked="0" layoutInCell="1" allowOverlap="1" wp14:anchorId="6FBD9A05" wp14:editId="1EDF86CF">
                      <wp:simplePos x="0" y="0"/>
                      <wp:positionH relativeFrom="column">
                        <wp:posOffset>-66040</wp:posOffset>
                      </wp:positionH>
                      <wp:positionV relativeFrom="paragraph">
                        <wp:posOffset>635</wp:posOffset>
                      </wp:positionV>
                      <wp:extent cx="1504950" cy="558800"/>
                      <wp:effectExtent l="0" t="0" r="19050" b="12700"/>
                      <wp:wrapNone/>
                      <wp:docPr id="42" name="Rectangle: Rounded Corners 42"/>
                      <wp:cNvGraphicFramePr/>
                      <a:graphic xmlns:a="http://schemas.openxmlformats.org/drawingml/2006/main">
                        <a:graphicData uri="http://schemas.microsoft.com/office/word/2010/wordprocessingShape">
                          <wps:wsp>
                            <wps:cNvSpPr/>
                            <wps:spPr>
                              <a:xfrm>
                                <a:off x="0" y="0"/>
                                <a:ext cx="1504950" cy="558800"/>
                              </a:xfrm>
                              <a:prstGeom prst="round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8C66D24" id="Rectangle: Rounded Corners 42" o:spid="_x0000_s1026" style="position:absolute;margin-left:-5.2pt;margin-top:.05pt;width:118.5pt;height:44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" filled="f" strokecolor="red" strokeweight="2pt"/>
                  </w:pict>
                </mc:Fallback>
              </mc:AlternateContent>
            </w:r>
            <w:r w:rsidRPr="00BC7BB5">
              <w:rPr>
                <w:rFonts w:ascii="Times New Roman" w:hAnsi="Times New Roman" w:cs="Times New Roman"/>
                <w:color w:val="4F81BD" w:themeColor="accent1"/>
                <w:sz w:val="18"/>
                <w:szCs w:val="18"/>
              </w:rPr>
              <w:t xml:space="preserve">New and upgraded conditioning, </w:t>
            </w:r>
            <w:r w:rsidR="00900635">
              <w:rPr>
                <w:rFonts w:ascii="Times New Roman" w:hAnsi="Times New Roman" w:cs="Times New Roman"/>
                <w:color w:val="4F81BD" w:themeColor="accent1"/>
                <w:sz w:val="18"/>
                <w:szCs w:val="18"/>
              </w:rPr>
              <w:t xml:space="preserve">cold </w:t>
            </w:r>
            <w:r w:rsidRPr="00BC7BB5">
              <w:rPr>
                <w:rFonts w:ascii="Times New Roman" w:hAnsi="Times New Roman" w:cs="Times New Roman"/>
                <w:color w:val="4F81BD" w:themeColor="accent1"/>
                <w:sz w:val="18"/>
                <w:szCs w:val="18"/>
              </w:rPr>
              <w:t>storage and processing units (olive, citrus) starting operations</w:t>
            </w:r>
            <w:r w:rsidRPr="00BC7BB5" w:rsidDel="00580D8E">
              <w:rPr>
                <w:rFonts w:ascii="Times New Roman" w:hAnsi="Times New Roman" w:cs="Times New Roman"/>
                <w:color w:val="4F81BD" w:themeColor="accent1"/>
                <w:sz w:val="18"/>
                <w:szCs w:val="18"/>
              </w:rPr>
              <w:t xml:space="preserve"> </w:t>
            </w:r>
          </w:p>
          <w:p w14:paraId="538E2F8C" w14:textId="62E21E44" w:rsidR="00065F6E" w:rsidRPr="00BC7BB5" w:rsidRDefault="00065F6E" w:rsidP="00BC7BB5">
            <w:pPr>
              <w:spacing w:after="240"/>
              <w:rPr>
                <w:rFonts w:ascii="Times New Roman" w:hAnsi="Times New Roman" w:cs="Times New Roman"/>
                <w:b/>
                <w:color w:val="FF0000"/>
                <w:sz w:val="18"/>
                <w:szCs w:val="18"/>
              </w:rPr>
            </w:pPr>
            <w:r w:rsidRPr="00BC7BB5">
              <w:rPr>
                <w:rFonts w:ascii="Times New Roman" w:hAnsi="Times New Roman" w:cs="Times New Roman"/>
                <w:color w:val="4F81BD" w:themeColor="accent1"/>
                <w:sz w:val="18"/>
                <w:szCs w:val="18"/>
              </w:rPr>
              <w:t>Additional producers aggregated (olives, citrus)</w:t>
            </w:r>
            <w:r w:rsidRPr="00BC7BB5">
              <w:rPr>
                <w:rFonts w:ascii="Times New Roman" w:hAnsi="Times New Roman" w:cs="Times New Roman"/>
                <w:b/>
                <w:color w:val="FF0000"/>
                <w:sz w:val="18"/>
                <w:szCs w:val="18"/>
              </w:rPr>
              <w:t xml:space="preserve"> </w:t>
            </w:r>
          </w:p>
          <w:p w14:paraId="10C2FA35" w14:textId="17B014CF" w:rsidR="00065F6E" w:rsidRPr="00BC7BB5" w:rsidRDefault="00065F6E" w:rsidP="00BC7BB5">
            <w:pPr>
              <w:spacing w:after="240"/>
              <w:rPr>
                <w:rFonts w:ascii="Times New Roman" w:hAnsi="Times New Roman" w:cs="Times New Roman"/>
                <w:color w:val="4F81BD" w:themeColor="accent1"/>
                <w:sz w:val="18"/>
                <w:szCs w:val="18"/>
              </w:rPr>
            </w:pPr>
            <w:r w:rsidRPr="00BC7BB5">
              <w:rPr>
                <w:rFonts w:ascii="Times New Roman" w:hAnsi="Times New Roman" w:cs="Times New Roman"/>
                <w:noProof/>
                <w:sz w:val="18"/>
                <w:szCs w:val="18"/>
              </w:rPr>
              <mc:AlternateContent>
                <mc:Choice Requires="wps">
                  <w:drawing>
                    <wp:anchor distT="0" distB="0" distL="114300" distR="114300" simplePos="0" relativeHeight="251696128" behindDoc="0" locked="0" layoutInCell="1" allowOverlap="1" wp14:anchorId="42A535EA" wp14:editId="5398ADD8">
                      <wp:simplePos x="0" y="0"/>
                      <wp:positionH relativeFrom="column">
                        <wp:posOffset>-66040</wp:posOffset>
                      </wp:positionH>
                      <wp:positionV relativeFrom="paragraph">
                        <wp:posOffset>-635</wp:posOffset>
                      </wp:positionV>
                      <wp:extent cx="1504950" cy="610870"/>
                      <wp:effectExtent l="0" t="0" r="19050" b="17780"/>
                      <wp:wrapNone/>
                      <wp:docPr id="52" name="Rectangle: Rounded Corners 52"/>
                      <wp:cNvGraphicFramePr/>
                      <a:graphic xmlns:a="http://schemas.openxmlformats.org/drawingml/2006/main">
                        <a:graphicData uri="http://schemas.microsoft.com/office/word/2010/wordprocessingShape">
                          <wps:wsp>
                            <wps:cNvSpPr/>
                            <wps:spPr>
                              <a:xfrm>
                                <a:off x="0" y="0"/>
                                <a:ext cx="1504950" cy="610870"/>
                              </a:xfrm>
                              <a:prstGeom prst="round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F21B1D1" id="Rectangle: Rounded Corners 52" o:spid="_x0000_s1026" style="position:absolute;margin-left:-5.2pt;margin-top:-.05pt;width:118.5pt;height:48.1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" filled="f" strokecolor="red" strokeweight="2pt"/>
                  </w:pict>
                </mc:Fallback>
              </mc:AlternateContent>
            </w:r>
            <w:r w:rsidRPr="00BC7BB5">
              <w:rPr>
                <w:rFonts w:ascii="Times New Roman" w:hAnsi="Times New Roman" w:cs="Times New Roman"/>
                <w:b/>
                <w:color w:val="4F81BD" w:themeColor="accent1"/>
                <w:sz w:val="18"/>
                <w:szCs w:val="18"/>
              </w:rPr>
              <w:t xml:space="preserve"> </w:t>
            </w:r>
            <w:r w:rsidRPr="00BC7BB5">
              <w:rPr>
                <w:rFonts w:ascii="Times New Roman" w:hAnsi="Times New Roman" w:cs="Times New Roman"/>
                <w:color w:val="4F81BD" w:themeColor="accent1"/>
                <w:sz w:val="18"/>
                <w:szCs w:val="18"/>
              </w:rPr>
              <w:t>At least, one wholesale market is operating and applying the new management model</w:t>
            </w:r>
            <w:r w:rsidRPr="00BC7BB5">
              <w:rPr>
                <w:rFonts w:ascii="Times New Roman" w:hAnsi="Times New Roman" w:cs="Times New Roman"/>
                <w:sz w:val="18"/>
                <w:szCs w:val="18"/>
              </w:rPr>
              <w:t xml:space="preserve"> </w:t>
            </w:r>
          </w:p>
          <w:p w14:paraId="23058FC2" w14:textId="77777777" w:rsidR="00065F6E" w:rsidRPr="00BC7BB5" w:rsidRDefault="00065F6E" w:rsidP="00BC7BB5">
            <w:pPr>
              <w:spacing w:after="240"/>
            </w:pPr>
            <w:r w:rsidRPr="00BC7BB5">
              <w:rPr>
                <w:rFonts w:ascii="Times New Roman" w:hAnsi="Times New Roman" w:cs="Times New Roman"/>
                <w:color w:val="4F81BD" w:themeColor="accent1"/>
                <w:sz w:val="18"/>
                <w:szCs w:val="18"/>
              </w:rPr>
              <w:t>Use of market information services for mobile phones and of the application Publi-Asaar</w:t>
            </w:r>
          </w:p>
        </w:tc>
        <w:tc>
          <w:tcPr>
            <w:tcW w:w="1975" w:type="dxa"/>
            <w:vMerge w:val="restart"/>
          </w:tcPr>
          <w:p w14:paraId="2768CA6A" w14:textId="77777777" w:rsidR="00065F6E" w:rsidRPr="00BC7BB5" w:rsidRDefault="00065F6E" w:rsidP="00BC7BB5">
            <w:pPr>
              <w:spacing w:before="120" w:after="120"/>
              <w:rPr>
                <w:rFonts w:ascii="Times New Roman" w:hAnsi="Times New Roman" w:cs="Times New Roman"/>
                <w:b/>
                <w:color w:val="4F81BD" w:themeColor="accent1"/>
                <w:sz w:val="18"/>
                <w:szCs w:val="18"/>
              </w:rPr>
            </w:pPr>
          </w:p>
          <w:p w14:paraId="7A29FC2D" w14:textId="77777777" w:rsidR="00065F6E" w:rsidRPr="00BC7BB5" w:rsidRDefault="00065F6E" w:rsidP="00BC7BB5">
            <w:pPr>
              <w:spacing w:before="120" w:after="120"/>
              <w:rPr>
                <w:rFonts w:ascii="Times New Roman" w:hAnsi="Times New Roman" w:cs="Times New Roman"/>
                <w:b/>
                <w:color w:val="4F81BD" w:themeColor="accent1"/>
                <w:sz w:val="18"/>
                <w:szCs w:val="18"/>
              </w:rPr>
            </w:pPr>
          </w:p>
          <w:p w14:paraId="37BC48FA" w14:textId="77777777" w:rsidR="00065F6E" w:rsidRPr="00BC7BB5" w:rsidRDefault="00065F6E" w:rsidP="00BC7BB5">
            <w:pPr>
              <w:spacing w:before="120" w:after="120"/>
              <w:rPr>
                <w:rFonts w:ascii="Times New Roman" w:hAnsi="Times New Roman" w:cs="Times New Roman"/>
                <w:b/>
                <w:color w:val="4F81BD" w:themeColor="accent1"/>
                <w:sz w:val="18"/>
                <w:szCs w:val="18"/>
              </w:rPr>
            </w:pPr>
          </w:p>
          <w:p w14:paraId="4D4877C2" w14:textId="77777777" w:rsidR="00065F6E" w:rsidRPr="00BC7BB5" w:rsidRDefault="00065F6E" w:rsidP="00BC7BB5">
            <w:pPr>
              <w:spacing w:before="120" w:after="120"/>
              <w:rPr>
                <w:rFonts w:ascii="Times New Roman" w:hAnsi="Times New Roman" w:cs="Times New Roman"/>
                <w:b/>
                <w:color w:val="4F81BD" w:themeColor="accent1"/>
                <w:sz w:val="18"/>
                <w:szCs w:val="18"/>
              </w:rPr>
            </w:pPr>
          </w:p>
          <w:p w14:paraId="70273E9E" w14:textId="77777777" w:rsidR="00065F6E" w:rsidRPr="00BC7BB5" w:rsidRDefault="00065F6E" w:rsidP="00BC7BB5">
            <w:pPr>
              <w:spacing w:before="120" w:after="120"/>
              <w:rPr>
                <w:rFonts w:ascii="Times New Roman" w:hAnsi="Times New Roman" w:cs="Times New Roman"/>
                <w:b/>
                <w:color w:val="4F81BD" w:themeColor="accent1"/>
                <w:sz w:val="18"/>
                <w:szCs w:val="18"/>
              </w:rPr>
            </w:pPr>
          </w:p>
          <w:p w14:paraId="2C9A17E1" w14:textId="77777777" w:rsidR="00065F6E" w:rsidRPr="00BC7BB5" w:rsidRDefault="00065F6E" w:rsidP="00BC7BB5">
            <w:pPr>
              <w:spacing w:before="120" w:after="120"/>
              <w:rPr>
                <w:rFonts w:ascii="Times New Roman" w:hAnsi="Times New Roman" w:cs="Times New Roman"/>
                <w:b/>
                <w:color w:val="4F81BD" w:themeColor="accent1"/>
                <w:sz w:val="18"/>
                <w:szCs w:val="18"/>
              </w:rPr>
            </w:pPr>
          </w:p>
          <w:p w14:paraId="2E92DC8B" w14:textId="77777777" w:rsidR="00065F6E" w:rsidRPr="00BC7BB5" w:rsidRDefault="00065F6E" w:rsidP="00BC7BB5">
            <w:pPr>
              <w:spacing w:before="120" w:after="120"/>
              <w:rPr>
                <w:rFonts w:ascii="Times New Roman" w:hAnsi="Times New Roman" w:cs="Times New Roman"/>
                <w:b/>
                <w:color w:val="4F81BD" w:themeColor="accent1"/>
                <w:sz w:val="18"/>
                <w:szCs w:val="18"/>
              </w:rPr>
            </w:pPr>
          </w:p>
          <w:p w14:paraId="5323971D" w14:textId="77777777" w:rsidR="00065F6E" w:rsidRPr="00BC7BB5" w:rsidRDefault="00065F6E" w:rsidP="00BC7BB5">
            <w:pPr>
              <w:spacing w:before="120" w:after="120"/>
              <w:rPr>
                <w:rFonts w:ascii="Times New Roman" w:hAnsi="Times New Roman" w:cs="Times New Roman"/>
                <w:b/>
                <w:color w:val="4F81BD" w:themeColor="accent1"/>
                <w:sz w:val="18"/>
                <w:szCs w:val="18"/>
              </w:rPr>
            </w:pPr>
          </w:p>
          <w:p w14:paraId="17690C7A" w14:textId="77777777" w:rsidR="00065F6E" w:rsidRPr="00BC7BB5" w:rsidRDefault="00065F6E" w:rsidP="00BC7BB5">
            <w:pPr>
              <w:spacing w:before="120" w:after="120"/>
              <w:rPr>
                <w:rFonts w:ascii="Times New Roman" w:hAnsi="Times New Roman" w:cs="Times New Roman"/>
                <w:b/>
                <w:color w:val="4F81BD" w:themeColor="accent1"/>
                <w:sz w:val="18"/>
                <w:szCs w:val="18"/>
              </w:rPr>
            </w:pPr>
          </w:p>
          <w:p w14:paraId="34106F1A" w14:textId="77777777" w:rsidR="00065F6E" w:rsidRPr="00BC7BB5" w:rsidRDefault="00065F6E" w:rsidP="00BC7BB5">
            <w:pPr>
              <w:spacing w:before="120" w:after="120"/>
              <w:rPr>
                <w:rFonts w:ascii="Times New Roman" w:hAnsi="Times New Roman" w:cs="Times New Roman"/>
                <w:b/>
                <w:color w:val="4F81BD" w:themeColor="accent1"/>
                <w:sz w:val="18"/>
                <w:szCs w:val="18"/>
              </w:rPr>
            </w:pPr>
          </w:p>
          <w:p w14:paraId="7582F68F" w14:textId="77777777" w:rsidR="00065F6E" w:rsidRPr="00BC7BB5" w:rsidRDefault="00065F6E" w:rsidP="00BC7BB5">
            <w:pPr>
              <w:spacing w:before="120" w:after="120"/>
              <w:rPr>
                <w:highlight w:val="yellow"/>
              </w:rPr>
            </w:pPr>
            <w:r w:rsidRPr="00BC7BB5">
              <w:rPr>
                <w:noProof/>
                <w:highlight w:val="yellow"/>
              </w:rPr>
              <mc:AlternateContent>
                <mc:Choice Requires="wps">
                  <w:drawing>
                    <wp:anchor distT="0" distB="0" distL="114300" distR="114300" simplePos="0" relativeHeight="251694080" behindDoc="0" locked="0" layoutInCell="1" allowOverlap="1" wp14:anchorId="6EA1DB94" wp14:editId="5271BE64">
                      <wp:simplePos x="0" y="0"/>
                      <wp:positionH relativeFrom="column">
                        <wp:posOffset>-30571</wp:posOffset>
                      </wp:positionH>
                      <wp:positionV relativeFrom="paragraph">
                        <wp:posOffset>1158240</wp:posOffset>
                      </wp:positionV>
                      <wp:extent cx="1674495" cy="84455"/>
                      <wp:effectExtent l="0" t="0" r="1905" b="0"/>
                      <wp:wrapNone/>
                      <wp:docPr id="53" name="Rectangle 53"/>
                      <wp:cNvGraphicFramePr/>
                      <a:graphic xmlns:a="http://schemas.openxmlformats.org/drawingml/2006/main">
                        <a:graphicData uri="http://schemas.microsoft.com/office/word/2010/wordprocessingShape">
                          <wps:wsp>
                            <wps:cNvSpPr/>
                            <wps:spPr>
                              <a:xfrm>
                                <a:off x="0" y="0"/>
                                <a:ext cx="1674495" cy="8445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03B348" id="Rectangle 53" o:spid="_x0000_s1026" style="position:absolute;margin-left:-2.4pt;margin-top:91.2pt;width:131.85pt;height:6.6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" fillcolor="white [3212]" stroked="f" strokeweight="2pt"/>
                  </w:pict>
                </mc:Fallback>
              </mc:AlternateContent>
            </w:r>
            <w:r w:rsidRPr="00BC7BB5">
              <w:rPr>
                <w:rFonts w:ascii="Times New Roman" w:hAnsi="Times New Roman" w:cs="Times New Roman"/>
                <w:b/>
                <w:color w:val="4F81BD" w:themeColor="accent1"/>
                <w:sz w:val="18"/>
                <w:szCs w:val="18"/>
              </w:rPr>
              <w:t xml:space="preserve">[PDO] </w:t>
            </w:r>
            <w:r w:rsidRPr="00BC7BB5">
              <w:rPr>
                <w:rFonts w:ascii="Times New Roman" w:hAnsi="Times New Roman" w:cs="Times New Roman"/>
                <w:sz w:val="18"/>
                <w:szCs w:val="18"/>
              </w:rPr>
              <w:t>Increased volume of added-value products commercialized:</w:t>
            </w:r>
          </w:p>
        </w:tc>
      </w:tr>
      <w:tr w:rsidR="00065F6E" w:rsidRPr="00BC7BB5" w14:paraId="7DDA54C3" w14:textId="77777777" w:rsidTr="00065F6E">
        <w:trPr>
          <w:trHeight w:val="260"/>
        </w:trPr>
        <w:tc>
          <w:tcPr>
            <w:tcW w:w="7375" w:type="dxa"/>
            <w:gridSpan w:val="3"/>
            <w:shd w:val="clear" w:color="auto" w:fill="D99594" w:themeFill="accent2" w:themeFillTint="99"/>
          </w:tcPr>
          <w:p w14:paraId="0DEFC1A6" w14:textId="77777777" w:rsidR="00065F6E" w:rsidRPr="00BC7BB5" w:rsidRDefault="00065F6E" w:rsidP="00BC7BB5">
            <w:pPr>
              <w:rPr>
                <w:rFonts w:ascii="Times New Roman" w:hAnsi="Times New Roman" w:cs="Times New Roman"/>
                <w:b/>
                <w:sz w:val="18"/>
                <w:szCs w:val="18"/>
              </w:rPr>
            </w:pPr>
            <w:r w:rsidRPr="00BC7BB5">
              <w:rPr>
                <w:rFonts w:ascii="Times New Roman" w:hAnsi="Times New Roman" w:cs="Times New Roman"/>
                <w:b/>
                <w:sz w:val="18"/>
                <w:szCs w:val="18"/>
              </w:rPr>
              <w:t>Results Area 2 : Improved added-value of agri-food products</w:t>
            </w:r>
          </w:p>
        </w:tc>
        <w:tc>
          <w:tcPr>
            <w:tcW w:w="1975" w:type="dxa"/>
            <w:vMerge/>
          </w:tcPr>
          <w:p w14:paraId="41E4B401" w14:textId="77777777" w:rsidR="00065F6E" w:rsidRPr="00BC7BB5" w:rsidRDefault="00065F6E" w:rsidP="00BC7BB5">
            <w:pPr>
              <w:spacing w:before="120" w:after="120"/>
              <w:rPr>
                <w:rFonts w:ascii="Times New Roman" w:hAnsi="Times New Roman" w:cs="Times New Roman"/>
                <w:b/>
                <w:color w:val="4F81BD" w:themeColor="accent1"/>
                <w:sz w:val="18"/>
                <w:szCs w:val="18"/>
              </w:rPr>
            </w:pPr>
          </w:p>
        </w:tc>
      </w:tr>
      <w:tr w:rsidR="00065F6E" w:rsidRPr="00BC7BB5" w14:paraId="20539E31" w14:textId="77777777" w:rsidTr="00065F6E">
        <w:tc>
          <w:tcPr>
            <w:tcW w:w="2605" w:type="dxa"/>
          </w:tcPr>
          <w:p w14:paraId="3BF2CB34" w14:textId="77777777" w:rsidR="00065F6E" w:rsidRPr="00BC7BB5" w:rsidRDefault="00065F6E" w:rsidP="00BC7BB5">
            <w:pPr>
              <w:spacing w:before="240" w:after="240"/>
              <w:rPr>
                <w:rFonts w:ascii="Times New Roman" w:hAnsi="Times New Roman" w:cs="Times New Roman"/>
                <w:sz w:val="18"/>
                <w:szCs w:val="18"/>
              </w:rPr>
            </w:pPr>
            <w:r w:rsidRPr="00BC7BB5">
              <w:rPr>
                <w:rFonts w:ascii="Times New Roman" w:hAnsi="Times New Roman" w:cs="Times New Roman"/>
                <w:sz w:val="18"/>
                <w:szCs w:val="18"/>
              </w:rPr>
              <w:t>Strengthening ONSSA to implement the food safety law</w:t>
            </w:r>
          </w:p>
          <w:p w14:paraId="6C6A6839" w14:textId="77777777" w:rsidR="00065F6E" w:rsidRPr="00BC7BB5" w:rsidRDefault="00065F6E" w:rsidP="00BC7BB5">
            <w:pPr>
              <w:spacing w:before="240" w:after="240"/>
              <w:rPr>
                <w:rFonts w:ascii="Times New Roman" w:hAnsi="Times New Roman" w:cs="Times New Roman"/>
                <w:sz w:val="18"/>
                <w:szCs w:val="18"/>
              </w:rPr>
            </w:pPr>
            <w:r w:rsidRPr="00BC7BB5">
              <w:rPr>
                <w:rFonts w:ascii="Times New Roman" w:hAnsi="Times New Roman" w:cs="Times New Roman"/>
                <w:sz w:val="18"/>
                <w:szCs w:val="18"/>
              </w:rPr>
              <w:t xml:space="preserve">Accompanying private operators to adopt food safety standards </w:t>
            </w:r>
          </w:p>
          <w:p w14:paraId="492D46D8" w14:textId="77777777" w:rsidR="00065F6E" w:rsidRPr="00BC7BB5" w:rsidRDefault="00065F6E" w:rsidP="00BC7BB5">
            <w:pPr>
              <w:spacing w:before="240" w:after="240"/>
              <w:rPr>
                <w:rFonts w:ascii="Times New Roman" w:hAnsi="Times New Roman" w:cs="Times New Roman"/>
                <w:sz w:val="18"/>
                <w:szCs w:val="18"/>
              </w:rPr>
            </w:pPr>
            <w:r w:rsidRPr="00BC7BB5">
              <w:rPr>
                <w:rFonts w:ascii="Times New Roman" w:hAnsi="Times New Roman" w:cs="Times New Roman"/>
                <w:sz w:val="18"/>
                <w:szCs w:val="18"/>
              </w:rPr>
              <w:t xml:space="preserve">Creating a center to produce sterile males for Citrus </w:t>
            </w:r>
            <w:r w:rsidRPr="00BC7BB5">
              <w:rPr>
                <w:rFonts w:ascii="Times New Roman" w:hAnsi="Times New Roman" w:cs="Times New Roman"/>
                <w:i/>
                <w:sz w:val="18"/>
                <w:szCs w:val="18"/>
              </w:rPr>
              <w:t>Mediterranean Flu</w:t>
            </w:r>
            <w:r w:rsidRPr="00BC7BB5">
              <w:rPr>
                <w:rFonts w:ascii="Times New Roman" w:hAnsi="Times New Roman" w:cs="Times New Roman"/>
                <w:sz w:val="18"/>
                <w:szCs w:val="18"/>
              </w:rPr>
              <w:t xml:space="preserve"> (ceratitis) treatment</w:t>
            </w:r>
          </w:p>
          <w:p w14:paraId="6903BB49" w14:textId="77777777" w:rsidR="00065F6E" w:rsidRPr="00BC7BB5" w:rsidRDefault="00065F6E" w:rsidP="00BC7BB5">
            <w:pPr>
              <w:spacing w:before="240" w:after="240"/>
              <w:rPr>
                <w:rFonts w:ascii="Times New Roman" w:hAnsi="Times New Roman" w:cs="Times New Roman"/>
                <w:sz w:val="18"/>
                <w:szCs w:val="18"/>
              </w:rPr>
            </w:pPr>
            <w:r w:rsidRPr="00BC7BB5">
              <w:rPr>
                <w:rFonts w:ascii="Times New Roman" w:hAnsi="Times New Roman" w:cs="Times New Roman"/>
                <w:sz w:val="18"/>
                <w:szCs w:val="18"/>
              </w:rPr>
              <w:t xml:space="preserve">Supporting the adoption of SDOQ and organic certification </w:t>
            </w:r>
          </w:p>
          <w:p w14:paraId="4F34D229" w14:textId="77777777" w:rsidR="00065F6E" w:rsidRPr="00BC7BB5" w:rsidRDefault="00065F6E" w:rsidP="00BC7BB5">
            <w:pPr>
              <w:spacing w:before="240" w:after="240"/>
              <w:rPr>
                <w:rFonts w:ascii="Times New Roman" w:hAnsi="Times New Roman" w:cs="Times New Roman"/>
                <w:sz w:val="18"/>
                <w:szCs w:val="18"/>
              </w:rPr>
            </w:pPr>
            <w:r w:rsidRPr="00BC7BB5">
              <w:rPr>
                <w:rFonts w:ascii="Times New Roman" w:hAnsi="Times New Roman" w:cs="Times New Roman"/>
                <w:sz w:val="18"/>
                <w:szCs w:val="18"/>
              </w:rPr>
              <w:t xml:space="preserve">Setting out campaigns to encourage consumers to buy better quality olive oil </w:t>
            </w:r>
          </w:p>
          <w:p w14:paraId="386F454A" w14:textId="13AD0508" w:rsidR="00065F6E" w:rsidRPr="00BC7BB5" w:rsidRDefault="00065F6E" w:rsidP="00BC7BB5">
            <w:pPr>
              <w:spacing w:before="240" w:after="240"/>
              <w:rPr>
                <w:rFonts w:ascii="Times New Roman" w:hAnsi="Times New Roman" w:cs="Times New Roman"/>
                <w:sz w:val="18"/>
                <w:szCs w:val="18"/>
              </w:rPr>
            </w:pPr>
            <w:r w:rsidRPr="00BC7BB5">
              <w:rPr>
                <w:rFonts w:ascii="Times New Roman" w:hAnsi="Times New Roman" w:cs="Times New Roman"/>
                <w:sz w:val="18"/>
                <w:szCs w:val="18"/>
              </w:rPr>
              <w:t xml:space="preserve">Creating two centers to foster innovation and entrepreneurship in the agri-food sector  </w:t>
            </w:r>
          </w:p>
          <w:p w14:paraId="1FC1EBEC" w14:textId="77777777" w:rsidR="00065F6E" w:rsidRPr="00BC7BB5" w:rsidRDefault="00065F6E" w:rsidP="00BC7BB5">
            <w:pPr>
              <w:spacing w:before="240" w:after="240"/>
            </w:pPr>
            <w:r w:rsidRPr="00BC7BB5">
              <w:rPr>
                <w:rFonts w:ascii="Times New Roman" w:hAnsi="Times New Roman" w:cs="Times New Roman"/>
                <w:sz w:val="18"/>
                <w:szCs w:val="18"/>
              </w:rPr>
              <w:t xml:space="preserve">Establishing a financing mechanism for projects to develop innovative products and green technologies </w:t>
            </w:r>
          </w:p>
        </w:tc>
        <w:tc>
          <w:tcPr>
            <w:tcW w:w="2340" w:type="dxa"/>
          </w:tcPr>
          <w:p w14:paraId="6D846D83" w14:textId="58BEADB7" w:rsidR="00065F6E" w:rsidRPr="00BC7BB5" w:rsidRDefault="00900635" w:rsidP="00BC7BB5">
            <w:pPr>
              <w:spacing w:before="240" w:after="240"/>
              <w:rPr>
                <w:rFonts w:ascii="Times New Roman" w:hAnsi="Times New Roman" w:cs="Times New Roman"/>
                <w:sz w:val="18"/>
                <w:szCs w:val="18"/>
              </w:rPr>
            </w:pPr>
            <w:r w:rsidRPr="00BC7BB5">
              <w:rPr>
                <w:rFonts w:ascii="Times New Roman" w:hAnsi="Times New Roman" w:cs="Times New Roman"/>
                <w:b/>
                <w:noProof/>
                <w:sz w:val="18"/>
                <w:szCs w:val="18"/>
              </w:rPr>
              <mc:AlternateContent>
                <mc:Choice Requires="wps">
                  <w:drawing>
                    <wp:anchor distT="0" distB="0" distL="114300" distR="114300" simplePos="0" relativeHeight="251700224" behindDoc="0" locked="0" layoutInCell="1" allowOverlap="1" wp14:anchorId="49A6743A" wp14:editId="19F2E8E3">
                      <wp:simplePos x="0" y="0"/>
                      <wp:positionH relativeFrom="column">
                        <wp:posOffset>1417955</wp:posOffset>
                      </wp:positionH>
                      <wp:positionV relativeFrom="paragraph">
                        <wp:posOffset>149860</wp:posOffset>
                      </wp:positionV>
                      <wp:extent cx="1506855" cy="551815"/>
                      <wp:effectExtent l="0" t="0" r="17145" b="19685"/>
                      <wp:wrapNone/>
                      <wp:docPr id="55" name="Rectangle: Rounded Corners 55"/>
                      <wp:cNvGraphicFramePr/>
                      <a:graphic xmlns:a="http://schemas.openxmlformats.org/drawingml/2006/main">
                        <a:graphicData uri="http://schemas.microsoft.com/office/word/2010/wordprocessingShape">
                          <wps:wsp>
                            <wps:cNvSpPr/>
                            <wps:spPr>
                              <a:xfrm>
                                <a:off x="0" y="0"/>
                                <a:ext cx="1506855" cy="551815"/>
                              </a:xfrm>
                              <a:prstGeom prst="round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FDB690C" id="Rectangle: Rounded Corners 55" o:spid="_x0000_s1026" style="position:absolute;margin-left:111.65pt;margin-top:11.8pt;width:118.65pt;height:43.4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" filled="f" strokecolor="red" strokeweight="2pt"/>
                  </w:pict>
                </mc:Fallback>
              </mc:AlternateContent>
            </w:r>
            <w:r w:rsidR="00065F6E" w:rsidRPr="00BC7BB5">
              <w:rPr>
                <w:rFonts w:ascii="Times New Roman" w:hAnsi="Times New Roman" w:cs="Times New Roman"/>
                <w:sz w:val="18"/>
                <w:szCs w:val="18"/>
              </w:rPr>
              <w:t>4 laboratories upgraded and ready to be certified according ISO 17025</w:t>
            </w:r>
          </w:p>
          <w:p w14:paraId="0C6A1DF3" w14:textId="77777777" w:rsidR="00065F6E" w:rsidRPr="00BC7BB5" w:rsidRDefault="00065F6E" w:rsidP="00BC7BB5">
            <w:pPr>
              <w:spacing w:before="240" w:after="240"/>
              <w:rPr>
                <w:rFonts w:ascii="Times New Roman" w:hAnsi="Times New Roman" w:cs="Times New Roman"/>
                <w:sz w:val="18"/>
                <w:szCs w:val="18"/>
              </w:rPr>
            </w:pPr>
            <w:r w:rsidRPr="00BC7BB5">
              <w:rPr>
                <w:rFonts w:ascii="Times New Roman" w:hAnsi="Times New Roman" w:cs="Times New Roman"/>
                <w:sz w:val="18"/>
                <w:szCs w:val="18"/>
              </w:rPr>
              <w:t>A monitoring and risk mitigation plan for the food industry established, based on a risk assessment</w:t>
            </w:r>
          </w:p>
          <w:p w14:paraId="5E0BA15B" w14:textId="77777777" w:rsidR="00065F6E" w:rsidRPr="00BC7BB5" w:rsidRDefault="00065F6E" w:rsidP="00BC7BB5">
            <w:pPr>
              <w:spacing w:before="240" w:after="240"/>
              <w:rPr>
                <w:rFonts w:ascii="Times New Roman" w:hAnsi="Times New Roman" w:cs="Times New Roman"/>
                <w:sz w:val="18"/>
                <w:szCs w:val="18"/>
              </w:rPr>
            </w:pPr>
            <w:r w:rsidRPr="00BC7BB5">
              <w:rPr>
                <w:rFonts w:ascii="Times New Roman" w:hAnsi="Times New Roman" w:cs="Times New Roman"/>
                <w:sz w:val="18"/>
                <w:szCs w:val="18"/>
              </w:rPr>
              <w:t>An input register in the Souss-Massa region created for horticulture (vegetables), citrus, and “primeurs”, to facilitate certification</w:t>
            </w:r>
          </w:p>
          <w:p w14:paraId="7F3A1518" w14:textId="77777777" w:rsidR="00065F6E" w:rsidRPr="00BC7BB5" w:rsidRDefault="00065F6E" w:rsidP="00BC7BB5">
            <w:pPr>
              <w:spacing w:before="240" w:after="240"/>
              <w:rPr>
                <w:rFonts w:ascii="Times New Roman" w:hAnsi="Times New Roman" w:cs="Times New Roman"/>
                <w:sz w:val="18"/>
                <w:szCs w:val="18"/>
              </w:rPr>
            </w:pPr>
            <w:r w:rsidRPr="00BC7BB5">
              <w:rPr>
                <w:rFonts w:ascii="Times New Roman" w:hAnsi="Times New Roman" w:cs="Times New Roman"/>
                <w:sz w:val="18"/>
                <w:szCs w:val="18"/>
              </w:rPr>
              <w:t>Center for ceratitis treatment built</w:t>
            </w:r>
          </w:p>
          <w:p w14:paraId="72482F47" w14:textId="0023590C" w:rsidR="00065F6E" w:rsidRPr="00BC7BB5" w:rsidRDefault="00065F6E" w:rsidP="00BC7BB5">
            <w:pPr>
              <w:spacing w:before="240" w:after="240"/>
              <w:rPr>
                <w:rFonts w:ascii="Times New Roman" w:hAnsi="Times New Roman" w:cs="Times New Roman"/>
                <w:sz w:val="18"/>
                <w:szCs w:val="18"/>
              </w:rPr>
            </w:pPr>
            <w:r w:rsidRPr="00BC7BB5">
              <w:rPr>
                <w:rFonts w:ascii="Times New Roman" w:hAnsi="Times New Roman" w:cs="Times New Roman"/>
                <w:b/>
                <w:noProof/>
                <w:color w:val="4F81BD" w:themeColor="accent1"/>
                <w:sz w:val="18"/>
                <w:szCs w:val="18"/>
              </w:rPr>
              <mc:AlternateContent>
                <mc:Choice Requires="wps">
                  <w:drawing>
                    <wp:anchor distT="0" distB="0" distL="114300" distR="114300" simplePos="0" relativeHeight="251698176" behindDoc="0" locked="0" layoutInCell="1" allowOverlap="1" wp14:anchorId="70A1E575" wp14:editId="7CA7B9A7">
                      <wp:simplePos x="0" y="0"/>
                      <wp:positionH relativeFrom="column">
                        <wp:posOffset>-49530</wp:posOffset>
                      </wp:positionH>
                      <wp:positionV relativeFrom="paragraph">
                        <wp:posOffset>240030</wp:posOffset>
                      </wp:positionV>
                      <wp:extent cx="1441450" cy="361950"/>
                      <wp:effectExtent l="0" t="0" r="25400" b="19050"/>
                      <wp:wrapNone/>
                      <wp:docPr id="54" name="Rectangle: Rounded Corners 54"/>
                      <wp:cNvGraphicFramePr/>
                      <a:graphic xmlns:a="http://schemas.openxmlformats.org/drawingml/2006/main">
                        <a:graphicData uri="http://schemas.microsoft.com/office/word/2010/wordprocessingShape">
                          <wps:wsp>
                            <wps:cNvSpPr/>
                            <wps:spPr>
                              <a:xfrm>
                                <a:off x="0" y="0"/>
                                <a:ext cx="1441450" cy="361950"/>
                              </a:xfrm>
                              <a:prstGeom prst="roundRect">
                                <a:avLst/>
                              </a:prstGeom>
                              <a:noFill/>
                              <a:ln>
                                <a:solidFill>
                                  <a:srgbClr val="FF0000"/>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FC24F92" id="Rectangle: Rounded Corners 54" o:spid="_x0000_s1026" style="position:absolute;margin-left:-3.9pt;margin-top:18.9pt;width:113.5pt;height:28.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" filled="f" strokecolor="red" strokeweight="2pt">
                      <v:stroke dashstyle="dash"/>
                    </v:roundrect>
                  </w:pict>
                </mc:Fallback>
              </mc:AlternateContent>
            </w:r>
            <w:r w:rsidRPr="00BC7BB5">
              <w:rPr>
                <w:rFonts w:ascii="Times New Roman" w:hAnsi="Times New Roman" w:cs="Times New Roman"/>
                <w:sz w:val="18"/>
                <w:szCs w:val="18"/>
              </w:rPr>
              <w:t xml:space="preserve">Campaigns carried out </w:t>
            </w:r>
          </w:p>
          <w:p w14:paraId="564AB6D8" w14:textId="77777777" w:rsidR="00065F6E" w:rsidRPr="00BC7BB5" w:rsidRDefault="00065F6E" w:rsidP="00BC7BB5">
            <w:pPr>
              <w:spacing w:before="240" w:after="240"/>
              <w:rPr>
                <w:rFonts w:ascii="Times New Roman" w:hAnsi="Times New Roman" w:cs="Times New Roman"/>
                <w:sz w:val="18"/>
                <w:szCs w:val="18"/>
              </w:rPr>
            </w:pPr>
            <w:r w:rsidRPr="00BC7BB5">
              <w:rPr>
                <w:rFonts w:ascii="Times New Roman" w:hAnsi="Times New Roman" w:cs="Times New Roman"/>
                <w:sz w:val="18"/>
                <w:szCs w:val="18"/>
              </w:rPr>
              <w:t>Innovation centers established/built</w:t>
            </w:r>
          </w:p>
          <w:p w14:paraId="0B5566A5" w14:textId="77777777" w:rsidR="00065F6E" w:rsidRPr="00BC7BB5" w:rsidRDefault="00065F6E" w:rsidP="00065F6E">
            <w:pPr>
              <w:spacing w:before="240" w:after="120"/>
              <w:rPr>
                <w:rFonts w:ascii="Times New Roman" w:hAnsi="Times New Roman" w:cs="Times New Roman"/>
                <w:sz w:val="18"/>
                <w:szCs w:val="18"/>
              </w:rPr>
            </w:pPr>
            <w:r w:rsidRPr="00BC7BB5">
              <w:rPr>
                <w:rFonts w:ascii="Times New Roman" w:hAnsi="Times New Roman" w:cs="Times New Roman"/>
                <w:sz w:val="18"/>
                <w:szCs w:val="18"/>
              </w:rPr>
              <w:t>Financing mechanism for innovation defined and incorporated into the Operational Manual</w:t>
            </w:r>
          </w:p>
        </w:tc>
        <w:tc>
          <w:tcPr>
            <w:tcW w:w="2430" w:type="dxa"/>
          </w:tcPr>
          <w:p w14:paraId="664F8A2D" w14:textId="6FADD0A4" w:rsidR="00065F6E" w:rsidRPr="00BC7BB5" w:rsidRDefault="00900635" w:rsidP="00BC7BB5">
            <w:pPr>
              <w:spacing w:before="240" w:after="240"/>
              <w:rPr>
                <w:rFonts w:ascii="Times New Roman" w:hAnsi="Times New Roman" w:cs="Times New Roman"/>
                <w:sz w:val="18"/>
                <w:szCs w:val="18"/>
              </w:rPr>
            </w:pPr>
            <w:r w:rsidRPr="00BC7BB5">
              <w:rPr>
                <w:rFonts w:ascii="Times New Roman" w:hAnsi="Times New Roman" w:cs="Times New Roman"/>
                <w:b/>
                <w:noProof/>
                <w:color w:val="4F81BD" w:themeColor="accent1"/>
                <w:sz w:val="18"/>
                <w:szCs w:val="18"/>
              </w:rPr>
              <mc:AlternateContent>
                <mc:Choice Requires="wps">
                  <w:drawing>
                    <wp:anchor distT="0" distB="0" distL="114300" distR="114300" simplePos="0" relativeHeight="251697152" behindDoc="0" locked="0" layoutInCell="1" allowOverlap="1" wp14:anchorId="69638056" wp14:editId="449D3E14">
                      <wp:simplePos x="0" y="0"/>
                      <wp:positionH relativeFrom="column">
                        <wp:posOffset>-69850</wp:posOffset>
                      </wp:positionH>
                      <wp:positionV relativeFrom="paragraph">
                        <wp:posOffset>819785</wp:posOffset>
                      </wp:positionV>
                      <wp:extent cx="1506855" cy="579755"/>
                      <wp:effectExtent l="0" t="0" r="17145" b="10795"/>
                      <wp:wrapNone/>
                      <wp:docPr id="56" name="Rectangle: Rounded Corners 56"/>
                      <wp:cNvGraphicFramePr/>
                      <a:graphic xmlns:a="http://schemas.openxmlformats.org/drawingml/2006/main">
                        <a:graphicData uri="http://schemas.microsoft.com/office/word/2010/wordprocessingShape">
                          <wps:wsp>
                            <wps:cNvSpPr/>
                            <wps:spPr>
                              <a:xfrm>
                                <a:off x="0" y="0"/>
                                <a:ext cx="1506855" cy="579755"/>
                              </a:xfrm>
                              <a:prstGeom prst="round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3837FE7" id="Rectangle: Rounded Corners 56" o:spid="_x0000_s1026" style="position:absolute;margin-left:-5.5pt;margin-top:64.55pt;width:118.65pt;height:45.6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" filled="f" strokecolor="red" strokeweight="2pt"/>
                  </w:pict>
                </mc:Fallback>
              </mc:AlternateContent>
            </w:r>
            <w:r w:rsidR="00065F6E" w:rsidRPr="00BC7BB5">
              <w:rPr>
                <w:rFonts w:ascii="Times New Roman" w:hAnsi="Times New Roman" w:cs="Times New Roman"/>
                <w:color w:val="4F81BD" w:themeColor="accent1"/>
                <w:sz w:val="18"/>
                <w:szCs w:val="18"/>
              </w:rPr>
              <w:t>Operators</w:t>
            </w:r>
            <w:r>
              <w:rPr>
                <w:rFonts w:ascii="Times New Roman" w:hAnsi="Times New Roman" w:cs="Times New Roman"/>
                <w:color w:val="4F81BD" w:themeColor="accent1"/>
                <w:sz w:val="18"/>
                <w:szCs w:val="18"/>
              </w:rPr>
              <w:t xml:space="preserve"> (small-/medium-sized </w:t>
            </w:r>
            <w:r w:rsidR="00065F6E" w:rsidRPr="00BC7BB5">
              <w:rPr>
                <w:rFonts w:ascii="Times New Roman" w:hAnsi="Times New Roman" w:cs="Times New Roman"/>
                <w:color w:val="4F81BD" w:themeColor="accent1"/>
                <w:sz w:val="18"/>
                <w:szCs w:val="18"/>
              </w:rPr>
              <w:t>enterprises) authorized and included in ONSSA’ register</w:t>
            </w:r>
            <w:r w:rsidR="00065F6E" w:rsidRPr="00BC7BB5">
              <w:rPr>
                <w:rFonts w:ascii="Times New Roman" w:hAnsi="Times New Roman" w:cs="Times New Roman"/>
                <w:sz w:val="18"/>
                <w:szCs w:val="18"/>
              </w:rPr>
              <w:t xml:space="preserve">    </w:t>
            </w:r>
          </w:p>
          <w:p w14:paraId="1474D012" w14:textId="788E33C9" w:rsidR="00065F6E" w:rsidRPr="00BC7BB5" w:rsidRDefault="00065F6E" w:rsidP="00BC7BB5">
            <w:pPr>
              <w:spacing w:before="240" w:after="240"/>
              <w:rPr>
                <w:rFonts w:ascii="Times New Roman" w:hAnsi="Times New Roman" w:cs="Times New Roman"/>
                <w:color w:val="4F81BD" w:themeColor="accent1"/>
                <w:sz w:val="18"/>
                <w:szCs w:val="18"/>
              </w:rPr>
            </w:pPr>
            <w:r w:rsidRPr="00BC7BB5">
              <w:rPr>
                <w:rFonts w:ascii="Times New Roman" w:hAnsi="Times New Roman" w:cs="Times New Roman"/>
                <w:color w:val="4F81BD" w:themeColor="accent1"/>
                <w:sz w:val="18"/>
                <w:szCs w:val="18"/>
              </w:rPr>
              <w:t xml:space="preserve">Center for </w:t>
            </w:r>
            <w:r w:rsidR="00900635">
              <w:rPr>
                <w:rFonts w:ascii="Times New Roman" w:hAnsi="Times New Roman" w:cs="Times New Roman"/>
                <w:color w:val="4F81BD" w:themeColor="accent1"/>
                <w:sz w:val="18"/>
                <w:szCs w:val="18"/>
              </w:rPr>
              <w:t xml:space="preserve">the production of sterile </w:t>
            </w:r>
            <w:r w:rsidR="00900635" w:rsidRPr="00900635">
              <w:rPr>
                <w:rFonts w:ascii="Times New Roman" w:hAnsi="Times New Roman" w:cs="Times New Roman"/>
                <w:i/>
                <w:color w:val="4F81BD" w:themeColor="accent1"/>
                <w:sz w:val="18"/>
                <w:szCs w:val="18"/>
              </w:rPr>
              <w:t>ceratitis</w:t>
            </w:r>
            <w:r w:rsidR="00900635">
              <w:rPr>
                <w:rFonts w:ascii="Times New Roman" w:hAnsi="Times New Roman" w:cs="Times New Roman"/>
                <w:color w:val="4F81BD" w:themeColor="accent1"/>
                <w:sz w:val="18"/>
                <w:szCs w:val="18"/>
              </w:rPr>
              <w:t xml:space="preserve"> males</w:t>
            </w:r>
            <w:r w:rsidRPr="00BC7BB5">
              <w:rPr>
                <w:rFonts w:ascii="Times New Roman" w:hAnsi="Times New Roman" w:cs="Times New Roman"/>
                <w:color w:val="4F81BD" w:themeColor="accent1"/>
                <w:sz w:val="18"/>
                <w:szCs w:val="18"/>
              </w:rPr>
              <w:t xml:space="preserve"> providing farm treatment services to citrus producers</w:t>
            </w:r>
            <w:r w:rsidRPr="00BC7BB5" w:rsidDel="003D2ACF">
              <w:rPr>
                <w:rFonts w:ascii="Times New Roman" w:hAnsi="Times New Roman" w:cs="Times New Roman"/>
                <w:color w:val="4F81BD" w:themeColor="accent1"/>
                <w:sz w:val="18"/>
                <w:szCs w:val="18"/>
              </w:rPr>
              <w:t xml:space="preserve"> </w:t>
            </w:r>
          </w:p>
          <w:p w14:paraId="605EEF58" w14:textId="77777777" w:rsidR="00065F6E" w:rsidRPr="00BC7BB5" w:rsidRDefault="00065F6E" w:rsidP="00BC7BB5">
            <w:pPr>
              <w:spacing w:before="240" w:after="240"/>
              <w:rPr>
                <w:rFonts w:ascii="Times New Roman" w:hAnsi="Times New Roman" w:cs="Times New Roman"/>
                <w:sz w:val="18"/>
                <w:szCs w:val="18"/>
              </w:rPr>
            </w:pPr>
            <w:r w:rsidRPr="00BC7BB5">
              <w:rPr>
                <w:rFonts w:ascii="Times New Roman" w:hAnsi="Times New Roman" w:cs="Times New Roman"/>
                <w:color w:val="4F81BD" w:themeColor="accent1"/>
                <w:sz w:val="18"/>
                <w:szCs w:val="18"/>
              </w:rPr>
              <w:t>Producers with an input register in the Souss-Massa region</w:t>
            </w:r>
          </w:p>
          <w:p w14:paraId="3510F4A3" w14:textId="77777777" w:rsidR="00065F6E" w:rsidRPr="00BC7BB5" w:rsidRDefault="00065F6E" w:rsidP="00BC7BB5">
            <w:pPr>
              <w:spacing w:before="240" w:after="240"/>
              <w:rPr>
                <w:rFonts w:ascii="Times New Roman" w:hAnsi="Times New Roman" w:cs="Times New Roman"/>
                <w:b/>
                <w:color w:val="4F81BD" w:themeColor="accent1"/>
                <w:sz w:val="18"/>
                <w:szCs w:val="18"/>
              </w:rPr>
            </w:pPr>
            <w:r w:rsidRPr="00BC7BB5">
              <w:rPr>
                <w:rFonts w:ascii="Times New Roman" w:hAnsi="Times New Roman" w:cs="Times New Roman"/>
                <w:b/>
                <w:noProof/>
                <w:color w:val="4F81BD" w:themeColor="accent1"/>
                <w:sz w:val="18"/>
                <w:szCs w:val="18"/>
              </w:rPr>
              <mc:AlternateContent>
                <mc:Choice Requires="wps">
                  <w:drawing>
                    <wp:anchor distT="0" distB="0" distL="114300" distR="114300" simplePos="0" relativeHeight="251699200" behindDoc="0" locked="0" layoutInCell="1" allowOverlap="1" wp14:anchorId="002A3A57" wp14:editId="052FDD15">
                      <wp:simplePos x="0" y="0"/>
                      <wp:positionH relativeFrom="column">
                        <wp:posOffset>-46990</wp:posOffset>
                      </wp:positionH>
                      <wp:positionV relativeFrom="paragraph">
                        <wp:posOffset>367029</wp:posOffset>
                      </wp:positionV>
                      <wp:extent cx="1485900" cy="591185"/>
                      <wp:effectExtent l="0" t="0" r="19050" b="18415"/>
                      <wp:wrapNone/>
                      <wp:docPr id="57" name="Rectangle: Rounded Corners 57"/>
                      <wp:cNvGraphicFramePr/>
                      <a:graphic xmlns:a="http://schemas.openxmlformats.org/drawingml/2006/main">
                        <a:graphicData uri="http://schemas.microsoft.com/office/word/2010/wordprocessingShape">
                          <wps:wsp>
                            <wps:cNvSpPr/>
                            <wps:spPr>
                              <a:xfrm>
                                <a:off x="0" y="0"/>
                                <a:ext cx="1485900" cy="591185"/>
                              </a:xfrm>
                              <a:prstGeom prst="round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B7BE35E" id="Rectangle: Rounded Corners 57" o:spid="_x0000_s1026" style="position:absolute;margin-left:-3.7pt;margin-top:28.9pt;width:117pt;height:46.5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" filled="f" strokecolor="red" strokeweight="2pt"/>
                  </w:pict>
                </mc:Fallback>
              </mc:AlternateContent>
            </w:r>
            <w:r w:rsidRPr="00BC7BB5">
              <w:rPr>
                <w:rFonts w:ascii="Times New Roman" w:hAnsi="Times New Roman" w:cs="Times New Roman"/>
                <w:color w:val="4F81BD" w:themeColor="accent1"/>
                <w:sz w:val="18"/>
                <w:szCs w:val="18"/>
              </w:rPr>
              <w:t>SDOQ Products being certified by the OCC</w:t>
            </w:r>
            <w:r w:rsidRPr="00BC7BB5">
              <w:rPr>
                <w:rFonts w:ascii="Times New Roman" w:hAnsi="Times New Roman" w:cs="Times New Roman"/>
                <w:sz w:val="18"/>
                <w:szCs w:val="18"/>
              </w:rPr>
              <w:t xml:space="preserve"> </w:t>
            </w:r>
          </w:p>
          <w:p w14:paraId="6685D9BE" w14:textId="276245FA" w:rsidR="00065F6E" w:rsidRPr="00BC7BB5" w:rsidRDefault="00065F6E" w:rsidP="00BC7BB5">
            <w:pPr>
              <w:spacing w:before="240" w:after="240"/>
              <w:rPr>
                <w:rFonts w:ascii="Times New Roman" w:hAnsi="Times New Roman" w:cs="Times New Roman"/>
                <w:sz w:val="18"/>
                <w:szCs w:val="18"/>
              </w:rPr>
            </w:pPr>
            <w:r w:rsidRPr="00BC7BB5">
              <w:rPr>
                <w:rFonts w:ascii="Times New Roman" w:hAnsi="Times New Roman" w:cs="Times New Roman"/>
                <w:color w:val="4F81BD" w:themeColor="accent1"/>
                <w:sz w:val="18"/>
                <w:szCs w:val="18"/>
              </w:rPr>
              <w:t>Operators (small-/medium-sized producers/enterprises) assisted by the Innovation Centers</w:t>
            </w:r>
            <w:r w:rsidRPr="00BC7BB5">
              <w:rPr>
                <w:rFonts w:ascii="Times New Roman" w:hAnsi="Times New Roman" w:cs="Times New Roman"/>
                <w:sz w:val="18"/>
                <w:szCs w:val="18"/>
              </w:rPr>
              <w:t xml:space="preserve"> </w:t>
            </w:r>
          </w:p>
          <w:p w14:paraId="37FF47A2" w14:textId="01DF0390" w:rsidR="00065F6E" w:rsidRPr="00BC7BB5" w:rsidRDefault="00065F6E" w:rsidP="00BC7BB5">
            <w:pPr>
              <w:spacing w:before="240" w:after="240"/>
            </w:pPr>
            <w:r w:rsidRPr="00BC7BB5" w:rsidDel="00580D8E">
              <w:rPr>
                <w:rFonts w:ascii="Times New Roman" w:hAnsi="Times New Roman" w:cs="Times New Roman"/>
                <w:b/>
                <w:color w:val="4F81BD" w:themeColor="accent1"/>
                <w:sz w:val="18"/>
                <w:szCs w:val="18"/>
              </w:rPr>
              <w:t xml:space="preserve"> </w:t>
            </w:r>
            <w:r w:rsidRPr="00BC7BB5">
              <w:rPr>
                <w:rFonts w:ascii="Times New Roman" w:hAnsi="Times New Roman" w:cs="Times New Roman"/>
                <w:color w:val="4F81BD" w:themeColor="accent1"/>
                <w:sz w:val="18"/>
                <w:szCs w:val="18"/>
              </w:rPr>
              <w:t>Projects using green technologies</w:t>
            </w:r>
            <w:r w:rsidRPr="00BC7BB5">
              <w:rPr>
                <w:rFonts w:ascii="Times New Roman" w:hAnsi="Times New Roman" w:cs="Times New Roman"/>
                <w:sz w:val="18"/>
                <w:szCs w:val="18"/>
              </w:rPr>
              <w:t xml:space="preserve"> </w:t>
            </w:r>
          </w:p>
        </w:tc>
        <w:tc>
          <w:tcPr>
            <w:tcW w:w="1975" w:type="dxa"/>
          </w:tcPr>
          <w:p w14:paraId="576BE41F" w14:textId="3F8E7F83" w:rsidR="00065F6E" w:rsidRPr="00BC7BB5" w:rsidRDefault="00065F6E" w:rsidP="00BC7BB5">
            <w:pPr>
              <w:spacing w:before="240" w:after="120"/>
              <w:rPr>
                <w:rFonts w:ascii="Times New Roman" w:hAnsi="Times New Roman" w:cs="Times New Roman"/>
                <w:b/>
                <w:color w:val="4F81BD" w:themeColor="accent1"/>
                <w:sz w:val="18"/>
                <w:szCs w:val="18"/>
              </w:rPr>
            </w:pPr>
          </w:p>
          <w:p w14:paraId="611B6408" w14:textId="77777777" w:rsidR="00065F6E" w:rsidRPr="00BC7BB5" w:rsidRDefault="00065F6E" w:rsidP="00BC7BB5">
            <w:pPr>
              <w:spacing w:before="240" w:after="120"/>
              <w:rPr>
                <w:rFonts w:ascii="Times New Roman" w:hAnsi="Times New Roman" w:cs="Times New Roman"/>
                <w:sz w:val="18"/>
                <w:szCs w:val="18"/>
              </w:rPr>
            </w:pPr>
            <w:r w:rsidRPr="00BC7BB5">
              <w:rPr>
                <w:rFonts w:ascii="Times New Roman" w:hAnsi="Times New Roman" w:cs="Times New Roman"/>
                <w:sz w:val="18"/>
                <w:szCs w:val="18"/>
              </w:rPr>
              <w:t xml:space="preserve">- Volume of conditioned citrus </w:t>
            </w:r>
          </w:p>
          <w:p w14:paraId="72D980E3" w14:textId="77777777" w:rsidR="00065F6E" w:rsidRPr="00BC7BB5" w:rsidRDefault="00065F6E" w:rsidP="00BC7BB5">
            <w:pPr>
              <w:spacing w:before="240" w:after="120"/>
              <w:rPr>
                <w:rFonts w:ascii="Times New Roman" w:hAnsi="Times New Roman" w:cs="Times New Roman"/>
                <w:sz w:val="18"/>
                <w:szCs w:val="18"/>
              </w:rPr>
            </w:pPr>
            <w:r w:rsidRPr="00BC7BB5">
              <w:rPr>
                <w:rFonts w:ascii="Times New Roman" w:hAnsi="Times New Roman" w:cs="Times New Roman"/>
                <w:sz w:val="18"/>
                <w:szCs w:val="18"/>
              </w:rPr>
              <w:t xml:space="preserve">- Volume of conditioned olives </w:t>
            </w:r>
          </w:p>
          <w:p w14:paraId="1D327995" w14:textId="2D282DEB" w:rsidR="00065F6E" w:rsidRPr="00BC7BB5" w:rsidRDefault="00065F6E" w:rsidP="00BC7BB5">
            <w:pPr>
              <w:spacing w:before="240" w:after="120"/>
            </w:pPr>
            <w:r w:rsidRPr="00BC7BB5">
              <w:rPr>
                <w:rFonts w:ascii="Times New Roman" w:hAnsi="Times New Roman" w:cs="Times New Roman"/>
                <w:sz w:val="18"/>
                <w:szCs w:val="18"/>
              </w:rPr>
              <w:t>- Volume of high quality olive oil</w:t>
            </w:r>
          </w:p>
          <w:p w14:paraId="346EF902" w14:textId="77777777" w:rsidR="00065F6E" w:rsidRPr="00BC7BB5" w:rsidRDefault="00065F6E" w:rsidP="00BC7BB5">
            <w:pPr>
              <w:spacing w:before="240" w:after="120"/>
              <w:rPr>
                <w:rFonts w:ascii="Times New Roman" w:hAnsi="Times New Roman" w:cs="Times New Roman"/>
                <w:sz w:val="18"/>
                <w:szCs w:val="18"/>
              </w:rPr>
            </w:pPr>
            <w:r w:rsidRPr="00BC7BB5" w:rsidDel="000A0784">
              <w:rPr>
                <w:rFonts w:ascii="Times New Roman" w:hAnsi="Times New Roman" w:cs="Times New Roman"/>
                <w:b/>
                <w:color w:val="4F81BD" w:themeColor="accent1"/>
                <w:sz w:val="18"/>
                <w:szCs w:val="18"/>
              </w:rPr>
              <w:t xml:space="preserve"> </w:t>
            </w:r>
          </w:p>
        </w:tc>
      </w:tr>
    </w:tbl>
    <w:p w14:paraId="37024D82" w14:textId="77777777" w:rsidR="00495026" w:rsidRPr="00574D49" w:rsidRDefault="00495026" w:rsidP="00F561E8">
      <w:pPr>
        <w:pStyle w:val="NoSpacing"/>
        <w:numPr>
          <w:ilvl w:val="0"/>
          <w:numId w:val="35"/>
        </w:numPr>
        <w:ind w:left="0" w:firstLine="0"/>
        <w:jc w:val="both"/>
        <w:rPr>
          <w:rFonts w:ascii="Times New Roman" w:hAnsi="Times New Roman" w:cs="Times New Roman"/>
        </w:rPr>
      </w:pPr>
      <w:r w:rsidRPr="00BC7BB5">
        <w:rPr>
          <w:rFonts w:ascii="Times New Roman" w:hAnsi="Times New Roman" w:cs="Times New Roman"/>
          <w:b/>
        </w:rPr>
        <w:lastRenderedPageBreak/>
        <w:t>Risks related to M&amp;E</w:t>
      </w:r>
      <w:r w:rsidRPr="001B0C1B">
        <w:rPr>
          <w:rFonts w:ascii="Times New Roman" w:hAnsi="Times New Roman" w:cs="Times New Roman"/>
        </w:rPr>
        <w:t xml:space="preserve">. The assessment of the proposed M&amp;E arrangements revealed the following risks: </w:t>
      </w:r>
    </w:p>
    <w:p w14:paraId="7A559CF2" w14:textId="77777777" w:rsidR="00C518FC" w:rsidRPr="00BC7BB5" w:rsidRDefault="00C518FC" w:rsidP="00C518FC">
      <w:pPr>
        <w:spacing w:after="0" w:line="240" w:lineRule="auto"/>
        <w:ind w:left="1080"/>
        <w:jc w:val="both"/>
        <w:rPr>
          <w:rFonts w:ascii="Times New Roman" w:hAnsi="Times New Roman" w:cs="Times New Roman"/>
        </w:rPr>
      </w:pPr>
    </w:p>
    <w:p w14:paraId="6E643A6F" w14:textId="24281F5A" w:rsidR="00495026" w:rsidRPr="00BC7BB5" w:rsidRDefault="00495026" w:rsidP="00F561E8">
      <w:pPr>
        <w:pStyle w:val="ListParagraph"/>
        <w:numPr>
          <w:ilvl w:val="0"/>
          <w:numId w:val="34"/>
        </w:numPr>
        <w:spacing w:after="0" w:line="240" w:lineRule="auto"/>
        <w:ind w:left="720" w:firstLine="0"/>
        <w:jc w:val="both"/>
        <w:rPr>
          <w:rFonts w:ascii="Times New Roman" w:hAnsi="Times New Roman" w:cs="Times New Roman"/>
        </w:rPr>
      </w:pPr>
      <w:r w:rsidRPr="00BC7BB5">
        <w:rPr>
          <w:rFonts w:ascii="Times New Roman" w:hAnsi="Times New Roman" w:cs="Times New Roman"/>
        </w:rPr>
        <w:t>Although the existing systems have been extensively used over the past years within the scope of the PMV, they show substantial weaknesses that can jeopardize M&amp;E quality. The systems are uneven in terms of technology adopted and reliability: some are paper-based (spreadsheets) and limited in depth and scope, whereas others use more advanced methods and informatic tools; several databases are subject to internal inconsistencies and errors, while others are inherently more robust. More importantly, the systems in place do not constitute an integrated M&amp;E system and they are rather independent and non-interop</w:t>
      </w:r>
      <w:r w:rsidR="00984B72" w:rsidRPr="00BC7BB5">
        <w:rPr>
          <w:rFonts w:ascii="Times New Roman" w:hAnsi="Times New Roman" w:cs="Times New Roman"/>
        </w:rPr>
        <w:t>erable. In addition, most of tho</w:t>
      </w:r>
      <w:r w:rsidRPr="00BC7BB5">
        <w:rPr>
          <w:rFonts w:ascii="Times New Roman" w:hAnsi="Times New Roman" w:cs="Times New Roman"/>
        </w:rPr>
        <w:t>se systems are not georeferenced and lack public accessibility;</w:t>
      </w:r>
    </w:p>
    <w:p w14:paraId="162295BC" w14:textId="77777777" w:rsidR="00495026" w:rsidRPr="00BC7BB5" w:rsidRDefault="00495026" w:rsidP="00F561E8">
      <w:pPr>
        <w:pStyle w:val="ListParagraph"/>
        <w:numPr>
          <w:ilvl w:val="0"/>
          <w:numId w:val="34"/>
        </w:numPr>
        <w:spacing w:after="0" w:line="240" w:lineRule="auto"/>
        <w:ind w:left="720" w:firstLine="0"/>
        <w:jc w:val="both"/>
        <w:rPr>
          <w:rFonts w:ascii="Times New Roman" w:hAnsi="Times New Roman" w:cs="Times New Roman"/>
        </w:rPr>
      </w:pPr>
      <w:r w:rsidRPr="00BC7BB5">
        <w:rPr>
          <w:rFonts w:ascii="Times New Roman" w:hAnsi="Times New Roman" w:cs="Times New Roman"/>
        </w:rPr>
        <w:t>The DFPP has limited M&amp;E capacity. For instance, progress implementing the multiple agreements (“</w:t>
      </w:r>
      <w:r w:rsidRPr="00BC7BB5">
        <w:rPr>
          <w:rFonts w:ascii="Times New Roman" w:hAnsi="Times New Roman" w:cs="Times New Roman"/>
          <w:i/>
        </w:rPr>
        <w:t>contrat programme</w:t>
      </w:r>
      <w:r w:rsidRPr="00BC7BB5">
        <w:rPr>
          <w:rFonts w:ascii="Times New Roman" w:hAnsi="Times New Roman" w:cs="Times New Roman"/>
        </w:rPr>
        <w:t>”) with sectoral organizations is tracked with basic paper-based records (spreadsheets). Moreover, the DDFP lacks experience coordinating M&amp;E in multi-stakeholder investments; and</w:t>
      </w:r>
    </w:p>
    <w:p w14:paraId="47D705DE" w14:textId="77777777" w:rsidR="00495026" w:rsidRPr="00BC7BB5" w:rsidRDefault="00495026" w:rsidP="00F561E8">
      <w:pPr>
        <w:pStyle w:val="ListParagraph"/>
        <w:numPr>
          <w:ilvl w:val="0"/>
          <w:numId w:val="34"/>
        </w:numPr>
        <w:spacing w:after="0" w:line="240" w:lineRule="auto"/>
        <w:ind w:left="720" w:firstLine="0"/>
        <w:jc w:val="both"/>
        <w:rPr>
          <w:rFonts w:ascii="Times New Roman" w:hAnsi="Times New Roman" w:cs="Times New Roman"/>
        </w:rPr>
      </w:pPr>
      <w:r w:rsidRPr="00BC7BB5">
        <w:rPr>
          <w:rFonts w:ascii="Times New Roman" w:hAnsi="Times New Roman" w:cs="Times New Roman"/>
        </w:rPr>
        <w:t xml:space="preserve">M&amp;E capacity is uneven across the implementing entities, ranging from those who have no experience in M&amp;E to agencies that have solid expertise collecting, consolidating and processing data. </w:t>
      </w:r>
    </w:p>
    <w:p w14:paraId="4BA4E9FE" w14:textId="77777777" w:rsidR="00495026" w:rsidRPr="00BC7BB5" w:rsidRDefault="00495026" w:rsidP="00081487">
      <w:pPr>
        <w:pStyle w:val="NoSpacing"/>
        <w:jc w:val="both"/>
        <w:rPr>
          <w:rFonts w:ascii="Times New Roman" w:hAnsi="Times New Roman" w:cs="Times New Roman"/>
          <w:b/>
        </w:rPr>
      </w:pPr>
    </w:p>
    <w:p w14:paraId="35A476E7" w14:textId="65C88727" w:rsidR="00495026" w:rsidRPr="00BC7BB5" w:rsidRDefault="00495026" w:rsidP="00F561E8">
      <w:pPr>
        <w:pStyle w:val="NoSpacing"/>
        <w:numPr>
          <w:ilvl w:val="0"/>
          <w:numId w:val="35"/>
        </w:numPr>
        <w:ind w:left="0" w:firstLine="0"/>
        <w:jc w:val="both"/>
        <w:rPr>
          <w:rFonts w:ascii="Times New Roman" w:hAnsi="Times New Roman" w:cs="Times New Roman"/>
          <w:b/>
        </w:rPr>
      </w:pPr>
      <w:r w:rsidRPr="00BC7BB5">
        <w:rPr>
          <w:rFonts w:ascii="Times New Roman" w:hAnsi="Times New Roman" w:cs="Times New Roman"/>
          <w:b/>
        </w:rPr>
        <w:t>Enhancing M&amp;E capacity</w:t>
      </w:r>
      <w:r w:rsidRPr="00BC7BB5">
        <w:rPr>
          <w:rFonts w:ascii="Times New Roman" w:hAnsi="Times New Roman" w:cs="Times New Roman"/>
        </w:rPr>
        <w:t xml:space="preserve">. The Program will further strengthen M&amp;E capacity by providing training to all implementing entities with a focus on data collection, data quality and integrity, and data recording (consistency). During implementation, the Bank will provide methodological guidance on documenting progress towards achieving results and DLIs. Furthermore, </w:t>
      </w:r>
      <w:r w:rsidR="00B75BF2" w:rsidRPr="00BC7BB5">
        <w:rPr>
          <w:rFonts w:ascii="Times New Roman" w:hAnsi="Times New Roman" w:cs="Times New Roman"/>
        </w:rPr>
        <w:t>the Program will put in place a simple, integrated</w:t>
      </w:r>
      <w:r w:rsidRPr="00BC7BB5">
        <w:rPr>
          <w:rFonts w:ascii="Times New Roman" w:hAnsi="Times New Roman" w:cs="Times New Roman"/>
        </w:rPr>
        <w:t xml:space="preserve"> web-based data administration platform (Management Information System, MIS) that will basically integrate data emanating from the different agencies and directorates to report, primary, on the Results Framework. The MIS will allow better data management and periodic reporting, including multiple specific requirements such as gender disaggregated data. The platform will be structured in modules with potential for expansion to track progress implementing the enti</w:t>
      </w:r>
      <w:r w:rsidR="001411BE" w:rsidRPr="00BC7BB5">
        <w:rPr>
          <w:rFonts w:ascii="Times New Roman" w:hAnsi="Times New Roman" w:cs="Times New Roman"/>
        </w:rPr>
        <w:t>re CPs for the agri-food sector</w:t>
      </w:r>
      <w:r w:rsidRPr="00BC7BB5">
        <w:rPr>
          <w:rFonts w:ascii="Times New Roman" w:hAnsi="Times New Roman" w:cs="Times New Roman"/>
        </w:rPr>
        <w:t xml:space="preserve"> and the PMV as a whole. </w:t>
      </w:r>
    </w:p>
    <w:p w14:paraId="3861B468" w14:textId="77777777" w:rsidR="00495026" w:rsidRPr="00BC7BB5" w:rsidRDefault="00495026" w:rsidP="006065FB">
      <w:pPr>
        <w:pStyle w:val="NoSpacing"/>
        <w:jc w:val="both"/>
        <w:rPr>
          <w:rFonts w:ascii="Times New Roman" w:hAnsi="Times New Roman" w:cs="Times New Roman"/>
          <w:highlight w:val="yellow"/>
        </w:rPr>
      </w:pPr>
    </w:p>
    <w:p w14:paraId="3E0C1D14" w14:textId="5A8D3A9D" w:rsidR="006065FB" w:rsidRPr="00BC7BB5" w:rsidRDefault="008C3E21" w:rsidP="006065FB">
      <w:pPr>
        <w:pStyle w:val="NoSpacing"/>
        <w:jc w:val="both"/>
        <w:rPr>
          <w:rFonts w:ascii="Times New Roman" w:hAnsi="Times New Roman" w:cs="Times New Roman"/>
          <w:b/>
        </w:rPr>
      </w:pPr>
      <w:r w:rsidRPr="00BC7BB5">
        <w:rPr>
          <w:rFonts w:ascii="Times New Roman" w:hAnsi="Times New Roman" w:cs="Times New Roman"/>
          <w:b/>
        </w:rPr>
        <w:t xml:space="preserve">Program Governance </w:t>
      </w:r>
      <w:r w:rsidR="00574D49">
        <w:rPr>
          <w:rFonts w:ascii="Times New Roman" w:hAnsi="Times New Roman" w:cs="Times New Roman"/>
          <w:b/>
        </w:rPr>
        <w:t>S</w:t>
      </w:r>
      <w:r w:rsidRPr="00BC7BB5">
        <w:rPr>
          <w:rFonts w:ascii="Times New Roman" w:hAnsi="Times New Roman" w:cs="Times New Roman"/>
          <w:b/>
        </w:rPr>
        <w:t>tructure and Institutional A</w:t>
      </w:r>
      <w:r w:rsidR="006065FB" w:rsidRPr="00BC7BB5">
        <w:rPr>
          <w:rFonts w:ascii="Times New Roman" w:hAnsi="Times New Roman" w:cs="Times New Roman"/>
          <w:b/>
        </w:rPr>
        <w:t>rrangements</w:t>
      </w:r>
    </w:p>
    <w:p w14:paraId="640A6ABF" w14:textId="384AC8C7" w:rsidR="006065FB" w:rsidRPr="00BC7BB5" w:rsidRDefault="006065FB" w:rsidP="006065FB">
      <w:pPr>
        <w:pStyle w:val="NoSpacing"/>
        <w:ind w:left="360"/>
        <w:jc w:val="both"/>
        <w:rPr>
          <w:rFonts w:ascii="Times New Roman" w:hAnsi="Times New Roman" w:cs="Times New Roman"/>
        </w:rPr>
      </w:pPr>
    </w:p>
    <w:p w14:paraId="37B4D61B" w14:textId="05BB9893" w:rsidR="001154AC" w:rsidRPr="00BC7BB5" w:rsidRDefault="00E86C1C" w:rsidP="00F561E8">
      <w:pPr>
        <w:pStyle w:val="NoSpacing"/>
        <w:numPr>
          <w:ilvl w:val="0"/>
          <w:numId w:val="35"/>
        </w:numPr>
        <w:ind w:left="0" w:firstLine="0"/>
        <w:jc w:val="both"/>
        <w:rPr>
          <w:rFonts w:ascii="Times New Roman" w:hAnsi="Times New Roman" w:cs="Times New Roman"/>
        </w:rPr>
      </w:pPr>
      <w:r w:rsidRPr="00BC7BB5">
        <w:rPr>
          <w:rFonts w:ascii="Times New Roman" w:hAnsi="Times New Roman" w:cs="Times New Roman"/>
        </w:rPr>
        <w:t xml:space="preserve">The Program’s governance </w:t>
      </w:r>
      <w:r w:rsidR="00412B97" w:rsidRPr="00BC7BB5">
        <w:rPr>
          <w:rFonts w:ascii="Times New Roman" w:hAnsi="Times New Roman" w:cs="Times New Roman"/>
        </w:rPr>
        <w:t>architecture</w:t>
      </w:r>
      <w:r w:rsidRPr="00BC7BB5">
        <w:rPr>
          <w:rFonts w:ascii="Times New Roman" w:hAnsi="Times New Roman" w:cs="Times New Roman"/>
        </w:rPr>
        <w:t xml:space="preserve"> is based on </w:t>
      </w:r>
      <w:r w:rsidR="00412B97" w:rsidRPr="00BC7BB5">
        <w:rPr>
          <w:rFonts w:ascii="Times New Roman" w:hAnsi="Times New Roman" w:cs="Times New Roman"/>
        </w:rPr>
        <w:t>a two-ti</w:t>
      </w:r>
      <w:r w:rsidR="00495026" w:rsidRPr="00BC7BB5">
        <w:rPr>
          <w:rFonts w:ascii="Times New Roman" w:hAnsi="Times New Roman" w:cs="Times New Roman"/>
        </w:rPr>
        <w:t>e</w:t>
      </w:r>
      <w:r w:rsidR="00412B97" w:rsidRPr="00BC7BB5">
        <w:rPr>
          <w:rFonts w:ascii="Times New Roman" w:hAnsi="Times New Roman" w:cs="Times New Roman"/>
        </w:rPr>
        <w:t>red structure</w:t>
      </w:r>
      <w:r w:rsidR="00574D49">
        <w:rPr>
          <w:rFonts w:ascii="Times New Roman" w:hAnsi="Times New Roman" w:cs="Times New Roman"/>
        </w:rPr>
        <w:t>,</w:t>
      </w:r>
      <w:r w:rsidR="00412B97" w:rsidRPr="00BC7BB5">
        <w:rPr>
          <w:rFonts w:ascii="Times New Roman" w:hAnsi="Times New Roman" w:cs="Times New Roman"/>
        </w:rPr>
        <w:t xml:space="preserve"> including</w:t>
      </w:r>
      <w:r w:rsidR="00574D49">
        <w:rPr>
          <w:rFonts w:ascii="Times New Roman" w:hAnsi="Times New Roman" w:cs="Times New Roman"/>
        </w:rPr>
        <w:t>:</w:t>
      </w:r>
      <w:r w:rsidR="00412B97" w:rsidRPr="00BC7BB5">
        <w:rPr>
          <w:rFonts w:ascii="Times New Roman" w:hAnsi="Times New Roman" w:cs="Times New Roman"/>
        </w:rPr>
        <w:t xml:space="preserve"> </w:t>
      </w:r>
      <w:r w:rsidRPr="00BC7BB5">
        <w:rPr>
          <w:rFonts w:ascii="Times New Roman" w:hAnsi="Times New Roman" w:cs="Times New Roman"/>
        </w:rPr>
        <w:t xml:space="preserve">(a) a </w:t>
      </w:r>
      <w:r w:rsidR="00574D49">
        <w:rPr>
          <w:rFonts w:ascii="Times New Roman" w:hAnsi="Times New Roman" w:cs="Times New Roman"/>
        </w:rPr>
        <w:t>S</w:t>
      </w:r>
      <w:r w:rsidRPr="00BC7BB5">
        <w:rPr>
          <w:rFonts w:ascii="Times New Roman" w:hAnsi="Times New Roman" w:cs="Times New Roman"/>
        </w:rPr>
        <w:t xml:space="preserve">teering </w:t>
      </w:r>
      <w:r w:rsidR="00574D49">
        <w:rPr>
          <w:rFonts w:ascii="Times New Roman" w:hAnsi="Times New Roman" w:cs="Times New Roman"/>
        </w:rPr>
        <w:t>C</w:t>
      </w:r>
      <w:r w:rsidRPr="00BC7BB5">
        <w:rPr>
          <w:rFonts w:ascii="Times New Roman" w:hAnsi="Times New Roman" w:cs="Times New Roman"/>
        </w:rPr>
        <w:t xml:space="preserve">ommittee </w:t>
      </w:r>
      <w:r w:rsidR="001411BE" w:rsidRPr="00BC7BB5">
        <w:rPr>
          <w:rFonts w:ascii="Times New Roman" w:hAnsi="Times New Roman" w:cs="Times New Roman"/>
        </w:rPr>
        <w:t>for strategic guidance</w:t>
      </w:r>
      <w:r w:rsidR="00574D49">
        <w:rPr>
          <w:rFonts w:ascii="Times New Roman" w:hAnsi="Times New Roman" w:cs="Times New Roman"/>
        </w:rPr>
        <w:t>;</w:t>
      </w:r>
      <w:r w:rsidR="001411BE" w:rsidRPr="00BC7BB5">
        <w:rPr>
          <w:rFonts w:ascii="Times New Roman" w:hAnsi="Times New Roman" w:cs="Times New Roman"/>
        </w:rPr>
        <w:t xml:space="preserve"> and (b) </w:t>
      </w:r>
      <w:r w:rsidR="00574D49">
        <w:rPr>
          <w:rFonts w:ascii="Times New Roman" w:hAnsi="Times New Roman" w:cs="Times New Roman"/>
        </w:rPr>
        <w:t>P</w:t>
      </w:r>
      <w:r w:rsidRPr="00BC7BB5">
        <w:rPr>
          <w:rFonts w:ascii="Times New Roman" w:hAnsi="Times New Roman" w:cs="Times New Roman"/>
        </w:rPr>
        <w:t>rogram management and coordination</w:t>
      </w:r>
      <w:r w:rsidR="001411BE" w:rsidRPr="00BC7BB5">
        <w:rPr>
          <w:rFonts w:ascii="Times New Roman" w:hAnsi="Times New Roman" w:cs="Times New Roman"/>
        </w:rPr>
        <w:t xml:space="preserve"> through a Program Management U</w:t>
      </w:r>
      <w:r w:rsidRPr="00BC7BB5">
        <w:rPr>
          <w:rFonts w:ascii="Times New Roman" w:hAnsi="Times New Roman" w:cs="Times New Roman"/>
        </w:rPr>
        <w:t>nit</w:t>
      </w:r>
      <w:r w:rsidR="001411BE" w:rsidRPr="00BC7BB5">
        <w:rPr>
          <w:rFonts w:ascii="Times New Roman" w:hAnsi="Times New Roman" w:cs="Times New Roman"/>
        </w:rPr>
        <w:t xml:space="preserve"> (PMU)</w:t>
      </w:r>
      <w:r w:rsidRPr="00BC7BB5">
        <w:rPr>
          <w:rFonts w:ascii="Times New Roman" w:hAnsi="Times New Roman" w:cs="Times New Roman"/>
        </w:rPr>
        <w:t xml:space="preserve"> established in MAPMDREF with representation from the key departments, agencies and entities involved in Program implementation. </w:t>
      </w:r>
      <w:r w:rsidR="007D4FD2" w:rsidRPr="00BC7BB5">
        <w:rPr>
          <w:rFonts w:ascii="Times New Roman" w:hAnsi="Times New Roman" w:cs="Times New Roman"/>
        </w:rPr>
        <w:t xml:space="preserve">The Steering Committee will play a critical role in ensuring engagement and coordination </w:t>
      </w:r>
      <w:r w:rsidR="00574D49">
        <w:rPr>
          <w:rFonts w:ascii="Times New Roman" w:hAnsi="Times New Roman" w:cs="Times New Roman"/>
        </w:rPr>
        <w:t>among</w:t>
      </w:r>
      <w:r w:rsidR="00574D49" w:rsidRPr="00BC7BB5">
        <w:rPr>
          <w:rFonts w:ascii="Times New Roman" w:hAnsi="Times New Roman" w:cs="Times New Roman"/>
        </w:rPr>
        <w:t xml:space="preserve"> </w:t>
      </w:r>
      <w:r w:rsidR="007D4FD2" w:rsidRPr="00BC7BB5">
        <w:rPr>
          <w:rFonts w:ascii="Times New Roman" w:hAnsi="Times New Roman" w:cs="Times New Roman"/>
        </w:rPr>
        <w:t xml:space="preserve">the </w:t>
      </w:r>
      <w:r w:rsidR="00574D49">
        <w:rPr>
          <w:rFonts w:ascii="Times New Roman" w:hAnsi="Times New Roman" w:cs="Times New Roman"/>
        </w:rPr>
        <w:t>m</w:t>
      </w:r>
      <w:r w:rsidR="007D4FD2" w:rsidRPr="00BC7BB5">
        <w:rPr>
          <w:rFonts w:ascii="Times New Roman" w:hAnsi="Times New Roman" w:cs="Times New Roman"/>
        </w:rPr>
        <w:t>inistries and other entities external to the agriculture sector (e.g. municipalities in the case of the wholesale market, and interprofessions) involved in the implementation of the Program</w:t>
      </w:r>
      <w:r w:rsidR="00CB07AA" w:rsidRPr="00BC7BB5">
        <w:rPr>
          <w:rFonts w:ascii="Times New Roman" w:hAnsi="Times New Roman" w:cs="Times New Roman"/>
        </w:rPr>
        <w:t>, and in mitigating the risks associated with inter-ministerial coordination.</w:t>
      </w:r>
    </w:p>
    <w:p w14:paraId="4B549A57" w14:textId="77777777" w:rsidR="001154AC" w:rsidRPr="00BC7BB5" w:rsidRDefault="001154AC" w:rsidP="001154AC">
      <w:pPr>
        <w:pStyle w:val="NoSpacing"/>
        <w:ind w:left="360"/>
        <w:jc w:val="both"/>
        <w:rPr>
          <w:rFonts w:ascii="Times New Roman" w:hAnsi="Times New Roman" w:cs="Times New Roman"/>
        </w:rPr>
      </w:pPr>
    </w:p>
    <w:p w14:paraId="7852174B" w14:textId="1BCA76C0" w:rsidR="00C52C99" w:rsidRPr="00BC7BB5" w:rsidRDefault="00C52C99" w:rsidP="00F561E8">
      <w:pPr>
        <w:pStyle w:val="NoSpacing"/>
        <w:numPr>
          <w:ilvl w:val="0"/>
          <w:numId w:val="35"/>
        </w:numPr>
        <w:ind w:left="0" w:firstLine="0"/>
        <w:jc w:val="both"/>
        <w:rPr>
          <w:rFonts w:ascii="Times New Roman" w:hAnsi="Times New Roman" w:cs="Times New Roman"/>
        </w:rPr>
      </w:pPr>
      <w:r w:rsidRPr="00BC7BB5">
        <w:rPr>
          <w:rFonts w:ascii="Times New Roman" w:hAnsi="Times New Roman" w:cs="Times New Roman"/>
        </w:rPr>
        <w:t>W</w:t>
      </w:r>
      <w:r w:rsidR="001154AC" w:rsidRPr="00BC7BB5">
        <w:rPr>
          <w:rFonts w:ascii="Times New Roman" w:hAnsi="Times New Roman" w:cs="Times New Roman"/>
        </w:rPr>
        <w:t>ith regards to ONSSA and ADA, w</w:t>
      </w:r>
      <w:r w:rsidRPr="00BC7BB5">
        <w:rPr>
          <w:rFonts w:ascii="Times New Roman" w:hAnsi="Times New Roman" w:cs="Times New Roman"/>
        </w:rPr>
        <w:t>hile the Program will require close collaboration between those institutions</w:t>
      </w:r>
      <w:r w:rsidR="001154AC" w:rsidRPr="00BC7BB5">
        <w:rPr>
          <w:rFonts w:ascii="Times New Roman" w:hAnsi="Times New Roman" w:cs="Times New Roman"/>
        </w:rPr>
        <w:t xml:space="preserve"> and MAPMDREF</w:t>
      </w:r>
      <w:r w:rsidRPr="00BC7BB5">
        <w:rPr>
          <w:rFonts w:ascii="Times New Roman" w:hAnsi="Times New Roman" w:cs="Times New Roman"/>
        </w:rPr>
        <w:t xml:space="preserve">, such arrangements are already in place through the existing governance arrangements for ONSSA and ADA, which are agencies placed under the umbrella of MAPMDREF. </w:t>
      </w:r>
      <w:r w:rsidR="00FB76C7" w:rsidRPr="00BC7BB5">
        <w:rPr>
          <w:rFonts w:ascii="Times New Roman" w:hAnsi="Times New Roman" w:cs="Times New Roman"/>
        </w:rPr>
        <w:t>With regards to collaboration with other implementing entities (</w:t>
      </w:r>
      <w:r w:rsidR="001411BE" w:rsidRPr="00BC7BB5">
        <w:rPr>
          <w:rFonts w:ascii="Times New Roman" w:hAnsi="Times New Roman" w:cs="Times New Roman"/>
        </w:rPr>
        <w:t xml:space="preserve">Wilaya, </w:t>
      </w:r>
      <w:r w:rsidR="00FB76C7" w:rsidRPr="00BC7BB5">
        <w:rPr>
          <w:rFonts w:ascii="Times New Roman" w:hAnsi="Times New Roman" w:cs="Times New Roman"/>
        </w:rPr>
        <w:t>Rabat Amenagement, SDL for the wholesale market, interprofessions), an extended PMU would be establish</w:t>
      </w:r>
      <w:r w:rsidR="001154AC" w:rsidRPr="00BC7BB5">
        <w:rPr>
          <w:rFonts w:ascii="Times New Roman" w:hAnsi="Times New Roman" w:cs="Times New Roman"/>
        </w:rPr>
        <w:t>ed</w:t>
      </w:r>
      <w:r w:rsidR="00FB76C7" w:rsidRPr="00BC7BB5">
        <w:rPr>
          <w:rFonts w:ascii="Times New Roman" w:hAnsi="Times New Roman" w:cs="Times New Roman"/>
        </w:rPr>
        <w:t xml:space="preserve"> to ensure daily coordination of Program activities.</w:t>
      </w:r>
    </w:p>
    <w:p w14:paraId="3620E813" w14:textId="3006D898" w:rsidR="006065FB" w:rsidRPr="00BC7BB5" w:rsidRDefault="006065FB" w:rsidP="004E386A">
      <w:pPr>
        <w:pStyle w:val="NoSpacing"/>
        <w:ind w:left="360"/>
        <w:jc w:val="both"/>
        <w:rPr>
          <w:rFonts w:ascii="Times New Roman" w:hAnsi="Times New Roman" w:cs="Times New Roman"/>
        </w:rPr>
      </w:pPr>
    </w:p>
    <w:p w14:paraId="7E84BD1D" w14:textId="1E798C62" w:rsidR="00C40961" w:rsidRPr="00BC7BB5" w:rsidRDefault="00FD5C56" w:rsidP="00F561E8">
      <w:pPr>
        <w:pStyle w:val="NoSpacing"/>
        <w:numPr>
          <w:ilvl w:val="0"/>
          <w:numId w:val="35"/>
        </w:numPr>
        <w:ind w:left="0" w:firstLine="0"/>
        <w:jc w:val="both"/>
        <w:rPr>
          <w:rFonts w:ascii="Times New Roman" w:hAnsi="Times New Roman" w:cs="Times New Roman"/>
        </w:rPr>
      </w:pPr>
      <w:r w:rsidRPr="00BC7BB5">
        <w:rPr>
          <w:rFonts w:ascii="Times New Roman" w:hAnsi="Times New Roman" w:cs="Times New Roman"/>
        </w:rPr>
        <w:t xml:space="preserve">Both MAPMDREF and ADA </w:t>
      </w:r>
      <w:r w:rsidR="0066338B" w:rsidRPr="00BC7BB5">
        <w:rPr>
          <w:rFonts w:ascii="Times New Roman" w:hAnsi="Times New Roman" w:cs="Times New Roman"/>
        </w:rPr>
        <w:t xml:space="preserve">have </w:t>
      </w:r>
      <w:r w:rsidRPr="00BC7BB5">
        <w:rPr>
          <w:rFonts w:ascii="Times New Roman" w:hAnsi="Times New Roman" w:cs="Times New Roman"/>
        </w:rPr>
        <w:t xml:space="preserve">experience with the implementation of large donor-financed programs, including Bank-financed </w:t>
      </w:r>
      <w:r w:rsidR="00574D49">
        <w:rPr>
          <w:rFonts w:ascii="Times New Roman" w:hAnsi="Times New Roman" w:cs="Times New Roman"/>
        </w:rPr>
        <w:t>operations</w:t>
      </w:r>
      <w:r w:rsidRPr="00BC7BB5">
        <w:rPr>
          <w:rFonts w:ascii="Times New Roman" w:hAnsi="Times New Roman" w:cs="Times New Roman"/>
        </w:rPr>
        <w:t>. The Ministry previously implemented tw</w:t>
      </w:r>
      <w:r w:rsidR="00E15196" w:rsidRPr="00BC7BB5">
        <w:rPr>
          <w:rFonts w:ascii="Times New Roman" w:hAnsi="Times New Roman" w:cs="Times New Roman"/>
        </w:rPr>
        <w:t>o DPLs in support of the PMV,</w:t>
      </w:r>
      <w:r w:rsidRPr="00BC7BB5">
        <w:rPr>
          <w:rFonts w:ascii="Times New Roman" w:hAnsi="Times New Roman" w:cs="Times New Roman"/>
        </w:rPr>
        <w:t xml:space="preserve"> it is currently implementing two </w:t>
      </w:r>
      <w:r w:rsidR="00574D49">
        <w:rPr>
          <w:rFonts w:ascii="Times New Roman" w:hAnsi="Times New Roman" w:cs="Times New Roman"/>
        </w:rPr>
        <w:t xml:space="preserve">investment </w:t>
      </w:r>
      <w:r w:rsidRPr="00BC7BB5">
        <w:rPr>
          <w:rFonts w:ascii="Times New Roman" w:hAnsi="Times New Roman" w:cs="Times New Roman"/>
        </w:rPr>
        <w:t>operations (IPF</w:t>
      </w:r>
      <w:r w:rsidR="00730643" w:rsidRPr="00BC7BB5">
        <w:rPr>
          <w:rFonts w:ascii="Times New Roman" w:hAnsi="Times New Roman" w:cs="Times New Roman"/>
        </w:rPr>
        <w:fldChar w:fldCharType="begin"/>
      </w:r>
      <w:r w:rsidR="00730643" w:rsidRPr="00BC7BB5">
        <w:instrText xml:space="preserve"> XE "</w:instrText>
      </w:r>
      <w:r w:rsidR="00730643" w:rsidRPr="00BC7BB5">
        <w:rPr>
          <w:rFonts w:ascii="Times New Roman" w:hAnsi="Times New Roman" w:cs="Times New Roman"/>
        </w:rPr>
        <w:instrText>IPF</w:instrText>
      </w:r>
      <w:r w:rsidR="00730643" w:rsidRPr="00BC7BB5">
        <w:instrText xml:space="preserve">" </w:instrText>
      </w:r>
      <w:r w:rsidR="00730643" w:rsidRPr="00BC7BB5">
        <w:rPr>
          <w:rFonts w:ascii="Times New Roman" w:hAnsi="Times New Roman" w:cs="Times New Roman"/>
        </w:rPr>
        <w:fldChar w:fldCharType="end"/>
      </w:r>
      <w:r w:rsidRPr="00BC7BB5">
        <w:rPr>
          <w:rFonts w:ascii="Times New Roman" w:hAnsi="Times New Roman" w:cs="Times New Roman"/>
        </w:rPr>
        <w:t>s) focused on water management for agriculture</w:t>
      </w:r>
      <w:r w:rsidR="00E15196" w:rsidRPr="00BC7BB5">
        <w:rPr>
          <w:rFonts w:ascii="Times New Roman" w:hAnsi="Times New Roman" w:cs="Times New Roman"/>
        </w:rPr>
        <w:t xml:space="preserve"> as well as a GEF-financed operation (ASIMA)</w:t>
      </w:r>
      <w:r w:rsidRPr="00BC7BB5">
        <w:rPr>
          <w:rFonts w:ascii="Times New Roman" w:hAnsi="Times New Roman" w:cs="Times New Roman"/>
        </w:rPr>
        <w:t xml:space="preserve">. The overall performance of MAPMDREF </w:t>
      </w:r>
      <w:r w:rsidRPr="00BC7BB5">
        <w:rPr>
          <w:rFonts w:ascii="Times New Roman" w:hAnsi="Times New Roman" w:cs="Times New Roman"/>
        </w:rPr>
        <w:lastRenderedPageBreak/>
        <w:t>in implementing those operations has been satisfactory. ONSSA is also experienced with the implementation of donor-financed programs.</w:t>
      </w:r>
      <w:r w:rsidR="002B2B18" w:rsidRPr="00BC7BB5">
        <w:rPr>
          <w:rFonts w:ascii="Times New Roman" w:hAnsi="Times New Roman" w:cs="Times New Roman"/>
        </w:rPr>
        <w:t xml:space="preserve"> At the regional and local level, Program implementation will rely on the deconcentrated services of MAPMDREF (DRAs and DPAs). </w:t>
      </w:r>
      <w:r w:rsidR="00EB2C93" w:rsidRPr="00BC7BB5">
        <w:rPr>
          <w:rFonts w:ascii="Times New Roman" w:hAnsi="Times New Roman" w:cs="Times New Roman"/>
        </w:rPr>
        <w:t xml:space="preserve">Specific information and training efforts will be required at Program inception to ensure that key staff involved at that level are well informed about the details of the Program activities </w:t>
      </w:r>
      <w:r w:rsidR="001411BE" w:rsidRPr="00BC7BB5">
        <w:rPr>
          <w:rFonts w:ascii="Times New Roman" w:hAnsi="Times New Roman" w:cs="Times New Roman"/>
        </w:rPr>
        <w:t xml:space="preserve">and modalities (as per the Program Operations Manual) </w:t>
      </w:r>
      <w:r w:rsidR="00EB2C93" w:rsidRPr="00BC7BB5">
        <w:rPr>
          <w:rFonts w:ascii="Times New Roman" w:hAnsi="Times New Roman" w:cs="Times New Roman"/>
        </w:rPr>
        <w:t>and, in particular, adjustments to existing instruments introduced with support from the Program.</w:t>
      </w:r>
    </w:p>
    <w:p w14:paraId="3DE83245" w14:textId="77777777" w:rsidR="00C40961" w:rsidRPr="00BC7BB5" w:rsidRDefault="00C40961" w:rsidP="008C3E21">
      <w:pPr>
        <w:pStyle w:val="ListParagraph"/>
        <w:spacing w:after="0" w:line="240" w:lineRule="auto"/>
        <w:ind w:left="0"/>
        <w:rPr>
          <w:rFonts w:ascii="Times New Roman" w:hAnsi="Times New Roman" w:cs="Times New Roman"/>
        </w:rPr>
      </w:pPr>
    </w:p>
    <w:p w14:paraId="11B012B1" w14:textId="380B3B42" w:rsidR="00FD5C56" w:rsidRPr="00BC7BB5" w:rsidRDefault="00FD5C56" w:rsidP="00F561E8">
      <w:pPr>
        <w:pStyle w:val="NoSpacing"/>
        <w:numPr>
          <w:ilvl w:val="0"/>
          <w:numId w:val="35"/>
        </w:numPr>
        <w:ind w:left="0" w:firstLine="0"/>
        <w:jc w:val="both"/>
        <w:rPr>
          <w:rFonts w:ascii="Times New Roman" w:hAnsi="Times New Roman" w:cs="Times New Roman"/>
        </w:rPr>
      </w:pPr>
      <w:r w:rsidRPr="00BC7BB5">
        <w:rPr>
          <w:rFonts w:ascii="Times New Roman" w:hAnsi="Times New Roman" w:cs="Times New Roman"/>
        </w:rPr>
        <w:t xml:space="preserve"> </w:t>
      </w:r>
      <w:r w:rsidR="008529C0" w:rsidRPr="00BC7BB5">
        <w:rPr>
          <w:rFonts w:ascii="Times New Roman" w:hAnsi="Times New Roman" w:cs="Times New Roman"/>
        </w:rPr>
        <w:t>Finally, t</w:t>
      </w:r>
      <w:r w:rsidR="00C40961" w:rsidRPr="00BC7BB5">
        <w:rPr>
          <w:rFonts w:ascii="Times New Roman" w:hAnsi="Times New Roman" w:cs="Times New Roman"/>
        </w:rPr>
        <w:t xml:space="preserve">he technical assessment has identified the need to </w:t>
      </w:r>
      <w:r w:rsidR="00A737A9" w:rsidRPr="00BC7BB5">
        <w:rPr>
          <w:rFonts w:ascii="Times New Roman" w:hAnsi="Times New Roman" w:cs="Times New Roman"/>
        </w:rPr>
        <w:t>strengthen the capacity of MAPMDREF to carry out its Program coordination, management and monitoring and evaluation, due to staffing constraints. To address those needs, MAPMDREF</w:t>
      </w:r>
      <w:r w:rsidR="00912BD4" w:rsidRPr="00BC7BB5">
        <w:rPr>
          <w:rFonts w:ascii="Times New Roman" w:hAnsi="Times New Roman" w:cs="Times New Roman"/>
        </w:rPr>
        <w:t xml:space="preserve"> would recruit additional experts (technical assistance) to support the Program management unit (PMU</w:t>
      </w:r>
      <w:r w:rsidR="00730643" w:rsidRPr="00BC7BB5">
        <w:rPr>
          <w:rFonts w:ascii="Times New Roman" w:hAnsi="Times New Roman" w:cs="Times New Roman"/>
        </w:rPr>
        <w:fldChar w:fldCharType="begin"/>
      </w:r>
      <w:r w:rsidR="00730643" w:rsidRPr="00BC7BB5">
        <w:instrText xml:space="preserve"> XE "</w:instrText>
      </w:r>
      <w:r w:rsidR="00730643" w:rsidRPr="00BC7BB5">
        <w:rPr>
          <w:rFonts w:ascii="Times New Roman" w:hAnsi="Times New Roman" w:cs="Times New Roman"/>
        </w:rPr>
        <w:instrText>PMU:</w:instrText>
      </w:r>
      <w:r w:rsidR="00730643" w:rsidRPr="00BC7BB5">
        <w:instrText xml:space="preserve">Program management unit" </w:instrText>
      </w:r>
      <w:r w:rsidR="00730643" w:rsidRPr="00BC7BB5">
        <w:rPr>
          <w:rFonts w:ascii="Times New Roman" w:hAnsi="Times New Roman" w:cs="Times New Roman"/>
        </w:rPr>
        <w:fldChar w:fldCharType="end"/>
      </w:r>
      <w:r w:rsidR="006A7513" w:rsidRPr="00BC7BB5">
        <w:rPr>
          <w:rFonts w:ascii="Times New Roman" w:hAnsi="Times New Roman" w:cs="Times New Roman"/>
        </w:rPr>
        <w:fldChar w:fldCharType="begin"/>
      </w:r>
      <w:r w:rsidR="006A7513" w:rsidRPr="00BC7BB5">
        <w:instrText xml:space="preserve"> XE "</w:instrText>
      </w:r>
      <w:r w:rsidR="006A7513" w:rsidRPr="00BC7BB5">
        <w:rPr>
          <w:rFonts w:ascii="Times New Roman" w:hAnsi="Times New Roman" w:cs="Times New Roman"/>
        </w:rPr>
        <w:instrText>PMU:</w:instrText>
      </w:r>
      <w:r w:rsidR="006A7513" w:rsidRPr="00BC7BB5">
        <w:instrText xml:space="preserve">Program management unit" </w:instrText>
      </w:r>
      <w:r w:rsidR="006A7513" w:rsidRPr="00BC7BB5">
        <w:rPr>
          <w:rFonts w:ascii="Times New Roman" w:hAnsi="Times New Roman" w:cs="Times New Roman"/>
        </w:rPr>
        <w:fldChar w:fldCharType="end"/>
      </w:r>
      <w:r w:rsidR="00912BD4" w:rsidRPr="00BC7BB5">
        <w:rPr>
          <w:rFonts w:ascii="Times New Roman" w:hAnsi="Times New Roman" w:cs="Times New Roman"/>
        </w:rPr>
        <w:t xml:space="preserve">) in the following areas: social and environmental </w:t>
      </w:r>
      <w:r w:rsidR="00106D44">
        <w:rPr>
          <w:rFonts w:ascii="Times New Roman" w:hAnsi="Times New Roman" w:cs="Times New Roman"/>
        </w:rPr>
        <w:t>aspects</w:t>
      </w:r>
      <w:r w:rsidR="00912BD4" w:rsidRPr="00BC7BB5">
        <w:rPr>
          <w:rFonts w:ascii="Times New Roman" w:hAnsi="Times New Roman" w:cs="Times New Roman"/>
        </w:rPr>
        <w:t xml:space="preserve">, monitoring and evaluation, financial management, </w:t>
      </w:r>
      <w:r w:rsidR="00A1746C" w:rsidRPr="00BC7BB5">
        <w:rPr>
          <w:rFonts w:ascii="Times New Roman" w:hAnsi="Times New Roman" w:cs="Times New Roman"/>
        </w:rPr>
        <w:t>and agri-business development</w:t>
      </w:r>
      <w:r w:rsidR="00912BD4" w:rsidRPr="00BC7BB5">
        <w:rPr>
          <w:rFonts w:ascii="Times New Roman" w:hAnsi="Times New Roman" w:cs="Times New Roman"/>
        </w:rPr>
        <w:t>.</w:t>
      </w:r>
      <w:r w:rsidR="00A72EDD" w:rsidRPr="00BC7BB5">
        <w:rPr>
          <w:rFonts w:ascii="Times New Roman" w:hAnsi="Times New Roman" w:cs="Times New Roman"/>
        </w:rPr>
        <w:t xml:space="preserve"> Those capacity building activities have been reflected in the PAP.</w:t>
      </w:r>
    </w:p>
    <w:p w14:paraId="6D6288F3" w14:textId="77777777" w:rsidR="00E86C1C" w:rsidRPr="00BC7BB5" w:rsidRDefault="00E86C1C" w:rsidP="00E86C1C">
      <w:pPr>
        <w:pStyle w:val="NoSpacing"/>
        <w:jc w:val="both"/>
        <w:rPr>
          <w:rFonts w:ascii="Times New Roman" w:hAnsi="Times New Roman" w:cs="Times New Roman"/>
        </w:rPr>
      </w:pPr>
    </w:p>
    <w:p w14:paraId="1AA45113" w14:textId="3A5F9376" w:rsidR="00E86C1C" w:rsidRPr="00BC7BB5" w:rsidRDefault="00E86C1C" w:rsidP="00E86C1C">
      <w:pPr>
        <w:pStyle w:val="NoSpacing"/>
        <w:jc w:val="both"/>
        <w:rPr>
          <w:rFonts w:ascii="Times New Roman" w:hAnsi="Times New Roman" w:cs="Times New Roman"/>
          <w:b/>
        </w:rPr>
      </w:pPr>
      <w:r w:rsidRPr="00BC7BB5">
        <w:rPr>
          <w:rFonts w:ascii="Times New Roman" w:hAnsi="Times New Roman" w:cs="Times New Roman"/>
          <w:b/>
        </w:rPr>
        <w:t>Program Economic Analysis</w:t>
      </w:r>
      <w:r w:rsidR="00C94370" w:rsidRPr="00BC7BB5">
        <w:rPr>
          <w:rFonts w:ascii="Times New Roman" w:hAnsi="Times New Roman" w:cs="Times New Roman"/>
          <w:b/>
        </w:rPr>
        <w:t xml:space="preserve"> </w:t>
      </w:r>
    </w:p>
    <w:p w14:paraId="32A3B691" w14:textId="77777777" w:rsidR="005C4094" w:rsidRPr="00BC7BB5" w:rsidRDefault="005C4094" w:rsidP="005C4094">
      <w:pPr>
        <w:pStyle w:val="NoSpacing"/>
        <w:ind w:left="360"/>
        <w:rPr>
          <w:rFonts w:ascii="Times New Roman" w:hAnsi="Times New Roman" w:cs="Times New Roman"/>
        </w:rPr>
      </w:pPr>
    </w:p>
    <w:p w14:paraId="0F96B030" w14:textId="0EB327EC" w:rsidR="00154CA6" w:rsidRPr="00BC7BB5" w:rsidRDefault="00154CA6" w:rsidP="00F561E8">
      <w:pPr>
        <w:pStyle w:val="NoSpacing"/>
        <w:numPr>
          <w:ilvl w:val="0"/>
          <w:numId w:val="35"/>
        </w:numPr>
        <w:ind w:left="0" w:firstLine="0"/>
        <w:jc w:val="both"/>
        <w:rPr>
          <w:rFonts w:ascii="Times New Roman" w:hAnsi="Times New Roman" w:cs="Times New Roman"/>
        </w:rPr>
      </w:pPr>
      <w:r w:rsidRPr="00BC7BB5">
        <w:rPr>
          <w:rFonts w:ascii="Times New Roman" w:hAnsi="Times New Roman" w:cs="Times New Roman"/>
          <w:b/>
          <w:color w:val="000000" w:themeColor="text1"/>
        </w:rPr>
        <w:t xml:space="preserve">Rationale for </w:t>
      </w:r>
      <w:r w:rsidR="001D1590">
        <w:rPr>
          <w:rFonts w:ascii="Times New Roman" w:hAnsi="Times New Roman" w:cs="Times New Roman"/>
          <w:b/>
          <w:color w:val="000000" w:themeColor="text1"/>
        </w:rPr>
        <w:t>p</w:t>
      </w:r>
      <w:r w:rsidRPr="00BC7BB5">
        <w:rPr>
          <w:rFonts w:ascii="Times New Roman" w:hAnsi="Times New Roman" w:cs="Times New Roman"/>
          <w:b/>
          <w:color w:val="000000" w:themeColor="text1"/>
        </w:rPr>
        <w:t xml:space="preserve">ublic </w:t>
      </w:r>
      <w:r w:rsidR="001D1590">
        <w:rPr>
          <w:rFonts w:ascii="Times New Roman" w:hAnsi="Times New Roman" w:cs="Times New Roman"/>
          <w:b/>
          <w:color w:val="000000" w:themeColor="text1"/>
        </w:rPr>
        <w:t>i</w:t>
      </w:r>
      <w:r w:rsidRPr="00BC7BB5">
        <w:rPr>
          <w:rFonts w:ascii="Times New Roman" w:hAnsi="Times New Roman" w:cs="Times New Roman"/>
          <w:b/>
          <w:color w:val="000000" w:themeColor="text1"/>
        </w:rPr>
        <w:t>ntervention.</w:t>
      </w:r>
      <w:r w:rsidRPr="00BC7BB5">
        <w:rPr>
          <w:rFonts w:ascii="Times New Roman" w:hAnsi="Times New Roman" w:cs="Times New Roman"/>
          <w:color w:val="000000" w:themeColor="text1"/>
        </w:rPr>
        <w:t xml:space="preserve"> </w:t>
      </w:r>
      <w:r w:rsidRPr="00BC7BB5">
        <w:rPr>
          <w:rFonts w:ascii="Times New Roman" w:hAnsi="Times New Roman" w:cs="Times New Roman"/>
        </w:rPr>
        <w:t>The proposed Program aims at strengthening the provision of key public goods in the agri-food sector such as food safety, while also addressing a number of other market failures affecting the performance of sector</w:t>
      </w:r>
      <w:r w:rsidRPr="00BC7BB5">
        <w:rPr>
          <w:rFonts w:ascii="Times New Roman" w:hAnsi="Times New Roman" w:cs="Times New Roman"/>
          <w:color w:val="000000" w:themeColor="text1"/>
        </w:rPr>
        <w:t>—</w:t>
      </w:r>
      <w:r w:rsidRPr="00BC7BB5">
        <w:rPr>
          <w:rFonts w:ascii="Times New Roman" w:hAnsi="Times New Roman" w:cs="Times New Roman"/>
        </w:rPr>
        <w:t xml:space="preserve">such as lack of access to market information for small producers and asymmetries in access to information between small and larger operators; high risks associated with the adoption of innovative technologies and practices; lack of incentives for the adoption of improved and more sustainable practices; and lack of access to finance. </w:t>
      </w:r>
    </w:p>
    <w:p w14:paraId="22F1E82C" w14:textId="77777777" w:rsidR="00154CA6" w:rsidRPr="00BC7BB5" w:rsidRDefault="00154CA6" w:rsidP="00154CA6">
      <w:pPr>
        <w:pStyle w:val="NoSpacing"/>
        <w:ind w:left="360"/>
        <w:rPr>
          <w:rFonts w:ascii="Times New Roman" w:hAnsi="Times New Roman" w:cs="Times New Roman"/>
        </w:rPr>
      </w:pPr>
    </w:p>
    <w:p w14:paraId="3564A572" w14:textId="04E4BC89" w:rsidR="00154CA6" w:rsidRPr="00BC7BB5" w:rsidRDefault="00154CA6" w:rsidP="00F561E8">
      <w:pPr>
        <w:pStyle w:val="NoSpacing"/>
        <w:numPr>
          <w:ilvl w:val="0"/>
          <w:numId w:val="35"/>
        </w:numPr>
        <w:ind w:left="0" w:firstLine="0"/>
        <w:jc w:val="both"/>
        <w:rPr>
          <w:rFonts w:ascii="Times New Roman" w:hAnsi="Times New Roman" w:cs="Times New Roman"/>
          <w:color w:val="000000" w:themeColor="text1"/>
        </w:rPr>
      </w:pPr>
      <w:r w:rsidRPr="00BC7BB5">
        <w:rPr>
          <w:rFonts w:ascii="Times New Roman" w:hAnsi="Times New Roman" w:cs="Times New Roman"/>
          <w:b/>
          <w:color w:val="000000" w:themeColor="text1"/>
        </w:rPr>
        <w:t xml:space="preserve">World Bank </w:t>
      </w:r>
      <w:r w:rsidR="001D1590">
        <w:rPr>
          <w:rFonts w:ascii="Times New Roman" w:hAnsi="Times New Roman" w:cs="Times New Roman"/>
          <w:b/>
          <w:color w:val="000000" w:themeColor="text1"/>
        </w:rPr>
        <w:t>v</w:t>
      </w:r>
      <w:r w:rsidRPr="00BC7BB5">
        <w:rPr>
          <w:rFonts w:ascii="Times New Roman" w:hAnsi="Times New Roman" w:cs="Times New Roman"/>
          <w:b/>
          <w:color w:val="000000" w:themeColor="text1"/>
        </w:rPr>
        <w:t xml:space="preserve">alue </w:t>
      </w:r>
      <w:r w:rsidR="001D1590">
        <w:rPr>
          <w:rFonts w:ascii="Times New Roman" w:hAnsi="Times New Roman" w:cs="Times New Roman"/>
          <w:b/>
          <w:color w:val="000000" w:themeColor="text1"/>
        </w:rPr>
        <w:t>a</w:t>
      </w:r>
      <w:r w:rsidRPr="00BC7BB5">
        <w:rPr>
          <w:rFonts w:ascii="Times New Roman" w:hAnsi="Times New Roman" w:cs="Times New Roman"/>
          <w:b/>
          <w:color w:val="000000" w:themeColor="text1"/>
        </w:rPr>
        <w:t>dded.</w:t>
      </w:r>
      <w:r w:rsidRPr="00BC7BB5">
        <w:rPr>
          <w:rFonts w:ascii="Times New Roman" w:hAnsi="Times New Roman" w:cs="Times New Roman"/>
          <w:color w:val="000000" w:themeColor="text1"/>
        </w:rPr>
        <w:t xml:space="preserve"> Bank support is expected to improve the efficiency and targeting of the various activities supported under the Program, thereby increasing both its economic benefits and inclusiveness. The World Bank has global expertise in the design and implementation of innovative projects and programs in the agri-food sector. In addition, the World Bank has been deeply involved with the GoM since the inception of the PMV, notably through the DPL series and the Bank is thus in a unique position to support the GoM in designing and implementing the Program in order to maximize economic, social and environmental benefits.  </w:t>
      </w:r>
    </w:p>
    <w:p w14:paraId="712BC880" w14:textId="77777777" w:rsidR="00154CA6" w:rsidRPr="00BC7BB5" w:rsidRDefault="00154CA6" w:rsidP="00154CA6">
      <w:pPr>
        <w:pStyle w:val="NoSpacing"/>
        <w:ind w:left="360"/>
        <w:rPr>
          <w:rFonts w:ascii="Times New Roman" w:hAnsi="Times New Roman" w:cs="Times New Roman"/>
        </w:rPr>
      </w:pPr>
    </w:p>
    <w:p w14:paraId="37B7B848" w14:textId="2A03B83D" w:rsidR="00154CA6" w:rsidRPr="00BC7BB5" w:rsidRDefault="00154CA6" w:rsidP="00F561E8">
      <w:pPr>
        <w:pStyle w:val="NoSpacing"/>
        <w:numPr>
          <w:ilvl w:val="0"/>
          <w:numId w:val="35"/>
        </w:numPr>
        <w:ind w:left="0" w:firstLine="0"/>
        <w:jc w:val="both"/>
        <w:rPr>
          <w:rFonts w:ascii="Times New Roman" w:hAnsi="Times New Roman" w:cs="Times New Roman"/>
          <w:color w:val="000000" w:themeColor="text1"/>
        </w:rPr>
      </w:pPr>
      <w:r w:rsidRPr="00BC7BB5">
        <w:rPr>
          <w:rFonts w:ascii="Times New Roman" w:hAnsi="Times New Roman" w:cs="Times New Roman"/>
          <w:b/>
          <w:color w:val="000000" w:themeColor="text1"/>
        </w:rPr>
        <w:t xml:space="preserve">Economic </w:t>
      </w:r>
      <w:r w:rsidR="001D1590">
        <w:rPr>
          <w:rFonts w:ascii="Times New Roman" w:hAnsi="Times New Roman" w:cs="Times New Roman"/>
          <w:b/>
          <w:color w:val="000000" w:themeColor="text1"/>
        </w:rPr>
        <w:t>i</w:t>
      </w:r>
      <w:r w:rsidRPr="00BC7BB5">
        <w:rPr>
          <w:rFonts w:ascii="Times New Roman" w:hAnsi="Times New Roman" w:cs="Times New Roman"/>
          <w:b/>
          <w:color w:val="000000" w:themeColor="text1"/>
        </w:rPr>
        <w:t xml:space="preserve">mpact of the Program. </w:t>
      </w:r>
      <w:r w:rsidRPr="00BC7BB5">
        <w:rPr>
          <w:rFonts w:ascii="Times New Roman" w:hAnsi="Times New Roman" w:cs="Times New Roman"/>
          <w:color w:val="000000" w:themeColor="text1"/>
        </w:rPr>
        <w:t xml:space="preserve">The Program would be instrumental in accelerating the </w:t>
      </w:r>
      <w:r w:rsidRPr="00BC7BB5">
        <w:rPr>
          <w:rFonts w:ascii="Times New Roman" w:hAnsi="Times New Roman" w:cs="Times New Roman"/>
        </w:rPr>
        <w:t xml:space="preserve">gradual structural transformation of the Moroccan agri-food sector and strengthening the value chains that require public sector support to mitigate the impact of market failures (mostly public goods, externalities, and information asymmetries). More precisely, </w:t>
      </w:r>
      <w:r w:rsidRPr="00BC7BB5">
        <w:rPr>
          <w:rFonts w:ascii="Times New Roman" w:hAnsi="Times New Roman" w:cs="Times New Roman"/>
          <w:color w:val="000000" w:themeColor="text1"/>
        </w:rPr>
        <w:t>the Program aims at addressing the several constraints that are holding back the development of the agri-food sector. Those constraints originate in the existence of different types of market failures that occur at several points of the value chains, and across the whole sector. Those include: the lack of traceability; unreliable access to quality raw materials that support value addition; inefficient inspections and certification processes for food safety; the lack of quality infrastructure, including post-harvest facilities; the need to upgrade informal processing facilities to improve quality and market access; and producers and SMEs’ limited access to finance for medium- and long-term investments. In addition, agribusiness SMEs are constrained by lack of skills, finance and support services such as BDS</w:t>
      </w:r>
      <w:r w:rsidR="00535722">
        <w:rPr>
          <w:rFonts w:ascii="Times New Roman" w:hAnsi="Times New Roman" w:cs="Times New Roman"/>
          <w:color w:val="000000" w:themeColor="text1"/>
        </w:rPr>
        <w:fldChar w:fldCharType="begin"/>
      </w:r>
      <w:r w:rsidR="00535722">
        <w:instrText xml:space="preserve"> XE "</w:instrText>
      </w:r>
      <w:r w:rsidR="00535722" w:rsidRPr="0021513F">
        <w:rPr>
          <w:rFonts w:ascii="Times New Roman" w:hAnsi="Times New Roman" w:cs="Times New Roman"/>
          <w:color w:val="000000" w:themeColor="text1"/>
        </w:rPr>
        <w:instrText>BDS:</w:instrText>
      </w:r>
      <w:r w:rsidR="00535722" w:rsidRPr="0021513F">
        <w:instrText>Business Development Services</w:instrText>
      </w:r>
      <w:r w:rsidR="00535722">
        <w:instrText xml:space="preserve">" </w:instrText>
      </w:r>
      <w:r w:rsidR="00535722">
        <w:rPr>
          <w:rFonts w:ascii="Times New Roman" w:hAnsi="Times New Roman" w:cs="Times New Roman"/>
          <w:color w:val="000000" w:themeColor="text1"/>
        </w:rPr>
        <w:fldChar w:fldCharType="end"/>
      </w:r>
      <w:r w:rsidRPr="00BC7BB5">
        <w:rPr>
          <w:rFonts w:ascii="Times New Roman" w:hAnsi="Times New Roman" w:cs="Times New Roman"/>
          <w:color w:val="000000" w:themeColor="text1"/>
        </w:rPr>
        <w:t xml:space="preserve">. </w:t>
      </w:r>
    </w:p>
    <w:p w14:paraId="1E257DA5" w14:textId="77777777" w:rsidR="00154CA6" w:rsidRPr="00BC7BB5" w:rsidRDefault="00154CA6" w:rsidP="00154CA6">
      <w:pPr>
        <w:pStyle w:val="ListParagraph"/>
        <w:spacing w:after="0" w:line="240" w:lineRule="auto"/>
        <w:ind w:left="360"/>
        <w:jc w:val="both"/>
        <w:rPr>
          <w:rFonts w:ascii="Times New Roman" w:hAnsi="Times New Roman" w:cs="Times New Roman"/>
          <w:color w:val="000000" w:themeColor="text1"/>
        </w:rPr>
      </w:pPr>
    </w:p>
    <w:p w14:paraId="1F51F477" w14:textId="2E994B8A" w:rsidR="00154CA6" w:rsidRPr="00BC7BB5" w:rsidRDefault="00154CA6" w:rsidP="00F561E8">
      <w:pPr>
        <w:pStyle w:val="NoSpacing"/>
        <w:numPr>
          <w:ilvl w:val="0"/>
          <w:numId w:val="35"/>
        </w:numPr>
        <w:ind w:left="0" w:firstLine="0"/>
        <w:jc w:val="both"/>
        <w:rPr>
          <w:rFonts w:ascii="Times New Roman" w:hAnsi="Times New Roman" w:cs="Times New Roman"/>
          <w:color w:val="000000" w:themeColor="text1"/>
        </w:rPr>
      </w:pPr>
      <w:r w:rsidRPr="00BC7BB5">
        <w:rPr>
          <w:rFonts w:ascii="Times New Roman" w:hAnsi="Times New Roman" w:cs="Times New Roman"/>
          <w:b/>
          <w:color w:val="000000" w:themeColor="text1"/>
        </w:rPr>
        <w:t>Economic evaluation of the Program</w:t>
      </w:r>
      <w:r w:rsidRPr="00BC7BB5">
        <w:rPr>
          <w:rStyle w:val="FootnoteReference"/>
          <w:rFonts w:ascii="Times New Roman" w:hAnsi="Times New Roman" w:cs="Times New Roman"/>
          <w:b/>
          <w:color w:val="000000" w:themeColor="text1"/>
        </w:rPr>
        <w:footnoteReference w:id="57"/>
      </w:r>
      <w:r w:rsidRPr="00BC7BB5">
        <w:rPr>
          <w:rFonts w:ascii="Times New Roman" w:hAnsi="Times New Roman" w:cs="Times New Roman"/>
          <w:b/>
          <w:color w:val="000000" w:themeColor="text1"/>
        </w:rPr>
        <w:t>.</w:t>
      </w:r>
      <w:r w:rsidRPr="00BC7BB5">
        <w:rPr>
          <w:rFonts w:ascii="Times New Roman" w:hAnsi="Times New Roman" w:cs="Times New Roman"/>
          <w:color w:val="000000" w:themeColor="text1"/>
        </w:rPr>
        <w:t xml:space="preserve"> The economic evaluation of the program is carried out through the analysis of the individual interventions contained in the program, underpinned by</w:t>
      </w:r>
      <w:r w:rsidR="001D1590">
        <w:rPr>
          <w:rFonts w:ascii="Times New Roman" w:hAnsi="Times New Roman" w:cs="Times New Roman"/>
          <w:color w:val="000000" w:themeColor="text1"/>
        </w:rPr>
        <w:t>:</w:t>
      </w:r>
      <w:r w:rsidRPr="00BC7BB5">
        <w:rPr>
          <w:rFonts w:ascii="Times New Roman" w:hAnsi="Times New Roman" w:cs="Times New Roman"/>
          <w:color w:val="000000" w:themeColor="text1"/>
        </w:rPr>
        <w:t xml:space="preserve"> (a) a financial analysis of the main physical investments expected under the proposed Program (i.e. the  </w:t>
      </w:r>
      <w:r w:rsidRPr="00BC7BB5">
        <w:rPr>
          <w:rFonts w:ascii="Times New Roman" w:hAnsi="Times New Roman" w:cs="Times New Roman"/>
          <w:color w:val="000000" w:themeColor="text1"/>
        </w:rPr>
        <w:lastRenderedPageBreak/>
        <w:t>wholesale market and the processing units supported under the FDA)</w:t>
      </w:r>
      <w:r w:rsidR="001D1590">
        <w:rPr>
          <w:rFonts w:ascii="Times New Roman" w:hAnsi="Times New Roman" w:cs="Times New Roman"/>
          <w:color w:val="000000" w:themeColor="text1"/>
        </w:rPr>
        <w:t>;</w:t>
      </w:r>
      <w:r w:rsidRPr="00BC7BB5">
        <w:rPr>
          <w:rFonts w:ascii="Times New Roman" w:hAnsi="Times New Roman" w:cs="Times New Roman"/>
          <w:color w:val="000000" w:themeColor="text1"/>
        </w:rPr>
        <w:t xml:space="preserve"> and (b) an international benchmarking—done by analyzing similar activities in past projects/programs in countries that present strong similarities with Morocco as far as their agri-food sectors are concerned. </w:t>
      </w:r>
    </w:p>
    <w:p w14:paraId="261C44AF" w14:textId="77777777" w:rsidR="00154CA6" w:rsidRPr="00BC7BB5" w:rsidRDefault="00154CA6" w:rsidP="00154CA6">
      <w:pPr>
        <w:pStyle w:val="NoSpacing"/>
        <w:jc w:val="both"/>
        <w:rPr>
          <w:rFonts w:ascii="Times New Roman" w:hAnsi="Times New Roman" w:cs="Times New Roman"/>
          <w:color w:val="000000" w:themeColor="text1"/>
        </w:rPr>
      </w:pPr>
    </w:p>
    <w:p w14:paraId="2583C40B" w14:textId="2B6E4826" w:rsidR="00154CA6" w:rsidRPr="00BC7BB5" w:rsidRDefault="00154CA6" w:rsidP="00F561E8">
      <w:pPr>
        <w:pStyle w:val="NoSpacing"/>
        <w:numPr>
          <w:ilvl w:val="0"/>
          <w:numId w:val="35"/>
        </w:numPr>
        <w:ind w:left="0" w:firstLine="0"/>
        <w:jc w:val="both"/>
        <w:rPr>
          <w:rFonts w:ascii="Times New Roman" w:hAnsi="Times New Roman" w:cs="Times New Roman"/>
          <w:color w:val="000000" w:themeColor="text1"/>
        </w:rPr>
      </w:pPr>
      <w:r w:rsidRPr="00BC7BB5">
        <w:rPr>
          <w:rFonts w:ascii="Times New Roman" w:hAnsi="Times New Roman" w:cs="Times New Roman"/>
          <w:b/>
        </w:rPr>
        <w:t>Result area 1</w:t>
      </w:r>
      <w:r w:rsidRPr="00BC7BB5">
        <w:rPr>
          <w:rFonts w:ascii="Times New Roman" w:hAnsi="Times New Roman" w:cs="Times New Roman"/>
        </w:rPr>
        <w:t xml:space="preserve">. </w:t>
      </w:r>
      <w:r w:rsidRPr="00BC7BB5">
        <w:rPr>
          <w:rFonts w:ascii="Times New Roman" w:hAnsi="Times New Roman" w:cs="Times New Roman"/>
          <w:color w:val="000000" w:themeColor="text1"/>
        </w:rPr>
        <w:t xml:space="preserve">The interventions in the Program would provide technical and financial assistance to Interprofessions (Maroc Citrus and Interprolive) through the preparation and the implementation of their business plans. Interprofessions play an important role in promoting communication among value chain actors as well as in the public-private dialogue by positioning themselves as a focal point for policy dialogue between value chain representatives and the Government. By supporting export and domestic market promotion, Interprofessions contribute to increasing market opportunities. A recently completed </w:t>
      </w:r>
      <w:r w:rsidR="001D1590">
        <w:rPr>
          <w:rFonts w:ascii="Times New Roman" w:hAnsi="Times New Roman" w:cs="Times New Roman"/>
          <w:color w:val="000000" w:themeColor="text1"/>
        </w:rPr>
        <w:t>African Development Bank (</w:t>
      </w:r>
      <w:r w:rsidRPr="00BC7BB5">
        <w:rPr>
          <w:rFonts w:ascii="Times New Roman" w:hAnsi="Times New Roman" w:cs="Times New Roman"/>
          <w:color w:val="000000" w:themeColor="text1"/>
        </w:rPr>
        <w:t>ADB</w:t>
      </w:r>
      <w:r w:rsidR="001D1590">
        <w:rPr>
          <w:rFonts w:ascii="Times New Roman" w:hAnsi="Times New Roman" w:cs="Times New Roman"/>
          <w:color w:val="000000" w:themeColor="text1"/>
        </w:rPr>
        <w:t>)-financed</w:t>
      </w:r>
      <w:r w:rsidRPr="00BC7BB5">
        <w:rPr>
          <w:rFonts w:ascii="Times New Roman" w:hAnsi="Times New Roman" w:cs="Times New Roman"/>
          <w:color w:val="000000" w:themeColor="text1"/>
        </w:rPr>
        <w:t xml:space="preserve"> project that supported producer associations’ business plan preparation and implementation calculated a financial internal rate of return of 30</w:t>
      </w:r>
      <w:r w:rsidR="00535722">
        <w:rPr>
          <w:rFonts w:ascii="Times New Roman" w:hAnsi="Times New Roman" w:cs="Times New Roman"/>
          <w:color w:val="000000" w:themeColor="text1"/>
        </w:rPr>
        <w:t xml:space="preserve"> percent </w:t>
      </w:r>
      <w:r w:rsidRPr="00BC7BB5">
        <w:rPr>
          <w:rFonts w:ascii="Times New Roman" w:hAnsi="Times New Roman" w:cs="Times New Roman"/>
          <w:color w:val="000000" w:themeColor="text1"/>
        </w:rPr>
        <w:t>(ADB, 2017)</w:t>
      </w:r>
      <w:r w:rsidRPr="00BC7BB5">
        <w:rPr>
          <w:rStyle w:val="FootnoteReference"/>
          <w:color w:val="000000" w:themeColor="text1"/>
        </w:rPr>
        <w:footnoteReference w:id="58"/>
      </w:r>
      <w:r w:rsidRPr="00BC7BB5">
        <w:rPr>
          <w:rFonts w:ascii="Times New Roman" w:hAnsi="Times New Roman" w:cs="Times New Roman"/>
          <w:color w:val="000000" w:themeColor="text1"/>
        </w:rPr>
        <w:t>, but this project included access to finance as well.</w:t>
      </w:r>
    </w:p>
    <w:p w14:paraId="4B04A500" w14:textId="77777777" w:rsidR="00154CA6" w:rsidRPr="00BC7BB5" w:rsidRDefault="00154CA6" w:rsidP="00154CA6">
      <w:pPr>
        <w:pStyle w:val="NoSpacing"/>
        <w:jc w:val="both"/>
        <w:rPr>
          <w:rFonts w:ascii="Times New Roman" w:hAnsi="Times New Roman" w:cs="Times New Roman"/>
        </w:rPr>
      </w:pPr>
    </w:p>
    <w:p w14:paraId="0C3AC406" w14:textId="0452E51A" w:rsidR="00154CA6" w:rsidRPr="00BC7BB5" w:rsidRDefault="00154CA6" w:rsidP="00F561E8">
      <w:pPr>
        <w:pStyle w:val="NoSpacing"/>
        <w:numPr>
          <w:ilvl w:val="0"/>
          <w:numId w:val="35"/>
        </w:numPr>
        <w:ind w:left="0" w:firstLine="0"/>
        <w:jc w:val="both"/>
        <w:rPr>
          <w:rFonts w:ascii="Times New Roman" w:hAnsi="Times New Roman" w:cs="Times New Roman"/>
        </w:rPr>
      </w:pPr>
      <w:r w:rsidRPr="00BC7BB5">
        <w:rPr>
          <w:rFonts w:ascii="Times New Roman" w:hAnsi="Times New Roman" w:cs="Times New Roman"/>
          <w:i/>
          <w:color w:val="000000" w:themeColor="text1"/>
        </w:rPr>
        <w:t>Financial analysis of the processing units supported under the FDA</w:t>
      </w:r>
      <w:r w:rsidRPr="00BC7BB5">
        <w:rPr>
          <w:rFonts w:ascii="Times New Roman" w:hAnsi="Times New Roman" w:cs="Times New Roman"/>
          <w:color w:val="000000" w:themeColor="text1"/>
        </w:rPr>
        <w:t xml:space="preserve">. The financial analysis has been carried out using a model of representative integrated olive oil projects selected under the FDA program. This analysis results in a sound </w:t>
      </w:r>
      <w:r w:rsidR="001D1590">
        <w:rPr>
          <w:rFonts w:ascii="Times New Roman" w:hAnsi="Times New Roman" w:cs="Times New Roman"/>
          <w:color w:val="000000" w:themeColor="text1"/>
        </w:rPr>
        <w:t>IRR</w:t>
      </w:r>
      <w:r w:rsidRPr="00BC7BB5">
        <w:rPr>
          <w:rFonts w:ascii="Times New Roman" w:hAnsi="Times New Roman" w:cs="Times New Roman"/>
          <w:color w:val="000000" w:themeColor="text1"/>
        </w:rPr>
        <w:t xml:space="preserve"> of 28.4 percent. A financial analysis was also carried out for pack</w:t>
      </w:r>
      <w:r w:rsidR="00E03960">
        <w:rPr>
          <w:rFonts w:ascii="Times New Roman" w:hAnsi="Times New Roman" w:cs="Times New Roman"/>
          <w:color w:val="000000" w:themeColor="text1"/>
        </w:rPr>
        <w:t>ag</w:t>
      </w:r>
      <w:r w:rsidRPr="00BC7BB5">
        <w:rPr>
          <w:rFonts w:ascii="Times New Roman" w:hAnsi="Times New Roman" w:cs="Times New Roman"/>
          <w:color w:val="000000" w:themeColor="text1"/>
        </w:rPr>
        <w:t>ing houses—also supported under the FDA program. The analysis led to a robust IRR of 28 percent.</w:t>
      </w:r>
    </w:p>
    <w:p w14:paraId="457ED78C" w14:textId="77777777" w:rsidR="00154CA6" w:rsidRPr="00BC7BB5" w:rsidRDefault="00154CA6" w:rsidP="00154CA6">
      <w:pPr>
        <w:pStyle w:val="NoSpacing"/>
        <w:ind w:left="720"/>
        <w:jc w:val="both"/>
        <w:rPr>
          <w:rFonts w:ascii="Times New Roman" w:hAnsi="Times New Roman" w:cs="Times New Roman"/>
        </w:rPr>
      </w:pPr>
    </w:p>
    <w:p w14:paraId="2E1FE6A2" w14:textId="7B2BD7DB" w:rsidR="00154CA6" w:rsidRPr="00BC7BB5" w:rsidRDefault="00154CA6" w:rsidP="00F561E8">
      <w:pPr>
        <w:pStyle w:val="NoSpacing"/>
        <w:numPr>
          <w:ilvl w:val="0"/>
          <w:numId w:val="35"/>
        </w:numPr>
        <w:ind w:left="0" w:firstLine="0"/>
        <w:jc w:val="both"/>
      </w:pPr>
      <w:r w:rsidRPr="00BC7BB5">
        <w:rPr>
          <w:rFonts w:ascii="Times New Roman" w:hAnsi="Times New Roman" w:cs="Times New Roman"/>
          <w:color w:val="000000" w:themeColor="text1"/>
        </w:rPr>
        <w:t xml:space="preserve">A key finding of this financial analysis is the strong positive effect from </w:t>
      </w:r>
      <w:r w:rsidRPr="00BC7BB5">
        <w:rPr>
          <w:rFonts w:ascii="Times New Roman" w:hAnsi="Times New Roman" w:cs="Times New Roman"/>
          <w:i/>
          <w:color w:val="000000" w:themeColor="text1"/>
        </w:rPr>
        <w:t xml:space="preserve">agrégation </w:t>
      </w:r>
      <w:r w:rsidRPr="00BC7BB5">
        <w:rPr>
          <w:rFonts w:ascii="Times New Roman" w:hAnsi="Times New Roman" w:cs="Times New Roman"/>
          <w:color w:val="000000" w:themeColor="text1"/>
        </w:rPr>
        <w:t xml:space="preserve">on overall profitability of such integrated investments. This mainly hinges on the fact that entering </w:t>
      </w:r>
      <w:r w:rsidRPr="00BC7BB5">
        <w:rPr>
          <w:rFonts w:ascii="Times New Roman" w:hAnsi="Times New Roman" w:cs="Times New Roman"/>
          <w:i/>
          <w:color w:val="000000" w:themeColor="text1"/>
        </w:rPr>
        <w:t xml:space="preserve">agrégation </w:t>
      </w:r>
      <w:r w:rsidRPr="00BC7BB5">
        <w:rPr>
          <w:rFonts w:ascii="Times New Roman" w:hAnsi="Times New Roman" w:cs="Times New Roman"/>
          <w:color w:val="000000" w:themeColor="text1"/>
        </w:rPr>
        <w:t xml:space="preserve">contracts allows the processing units to operate at full capacity from the first year onward. Hence, </w:t>
      </w:r>
      <w:r w:rsidRPr="00BC7BB5">
        <w:rPr>
          <w:rFonts w:ascii="Times New Roman" w:hAnsi="Times New Roman" w:cs="Times New Roman"/>
          <w:i/>
          <w:color w:val="000000" w:themeColor="text1"/>
        </w:rPr>
        <w:t xml:space="preserve">agrégation </w:t>
      </w:r>
      <w:r w:rsidRPr="00BC7BB5">
        <w:rPr>
          <w:rFonts w:ascii="Times New Roman" w:hAnsi="Times New Roman" w:cs="Times New Roman"/>
          <w:color w:val="000000" w:themeColor="text1"/>
        </w:rPr>
        <w:t xml:space="preserve">contracts are mutually beneficial: i) they allow the </w:t>
      </w:r>
      <w:r w:rsidRPr="00BC7BB5">
        <w:rPr>
          <w:rFonts w:ascii="Times New Roman" w:hAnsi="Times New Roman" w:cs="Times New Roman"/>
          <w:i/>
          <w:color w:val="000000" w:themeColor="text1"/>
        </w:rPr>
        <w:t>agrégateur</w:t>
      </w:r>
      <w:r w:rsidRPr="00BC7BB5">
        <w:rPr>
          <w:rFonts w:ascii="Times New Roman" w:hAnsi="Times New Roman" w:cs="Times New Roman"/>
          <w:color w:val="000000" w:themeColor="text1"/>
        </w:rPr>
        <w:t xml:space="preserve"> to operate at full capacity from the very beginning—and they also allow the processing unit to secure a guaranteed quantity of agricultural raw material of increasing quality over the medium to long term</w:t>
      </w:r>
      <w:r w:rsidR="001D1590">
        <w:rPr>
          <w:rFonts w:ascii="Times New Roman" w:hAnsi="Times New Roman" w:cs="Times New Roman"/>
          <w:color w:val="000000" w:themeColor="text1"/>
        </w:rPr>
        <w:t xml:space="preserve">; </w:t>
      </w:r>
      <w:r w:rsidRPr="00BC7BB5">
        <w:rPr>
          <w:rFonts w:ascii="Times New Roman" w:hAnsi="Times New Roman" w:cs="Times New Roman"/>
          <w:color w:val="000000" w:themeColor="text1"/>
        </w:rPr>
        <w:t xml:space="preserve">and ii) they provide producers with technical assistance over a sustained period of time, while allowing them to benefit from a guaranteed outlet for their production. </w:t>
      </w:r>
    </w:p>
    <w:p w14:paraId="18DFA75A" w14:textId="77777777" w:rsidR="00154CA6" w:rsidRPr="00BC7BB5" w:rsidRDefault="00154CA6" w:rsidP="00D62AC0">
      <w:pPr>
        <w:pStyle w:val="NoSpacing"/>
        <w:jc w:val="both"/>
      </w:pPr>
    </w:p>
    <w:p w14:paraId="5723DAA5" w14:textId="5C04DC5A" w:rsidR="00154CA6" w:rsidRPr="00BC7BB5" w:rsidRDefault="00154CA6" w:rsidP="00F561E8">
      <w:pPr>
        <w:pStyle w:val="NoSpacing"/>
        <w:numPr>
          <w:ilvl w:val="0"/>
          <w:numId w:val="35"/>
        </w:numPr>
        <w:ind w:left="0" w:firstLine="0"/>
        <w:jc w:val="both"/>
        <w:rPr>
          <w:rFonts w:ascii="Times New Roman" w:hAnsi="Times New Roman" w:cs="Times New Roman"/>
          <w:color w:val="000000" w:themeColor="text1"/>
        </w:rPr>
      </w:pPr>
      <w:r w:rsidRPr="00BC7BB5">
        <w:rPr>
          <w:rFonts w:ascii="Times New Roman" w:hAnsi="Times New Roman" w:cs="Times New Roman"/>
          <w:color w:val="000000" w:themeColor="text1"/>
        </w:rPr>
        <w:t xml:space="preserve">As an illustration of the strategic interest for an operator of engaging in aggregation contracts, a similar financial analysis was carried out for an integrated olive oil processing project, but which only gets to full capacity during the fifth year. Hence, by foregoing the opportunity of engaging in aggregation contracts—and thereby operating at full scale before its own olive trees can provide sufficient agricultural raw materials— this project was characterized by a lower </w:t>
      </w:r>
      <w:r w:rsidR="001D1590">
        <w:rPr>
          <w:rFonts w:ascii="Times New Roman" w:hAnsi="Times New Roman" w:cs="Times New Roman"/>
          <w:color w:val="000000" w:themeColor="text1"/>
        </w:rPr>
        <w:t>IRR</w:t>
      </w:r>
      <w:r w:rsidRPr="00BC7BB5">
        <w:rPr>
          <w:rFonts w:ascii="Times New Roman" w:hAnsi="Times New Roman" w:cs="Times New Roman"/>
          <w:color w:val="000000" w:themeColor="text1"/>
        </w:rPr>
        <w:t xml:space="preserve"> of 7.35 percent.</w:t>
      </w:r>
    </w:p>
    <w:p w14:paraId="1587D990" w14:textId="77777777" w:rsidR="00154CA6" w:rsidRPr="00BC7BB5" w:rsidRDefault="00154CA6" w:rsidP="00D62AC0">
      <w:pPr>
        <w:pStyle w:val="NoSpacing"/>
        <w:jc w:val="both"/>
        <w:rPr>
          <w:rFonts w:ascii="Times New Roman" w:hAnsi="Times New Roman" w:cs="Times New Roman"/>
        </w:rPr>
      </w:pPr>
    </w:p>
    <w:p w14:paraId="17B23930" w14:textId="77777777" w:rsidR="00154CA6" w:rsidRPr="00BC7BB5" w:rsidRDefault="00154CA6" w:rsidP="00F561E8">
      <w:pPr>
        <w:pStyle w:val="NoSpacing"/>
        <w:numPr>
          <w:ilvl w:val="0"/>
          <w:numId w:val="35"/>
        </w:numPr>
        <w:ind w:left="0" w:firstLine="0"/>
        <w:jc w:val="both"/>
        <w:rPr>
          <w:rFonts w:ascii="Times New Roman" w:hAnsi="Times New Roman" w:cs="Times New Roman"/>
        </w:rPr>
      </w:pPr>
      <w:r w:rsidRPr="00BC7BB5">
        <w:rPr>
          <w:rFonts w:ascii="Times New Roman" w:hAnsi="Times New Roman" w:cs="Times New Roman"/>
          <w:i/>
          <w:color w:val="000000" w:themeColor="text1"/>
        </w:rPr>
        <w:t>Improved wholesale market management model</w:t>
      </w:r>
      <w:r w:rsidRPr="00BC7BB5">
        <w:rPr>
          <w:rFonts w:ascii="Times New Roman" w:hAnsi="Times New Roman" w:cs="Times New Roman"/>
          <w:color w:val="000000" w:themeColor="text1"/>
        </w:rPr>
        <w:t>. Investments in the new model of wholesale market is expected to lead to a reduction of inefficiencies along fruit and vegetables value-chains, which will result in economic grains both for consumers and producers. Additional benefits will also include safer agri-food products for Moroccan consumers.</w:t>
      </w:r>
    </w:p>
    <w:p w14:paraId="2B48B20B" w14:textId="77777777" w:rsidR="00154CA6" w:rsidRPr="00BC7BB5" w:rsidRDefault="00154CA6" w:rsidP="00154CA6">
      <w:pPr>
        <w:pStyle w:val="NoSpacing"/>
        <w:jc w:val="both"/>
        <w:rPr>
          <w:rFonts w:ascii="Times New Roman" w:hAnsi="Times New Roman" w:cs="Times New Roman"/>
        </w:rPr>
      </w:pPr>
    </w:p>
    <w:p w14:paraId="1EE30E0A" w14:textId="77777777" w:rsidR="00154CA6" w:rsidRPr="00BC7BB5" w:rsidRDefault="00154CA6" w:rsidP="00F561E8">
      <w:pPr>
        <w:pStyle w:val="NoSpacing"/>
        <w:numPr>
          <w:ilvl w:val="0"/>
          <w:numId w:val="35"/>
        </w:numPr>
        <w:ind w:left="0" w:firstLine="0"/>
        <w:jc w:val="both"/>
        <w:rPr>
          <w:rFonts w:ascii="Times New Roman" w:hAnsi="Times New Roman" w:cs="Times New Roman"/>
          <w:color w:val="000000" w:themeColor="text1"/>
        </w:rPr>
      </w:pPr>
      <w:r w:rsidRPr="00BC7BB5">
        <w:rPr>
          <w:rFonts w:ascii="Times New Roman" w:hAnsi="Times New Roman" w:cs="Times New Roman"/>
          <w:color w:val="000000" w:themeColor="text1"/>
        </w:rPr>
        <w:t xml:space="preserve">The business model of the new wholesale market would offer a clean break from the old model of wholesale markets in force in Morocco for 50 years. It removes the tax on the value of products which has several major drawbacks which open the door to many bypass opportunities: (i) it is difficult to assess objectively because it is the result of monitoring-related data: a weight multiplied by an average price is sometimes elusive in the case of non-homogeneous cargo; (ii) it penalizes high value products— especially imported products or quality fruit— which thus tend not to go in those markets where the reception conditions (absence of cold conditions) are not adequate; and it does not provide to the managing entity a regular income throughout the year. </w:t>
      </w:r>
    </w:p>
    <w:p w14:paraId="079E5866" w14:textId="77777777" w:rsidR="00154CA6" w:rsidRPr="00BC7BB5" w:rsidRDefault="00154CA6" w:rsidP="00D62AC0">
      <w:pPr>
        <w:pStyle w:val="ListParagraph"/>
        <w:spacing w:after="0" w:line="240" w:lineRule="auto"/>
        <w:ind w:left="0"/>
        <w:rPr>
          <w:rFonts w:ascii="Arial" w:eastAsia="Arial" w:hAnsi="Arial" w:cs="Arial"/>
        </w:rPr>
      </w:pPr>
    </w:p>
    <w:p w14:paraId="60B1EE76" w14:textId="77777777" w:rsidR="00154CA6" w:rsidRPr="00BC7BB5" w:rsidRDefault="00154CA6" w:rsidP="00F561E8">
      <w:pPr>
        <w:pStyle w:val="NoSpacing"/>
        <w:numPr>
          <w:ilvl w:val="0"/>
          <w:numId w:val="35"/>
        </w:numPr>
        <w:ind w:left="0" w:firstLine="0"/>
        <w:jc w:val="both"/>
        <w:rPr>
          <w:rFonts w:ascii="Times New Roman" w:hAnsi="Times New Roman" w:cs="Times New Roman"/>
          <w:color w:val="000000" w:themeColor="text1"/>
        </w:rPr>
      </w:pPr>
      <w:r w:rsidRPr="00BC7BB5">
        <w:rPr>
          <w:rFonts w:ascii="Times New Roman" w:hAnsi="Times New Roman" w:cs="Times New Roman"/>
          <w:color w:val="000000" w:themeColor="text1"/>
        </w:rPr>
        <w:lastRenderedPageBreak/>
        <w:t xml:space="preserve">The new economic model for the wholesale markets is based on perfectly manageable and controllable components, namely the area occupied by the operators and an entry price that applies to all, depending on the size of the vehicle used. This system is fair because: (i) it allows operators to set themselves charges consistent with their means, modulating the space occupied, (ii) it offers a uniform price for each type of operators in each area, and (iii) it changes according to objective criteria, i.e. the cost of living. </w:t>
      </w:r>
    </w:p>
    <w:p w14:paraId="2516018E" w14:textId="77777777" w:rsidR="00154CA6" w:rsidRPr="00BC7BB5" w:rsidRDefault="00154CA6" w:rsidP="00D62AC0">
      <w:pPr>
        <w:pStyle w:val="ListParagraph"/>
        <w:spacing w:after="0" w:line="240" w:lineRule="auto"/>
        <w:ind w:left="0"/>
        <w:rPr>
          <w:rFonts w:ascii="Arial" w:eastAsia="Arial" w:hAnsi="Arial" w:cs="Arial"/>
        </w:rPr>
      </w:pPr>
    </w:p>
    <w:p w14:paraId="58467283" w14:textId="77777777" w:rsidR="00154CA6" w:rsidRPr="00BC7BB5" w:rsidRDefault="00154CA6" w:rsidP="00F561E8">
      <w:pPr>
        <w:pStyle w:val="NoSpacing"/>
        <w:numPr>
          <w:ilvl w:val="0"/>
          <w:numId w:val="35"/>
        </w:numPr>
        <w:ind w:left="0" w:firstLine="0"/>
        <w:jc w:val="both"/>
        <w:rPr>
          <w:rFonts w:ascii="Times New Roman" w:hAnsi="Times New Roman" w:cs="Times New Roman"/>
          <w:color w:val="000000" w:themeColor="text1"/>
        </w:rPr>
      </w:pPr>
      <w:r w:rsidRPr="00BC7BB5">
        <w:rPr>
          <w:rFonts w:ascii="Times New Roman" w:hAnsi="Times New Roman" w:cs="Times New Roman"/>
          <w:color w:val="000000" w:themeColor="text1"/>
        </w:rPr>
        <w:t xml:space="preserve">The business model adopted will rest on a few simple principles: (i) all charges will be levied on the basis of the area actually occupied by each type of operators; (ii) the charge amount will be calculated not to exceed 5 percent of the theoretical value of the products; and (iii) the municipality will no longer receive taxes on the value of products, it will be remunerated on the basis of dividend from the entity in charge of managing the wholesale market. </w:t>
      </w:r>
    </w:p>
    <w:p w14:paraId="21A3E1D6" w14:textId="77777777" w:rsidR="00154CA6" w:rsidRPr="00BC7BB5" w:rsidRDefault="00154CA6" w:rsidP="00D62AC0">
      <w:pPr>
        <w:pStyle w:val="NoSpacing"/>
        <w:jc w:val="both"/>
        <w:rPr>
          <w:rFonts w:ascii="Arial" w:eastAsia="Arial" w:hAnsi="Arial" w:cs="Arial"/>
        </w:rPr>
      </w:pPr>
    </w:p>
    <w:p w14:paraId="271B84D8" w14:textId="32E6602F" w:rsidR="00154CA6" w:rsidRPr="00BC7BB5" w:rsidRDefault="00154CA6" w:rsidP="00F561E8">
      <w:pPr>
        <w:pStyle w:val="NoSpacing"/>
        <w:numPr>
          <w:ilvl w:val="0"/>
          <w:numId w:val="35"/>
        </w:numPr>
        <w:ind w:left="0" w:firstLine="0"/>
        <w:jc w:val="both"/>
        <w:rPr>
          <w:rFonts w:ascii="Times New Roman" w:hAnsi="Times New Roman" w:cs="Times New Roman"/>
        </w:rPr>
      </w:pPr>
      <w:r w:rsidRPr="00BC7BB5">
        <w:rPr>
          <w:rFonts w:ascii="Times New Roman" w:hAnsi="Times New Roman" w:cs="Times New Roman"/>
          <w:color w:val="000000" w:themeColor="text1"/>
        </w:rPr>
        <w:t>The financial analysis of the new wholesale market model concludes to a sound IRR of 9.83 percent over a 20-year period. A sensitivity analysis leads to similarly robust IRRs of 6.15 percent in the case of a 20 percent increase in variable costs and 14</w:t>
      </w:r>
      <w:r w:rsidR="001D1590">
        <w:rPr>
          <w:rFonts w:ascii="Times New Roman" w:hAnsi="Times New Roman" w:cs="Times New Roman"/>
          <w:color w:val="000000" w:themeColor="text1"/>
        </w:rPr>
        <w:t xml:space="preserve"> percent</w:t>
      </w:r>
      <w:r w:rsidR="001D1590" w:rsidRPr="00BC7BB5">
        <w:rPr>
          <w:rFonts w:ascii="Times New Roman" w:hAnsi="Times New Roman" w:cs="Times New Roman"/>
          <w:color w:val="000000" w:themeColor="text1"/>
        </w:rPr>
        <w:t xml:space="preserve"> </w:t>
      </w:r>
      <w:r w:rsidRPr="00BC7BB5">
        <w:rPr>
          <w:rFonts w:ascii="Times New Roman" w:hAnsi="Times New Roman" w:cs="Times New Roman"/>
          <w:color w:val="000000" w:themeColor="text1"/>
        </w:rPr>
        <w:t>in the case of a 20 percent increase in revenues.</w:t>
      </w:r>
    </w:p>
    <w:p w14:paraId="65C40B7D" w14:textId="77777777" w:rsidR="00154CA6" w:rsidRPr="00BC7BB5" w:rsidRDefault="00154CA6" w:rsidP="00D62AC0">
      <w:pPr>
        <w:pStyle w:val="NoSpacing"/>
        <w:jc w:val="both"/>
        <w:rPr>
          <w:rFonts w:ascii="Times New Roman" w:hAnsi="Times New Roman" w:cs="Times New Roman"/>
        </w:rPr>
      </w:pPr>
      <w:r w:rsidRPr="00BC7BB5">
        <w:rPr>
          <w:rFonts w:ascii="Times New Roman" w:hAnsi="Times New Roman" w:cs="Times New Roman"/>
          <w:color w:val="000000" w:themeColor="text1"/>
        </w:rPr>
        <w:t xml:space="preserve"> </w:t>
      </w:r>
    </w:p>
    <w:p w14:paraId="2CF99D04" w14:textId="0D1503F2" w:rsidR="00154CA6" w:rsidRPr="00BC7BB5" w:rsidRDefault="00154CA6" w:rsidP="00F561E8">
      <w:pPr>
        <w:pStyle w:val="NoSpacing"/>
        <w:numPr>
          <w:ilvl w:val="0"/>
          <w:numId w:val="35"/>
        </w:numPr>
        <w:ind w:left="0" w:firstLine="0"/>
        <w:jc w:val="both"/>
        <w:rPr>
          <w:rFonts w:ascii="Times New Roman" w:hAnsi="Times New Roman" w:cs="Times New Roman"/>
        </w:rPr>
      </w:pPr>
      <w:r w:rsidRPr="00BC7BB5">
        <w:rPr>
          <w:rFonts w:ascii="Times New Roman" w:hAnsi="Times New Roman" w:cs="Times New Roman"/>
          <w:color w:val="000000" w:themeColor="text1"/>
        </w:rPr>
        <w:t xml:space="preserve">Market </w:t>
      </w:r>
      <w:r w:rsidR="001D1590">
        <w:rPr>
          <w:rFonts w:ascii="Times New Roman" w:hAnsi="Times New Roman" w:cs="Times New Roman"/>
          <w:color w:val="000000" w:themeColor="text1"/>
        </w:rPr>
        <w:t>i</w:t>
      </w:r>
      <w:r w:rsidRPr="00BC7BB5">
        <w:rPr>
          <w:rFonts w:ascii="Times New Roman" w:hAnsi="Times New Roman" w:cs="Times New Roman"/>
          <w:color w:val="000000" w:themeColor="text1"/>
        </w:rPr>
        <w:t xml:space="preserve">nformation </w:t>
      </w:r>
      <w:r w:rsidR="001D1590">
        <w:rPr>
          <w:rFonts w:ascii="Times New Roman" w:hAnsi="Times New Roman" w:cs="Times New Roman"/>
          <w:color w:val="000000" w:themeColor="text1"/>
        </w:rPr>
        <w:t>s</w:t>
      </w:r>
      <w:r w:rsidRPr="00BC7BB5">
        <w:rPr>
          <w:rFonts w:ascii="Times New Roman" w:hAnsi="Times New Roman" w:cs="Times New Roman"/>
          <w:color w:val="000000" w:themeColor="text1"/>
        </w:rPr>
        <w:t xml:space="preserve">ystems </w:t>
      </w:r>
      <w:r w:rsidR="001D1590">
        <w:rPr>
          <w:rFonts w:ascii="Times New Roman" w:hAnsi="Times New Roman" w:cs="Times New Roman"/>
          <w:color w:val="000000" w:themeColor="text1"/>
        </w:rPr>
        <w:t xml:space="preserve">(MIS) </w:t>
      </w:r>
      <w:r w:rsidRPr="00BC7BB5">
        <w:rPr>
          <w:rFonts w:ascii="Times New Roman" w:hAnsi="Times New Roman" w:cs="Times New Roman"/>
          <w:color w:val="000000" w:themeColor="text1"/>
        </w:rPr>
        <w:t xml:space="preserve">would reduce information asymmetries by making information on price and product quality available to value chain stakeholders. Efficiency analysis of MIS projects are not regularly available due to difficulties in measurement. </w:t>
      </w:r>
    </w:p>
    <w:p w14:paraId="7F097DCA" w14:textId="77777777" w:rsidR="00154CA6" w:rsidRPr="00BC7BB5" w:rsidRDefault="00154CA6" w:rsidP="00D62AC0">
      <w:pPr>
        <w:pStyle w:val="NoSpacing"/>
        <w:jc w:val="both"/>
        <w:rPr>
          <w:rFonts w:ascii="Times New Roman" w:hAnsi="Times New Roman" w:cs="Times New Roman"/>
        </w:rPr>
      </w:pPr>
    </w:p>
    <w:p w14:paraId="2A2B9855" w14:textId="2FDBD40B" w:rsidR="00154CA6" w:rsidRPr="00BC7BB5" w:rsidRDefault="00154CA6" w:rsidP="00F561E8">
      <w:pPr>
        <w:pStyle w:val="NoSpacing"/>
        <w:numPr>
          <w:ilvl w:val="0"/>
          <w:numId w:val="35"/>
        </w:numPr>
        <w:ind w:left="0" w:firstLine="0"/>
        <w:jc w:val="both"/>
        <w:rPr>
          <w:rFonts w:ascii="Times New Roman" w:hAnsi="Times New Roman" w:cs="Times New Roman"/>
        </w:rPr>
      </w:pPr>
      <w:r w:rsidRPr="00BC7BB5">
        <w:rPr>
          <w:rFonts w:ascii="Times New Roman" w:hAnsi="Times New Roman" w:cs="Times New Roman"/>
          <w:b/>
        </w:rPr>
        <w:t>Result area 2</w:t>
      </w:r>
      <w:r w:rsidRPr="00BC7BB5">
        <w:rPr>
          <w:rFonts w:ascii="Times New Roman" w:hAnsi="Times New Roman" w:cs="Times New Roman"/>
        </w:rPr>
        <w:t xml:space="preserve">. </w:t>
      </w:r>
      <w:r w:rsidRPr="00BC7BB5">
        <w:rPr>
          <w:rFonts w:ascii="Times New Roman" w:hAnsi="Times New Roman" w:cs="Times New Roman"/>
          <w:color w:val="000000" w:themeColor="text1"/>
        </w:rPr>
        <w:t>Safe food is considered a necessary condition of consumers’ acceptance of food products. Food safety is a form of public good (non-tradable and hard to privatize), therefore justifying public financing. The primary benefit of food safety policies is the reduction in consumer health risks. In a Moroccan case study by Aloui and Kenny (2005), farmers and exporters interviewed agree that the main and only benefit in complying with SPS standards is access to export markets. On the other hand, many did recognize that implementing them does significantly improve the management at the pack</w:t>
      </w:r>
      <w:r w:rsidR="00E03960">
        <w:rPr>
          <w:rFonts w:ascii="Times New Roman" w:hAnsi="Times New Roman" w:cs="Times New Roman"/>
          <w:color w:val="000000" w:themeColor="text1"/>
        </w:rPr>
        <w:t>ag</w:t>
      </w:r>
      <w:r w:rsidRPr="00BC7BB5">
        <w:rPr>
          <w:rFonts w:ascii="Times New Roman" w:hAnsi="Times New Roman" w:cs="Times New Roman"/>
          <w:color w:val="000000" w:themeColor="text1"/>
        </w:rPr>
        <w:t>ing houses, quality of the end-product, and efficiency of employees. Compliance with higher standards for food and agriculture has however spill-over effects beyond the direct commercial benefits. For example, a share of production of olive, olive oil and citrus is sold in domestic markets, and higher safety standards will benefit domestic consumers. Application of management systems for compliance with higher standards, such as ISO 9001, results in better working standards in the workplace and more demand for trained staff. To the extent that meeting higher standards forms a license to export, it creates employment throughout the supply chain.</w:t>
      </w:r>
    </w:p>
    <w:p w14:paraId="657FC8B9" w14:textId="77777777" w:rsidR="00154CA6" w:rsidRPr="00BC7BB5" w:rsidRDefault="00154CA6" w:rsidP="00154CA6">
      <w:pPr>
        <w:pStyle w:val="ListParagraph"/>
        <w:spacing w:after="0" w:line="240" w:lineRule="auto"/>
        <w:rPr>
          <w:rFonts w:ascii="Times New Roman" w:hAnsi="Times New Roman" w:cs="Times New Roman"/>
        </w:rPr>
      </w:pPr>
    </w:p>
    <w:p w14:paraId="724444DC" w14:textId="2FA2C768" w:rsidR="00154CA6" w:rsidRPr="00BC7BB5" w:rsidRDefault="00154CA6" w:rsidP="00F561E8">
      <w:pPr>
        <w:pStyle w:val="NoSpacing"/>
        <w:numPr>
          <w:ilvl w:val="0"/>
          <w:numId w:val="35"/>
        </w:numPr>
        <w:ind w:left="0" w:firstLine="0"/>
        <w:jc w:val="both"/>
        <w:rPr>
          <w:rFonts w:ascii="Times New Roman" w:hAnsi="Times New Roman" w:cs="Times New Roman"/>
        </w:rPr>
      </w:pPr>
      <w:r w:rsidRPr="00BC7BB5">
        <w:rPr>
          <w:rFonts w:ascii="Times New Roman" w:hAnsi="Times New Roman" w:cs="Times New Roman"/>
          <w:color w:val="000000" w:themeColor="text1"/>
        </w:rPr>
        <w:t>World Bank</w:t>
      </w:r>
      <w:r w:rsidR="004827C7">
        <w:rPr>
          <w:rFonts w:ascii="Times New Roman" w:hAnsi="Times New Roman" w:cs="Times New Roman"/>
          <w:color w:val="000000" w:themeColor="text1"/>
        </w:rPr>
        <w:t>-financed</w:t>
      </w:r>
      <w:r w:rsidRPr="00BC7BB5">
        <w:rPr>
          <w:rFonts w:ascii="Times New Roman" w:hAnsi="Times New Roman" w:cs="Times New Roman"/>
          <w:color w:val="000000" w:themeColor="text1"/>
        </w:rPr>
        <w:t xml:space="preserve"> BDS projects and other technical assistance projects to SMEs have had successful development outcomes in 84 percent of IEG evaluations from 2006 to 2012. Because BDS is often blended with other components, it was however hard to evaluate the separate contribution of the activity. BDS are often elements of linkage projects and of technical advisory, matching grant, or line of credit projects. The assessment of good practices for agribusiness incubators (based on 10 case studies of incubators distributed across Africa, Asia, and Latin America) is presented in ACI and ETG (2011). While the incubators assessed operate at vastly different scales (i.e. starting capital ranges from US</w:t>
      </w:r>
      <w:r w:rsidR="00EC0349">
        <w:rPr>
          <w:rFonts w:ascii="Times New Roman" w:hAnsi="Times New Roman" w:cs="Times New Roman"/>
          <w:color w:val="000000" w:themeColor="text1"/>
        </w:rPr>
        <w:t>$</w:t>
      </w:r>
      <w:r w:rsidRPr="00BC7BB5">
        <w:rPr>
          <w:rFonts w:ascii="Times New Roman" w:hAnsi="Times New Roman" w:cs="Times New Roman"/>
          <w:color w:val="000000" w:themeColor="text1"/>
        </w:rPr>
        <w:t xml:space="preserve">10,000 to </w:t>
      </w:r>
      <w:r w:rsidR="001D1590">
        <w:rPr>
          <w:rFonts w:ascii="Times New Roman" w:hAnsi="Times New Roman" w:cs="Times New Roman"/>
          <w:color w:val="000000" w:themeColor="text1"/>
        </w:rPr>
        <w:t>US$</w:t>
      </w:r>
      <w:r w:rsidRPr="00BC7BB5">
        <w:rPr>
          <w:rFonts w:ascii="Times New Roman" w:hAnsi="Times New Roman" w:cs="Times New Roman"/>
          <w:color w:val="000000" w:themeColor="text1"/>
        </w:rPr>
        <w:t xml:space="preserve">50 million), the impact and cost benefit analysis conducted in conjunction with each of the case studies indicates that the majority have been successful in creating sustainable and competitive enterprises and benefits that outweigh the cost, while diffusing a number of technologies, as well as product and process innovations. A full cost benefit analysis of agribusiness incubator investment is available only for one of the case studies, namely for Fundación Chile. For other incubators, such in-depth analysis either is not possible due to the recent period of establishment of the incubator or lack of data. The </w:t>
      </w:r>
      <w:r w:rsidR="001D1590">
        <w:rPr>
          <w:rFonts w:ascii="Times New Roman" w:hAnsi="Times New Roman" w:cs="Times New Roman"/>
          <w:color w:val="000000" w:themeColor="text1"/>
        </w:rPr>
        <w:t>s</w:t>
      </w:r>
      <w:r w:rsidRPr="00BC7BB5">
        <w:rPr>
          <w:rFonts w:ascii="Times New Roman" w:hAnsi="Times New Roman" w:cs="Times New Roman"/>
          <w:color w:val="000000" w:themeColor="text1"/>
        </w:rPr>
        <w:t>tudy shows that US$1.303 billion benefits of the seven selected programs are 23</w:t>
      </w:r>
      <w:r w:rsidR="00EC0349">
        <w:rPr>
          <w:rFonts w:ascii="Times New Roman" w:hAnsi="Times New Roman" w:cs="Times New Roman"/>
          <w:color w:val="000000" w:themeColor="text1"/>
        </w:rPr>
        <w:t xml:space="preserve"> percent</w:t>
      </w:r>
      <w:r w:rsidRPr="00BC7BB5">
        <w:rPr>
          <w:rFonts w:ascii="Times New Roman" w:hAnsi="Times New Roman" w:cs="Times New Roman"/>
          <w:color w:val="000000" w:themeColor="text1"/>
        </w:rPr>
        <w:t xml:space="preserve"> higher than the US$1.05 billion in total costs of Fundación Chile over the 30-year period.</w:t>
      </w:r>
    </w:p>
    <w:p w14:paraId="7DE1D6B2" w14:textId="77777777" w:rsidR="00243ECD" w:rsidRPr="00BC7BB5" w:rsidRDefault="00243ECD" w:rsidP="00243ECD">
      <w:pPr>
        <w:pStyle w:val="NoSpacing"/>
        <w:ind w:left="360"/>
        <w:jc w:val="both"/>
        <w:rPr>
          <w:rFonts w:ascii="Times New Roman" w:hAnsi="Times New Roman" w:cs="Times New Roman"/>
        </w:rPr>
      </w:pPr>
    </w:p>
    <w:p w14:paraId="12C1C05C" w14:textId="77777777" w:rsidR="00243ECD" w:rsidRPr="00BC7BB5" w:rsidRDefault="00243ECD" w:rsidP="00FF1F7A">
      <w:pPr>
        <w:pStyle w:val="NoSpacing"/>
        <w:jc w:val="both"/>
        <w:rPr>
          <w:rFonts w:ascii="Times New Roman" w:hAnsi="Times New Roman" w:cs="Times New Roman"/>
          <w:b/>
        </w:rPr>
      </w:pPr>
      <w:r w:rsidRPr="00BC7BB5">
        <w:rPr>
          <w:rFonts w:ascii="Times New Roman" w:hAnsi="Times New Roman" w:cs="Times New Roman"/>
          <w:b/>
        </w:rPr>
        <w:lastRenderedPageBreak/>
        <w:t>Program Action Plan</w:t>
      </w:r>
    </w:p>
    <w:p w14:paraId="1F3BE77C" w14:textId="7D4D5326" w:rsidR="00243ECD" w:rsidRPr="00BC7BB5" w:rsidRDefault="00243ECD" w:rsidP="00243ECD">
      <w:pPr>
        <w:pStyle w:val="NoSpacing"/>
        <w:ind w:left="360"/>
        <w:jc w:val="both"/>
        <w:rPr>
          <w:rFonts w:ascii="Times New Roman" w:hAnsi="Times New Roman" w:cs="Times New Roman"/>
        </w:rPr>
      </w:pPr>
    </w:p>
    <w:p w14:paraId="4F8DD4F0" w14:textId="13095101" w:rsidR="00243ECD" w:rsidRPr="00BC7BB5" w:rsidRDefault="005E5F8D" w:rsidP="00F561E8">
      <w:pPr>
        <w:pStyle w:val="NoSpacing"/>
        <w:numPr>
          <w:ilvl w:val="0"/>
          <w:numId w:val="35"/>
        </w:numPr>
        <w:ind w:left="0" w:firstLine="0"/>
        <w:jc w:val="both"/>
        <w:rPr>
          <w:rFonts w:ascii="Times New Roman" w:hAnsi="Times New Roman" w:cs="Times New Roman"/>
        </w:rPr>
      </w:pPr>
      <w:r w:rsidRPr="00BC7BB5">
        <w:rPr>
          <w:rFonts w:ascii="Times New Roman" w:hAnsi="Times New Roman" w:cs="Times New Roman"/>
        </w:rPr>
        <w:t>The Program Action Plan</w:t>
      </w:r>
      <w:r w:rsidR="00461016" w:rsidRPr="00BC7BB5">
        <w:rPr>
          <w:rFonts w:ascii="Times New Roman" w:hAnsi="Times New Roman" w:cs="Times New Roman"/>
        </w:rPr>
        <w:t xml:space="preserve"> (PAP</w:t>
      </w:r>
      <w:r w:rsidR="006A7513" w:rsidRPr="00BC7BB5">
        <w:rPr>
          <w:rFonts w:ascii="Times New Roman" w:hAnsi="Times New Roman" w:cs="Times New Roman"/>
        </w:rPr>
        <w:fldChar w:fldCharType="begin"/>
      </w:r>
      <w:r w:rsidR="006A7513" w:rsidRPr="00BC7BB5">
        <w:instrText xml:space="preserve"> XE "</w:instrText>
      </w:r>
      <w:r w:rsidR="006A7513" w:rsidRPr="00BC7BB5">
        <w:rPr>
          <w:rFonts w:ascii="Times New Roman" w:hAnsi="Times New Roman" w:cs="Times New Roman"/>
        </w:rPr>
        <w:instrText>PAP:</w:instrText>
      </w:r>
      <w:r w:rsidR="006A7513" w:rsidRPr="00BC7BB5">
        <w:instrText xml:space="preserve">Program Action Plan" </w:instrText>
      </w:r>
      <w:r w:rsidR="006A7513" w:rsidRPr="00BC7BB5">
        <w:rPr>
          <w:rFonts w:ascii="Times New Roman" w:hAnsi="Times New Roman" w:cs="Times New Roman"/>
        </w:rPr>
        <w:fldChar w:fldCharType="end"/>
      </w:r>
      <w:r w:rsidR="00461016" w:rsidRPr="00BC7BB5">
        <w:rPr>
          <w:rFonts w:ascii="Times New Roman" w:hAnsi="Times New Roman" w:cs="Times New Roman"/>
        </w:rPr>
        <w:t>)</w:t>
      </w:r>
      <w:r w:rsidRPr="00BC7BB5">
        <w:rPr>
          <w:rFonts w:ascii="Times New Roman" w:hAnsi="Times New Roman" w:cs="Times New Roman"/>
        </w:rPr>
        <w:t xml:space="preserve"> covers the following four areas</w:t>
      </w:r>
      <w:r w:rsidR="001D1590">
        <w:rPr>
          <w:rFonts w:ascii="Times New Roman" w:hAnsi="Times New Roman" w:cs="Times New Roman"/>
        </w:rPr>
        <w:t>:</w:t>
      </w:r>
      <w:r w:rsidRPr="00BC7BB5">
        <w:rPr>
          <w:rFonts w:ascii="Times New Roman" w:hAnsi="Times New Roman" w:cs="Times New Roman"/>
        </w:rPr>
        <w:t xml:space="preserve"> (a) Program management, (b) fiduciary systems, (c) environmental and social </w:t>
      </w:r>
      <w:r w:rsidR="00106D44">
        <w:rPr>
          <w:rFonts w:ascii="Times New Roman" w:hAnsi="Times New Roman" w:cs="Times New Roman"/>
        </w:rPr>
        <w:t>aspects</w:t>
      </w:r>
      <w:r w:rsidR="00C20105">
        <w:rPr>
          <w:rFonts w:ascii="Times New Roman" w:hAnsi="Times New Roman" w:cs="Times New Roman"/>
        </w:rPr>
        <w:t>,</w:t>
      </w:r>
      <w:r w:rsidR="00106D44" w:rsidRPr="00BC7BB5">
        <w:rPr>
          <w:rFonts w:ascii="Times New Roman" w:hAnsi="Times New Roman" w:cs="Times New Roman"/>
        </w:rPr>
        <w:t xml:space="preserve"> </w:t>
      </w:r>
      <w:r w:rsidRPr="00BC7BB5">
        <w:rPr>
          <w:rFonts w:ascii="Times New Roman" w:hAnsi="Times New Roman" w:cs="Times New Roman"/>
        </w:rPr>
        <w:t>and (d) Program monitoring and evaluation</w:t>
      </w:r>
      <w:r w:rsidR="00243ECD" w:rsidRPr="00BC7BB5">
        <w:rPr>
          <w:rFonts w:ascii="Times New Roman" w:hAnsi="Times New Roman" w:cs="Times New Roman"/>
        </w:rPr>
        <w:t>.</w:t>
      </w:r>
      <w:r w:rsidR="00AE3442" w:rsidRPr="00BC7BB5">
        <w:rPr>
          <w:rFonts w:ascii="Times New Roman" w:hAnsi="Times New Roman" w:cs="Times New Roman"/>
        </w:rPr>
        <w:t xml:space="preserve"> As such, it is focused on mitigating the most substantial risks identified with regards to Program implementation, which are</w:t>
      </w:r>
      <w:r w:rsidR="001D1590">
        <w:rPr>
          <w:rFonts w:ascii="Times New Roman" w:hAnsi="Times New Roman" w:cs="Times New Roman"/>
        </w:rPr>
        <w:t>:</w:t>
      </w:r>
      <w:r w:rsidR="00AE3442" w:rsidRPr="00BC7BB5">
        <w:rPr>
          <w:rFonts w:ascii="Times New Roman" w:hAnsi="Times New Roman" w:cs="Times New Roman"/>
        </w:rPr>
        <w:t xml:space="preserve"> (a) inter-agency coordination and MAPMDREF’s limited </w:t>
      </w:r>
      <w:r w:rsidR="00EF2CFA" w:rsidRPr="00BC7BB5">
        <w:rPr>
          <w:rFonts w:ascii="Times New Roman" w:hAnsi="Times New Roman" w:cs="Times New Roman"/>
        </w:rPr>
        <w:t xml:space="preserve">human </w:t>
      </w:r>
      <w:r w:rsidR="00AE3442" w:rsidRPr="00BC7BB5">
        <w:rPr>
          <w:rFonts w:ascii="Times New Roman" w:hAnsi="Times New Roman" w:cs="Times New Roman"/>
        </w:rPr>
        <w:t>resources to coordinate, manage, monitor and eval</w:t>
      </w:r>
      <w:r w:rsidR="0078227B" w:rsidRPr="00BC7BB5">
        <w:rPr>
          <w:rFonts w:ascii="Times New Roman" w:hAnsi="Times New Roman" w:cs="Times New Roman"/>
        </w:rPr>
        <w:t>uate the Program, (b) weaknesses</w:t>
      </w:r>
      <w:r w:rsidR="00AE3442" w:rsidRPr="00BC7BB5">
        <w:rPr>
          <w:rFonts w:ascii="Times New Roman" w:hAnsi="Times New Roman" w:cs="Times New Roman"/>
        </w:rPr>
        <w:t xml:space="preserve"> identified in the fiduciary systems and risks associated with the number of Program implementing entities, and (c) the need to increase the Program implementation entities capacity in the area of social and environmental </w:t>
      </w:r>
      <w:r w:rsidR="001D1590">
        <w:rPr>
          <w:rFonts w:ascii="Times New Roman" w:hAnsi="Times New Roman" w:cs="Times New Roman"/>
        </w:rPr>
        <w:t>management</w:t>
      </w:r>
      <w:r w:rsidR="00AE3442" w:rsidRPr="00BC7BB5">
        <w:rPr>
          <w:rFonts w:ascii="Times New Roman" w:hAnsi="Times New Roman" w:cs="Times New Roman"/>
        </w:rPr>
        <w:t>.</w:t>
      </w:r>
      <w:r w:rsidR="00461016" w:rsidRPr="00BC7BB5">
        <w:rPr>
          <w:rFonts w:ascii="Times New Roman" w:hAnsi="Times New Roman" w:cs="Times New Roman"/>
        </w:rPr>
        <w:t xml:space="preserve"> The PAP also includes critical actions necessary to operationalize the adjustment</w:t>
      </w:r>
      <w:r w:rsidR="00EF2CFA" w:rsidRPr="00BC7BB5">
        <w:rPr>
          <w:rFonts w:ascii="Times New Roman" w:hAnsi="Times New Roman" w:cs="Times New Roman"/>
        </w:rPr>
        <w:t>s</w:t>
      </w:r>
      <w:r w:rsidR="00461016" w:rsidRPr="00BC7BB5">
        <w:rPr>
          <w:rFonts w:ascii="Times New Roman" w:hAnsi="Times New Roman" w:cs="Times New Roman"/>
        </w:rPr>
        <w:t xml:space="preserve"> to the </w:t>
      </w:r>
      <w:r w:rsidR="00EF2CFA" w:rsidRPr="00BC7BB5">
        <w:rPr>
          <w:rFonts w:ascii="Times New Roman" w:hAnsi="Times New Roman" w:cs="Times New Roman"/>
        </w:rPr>
        <w:t>g</w:t>
      </w:r>
      <w:r w:rsidR="00461016" w:rsidRPr="00BC7BB5">
        <w:rPr>
          <w:rFonts w:ascii="Times New Roman" w:hAnsi="Times New Roman" w:cs="Times New Roman"/>
        </w:rPr>
        <w:t>overn</w:t>
      </w:r>
      <w:r w:rsidR="00AE3788" w:rsidRPr="00BC7BB5">
        <w:rPr>
          <w:rFonts w:ascii="Times New Roman" w:hAnsi="Times New Roman" w:cs="Times New Roman"/>
        </w:rPr>
        <w:t xml:space="preserve">ment program supported by the </w:t>
      </w:r>
      <w:r w:rsidR="00FE4DD8">
        <w:rPr>
          <w:rFonts w:ascii="Times New Roman" w:hAnsi="Times New Roman" w:cs="Times New Roman"/>
        </w:rPr>
        <w:t>P</w:t>
      </w:r>
      <w:r w:rsidR="001D1590">
        <w:rPr>
          <w:rFonts w:ascii="Times New Roman" w:hAnsi="Times New Roman" w:cs="Times New Roman"/>
        </w:rPr>
        <w:t>f</w:t>
      </w:r>
      <w:r w:rsidR="008538BE">
        <w:rPr>
          <w:rFonts w:ascii="Times New Roman" w:hAnsi="Times New Roman" w:cs="Times New Roman"/>
        </w:rPr>
        <w:t>or</w:t>
      </w:r>
      <w:r w:rsidR="00FE4DD8">
        <w:rPr>
          <w:rFonts w:ascii="Times New Roman" w:hAnsi="Times New Roman" w:cs="Times New Roman"/>
        </w:rPr>
        <w:t>R</w:t>
      </w:r>
      <w:r w:rsidR="00461016" w:rsidRPr="00BC7BB5">
        <w:rPr>
          <w:rFonts w:ascii="Times New Roman" w:hAnsi="Times New Roman" w:cs="Times New Roman"/>
        </w:rPr>
        <w:t>.</w:t>
      </w:r>
    </w:p>
    <w:p w14:paraId="266997E0" w14:textId="77777777" w:rsidR="006065FB" w:rsidRPr="00BC7BB5" w:rsidRDefault="006065FB" w:rsidP="006065FB">
      <w:pPr>
        <w:pStyle w:val="NoSpacing"/>
        <w:jc w:val="both"/>
        <w:rPr>
          <w:rFonts w:ascii="Times New Roman" w:hAnsi="Times New Roman" w:cs="Times New Roman"/>
        </w:rPr>
      </w:pPr>
    </w:p>
    <w:p w14:paraId="04B97301" w14:textId="77777777" w:rsidR="00B720B5" w:rsidRPr="00BC7BB5" w:rsidRDefault="00B720B5" w:rsidP="00B720B5">
      <w:pPr>
        <w:pStyle w:val="NoSpacing"/>
        <w:jc w:val="both"/>
        <w:rPr>
          <w:rFonts w:ascii="Times New Roman" w:hAnsi="Times New Roman" w:cs="Times New Roman"/>
          <w:b/>
        </w:rPr>
      </w:pPr>
      <w:r w:rsidRPr="00BC7BB5">
        <w:rPr>
          <w:rFonts w:ascii="Times New Roman" w:hAnsi="Times New Roman" w:cs="Times New Roman"/>
          <w:b/>
        </w:rPr>
        <w:t>Climate co-benefits</w:t>
      </w:r>
    </w:p>
    <w:p w14:paraId="597D9945" w14:textId="77777777" w:rsidR="00B720B5" w:rsidRPr="00BC7BB5" w:rsidRDefault="00B720B5" w:rsidP="00B720B5">
      <w:pPr>
        <w:pStyle w:val="NoSpacing"/>
        <w:ind w:left="360"/>
        <w:jc w:val="both"/>
        <w:rPr>
          <w:rFonts w:ascii="Times New Roman" w:hAnsi="Times New Roman" w:cs="Times New Roman"/>
        </w:rPr>
      </w:pPr>
    </w:p>
    <w:p w14:paraId="426DD6D7" w14:textId="77777777" w:rsidR="00B720B5" w:rsidRPr="00BC7BB5" w:rsidRDefault="00B720B5" w:rsidP="00F561E8">
      <w:pPr>
        <w:pStyle w:val="NoSpacing"/>
        <w:numPr>
          <w:ilvl w:val="0"/>
          <w:numId w:val="35"/>
        </w:numPr>
        <w:ind w:left="0" w:firstLine="0"/>
        <w:jc w:val="both"/>
        <w:rPr>
          <w:rFonts w:ascii="Times New Roman" w:hAnsi="Times New Roman" w:cs="Times New Roman"/>
          <w:color w:val="000000" w:themeColor="text1"/>
        </w:rPr>
      </w:pPr>
      <w:r w:rsidRPr="00BC7BB5">
        <w:rPr>
          <w:rFonts w:ascii="Times New Roman" w:hAnsi="Times New Roman" w:cs="Times New Roman"/>
          <w:color w:val="000000" w:themeColor="text1"/>
        </w:rPr>
        <w:t>Morocco’s agriculture sector is highly vulnerable to climate variability. Morocco is susceptible to chronic drought</w:t>
      </w:r>
      <w:r w:rsidRPr="00BC7BB5">
        <w:rPr>
          <w:rFonts w:ascii="Times New Roman" w:hAnsi="Times New Roman" w:cs="Times New Roman"/>
          <w:color w:val="000000" w:themeColor="text1"/>
          <w:vertAlign w:val="superscript"/>
        </w:rPr>
        <w:footnoteReference w:id="59"/>
      </w:r>
      <w:r w:rsidRPr="00BC7BB5">
        <w:rPr>
          <w:rFonts w:ascii="Times New Roman" w:hAnsi="Times New Roman" w:cs="Times New Roman"/>
          <w:color w:val="000000" w:themeColor="text1"/>
        </w:rPr>
        <w:t>, and climate variability and change is likely to exacerbate water scarcity, reduce yields, and increase the volatility of agricultural production, with substantial variation between regions.</w:t>
      </w:r>
      <w:r w:rsidRPr="00BC7BB5">
        <w:rPr>
          <w:rFonts w:ascii="Times New Roman" w:hAnsi="Times New Roman" w:cs="Times New Roman"/>
          <w:color w:val="000000" w:themeColor="text1"/>
          <w:vertAlign w:val="superscript"/>
        </w:rPr>
        <w:footnoteReference w:id="60"/>
      </w:r>
      <w:r w:rsidRPr="00BC7BB5">
        <w:rPr>
          <w:rFonts w:ascii="Times New Roman" w:hAnsi="Times New Roman" w:cs="Times New Roman"/>
          <w:color w:val="000000" w:themeColor="text1"/>
        </w:rPr>
        <w:t xml:space="preserve"> Water scarcity is the most pressing impact of climate variability and change for the citrus sector. Citrus trees need irrigation to produce quality fruit. While olives are more drought tolerant than citrus, water scarcity can still be an issue, since reduced water (whether via rainfall or irrigation) results in less oil and lower oil quality. </w:t>
      </w:r>
    </w:p>
    <w:p w14:paraId="0AD7C9BB" w14:textId="77777777" w:rsidR="00B720B5" w:rsidRPr="00BC7BB5" w:rsidRDefault="00B720B5" w:rsidP="00D62AC0">
      <w:pPr>
        <w:pStyle w:val="NoSpacing"/>
        <w:jc w:val="both"/>
        <w:rPr>
          <w:rFonts w:ascii="Times New Roman" w:hAnsi="Times New Roman" w:cs="Times New Roman"/>
          <w:color w:val="000000" w:themeColor="text1"/>
        </w:rPr>
      </w:pPr>
      <w:r w:rsidRPr="00BC7BB5">
        <w:rPr>
          <w:rFonts w:ascii="Times New Roman" w:hAnsi="Times New Roman" w:cs="Times New Roman"/>
          <w:color w:val="000000" w:themeColor="text1"/>
        </w:rPr>
        <w:t> </w:t>
      </w:r>
    </w:p>
    <w:p w14:paraId="1362B353" w14:textId="286744DE" w:rsidR="00B720B5" w:rsidRPr="003146C9" w:rsidRDefault="00B720B5" w:rsidP="00F561E8">
      <w:pPr>
        <w:pStyle w:val="NoSpacing"/>
        <w:numPr>
          <w:ilvl w:val="0"/>
          <w:numId w:val="35"/>
        </w:numPr>
        <w:ind w:left="0" w:firstLine="0"/>
        <w:jc w:val="both"/>
        <w:rPr>
          <w:rFonts w:ascii="Times New Roman" w:hAnsi="Times New Roman" w:cs="Times New Roman"/>
        </w:rPr>
      </w:pPr>
      <w:r w:rsidRPr="00BC7BB5">
        <w:rPr>
          <w:rFonts w:ascii="Times New Roman" w:hAnsi="Times New Roman" w:cs="Times New Roman"/>
        </w:rPr>
        <w:t xml:space="preserve">Long-term actions pursued by the GoM to climate-proof the agricultural sector include measures that focus primarily on increasing water supply for agricultural activities.  In parallel to these investments aimed at mobilizing more water for irrigation, the GoM has also enacted measures to save water in irrigation. The policy of encouraging localized irrigation (National Program for Saving Water in </w:t>
      </w:r>
      <w:r w:rsidRPr="00AF1009">
        <w:rPr>
          <w:rFonts w:ascii="Times New Roman" w:hAnsi="Times New Roman" w:cs="Times New Roman"/>
        </w:rPr>
        <w:t>Irrigation—PNEEI) and the action to control the use of water was initiated together with the inception of the Plan Maroc Vert in 2008. It has acted as a logical complement to the policy of mobilizing and supplying irr</w:t>
      </w:r>
      <w:r w:rsidRPr="003146C9">
        <w:rPr>
          <w:rFonts w:ascii="Times New Roman" w:hAnsi="Times New Roman" w:cs="Times New Roman"/>
        </w:rPr>
        <w:t>igation water.</w:t>
      </w:r>
    </w:p>
    <w:p w14:paraId="4C8626F5" w14:textId="77777777" w:rsidR="00B720B5" w:rsidRPr="003146C9" w:rsidRDefault="00B720B5" w:rsidP="00D62AC0">
      <w:pPr>
        <w:pStyle w:val="NoSpacing"/>
        <w:jc w:val="both"/>
        <w:rPr>
          <w:rFonts w:ascii="Times New Roman" w:hAnsi="Times New Roman" w:cs="Times New Roman"/>
        </w:rPr>
      </w:pPr>
    </w:p>
    <w:p w14:paraId="51915A7F" w14:textId="397B6D93" w:rsidR="00B720B5" w:rsidRPr="00AF1009" w:rsidRDefault="00B720B5" w:rsidP="00F561E8">
      <w:pPr>
        <w:pStyle w:val="NoSpacing"/>
        <w:numPr>
          <w:ilvl w:val="0"/>
          <w:numId w:val="35"/>
        </w:numPr>
        <w:ind w:left="0" w:firstLine="0"/>
        <w:jc w:val="both"/>
        <w:rPr>
          <w:rFonts w:ascii="Times New Roman" w:hAnsi="Times New Roman" w:cs="Times New Roman"/>
          <w:color w:val="000000" w:themeColor="text1"/>
        </w:rPr>
      </w:pPr>
      <w:r w:rsidRPr="003146C9">
        <w:rPr>
          <w:rFonts w:ascii="Times New Roman" w:hAnsi="Times New Roman" w:cs="Times New Roman"/>
          <w:color w:val="000000" w:themeColor="text1"/>
        </w:rPr>
        <w:t xml:space="preserve">In addition to the cross-cutting actions undertaken by the GoM to climate-proof agriculture as part of its program, all the interventions included in the proposed Program have been designed to include climate co-benefits, both on the adaptation and mitigation sides. </w:t>
      </w:r>
      <w:r w:rsidRPr="003146C9">
        <w:rPr>
          <w:rFonts w:ascii="Times New Roman" w:hAnsi="Times New Roman" w:cs="Times New Roman"/>
          <w:b/>
          <w:color w:val="000000" w:themeColor="text1"/>
        </w:rPr>
        <w:t>Adaptation co-benefits</w:t>
      </w:r>
      <w:r w:rsidRPr="003146C9">
        <w:rPr>
          <w:rFonts w:ascii="Times New Roman" w:hAnsi="Times New Roman" w:cs="Times New Roman"/>
          <w:color w:val="000000" w:themeColor="text1"/>
        </w:rPr>
        <w:t xml:space="preserve"> include the following: (i) interprofessions will participate in the diffusion of agrometeorological information to farmers; (ii) support for increased levels of aggregation will facilitate the diffusion of improved irrigation technologies (through higher subsidy levels for drip irrigation); (iii) better market infrastructure will improve the overall resilience of the value chain; (iv) improved market information will help farmers better time harvest and thus decrease post-harvest losses; (v) certification schemes contain provisions that will help farmers adopt new practices/techniques and varieties that will in turn increase their resilience to climate change and variability; and (vi) the activities carried out by the Innovation Centers will lead to increased adoption of technologies and practices, which will strengthen the sector’s overall climate resilience, at different levels of the value chain. As for </w:t>
      </w:r>
      <w:r w:rsidRPr="003146C9">
        <w:rPr>
          <w:rFonts w:ascii="Times New Roman" w:hAnsi="Times New Roman" w:cs="Times New Roman"/>
          <w:b/>
          <w:color w:val="000000" w:themeColor="text1"/>
        </w:rPr>
        <w:t>mitigation co-benefits</w:t>
      </w:r>
      <w:r w:rsidRPr="003146C9">
        <w:rPr>
          <w:rFonts w:ascii="Times New Roman" w:hAnsi="Times New Roman" w:cs="Times New Roman"/>
          <w:color w:val="000000" w:themeColor="text1"/>
        </w:rPr>
        <w:t xml:space="preserve">, they include the following: (i) new projects funded under the FDA </w:t>
      </w:r>
      <w:r w:rsidRPr="00AF1009">
        <w:rPr>
          <w:rFonts w:ascii="Times New Roman" w:hAnsi="Times New Roman" w:cs="Times New Roman"/>
          <w:color w:val="000000" w:themeColor="text1"/>
        </w:rPr>
        <w:t>will potentially include renewable energy in their production processes; (ii) the wholesale market will include renewable energy generation (PV)—in addition, the new wholesale market will spur better logistical efficiency overall, which will lead to better energy efficiency, thus decreasing GHG emissions; (iii) certification schemes will spur the mitigation potential that can arise through improved agricultural practices leading to increased carbon sequestration in soils; and (iv) the activities carried out by the Innovation Centers will potentially lead to: (a) renewable energy being included in the production processes and (b) waste materials being used to produce energy (in the case of olive processing).</w:t>
      </w:r>
      <w:r w:rsidR="00A718CC" w:rsidRPr="00AF1009">
        <w:rPr>
          <w:rFonts w:ascii="Times New Roman" w:hAnsi="Times New Roman" w:cs="Times New Roman"/>
          <w:color w:val="000000" w:themeColor="text1"/>
        </w:rPr>
        <w:t xml:space="preserve"> </w:t>
      </w:r>
    </w:p>
    <w:p w14:paraId="53B2A3D2" w14:textId="092D394E" w:rsidR="00AE45E6" w:rsidRPr="00BC7BB5" w:rsidRDefault="001D2940" w:rsidP="005D30EF">
      <w:pPr>
        <w:pStyle w:val="ListParagraph"/>
        <w:ind w:left="0"/>
        <w:jc w:val="center"/>
        <w:outlineLvl w:val="0"/>
        <w:rPr>
          <w:rFonts w:ascii="Times New Roman" w:hAnsi="Times New Roman" w:cs="Times New Roman"/>
          <w:b/>
        </w:rPr>
      </w:pPr>
      <w:bookmarkStart w:id="29" w:name="_Toc499113415"/>
      <w:r w:rsidRPr="00BC7BB5">
        <w:rPr>
          <w:rFonts w:ascii="Times New Roman" w:hAnsi="Times New Roman" w:cs="Times New Roman"/>
          <w:b/>
        </w:rPr>
        <w:lastRenderedPageBreak/>
        <w:t xml:space="preserve">Annex </w:t>
      </w:r>
      <w:r w:rsidR="009D1C20" w:rsidRPr="00BC7BB5">
        <w:rPr>
          <w:rFonts w:ascii="Times New Roman" w:hAnsi="Times New Roman" w:cs="Times New Roman"/>
          <w:b/>
        </w:rPr>
        <w:t>5</w:t>
      </w:r>
      <w:r w:rsidRPr="00BC7BB5">
        <w:rPr>
          <w:rFonts w:ascii="Times New Roman" w:hAnsi="Times New Roman" w:cs="Times New Roman"/>
          <w:b/>
        </w:rPr>
        <w:t>: Fiduciary Systems Assessment</w:t>
      </w:r>
      <w:bookmarkEnd w:id="29"/>
    </w:p>
    <w:p w14:paraId="53B2A3D4" w14:textId="77777777" w:rsidR="00AE45E6" w:rsidRPr="00BC7BB5" w:rsidRDefault="00AE45E6" w:rsidP="004E4895">
      <w:pPr>
        <w:pStyle w:val="NoSpacing"/>
        <w:ind w:left="360"/>
        <w:rPr>
          <w:rFonts w:ascii="Times New Roman" w:hAnsi="Times New Roman" w:cs="Times New Roman"/>
        </w:rPr>
      </w:pPr>
    </w:p>
    <w:p w14:paraId="588D749A" w14:textId="1B50464C" w:rsidR="00AD7B8F" w:rsidRPr="00BC7BB5" w:rsidRDefault="00FF1F7A" w:rsidP="00F561E8">
      <w:pPr>
        <w:pStyle w:val="NoSpacing"/>
        <w:numPr>
          <w:ilvl w:val="0"/>
          <w:numId w:val="31"/>
        </w:numPr>
        <w:ind w:left="0" w:firstLine="0"/>
        <w:rPr>
          <w:rFonts w:ascii="Times New Roman Bold" w:hAnsi="Times New Roman Bold" w:cs="Times New Roman"/>
          <w:b/>
          <w:smallCaps/>
        </w:rPr>
      </w:pPr>
      <w:bookmarkStart w:id="30" w:name="_Toc485747368"/>
      <w:r w:rsidRPr="00BC7BB5">
        <w:rPr>
          <w:rFonts w:ascii="Times New Roman Bold" w:hAnsi="Times New Roman Bold" w:cs="Times New Roman"/>
          <w:b/>
          <w:smallCaps/>
        </w:rPr>
        <w:t>Introduction</w:t>
      </w:r>
      <w:bookmarkEnd w:id="30"/>
    </w:p>
    <w:p w14:paraId="6F4C6929" w14:textId="77777777" w:rsidR="00E87A60" w:rsidRPr="00BC7BB5" w:rsidRDefault="00E87A60" w:rsidP="00E87A60">
      <w:pPr>
        <w:autoSpaceDE w:val="0"/>
        <w:autoSpaceDN w:val="0"/>
        <w:adjustRightInd w:val="0"/>
        <w:spacing w:after="0" w:line="240" w:lineRule="auto"/>
        <w:jc w:val="both"/>
        <w:rPr>
          <w:rFonts w:ascii="Times New Roman" w:hAnsi="Times New Roman" w:cs="Times New Roman"/>
          <w:color w:val="000000" w:themeColor="text1"/>
          <w:lang w:eastAsia="fr-FR"/>
        </w:rPr>
      </w:pPr>
    </w:p>
    <w:p w14:paraId="45BF1C20" w14:textId="7C94D7A1" w:rsidR="00AD7B8F" w:rsidRPr="00BC7BB5" w:rsidRDefault="00AD7B8F" w:rsidP="00422BC8">
      <w:pPr>
        <w:pStyle w:val="ListParagraph"/>
        <w:numPr>
          <w:ilvl w:val="0"/>
          <w:numId w:val="15"/>
        </w:numPr>
        <w:autoSpaceDE w:val="0"/>
        <w:autoSpaceDN w:val="0"/>
        <w:adjustRightInd w:val="0"/>
        <w:spacing w:after="0" w:line="240" w:lineRule="auto"/>
        <w:ind w:left="0" w:firstLine="0"/>
        <w:jc w:val="both"/>
        <w:rPr>
          <w:rFonts w:ascii="Times New Roman" w:hAnsi="Times New Roman" w:cs="Times New Roman"/>
          <w:color w:val="000000" w:themeColor="text1"/>
          <w:lang w:eastAsia="fr-FR"/>
        </w:rPr>
      </w:pPr>
      <w:r w:rsidRPr="00BC7BB5">
        <w:rPr>
          <w:rFonts w:ascii="Times New Roman" w:hAnsi="Times New Roman" w:cs="Times New Roman"/>
        </w:rPr>
        <w:t xml:space="preserve">As part of the preparation of the Strengthening Agri-Foods Value Chains Program (the Program), the World Bank task team carried out a Fiduciary Systems Assessment (FSA) of the proposed Program in accordance with the </w:t>
      </w:r>
      <w:r w:rsidR="006F6961">
        <w:rPr>
          <w:rFonts w:ascii="Times New Roman" w:hAnsi="Times New Roman" w:cs="Times New Roman"/>
        </w:rPr>
        <w:t xml:space="preserve">World </w:t>
      </w:r>
      <w:r w:rsidRPr="00BC7BB5">
        <w:rPr>
          <w:rFonts w:ascii="Times New Roman" w:hAnsi="Times New Roman" w:cs="Times New Roman"/>
        </w:rPr>
        <w:t>Bank</w:t>
      </w:r>
      <w:r w:rsidR="006F6961">
        <w:rPr>
          <w:rFonts w:ascii="Times New Roman" w:hAnsi="Times New Roman" w:cs="Times New Roman"/>
        </w:rPr>
        <w:t>’s</w:t>
      </w:r>
      <w:r w:rsidRPr="00BC7BB5">
        <w:rPr>
          <w:rFonts w:ascii="Times New Roman" w:hAnsi="Times New Roman" w:cs="Times New Roman"/>
        </w:rPr>
        <w:t xml:space="preserve"> Policy </w:t>
      </w:r>
      <w:r w:rsidR="006F6961">
        <w:rPr>
          <w:rFonts w:ascii="Times New Roman" w:hAnsi="Times New Roman" w:cs="Times New Roman"/>
        </w:rPr>
        <w:t xml:space="preserve">and Directive </w:t>
      </w:r>
      <w:r w:rsidRPr="00BC7BB5">
        <w:rPr>
          <w:rFonts w:ascii="Times New Roman" w:hAnsi="Times New Roman" w:cs="Times New Roman"/>
        </w:rPr>
        <w:t xml:space="preserve">on </w:t>
      </w:r>
      <w:r w:rsidR="006F6961">
        <w:rPr>
          <w:rFonts w:ascii="Times New Roman" w:hAnsi="Times New Roman" w:cs="Times New Roman"/>
        </w:rPr>
        <w:t>PforR</w:t>
      </w:r>
      <w:r w:rsidR="006F6961" w:rsidRPr="00BC7BB5">
        <w:rPr>
          <w:rFonts w:ascii="Times New Roman" w:hAnsi="Times New Roman" w:cs="Times New Roman"/>
        </w:rPr>
        <w:t xml:space="preserve"> </w:t>
      </w:r>
      <w:r w:rsidR="006F6961">
        <w:rPr>
          <w:rFonts w:ascii="Times New Roman" w:hAnsi="Times New Roman" w:cs="Times New Roman"/>
        </w:rPr>
        <w:t>F</w:t>
      </w:r>
      <w:r w:rsidRPr="00BC7BB5">
        <w:rPr>
          <w:rFonts w:ascii="Times New Roman" w:hAnsi="Times New Roman" w:cs="Times New Roman"/>
        </w:rPr>
        <w:t>inancing.</w:t>
      </w:r>
    </w:p>
    <w:p w14:paraId="398D5808" w14:textId="77777777" w:rsidR="000951A1" w:rsidRPr="00BC7BB5" w:rsidRDefault="000951A1" w:rsidP="000951A1">
      <w:pPr>
        <w:pStyle w:val="ListParagraph"/>
        <w:rPr>
          <w:rFonts w:ascii="Times New Roman" w:hAnsi="Times New Roman" w:cs="Times New Roman"/>
        </w:rPr>
      </w:pPr>
    </w:p>
    <w:p w14:paraId="0E6B2736" w14:textId="1B893FE6" w:rsidR="000951A1" w:rsidRPr="00BC7BB5" w:rsidRDefault="000951A1" w:rsidP="00422BC8">
      <w:pPr>
        <w:pStyle w:val="ListParagraph"/>
        <w:numPr>
          <w:ilvl w:val="0"/>
          <w:numId w:val="15"/>
        </w:numPr>
        <w:autoSpaceDE w:val="0"/>
        <w:autoSpaceDN w:val="0"/>
        <w:adjustRightInd w:val="0"/>
        <w:spacing w:after="0" w:line="240" w:lineRule="auto"/>
        <w:ind w:left="0" w:firstLine="0"/>
        <w:jc w:val="both"/>
        <w:rPr>
          <w:rFonts w:ascii="Times New Roman" w:hAnsi="Times New Roman" w:cs="Times New Roman"/>
          <w:color w:val="000000" w:themeColor="text1"/>
        </w:rPr>
      </w:pPr>
      <w:r w:rsidRPr="00BC7BB5">
        <w:rPr>
          <w:rFonts w:ascii="Times New Roman" w:hAnsi="Times New Roman" w:cs="Times New Roman"/>
          <w:b/>
        </w:rPr>
        <w:t>The FSA</w:t>
      </w:r>
      <w:r w:rsidRPr="00BC7BB5">
        <w:rPr>
          <w:rFonts w:ascii="Times New Roman" w:hAnsi="Times New Roman" w:cs="Times New Roman"/>
          <w:b/>
        </w:rPr>
        <w:fldChar w:fldCharType="begin"/>
      </w:r>
      <w:r w:rsidRPr="00BC7BB5">
        <w:instrText xml:space="preserve"> XE "</w:instrText>
      </w:r>
      <w:r w:rsidRPr="00BC7BB5">
        <w:rPr>
          <w:rFonts w:ascii="Times New Roman" w:hAnsi="Times New Roman" w:cs="Times New Roman"/>
          <w:b/>
        </w:rPr>
        <w:instrText>FSA:</w:instrText>
      </w:r>
      <w:r w:rsidRPr="00BC7BB5">
        <w:instrText xml:space="preserve">Fiduciary Systems Assessment" </w:instrText>
      </w:r>
      <w:r w:rsidRPr="00BC7BB5">
        <w:rPr>
          <w:rFonts w:ascii="Times New Roman" w:hAnsi="Times New Roman" w:cs="Times New Roman"/>
          <w:b/>
        </w:rPr>
        <w:fldChar w:fldCharType="end"/>
      </w:r>
      <w:r w:rsidRPr="00BC7BB5">
        <w:rPr>
          <w:rFonts w:ascii="Times New Roman" w:hAnsi="Times New Roman" w:cs="Times New Roman"/>
          <w:b/>
        </w:rPr>
        <w:t xml:space="preserve"> was conducted building on the results of the recent PEFA</w:t>
      </w:r>
      <w:r w:rsidRPr="00BC7BB5">
        <w:rPr>
          <w:rFonts w:ascii="Times New Roman" w:hAnsi="Times New Roman" w:cs="Times New Roman"/>
          <w:b/>
        </w:rPr>
        <w:fldChar w:fldCharType="begin"/>
      </w:r>
      <w:r w:rsidRPr="00BC7BB5">
        <w:instrText xml:space="preserve"> XE "</w:instrText>
      </w:r>
      <w:r w:rsidRPr="00BC7BB5">
        <w:rPr>
          <w:rFonts w:ascii="Times New Roman" w:hAnsi="Times New Roman" w:cs="Times New Roman"/>
          <w:b/>
        </w:rPr>
        <w:instrText>PEFA:</w:instrText>
      </w:r>
      <w:r w:rsidRPr="00BC7BB5">
        <w:instrText xml:space="preserve">Public Expenditure Financial Accountability" </w:instrText>
      </w:r>
      <w:r w:rsidRPr="00BC7BB5">
        <w:rPr>
          <w:rFonts w:ascii="Times New Roman" w:hAnsi="Times New Roman" w:cs="Times New Roman"/>
          <w:b/>
        </w:rPr>
        <w:fldChar w:fldCharType="end"/>
      </w:r>
      <w:r w:rsidRPr="00BC7BB5">
        <w:rPr>
          <w:rFonts w:ascii="Times New Roman" w:hAnsi="Times New Roman" w:cs="Times New Roman"/>
          <w:b/>
        </w:rPr>
        <w:t xml:space="preserve"> diagnostic and the financial management and procurement review of the entities involved in the proposed Program</w:t>
      </w:r>
      <w:r w:rsidRPr="00BC7BB5">
        <w:rPr>
          <w:rFonts w:ascii="Times New Roman" w:hAnsi="Times New Roman" w:cs="Times New Roman"/>
        </w:rPr>
        <w:t>. The objectives of the FSA were to ascertain whether the procurement and financial management (FM) system capacity and performance of those entities are adequate to provide reasonable assurance that the funds will be used for the intended purposes with due attention to the principles of economy, efficiency, effectiveness, transparency, and accountability. The assessment was conducted based on</w:t>
      </w:r>
      <w:r w:rsidR="006F6961">
        <w:rPr>
          <w:rFonts w:ascii="Times New Roman" w:hAnsi="Times New Roman" w:cs="Times New Roman"/>
        </w:rPr>
        <w:t>:</w:t>
      </w:r>
      <w:r w:rsidRPr="00BC7BB5">
        <w:rPr>
          <w:rFonts w:ascii="Times New Roman" w:hAnsi="Times New Roman" w:cs="Times New Roman"/>
        </w:rPr>
        <w:t xml:space="preserve"> (i) the knowledge of the financial management and procurement systems in force in Morocco, (ii) the recent national Public Expenditure and Financial Accountability (PEFA</w:t>
      </w:r>
      <w:r w:rsidRPr="00BC7BB5">
        <w:rPr>
          <w:rFonts w:ascii="Times New Roman" w:hAnsi="Times New Roman" w:cs="Times New Roman"/>
        </w:rPr>
        <w:fldChar w:fldCharType="begin"/>
      </w:r>
      <w:r w:rsidRPr="00BC7BB5">
        <w:instrText xml:space="preserve"> XE "</w:instrText>
      </w:r>
      <w:r w:rsidRPr="00BC7BB5">
        <w:rPr>
          <w:rFonts w:ascii="Times New Roman" w:hAnsi="Times New Roman" w:cs="Times New Roman"/>
        </w:rPr>
        <w:instrText>PEFA:</w:instrText>
      </w:r>
      <w:r w:rsidRPr="00BC7BB5">
        <w:instrText xml:space="preserve">Public Expenditure and Financial Accountability" </w:instrText>
      </w:r>
      <w:r w:rsidRPr="00BC7BB5">
        <w:rPr>
          <w:rFonts w:ascii="Times New Roman" w:hAnsi="Times New Roman" w:cs="Times New Roman"/>
        </w:rPr>
        <w:fldChar w:fldCharType="end"/>
      </w:r>
      <w:r w:rsidRPr="00BC7BB5">
        <w:rPr>
          <w:rFonts w:ascii="Times New Roman" w:hAnsi="Times New Roman" w:cs="Times New Roman"/>
        </w:rPr>
        <w:t>) diagnostic completed in 201</w:t>
      </w:r>
      <w:r w:rsidR="00FA3400">
        <w:rPr>
          <w:rFonts w:ascii="Times New Roman" w:hAnsi="Times New Roman" w:cs="Times New Roman"/>
        </w:rPr>
        <w:t>6</w:t>
      </w:r>
      <w:r w:rsidRPr="00BC7BB5">
        <w:rPr>
          <w:rFonts w:ascii="Times New Roman" w:hAnsi="Times New Roman" w:cs="Times New Roman"/>
        </w:rPr>
        <w:t xml:space="preserve">, (iii) those entities’ track record in implementing World Bank funded operations, and (iv) the annual audit reports of those entities. </w:t>
      </w:r>
    </w:p>
    <w:p w14:paraId="3FCC0169" w14:textId="77777777" w:rsidR="000951A1" w:rsidRPr="00BC7BB5" w:rsidRDefault="000951A1" w:rsidP="000951A1">
      <w:pPr>
        <w:spacing w:after="0" w:line="240" w:lineRule="auto"/>
        <w:ind w:left="420"/>
        <w:jc w:val="both"/>
        <w:rPr>
          <w:rFonts w:ascii="Times New Roman" w:hAnsi="Times New Roman" w:cs="Times New Roman"/>
          <w:color w:val="000000" w:themeColor="text1"/>
        </w:rPr>
      </w:pPr>
    </w:p>
    <w:p w14:paraId="105EEBDE" w14:textId="3503455E" w:rsidR="000951A1" w:rsidRPr="00BC7BB5" w:rsidRDefault="000951A1" w:rsidP="00422BC8">
      <w:pPr>
        <w:pStyle w:val="ListParagraph"/>
        <w:numPr>
          <w:ilvl w:val="0"/>
          <w:numId w:val="15"/>
        </w:numPr>
        <w:autoSpaceDE w:val="0"/>
        <w:autoSpaceDN w:val="0"/>
        <w:adjustRightInd w:val="0"/>
        <w:spacing w:after="0" w:line="240" w:lineRule="auto"/>
        <w:ind w:left="0" w:firstLine="0"/>
        <w:jc w:val="both"/>
        <w:rPr>
          <w:rFonts w:ascii="Times New Roman" w:hAnsi="Times New Roman" w:cs="Times New Roman"/>
          <w:color w:val="000000" w:themeColor="text1"/>
        </w:rPr>
      </w:pPr>
      <w:r w:rsidRPr="00BC7BB5">
        <w:rPr>
          <w:rFonts w:ascii="Times New Roman" w:hAnsi="Times New Roman" w:cs="Times New Roman"/>
          <w:b/>
        </w:rPr>
        <w:t xml:space="preserve">Risk assessment. </w:t>
      </w:r>
      <w:r w:rsidRPr="00BC7BB5">
        <w:rPr>
          <w:rFonts w:ascii="Times New Roman" w:hAnsi="Times New Roman" w:cs="Times New Roman"/>
        </w:rPr>
        <w:t xml:space="preserve">The Program's fiduciary systems are acceptable and they will provide reasonable assurance on the use of the Program's resources for the intended purposes. The fiduciary risk is </w:t>
      </w:r>
      <w:r w:rsidR="006F6961">
        <w:rPr>
          <w:rFonts w:ascii="Times New Roman" w:hAnsi="Times New Roman" w:cs="Times New Roman"/>
        </w:rPr>
        <w:t>rated</w:t>
      </w:r>
      <w:r w:rsidRPr="00BC7BB5">
        <w:rPr>
          <w:rFonts w:ascii="Times New Roman" w:hAnsi="Times New Roman" w:cs="Times New Roman"/>
        </w:rPr>
        <w:t xml:space="preserve"> </w:t>
      </w:r>
      <w:r w:rsidR="006F6961" w:rsidRPr="001B0C1B">
        <w:rPr>
          <w:rFonts w:ascii="Times New Roman" w:hAnsi="Times New Roman" w:cs="Times New Roman"/>
        </w:rPr>
        <w:t>s</w:t>
      </w:r>
      <w:r w:rsidRPr="001B0C1B">
        <w:rPr>
          <w:rFonts w:ascii="Times New Roman" w:hAnsi="Times New Roman" w:cs="Times New Roman"/>
        </w:rPr>
        <w:t>ubstantial</w:t>
      </w:r>
      <w:r w:rsidRPr="00BC7BB5">
        <w:rPr>
          <w:rFonts w:ascii="Times New Roman" w:hAnsi="Times New Roman" w:cs="Times New Roman"/>
          <w:b/>
        </w:rPr>
        <w:t xml:space="preserve">. </w:t>
      </w:r>
      <w:r w:rsidRPr="00BC7BB5">
        <w:rPr>
          <w:rFonts w:ascii="Times New Roman" w:hAnsi="Times New Roman" w:cs="Times New Roman"/>
        </w:rPr>
        <w:t>The main risk identified relates to the overall monitoring of the financial management system (planning, budgeting, reporting) resulting from the multiplicity of the entities (central directorates, provincial directorates, and agencies) under the responsibility of MAPMDREF.</w:t>
      </w:r>
    </w:p>
    <w:p w14:paraId="248B6B82" w14:textId="77777777" w:rsidR="000951A1" w:rsidRPr="00BC7BB5" w:rsidRDefault="000951A1" w:rsidP="000951A1">
      <w:pPr>
        <w:pStyle w:val="NoSpacing"/>
        <w:jc w:val="both"/>
        <w:rPr>
          <w:rFonts w:ascii="Times New Roman" w:hAnsi="Times New Roman" w:cs="Times New Roman"/>
          <w:color w:val="000000" w:themeColor="text1"/>
        </w:rPr>
      </w:pPr>
    </w:p>
    <w:p w14:paraId="13A81520" w14:textId="0E3CE92C" w:rsidR="000951A1" w:rsidRPr="00BC7BB5" w:rsidRDefault="000951A1" w:rsidP="00422BC8">
      <w:pPr>
        <w:pStyle w:val="ListParagraph"/>
        <w:numPr>
          <w:ilvl w:val="0"/>
          <w:numId w:val="15"/>
        </w:numPr>
        <w:autoSpaceDE w:val="0"/>
        <w:autoSpaceDN w:val="0"/>
        <w:adjustRightInd w:val="0"/>
        <w:spacing w:after="0" w:line="240" w:lineRule="auto"/>
        <w:ind w:left="0" w:firstLine="0"/>
        <w:jc w:val="both"/>
        <w:rPr>
          <w:rFonts w:ascii="Times New Roman" w:hAnsi="Times New Roman" w:cs="Times New Roman"/>
          <w:color w:val="000000" w:themeColor="text1"/>
        </w:rPr>
      </w:pPr>
      <w:r w:rsidRPr="00BC7BB5">
        <w:rPr>
          <w:rFonts w:ascii="Times New Roman" w:hAnsi="Times New Roman" w:cs="Times New Roman"/>
          <w:b/>
        </w:rPr>
        <w:t>Mitigation measures</w:t>
      </w:r>
      <w:r w:rsidRPr="00BC7BB5">
        <w:rPr>
          <w:rFonts w:ascii="Times New Roman" w:hAnsi="Times New Roman" w:cs="Times New Roman"/>
        </w:rPr>
        <w:t xml:space="preserve">. To mitigate the above-mentioned risks, MAPMDREF has anticipated the need for and intends to acquire and deploy an integrated financial management system. This major initiative would also increase the efficiency in the monitoring and the oversight of MAPMDREF’s work program and accountability. The Program’s </w:t>
      </w:r>
      <w:r w:rsidR="00E56A75" w:rsidRPr="00BC7BB5">
        <w:rPr>
          <w:rFonts w:ascii="Times New Roman" w:hAnsi="Times New Roman" w:cs="Times New Roman"/>
        </w:rPr>
        <w:t>Disbursement Linked Indicators list</w:t>
      </w:r>
      <w:r w:rsidRPr="00BC7BB5">
        <w:rPr>
          <w:rFonts w:ascii="Times New Roman" w:hAnsi="Times New Roman" w:cs="Times New Roman"/>
        </w:rPr>
        <w:t xml:space="preserve"> will include an indicator </w:t>
      </w:r>
      <w:r w:rsidR="00E56A75" w:rsidRPr="00BC7BB5">
        <w:rPr>
          <w:rFonts w:ascii="Times New Roman" w:hAnsi="Times New Roman" w:cs="Times New Roman"/>
        </w:rPr>
        <w:t xml:space="preserve">(DLI#8) </w:t>
      </w:r>
      <w:r w:rsidRPr="00BC7BB5">
        <w:rPr>
          <w:rFonts w:ascii="Times New Roman" w:hAnsi="Times New Roman" w:cs="Times New Roman"/>
        </w:rPr>
        <w:t>related to this important activity. Change management associated with this initiative will need to be considered and managed with due care. In addition, like for all information management systems, the risk of slippages in the installation of the new system will need to be properly managed, in addition to the need for interfaces with the existing systems.</w:t>
      </w:r>
    </w:p>
    <w:p w14:paraId="07E12A8A" w14:textId="77777777" w:rsidR="000951A1" w:rsidRPr="00BC7BB5" w:rsidRDefault="000951A1" w:rsidP="000951A1">
      <w:pPr>
        <w:pStyle w:val="ListParagraph"/>
        <w:autoSpaceDE w:val="0"/>
        <w:autoSpaceDN w:val="0"/>
        <w:adjustRightInd w:val="0"/>
        <w:spacing w:after="0" w:line="240" w:lineRule="auto"/>
        <w:ind w:left="0"/>
        <w:jc w:val="both"/>
        <w:rPr>
          <w:rFonts w:ascii="Times New Roman" w:hAnsi="Times New Roman" w:cs="Times New Roman"/>
        </w:rPr>
      </w:pPr>
    </w:p>
    <w:p w14:paraId="4CE6FD9A" w14:textId="71D5DE71" w:rsidR="00AD7B8F" w:rsidRPr="00A6265D" w:rsidRDefault="00A6265D" w:rsidP="00F561E8">
      <w:pPr>
        <w:pStyle w:val="NoSpacing"/>
        <w:numPr>
          <w:ilvl w:val="0"/>
          <w:numId w:val="31"/>
        </w:numPr>
        <w:ind w:left="0" w:firstLine="0"/>
        <w:rPr>
          <w:rFonts w:ascii="Times New Roman Bold" w:hAnsi="Times New Roman Bold" w:cs="Times New Roman"/>
          <w:b/>
          <w:smallCaps/>
        </w:rPr>
      </w:pPr>
      <w:r w:rsidRPr="00A6265D">
        <w:rPr>
          <w:rFonts w:ascii="Times New Roman Bold" w:hAnsi="Times New Roman Bold" w:cs="Times New Roman"/>
          <w:b/>
          <w:smallCaps/>
        </w:rPr>
        <w:t>Program Expenditure Framework</w:t>
      </w:r>
    </w:p>
    <w:p w14:paraId="13F8CC66" w14:textId="77777777" w:rsidR="00417CD0" w:rsidRPr="00BC7BB5" w:rsidRDefault="00417CD0" w:rsidP="00417CD0">
      <w:pPr>
        <w:spacing w:after="0" w:line="240" w:lineRule="auto"/>
        <w:jc w:val="both"/>
        <w:rPr>
          <w:rFonts w:ascii="Times New Roman" w:hAnsi="Times New Roman" w:cs="Times New Roman"/>
        </w:rPr>
      </w:pPr>
    </w:p>
    <w:p w14:paraId="5ACE3DF3" w14:textId="2A92EE0E" w:rsidR="00742B07" w:rsidRPr="00BC7BB5" w:rsidRDefault="00742B07" w:rsidP="00422BC8">
      <w:pPr>
        <w:pStyle w:val="ListParagraph"/>
        <w:numPr>
          <w:ilvl w:val="0"/>
          <w:numId w:val="15"/>
        </w:numPr>
        <w:autoSpaceDE w:val="0"/>
        <w:autoSpaceDN w:val="0"/>
        <w:adjustRightInd w:val="0"/>
        <w:spacing w:after="0" w:line="240" w:lineRule="auto"/>
        <w:ind w:left="0" w:firstLine="0"/>
        <w:jc w:val="both"/>
        <w:rPr>
          <w:rFonts w:ascii="Times New Roman" w:hAnsi="Times New Roman" w:cs="Times New Roman"/>
          <w:b/>
        </w:rPr>
      </w:pPr>
      <w:r w:rsidRPr="00BC7BB5">
        <w:rPr>
          <w:rFonts w:ascii="Times New Roman" w:hAnsi="Times New Roman" w:cs="Times New Roman"/>
        </w:rPr>
        <w:t xml:space="preserve">The Program </w:t>
      </w:r>
      <w:r w:rsidR="006F6961">
        <w:rPr>
          <w:rFonts w:ascii="Times New Roman" w:hAnsi="Times New Roman" w:cs="Times New Roman"/>
        </w:rPr>
        <w:t>e</w:t>
      </w:r>
      <w:r w:rsidRPr="00BC7BB5">
        <w:rPr>
          <w:rFonts w:ascii="Times New Roman" w:hAnsi="Times New Roman" w:cs="Times New Roman"/>
        </w:rPr>
        <w:t xml:space="preserve">xpenditure </w:t>
      </w:r>
      <w:r w:rsidR="006F6961">
        <w:rPr>
          <w:rFonts w:ascii="Times New Roman" w:hAnsi="Times New Roman" w:cs="Times New Roman"/>
        </w:rPr>
        <w:t>f</w:t>
      </w:r>
      <w:r w:rsidRPr="00BC7BB5">
        <w:rPr>
          <w:rFonts w:ascii="Times New Roman" w:hAnsi="Times New Roman" w:cs="Times New Roman"/>
        </w:rPr>
        <w:t>ramework (</w:t>
      </w:r>
      <w:r w:rsidR="006F6961">
        <w:rPr>
          <w:rFonts w:ascii="Times New Roman" w:hAnsi="Times New Roman" w:cs="Times New Roman"/>
        </w:rPr>
        <w:t>T</w:t>
      </w:r>
      <w:r w:rsidRPr="00BC7BB5">
        <w:rPr>
          <w:rFonts w:ascii="Times New Roman" w:hAnsi="Times New Roman" w:cs="Times New Roman"/>
        </w:rPr>
        <w:t xml:space="preserve">able </w:t>
      </w:r>
      <w:r w:rsidR="006F6961">
        <w:rPr>
          <w:rFonts w:ascii="Times New Roman" w:hAnsi="Times New Roman" w:cs="Times New Roman"/>
        </w:rPr>
        <w:t>A5.1</w:t>
      </w:r>
      <w:r w:rsidRPr="00BC7BB5">
        <w:rPr>
          <w:rFonts w:ascii="Times New Roman" w:hAnsi="Times New Roman" w:cs="Times New Roman"/>
        </w:rPr>
        <w:t>) will be reflected in MAPMDREF’s budget</w:t>
      </w:r>
      <w:r w:rsidR="00E527CD">
        <w:rPr>
          <w:rFonts w:ascii="Times New Roman" w:hAnsi="Times New Roman" w:cs="Times New Roman"/>
        </w:rPr>
        <w:t xml:space="preserve"> on an annual basis according to the Finance Law</w:t>
      </w:r>
      <w:r w:rsidRPr="00BC7BB5">
        <w:rPr>
          <w:rFonts w:ascii="Times New Roman" w:hAnsi="Times New Roman" w:cs="Times New Roman"/>
        </w:rPr>
        <w:t>. It will be grounded within the General Budget of the State (</w:t>
      </w:r>
      <w:r w:rsidRPr="00BC7BB5">
        <w:rPr>
          <w:rFonts w:ascii="Times New Roman" w:hAnsi="Times New Roman" w:cs="Times New Roman"/>
          <w:i/>
        </w:rPr>
        <w:t>Budget Général de l’Etat</w:t>
      </w:r>
      <w:r w:rsidRPr="00BC7BB5">
        <w:rPr>
          <w:rFonts w:ascii="Times New Roman" w:hAnsi="Times New Roman" w:cs="Times New Roman"/>
        </w:rPr>
        <w:t>) which alignment with Government priorities, classification, sustainability and predictability are assessed as more than adequate as per the 201</w:t>
      </w:r>
      <w:r w:rsidR="00FA3400">
        <w:rPr>
          <w:rFonts w:ascii="Times New Roman" w:hAnsi="Times New Roman" w:cs="Times New Roman"/>
        </w:rPr>
        <w:t>6</w:t>
      </w:r>
      <w:r w:rsidRPr="00BC7BB5">
        <w:rPr>
          <w:rFonts w:ascii="Times New Roman" w:hAnsi="Times New Roman" w:cs="Times New Roman"/>
        </w:rPr>
        <w:t xml:space="preserve"> PEFA. The Rabat wholesale market </w:t>
      </w:r>
      <w:r w:rsidR="00C20105">
        <w:rPr>
          <w:rFonts w:ascii="Times New Roman" w:hAnsi="Times New Roman" w:cs="Times New Roman"/>
        </w:rPr>
        <w:t>associated with the DLI 4</w:t>
      </w:r>
      <w:r w:rsidRPr="00BC7BB5">
        <w:rPr>
          <w:rFonts w:ascii="Times New Roman" w:hAnsi="Times New Roman" w:cs="Times New Roman"/>
        </w:rPr>
        <w:t xml:space="preserve"> of the Program</w:t>
      </w:r>
      <w:r w:rsidR="004A04EB" w:rsidRPr="00BC7BB5">
        <w:rPr>
          <w:rFonts w:ascii="Times New Roman" w:hAnsi="Times New Roman" w:cs="Times New Roman"/>
        </w:rPr>
        <w:t xml:space="preserve"> is the</w:t>
      </w:r>
      <w:r w:rsidRPr="00BC7BB5">
        <w:rPr>
          <w:rFonts w:ascii="Times New Roman" w:hAnsi="Times New Roman" w:cs="Times New Roman"/>
        </w:rPr>
        <w:t xml:space="preserve"> activity that could </w:t>
      </w:r>
      <w:r w:rsidR="004A04EB" w:rsidRPr="00BC7BB5">
        <w:rPr>
          <w:rFonts w:ascii="Times New Roman" w:hAnsi="Times New Roman" w:cs="Times New Roman"/>
        </w:rPr>
        <w:t xml:space="preserve">most </w:t>
      </w:r>
      <w:r w:rsidRPr="00BC7BB5">
        <w:rPr>
          <w:rFonts w:ascii="Times New Roman" w:hAnsi="Times New Roman" w:cs="Times New Roman"/>
        </w:rPr>
        <w:t xml:space="preserve">affect its execution. This activity entails land, legal and design </w:t>
      </w:r>
      <w:r w:rsidR="004A04EB" w:rsidRPr="00BC7BB5">
        <w:rPr>
          <w:rFonts w:ascii="Times New Roman" w:hAnsi="Times New Roman" w:cs="Times New Roman"/>
        </w:rPr>
        <w:t>risks</w:t>
      </w:r>
      <w:r w:rsidRPr="00BC7BB5">
        <w:rPr>
          <w:rFonts w:ascii="Times New Roman" w:hAnsi="Times New Roman" w:cs="Times New Roman"/>
        </w:rPr>
        <w:t>. Mitigation measures to address th</w:t>
      </w:r>
      <w:r w:rsidR="004A04EB" w:rsidRPr="00BC7BB5">
        <w:rPr>
          <w:rFonts w:ascii="Times New Roman" w:hAnsi="Times New Roman" w:cs="Times New Roman"/>
        </w:rPr>
        <w:t>ose</w:t>
      </w:r>
      <w:r w:rsidRPr="00BC7BB5">
        <w:rPr>
          <w:rFonts w:ascii="Times New Roman" w:hAnsi="Times New Roman" w:cs="Times New Roman"/>
        </w:rPr>
        <w:t xml:space="preserve"> risk</w:t>
      </w:r>
      <w:r w:rsidR="004A04EB" w:rsidRPr="00BC7BB5">
        <w:rPr>
          <w:rFonts w:ascii="Times New Roman" w:hAnsi="Times New Roman" w:cs="Times New Roman"/>
        </w:rPr>
        <w:t>s</w:t>
      </w:r>
      <w:r w:rsidRPr="00BC7BB5">
        <w:rPr>
          <w:rFonts w:ascii="Times New Roman" w:hAnsi="Times New Roman" w:cs="Times New Roman"/>
        </w:rPr>
        <w:t xml:space="preserve"> ha</w:t>
      </w:r>
      <w:r w:rsidR="004A04EB" w:rsidRPr="00BC7BB5">
        <w:rPr>
          <w:rFonts w:ascii="Times New Roman" w:hAnsi="Times New Roman" w:cs="Times New Roman"/>
        </w:rPr>
        <w:t>ve</w:t>
      </w:r>
      <w:r w:rsidRPr="00BC7BB5">
        <w:rPr>
          <w:rFonts w:ascii="Times New Roman" w:hAnsi="Times New Roman" w:cs="Times New Roman"/>
        </w:rPr>
        <w:t xml:space="preserve"> been incorporated in the Program’s design. The deployment of an integrated financial management system in MAPM</w:t>
      </w:r>
      <w:r w:rsidR="004A04EB" w:rsidRPr="00BC7BB5">
        <w:rPr>
          <w:rFonts w:ascii="Times New Roman" w:hAnsi="Times New Roman" w:cs="Times New Roman"/>
        </w:rPr>
        <w:t>DREF,</w:t>
      </w:r>
      <w:r w:rsidRPr="00BC7BB5">
        <w:rPr>
          <w:rFonts w:ascii="Times New Roman" w:hAnsi="Times New Roman" w:cs="Times New Roman"/>
        </w:rPr>
        <w:t xml:space="preserve"> included in the Program expenditure</w:t>
      </w:r>
      <w:r w:rsidR="004A04EB" w:rsidRPr="00BC7BB5">
        <w:rPr>
          <w:rFonts w:ascii="Times New Roman" w:hAnsi="Times New Roman" w:cs="Times New Roman"/>
        </w:rPr>
        <w:t>s,</w:t>
      </w:r>
      <w:r w:rsidRPr="00BC7BB5">
        <w:rPr>
          <w:rFonts w:ascii="Times New Roman" w:hAnsi="Times New Roman" w:cs="Times New Roman"/>
        </w:rPr>
        <w:t xml:space="preserve"> is a key activity aiming to improve its effectiveness and transparency.</w:t>
      </w:r>
    </w:p>
    <w:p w14:paraId="352B8851" w14:textId="59CFB2E1" w:rsidR="00742B07" w:rsidRPr="00BC7BB5" w:rsidRDefault="00742B07" w:rsidP="00742B07">
      <w:pPr>
        <w:pStyle w:val="Attachmenttitle"/>
      </w:pPr>
    </w:p>
    <w:p w14:paraId="32076F8B" w14:textId="77777777" w:rsidR="00A6265D" w:rsidRDefault="00A6265D" w:rsidP="00742B07">
      <w:pPr>
        <w:pStyle w:val="Attachmenttitle"/>
        <w:jc w:val="center"/>
        <w:rPr>
          <w:sz w:val="22"/>
          <w:szCs w:val="22"/>
        </w:rPr>
      </w:pPr>
    </w:p>
    <w:p w14:paraId="10EF21C8" w14:textId="77777777" w:rsidR="00A6265D" w:rsidRDefault="00A6265D" w:rsidP="00742B07">
      <w:pPr>
        <w:pStyle w:val="Attachmenttitle"/>
        <w:jc w:val="center"/>
        <w:rPr>
          <w:sz w:val="22"/>
          <w:szCs w:val="22"/>
        </w:rPr>
      </w:pPr>
    </w:p>
    <w:p w14:paraId="7B7A0CED" w14:textId="77777777" w:rsidR="00C20105" w:rsidRDefault="00C20105">
      <w:pPr>
        <w:rPr>
          <w:rFonts w:ascii="Times New Roman" w:eastAsia="Times New Roman" w:hAnsi="Times New Roman" w:cs="Times New Roman"/>
          <w:b/>
          <w:spacing w:val="4"/>
        </w:rPr>
      </w:pPr>
      <w:r>
        <w:br w:type="page"/>
      </w:r>
    </w:p>
    <w:p w14:paraId="100E4300" w14:textId="4B00DF0F" w:rsidR="00742B07" w:rsidRPr="00BC7BB5" w:rsidRDefault="00742B07" w:rsidP="00742B07">
      <w:pPr>
        <w:pStyle w:val="Attachmenttitle"/>
        <w:jc w:val="center"/>
        <w:rPr>
          <w:sz w:val="22"/>
          <w:szCs w:val="22"/>
        </w:rPr>
      </w:pPr>
      <w:r w:rsidRPr="00BC7BB5">
        <w:rPr>
          <w:sz w:val="22"/>
          <w:szCs w:val="22"/>
        </w:rPr>
        <w:lastRenderedPageBreak/>
        <w:t>Table A5.1</w:t>
      </w:r>
      <w:r w:rsidR="00796272">
        <w:rPr>
          <w:sz w:val="22"/>
          <w:szCs w:val="22"/>
        </w:rPr>
        <w:t>.</w:t>
      </w:r>
      <w:r w:rsidR="00796272" w:rsidRPr="00BC7BB5">
        <w:rPr>
          <w:sz w:val="22"/>
          <w:szCs w:val="22"/>
        </w:rPr>
        <w:t xml:space="preserve"> </w:t>
      </w:r>
      <w:r w:rsidRPr="00BC7BB5">
        <w:rPr>
          <w:sz w:val="22"/>
          <w:szCs w:val="22"/>
        </w:rPr>
        <w:t>Program Expenditure Framework</w:t>
      </w:r>
    </w:p>
    <w:tbl>
      <w:tblPr>
        <w:tblW w:w="5000" w:type="pct"/>
        <w:tblLook w:val="04A0" w:firstRow="1" w:lastRow="0" w:firstColumn="1" w:lastColumn="0" w:noHBand="0" w:noVBand="1"/>
      </w:tblPr>
      <w:tblGrid>
        <w:gridCol w:w="2520"/>
        <w:gridCol w:w="920"/>
        <w:gridCol w:w="433"/>
        <w:gridCol w:w="183"/>
        <w:gridCol w:w="751"/>
        <w:gridCol w:w="856"/>
        <w:gridCol w:w="34"/>
        <w:gridCol w:w="597"/>
        <w:gridCol w:w="178"/>
        <w:gridCol w:w="471"/>
        <w:gridCol w:w="591"/>
        <w:gridCol w:w="345"/>
        <w:gridCol w:w="728"/>
        <w:gridCol w:w="753"/>
      </w:tblGrid>
      <w:tr w:rsidR="00395C56" w:rsidRPr="00B326CC" w14:paraId="0BC94D64" w14:textId="77777777" w:rsidTr="00A6265D">
        <w:trPr>
          <w:trHeight w:val="970"/>
        </w:trPr>
        <w:tc>
          <w:tcPr>
            <w:tcW w:w="1889" w:type="pct"/>
            <w:gridSpan w:val="2"/>
            <w:tcBorders>
              <w:top w:val="nil"/>
              <w:left w:val="nil"/>
              <w:bottom w:val="nil"/>
              <w:right w:val="nil"/>
            </w:tcBorders>
            <w:shd w:val="clear" w:color="000000" w:fill="E7E6E6"/>
            <w:vAlign w:val="center"/>
            <w:hideMark/>
          </w:tcPr>
          <w:p w14:paraId="6CF9FB83" w14:textId="77777777" w:rsidR="00395C56" w:rsidRPr="00B326CC" w:rsidRDefault="00395C56" w:rsidP="00572FDE">
            <w:pPr>
              <w:spacing w:after="0" w:line="240" w:lineRule="auto"/>
              <w:rPr>
                <w:rFonts w:ascii="Times New Roman" w:eastAsia="Times New Roman" w:hAnsi="Times New Roman" w:cs="Times New Roman"/>
                <w:b/>
                <w:bCs/>
                <w:color w:val="000000"/>
                <w:sz w:val="20"/>
                <w:szCs w:val="20"/>
              </w:rPr>
            </w:pPr>
            <w:r w:rsidRPr="00B326CC">
              <w:rPr>
                <w:rFonts w:ascii="Times New Roman" w:eastAsia="Times New Roman" w:hAnsi="Times New Roman" w:cs="Times New Roman"/>
                <w:b/>
                <w:bCs/>
                <w:color w:val="000000"/>
                <w:sz w:val="20"/>
                <w:szCs w:val="20"/>
              </w:rPr>
              <w:t> </w:t>
            </w:r>
          </w:p>
        </w:tc>
        <w:tc>
          <w:tcPr>
            <w:tcW w:w="362" w:type="pct"/>
            <w:gridSpan w:val="2"/>
            <w:tcBorders>
              <w:top w:val="nil"/>
              <w:left w:val="nil"/>
              <w:bottom w:val="nil"/>
              <w:right w:val="nil"/>
            </w:tcBorders>
            <w:shd w:val="clear" w:color="000000" w:fill="E7E6E6"/>
            <w:vAlign w:val="center"/>
            <w:hideMark/>
          </w:tcPr>
          <w:p w14:paraId="4D32B4D8" w14:textId="77777777" w:rsidR="00395C56" w:rsidRPr="00B326CC" w:rsidRDefault="00395C56" w:rsidP="00572FDE">
            <w:pPr>
              <w:spacing w:after="0" w:line="240" w:lineRule="auto"/>
              <w:jc w:val="right"/>
              <w:rPr>
                <w:rFonts w:ascii="Times New Roman" w:eastAsia="Times New Roman" w:hAnsi="Times New Roman" w:cs="Times New Roman"/>
                <w:color w:val="000000"/>
                <w:sz w:val="20"/>
                <w:szCs w:val="20"/>
              </w:rPr>
            </w:pPr>
            <w:r w:rsidRPr="00B326CC">
              <w:rPr>
                <w:rFonts w:ascii="Times New Roman" w:eastAsia="Times New Roman" w:hAnsi="Times New Roman" w:cs="Times New Roman"/>
                <w:color w:val="000000"/>
                <w:sz w:val="20"/>
                <w:szCs w:val="20"/>
              </w:rPr>
              <w:t>2018</w:t>
            </w:r>
          </w:p>
        </w:tc>
        <w:tc>
          <w:tcPr>
            <w:tcW w:w="400" w:type="pct"/>
            <w:tcBorders>
              <w:top w:val="nil"/>
              <w:left w:val="nil"/>
              <w:bottom w:val="nil"/>
              <w:right w:val="nil"/>
            </w:tcBorders>
            <w:shd w:val="clear" w:color="000000" w:fill="E7E6E6"/>
            <w:vAlign w:val="center"/>
            <w:hideMark/>
          </w:tcPr>
          <w:p w14:paraId="2D509DCF" w14:textId="77777777" w:rsidR="00395C56" w:rsidRPr="00B326CC" w:rsidRDefault="00395C56" w:rsidP="00572FDE">
            <w:pPr>
              <w:spacing w:after="0" w:line="240" w:lineRule="auto"/>
              <w:jc w:val="right"/>
              <w:rPr>
                <w:rFonts w:ascii="Times New Roman" w:eastAsia="Times New Roman" w:hAnsi="Times New Roman" w:cs="Times New Roman"/>
                <w:color w:val="000000"/>
                <w:sz w:val="20"/>
                <w:szCs w:val="20"/>
              </w:rPr>
            </w:pPr>
            <w:r w:rsidRPr="00B326CC">
              <w:rPr>
                <w:rFonts w:ascii="Times New Roman" w:eastAsia="Times New Roman" w:hAnsi="Times New Roman" w:cs="Times New Roman"/>
                <w:color w:val="000000"/>
                <w:sz w:val="20"/>
                <w:szCs w:val="20"/>
              </w:rPr>
              <w:t>2019</w:t>
            </w:r>
          </w:p>
        </w:tc>
        <w:tc>
          <w:tcPr>
            <w:tcW w:w="355" w:type="pct"/>
            <w:tcBorders>
              <w:top w:val="nil"/>
              <w:left w:val="nil"/>
              <w:bottom w:val="nil"/>
              <w:right w:val="nil"/>
            </w:tcBorders>
            <w:shd w:val="clear" w:color="000000" w:fill="E7E6E6"/>
            <w:vAlign w:val="center"/>
            <w:hideMark/>
          </w:tcPr>
          <w:p w14:paraId="08C2D1CA" w14:textId="77777777" w:rsidR="00395C56" w:rsidRPr="00B326CC" w:rsidRDefault="00395C56" w:rsidP="00572FDE">
            <w:pPr>
              <w:spacing w:after="0" w:line="240" w:lineRule="auto"/>
              <w:jc w:val="right"/>
              <w:rPr>
                <w:rFonts w:ascii="Times New Roman" w:eastAsia="Times New Roman" w:hAnsi="Times New Roman" w:cs="Times New Roman"/>
                <w:color w:val="000000"/>
                <w:sz w:val="20"/>
                <w:szCs w:val="20"/>
              </w:rPr>
            </w:pPr>
            <w:r w:rsidRPr="00B326CC">
              <w:rPr>
                <w:rFonts w:ascii="Times New Roman" w:eastAsia="Times New Roman" w:hAnsi="Times New Roman" w:cs="Times New Roman"/>
                <w:color w:val="000000"/>
                <w:sz w:val="20"/>
                <w:szCs w:val="20"/>
              </w:rPr>
              <w:t>2020</w:t>
            </w:r>
          </w:p>
        </w:tc>
        <w:tc>
          <w:tcPr>
            <w:tcW w:w="364" w:type="pct"/>
            <w:gridSpan w:val="2"/>
            <w:tcBorders>
              <w:top w:val="nil"/>
              <w:left w:val="nil"/>
              <w:bottom w:val="nil"/>
              <w:right w:val="nil"/>
            </w:tcBorders>
            <w:shd w:val="clear" w:color="000000" w:fill="E7E6E6"/>
            <w:vAlign w:val="center"/>
            <w:hideMark/>
          </w:tcPr>
          <w:p w14:paraId="34F6DFB7" w14:textId="77777777" w:rsidR="00395C56" w:rsidRPr="00B326CC" w:rsidRDefault="00395C56" w:rsidP="00572FDE">
            <w:pPr>
              <w:spacing w:after="0" w:line="240" w:lineRule="auto"/>
              <w:jc w:val="right"/>
              <w:rPr>
                <w:rFonts w:ascii="Times New Roman" w:eastAsia="Times New Roman" w:hAnsi="Times New Roman" w:cs="Times New Roman"/>
                <w:color w:val="000000"/>
                <w:sz w:val="20"/>
                <w:szCs w:val="20"/>
              </w:rPr>
            </w:pPr>
            <w:r w:rsidRPr="00B326CC">
              <w:rPr>
                <w:rFonts w:ascii="Times New Roman" w:eastAsia="Times New Roman" w:hAnsi="Times New Roman" w:cs="Times New Roman"/>
                <w:color w:val="000000"/>
                <w:sz w:val="20"/>
                <w:szCs w:val="20"/>
              </w:rPr>
              <w:t>2021</w:t>
            </w:r>
          </w:p>
        </w:tc>
        <w:tc>
          <w:tcPr>
            <w:tcW w:w="306" w:type="pct"/>
            <w:gridSpan w:val="2"/>
            <w:tcBorders>
              <w:top w:val="nil"/>
              <w:left w:val="nil"/>
              <w:bottom w:val="nil"/>
              <w:right w:val="nil"/>
            </w:tcBorders>
            <w:shd w:val="clear" w:color="000000" w:fill="E7E6E6"/>
            <w:vAlign w:val="center"/>
            <w:hideMark/>
          </w:tcPr>
          <w:p w14:paraId="7DF14532" w14:textId="77777777" w:rsidR="00395C56" w:rsidRPr="00B326CC" w:rsidRDefault="00395C56" w:rsidP="00572FDE">
            <w:pPr>
              <w:spacing w:after="0" w:line="240" w:lineRule="auto"/>
              <w:jc w:val="right"/>
              <w:rPr>
                <w:rFonts w:ascii="Times New Roman" w:eastAsia="Times New Roman" w:hAnsi="Times New Roman" w:cs="Times New Roman"/>
                <w:color w:val="000000"/>
                <w:sz w:val="20"/>
                <w:szCs w:val="20"/>
              </w:rPr>
            </w:pPr>
            <w:r w:rsidRPr="00B326CC">
              <w:rPr>
                <w:rFonts w:ascii="Times New Roman" w:eastAsia="Times New Roman" w:hAnsi="Times New Roman" w:cs="Times New Roman"/>
                <w:color w:val="000000"/>
                <w:sz w:val="20"/>
                <w:szCs w:val="20"/>
              </w:rPr>
              <w:t>2022</w:t>
            </w:r>
          </w:p>
        </w:tc>
        <w:tc>
          <w:tcPr>
            <w:tcW w:w="440" w:type="pct"/>
            <w:gridSpan w:val="2"/>
            <w:tcBorders>
              <w:top w:val="nil"/>
              <w:left w:val="nil"/>
              <w:bottom w:val="nil"/>
              <w:right w:val="nil"/>
            </w:tcBorders>
            <w:shd w:val="clear" w:color="000000" w:fill="E7E6E6"/>
            <w:vAlign w:val="center"/>
            <w:hideMark/>
          </w:tcPr>
          <w:p w14:paraId="2BF88793" w14:textId="77777777" w:rsidR="00395C56" w:rsidRPr="00B326CC" w:rsidRDefault="00395C56" w:rsidP="00572FDE">
            <w:pPr>
              <w:spacing w:after="0" w:line="240" w:lineRule="auto"/>
              <w:jc w:val="right"/>
              <w:rPr>
                <w:rFonts w:ascii="Times New Roman" w:eastAsia="Times New Roman" w:hAnsi="Times New Roman" w:cs="Times New Roman"/>
                <w:color w:val="000000"/>
                <w:sz w:val="20"/>
                <w:szCs w:val="20"/>
              </w:rPr>
            </w:pPr>
            <w:r w:rsidRPr="00B326CC">
              <w:rPr>
                <w:rFonts w:ascii="Times New Roman" w:eastAsia="Times New Roman" w:hAnsi="Times New Roman" w:cs="Times New Roman"/>
                <w:color w:val="000000"/>
                <w:sz w:val="20"/>
                <w:szCs w:val="20"/>
              </w:rPr>
              <w:t>Total MADm</w:t>
            </w:r>
          </w:p>
        </w:tc>
        <w:tc>
          <w:tcPr>
            <w:tcW w:w="398" w:type="pct"/>
            <w:tcBorders>
              <w:top w:val="nil"/>
              <w:left w:val="nil"/>
              <w:bottom w:val="nil"/>
              <w:right w:val="nil"/>
            </w:tcBorders>
            <w:shd w:val="clear" w:color="000000" w:fill="E7E6E6"/>
            <w:vAlign w:val="center"/>
            <w:hideMark/>
          </w:tcPr>
          <w:p w14:paraId="7875E858" w14:textId="4928AB9B" w:rsidR="00395C56" w:rsidRPr="00B326CC" w:rsidRDefault="00395C56" w:rsidP="00572FDE">
            <w:pPr>
              <w:spacing w:after="0" w:line="240" w:lineRule="auto"/>
              <w:jc w:val="right"/>
              <w:rPr>
                <w:rFonts w:ascii="Times New Roman" w:eastAsia="Times New Roman" w:hAnsi="Times New Roman" w:cs="Times New Roman"/>
                <w:color w:val="000000"/>
                <w:sz w:val="20"/>
                <w:szCs w:val="20"/>
              </w:rPr>
            </w:pPr>
            <w:r w:rsidRPr="00B326CC">
              <w:rPr>
                <w:rFonts w:ascii="Times New Roman" w:eastAsia="Times New Roman" w:hAnsi="Times New Roman" w:cs="Times New Roman"/>
                <w:color w:val="000000"/>
                <w:sz w:val="20"/>
                <w:szCs w:val="20"/>
              </w:rPr>
              <w:t xml:space="preserve">Total </w:t>
            </w:r>
            <w:r w:rsidR="00796272" w:rsidRPr="00B326CC">
              <w:rPr>
                <w:rFonts w:ascii="Times New Roman" w:eastAsia="Times New Roman" w:hAnsi="Times New Roman" w:cs="Times New Roman"/>
                <w:color w:val="000000"/>
                <w:sz w:val="20"/>
                <w:szCs w:val="20"/>
              </w:rPr>
              <w:t>US</w:t>
            </w:r>
            <w:r w:rsidR="00796272">
              <w:rPr>
                <w:rFonts w:ascii="Times New Roman" w:eastAsia="Times New Roman" w:hAnsi="Times New Roman" w:cs="Times New Roman"/>
                <w:color w:val="000000"/>
                <w:sz w:val="20"/>
                <w:szCs w:val="20"/>
              </w:rPr>
              <w:t>$</w:t>
            </w:r>
            <w:r w:rsidR="00796272" w:rsidRPr="00B326CC">
              <w:rPr>
                <w:rFonts w:ascii="Times New Roman" w:eastAsia="Times New Roman" w:hAnsi="Times New Roman" w:cs="Times New Roman"/>
                <w:color w:val="000000"/>
                <w:sz w:val="20"/>
                <w:szCs w:val="20"/>
              </w:rPr>
              <w:t>m</w:t>
            </w:r>
          </w:p>
        </w:tc>
        <w:tc>
          <w:tcPr>
            <w:tcW w:w="487" w:type="pct"/>
            <w:tcBorders>
              <w:top w:val="nil"/>
              <w:left w:val="nil"/>
              <w:bottom w:val="nil"/>
              <w:right w:val="nil"/>
            </w:tcBorders>
            <w:shd w:val="clear" w:color="000000" w:fill="E7E6E6"/>
            <w:vAlign w:val="center"/>
          </w:tcPr>
          <w:p w14:paraId="5E5F5EEB" w14:textId="266E9FF5" w:rsidR="00395C56" w:rsidRPr="00B326CC" w:rsidRDefault="00395C56" w:rsidP="00572FDE">
            <w:pPr>
              <w:spacing w:after="0" w:line="240" w:lineRule="auto"/>
              <w:jc w:val="right"/>
              <w:rPr>
                <w:rFonts w:ascii="Times New Roman" w:eastAsia="Times New Roman" w:hAnsi="Times New Roman" w:cs="Times New Roman"/>
                <w:color w:val="000000"/>
                <w:sz w:val="20"/>
                <w:szCs w:val="20"/>
              </w:rPr>
            </w:pPr>
          </w:p>
        </w:tc>
      </w:tr>
      <w:tr w:rsidR="00395C56" w:rsidRPr="00B326CC" w14:paraId="7795DA7B" w14:textId="77777777" w:rsidTr="00A6265D">
        <w:trPr>
          <w:trHeight w:val="310"/>
        </w:trPr>
        <w:tc>
          <w:tcPr>
            <w:tcW w:w="1889" w:type="pct"/>
            <w:gridSpan w:val="2"/>
            <w:tcBorders>
              <w:top w:val="nil"/>
              <w:left w:val="nil"/>
              <w:bottom w:val="single" w:sz="4" w:space="0" w:color="auto"/>
              <w:right w:val="nil"/>
            </w:tcBorders>
            <w:shd w:val="clear" w:color="auto" w:fill="auto"/>
            <w:vAlign w:val="center"/>
            <w:hideMark/>
          </w:tcPr>
          <w:p w14:paraId="44AABE02" w14:textId="1EDB29AB" w:rsidR="00395C56" w:rsidRPr="00B326CC" w:rsidRDefault="00395C56" w:rsidP="00572FDE">
            <w:pPr>
              <w:spacing w:after="0" w:line="240" w:lineRule="auto"/>
              <w:rPr>
                <w:rFonts w:ascii="Times New Roman" w:eastAsia="Times New Roman" w:hAnsi="Times New Roman" w:cs="Times New Roman"/>
                <w:b/>
                <w:bCs/>
                <w:color w:val="000000"/>
                <w:sz w:val="20"/>
                <w:szCs w:val="20"/>
              </w:rPr>
            </w:pPr>
            <w:r w:rsidRPr="00B326CC">
              <w:rPr>
                <w:rFonts w:ascii="Times New Roman" w:eastAsia="Times New Roman" w:hAnsi="Times New Roman" w:cs="Times New Roman"/>
                <w:b/>
                <w:bCs/>
                <w:color w:val="000000"/>
                <w:sz w:val="20"/>
                <w:szCs w:val="20"/>
              </w:rPr>
              <w:t>National Program expenditure</w:t>
            </w:r>
          </w:p>
        </w:tc>
        <w:tc>
          <w:tcPr>
            <w:tcW w:w="362" w:type="pct"/>
            <w:gridSpan w:val="2"/>
            <w:tcBorders>
              <w:top w:val="nil"/>
              <w:left w:val="nil"/>
              <w:bottom w:val="single" w:sz="4" w:space="0" w:color="auto"/>
              <w:right w:val="nil"/>
            </w:tcBorders>
            <w:shd w:val="clear" w:color="auto" w:fill="auto"/>
            <w:vAlign w:val="center"/>
            <w:hideMark/>
          </w:tcPr>
          <w:p w14:paraId="654833E8" w14:textId="5412E3D7" w:rsidR="00395C56" w:rsidRPr="00B326CC" w:rsidRDefault="0041077F" w:rsidP="00572FDE">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831</w:t>
            </w:r>
          </w:p>
        </w:tc>
        <w:tc>
          <w:tcPr>
            <w:tcW w:w="400" w:type="pct"/>
            <w:tcBorders>
              <w:top w:val="nil"/>
              <w:left w:val="nil"/>
              <w:bottom w:val="single" w:sz="4" w:space="0" w:color="auto"/>
              <w:right w:val="nil"/>
            </w:tcBorders>
            <w:shd w:val="clear" w:color="auto" w:fill="auto"/>
            <w:vAlign w:val="center"/>
            <w:hideMark/>
          </w:tcPr>
          <w:p w14:paraId="1DFC3BAD" w14:textId="21036CEB" w:rsidR="00395C56" w:rsidRPr="00B326CC" w:rsidRDefault="0041077F" w:rsidP="00572FDE">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92</w:t>
            </w:r>
            <w:r w:rsidR="00A06FFF">
              <w:rPr>
                <w:rFonts w:ascii="Times New Roman" w:eastAsia="Times New Roman" w:hAnsi="Times New Roman" w:cs="Times New Roman"/>
                <w:sz w:val="20"/>
                <w:szCs w:val="20"/>
              </w:rPr>
              <w:t>4</w:t>
            </w:r>
          </w:p>
        </w:tc>
        <w:tc>
          <w:tcPr>
            <w:tcW w:w="355" w:type="pct"/>
            <w:tcBorders>
              <w:top w:val="nil"/>
              <w:left w:val="nil"/>
              <w:bottom w:val="single" w:sz="4" w:space="0" w:color="auto"/>
              <w:right w:val="nil"/>
            </w:tcBorders>
            <w:shd w:val="clear" w:color="auto" w:fill="auto"/>
            <w:vAlign w:val="center"/>
            <w:hideMark/>
          </w:tcPr>
          <w:p w14:paraId="708A2101" w14:textId="642A06CF" w:rsidR="00395C56" w:rsidRPr="00B326CC" w:rsidRDefault="0041077F" w:rsidP="00572FDE">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9</w:t>
            </w:r>
            <w:r w:rsidR="00A06FFF">
              <w:rPr>
                <w:rFonts w:ascii="Times New Roman" w:eastAsia="Times New Roman" w:hAnsi="Times New Roman" w:cs="Times New Roman"/>
                <w:sz w:val="20"/>
                <w:szCs w:val="20"/>
              </w:rPr>
              <w:t>15</w:t>
            </w:r>
          </w:p>
        </w:tc>
        <w:tc>
          <w:tcPr>
            <w:tcW w:w="364" w:type="pct"/>
            <w:gridSpan w:val="2"/>
            <w:tcBorders>
              <w:top w:val="nil"/>
              <w:left w:val="nil"/>
              <w:bottom w:val="single" w:sz="4" w:space="0" w:color="auto"/>
              <w:right w:val="nil"/>
            </w:tcBorders>
            <w:shd w:val="clear" w:color="auto" w:fill="auto"/>
            <w:vAlign w:val="center"/>
            <w:hideMark/>
          </w:tcPr>
          <w:p w14:paraId="7E21164D" w14:textId="2050E90E" w:rsidR="00395C56" w:rsidRPr="00B326CC" w:rsidRDefault="00395C56" w:rsidP="00572FDE">
            <w:pPr>
              <w:spacing w:after="0" w:line="240" w:lineRule="auto"/>
              <w:jc w:val="right"/>
              <w:rPr>
                <w:rFonts w:ascii="Times New Roman" w:eastAsia="Times New Roman" w:hAnsi="Times New Roman" w:cs="Times New Roman"/>
                <w:sz w:val="20"/>
                <w:szCs w:val="20"/>
              </w:rPr>
            </w:pPr>
            <w:r w:rsidRPr="00B326CC">
              <w:rPr>
                <w:rFonts w:ascii="Times New Roman" w:eastAsia="Times New Roman" w:hAnsi="Times New Roman" w:cs="Times New Roman"/>
                <w:sz w:val="20"/>
                <w:szCs w:val="20"/>
              </w:rPr>
              <w:t>79</w:t>
            </w:r>
            <w:r w:rsidR="00A06FFF">
              <w:rPr>
                <w:rFonts w:ascii="Times New Roman" w:eastAsia="Times New Roman" w:hAnsi="Times New Roman" w:cs="Times New Roman"/>
                <w:sz w:val="20"/>
                <w:szCs w:val="20"/>
              </w:rPr>
              <w:t>7</w:t>
            </w:r>
          </w:p>
        </w:tc>
        <w:tc>
          <w:tcPr>
            <w:tcW w:w="306" w:type="pct"/>
            <w:gridSpan w:val="2"/>
            <w:tcBorders>
              <w:top w:val="nil"/>
              <w:left w:val="nil"/>
              <w:bottom w:val="single" w:sz="4" w:space="0" w:color="auto"/>
              <w:right w:val="nil"/>
            </w:tcBorders>
            <w:shd w:val="clear" w:color="auto" w:fill="auto"/>
            <w:vAlign w:val="center"/>
            <w:hideMark/>
          </w:tcPr>
          <w:p w14:paraId="56617A63" w14:textId="377FCE8E" w:rsidR="00395C56" w:rsidRPr="00B326CC" w:rsidRDefault="00395C56" w:rsidP="00572FDE">
            <w:pPr>
              <w:spacing w:after="0" w:line="240" w:lineRule="auto"/>
              <w:jc w:val="right"/>
              <w:rPr>
                <w:rFonts w:ascii="Times New Roman" w:eastAsia="Times New Roman" w:hAnsi="Times New Roman" w:cs="Times New Roman"/>
                <w:sz w:val="20"/>
                <w:szCs w:val="20"/>
              </w:rPr>
            </w:pPr>
            <w:r w:rsidRPr="00B326CC">
              <w:rPr>
                <w:rFonts w:ascii="Times New Roman" w:eastAsia="Times New Roman" w:hAnsi="Times New Roman" w:cs="Times New Roman"/>
                <w:sz w:val="20"/>
                <w:szCs w:val="20"/>
              </w:rPr>
              <w:t>7</w:t>
            </w:r>
            <w:r w:rsidR="00A06FFF">
              <w:rPr>
                <w:rFonts w:ascii="Times New Roman" w:eastAsia="Times New Roman" w:hAnsi="Times New Roman" w:cs="Times New Roman"/>
                <w:sz w:val="20"/>
                <w:szCs w:val="20"/>
              </w:rPr>
              <w:t>70</w:t>
            </w:r>
          </w:p>
        </w:tc>
        <w:tc>
          <w:tcPr>
            <w:tcW w:w="440" w:type="pct"/>
            <w:gridSpan w:val="2"/>
            <w:tcBorders>
              <w:top w:val="nil"/>
              <w:left w:val="nil"/>
              <w:bottom w:val="single" w:sz="4" w:space="0" w:color="auto"/>
              <w:right w:val="nil"/>
            </w:tcBorders>
            <w:shd w:val="clear" w:color="auto" w:fill="auto"/>
            <w:vAlign w:val="center"/>
            <w:hideMark/>
          </w:tcPr>
          <w:p w14:paraId="74A10FE3" w14:textId="09C5EFA1" w:rsidR="00395C56" w:rsidRPr="00B326CC" w:rsidRDefault="00A06FFF" w:rsidP="00572FDE">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3837</w:t>
            </w:r>
          </w:p>
        </w:tc>
        <w:tc>
          <w:tcPr>
            <w:tcW w:w="398" w:type="pct"/>
            <w:tcBorders>
              <w:top w:val="nil"/>
              <w:left w:val="nil"/>
              <w:bottom w:val="single" w:sz="4" w:space="0" w:color="auto"/>
              <w:right w:val="nil"/>
            </w:tcBorders>
            <w:shd w:val="clear" w:color="auto" w:fill="auto"/>
            <w:vAlign w:val="center"/>
            <w:hideMark/>
          </w:tcPr>
          <w:p w14:paraId="61EB7531" w14:textId="24FA7061" w:rsidR="00395C56" w:rsidRPr="00B326CC" w:rsidRDefault="0041077F" w:rsidP="00572FDE">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450</w:t>
            </w:r>
          </w:p>
        </w:tc>
        <w:tc>
          <w:tcPr>
            <w:tcW w:w="487" w:type="pct"/>
            <w:tcBorders>
              <w:top w:val="nil"/>
              <w:left w:val="nil"/>
              <w:bottom w:val="single" w:sz="4" w:space="0" w:color="auto"/>
              <w:right w:val="nil"/>
            </w:tcBorders>
            <w:shd w:val="clear" w:color="auto" w:fill="auto"/>
            <w:vAlign w:val="center"/>
          </w:tcPr>
          <w:p w14:paraId="20FBD136" w14:textId="7CFB3A97" w:rsidR="00395C56" w:rsidRPr="00B326CC" w:rsidRDefault="00395C56" w:rsidP="00572FDE">
            <w:pPr>
              <w:spacing w:after="0" w:line="240" w:lineRule="auto"/>
              <w:jc w:val="right"/>
              <w:rPr>
                <w:rFonts w:ascii="Times New Roman" w:eastAsia="Times New Roman" w:hAnsi="Times New Roman" w:cs="Times New Roman"/>
                <w:sz w:val="20"/>
                <w:szCs w:val="20"/>
              </w:rPr>
            </w:pPr>
          </w:p>
        </w:tc>
      </w:tr>
      <w:tr w:rsidR="00395C56" w:rsidRPr="00B326CC" w14:paraId="5E78104C" w14:textId="77777777" w:rsidTr="00A6265D">
        <w:trPr>
          <w:trHeight w:val="260"/>
        </w:trPr>
        <w:tc>
          <w:tcPr>
            <w:tcW w:w="1889" w:type="pct"/>
            <w:gridSpan w:val="2"/>
            <w:tcBorders>
              <w:top w:val="nil"/>
              <w:left w:val="nil"/>
              <w:bottom w:val="single" w:sz="4" w:space="0" w:color="auto"/>
              <w:right w:val="nil"/>
            </w:tcBorders>
            <w:shd w:val="clear" w:color="auto" w:fill="auto"/>
            <w:vAlign w:val="center"/>
            <w:hideMark/>
          </w:tcPr>
          <w:p w14:paraId="4AEBA708" w14:textId="77777777" w:rsidR="00395C56" w:rsidRPr="00B326CC" w:rsidRDefault="00395C56" w:rsidP="00572FDE">
            <w:pPr>
              <w:spacing w:after="0" w:line="240" w:lineRule="auto"/>
              <w:rPr>
                <w:rFonts w:ascii="Times New Roman" w:eastAsia="Times New Roman" w:hAnsi="Times New Roman" w:cs="Times New Roman"/>
                <w:b/>
                <w:bCs/>
                <w:color w:val="000000"/>
                <w:sz w:val="20"/>
                <w:szCs w:val="20"/>
              </w:rPr>
            </w:pPr>
            <w:r w:rsidRPr="00B326CC">
              <w:rPr>
                <w:rFonts w:ascii="Times New Roman" w:eastAsia="Times New Roman" w:hAnsi="Times New Roman" w:cs="Times New Roman"/>
                <w:b/>
                <w:bCs/>
                <w:color w:val="000000"/>
                <w:sz w:val="20"/>
                <w:szCs w:val="20"/>
              </w:rPr>
              <w:t>Result area 1</w:t>
            </w:r>
          </w:p>
        </w:tc>
        <w:tc>
          <w:tcPr>
            <w:tcW w:w="362" w:type="pct"/>
            <w:gridSpan w:val="2"/>
            <w:tcBorders>
              <w:top w:val="nil"/>
              <w:left w:val="nil"/>
              <w:bottom w:val="single" w:sz="4" w:space="0" w:color="auto"/>
              <w:right w:val="nil"/>
            </w:tcBorders>
            <w:shd w:val="clear" w:color="auto" w:fill="auto"/>
            <w:vAlign w:val="center"/>
            <w:hideMark/>
          </w:tcPr>
          <w:p w14:paraId="4D73AB9B" w14:textId="58D150D2" w:rsidR="00395C56" w:rsidRPr="00B326CC" w:rsidRDefault="0041077F" w:rsidP="00572FDE">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368</w:t>
            </w:r>
          </w:p>
        </w:tc>
        <w:tc>
          <w:tcPr>
            <w:tcW w:w="400" w:type="pct"/>
            <w:tcBorders>
              <w:top w:val="nil"/>
              <w:left w:val="nil"/>
              <w:bottom w:val="single" w:sz="4" w:space="0" w:color="auto"/>
              <w:right w:val="nil"/>
            </w:tcBorders>
            <w:shd w:val="clear" w:color="auto" w:fill="auto"/>
            <w:vAlign w:val="center"/>
            <w:hideMark/>
          </w:tcPr>
          <w:p w14:paraId="698B4102" w14:textId="0D3863A0" w:rsidR="00395C56" w:rsidRPr="00B326CC" w:rsidRDefault="0041077F" w:rsidP="00572FDE">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432</w:t>
            </w:r>
          </w:p>
        </w:tc>
        <w:tc>
          <w:tcPr>
            <w:tcW w:w="355" w:type="pct"/>
            <w:tcBorders>
              <w:top w:val="nil"/>
              <w:left w:val="nil"/>
              <w:bottom w:val="single" w:sz="4" w:space="0" w:color="auto"/>
              <w:right w:val="nil"/>
            </w:tcBorders>
            <w:shd w:val="clear" w:color="auto" w:fill="auto"/>
            <w:vAlign w:val="center"/>
            <w:hideMark/>
          </w:tcPr>
          <w:p w14:paraId="1E49D28E" w14:textId="2CC6DC7F" w:rsidR="00395C56" w:rsidRPr="00B326CC" w:rsidRDefault="0041077F" w:rsidP="00572FDE">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4</w:t>
            </w:r>
            <w:r w:rsidR="00A06FFF">
              <w:rPr>
                <w:rFonts w:ascii="Times New Roman" w:eastAsia="Times New Roman" w:hAnsi="Times New Roman" w:cs="Times New Roman"/>
                <w:b/>
                <w:bCs/>
                <w:sz w:val="20"/>
                <w:szCs w:val="20"/>
              </w:rPr>
              <w:t>29</w:t>
            </w:r>
          </w:p>
        </w:tc>
        <w:tc>
          <w:tcPr>
            <w:tcW w:w="364" w:type="pct"/>
            <w:gridSpan w:val="2"/>
            <w:tcBorders>
              <w:top w:val="nil"/>
              <w:left w:val="nil"/>
              <w:bottom w:val="single" w:sz="4" w:space="0" w:color="auto"/>
              <w:right w:val="nil"/>
            </w:tcBorders>
            <w:shd w:val="clear" w:color="auto" w:fill="auto"/>
            <w:vAlign w:val="center"/>
            <w:hideMark/>
          </w:tcPr>
          <w:p w14:paraId="111F497C" w14:textId="77777777" w:rsidR="00395C56" w:rsidRPr="00B326CC" w:rsidRDefault="00395C56" w:rsidP="00572FDE">
            <w:pPr>
              <w:spacing w:after="0" w:line="240" w:lineRule="auto"/>
              <w:jc w:val="right"/>
              <w:rPr>
                <w:rFonts w:ascii="Times New Roman" w:eastAsia="Times New Roman" w:hAnsi="Times New Roman" w:cs="Times New Roman"/>
                <w:b/>
                <w:bCs/>
                <w:sz w:val="20"/>
                <w:szCs w:val="20"/>
              </w:rPr>
            </w:pPr>
            <w:r w:rsidRPr="00B326CC">
              <w:rPr>
                <w:rFonts w:ascii="Times New Roman" w:eastAsia="Times New Roman" w:hAnsi="Times New Roman" w:cs="Times New Roman"/>
                <w:b/>
                <w:bCs/>
                <w:sz w:val="20"/>
                <w:szCs w:val="20"/>
              </w:rPr>
              <w:t>340</w:t>
            </w:r>
          </w:p>
        </w:tc>
        <w:tc>
          <w:tcPr>
            <w:tcW w:w="306" w:type="pct"/>
            <w:gridSpan w:val="2"/>
            <w:tcBorders>
              <w:top w:val="nil"/>
              <w:left w:val="nil"/>
              <w:bottom w:val="single" w:sz="4" w:space="0" w:color="auto"/>
              <w:right w:val="nil"/>
            </w:tcBorders>
            <w:shd w:val="clear" w:color="auto" w:fill="auto"/>
            <w:vAlign w:val="center"/>
            <w:hideMark/>
          </w:tcPr>
          <w:p w14:paraId="7852E0DA" w14:textId="77777777" w:rsidR="00395C56" w:rsidRPr="00B326CC" w:rsidRDefault="00395C56" w:rsidP="00572FDE">
            <w:pPr>
              <w:spacing w:after="0" w:line="240" w:lineRule="auto"/>
              <w:jc w:val="right"/>
              <w:rPr>
                <w:rFonts w:ascii="Times New Roman" w:eastAsia="Times New Roman" w:hAnsi="Times New Roman" w:cs="Times New Roman"/>
                <w:b/>
                <w:bCs/>
                <w:sz w:val="20"/>
                <w:szCs w:val="20"/>
              </w:rPr>
            </w:pPr>
            <w:r w:rsidRPr="00B326CC">
              <w:rPr>
                <w:rFonts w:ascii="Times New Roman" w:eastAsia="Times New Roman" w:hAnsi="Times New Roman" w:cs="Times New Roman"/>
                <w:b/>
                <w:bCs/>
                <w:sz w:val="20"/>
                <w:szCs w:val="20"/>
              </w:rPr>
              <w:t>311</w:t>
            </w:r>
          </w:p>
        </w:tc>
        <w:tc>
          <w:tcPr>
            <w:tcW w:w="440" w:type="pct"/>
            <w:gridSpan w:val="2"/>
            <w:tcBorders>
              <w:top w:val="nil"/>
              <w:left w:val="nil"/>
              <w:bottom w:val="single" w:sz="4" w:space="0" w:color="auto"/>
              <w:right w:val="nil"/>
            </w:tcBorders>
            <w:shd w:val="clear" w:color="auto" w:fill="auto"/>
            <w:vAlign w:val="center"/>
            <w:hideMark/>
          </w:tcPr>
          <w:p w14:paraId="1E88FDFD" w14:textId="402A2D6A" w:rsidR="00395C56" w:rsidRPr="00B326CC" w:rsidRDefault="0041077F" w:rsidP="00572FDE">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18</w:t>
            </w:r>
            <w:r w:rsidR="00395C56" w:rsidRPr="00B326CC">
              <w:rPr>
                <w:rFonts w:ascii="Times New Roman" w:eastAsia="Times New Roman" w:hAnsi="Times New Roman" w:cs="Times New Roman"/>
                <w:b/>
                <w:bCs/>
                <w:sz w:val="20"/>
                <w:szCs w:val="20"/>
              </w:rPr>
              <w:t>80</w:t>
            </w:r>
          </w:p>
        </w:tc>
        <w:tc>
          <w:tcPr>
            <w:tcW w:w="398" w:type="pct"/>
            <w:tcBorders>
              <w:top w:val="nil"/>
              <w:left w:val="nil"/>
              <w:bottom w:val="single" w:sz="4" w:space="0" w:color="auto"/>
              <w:right w:val="nil"/>
            </w:tcBorders>
            <w:shd w:val="clear" w:color="auto" w:fill="auto"/>
            <w:vAlign w:val="center"/>
            <w:hideMark/>
          </w:tcPr>
          <w:p w14:paraId="088490E1" w14:textId="2EF8559C" w:rsidR="00395C56" w:rsidRPr="00B326CC" w:rsidRDefault="0041077F" w:rsidP="00572FDE">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199</w:t>
            </w:r>
          </w:p>
        </w:tc>
        <w:tc>
          <w:tcPr>
            <w:tcW w:w="487" w:type="pct"/>
            <w:tcBorders>
              <w:top w:val="nil"/>
              <w:left w:val="nil"/>
              <w:bottom w:val="single" w:sz="4" w:space="0" w:color="auto"/>
              <w:right w:val="nil"/>
            </w:tcBorders>
            <w:shd w:val="clear" w:color="auto" w:fill="auto"/>
            <w:vAlign w:val="center"/>
          </w:tcPr>
          <w:p w14:paraId="60B6C388" w14:textId="4D03A2B9" w:rsidR="00395C56" w:rsidRPr="00B326CC" w:rsidRDefault="00395C56" w:rsidP="00572FDE">
            <w:pPr>
              <w:spacing w:after="0" w:line="240" w:lineRule="auto"/>
              <w:jc w:val="right"/>
              <w:rPr>
                <w:rFonts w:ascii="Times New Roman" w:eastAsia="Times New Roman" w:hAnsi="Times New Roman" w:cs="Times New Roman"/>
                <w:b/>
                <w:bCs/>
                <w:sz w:val="20"/>
                <w:szCs w:val="20"/>
              </w:rPr>
            </w:pPr>
          </w:p>
        </w:tc>
      </w:tr>
      <w:tr w:rsidR="00395C56" w:rsidRPr="00B326CC" w14:paraId="78658983" w14:textId="77777777" w:rsidTr="00A6265D">
        <w:trPr>
          <w:trHeight w:val="470"/>
        </w:trPr>
        <w:tc>
          <w:tcPr>
            <w:tcW w:w="1889" w:type="pct"/>
            <w:gridSpan w:val="2"/>
            <w:tcBorders>
              <w:top w:val="nil"/>
              <w:left w:val="nil"/>
              <w:bottom w:val="nil"/>
              <w:right w:val="nil"/>
            </w:tcBorders>
            <w:shd w:val="clear" w:color="auto" w:fill="auto"/>
            <w:vAlign w:val="center"/>
            <w:hideMark/>
          </w:tcPr>
          <w:p w14:paraId="3F160FEC" w14:textId="77777777" w:rsidR="00395C56" w:rsidRPr="00B326CC" w:rsidRDefault="00395C56" w:rsidP="00F561E8">
            <w:pPr>
              <w:pStyle w:val="ListParagraph"/>
              <w:numPr>
                <w:ilvl w:val="0"/>
                <w:numId w:val="40"/>
              </w:numPr>
              <w:spacing w:after="0" w:line="240" w:lineRule="auto"/>
              <w:ind w:left="340"/>
              <w:rPr>
                <w:rFonts w:ascii="Times New Roman" w:eastAsia="Times New Roman" w:hAnsi="Times New Roman" w:cs="Times New Roman"/>
                <w:color w:val="000000"/>
                <w:sz w:val="20"/>
                <w:szCs w:val="20"/>
              </w:rPr>
            </w:pPr>
            <w:r w:rsidRPr="00B326CC">
              <w:rPr>
                <w:rFonts w:ascii="Times New Roman" w:eastAsia="Times New Roman" w:hAnsi="Times New Roman" w:cs="Times New Roman"/>
                <w:color w:val="000000"/>
                <w:sz w:val="20"/>
                <w:szCs w:val="20"/>
              </w:rPr>
              <w:t>Strengthening the Interprofessions</w:t>
            </w:r>
          </w:p>
        </w:tc>
        <w:tc>
          <w:tcPr>
            <w:tcW w:w="362" w:type="pct"/>
            <w:gridSpan w:val="2"/>
            <w:tcBorders>
              <w:top w:val="nil"/>
              <w:left w:val="nil"/>
              <w:bottom w:val="nil"/>
              <w:right w:val="nil"/>
            </w:tcBorders>
            <w:shd w:val="clear" w:color="auto" w:fill="auto"/>
            <w:vAlign w:val="center"/>
            <w:hideMark/>
          </w:tcPr>
          <w:p w14:paraId="4C6DA22E" w14:textId="77777777" w:rsidR="00395C56" w:rsidRPr="00B326CC" w:rsidRDefault="00395C56" w:rsidP="00572FDE">
            <w:pPr>
              <w:spacing w:after="0" w:line="240" w:lineRule="auto"/>
              <w:jc w:val="right"/>
              <w:rPr>
                <w:rFonts w:ascii="Times New Roman" w:eastAsia="Times New Roman" w:hAnsi="Times New Roman" w:cs="Times New Roman"/>
                <w:sz w:val="20"/>
                <w:szCs w:val="20"/>
              </w:rPr>
            </w:pPr>
            <w:r w:rsidRPr="00B326CC">
              <w:rPr>
                <w:rFonts w:ascii="Times New Roman" w:eastAsia="Times New Roman" w:hAnsi="Times New Roman" w:cs="Times New Roman"/>
                <w:sz w:val="20"/>
                <w:szCs w:val="20"/>
              </w:rPr>
              <w:t>20</w:t>
            </w:r>
          </w:p>
        </w:tc>
        <w:tc>
          <w:tcPr>
            <w:tcW w:w="400" w:type="pct"/>
            <w:tcBorders>
              <w:top w:val="nil"/>
              <w:left w:val="nil"/>
              <w:bottom w:val="nil"/>
              <w:right w:val="nil"/>
            </w:tcBorders>
            <w:shd w:val="clear" w:color="auto" w:fill="auto"/>
            <w:vAlign w:val="center"/>
            <w:hideMark/>
          </w:tcPr>
          <w:p w14:paraId="24F3A990" w14:textId="77777777" w:rsidR="00395C56" w:rsidRPr="00B326CC" w:rsidRDefault="00395C56" w:rsidP="00572FDE">
            <w:pPr>
              <w:spacing w:after="0" w:line="240" w:lineRule="auto"/>
              <w:jc w:val="right"/>
              <w:rPr>
                <w:rFonts w:ascii="Times New Roman" w:eastAsia="Times New Roman" w:hAnsi="Times New Roman" w:cs="Times New Roman"/>
                <w:sz w:val="20"/>
                <w:szCs w:val="20"/>
              </w:rPr>
            </w:pPr>
            <w:r w:rsidRPr="00B326CC">
              <w:rPr>
                <w:rFonts w:ascii="Times New Roman" w:eastAsia="Times New Roman" w:hAnsi="Times New Roman" w:cs="Times New Roman"/>
                <w:sz w:val="20"/>
                <w:szCs w:val="20"/>
              </w:rPr>
              <w:t>10</w:t>
            </w:r>
          </w:p>
        </w:tc>
        <w:tc>
          <w:tcPr>
            <w:tcW w:w="355" w:type="pct"/>
            <w:tcBorders>
              <w:top w:val="nil"/>
              <w:left w:val="nil"/>
              <w:bottom w:val="nil"/>
              <w:right w:val="nil"/>
            </w:tcBorders>
            <w:shd w:val="clear" w:color="auto" w:fill="auto"/>
            <w:vAlign w:val="center"/>
            <w:hideMark/>
          </w:tcPr>
          <w:p w14:paraId="32BCAD8A" w14:textId="77777777" w:rsidR="00395C56" w:rsidRPr="00B326CC" w:rsidRDefault="00395C56" w:rsidP="00572FDE">
            <w:pPr>
              <w:spacing w:after="0" w:line="240" w:lineRule="auto"/>
              <w:jc w:val="right"/>
              <w:rPr>
                <w:rFonts w:ascii="Times New Roman" w:eastAsia="Times New Roman" w:hAnsi="Times New Roman" w:cs="Times New Roman"/>
                <w:sz w:val="20"/>
                <w:szCs w:val="20"/>
              </w:rPr>
            </w:pPr>
            <w:r w:rsidRPr="00B326CC">
              <w:rPr>
                <w:rFonts w:ascii="Times New Roman" w:eastAsia="Times New Roman" w:hAnsi="Times New Roman" w:cs="Times New Roman"/>
                <w:sz w:val="20"/>
                <w:szCs w:val="20"/>
              </w:rPr>
              <w:t>6</w:t>
            </w:r>
          </w:p>
        </w:tc>
        <w:tc>
          <w:tcPr>
            <w:tcW w:w="364" w:type="pct"/>
            <w:gridSpan w:val="2"/>
            <w:tcBorders>
              <w:top w:val="nil"/>
              <w:left w:val="nil"/>
              <w:bottom w:val="nil"/>
              <w:right w:val="nil"/>
            </w:tcBorders>
            <w:shd w:val="clear" w:color="auto" w:fill="auto"/>
            <w:vAlign w:val="center"/>
            <w:hideMark/>
          </w:tcPr>
          <w:p w14:paraId="0B5A51C4" w14:textId="77777777" w:rsidR="00395C56" w:rsidRPr="00B326CC" w:rsidRDefault="00395C56" w:rsidP="00572FDE">
            <w:pPr>
              <w:spacing w:after="0" w:line="240" w:lineRule="auto"/>
              <w:jc w:val="right"/>
              <w:rPr>
                <w:rFonts w:ascii="Times New Roman" w:eastAsia="Times New Roman" w:hAnsi="Times New Roman" w:cs="Times New Roman"/>
                <w:sz w:val="20"/>
                <w:szCs w:val="20"/>
              </w:rPr>
            </w:pPr>
            <w:r w:rsidRPr="00B326CC">
              <w:rPr>
                <w:rFonts w:ascii="Times New Roman" w:eastAsia="Times New Roman" w:hAnsi="Times New Roman" w:cs="Times New Roman"/>
                <w:sz w:val="20"/>
                <w:szCs w:val="20"/>
              </w:rPr>
              <w:t>6</w:t>
            </w:r>
          </w:p>
        </w:tc>
        <w:tc>
          <w:tcPr>
            <w:tcW w:w="306" w:type="pct"/>
            <w:gridSpan w:val="2"/>
            <w:tcBorders>
              <w:top w:val="nil"/>
              <w:left w:val="nil"/>
              <w:bottom w:val="nil"/>
              <w:right w:val="nil"/>
            </w:tcBorders>
            <w:shd w:val="clear" w:color="auto" w:fill="auto"/>
            <w:vAlign w:val="center"/>
            <w:hideMark/>
          </w:tcPr>
          <w:p w14:paraId="22FF7C62" w14:textId="77777777" w:rsidR="00395C56" w:rsidRPr="00B326CC" w:rsidRDefault="00395C56" w:rsidP="00572FDE">
            <w:pPr>
              <w:spacing w:after="0" w:line="240" w:lineRule="auto"/>
              <w:jc w:val="right"/>
              <w:rPr>
                <w:rFonts w:ascii="Times New Roman" w:eastAsia="Times New Roman" w:hAnsi="Times New Roman" w:cs="Times New Roman"/>
                <w:sz w:val="20"/>
                <w:szCs w:val="20"/>
              </w:rPr>
            </w:pPr>
            <w:r w:rsidRPr="00B326CC">
              <w:rPr>
                <w:rFonts w:ascii="Times New Roman" w:eastAsia="Times New Roman" w:hAnsi="Times New Roman" w:cs="Times New Roman"/>
                <w:sz w:val="20"/>
                <w:szCs w:val="20"/>
              </w:rPr>
              <w:t>6</w:t>
            </w:r>
          </w:p>
        </w:tc>
        <w:tc>
          <w:tcPr>
            <w:tcW w:w="440" w:type="pct"/>
            <w:gridSpan w:val="2"/>
            <w:tcBorders>
              <w:top w:val="nil"/>
              <w:left w:val="nil"/>
              <w:bottom w:val="nil"/>
              <w:right w:val="nil"/>
            </w:tcBorders>
            <w:shd w:val="clear" w:color="auto" w:fill="auto"/>
            <w:vAlign w:val="center"/>
            <w:hideMark/>
          </w:tcPr>
          <w:p w14:paraId="3E538D93" w14:textId="77777777" w:rsidR="00395C56" w:rsidRPr="00B326CC" w:rsidRDefault="00395C56" w:rsidP="00572FDE">
            <w:pPr>
              <w:spacing w:after="0" w:line="240" w:lineRule="auto"/>
              <w:jc w:val="right"/>
              <w:rPr>
                <w:rFonts w:ascii="Times New Roman" w:eastAsia="Times New Roman" w:hAnsi="Times New Roman" w:cs="Times New Roman"/>
                <w:sz w:val="20"/>
                <w:szCs w:val="20"/>
              </w:rPr>
            </w:pPr>
            <w:r w:rsidRPr="00B326CC">
              <w:rPr>
                <w:rFonts w:ascii="Times New Roman" w:eastAsia="Times New Roman" w:hAnsi="Times New Roman" w:cs="Times New Roman"/>
                <w:sz w:val="20"/>
                <w:szCs w:val="20"/>
              </w:rPr>
              <w:t>48</w:t>
            </w:r>
          </w:p>
        </w:tc>
        <w:tc>
          <w:tcPr>
            <w:tcW w:w="398" w:type="pct"/>
            <w:tcBorders>
              <w:top w:val="nil"/>
              <w:left w:val="nil"/>
              <w:bottom w:val="nil"/>
              <w:right w:val="nil"/>
            </w:tcBorders>
            <w:shd w:val="clear" w:color="auto" w:fill="auto"/>
            <w:vAlign w:val="center"/>
            <w:hideMark/>
          </w:tcPr>
          <w:p w14:paraId="266B0F4E" w14:textId="77777777" w:rsidR="00395C56" w:rsidRPr="00B326CC" w:rsidRDefault="00395C56" w:rsidP="00572FDE">
            <w:pPr>
              <w:spacing w:after="0" w:line="240" w:lineRule="auto"/>
              <w:jc w:val="right"/>
              <w:rPr>
                <w:rFonts w:ascii="Times New Roman" w:eastAsia="Times New Roman" w:hAnsi="Times New Roman" w:cs="Times New Roman"/>
                <w:sz w:val="20"/>
                <w:szCs w:val="20"/>
              </w:rPr>
            </w:pPr>
            <w:r w:rsidRPr="00B326CC">
              <w:rPr>
                <w:rFonts w:ascii="Times New Roman" w:eastAsia="Times New Roman" w:hAnsi="Times New Roman" w:cs="Times New Roman"/>
                <w:sz w:val="20"/>
                <w:szCs w:val="20"/>
              </w:rPr>
              <w:t>5</w:t>
            </w:r>
          </w:p>
        </w:tc>
        <w:tc>
          <w:tcPr>
            <w:tcW w:w="487" w:type="pct"/>
            <w:tcBorders>
              <w:top w:val="nil"/>
              <w:left w:val="nil"/>
              <w:bottom w:val="nil"/>
              <w:right w:val="nil"/>
            </w:tcBorders>
            <w:shd w:val="clear" w:color="auto" w:fill="auto"/>
            <w:vAlign w:val="center"/>
          </w:tcPr>
          <w:p w14:paraId="7436E113" w14:textId="1F867464" w:rsidR="00395C56" w:rsidRPr="00B326CC" w:rsidRDefault="00395C56" w:rsidP="00572FDE">
            <w:pPr>
              <w:spacing w:after="0" w:line="240" w:lineRule="auto"/>
              <w:jc w:val="right"/>
              <w:rPr>
                <w:rFonts w:ascii="Times New Roman" w:eastAsia="Times New Roman" w:hAnsi="Times New Roman" w:cs="Times New Roman"/>
                <w:sz w:val="20"/>
                <w:szCs w:val="20"/>
              </w:rPr>
            </w:pPr>
          </w:p>
        </w:tc>
      </w:tr>
      <w:tr w:rsidR="00395C56" w:rsidRPr="00B326CC" w14:paraId="1D15521C" w14:textId="77777777" w:rsidTr="00A6265D">
        <w:trPr>
          <w:trHeight w:val="470"/>
        </w:trPr>
        <w:tc>
          <w:tcPr>
            <w:tcW w:w="1889" w:type="pct"/>
            <w:gridSpan w:val="2"/>
            <w:tcBorders>
              <w:top w:val="nil"/>
              <w:left w:val="nil"/>
              <w:bottom w:val="nil"/>
              <w:right w:val="nil"/>
            </w:tcBorders>
            <w:shd w:val="clear" w:color="auto" w:fill="auto"/>
            <w:vAlign w:val="center"/>
            <w:hideMark/>
          </w:tcPr>
          <w:p w14:paraId="6A597148" w14:textId="77777777" w:rsidR="00395C56" w:rsidRPr="00B326CC" w:rsidRDefault="00395C56" w:rsidP="00F561E8">
            <w:pPr>
              <w:pStyle w:val="ListParagraph"/>
              <w:numPr>
                <w:ilvl w:val="0"/>
                <w:numId w:val="40"/>
              </w:numPr>
              <w:spacing w:after="0" w:line="240" w:lineRule="auto"/>
              <w:ind w:left="340"/>
              <w:rPr>
                <w:rFonts w:ascii="Times New Roman" w:eastAsia="Times New Roman" w:hAnsi="Times New Roman" w:cs="Times New Roman"/>
                <w:color w:val="000000"/>
                <w:sz w:val="20"/>
                <w:szCs w:val="20"/>
              </w:rPr>
            </w:pPr>
            <w:r w:rsidRPr="00B326CC">
              <w:rPr>
                <w:rFonts w:ascii="Times New Roman" w:eastAsia="Times New Roman" w:hAnsi="Times New Roman" w:cs="Times New Roman"/>
                <w:color w:val="000000"/>
                <w:sz w:val="20"/>
                <w:szCs w:val="20"/>
              </w:rPr>
              <w:t>Support for the integration of small and medium producers with markets</w:t>
            </w:r>
          </w:p>
        </w:tc>
        <w:tc>
          <w:tcPr>
            <w:tcW w:w="362" w:type="pct"/>
            <w:gridSpan w:val="2"/>
            <w:tcBorders>
              <w:top w:val="nil"/>
              <w:left w:val="nil"/>
              <w:bottom w:val="nil"/>
              <w:right w:val="nil"/>
            </w:tcBorders>
            <w:shd w:val="clear" w:color="auto" w:fill="auto"/>
            <w:vAlign w:val="center"/>
            <w:hideMark/>
          </w:tcPr>
          <w:p w14:paraId="045BB964" w14:textId="77777777" w:rsidR="00395C56" w:rsidRPr="00B326CC" w:rsidRDefault="00395C56" w:rsidP="00572FDE">
            <w:pPr>
              <w:spacing w:after="0" w:line="240" w:lineRule="auto"/>
              <w:jc w:val="right"/>
              <w:rPr>
                <w:rFonts w:ascii="Times New Roman" w:eastAsia="Times New Roman" w:hAnsi="Times New Roman" w:cs="Times New Roman"/>
                <w:sz w:val="20"/>
                <w:szCs w:val="20"/>
              </w:rPr>
            </w:pPr>
            <w:r w:rsidRPr="00B326CC">
              <w:rPr>
                <w:rFonts w:ascii="Times New Roman" w:eastAsia="Times New Roman" w:hAnsi="Times New Roman" w:cs="Times New Roman"/>
                <w:sz w:val="20"/>
                <w:szCs w:val="20"/>
              </w:rPr>
              <w:t>135</w:t>
            </w:r>
          </w:p>
        </w:tc>
        <w:tc>
          <w:tcPr>
            <w:tcW w:w="400" w:type="pct"/>
            <w:tcBorders>
              <w:top w:val="nil"/>
              <w:left w:val="nil"/>
              <w:bottom w:val="nil"/>
              <w:right w:val="nil"/>
            </w:tcBorders>
            <w:shd w:val="clear" w:color="auto" w:fill="auto"/>
            <w:vAlign w:val="center"/>
            <w:hideMark/>
          </w:tcPr>
          <w:p w14:paraId="4DE3E9D3" w14:textId="77777777" w:rsidR="00395C56" w:rsidRPr="00B326CC" w:rsidRDefault="00395C56" w:rsidP="00572FDE">
            <w:pPr>
              <w:spacing w:after="0" w:line="240" w:lineRule="auto"/>
              <w:jc w:val="right"/>
              <w:rPr>
                <w:rFonts w:ascii="Times New Roman" w:eastAsia="Times New Roman" w:hAnsi="Times New Roman" w:cs="Times New Roman"/>
                <w:sz w:val="20"/>
                <w:szCs w:val="20"/>
              </w:rPr>
            </w:pPr>
            <w:r w:rsidRPr="00B326CC">
              <w:rPr>
                <w:rFonts w:ascii="Times New Roman" w:eastAsia="Times New Roman" w:hAnsi="Times New Roman" w:cs="Times New Roman"/>
                <w:sz w:val="20"/>
                <w:szCs w:val="20"/>
              </w:rPr>
              <w:t>210</w:t>
            </w:r>
          </w:p>
        </w:tc>
        <w:tc>
          <w:tcPr>
            <w:tcW w:w="355" w:type="pct"/>
            <w:tcBorders>
              <w:top w:val="nil"/>
              <w:left w:val="nil"/>
              <w:bottom w:val="nil"/>
              <w:right w:val="nil"/>
            </w:tcBorders>
            <w:shd w:val="clear" w:color="auto" w:fill="auto"/>
            <w:vAlign w:val="center"/>
            <w:hideMark/>
          </w:tcPr>
          <w:p w14:paraId="3B8E1BD8" w14:textId="77777777" w:rsidR="00395C56" w:rsidRPr="00B326CC" w:rsidRDefault="00395C56" w:rsidP="00572FDE">
            <w:pPr>
              <w:spacing w:after="0" w:line="240" w:lineRule="auto"/>
              <w:jc w:val="right"/>
              <w:rPr>
                <w:rFonts w:ascii="Times New Roman" w:eastAsia="Times New Roman" w:hAnsi="Times New Roman" w:cs="Times New Roman"/>
                <w:sz w:val="20"/>
                <w:szCs w:val="20"/>
              </w:rPr>
            </w:pPr>
            <w:r w:rsidRPr="00B326CC">
              <w:rPr>
                <w:rFonts w:ascii="Times New Roman" w:eastAsia="Times New Roman" w:hAnsi="Times New Roman" w:cs="Times New Roman"/>
                <w:sz w:val="20"/>
                <w:szCs w:val="20"/>
              </w:rPr>
              <w:t>291</w:t>
            </w:r>
          </w:p>
        </w:tc>
        <w:tc>
          <w:tcPr>
            <w:tcW w:w="364" w:type="pct"/>
            <w:gridSpan w:val="2"/>
            <w:tcBorders>
              <w:top w:val="nil"/>
              <w:left w:val="nil"/>
              <w:bottom w:val="nil"/>
              <w:right w:val="nil"/>
            </w:tcBorders>
            <w:shd w:val="clear" w:color="auto" w:fill="auto"/>
            <w:vAlign w:val="center"/>
            <w:hideMark/>
          </w:tcPr>
          <w:p w14:paraId="55CEFF4A" w14:textId="77777777" w:rsidR="00395C56" w:rsidRPr="00B326CC" w:rsidRDefault="00395C56" w:rsidP="00572FDE">
            <w:pPr>
              <w:spacing w:after="0" w:line="240" w:lineRule="auto"/>
              <w:jc w:val="right"/>
              <w:rPr>
                <w:rFonts w:ascii="Times New Roman" w:eastAsia="Times New Roman" w:hAnsi="Times New Roman" w:cs="Times New Roman"/>
                <w:sz w:val="20"/>
                <w:szCs w:val="20"/>
              </w:rPr>
            </w:pPr>
            <w:r w:rsidRPr="00B326CC">
              <w:rPr>
                <w:rFonts w:ascii="Times New Roman" w:eastAsia="Times New Roman" w:hAnsi="Times New Roman" w:cs="Times New Roman"/>
                <w:sz w:val="20"/>
                <w:szCs w:val="20"/>
              </w:rPr>
              <w:t>332</w:t>
            </w:r>
          </w:p>
        </w:tc>
        <w:tc>
          <w:tcPr>
            <w:tcW w:w="306" w:type="pct"/>
            <w:gridSpan w:val="2"/>
            <w:tcBorders>
              <w:top w:val="nil"/>
              <w:left w:val="nil"/>
              <w:bottom w:val="nil"/>
              <w:right w:val="nil"/>
            </w:tcBorders>
            <w:shd w:val="clear" w:color="auto" w:fill="auto"/>
            <w:vAlign w:val="center"/>
            <w:hideMark/>
          </w:tcPr>
          <w:p w14:paraId="0124A137" w14:textId="77777777" w:rsidR="00395C56" w:rsidRPr="00B326CC" w:rsidRDefault="00395C56" w:rsidP="00572FDE">
            <w:pPr>
              <w:spacing w:after="0" w:line="240" w:lineRule="auto"/>
              <w:jc w:val="right"/>
              <w:rPr>
                <w:rFonts w:ascii="Times New Roman" w:eastAsia="Times New Roman" w:hAnsi="Times New Roman" w:cs="Times New Roman"/>
                <w:sz w:val="20"/>
                <w:szCs w:val="20"/>
              </w:rPr>
            </w:pPr>
            <w:r w:rsidRPr="00B326CC">
              <w:rPr>
                <w:rFonts w:ascii="Times New Roman" w:eastAsia="Times New Roman" w:hAnsi="Times New Roman" w:cs="Times New Roman"/>
                <w:sz w:val="20"/>
                <w:szCs w:val="20"/>
              </w:rPr>
              <w:t>305</w:t>
            </w:r>
          </w:p>
        </w:tc>
        <w:tc>
          <w:tcPr>
            <w:tcW w:w="440" w:type="pct"/>
            <w:gridSpan w:val="2"/>
            <w:tcBorders>
              <w:top w:val="nil"/>
              <w:left w:val="nil"/>
              <w:bottom w:val="nil"/>
              <w:right w:val="nil"/>
            </w:tcBorders>
            <w:shd w:val="clear" w:color="auto" w:fill="auto"/>
            <w:vAlign w:val="center"/>
            <w:hideMark/>
          </w:tcPr>
          <w:p w14:paraId="75495A99" w14:textId="77777777" w:rsidR="00395C56" w:rsidRPr="00B326CC" w:rsidRDefault="00395C56" w:rsidP="00572FDE">
            <w:pPr>
              <w:spacing w:after="0" w:line="240" w:lineRule="auto"/>
              <w:jc w:val="right"/>
              <w:rPr>
                <w:rFonts w:ascii="Times New Roman" w:eastAsia="Times New Roman" w:hAnsi="Times New Roman" w:cs="Times New Roman"/>
                <w:sz w:val="20"/>
                <w:szCs w:val="20"/>
              </w:rPr>
            </w:pPr>
            <w:r w:rsidRPr="00B326CC">
              <w:rPr>
                <w:rFonts w:ascii="Times New Roman" w:eastAsia="Times New Roman" w:hAnsi="Times New Roman" w:cs="Times New Roman"/>
                <w:sz w:val="20"/>
                <w:szCs w:val="20"/>
              </w:rPr>
              <w:t>1,273</w:t>
            </w:r>
          </w:p>
        </w:tc>
        <w:tc>
          <w:tcPr>
            <w:tcW w:w="398" w:type="pct"/>
            <w:tcBorders>
              <w:top w:val="nil"/>
              <w:left w:val="nil"/>
              <w:bottom w:val="nil"/>
              <w:right w:val="nil"/>
            </w:tcBorders>
            <w:shd w:val="clear" w:color="auto" w:fill="auto"/>
            <w:vAlign w:val="center"/>
            <w:hideMark/>
          </w:tcPr>
          <w:p w14:paraId="1A259273" w14:textId="77777777" w:rsidR="00395C56" w:rsidRPr="00B326CC" w:rsidRDefault="00395C56" w:rsidP="00572FDE">
            <w:pPr>
              <w:spacing w:after="0" w:line="240" w:lineRule="auto"/>
              <w:jc w:val="right"/>
              <w:rPr>
                <w:rFonts w:ascii="Times New Roman" w:eastAsia="Times New Roman" w:hAnsi="Times New Roman" w:cs="Times New Roman"/>
                <w:sz w:val="20"/>
                <w:szCs w:val="20"/>
              </w:rPr>
            </w:pPr>
            <w:r w:rsidRPr="00B326CC">
              <w:rPr>
                <w:rFonts w:ascii="Times New Roman" w:eastAsia="Times New Roman" w:hAnsi="Times New Roman" w:cs="Times New Roman"/>
                <w:sz w:val="20"/>
                <w:szCs w:val="20"/>
              </w:rPr>
              <w:t>135</w:t>
            </w:r>
          </w:p>
        </w:tc>
        <w:tc>
          <w:tcPr>
            <w:tcW w:w="487" w:type="pct"/>
            <w:tcBorders>
              <w:top w:val="nil"/>
              <w:left w:val="nil"/>
              <w:bottom w:val="nil"/>
              <w:right w:val="nil"/>
            </w:tcBorders>
            <w:shd w:val="clear" w:color="auto" w:fill="auto"/>
            <w:vAlign w:val="center"/>
          </w:tcPr>
          <w:p w14:paraId="2E701654" w14:textId="042BEA5C" w:rsidR="00395C56" w:rsidRPr="00B326CC" w:rsidRDefault="00395C56" w:rsidP="00572FDE">
            <w:pPr>
              <w:spacing w:after="0" w:line="240" w:lineRule="auto"/>
              <w:jc w:val="right"/>
              <w:rPr>
                <w:rFonts w:ascii="Times New Roman" w:eastAsia="Times New Roman" w:hAnsi="Times New Roman" w:cs="Times New Roman"/>
                <w:sz w:val="20"/>
                <w:szCs w:val="20"/>
              </w:rPr>
            </w:pPr>
          </w:p>
        </w:tc>
      </w:tr>
      <w:tr w:rsidR="00395C56" w:rsidRPr="00B326CC" w14:paraId="7A97DBD8" w14:textId="77777777" w:rsidTr="00A6265D">
        <w:trPr>
          <w:trHeight w:val="470"/>
        </w:trPr>
        <w:tc>
          <w:tcPr>
            <w:tcW w:w="1889" w:type="pct"/>
            <w:gridSpan w:val="2"/>
            <w:tcBorders>
              <w:top w:val="nil"/>
              <w:left w:val="nil"/>
              <w:bottom w:val="nil"/>
              <w:right w:val="nil"/>
            </w:tcBorders>
            <w:shd w:val="clear" w:color="auto" w:fill="auto"/>
            <w:vAlign w:val="center"/>
            <w:hideMark/>
          </w:tcPr>
          <w:p w14:paraId="55FBBB7C" w14:textId="4901B861" w:rsidR="00395C56" w:rsidRPr="00B326CC" w:rsidRDefault="00395C56" w:rsidP="00F561E8">
            <w:pPr>
              <w:pStyle w:val="ListParagraph"/>
              <w:numPr>
                <w:ilvl w:val="0"/>
                <w:numId w:val="40"/>
              </w:numPr>
              <w:spacing w:after="0" w:line="240" w:lineRule="auto"/>
              <w:ind w:left="340"/>
              <w:rPr>
                <w:rFonts w:ascii="Times New Roman" w:eastAsia="Times New Roman" w:hAnsi="Times New Roman" w:cs="Times New Roman"/>
                <w:color w:val="000000"/>
                <w:sz w:val="20"/>
                <w:szCs w:val="20"/>
              </w:rPr>
            </w:pPr>
            <w:r w:rsidRPr="00B326CC">
              <w:rPr>
                <w:rFonts w:ascii="Times New Roman" w:eastAsia="Times New Roman" w:hAnsi="Times New Roman" w:cs="Times New Roman"/>
                <w:color w:val="000000"/>
                <w:sz w:val="20"/>
                <w:szCs w:val="20"/>
              </w:rPr>
              <w:t>Modernizing the management of wholesale markets</w:t>
            </w:r>
            <w:r w:rsidR="004C682B">
              <w:rPr>
                <w:rFonts w:ascii="Times New Roman" w:eastAsia="Times New Roman" w:hAnsi="Times New Roman" w:cs="Times New Roman"/>
                <w:color w:val="000000"/>
                <w:sz w:val="20"/>
                <w:szCs w:val="20"/>
              </w:rPr>
              <w:t xml:space="preserve"> (*)</w:t>
            </w:r>
          </w:p>
        </w:tc>
        <w:tc>
          <w:tcPr>
            <w:tcW w:w="362" w:type="pct"/>
            <w:gridSpan w:val="2"/>
            <w:tcBorders>
              <w:top w:val="nil"/>
              <w:left w:val="nil"/>
              <w:bottom w:val="nil"/>
              <w:right w:val="nil"/>
            </w:tcBorders>
            <w:shd w:val="clear" w:color="auto" w:fill="auto"/>
            <w:vAlign w:val="center"/>
            <w:hideMark/>
          </w:tcPr>
          <w:p w14:paraId="3554708B" w14:textId="174875E9" w:rsidR="00395C56" w:rsidRPr="00B326CC" w:rsidRDefault="0041077F" w:rsidP="00572FDE">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210</w:t>
            </w:r>
          </w:p>
        </w:tc>
        <w:tc>
          <w:tcPr>
            <w:tcW w:w="400" w:type="pct"/>
            <w:tcBorders>
              <w:top w:val="nil"/>
              <w:left w:val="nil"/>
              <w:bottom w:val="nil"/>
              <w:right w:val="nil"/>
            </w:tcBorders>
            <w:shd w:val="clear" w:color="auto" w:fill="auto"/>
            <w:vAlign w:val="center"/>
            <w:hideMark/>
          </w:tcPr>
          <w:p w14:paraId="036E5EF0" w14:textId="2F09C27E" w:rsidR="00395C56" w:rsidRPr="00B326CC" w:rsidRDefault="0041077F" w:rsidP="00572FDE">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210</w:t>
            </w:r>
          </w:p>
        </w:tc>
        <w:tc>
          <w:tcPr>
            <w:tcW w:w="355" w:type="pct"/>
            <w:tcBorders>
              <w:top w:val="nil"/>
              <w:left w:val="nil"/>
              <w:bottom w:val="nil"/>
              <w:right w:val="nil"/>
            </w:tcBorders>
            <w:shd w:val="clear" w:color="auto" w:fill="auto"/>
            <w:vAlign w:val="center"/>
            <w:hideMark/>
          </w:tcPr>
          <w:p w14:paraId="3C3CD9E1" w14:textId="3CF0F917" w:rsidR="00395C56" w:rsidRPr="00B326CC" w:rsidRDefault="0041077F" w:rsidP="00572FDE">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000239A1">
              <w:rPr>
                <w:rFonts w:ascii="Times New Roman" w:eastAsia="Times New Roman" w:hAnsi="Times New Roman" w:cs="Times New Roman"/>
                <w:sz w:val="20"/>
                <w:szCs w:val="20"/>
              </w:rPr>
              <w:t>3</w:t>
            </w:r>
            <w:r w:rsidR="00395C56" w:rsidRPr="00B326CC">
              <w:rPr>
                <w:rFonts w:ascii="Times New Roman" w:eastAsia="Times New Roman" w:hAnsi="Times New Roman" w:cs="Times New Roman"/>
                <w:sz w:val="20"/>
                <w:szCs w:val="20"/>
              </w:rPr>
              <w:t>0</w:t>
            </w:r>
          </w:p>
        </w:tc>
        <w:tc>
          <w:tcPr>
            <w:tcW w:w="364" w:type="pct"/>
            <w:gridSpan w:val="2"/>
            <w:tcBorders>
              <w:top w:val="nil"/>
              <w:left w:val="nil"/>
              <w:bottom w:val="nil"/>
              <w:right w:val="nil"/>
            </w:tcBorders>
            <w:shd w:val="clear" w:color="auto" w:fill="auto"/>
            <w:vAlign w:val="center"/>
            <w:hideMark/>
          </w:tcPr>
          <w:p w14:paraId="057F6B87" w14:textId="77777777" w:rsidR="00395C56" w:rsidRPr="00B326CC" w:rsidRDefault="00395C56" w:rsidP="00572FDE">
            <w:pPr>
              <w:spacing w:after="0" w:line="240" w:lineRule="auto"/>
              <w:jc w:val="right"/>
              <w:rPr>
                <w:rFonts w:ascii="Times New Roman" w:eastAsia="Times New Roman" w:hAnsi="Times New Roman" w:cs="Times New Roman"/>
                <w:sz w:val="20"/>
                <w:szCs w:val="20"/>
              </w:rPr>
            </w:pPr>
            <w:r w:rsidRPr="00B326CC">
              <w:rPr>
                <w:rFonts w:ascii="Times New Roman" w:eastAsia="Times New Roman" w:hAnsi="Times New Roman" w:cs="Times New Roman"/>
                <w:sz w:val="20"/>
                <w:szCs w:val="20"/>
              </w:rPr>
              <w:t>-</w:t>
            </w:r>
          </w:p>
        </w:tc>
        <w:tc>
          <w:tcPr>
            <w:tcW w:w="306" w:type="pct"/>
            <w:gridSpan w:val="2"/>
            <w:tcBorders>
              <w:top w:val="nil"/>
              <w:left w:val="nil"/>
              <w:bottom w:val="nil"/>
              <w:right w:val="nil"/>
            </w:tcBorders>
            <w:shd w:val="clear" w:color="auto" w:fill="auto"/>
            <w:vAlign w:val="center"/>
            <w:hideMark/>
          </w:tcPr>
          <w:p w14:paraId="044CC4E8" w14:textId="77777777" w:rsidR="00395C56" w:rsidRPr="00B326CC" w:rsidRDefault="00395C56" w:rsidP="00572FDE">
            <w:pPr>
              <w:spacing w:after="0" w:line="240" w:lineRule="auto"/>
              <w:jc w:val="right"/>
              <w:rPr>
                <w:rFonts w:ascii="Times New Roman" w:eastAsia="Times New Roman" w:hAnsi="Times New Roman" w:cs="Times New Roman"/>
                <w:sz w:val="20"/>
                <w:szCs w:val="20"/>
              </w:rPr>
            </w:pPr>
            <w:r w:rsidRPr="00B326CC">
              <w:rPr>
                <w:rFonts w:ascii="Times New Roman" w:eastAsia="Times New Roman" w:hAnsi="Times New Roman" w:cs="Times New Roman"/>
                <w:sz w:val="20"/>
                <w:szCs w:val="20"/>
              </w:rPr>
              <w:t>-</w:t>
            </w:r>
          </w:p>
        </w:tc>
        <w:tc>
          <w:tcPr>
            <w:tcW w:w="440" w:type="pct"/>
            <w:gridSpan w:val="2"/>
            <w:tcBorders>
              <w:top w:val="nil"/>
              <w:left w:val="nil"/>
              <w:bottom w:val="nil"/>
              <w:right w:val="nil"/>
            </w:tcBorders>
            <w:shd w:val="clear" w:color="auto" w:fill="auto"/>
            <w:vAlign w:val="center"/>
            <w:hideMark/>
          </w:tcPr>
          <w:p w14:paraId="102AA7DD" w14:textId="5179D869" w:rsidR="00395C56" w:rsidRPr="00B326CC" w:rsidRDefault="0041077F" w:rsidP="00572FDE">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5</w:t>
            </w:r>
            <w:r w:rsidR="00395C56" w:rsidRPr="00B326CC">
              <w:rPr>
                <w:rFonts w:ascii="Times New Roman" w:eastAsia="Times New Roman" w:hAnsi="Times New Roman" w:cs="Times New Roman"/>
                <w:sz w:val="20"/>
                <w:szCs w:val="20"/>
              </w:rPr>
              <w:t>50</w:t>
            </w:r>
          </w:p>
        </w:tc>
        <w:tc>
          <w:tcPr>
            <w:tcW w:w="398" w:type="pct"/>
            <w:tcBorders>
              <w:top w:val="nil"/>
              <w:left w:val="nil"/>
              <w:bottom w:val="nil"/>
              <w:right w:val="nil"/>
            </w:tcBorders>
            <w:shd w:val="clear" w:color="auto" w:fill="auto"/>
            <w:vAlign w:val="center"/>
            <w:hideMark/>
          </w:tcPr>
          <w:p w14:paraId="4F7689DF" w14:textId="39BD8B53" w:rsidR="00395C56" w:rsidRPr="00B326CC" w:rsidRDefault="0041077F" w:rsidP="00572FDE">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58</w:t>
            </w:r>
          </w:p>
        </w:tc>
        <w:tc>
          <w:tcPr>
            <w:tcW w:w="487" w:type="pct"/>
            <w:tcBorders>
              <w:top w:val="nil"/>
              <w:left w:val="nil"/>
              <w:bottom w:val="nil"/>
              <w:right w:val="nil"/>
            </w:tcBorders>
            <w:shd w:val="clear" w:color="auto" w:fill="auto"/>
            <w:vAlign w:val="center"/>
          </w:tcPr>
          <w:p w14:paraId="11941FE2" w14:textId="23CA9095" w:rsidR="00395C56" w:rsidRPr="00B326CC" w:rsidRDefault="00395C56" w:rsidP="00572FDE">
            <w:pPr>
              <w:spacing w:after="0" w:line="240" w:lineRule="auto"/>
              <w:jc w:val="right"/>
              <w:rPr>
                <w:rFonts w:ascii="Times New Roman" w:eastAsia="Times New Roman" w:hAnsi="Times New Roman" w:cs="Times New Roman"/>
                <w:sz w:val="20"/>
                <w:szCs w:val="20"/>
              </w:rPr>
            </w:pPr>
          </w:p>
        </w:tc>
      </w:tr>
      <w:tr w:rsidR="00395C56" w:rsidRPr="00B326CC" w14:paraId="3DCED17B" w14:textId="77777777" w:rsidTr="00A6265D">
        <w:trPr>
          <w:trHeight w:val="470"/>
        </w:trPr>
        <w:tc>
          <w:tcPr>
            <w:tcW w:w="1889" w:type="pct"/>
            <w:gridSpan w:val="2"/>
            <w:tcBorders>
              <w:top w:val="nil"/>
              <w:left w:val="nil"/>
              <w:bottom w:val="single" w:sz="4" w:space="0" w:color="auto"/>
              <w:right w:val="nil"/>
            </w:tcBorders>
            <w:shd w:val="clear" w:color="auto" w:fill="auto"/>
            <w:vAlign w:val="center"/>
            <w:hideMark/>
          </w:tcPr>
          <w:p w14:paraId="2ED9D6E5" w14:textId="77777777" w:rsidR="00395C56" w:rsidRPr="00B326CC" w:rsidRDefault="00395C56" w:rsidP="00F561E8">
            <w:pPr>
              <w:pStyle w:val="ListParagraph"/>
              <w:numPr>
                <w:ilvl w:val="0"/>
                <w:numId w:val="40"/>
              </w:numPr>
              <w:spacing w:after="0" w:line="240" w:lineRule="auto"/>
              <w:ind w:left="340"/>
              <w:rPr>
                <w:rFonts w:ascii="Times New Roman" w:eastAsia="Times New Roman" w:hAnsi="Times New Roman" w:cs="Times New Roman"/>
                <w:color w:val="000000"/>
                <w:sz w:val="20"/>
                <w:szCs w:val="20"/>
              </w:rPr>
            </w:pPr>
            <w:r w:rsidRPr="00B326CC">
              <w:rPr>
                <w:rFonts w:ascii="Times New Roman" w:eastAsia="Times New Roman" w:hAnsi="Times New Roman" w:cs="Times New Roman"/>
                <w:color w:val="000000"/>
                <w:sz w:val="20"/>
                <w:szCs w:val="20"/>
              </w:rPr>
              <w:t>Improving access to information</w:t>
            </w:r>
          </w:p>
        </w:tc>
        <w:tc>
          <w:tcPr>
            <w:tcW w:w="362" w:type="pct"/>
            <w:gridSpan w:val="2"/>
            <w:tcBorders>
              <w:top w:val="nil"/>
              <w:left w:val="nil"/>
              <w:bottom w:val="single" w:sz="4" w:space="0" w:color="auto"/>
              <w:right w:val="nil"/>
            </w:tcBorders>
            <w:shd w:val="clear" w:color="auto" w:fill="auto"/>
            <w:vAlign w:val="center"/>
            <w:hideMark/>
          </w:tcPr>
          <w:p w14:paraId="7615D88B" w14:textId="77777777" w:rsidR="00395C56" w:rsidRPr="00B326CC" w:rsidRDefault="00395C56" w:rsidP="00572FDE">
            <w:pPr>
              <w:spacing w:after="0" w:line="240" w:lineRule="auto"/>
              <w:jc w:val="right"/>
              <w:rPr>
                <w:rFonts w:ascii="Times New Roman" w:eastAsia="Times New Roman" w:hAnsi="Times New Roman" w:cs="Times New Roman"/>
                <w:sz w:val="20"/>
                <w:szCs w:val="20"/>
              </w:rPr>
            </w:pPr>
            <w:r w:rsidRPr="00B326CC">
              <w:rPr>
                <w:rFonts w:ascii="Times New Roman" w:eastAsia="Times New Roman" w:hAnsi="Times New Roman" w:cs="Times New Roman"/>
                <w:sz w:val="20"/>
                <w:szCs w:val="20"/>
              </w:rPr>
              <w:t>2</w:t>
            </w:r>
          </w:p>
        </w:tc>
        <w:tc>
          <w:tcPr>
            <w:tcW w:w="400" w:type="pct"/>
            <w:tcBorders>
              <w:top w:val="nil"/>
              <w:left w:val="nil"/>
              <w:bottom w:val="single" w:sz="4" w:space="0" w:color="auto"/>
              <w:right w:val="nil"/>
            </w:tcBorders>
            <w:shd w:val="clear" w:color="auto" w:fill="auto"/>
            <w:vAlign w:val="center"/>
            <w:hideMark/>
          </w:tcPr>
          <w:p w14:paraId="3F214608" w14:textId="77777777" w:rsidR="00395C56" w:rsidRPr="00B326CC" w:rsidRDefault="00395C56" w:rsidP="00572FDE">
            <w:pPr>
              <w:spacing w:after="0" w:line="240" w:lineRule="auto"/>
              <w:jc w:val="right"/>
              <w:rPr>
                <w:rFonts w:ascii="Times New Roman" w:eastAsia="Times New Roman" w:hAnsi="Times New Roman" w:cs="Times New Roman"/>
                <w:sz w:val="20"/>
                <w:szCs w:val="20"/>
              </w:rPr>
            </w:pPr>
            <w:r w:rsidRPr="00B326CC">
              <w:rPr>
                <w:rFonts w:ascii="Times New Roman" w:eastAsia="Times New Roman" w:hAnsi="Times New Roman" w:cs="Times New Roman"/>
                <w:sz w:val="20"/>
                <w:szCs w:val="20"/>
              </w:rPr>
              <w:t>2</w:t>
            </w:r>
          </w:p>
        </w:tc>
        <w:tc>
          <w:tcPr>
            <w:tcW w:w="355" w:type="pct"/>
            <w:tcBorders>
              <w:top w:val="nil"/>
              <w:left w:val="nil"/>
              <w:bottom w:val="single" w:sz="4" w:space="0" w:color="auto"/>
              <w:right w:val="nil"/>
            </w:tcBorders>
            <w:shd w:val="clear" w:color="auto" w:fill="auto"/>
            <w:vAlign w:val="center"/>
            <w:hideMark/>
          </w:tcPr>
          <w:p w14:paraId="7A886C5B" w14:textId="77777777" w:rsidR="00395C56" w:rsidRPr="00B326CC" w:rsidRDefault="00395C56" w:rsidP="00572FDE">
            <w:pPr>
              <w:spacing w:after="0" w:line="240" w:lineRule="auto"/>
              <w:jc w:val="right"/>
              <w:rPr>
                <w:rFonts w:ascii="Times New Roman" w:eastAsia="Times New Roman" w:hAnsi="Times New Roman" w:cs="Times New Roman"/>
                <w:sz w:val="20"/>
                <w:szCs w:val="20"/>
              </w:rPr>
            </w:pPr>
            <w:r w:rsidRPr="00B326CC">
              <w:rPr>
                <w:rFonts w:ascii="Times New Roman" w:eastAsia="Times New Roman" w:hAnsi="Times New Roman" w:cs="Times New Roman"/>
                <w:sz w:val="20"/>
                <w:szCs w:val="20"/>
              </w:rPr>
              <w:t>2</w:t>
            </w:r>
          </w:p>
        </w:tc>
        <w:tc>
          <w:tcPr>
            <w:tcW w:w="364" w:type="pct"/>
            <w:gridSpan w:val="2"/>
            <w:tcBorders>
              <w:top w:val="nil"/>
              <w:left w:val="nil"/>
              <w:bottom w:val="single" w:sz="4" w:space="0" w:color="auto"/>
              <w:right w:val="nil"/>
            </w:tcBorders>
            <w:shd w:val="clear" w:color="auto" w:fill="auto"/>
            <w:vAlign w:val="center"/>
            <w:hideMark/>
          </w:tcPr>
          <w:p w14:paraId="5EB1DBE3" w14:textId="77777777" w:rsidR="00395C56" w:rsidRPr="00B326CC" w:rsidRDefault="00395C56" w:rsidP="00572FDE">
            <w:pPr>
              <w:spacing w:after="0" w:line="240" w:lineRule="auto"/>
              <w:jc w:val="right"/>
              <w:rPr>
                <w:rFonts w:ascii="Times New Roman" w:eastAsia="Times New Roman" w:hAnsi="Times New Roman" w:cs="Times New Roman"/>
                <w:sz w:val="20"/>
                <w:szCs w:val="20"/>
              </w:rPr>
            </w:pPr>
            <w:r w:rsidRPr="00B326CC">
              <w:rPr>
                <w:rFonts w:ascii="Times New Roman" w:eastAsia="Times New Roman" w:hAnsi="Times New Roman" w:cs="Times New Roman"/>
                <w:sz w:val="20"/>
                <w:szCs w:val="20"/>
              </w:rPr>
              <w:t>2</w:t>
            </w:r>
          </w:p>
        </w:tc>
        <w:tc>
          <w:tcPr>
            <w:tcW w:w="306" w:type="pct"/>
            <w:gridSpan w:val="2"/>
            <w:tcBorders>
              <w:top w:val="nil"/>
              <w:left w:val="nil"/>
              <w:bottom w:val="single" w:sz="4" w:space="0" w:color="auto"/>
              <w:right w:val="nil"/>
            </w:tcBorders>
            <w:shd w:val="clear" w:color="auto" w:fill="auto"/>
            <w:vAlign w:val="center"/>
            <w:hideMark/>
          </w:tcPr>
          <w:p w14:paraId="684D84FB" w14:textId="77777777" w:rsidR="00395C56" w:rsidRPr="00B326CC" w:rsidRDefault="00395C56" w:rsidP="00572FDE">
            <w:pPr>
              <w:spacing w:after="0" w:line="240" w:lineRule="auto"/>
              <w:jc w:val="right"/>
              <w:rPr>
                <w:rFonts w:ascii="Times New Roman" w:eastAsia="Times New Roman" w:hAnsi="Times New Roman" w:cs="Times New Roman"/>
                <w:sz w:val="20"/>
                <w:szCs w:val="20"/>
              </w:rPr>
            </w:pPr>
            <w:r w:rsidRPr="00B326CC">
              <w:rPr>
                <w:rFonts w:ascii="Times New Roman" w:eastAsia="Times New Roman" w:hAnsi="Times New Roman" w:cs="Times New Roman"/>
                <w:sz w:val="20"/>
                <w:szCs w:val="20"/>
              </w:rPr>
              <w:t>-</w:t>
            </w:r>
          </w:p>
        </w:tc>
        <w:tc>
          <w:tcPr>
            <w:tcW w:w="440" w:type="pct"/>
            <w:gridSpan w:val="2"/>
            <w:tcBorders>
              <w:top w:val="nil"/>
              <w:left w:val="nil"/>
              <w:bottom w:val="single" w:sz="4" w:space="0" w:color="auto"/>
              <w:right w:val="nil"/>
            </w:tcBorders>
            <w:shd w:val="clear" w:color="auto" w:fill="auto"/>
            <w:vAlign w:val="center"/>
            <w:hideMark/>
          </w:tcPr>
          <w:p w14:paraId="00F37225" w14:textId="77777777" w:rsidR="00395C56" w:rsidRPr="00B326CC" w:rsidRDefault="00395C56" w:rsidP="00572FDE">
            <w:pPr>
              <w:spacing w:after="0" w:line="240" w:lineRule="auto"/>
              <w:jc w:val="right"/>
              <w:rPr>
                <w:rFonts w:ascii="Times New Roman" w:eastAsia="Times New Roman" w:hAnsi="Times New Roman" w:cs="Times New Roman"/>
                <w:sz w:val="20"/>
                <w:szCs w:val="20"/>
              </w:rPr>
            </w:pPr>
            <w:r w:rsidRPr="00B326CC">
              <w:rPr>
                <w:rFonts w:ascii="Times New Roman" w:eastAsia="Times New Roman" w:hAnsi="Times New Roman" w:cs="Times New Roman"/>
                <w:sz w:val="20"/>
                <w:szCs w:val="20"/>
              </w:rPr>
              <w:t>9</w:t>
            </w:r>
          </w:p>
        </w:tc>
        <w:tc>
          <w:tcPr>
            <w:tcW w:w="398" w:type="pct"/>
            <w:tcBorders>
              <w:top w:val="nil"/>
              <w:left w:val="nil"/>
              <w:bottom w:val="single" w:sz="4" w:space="0" w:color="auto"/>
              <w:right w:val="nil"/>
            </w:tcBorders>
            <w:shd w:val="clear" w:color="auto" w:fill="auto"/>
            <w:vAlign w:val="center"/>
            <w:hideMark/>
          </w:tcPr>
          <w:p w14:paraId="166EAA92" w14:textId="77777777" w:rsidR="00395C56" w:rsidRPr="00B326CC" w:rsidRDefault="00395C56" w:rsidP="00572FDE">
            <w:pPr>
              <w:spacing w:after="0" w:line="240" w:lineRule="auto"/>
              <w:jc w:val="right"/>
              <w:rPr>
                <w:rFonts w:ascii="Times New Roman" w:eastAsia="Times New Roman" w:hAnsi="Times New Roman" w:cs="Times New Roman"/>
                <w:sz w:val="20"/>
                <w:szCs w:val="20"/>
              </w:rPr>
            </w:pPr>
            <w:r w:rsidRPr="00B326CC">
              <w:rPr>
                <w:rFonts w:ascii="Times New Roman" w:eastAsia="Times New Roman" w:hAnsi="Times New Roman" w:cs="Times New Roman"/>
                <w:sz w:val="20"/>
                <w:szCs w:val="20"/>
              </w:rPr>
              <w:t>1</w:t>
            </w:r>
          </w:p>
        </w:tc>
        <w:tc>
          <w:tcPr>
            <w:tcW w:w="487" w:type="pct"/>
            <w:tcBorders>
              <w:top w:val="nil"/>
              <w:left w:val="nil"/>
              <w:bottom w:val="single" w:sz="4" w:space="0" w:color="auto"/>
              <w:right w:val="nil"/>
            </w:tcBorders>
            <w:shd w:val="clear" w:color="auto" w:fill="auto"/>
            <w:vAlign w:val="center"/>
          </w:tcPr>
          <w:p w14:paraId="2E924E33" w14:textId="2D1970B5" w:rsidR="00395C56" w:rsidRPr="00B326CC" w:rsidRDefault="00395C56" w:rsidP="00572FDE">
            <w:pPr>
              <w:spacing w:after="0" w:line="240" w:lineRule="auto"/>
              <w:jc w:val="right"/>
              <w:rPr>
                <w:rFonts w:ascii="Times New Roman" w:eastAsia="Times New Roman" w:hAnsi="Times New Roman" w:cs="Times New Roman"/>
                <w:sz w:val="20"/>
                <w:szCs w:val="20"/>
              </w:rPr>
            </w:pPr>
          </w:p>
        </w:tc>
      </w:tr>
      <w:tr w:rsidR="00395C56" w:rsidRPr="00B326CC" w14:paraId="50BCB3A5" w14:textId="77777777" w:rsidTr="00A6265D">
        <w:trPr>
          <w:trHeight w:val="260"/>
        </w:trPr>
        <w:tc>
          <w:tcPr>
            <w:tcW w:w="1889" w:type="pct"/>
            <w:gridSpan w:val="2"/>
            <w:tcBorders>
              <w:top w:val="nil"/>
              <w:left w:val="nil"/>
              <w:bottom w:val="single" w:sz="4" w:space="0" w:color="auto"/>
              <w:right w:val="nil"/>
            </w:tcBorders>
            <w:shd w:val="clear" w:color="auto" w:fill="auto"/>
            <w:vAlign w:val="center"/>
            <w:hideMark/>
          </w:tcPr>
          <w:p w14:paraId="424740CD" w14:textId="77777777" w:rsidR="00395C56" w:rsidRPr="00B326CC" w:rsidRDefault="00395C56" w:rsidP="00572FDE">
            <w:pPr>
              <w:spacing w:after="0" w:line="240" w:lineRule="auto"/>
              <w:rPr>
                <w:rFonts w:ascii="Times New Roman" w:eastAsia="Times New Roman" w:hAnsi="Times New Roman" w:cs="Times New Roman"/>
                <w:b/>
                <w:bCs/>
                <w:color w:val="000000"/>
                <w:sz w:val="20"/>
                <w:szCs w:val="20"/>
              </w:rPr>
            </w:pPr>
            <w:r w:rsidRPr="00B326CC">
              <w:rPr>
                <w:rFonts w:ascii="Times New Roman" w:eastAsia="Times New Roman" w:hAnsi="Times New Roman" w:cs="Times New Roman"/>
                <w:b/>
                <w:bCs/>
                <w:color w:val="000000"/>
                <w:sz w:val="20"/>
                <w:szCs w:val="20"/>
              </w:rPr>
              <w:t>Result area 2</w:t>
            </w:r>
          </w:p>
        </w:tc>
        <w:tc>
          <w:tcPr>
            <w:tcW w:w="362" w:type="pct"/>
            <w:gridSpan w:val="2"/>
            <w:tcBorders>
              <w:top w:val="nil"/>
              <w:left w:val="nil"/>
              <w:bottom w:val="single" w:sz="4" w:space="0" w:color="auto"/>
              <w:right w:val="nil"/>
            </w:tcBorders>
            <w:shd w:val="clear" w:color="auto" w:fill="auto"/>
            <w:vAlign w:val="center"/>
            <w:hideMark/>
          </w:tcPr>
          <w:p w14:paraId="428DC3DA" w14:textId="77777777" w:rsidR="00395C56" w:rsidRPr="00B326CC" w:rsidRDefault="00395C56" w:rsidP="00572FDE">
            <w:pPr>
              <w:spacing w:after="0" w:line="240" w:lineRule="auto"/>
              <w:jc w:val="right"/>
              <w:rPr>
                <w:rFonts w:ascii="Times New Roman" w:eastAsia="Times New Roman" w:hAnsi="Times New Roman" w:cs="Times New Roman"/>
                <w:b/>
                <w:bCs/>
                <w:sz w:val="20"/>
                <w:szCs w:val="20"/>
              </w:rPr>
            </w:pPr>
            <w:r w:rsidRPr="00B326CC">
              <w:rPr>
                <w:rFonts w:ascii="Times New Roman" w:eastAsia="Times New Roman" w:hAnsi="Times New Roman" w:cs="Times New Roman"/>
                <w:b/>
                <w:bCs/>
                <w:sz w:val="20"/>
                <w:szCs w:val="20"/>
              </w:rPr>
              <w:t>448</w:t>
            </w:r>
          </w:p>
        </w:tc>
        <w:tc>
          <w:tcPr>
            <w:tcW w:w="400" w:type="pct"/>
            <w:tcBorders>
              <w:top w:val="nil"/>
              <w:left w:val="nil"/>
              <w:bottom w:val="single" w:sz="4" w:space="0" w:color="auto"/>
              <w:right w:val="nil"/>
            </w:tcBorders>
            <w:shd w:val="clear" w:color="auto" w:fill="auto"/>
            <w:vAlign w:val="center"/>
            <w:hideMark/>
          </w:tcPr>
          <w:p w14:paraId="539F51B2" w14:textId="77777777" w:rsidR="00395C56" w:rsidRPr="00B326CC" w:rsidRDefault="00395C56" w:rsidP="00572FDE">
            <w:pPr>
              <w:spacing w:after="0" w:line="240" w:lineRule="auto"/>
              <w:jc w:val="right"/>
              <w:rPr>
                <w:rFonts w:ascii="Times New Roman" w:eastAsia="Times New Roman" w:hAnsi="Times New Roman" w:cs="Times New Roman"/>
                <w:b/>
                <w:bCs/>
                <w:sz w:val="20"/>
                <w:szCs w:val="20"/>
              </w:rPr>
            </w:pPr>
            <w:r w:rsidRPr="00B326CC">
              <w:rPr>
                <w:rFonts w:ascii="Times New Roman" w:eastAsia="Times New Roman" w:hAnsi="Times New Roman" w:cs="Times New Roman"/>
                <w:b/>
                <w:bCs/>
                <w:sz w:val="20"/>
                <w:szCs w:val="20"/>
              </w:rPr>
              <w:t>477</w:t>
            </w:r>
          </w:p>
        </w:tc>
        <w:tc>
          <w:tcPr>
            <w:tcW w:w="355" w:type="pct"/>
            <w:tcBorders>
              <w:top w:val="nil"/>
              <w:left w:val="nil"/>
              <w:bottom w:val="single" w:sz="4" w:space="0" w:color="auto"/>
              <w:right w:val="nil"/>
            </w:tcBorders>
            <w:shd w:val="clear" w:color="auto" w:fill="auto"/>
            <w:vAlign w:val="center"/>
            <w:hideMark/>
          </w:tcPr>
          <w:p w14:paraId="220DE8CA" w14:textId="77777777" w:rsidR="00395C56" w:rsidRPr="00B326CC" w:rsidRDefault="00395C56" w:rsidP="00572FDE">
            <w:pPr>
              <w:spacing w:after="0" w:line="240" w:lineRule="auto"/>
              <w:jc w:val="right"/>
              <w:rPr>
                <w:rFonts w:ascii="Times New Roman" w:eastAsia="Times New Roman" w:hAnsi="Times New Roman" w:cs="Times New Roman"/>
                <w:b/>
                <w:bCs/>
                <w:sz w:val="20"/>
                <w:szCs w:val="20"/>
              </w:rPr>
            </w:pPr>
            <w:r w:rsidRPr="00B326CC">
              <w:rPr>
                <w:rFonts w:ascii="Times New Roman" w:eastAsia="Times New Roman" w:hAnsi="Times New Roman" w:cs="Times New Roman"/>
                <w:b/>
                <w:bCs/>
                <w:sz w:val="20"/>
                <w:szCs w:val="20"/>
              </w:rPr>
              <w:t>477</w:t>
            </w:r>
          </w:p>
        </w:tc>
        <w:tc>
          <w:tcPr>
            <w:tcW w:w="364" w:type="pct"/>
            <w:gridSpan w:val="2"/>
            <w:tcBorders>
              <w:top w:val="nil"/>
              <w:left w:val="nil"/>
              <w:bottom w:val="single" w:sz="4" w:space="0" w:color="auto"/>
              <w:right w:val="nil"/>
            </w:tcBorders>
            <w:shd w:val="clear" w:color="auto" w:fill="auto"/>
            <w:vAlign w:val="center"/>
            <w:hideMark/>
          </w:tcPr>
          <w:p w14:paraId="0AA86008" w14:textId="77777777" w:rsidR="00395C56" w:rsidRPr="00B326CC" w:rsidRDefault="00395C56" w:rsidP="00572FDE">
            <w:pPr>
              <w:spacing w:after="0" w:line="240" w:lineRule="auto"/>
              <w:jc w:val="right"/>
              <w:rPr>
                <w:rFonts w:ascii="Times New Roman" w:eastAsia="Times New Roman" w:hAnsi="Times New Roman" w:cs="Times New Roman"/>
                <w:b/>
                <w:bCs/>
                <w:sz w:val="20"/>
                <w:szCs w:val="20"/>
              </w:rPr>
            </w:pPr>
            <w:r w:rsidRPr="00B326CC">
              <w:rPr>
                <w:rFonts w:ascii="Times New Roman" w:eastAsia="Times New Roman" w:hAnsi="Times New Roman" w:cs="Times New Roman"/>
                <w:b/>
                <w:bCs/>
                <w:sz w:val="20"/>
                <w:szCs w:val="20"/>
              </w:rPr>
              <w:t>449</w:t>
            </w:r>
          </w:p>
        </w:tc>
        <w:tc>
          <w:tcPr>
            <w:tcW w:w="306" w:type="pct"/>
            <w:gridSpan w:val="2"/>
            <w:tcBorders>
              <w:top w:val="nil"/>
              <w:left w:val="nil"/>
              <w:bottom w:val="single" w:sz="4" w:space="0" w:color="auto"/>
              <w:right w:val="nil"/>
            </w:tcBorders>
            <w:shd w:val="clear" w:color="auto" w:fill="auto"/>
            <w:vAlign w:val="center"/>
            <w:hideMark/>
          </w:tcPr>
          <w:p w14:paraId="7878D3CB" w14:textId="77777777" w:rsidR="00395C56" w:rsidRPr="00B326CC" w:rsidRDefault="00395C56" w:rsidP="00572FDE">
            <w:pPr>
              <w:spacing w:after="0" w:line="240" w:lineRule="auto"/>
              <w:jc w:val="right"/>
              <w:rPr>
                <w:rFonts w:ascii="Times New Roman" w:eastAsia="Times New Roman" w:hAnsi="Times New Roman" w:cs="Times New Roman"/>
                <w:b/>
                <w:bCs/>
                <w:sz w:val="20"/>
                <w:szCs w:val="20"/>
              </w:rPr>
            </w:pPr>
            <w:r w:rsidRPr="00B326CC">
              <w:rPr>
                <w:rFonts w:ascii="Times New Roman" w:eastAsia="Times New Roman" w:hAnsi="Times New Roman" w:cs="Times New Roman"/>
                <w:b/>
                <w:bCs/>
                <w:sz w:val="20"/>
                <w:szCs w:val="20"/>
              </w:rPr>
              <w:t>449</w:t>
            </w:r>
          </w:p>
        </w:tc>
        <w:tc>
          <w:tcPr>
            <w:tcW w:w="440" w:type="pct"/>
            <w:gridSpan w:val="2"/>
            <w:tcBorders>
              <w:top w:val="nil"/>
              <w:left w:val="nil"/>
              <w:bottom w:val="single" w:sz="4" w:space="0" w:color="auto"/>
              <w:right w:val="nil"/>
            </w:tcBorders>
            <w:shd w:val="clear" w:color="auto" w:fill="auto"/>
            <w:vAlign w:val="center"/>
            <w:hideMark/>
          </w:tcPr>
          <w:p w14:paraId="4E61F820" w14:textId="77777777" w:rsidR="00395C56" w:rsidRPr="00B326CC" w:rsidRDefault="00395C56" w:rsidP="00572FDE">
            <w:pPr>
              <w:spacing w:after="0" w:line="240" w:lineRule="auto"/>
              <w:jc w:val="right"/>
              <w:rPr>
                <w:rFonts w:ascii="Times New Roman" w:eastAsia="Times New Roman" w:hAnsi="Times New Roman" w:cs="Times New Roman"/>
                <w:b/>
                <w:bCs/>
                <w:sz w:val="20"/>
                <w:szCs w:val="20"/>
              </w:rPr>
            </w:pPr>
            <w:r w:rsidRPr="00B326CC">
              <w:rPr>
                <w:rFonts w:ascii="Times New Roman" w:eastAsia="Times New Roman" w:hAnsi="Times New Roman" w:cs="Times New Roman"/>
                <w:b/>
                <w:bCs/>
                <w:sz w:val="20"/>
                <w:szCs w:val="20"/>
              </w:rPr>
              <w:t>2300</w:t>
            </w:r>
          </w:p>
        </w:tc>
        <w:tc>
          <w:tcPr>
            <w:tcW w:w="398" w:type="pct"/>
            <w:tcBorders>
              <w:top w:val="nil"/>
              <w:left w:val="nil"/>
              <w:bottom w:val="single" w:sz="4" w:space="0" w:color="auto"/>
              <w:right w:val="nil"/>
            </w:tcBorders>
            <w:shd w:val="clear" w:color="auto" w:fill="auto"/>
            <w:vAlign w:val="center"/>
            <w:hideMark/>
          </w:tcPr>
          <w:p w14:paraId="1F78B453" w14:textId="77777777" w:rsidR="00395C56" w:rsidRPr="00B326CC" w:rsidRDefault="00395C56" w:rsidP="00572FDE">
            <w:pPr>
              <w:spacing w:after="0" w:line="240" w:lineRule="auto"/>
              <w:jc w:val="right"/>
              <w:rPr>
                <w:rFonts w:ascii="Times New Roman" w:eastAsia="Times New Roman" w:hAnsi="Times New Roman" w:cs="Times New Roman"/>
                <w:b/>
                <w:bCs/>
                <w:sz w:val="20"/>
                <w:szCs w:val="20"/>
              </w:rPr>
            </w:pPr>
            <w:r w:rsidRPr="00B326CC">
              <w:rPr>
                <w:rFonts w:ascii="Times New Roman" w:eastAsia="Times New Roman" w:hAnsi="Times New Roman" w:cs="Times New Roman"/>
                <w:b/>
                <w:bCs/>
                <w:sz w:val="20"/>
                <w:szCs w:val="20"/>
              </w:rPr>
              <w:t>245</w:t>
            </w:r>
          </w:p>
        </w:tc>
        <w:tc>
          <w:tcPr>
            <w:tcW w:w="487" w:type="pct"/>
            <w:tcBorders>
              <w:top w:val="nil"/>
              <w:left w:val="nil"/>
              <w:bottom w:val="single" w:sz="4" w:space="0" w:color="auto"/>
              <w:right w:val="nil"/>
            </w:tcBorders>
            <w:shd w:val="clear" w:color="auto" w:fill="auto"/>
            <w:vAlign w:val="center"/>
          </w:tcPr>
          <w:p w14:paraId="74AA9FAD" w14:textId="44059BA8" w:rsidR="00395C56" w:rsidRPr="00B326CC" w:rsidRDefault="00395C56" w:rsidP="00572FDE">
            <w:pPr>
              <w:spacing w:after="0" w:line="240" w:lineRule="auto"/>
              <w:jc w:val="right"/>
              <w:rPr>
                <w:rFonts w:ascii="Times New Roman" w:eastAsia="Times New Roman" w:hAnsi="Times New Roman" w:cs="Times New Roman"/>
                <w:b/>
                <w:bCs/>
                <w:sz w:val="20"/>
                <w:szCs w:val="20"/>
              </w:rPr>
            </w:pPr>
          </w:p>
        </w:tc>
      </w:tr>
      <w:tr w:rsidR="00395C56" w:rsidRPr="00B326CC" w14:paraId="02188528" w14:textId="77777777" w:rsidTr="00A6265D">
        <w:trPr>
          <w:trHeight w:val="530"/>
        </w:trPr>
        <w:tc>
          <w:tcPr>
            <w:tcW w:w="1889" w:type="pct"/>
            <w:gridSpan w:val="2"/>
            <w:tcBorders>
              <w:top w:val="nil"/>
              <w:left w:val="nil"/>
              <w:bottom w:val="nil"/>
              <w:right w:val="nil"/>
            </w:tcBorders>
            <w:shd w:val="clear" w:color="auto" w:fill="auto"/>
            <w:vAlign w:val="center"/>
            <w:hideMark/>
          </w:tcPr>
          <w:p w14:paraId="7244AE42" w14:textId="77777777" w:rsidR="00395C56" w:rsidRPr="00B326CC" w:rsidRDefault="00395C56" w:rsidP="00F561E8">
            <w:pPr>
              <w:pStyle w:val="ListParagraph"/>
              <w:numPr>
                <w:ilvl w:val="0"/>
                <w:numId w:val="40"/>
              </w:numPr>
              <w:spacing w:after="0" w:line="240" w:lineRule="auto"/>
              <w:ind w:left="340"/>
              <w:rPr>
                <w:rFonts w:ascii="Times New Roman" w:eastAsia="Times New Roman" w:hAnsi="Times New Roman" w:cs="Times New Roman"/>
                <w:color w:val="000000"/>
                <w:sz w:val="20"/>
                <w:szCs w:val="20"/>
              </w:rPr>
            </w:pPr>
            <w:r w:rsidRPr="00B326CC">
              <w:rPr>
                <w:rFonts w:ascii="Times New Roman" w:eastAsia="Times New Roman" w:hAnsi="Times New Roman" w:cs="Times New Roman"/>
                <w:color w:val="000000"/>
                <w:sz w:val="20"/>
                <w:szCs w:val="20"/>
              </w:rPr>
              <w:t>Improving food safety</w:t>
            </w:r>
          </w:p>
        </w:tc>
        <w:tc>
          <w:tcPr>
            <w:tcW w:w="362" w:type="pct"/>
            <w:gridSpan w:val="2"/>
            <w:tcBorders>
              <w:top w:val="nil"/>
              <w:left w:val="nil"/>
              <w:bottom w:val="nil"/>
              <w:right w:val="nil"/>
            </w:tcBorders>
            <w:shd w:val="clear" w:color="auto" w:fill="auto"/>
            <w:vAlign w:val="center"/>
            <w:hideMark/>
          </w:tcPr>
          <w:p w14:paraId="4FDE1AB4" w14:textId="77777777" w:rsidR="00395C56" w:rsidRPr="00B326CC" w:rsidRDefault="00395C56" w:rsidP="00572FDE">
            <w:pPr>
              <w:spacing w:after="0" w:line="240" w:lineRule="auto"/>
              <w:jc w:val="right"/>
              <w:rPr>
                <w:rFonts w:ascii="Times New Roman" w:eastAsia="Times New Roman" w:hAnsi="Times New Roman" w:cs="Times New Roman"/>
                <w:sz w:val="20"/>
                <w:szCs w:val="20"/>
              </w:rPr>
            </w:pPr>
            <w:r w:rsidRPr="00B326CC">
              <w:rPr>
                <w:rFonts w:ascii="Times New Roman" w:eastAsia="Times New Roman" w:hAnsi="Times New Roman" w:cs="Times New Roman"/>
                <w:sz w:val="20"/>
                <w:szCs w:val="20"/>
              </w:rPr>
              <w:t>380</w:t>
            </w:r>
          </w:p>
        </w:tc>
        <w:tc>
          <w:tcPr>
            <w:tcW w:w="400" w:type="pct"/>
            <w:tcBorders>
              <w:top w:val="nil"/>
              <w:left w:val="nil"/>
              <w:bottom w:val="nil"/>
              <w:right w:val="nil"/>
            </w:tcBorders>
            <w:shd w:val="clear" w:color="auto" w:fill="auto"/>
            <w:vAlign w:val="center"/>
            <w:hideMark/>
          </w:tcPr>
          <w:p w14:paraId="16B347A1" w14:textId="77777777" w:rsidR="00395C56" w:rsidRPr="00B326CC" w:rsidRDefault="00395C56" w:rsidP="00572FDE">
            <w:pPr>
              <w:spacing w:after="0" w:line="240" w:lineRule="auto"/>
              <w:jc w:val="right"/>
              <w:rPr>
                <w:rFonts w:ascii="Times New Roman" w:eastAsia="Times New Roman" w:hAnsi="Times New Roman" w:cs="Times New Roman"/>
                <w:sz w:val="20"/>
                <w:szCs w:val="20"/>
              </w:rPr>
            </w:pPr>
            <w:r w:rsidRPr="00B326CC">
              <w:rPr>
                <w:rFonts w:ascii="Times New Roman" w:eastAsia="Times New Roman" w:hAnsi="Times New Roman" w:cs="Times New Roman"/>
                <w:sz w:val="20"/>
                <w:szCs w:val="20"/>
              </w:rPr>
              <w:t>380</w:t>
            </w:r>
          </w:p>
        </w:tc>
        <w:tc>
          <w:tcPr>
            <w:tcW w:w="355" w:type="pct"/>
            <w:tcBorders>
              <w:top w:val="nil"/>
              <w:left w:val="nil"/>
              <w:bottom w:val="nil"/>
              <w:right w:val="nil"/>
            </w:tcBorders>
            <w:shd w:val="clear" w:color="auto" w:fill="auto"/>
            <w:vAlign w:val="center"/>
            <w:hideMark/>
          </w:tcPr>
          <w:p w14:paraId="76CFB5F7" w14:textId="77777777" w:rsidR="00395C56" w:rsidRPr="00B326CC" w:rsidRDefault="00395C56" w:rsidP="00572FDE">
            <w:pPr>
              <w:spacing w:after="0" w:line="240" w:lineRule="auto"/>
              <w:jc w:val="right"/>
              <w:rPr>
                <w:rFonts w:ascii="Times New Roman" w:eastAsia="Times New Roman" w:hAnsi="Times New Roman" w:cs="Times New Roman"/>
                <w:sz w:val="20"/>
                <w:szCs w:val="20"/>
              </w:rPr>
            </w:pPr>
            <w:r w:rsidRPr="00B326CC">
              <w:rPr>
                <w:rFonts w:ascii="Times New Roman" w:eastAsia="Times New Roman" w:hAnsi="Times New Roman" w:cs="Times New Roman"/>
                <w:sz w:val="20"/>
                <w:szCs w:val="20"/>
              </w:rPr>
              <w:t>380</w:t>
            </w:r>
          </w:p>
        </w:tc>
        <w:tc>
          <w:tcPr>
            <w:tcW w:w="364" w:type="pct"/>
            <w:gridSpan w:val="2"/>
            <w:tcBorders>
              <w:top w:val="nil"/>
              <w:left w:val="nil"/>
              <w:bottom w:val="nil"/>
              <w:right w:val="nil"/>
            </w:tcBorders>
            <w:shd w:val="clear" w:color="auto" w:fill="auto"/>
            <w:vAlign w:val="center"/>
            <w:hideMark/>
          </w:tcPr>
          <w:p w14:paraId="1984B3B4" w14:textId="77777777" w:rsidR="00395C56" w:rsidRPr="00B326CC" w:rsidRDefault="00395C56" w:rsidP="00572FDE">
            <w:pPr>
              <w:spacing w:after="0" w:line="240" w:lineRule="auto"/>
              <w:jc w:val="right"/>
              <w:rPr>
                <w:rFonts w:ascii="Times New Roman" w:eastAsia="Times New Roman" w:hAnsi="Times New Roman" w:cs="Times New Roman"/>
                <w:sz w:val="20"/>
                <w:szCs w:val="20"/>
              </w:rPr>
            </w:pPr>
            <w:r w:rsidRPr="00B326CC">
              <w:rPr>
                <w:rFonts w:ascii="Times New Roman" w:eastAsia="Times New Roman" w:hAnsi="Times New Roman" w:cs="Times New Roman"/>
                <w:sz w:val="20"/>
                <w:szCs w:val="20"/>
              </w:rPr>
              <w:t>380</w:t>
            </w:r>
          </w:p>
        </w:tc>
        <w:tc>
          <w:tcPr>
            <w:tcW w:w="306" w:type="pct"/>
            <w:gridSpan w:val="2"/>
            <w:tcBorders>
              <w:top w:val="nil"/>
              <w:left w:val="nil"/>
              <w:bottom w:val="nil"/>
              <w:right w:val="nil"/>
            </w:tcBorders>
            <w:shd w:val="clear" w:color="auto" w:fill="auto"/>
            <w:vAlign w:val="center"/>
            <w:hideMark/>
          </w:tcPr>
          <w:p w14:paraId="12EEB452" w14:textId="77777777" w:rsidR="00395C56" w:rsidRPr="00B326CC" w:rsidRDefault="00395C56" w:rsidP="00572FDE">
            <w:pPr>
              <w:spacing w:after="0" w:line="240" w:lineRule="auto"/>
              <w:jc w:val="right"/>
              <w:rPr>
                <w:rFonts w:ascii="Times New Roman" w:eastAsia="Times New Roman" w:hAnsi="Times New Roman" w:cs="Times New Roman"/>
                <w:sz w:val="20"/>
                <w:szCs w:val="20"/>
              </w:rPr>
            </w:pPr>
            <w:r w:rsidRPr="00B326CC">
              <w:rPr>
                <w:rFonts w:ascii="Times New Roman" w:eastAsia="Times New Roman" w:hAnsi="Times New Roman" w:cs="Times New Roman"/>
                <w:sz w:val="20"/>
                <w:szCs w:val="20"/>
              </w:rPr>
              <w:t>380</w:t>
            </w:r>
          </w:p>
        </w:tc>
        <w:tc>
          <w:tcPr>
            <w:tcW w:w="440" w:type="pct"/>
            <w:gridSpan w:val="2"/>
            <w:tcBorders>
              <w:top w:val="nil"/>
              <w:left w:val="nil"/>
              <w:bottom w:val="nil"/>
              <w:right w:val="nil"/>
            </w:tcBorders>
            <w:shd w:val="clear" w:color="auto" w:fill="auto"/>
            <w:vAlign w:val="center"/>
            <w:hideMark/>
          </w:tcPr>
          <w:p w14:paraId="6A885C8B" w14:textId="77777777" w:rsidR="00395C56" w:rsidRPr="00B326CC" w:rsidRDefault="00395C56" w:rsidP="00572FDE">
            <w:pPr>
              <w:spacing w:after="0" w:line="240" w:lineRule="auto"/>
              <w:jc w:val="right"/>
              <w:rPr>
                <w:rFonts w:ascii="Times New Roman" w:eastAsia="Times New Roman" w:hAnsi="Times New Roman" w:cs="Times New Roman"/>
                <w:sz w:val="20"/>
                <w:szCs w:val="20"/>
              </w:rPr>
            </w:pPr>
            <w:r w:rsidRPr="00B326CC">
              <w:rPr>
                <w:rFonts w:ascii="Times New Roman" w:eastAsia="Times New Roman" w:hAnsi="Times New Roman" w:cs="Times New Roman"/>
                <w:sz w:val="20"/>
                <w:szCs w:val="20"/>
              </w:rPr>
              <w:t>1,900</w:t>
            </w:r>
          </w:p>
        </w:tc>
        <w:tc>
          <w:tcPr>
            <w:tcW w:w="398" w:type="pct"/>
            <w:tcBorders>
              <w:top w:val="nil"/>
              <w:left w:val="nil"/>
              <w:bottom w:val="nil"/>
              <w:right w:val="nil"/>
            </w:tcBorders>
            <w:shd w:val="clear" w:color="auto" w:fill="auto"/>
            <w:vAlign w:val="center"/>
            <w:hideMark/>
          </w:tcPr>
          <w:p w14:paraId="0C532787" w14:textId="77777777" w:rsidR="00395C56" w:rsidRPr="00B326CC" w:rsidRDefault="00395C56" w:rsidP="00572FDE">
            <w:pPr>
              <w:spacing w:after="0" w:line="240" w:lineRule="auto"/>
              <w:jc w:val="right"/>
              <w:rPr>
                <w:rFonts w:ascii="Times New Roman" w:eastAsia="Times New Roman" w:hAnsi="Times New Roman" w:cs="Times New Roman"/>
                <w:sz w:val="20"/>
                <w:szCs w:val="20"/>
              </w:rPr>
            </w:pPr>
            <w:r w:rsidRPr="00B326CC">
              <w:rPr>
                <w:rFonts w:ascii="Times New Roman" w:eastAsia="Times New Roman" w:hAnsi="Times New Roman" w:cs="Times New Roman"/>
                <w:sz w:val="20"/>
                <w:szCs w:val="20"/>
              </w:rPr>
              <w:t>202</w:t>
            </w:r>
          </w:p>
        </w:tc>
        <w:tc>
          <w:tcPr>
            <w:tcW w:w="487" w:type="pct"/>
            <w:tcBorders>
              <w:top w:val="nil"/>
              <w:left w:val="nil"/>
              <w:bottom w:val="nil"/>
              <w:right w:val="nil"/>
            </w:tcBorders>
            <w:shd w:val="clear" w:color="auto" w:fill="auto"/>
            <w:vAlign w:val="center"/>
          </w:tcPr>
          <w:p w14:paraId="6D201026" w14:textId="263155F2" w:rsidR="00395C56" w:rsidRPr="00B326CC" w:rsidRDefault="00395C56" w:rsidP="00572FDE">
            <w:pPr>
              <w:spacing w:after="0" w:line="240" w:lineRule="auto"/>
              <w:jc w:val="right"/>
              <w:rPr>
                <w:rFonts w:ascii="Times New Roman" w:eastAsia="Times New Roman" w:hAnsi="Times New Roman" w:cs="Times New Roman"/>
                <w:sz w:val="20"/>
                <w:szCs w:val="20"/>
              </w:rPr>
            </w:pPr>
          </w:p>
        </w:tc>
      </w:tr>
      <w:tr w:rsidR="00395C56" w:rsidRPr="00B326CC" w14:paraId="7D986AF1" w14:textId="77777777" w:rsidTr="00A6265D">
        <w:trPr>
          <w:trHeight w:val="530"/>
        </w:trPr>
        <w:tc>
          <w:tcPr>
            <w:tcW w:w="1889" w:type="pct"/>
            <w:gridSpan w:val="2"/>
            <w:tcBorders>
              <w:top w:val="nil"/>
              <w:left w:val="nil"/>
              <w:bottom w:val="nil"/>
              <w:right w:val="nil"/>
            </w:tcBorders>
            <w:shd w:val="clear" w:color="auto" w:fill="auto"/>
            <w:vAlign w:val="center"/>
            <w:hideMark/>
          </w:tcPr>
          <w:p w14:paraId="01B9130C" w14:textId="77777777" w:rsidR="00395C56" w:rsidRPr="00B326CC" w:rsidRDefault="00395C56" w:rsidP="00F561E8">
            <w:pPr>
              <w:pStyle w:val="ListParagraph"/>
              <w:numPr>
                <w:ilvl w:val="0"/>
                <w:numId w:val="40"/>
              </w:numPr>
              <w:spacing w:after="0" w:line="240" w:lineRule="auto"/>
              <w:ind w:left="340"/>
              <w:rPr>
                <w:rFonts w:ascii="Times New Roman" w:eastAsia="Times New Roman" w:hAnsi="Times New Roman" w:cs="Times New Roman"/>
                <w:color w:val="000000"/>
                <w:sz w:val="20"/>
                <w:szCs w:val="20"/>
              </w:rPr>
            </w:pPr>
            <w:r w:rsidRPr="00B326CC">
              <w:rPr>
                <w:rFonts w:ascii="Times New Roman" w:eastAsia="Times New Roman" w:hAnsi="Times New Roman" w:cs="Times New Roman"/>
                <w:color w:val="000000"/>
                <w:sz w:val="20"/>
                <w:szCs w:val="20"/>
              </w:rPr>
              <w:t>Promoting quality standards and certification systems</w:t>
            </w:r>
          </w:p>
        </w:tc>
        <w:tc>
          <w:tcPr>
            <w:tcW w:w="362" w:type="pct"/>
            <w:gridSpan w:val="2"/>
            <w:tcBorders>
              <w:top w:val="nil"/>
              <w:left w:val="nil"/>
              <w:bottom w:val="nil"/>
              <w:right w:val="nil"/>
            </w:tcBorders>
            <w:shd w:val="clear" w:color="auto" w:fill="auto"/>
            <w:vAlign w:val="center"/>
            <w:hideMark/>
          </w:tcPr>
          <w:p w14:paraId="341C59BA" w14:textId="77777777" w:rsidR="00395C56" w:rsidRPr="00B326CC" w:rsidRDefault="00395C56" w:rsidP="00572FDE">
            <w:pPr>
              <w:spacing w:after="0" w:line="240" w:lineRule="auto"/>
              <w:jc w:val="right"/>
              <w:rPr>
                <w:rFonts w:ascii="Times New Roman" w:eastAsia="Times New Roman" w:hAnsi="Times New Roman" w:cs="Times New Roman"/>
                <w:sz w:val="20"/>
                <w:szCs w:val="20"/>
              </w:rPr>
            </w:pPr>
            <w:r w:rsidRPr="00B326CC">
              <w:rPr>
                <w:rFonts w:ascii="Times New Roman" w:eastAsia="Times New Roman" w:hAnsi="Times New Roman" w:cs="Times New Roman"/>
                <w:sz w:val="20"/>
                <w:szCs w:val="20"/>
              </w:rPr>
              <w:t>58</w:t>
            </w:r>
          </w:p>
        </w:tc>
        <w:tc>
          <w:tcPr>
            <w:tcW w:w="400" w:type="pct"/>
            <w:tcBorders>
              <w:top w:val="nil"/>
              <w:left w:val="nil"/>
              <w:bottom w:val="nil"/>
              <w:right w:val="nil"/>
            </w:tcBorders>
            <w:shd w:val="clear" w:color="auto" w:fill="auto"/>
            <w:vAlign w:val="center"/>
            <w:hideMark/>
          </w:tcPr>
          <w:p w14:paraId="3EAAFF0B" w14:textId="77777777" w:rsidR="00395C56" w:rsidRPr="00B326CC" w:rsidRDefault="00395C56" w:rsidP="00572FDE">
            <w:pPr>
              <w:spacing w:after="0" w:line="240" w:lineRule="auto"/>
              <w:jc w:val="right"/>
              <w:rPr>
                <w:rFonts w:ascii="Times New Roman" w:eastAsia="Times New Roman" w:hAnsi="Times New Roman" w:cs="Times New Roman"/>
                <w:sz w:val="20"/>
                <w:szCs w:val="20"/>
              </w:rPr>
            </w:pPr>
            <w:r w:rsidRPr="00B326CC">
              <w:rPr>
                <w:rFonts w:ascii="Times New Roman" w:eastAsia="Times New Roman" w:hAnsi="Times New Roman" w:cs="Times New Roman"/>
                <w:sz w:val="20"/>
                <w:szCs w:val="20"/>
              </w:rPr>
              <w:t>58</w:t>
            </w:r>
          </w:p>
        </w:tc>
        <w:tc>
          <w:tcPr>
            <w:tcW w:w="355" w:type="pct"/>
            <w:tcBorders>
              <w:top w:val="nil"/>
              <w:left w:val="nil"/>
              <w:bottom w:val="nil"/>
              <w:right w:val="nil"/>
            </w:tcBorders>
            <w:shd w:val="clear" w:color="auto" w:fill="auto"/>
            <w:vAlign w:val="center"/>
            <w:hideMark/>
          </w:tcPr>
          <w:p w14:paraId="41073053" w14:textId="77777777" w:rsidR="00395C56" w:rsidRPr="00B326CC" w:rsidRDefault="00395C56" w:rsidP="00572FDE">
            <w:pPr>
              <w:spacing w:after="0" w:line="240" w:lineRule="auto"/>
              <w:jc w:val="right"/>
              <w:rPr>
                <w:rFonts w:ascii="Times New Roman" w:eastAsia="Times New Roman" w:hAnsi="Times New Roman" w:cs="Times New Roman"/>
                <w:sz w:val="20"/>
                <w:szCs w:val="20"/>
              </w:rPr>
            </w:pPr>
            <w:r w:rsidRPr="00B326CC">
              <w:rPr>
                <w:rFonts w:ascii="Times New Roman" w:eastAsia="Times New Roman" w:hAnsi="Times New Roman" w:cs="Times New Roman"/>
                <w:sz w:val="20"/>
                <w:szCs w:val="20"/>
              </w:rPr>
              <w:t>58</w:t>
            </w:r>
          </w:p>
        </w:tc>
        <w:tc>
          <w:tcPr>
            <w:tcW w:w="364" w:type="pct"/>
            <w:gridSpan w:val="2"/>
            <w:tcBorders>
              <w:top w:val="nil"/>
              <w:left w:val="nil"/>
              <w:bottom w:val="nil"/>
              <w:right w:val="nil"/>
            </w:tcBorders>
            <w:shd w:val="clear" w:color="auto" w:fill="auto"/>
            <w:vAlign w:val="center"/>
            <w:hideMark/>
          </w:tcPr>
          <w:p w14:paraId="4BD5A623" w14:textId="77777777" w:rsidR="00395C56" w:rsidRPr="00B326CC" w:rsidRDefault="00395C56" w:rsidP="00572FDE">
            <w:pPr>
              <w:spacing w:after="0" w:line="240" w:lineRule="auto"/>
              <w:jc w:val="right"/>
              <w:rPr>
                <w:rFonts w:ascii="Times New Roman" w:eastAsia="Times New Roman" w:hAnsi="Times New Roman" w:cs="Times New Roman"/>
                <w:sz w:val="20"/>
                <w:szCs w:val="20"/>
              </w:rPr>
            </w:pPr>
            <w:r w:rsidRPr="00B326CC">
              <w:rPr>
                <w:rFonts w:ascii="Times New Roman" w:eastAsia="Times New Roman" w:hAnsi="Times New Roman" w:cs="Times New Roman"/>
                <w:sz w:val="20"/>
                <w:szCs w:val="20"/>
              </w:rPr>
              <w:t>58</w:t>
            </w:r>
          </w:p>
        </w:tc>
        <w:tc>
          <w:tcPr>
            <w:tcW w:w="306" w:type="pct"/>
            <w:gridSpan w:val="2"/>
            <w:tcBorders>
              <w:top w:val="nil"/>
              <w:left w:val="nil"/>
              <w:bottom w:val="nil"/>
              <w:right w:val="nil"/>
            </w:tcBorders>
            <w:shd w:val="clear" w:color="auto" w:fill="auto"/>
            <w:vAlign w:val="center"/>
            <w:hideMark/>
          </w:tcPr>
          <w:p w14:paraId="5E535937" w14:textId="77777777" w:rsidR="00395C56" w:rsidRPr="00B326CC" w:rsidRDefault="00395C56" w:rsidP="00572FDE">
            <w:pPr>
              <w:spacing w:after="0" w:line="240" w:lineRule="auto"/>
              <w:jc w:val="right"/>
              <w:rPr>
                <w:rFonts w:ascii="Times New Roman" w:eastAsia="Times New Roman" w:hAnsi="Times New Roman" w:cs="Times New Roman"/>
                <w:sz w:val="20"/>
                <w:szCs w:val="20"/>
              </w:rPr>
            </w:pPr>
            <w:r w:rsidRPr="00B326CC">
              <w:rPr>
                <w:rFonts w:ascii="Times New Roman" w:eastAsia="Times New Roman" w:hAnsi="Times New Roman" w:cs="Times New Roman"/>
                <w:sz w:val="20"/>
                <w:szCs w:val="20"/>
              </w:rPr>
              <w:t>58</w:t>
            </w:r>
          </w:p>
        </w:tc>
        <w:tc>
          <w:tcPr>
            <w:tcW w:w="440" w:type="pct"/>
            <w:gridSpan w:val="2"/>
            <w:tcBorders>
              <w:top w:val="nil"/>
              <w:left w:val="nil"/>
              <w:bottom w:val="nil"/>
              <w:right w:val="nil"/>
            </w:tcBorders>
            <w:shd w:val="clear" w:color="auto" w:fill="auto"/>
            <w:vAlign w:val="center"/>
            <w:hideMark/>
          </w:tcPr>
          <w:p w14:paraId="3E927E47" w14:textId="77777777" w:rsidR="00395C56" w:rsidRPr="00B326CC" w:rsidRDefault="00395C56" w:rsidP="00572FDE">
            <w:pPr>
              <w:spacing w:after="0" w:line="240" w:lineRule="auto"/>
              <w:jc w:val="right"/>
              <w:rPr>
                <w:rFonts w:ascii="Times New Roman" w:eastAsia="Times New Roman" w:hAnsi="Times New Roman" w:cs="Times New Roman"/>
                <w:sz w:val="20"/>
                <w:szCs w:val="20"/>
              </w:rPr>
            </w:pPr>
            <w:r w:rsidRPr="00B326CC">
              <w:rPr>
                <w:rFonts w:ascii="Times New Roman" w:eastAsia="Times New Roman" w:hAnsi="Times New Roman" w:cs="Times New Roman"/>
                <w:sz w:val="20"/>
                <w:szCs w:val="20"/>
              </w:rPr>
              <w:t>290</w:t>
            </w:r>
          </w:p>
        </w:tc>
        <w:tc>
          <w:tcPr>
            <w:tcW w:w="398" w:type="pct"/>
            <w:tcBorders>
              <w:top w:val="nil"/>
              <w:left w:val="nil"/>
              <w:bottom w:val="nil"/>
              <w:right w:val="nil"/>
            </w:tcBorders>
            <w:shd w:val="clear" w:color="auto" w:fill="auto"/>
            <w:vAlign w:val="center"/>
            <w:hideMark/>
          </w:tcPr>
          <w:p w14:paraId="150347D5" w14:textId="77777777" w:rsidR="00395C56" w:rsidRPr="00B326CC" w:rsidRDefault="00395C56" w:rsidP="00572FDE">
            <w:pPr>
              <w:spacing w:after="0" w:line="240" w:lineRule="auto"/>
              <w:jc w:val="right"/>
              <w:rPr>
                <w:rFonts w:ascii="Times New Roman" w:eastAsia="Times New Roman" w:hAnsi="Times New Roman" w:cs="Times New Roman"/>
                <w:sz w:val="20"/>
                <w:szCs w:val="20"/>
              </w:rPr>
            </w:pPr>
            <w:r w:rsidRPr="00B326CC">
              <w:rPr>
                <w:rFonts w:ascii="Times New Roman" w:eastAsia="Times New Roman" w:hAnsi="Times New Roman" w:cs="Times New Roman"/>
                <w:sz w:val="20"/>
                <w:szCs w:val="20"/>
              </w:rPr>
              <w:t>31</w:t>
            </w:r>
          </w:p>
        </w:tc>
        <w:tc>
          <w:tcPr>
            <w:tcW w:w="487" w:type="pct"/>
            <w:tcBorders>
              <w:top w:val="nil"/>
              <w:left w:val="nil"/>
              <w:bottom w:val="nil"/>
              <w:right w:val="nil"/>
            </w:tcBorders>
            <w:shd w:val="clear" w:color="auto" w:fill="auto"/>
            <w:vAlign w:val="center"/>
          </w:tcPr>
          <w:p w14:paraId="39E76848" w14:textId="4DBAFD8E" w:rsidR="00395C56" w:rsidRPr="00B326CC" w:rsidRDefault="00395C56" w:rsidP="00572FDE">
            <w:pPr>
              <w:spacing w:after="0" w:line="240" w:lineRule="auto"/>
              <w:jc w:val="right"/>
              <w:rPr>
                <w:rFonts w:ascii="Times New Roman" w:eastAsia="Times New Roman" w:hAnsi="Times New Roman" w:cs="Times New Roman"/>
                <w:sz w:val="20"/>
                <w:szCs w:val="20"/>
              </w:rPr>
            </w:pPr>
          </w:p>
        </w:tc>
      </w:tr>
      <w:tr w:rsidR="00395C56" w:rsidRPr="00B326CC" w14:paraId="7D3B0B94" w14:textId="77777777" w:rsidTr="00A6265D">
        <w:trPr>
          <w:trHeight w:val="530"/>
        </w:trPr>
        <w:tc>
          <w:tcPr>
            <w:tcW w:w="1889" w:type="pct"/>
            <w:gridSpan w:val="2"/>
            <w:tcBorders>
              <w:top w:val="nil"/>
              <w:left w:val="nil"/>
              <w:bottom w:val="nil"/>
              <w:right w:val="nil"/>
            </w:tcBorders>
            <w:shd w:val="clear" w:color="auto" w:fill="auto"/>
            <w:vAlign w:val="center"/>
            <w:hideMark/>
          </w:tcPr>
          <w:p w14:paraId="5B4BA91E" w14:textId="77777777" w:rsidR="00395C56" w:rsidRPr="00B326CC" w:rsidRDefault="00395C56" w:rsidP="00F561E8">
            <w:pPr>
              <w:pStyle w:val="ListParagraph"/>
              <w:numPr>
                <w:ilvl w:val="0"/>
                <w:numId w:val="40"/>
              </w:numPr>
              <w:spacing w:after="0" w:line="240" w:lineRule="auto"/>
              <w:ind w:left="340"/>
              <w:rPr>
                <w:rFonts w:ascii="Times New Roman" w:eastAsia="Times New Roman" w:hAnsi="Times New Roman" w:cs="Times New Roman"/>
                <w:color w:val="000000"/>
                <w:sz w:val="20"/>
                <w:szCs w:val="20"/>
              </w:rPr>
            </w:pPr>
            <w:r w:rsidRPr="00B326CC">
              <w:rPr>
                <w:rFonts w:ascii="Times New Roman" w:eastAsia="Times New Roman" w:hAnsi="Times New Roman" w:cs="Times New Roman"/>
                <w:color w:val="000000"/>
                <w:sz w:val="20"/>
                <w:szCs w:val="20"/>
              </w:rPr>
              <w:t>Strengthening business development and technical support services for the agri-food sector</w:t>
            </w:r>
          </w:p>
        </w:tc>
        <w:tc>
          <w:tcPr>
            <w:tcW w:w="362" w:type="pct"/>
            <w:gridSpan w:val="2"/>
            <w:tcBorders>
              <w:top w:val="nil"/>
              <w:left w:val="nil"/>
              <w:bottom w:val="nil"/>
              <w:right w:val="nil"/>
            </w:tcBorders>
            <w:shd w:val="clear" w:color="auto" w:fill="auto"/>
            <w:vAlign w:val="center"/>
            <w:hideMark/>
          </w:tcPr>
          <w:p w14:paraId="00A3D0A0" w14:textId="77777777" w:rsidR="00395C56" w:rsidRPr="00B326CC" w:rsidRDefault="00395C56" w:rsidP="00572FDE">
            <w:pPr>
              <w:spacing w:after="0" w:line="240" w:lineRule="auto"/>
              <w:jc w:val="right"/>
              <w:rPr>
                <w:rFonts w:ascii="Times New Roman" w:eastAsia="Times New Roman" w:hAnsi="Times New Roman" w:cs="Times New Roman"/>
                <w:sz w:val="20"/>
                <w:szCs w:val="20"/>
              </w:rPr>
            </w:pPr>
            <w:r w:rsidRPr="00B326CC">
              <w:rPr>
                <w:rFonts w:ascii="Times New Roman" w:eastAsia="Times New Roman" w:hAnsi="Times New Roman" w:cs="Times New Roman"/>
                <w:sz w:val="20"/>
                <w:szCs w:val="20"/>
              </w:rPr>
              <w:t>5</w:t>
            </w:r>
          </w:p>
        </w:tc>
        <w:tc>
          <w:tcPr>
            <w:tcW w:w="400" w:type="pct"/>
            <w:tcBorders>
              <w:top w:val="nil"/>
              <w:left w:val="nil"/>
              <w:bottom w:val="nil"/>
              <w:right w:val="nil"/>
            </w:tcBorders>
            <w:shd w:val="clear" w:color="auto" w:fill="auto"/>
            <w:vAlign w:val="center"/>
            <w:hideMark/>
          </w:tcPr>
          <w:p w14:paraId="27872CBE" w14:textId="77777777" w:rsidR="00395C56" w:rsidRPr="00B326CC" w:rsidRDefault="00395C56" w:rsidP="00572FDE">
            <w:pPr>
              <w:spacing w:after="0" w:line="240" w:lineRule="auto"/>
              <w:jc w:val="right"/>
              <w:rPr>
                <w:rFonts w:ascii="Times New Roman" w:eastAsia="Times New Roman" w:hAnsi="Times New Roman" w:cs="Times New Roman"/>
                <w:sz w:val="20"/>
                <w:szCs w:val="20"/>
              </w:rPr>
            </w:pPr>
            <w:r w:rsidRPr="00B326CC">
              <w:rPr>
                <w:rFonts w:ascii="Times New Roman" w:eastAsia="Times New Roman" w:hAnsi="Times New Roman" w:cs="Times New Roman"/>
                <w:sz w:val="20"/>
                <w:szCs w:val="20"/>
              </w:rPr>
              <w:t>34</w:t>
            </w:r>
          </w:p>
        </w:tc>
        <w:tc>
          <w:tcPr>
            <w:tcW w:w="355" w:type="pct"/>
            <w:tcBorders>
              <w:top w:val="nil"/>
              <w:left w:val="nil"/>
              <w:bottom w:val="nil"/>
              <w:right w:val="nil"/>
            </w:tcBorders>
            <w:shd w:val="clear" w:color="auto" w:fill="auto"/>
            <w:vAlign w:val="center"/>
            <w:hideMark/>
          </w:tcPr>
          <w:p w14:paraId="07CC4BB8" w14:textId="77777777" w:rsidR="00395C56" w:rsidRPr="00B326CC" w:rsidRDefault="00395C56" w:rsidP="00572FDE">
            <w:pPr>
              <w:spacing w:after="0" w:line="240" w:lineRule="auto"/>
              <w:jc w:val="right"/>
              <w:rPr>
                <w:rFonts w:ascii="Times New Roman" w:eastAsia="Times New Roman" w:hAnsi="Times New Roman" w:cs="Times New Roman"/>
                <w:sz w:val="20"/>
                <w:szCs w:val="20"/>
              </w:rPr>
            </w:pPr>
            <w:r w:rsidRPr="00B326CC">
              <w:rPr>
                <w:rFonts w:ascii="Times New Roman" w:eastAsia="Times New Roman" w:hAnsi="Times New Roman" w:cs="Times New Roman"/>
                <w:sz w:val="20"/>
                <w:szCs w:val="20"/>
              </w:rPr>
              <w:t>34</w:t>
            </w:r>
          </w:p>
        </w:tc>
        <w:tc>
          <w:tcPr>
            <w:tcW w:w="364" w:type="pct"/>
            <w:gridSpan w:val="2"/>
            <w:tcBorders>
              <w:top w:val="nil"/>
              <w:left w:val="nil"/>
              <w:bottom w:val="nil"/>
              <w:right w:val="nil"/>
            </w:tcBorders>
            <w:shd w:val="clear" w:color="auto" w:fill="auto"/>
            <w:vAlign w:val="center"/>
            <w:hideMark/>
          </w:tcPr>
          <w:p w14:paraId="438196E4" w14:textId="77777777" w:rsidR="00395C56" w:rsidRPr="00B326CC" w:rsidRDefault="00395C56" w:rsidP="00572FDE">
            <w:pPr>
              <w:spacing w:after="0" w:line="240" w:lineRule="auto"/>
              <w:jc w:val="right"/>
              <w:rPr>
                <w:rFonts w:ascii="Times New Roman" w:eastAsia="Times New Roman" w:hAnsi="Times New Roman" w:cs="Times New Roman"/>
                <w:sz w:val="20"/>
                <w:szCs w:val="20"/>
              </w:rPr>
            </w:pPr>
            <w:r w:rsidRPr="00B326CC">
              <w:rPr>
                <w:rFonts w:ascii="Times New Roman" w:eastAsia="Times New Roman" w:hAnsi="Times New Roman" w:cs="Times New Roman"/>
                <w:sz w:val="20"/>
                <w:szCs w:val="20"/>
              </w:rPr>
              <w:t>6</w:t>
            </w:r>
          </w:p>
        </w:tc>
        <w:tc>
          <w:tcPr>
            <w:tcW w:w="306" w:type="pct"/>
            <w:gridSpan w:val="2"/>
            <w:tcBorders>
              <w:top w:val="nil"/>
              <w:left w:val="nil"/>
              <w:bottom w:val="nil"/>
              <w:right w:val="nil"/>
            </w:tcBorders>
            <w:shd w:val="clear" w:color="auto" w:fill="auto"/>
            <w:vAlign w:val="center"/>
            <w:hideMark/>
          </w:tcPr>
          <w:p w14:paraId="5D867E22" w14:textId="77777777" w:rsidR="00395C56" w:rsidRPr="00B326CC" w:rsidRDefault="00395C56" w:rsidP="00572FDE">
            <w:pPr>
              <w:spacing w:after="0" w:line="240" w:lineRule="auto"/>
              <w:jc w:val="right"/>
              <w:rPr>
                <w:rFonts w:ascii="Times New Roman" w:eastAsia="Times New Roman" w:hAnsi="Times New Roman" w:cs="Times New Roman"/>
                <w:sz w:val="20"/>
                <w:szCs w:val="20"/>
              </w:rPr>
            </w:pPr>
            <w:r w:rsidRPr="00B326CC">
              <w:rPr>
                <w:rFonts w:ascii="Times New Roman" w:eastAsia="Times New Roman" w:hAnsi="Times New Roman" w:cs="Times New Roman"/>
                <w:sz w:val="20"/>
                <w:szCs w:val="20"/>
              </w:rPr>
              <w:t>6</w:t>
            </w:r>
          </w:p>
        </w:tc>
        <w:tc>
          <w:tcPr>
            <w:tcW w:w="440" w:type="pct"/>
            <w:gridSpan w:val="2"/>
            <w:tcBorders>
              <w:top w:val="nil"/>
              <w:left w:val="nil"/>
              <w:bottom w:val="nil"/>
              <w:right w:val="nil"/>
            </w:tcBorders>
            <w:shd w:val="clear" w:color="auto" w:fill="auto"/>
            <w:vAlign w:val="center"/>
            <w:hideMark/>
          </w:tcPr>
          <w:p w14:paraId="0BA1C3A8" w14:textId="77777777" w:rsidR="00395C56" w:rsidRPr="00B326CC" w:rsidRDefault="00395C56" w:rsidP="00572FDE">
            <w:pPr>
              <w:spacing w:after="0" w:line="240" w:lineRule="auto"/>
              <w:jc w:val="right"/>
              <w:rPr>
                <w:rFonts w:ascii="Times New Roman" w:eastAsia="Times New Roman" w:hAnsi="Times New Roman" w:cs="Times New Roman"/>
                <w:sz w:val="20"/>
                <w:szCs w:val="20"/>
              </w:rPr>
            </w:pPr>
            <w:r w:rsidRPr="00B326CC">
              <w:rPr>
                <w:rFonts w:ascii="Times New Roman" w:eastAsia="Times New Roman" w:hAnsi="Times New Roman" w:cs="Times New Roman"/>
                <w:sz w:val="20"/>
                <w:szCs w:val="20"/>
              </w:rPr>
              <w:t>85</w:t>
            </w:r>
          </w:p>
        </w:tc>
        <w:tc>
          <w:tcPr>
            <w:tcW w:w="398" w:type="pct"/>
            <w:tcBorders>
              <w:top w:val="nil"/>
              <w:left w:val="nil"/>
              <w:bottom w:val="nil"/>
              <w:right w:val="nil"/>
            </w:tcBorders>
            <w:shd w:val="clear" w:color="auto" w:fill="auto"/>
            <w:vAlign w:val="center"/>
            <w:hideMark/>
          </w:tcPr>
          <w:p w14:paraId="57DBCDAF" w14:textId="77777777" w:rsidR="00395C56" w:rsidRPr="00B326CC" w:rsidRDefault="00395C56" w:rsidP="00572FDE">
            <w:pPr>
              <w:spacing w:after="0" w:line="240" w:lineRule="auto"/>
              <w:jc w:val="right"/>
              <w:rPr>
                <w:rFonts w:ascii="Times New Roman" w:eastAsia="Times New Roman" w:hAnsi="Times New Roman" w:cs="Times New Roman"/>
                <w:sz w:val="20"/>
                <w:szCs w:val="20"/>
              </w:rPr>
            </w:pPr>
            <w:r w:rsidRPr="00B326CC">
              <w:rPr>
                <w:rFonts w:ascii="Times New Roman" w:eastAsia="Times New Roman" w:hAnsi="Times New Roman" w:cs="Times New Roman"/>
                <w:sz w:val="20"/>
                <w:szCs w:val="20"/>
              </w:rPr>
              <w:t>9</w:t>
            </w:r>
          </w:p>
        </w:tc>
        <w:tc>
          <w:tcPr>
            <w:tcW w:w="487" w:type="pct"/>
            <w:tcBorders>
              <w:top w:val="nil"/>
              <w:left w:val="nil"/>
              <w:bottom w:val="nil"/>
              <w:right w:val="nil"/>
            </w:tcBorders>
            <w:shd w:val="clear" w:color="auto" w:fill="auto"/>
            <w:vAlign w:val="center"/>
          </w:tcPr>
          <w:p w14:paraId="266EA19F" w14:textId="199E05DB" w:rsidR="00395C56" w:rsidRPr="00B326CC" w:rsidRDefault="00395C56" w:rsidP="00572FDE">
            <w:pPr>
              <w:spacing w:after="0" w:line="240" w:lineRule="auto"/>
              <w:jc w:val="right"/>
              <w:rPr>
                <w:rFonts w:ascii="Times New Roman" w:eastAsia="Times New Roman" w:hAnsi="Times New Roman" w:cs="Times New Roman"/>
                <w:sz w:val="20"/>
                <w:szCs w:val="20"/>
              </w:rPr>
            </w:pPr>
          </w:p>
        </w:tc>
      </w:tr>
      <w:tr w:rsidR="00395C56" w:rsidRPr="00B326CC" w14:paraId="31CFD013" w14:textId="77777777" w:rsidTr="00A6265D">
        <w:trPr>
          <w:trHeight w:val="530"/>
        </w:trPr>
        <w:tc>
          <w:tcPr>
            <w:tcW w:w="1889" w:type="pct"/>
            <w:gridSpan w:val="2"/>
            <w:tcBorders>
              <w:top w:val="nil"/>
              <w:left w:val="nil"/>
              <w:bottom w:val="single" w:sz="4" w:space="0" w:color="auto"/>
              <w:right w:val="nil"/>
            </w:tcBorders>
            <w:shd w:val="clear" w:color="auto" w:fill="auto"/>
            <w:vAlign w:val="center"/>
            <w:hideMark/>
          </w:tcPr>
          <w:p w14:paraId="5D381D28" w14:textId="77777777" w:rsidR="00395C56" w:rsidRPr="00B326CC" w:rsidRDefault="00395C56" w:rsidP="00F561E8">
            <w:pPr>
              <w:pStyle w:val="ListParagraph"/>
              <w:numPr>
                <w:ilvl w:val="0"/>
                <w:numId w:val="40"/>
              </w:numPr>
              <w:spacing w:after="0" w:line="240" w:lineRule="auto"/>
              <w:ind w:left="340"/>
              <w:rPr>
                <w:rFonts w:ascii="Times New Roman" w:eastAsia="Times New Roman" w:hAnsi="Times New Roman" w:cs="Times New Roman"/>
                <w:color w:val="000000"/>
                <w:sz w:val="20"/>
                <w:szCs w:val="20"/>
              </w:rPr>
            </w:pPr>
            <w:r w:rsidRPr="00B326CC">
              <w:rPr>
                <w:rFonts w:ascii="Times New Roman" w:eastAsia="Times New Roman" w:hAnsi="Times New Roman" w:cs="Times New Roman"/>
                <w:color w:val="000000"/>
                <w:sz w:val="20"/>
                <w:szCs w:val="20"/>
              </w:rPr>
              <w:t>Financing innovation</w:t>
            </w:r>
          </w:p>
        </w:tc>
        <w:tc>
          <w:tcPr>
            <w:tcW w:w="362" w:type="pct"/>
            <w:gridSpan w:val="2"/>
            <w:tcBorders>
              <w:top w:val="nil"/>
              <w:left w:val="nil"/>
              <w:bottom w:val="single" w:sz="4" w:space="0" w:color="auto"/>
              <w:right w:val="nil"/>
            </w:tcBorders>
            <w:shd w:val="clear" w:color="auto" w:fill="auto"/>
            <w:vAlign w:val="center"/>
            <w:hideMark/>
          </w:tcPr>
          <w:p w14:paraId="4CC3730E" w14:textId="77777777" w:rsidR="00395C56" w:rsidRPr="00B326CC" w:rsidRDefault="00395C56" w:rsidP="00572FDE">
            <w:pPr>
              <w:spacing w:after="0" w:line="240" w:lineRule="auto"/>
              <w:jc w:val="right"/>
              <w:rPr>
                <w:rFonts w:ascii="Times New Roman" w:eastAsia="Times New Roman" w:hAnsi="Times New Roman" w:cs="Times New Roman"/>
                <w:sz w:val="20"/>
                <w:szCs w:val="20"/>
              </w:rPr>
            </w:pPr>
            <w:r w:rsidRPr="00B326CC">
              <w:rPr>
                <w:rFonts w:ascii="Times New Roman" w:eastAsia="Times New Roman" w:hAnsi="Times New Roman" w:cs="Times New Roman"/>
                <w:sz w:val="20"/>
                <w:szCs w:val="20"/>
              </w:rPr>
              <w:t>5</w:t>
            </w:r>
          </w:p>
        </w:tc>
        <w:tc>
          <w:tcPr>
            <w:tcW w:w="400" w:type="pct"/>
            <w:tcBorders>
              <w:top w:val="nil"/>
              <w:left w:val="nil"/>
              <w:bottom w:val="single" w:sz="4" w:space="0" w:color="auto"/>
              <w:right w:val="nil"/>
            </w:tcBorders>
            <w:shd w:val="clear" w:color="auto" w:fill="auto"/>
            <w:vAlign w:val="center"/>
            <w:hideMark/>
          </w:tcPr>
          <w:p w14:paraId="0121ACAB" w14:textId="77777777" w:rsidR="00395C56" w:rsidRPr="00B326CC" w:rsidRDefault="00395C56" w:rsidP="00572FDE">
            <w:pPr>
              <w:spacing w:after="0" w:line="240" w:lineRule="auto"/>
              <w:jc w:val="right"/>
              <w:rPr>
                <w:rFonts w:ascii="Times New Roman" w:eastAsia="Times New Roman" w:hAnsi="Times New Roman" w:cs="Times New Roman"/>
                <w:sz w:val="20"/>
                <w:szCs w:val="20"/>
              </w:rPr>
            </w:pPr>
            <w:r w:rsidRPr="00B326CC">
              <w:rPr>
                <w:rFonts w:ascii="Times New Roman" w:eastAsia="Times New Roman" w:hAnsi="Times New Roman" w:cs="Times New Roman"/>
                <w:sz w:val="20"/>
                <w:szCs w:val="20"/>
              </w:rPr>
              <w:t>5</w:t>
            </w:r>
          </w:p>
        </w:tc>
        <w:tc>
          <w:tcPr>
            <w:tcW w:w="355" w:type="pct"/>
            <w:tcBorders>
              <w:top w:val="nil"/>
              <w:left w:val="nil"/>
              <w:bottom w:val="single" w:sz="4" w:space="0" w:color="auto"/>
              <w:right w:val="nil"/>
            </w:tcBorders>
            <w:shd w:val="clear" w:color="auto" w:fill="auto"/>
            <w:vAlign w:val="center"/>
            <w:hideMark/>
          </w:tcPr>
          <w:p w14:paraId="03E9C1AA" w14:textId="77777777" w:rsidR="00395C56" w:rsidRPr="00B326CC" w:rsidRDefault="00395C56" w:rsidP="00572FDE">
            <w:pPr>
              <w:spacing w:after="0" w:line="240" w:lineRule="auto"/>
              <w:jc w:val="right"/>
              <w:rPr>
                <w:rFonts w:ascii="Times New Roman" w:eastAsia="Times New Roman" w:hAnsi="Times New Roman" w:cs="Times New Roman"/>
                <w:sz w:val="20"/>
                <w:szCs w:val="20"/>
              </w:rPr>
            </w:pPr>
            <w:r w:rsidRPr="00B326CC">
              <w:rPr>
                <w:rFonts w:ascii="Times New Roman" w:eastAsia="Times New Roman" w:hAnsi="Times New Roman" w:cs="Times New Roman"/>
                <w:sz w:val="20"/>
                <w:szCs w:val="20"/>
              </w:rPr>
              <w:t>5</w:t>
            </w:r>
          </w:p>
        </w:tc>
        <w:tc>
          <w:tcPr>
            <w:tcW w:w="364" w:type="pct"/>
            <w:gridSpan w:val="2"/>
            <w:tcBorders>
              <w:top w:val="nil"/>
              <w:left w:val="nil"/>
              <w:bottom w:val="single" w:sz="4" w:space="0" w:color="auto"/>
              <w:right w:val="nil"/>
            </w:tcBorders>
            <w:shd w:val="clear" w:color="auto" w:fill="auto"/>
            <w:vAlign w:val="center"/>
            <w:hideMark/>
          </w:tcPr>
          <w:p w14:paraId="39B74A4F" w14:textId="77777777" w:rsidR="00395C56" w:rsidRPr="00B326CC" w:rsidRDefault="00395C56" w:rsidP="00572FDE">
            <w:pPr>
              <w:spacing w:after="0" w:line="240" w:lineRule="auto"/>
              <w:jc w:val="right"/>
              <w:rPr>
                <w:rFonts w:ascii="Times New Roman" w:eastAsia="Times New Roman" w:hAnsi="Times New Roman" w:cs="Times New Roman"/>
                <w:sz w:val="20"/>
                <w:szCs w:val="20"/>
              </w:rPr>
            </w:pPr>
            <w:r w:rsidRPr="00B326CC">
              <w:rPr>
                <w:rFonts w:ascii="Times New Roman" w:eastAsia="Times New Roman" w:hAnsi="Times New Roman" w:cs="Times New Roman"/>
                <w:sz w:val="20"/>
                <w:szCs w:val="20"/>
              </w:rPr>
              <w:t>5</w:t>
            </w:r>
          </w:p>
        </w:tc>
        <w:tc>
          <w:tcPr>
            <w:tcW w:w="306" w:type="pct"/>
            <w:gridSpan w:val="2"/>
            <w:tcBorders>
              <w:top w:val="nil"/>
              <w:left w:val="nil"/>
              <w:bottom w:val="single" w:sz="4" w:space="0" w:color="auto"/>
              <w:right w:val="nil"/>
            </w:tcBorders>
            <w:shd w:val="clear" w:color="auto" w:fill="auto"/>
            <w:vAlign w:val="center"/>
            <w:hideMark/>
          </w:tcPr>
          <w:p w14:paraId="47AA9CD6" w14:textId="77777777" w:rsidR="00395C56" w:rsidRPr="00B326CC" w:rsidRDefault="00395C56" w:rsidP="00572FDE">
            <w:pPr>
              <w:spacing w:after="0" w:line="240" w:lineRule="auto"/>
              <w:jc w:val="right"/>
              <w:rPr>
                <w:rFonts w:ascii="Times New Roman" w:eastAsia="Times New Roman" w:hAnsi="Times New Roman" w:cs="Times New Roman"/>
                <w:sz w:val="20"/>
                <w:szCs w:val="20"/>
              </w:rPr>
            </w:pPr>
            <w:r w:rsidRPr="00B326CC">
              <w:rPr>
                <w:rFonts w:ascii="Times New Roman" w:eastAsia="Times New Roman" w:hAnsi="Times New Roman" w:cs="Times New Roman"/>
                <w:sz w:val="20"/>
                <w:szCs w:val="20"/>
              </w:rPr>
              <w:t>5</w:t>
            </w:r>
          </w:p>
        </w:tc>
        <w:tc>
          <w:tcPr>
            <w:tcW w:w="440" w:type="pct"/>
            <w:gridSpan w:val="2"/>
            <w:tcBorders>
              <w:top w:val="nil"/>
              <w:left w:val="nil"/>
              <w:bottom w:val="single" w:sz="4" w:space="0" w:color="auto"/>
              <w:right w:val="nil"/>
            </w:tcBorders>
            <w:shd w:val="clear" w:color="auto" w:fill="auto"/>
            <w:vAlign w:val="center"/>
            <w:hideMark/>
          </w:tcPr>
          <w:p w14:paraId="774F9A0D" w14:textId="77777777" w:rsidR="00395C56" w:rsidRPr="00B326CC" w:rsidRDefault="00395C56" w:rsidP="00572FDE">
            <w:pPr>
              <w:spacing w:after="0" w:line="240" w:lineRule="auto"/>
              <w:jc w:val="right"/>
              <w:rPr>
                <w:rFonts w:ascii="Times New Roman" w:eastAsia="Times New Roman" w:hAnsi="Times New Roman" w:cs="Times New Roman"/>
                <w:sz w:val="20"/>
                <w:szCs w:val="20"/>
              </w:rPr>
            </w:pPr>
            <w:r w:rsidRPr="00B326CC">
              <w:rPr>
                <w:rFonts w:ascii="Times New Roman" w:eastAsia="Times New Roman" w:hAnsi="Times New Roman" w:cs="Times New Roman"/>
                <w:sz w:val="20"/>
                <w:szCs w:val="20"/>
              </w:rPr>
              <w:t>25</w:t>
            </w:r>
          </w:p>
        </w:tc>
        <w:tc>
          <w:tcPr>
            <w:tcW w:w="398" w:type="pct"/>
            <w:tcBorders>
              <w:top w:val="nil"/>
              <w:left w:val="nil"/>
              <w:bottom w:val="single" w:sz="4" w:space="0" w:color="auto"/>
              <w:right w:val="nil"/>
            </w:tcBorders>
            <w:shd w:val="clear" w:color="auto" w:fill="auto"/>
            <w:vAlign w:val="center"/>
            <w:hideMark/>
          </w:tcPr>
          <w:p w14:paraId="43D5DC88" w14:textId="77777777" w:rsidR="00395C56" w:rsidRPr="00B326CC" w:rsidRDefault="00395C56" w:rsidP="00572FDE">
            <w:pPr>
              <w:spacing w:after="0" w:line="240" w:lineRule="auto"/>
              <w:jc w:val="right"/>
              <w:rPr>
                <w:rFonts w:ascii="Times New Roman" w:eastAsia="Times New Roman" w:hAnsi="Times New Roman" w:cs="Times New Roman"/>
                <w:sz w:val="20"/>
                <w:szCs w:val="20"/>
              </w:rPr>
            </w:pPr>
            <w:r w:rsidRPr="00B326CC">
              <w:rPr>
                <w:rFonts w:ascii="Times New Roman" w:eastAsia="Times New Roman" w:hAnsi="Times New Roman" w:cs="Times New Roman"/>
                <w:sz w:val="20"/>
                <w:szCs w:val="20"/>
              </w:rPr>
              <w:t>3</w:t>
            </w:r>
          </w:p>
        </w:tc>
        <w:tc>
          <w:tcPr>
            <w:tcW w:w="487" w:type="pct"/>
            <w:tcBorders>
              <w:top w:val="nil"/>
              <w:left w:val="nil"/>
              <w:bottom w:val="single" w:sz="4" w:space="0" w:color="auto"/>
              <w:right w:val="nil"/>
            </w:tcBorders>
            <w:shd w:val="clear" w:color="auto" w:fill="auto"/>
            <w:vAlign w:val="center"/>
          </w:tcPr>
          <w:p w14:paraId="7E7A3853" w14:textId="5E537128" w:rsidR="00395C56" w:rsidRPr="00B326CC" w:rsidRDefault="00395C56" w:rsidP="00572FDE">
            <w:pPr>
              <w:spacing w:after="0" w:line="240" w:lineRule="auto"/>
              <w:jc w:val="right"/>
              <w:rPr>
                <w:rFonts w:ascii="Times New Roman" w:eastAsia="Times New Roman" w:hAnsi="Times New Roman" w:cs="Times New Roman"/>
                <w:sz w:val="20"/>
                <w:szCs w:val="20"/>
              </w:rPr>
            </w:pPr>
          </w:p>
        </w:tc>
      </w:tr>
      <w:tr w:rsidR="00395C56" w:rsidRPr="00B326CC" w14:paraId="6E17B58C" w14:textId="77777777" w:rsidTr="00A6265D">
        <w:trPr>
          <w:trHeight w:val="260"/>
        </w:trPr>
        <w:tc>
          <w:tcPr>
            <w:tcW w:w="1889" w:type="pct"/>
            <w:gridSpan w:val="2"/>
            <w:tcBorders>
              <w:top w:val="nil"/>
              <w:left w:val="nil"/>
              <w:bottom w:val="single" w:sz="4" w:space="0" w:color="auto"/>
              <w:right w:val="nil"/>
            </w:tcBorders>
            <w:shd w:val="clear" w:color="auto" w:fill="auto"/>
            <w:vAlign w:val="center"/>
            <w:hideMark/>
          </w:tcPr>
          <w:p w14:paraId="0C6E2F90" w14:textId="0065C640" w:rsidR="00395C56" w:rsidRPr="00B326CC" w:rsidRDefault="00395C56" w:rsidP="00572FDE">
            <w:pPr>
              <w:spacing w:after="0" w:line="240" w:lineRule="auto"/>
              <w:rPr>
                <w:rFonts w:ascii="Times New Roman" w:eastAsia="Times New Roman" w:hAnsi="Times New Roman" w:cs="Times New Roman"/>
                <w:b/>
                <w:bCs/>
                <w:color w:val="000000"/>
                <w:sz w:val="20"/>
                <w:szCs w:val="20"/>
              </w:rPr>
            </w:pPr>
            <w:r w:rsidRPr="00B326CC">
              <w:rPr>
                <w:rFonts w:ascii="Times New Roman" w:eastAsia="Times New Roman" w:hAnsi="Times New Roman" w:cs="Times New Roman"/>
                <w:b/>
                <w:bCs/>
                <w:color w:val="000000"/>
                <w:sz w:val="20"/>
                <w:szCs w:val="20"/>
              </w:rPr>
              <w:t>Program Management and Monitoring</w:t>
            </w:r>
            <w:r w:rsidR="00AF1009">
              <w:rPr>
                <w:rFonts w:ascii="Times New Roman" w:eastAsia="Times New Roman" w:hAnsi="Times New Roman" w:cs="Times New Roman"/>
                <w:b/>
                <w:bCs/>
                <w:color w:val="000000"/>
                <w:sz w:val="20"/>
                <w:szCs w:val="20"/>
              </w:rPr>
              <w:t xml:space="preserve"> (including Technical Assistance)</w:t>
            </w:r>
          </w:p>
        </w:tc>
        <w:tc>
          <w:tcPr>
            <w:tcW w:w="362" w:type="pct"/>
            <w:gridSpan w:val="2"/>
            <w:tcBorders>
              <w:top w:val="nil"/>
              <w:left w:val="nil"/>
              <w:bottom w:val="single" w:sz="4" w:space="0" w:color="auto"/>
              <w:right w:val="nil"/>
            </w:tcBorders>
            <w:shd w:val="clear" w:color="auto" w:fill="auto"/>
            <w:vAlign w:val="center"/>
            <w:hideMark/>
          </w:tcPr>
          <w:p w14:paraId="7A2365CD" w14:textId="77777777" w:rsidR="00395C56" w:rsidRPr="00B326CC" w:rsidRDefault="00395C56" w:rsidP="00572FDE">
            <w:pPr>
              <w:spacing w:after="0" w:line="240" w:lineRule="auto"/>
              <w:jc w:val="right"/>
              <w:rPr>
                <w:rFonts w:ascii="Times New Roman" w:eastAsia="Times New Roman" w:hAnsi="Times New Roman" w:cs="Times New Roman"/>
                <w:sz w:val="20"/>
                <w:szCs w:val="20"/>
              </w:rPr>
            </w:pPr>
            <w:r w:rsidRPr="00B326CC">
              <w:rPr>
                <w:rFonts w:ascii="Times New Roman" w:eastAsia="Times New Roman" w:hAnsi="Times New Roman" w:cs="Times New Roman"/>
                <w:sz w:val="20"/>
                <w:szCs w:val="20"/>
              </w:rPr>
              <w:t>15</w:t>
            </w:r>
          </w:p>
        </w:tc>
        <w:tc>
          <w:tcPr>
            <w:tcW w:w="400" w:type="pct"/>
            <w:tcBorders>
              <w:top w:val="nil"/>
              <w:left w:val="nil"/>
              <w:bottom w:val="single" w:sz="4" w:space="0" w:color="auto"/>
              <w:right w:val="nil"/>
            </w:tcBorders>
            <w:shd w:val="clear" w:color="auto" w:fill="auto"/>
            <w:vAlign w:val="center"/>
            <w:hideMark/>
          </w:tcPr>
          <w:p w14:paraId="3B05560B" w14:textId="77777777" w:rsidR="00395C56" w:rsidRPr="00B326CC" w:rsidRDefault="00395C56" w:rsidP="00572FDE">
            <w:pPr>
              <w:spacing w:after="0" w:line="240" w:lineRule="auto"/>
              <w:jc w:val="right"/>
              <w:rPr>
                <w:rFonts w:ascii="Times New Roman" w:eastAsia="Times New Roman" w:hAnsi="Times New Roman" w:cs="Times New Roman"/>
                <w:sz w:val="20"/>
                <w:szCs w:val="20"/>
              </w:rPr>
            </w:pPr>
            <w:r w:rsidRPr="00B326CC">
              <w:rPr>
                <w:rFonts w:ascii="Times New Roman" w:eastAsia="Times New Roman" w:hAnsi="Times New Roman" w:cs="Times New Roman"/>
                <w:sz w:val="20"/>
                <w:szCs w:val="20"/>
              </w:rPr>
              <w:t>15</w:t>
            </w:r>
          </w:p>
        </w:tc>
        <w:tc>
          <w:tcPr>
            <w:tcW w:w="355" w:type="pct"/>
            <w:tcBorders>
              <w:top w:val="nil"/>
              <w:left w:val="nil"/>
              <w:bottom w:val="single" w:sz="4" w:space="0" w:color="auto"/>
              <w:right w:val="nil"/>
            </w:tcBorders>
            <w:shd w:val="clear" w:color="auto" w:fill="auto"/>
            <w:vAlign w:val="center"/>
            <w:hideMark/>
          </w:tcPr>
          <w:p w14:paraId="56C2C57A" w14:textId="77777777" w:rsidR="00395C56" w:rsidRPr="00B326CC" w:rsidRDefault="00395C56" w:rsidP="00572FDE">
            <w:pPr>
              <w:spacing w:after="0" w:line="240" w:lineRule="auto"/>
              <w:jc w:val="right"/>
              <w:rPr>
                <w:rFonts w:ascii="Times New Roman" w:eastAsia="Times New Roman" w:hAnsi="Times New Roman" w:cs="Times New Roman"/>
                <w:sz w:val="20"/>
                <w:szCs w:val="20"/>
              </w:rPr>
            </w:pPr>
            <w:r w:rsidRPr="00B326CC">
              <w:rPr>
                <w:rFonts w:ascii="Times New Roman" w:eastAsia="Times New Roman" w:hAnsi="Times New Roman" w:cs="Times New Roman"/>
                <w:sz w:val="20"/>
                <w:szCs w:val="20"/>
              </w:rPr>
              <w:t>8</w:t>
            </w:r>
          </w:p>
        </w:tc>
        <w:tc>
          <w:tcPr>
            <w:tcW w:w="364" w:type="pct"/>
            <w:gridSpan w:val="2"/>
            <w:tcBorders>
              <w:top w:val="nil"/>
              <w:left w:val="nil"/>
              <w:bottom w:val="single" w:sz="4" w:space="0" w:color="auto"/>
              <w:right w:val="nil"/>
            </w:tcBorders>
            <w:shd w:val="clear" w:color="auto" w:fill="auto"/>
            <w:vAlign w:val="center"/>
            <w:hideMark/>
          </w:tcPr>
          <w:p w14:paraId="091EBF3A" w14:textId="77777777" w:rsidR="00395C56" w:rsidRPr="00B326CC" w:rsidRDefault="00395C56" w:rsidP="00572FDE">
            <w:pPr>
              <w:spacing w:after="0" w:line="240" w:lineRule="auto"/>
              <w:jc w:val="right"/>
              <w:rPr>
                <w:rFonts w:ascii="Times New Roman" w:eastAsia="Times New Roman" w:hAnsi="Times New Roman" w:cs="Times New Roman"/>
                <w:sz w:val="20"/>
                <w:szCs w:val="20"/>
              </w:rPr>
            </w:pPr>
            <w:r w:rsidRPr="00B326CC">
              <w:rPr>
                <w:rFonts w:ascii="Times New Roman" w:eastAsia="Times New Roman" w:hAnsi="Times New Roman" w:cs="Times New Roman"/>
                <w:sz w:val="20"/>
                <w:szCs w:val="20"/>
              </w:rPr>
              <w:t>8</w:t>
            </w:r>
          </w:p>
        </w:tc>
        <w:tc>
          <w:tcPr>
            <w:tcW w:w="306" w:type="pct"/>
            <w:gridSpan w:val="2"/>
            <w:tcBorders>
              <w:top w:val="nil"/>
              <w:left w:val="nil"/>
              <w:bottom w:val="single" w:sz="4" w:space="0" w:color="auto"/>
              <w:right w:val="nil"/>
            </w:tcBorders>
            <w:shd w:val="clear" w:color="auto" w:fill="auto"/>
            <w:vAlign w:val="center"/>
            <w:hideMark/>
          </w:tcPr>
          <w:p w14:paraId="7B9AC8BE" w14:textId="77777777" w:rsidR="00395C56" w:rsidRPr="00B326CC" w:rsidRDefault="00395C56" w:rsidP="00572FDE">
            <w:pPr>
              <w:spacing w:after="0" w:line="240" w:lineRule="auto"/>
              <w:jc w:val="right"/>
              <w:rPr>
                <w:rFonts w:ascii="Times New Roman" w:eastAsia="Times New Roman" w:hAnsi="Times New Roman" w:cs="Times New Roman"/>
                <w:sz w:val="20"/>
                <w:szCs w:val="20"/>
              </w:rPr>
            </w:pPr>
            <w:r w:rsidRPr="00B326CC">
              <w:rPr>
                <w:rFonts w:ascii="Times New Roman" w:eastAsia="Times New Roman" w:hAnsi="Times New Roman" w:cs="Times New Roman"/>
                <w:sz w:val="20"/>
                <w:szCs w:val="20"/>
              </w:rPr>
              <w:t>9</w:t>
            </w:r>
          </w:p>
        </w:tc>
        <w:tc>
          <w:tcPr>
            <w:tcW w:w="440" w:type="pct"/>
            <w:gridSpan w:val="2"/>
            <w:tcBorders>
              <w:top w:val="nil"/>
              <w:left w:val="nil"/>
              <w:bottom w:val="single" w:sz="4" w:space="0" w:color="auto"/>
              <w:right w:val="nil"/>
            </w:tcBorders>
            <w:shd w:val="clear" w:color="auto" w:fill="auto"/>
            <w:vAlign w:val="center"/>
            <w:hideMark/>
          </w:tcPr>
          <w:p w14:paraId="7C141575" w14:textId="77777777" w:rsidR="00395C56" w:rsidRPr="00B326CC" w:rsidRDefault="00395C56" w:rsidP="00572FDE">
            <w:pPr>
              <w:spacing w:after="0" w:line="240" w:lineRule="auto"/>
              <w:jc w:val="right"/>
              <w:rPr>
                <w:rFonts w:ascii="Times New Roman" w:eastAsia="Times New Roman" w:hAnsi="Times New Roman" w:cs="Times New Roman"/>
                <w:sz w:val="20"/>
                <w:szCs w:val="20"/>
              </w:rPr>
            </w:pPr>
            <w:r w:rsidRPr="00B326CC">
              <w:rPr>
                <w:rFonts w:ascii="Times New Roman" w:eastAsia="Times New Roman" w:hAnsi="Times New Roman" w:cs="Times New Roman"/>
                <w:sz w:val="20"/>
                <w:szCs w:val="20"/>
              </w:rPr>
              <w:t>55</w:t>
            </w:r>
          </w:p>
        </w:tc>
        <w:tc>
          <w:tcPr>
            <w:tcW w:w="398" w:type="pct"/>
            <w:tcBorders>
              <w:top w:val="nil"/>
              <w:left w:val="nil"/>
              <w:bottom w:val="single" w:sz="4" w:space="0" w:color="auto"/>
              <w:right w:val="nil"/>
            </w:tcBorders>
            <w:shd w:val="clear" w:color="auto" w:fill="auto"/>
            <w:vAlign w:val="center"/>
            <w:hideMark/>
          </w:tcPr>
          <w:p w14:paraId="29883433" w14:textId="77777777" w:rsidR="00395C56" w:rsidRPr="00B326CC" w:rsidRDefault="00395C56" w:rsidP="00572FDE">
            <w:pPr>
              <w:spacing w:after="0" w:line="240" w:lineRule="auto"/>
              <w:jc w:val="right"/>
              <w:rPr>
                <w:rFonts w:ascii="Times New Roman" w:eastAsia="Times New Roman" w:hAnsi="Times New Roman" w:cs="Times New Roman"/>
                <w:sz w:val="20"/>
                <w:szCs w:val="20"/>
              </w:rPr>
            </w:pPr>
            <w:r w:rsidRPr="00B326CC">
              <w:rPr>
                <w:rFonts w:ascii="Times New Roman" w:eastAsia="Times New Roman" w:hAnsi="Times New Roman" w:cs="Times New Roman"/>
                <w:sz w:val="20"/>
                <w:szCs w:val="20"/>
              </w:rPr>
              <w:t>6</w:t>
            </w:r>
          </w:p>
        </w:tc>
        <w:tc>
          <w:tcPr>
            <w:tcW w:w="487" w:type="pct"/>
            <w:tcBorders>
              <w:top w:val="nil"/>
              <w:left w:val="nil"/>
              <w:bottom w:val="single" w:sz="4" w:space="0" w:color="auto"/>
              <w:right w:val="nil"/>
            </w:tcBorders>
            <w:shd w:val="clear" w:color="auto" w:fill="auto"/>
            <w:vAlign w:val="center"/>
          </w:tcPr>
          <w:p w14:paraId="69474465" w14:textId="4228FA20" w:rsidR="00395C56" w:rsidRPr="00B326CC" w:rsidRDefault="00395C56" w:rsidP="00572FDE">
            <w:pPr>
              <w:spacing w:after="0" w:line="240" w:lineRule="auto"/>
              <w:jc w:val="right"/>
              <w:rPr>
                <w:rFonts w:ascii="Times New Roman" w:eastAsia="Times New Roman" w:hAnsi="Times New Roman" w:cs="Times New Roman"/>
                <w:sz w:val="20"/>
                <w:szCs w:val="20"/>
              </w:rPr>
            </w:pPr>
          </w:p>
        </w:tc>
      </w:tr>
      <w:tr w:rsidR="00395C56" w:rsidRPr="00B326CC" w14:paraId="6478FBD3" w14:textId="77777777" w:rsidTr="00A6265D">
        <w:trPr>
          <w:trHeight w:val="90"/>
        </w:trPr>
        <w:tc>
          <w:tcPr>
            <w:tcW w:w="1889" w:type="pct"/>
            <w:gridSpan w:val="2"/>
            <w:tcBorders>
              <w:top w:val="nil"/>
              <w:left w:val="nil"/>
              <w:bottom w:val="nil"/>
              <w:right w:val="nil"/>
            </w:tcBorders>
            <w:shd w:val="clear" w:color="auto" w:fill="auto"/>
            <w:vAlign w:val="center"/>
            <w:hideMark/>
          </w:tcPr>
          <w:p w14:paraId="1E9CBA6A" w14:textId="46BA2B32" w:rsidR="00395C56" w:rsidRPr="00B326CC" w:rsidRDefault="004C682B" w:rsidP="00572FDE">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5D1D56">
              <w:rPr>
                <w:rFonts w:ascii="Times New Roman" w:eastAsia="Times New Roman" w:hAnsi="Times New Roman" w:cs="Times New Roman"/>
                <w:sz w:val="20"/>
                <w:szCs w:val="20"/>
              </w:rPr>
              <w:t>total budget from MAPMDREF and other entities</w:t>
            </w:r>
          </w:p>
        </w:tc>
        <w:tc>
          <w:tcPr>
            <w:tcW w:w="362" w:type="pct"/>
            <w:gridSpan w:val="2"/>
            <w:tcBorders>
              <w:top w:val="nil"/>
              <w:left w:val="nil"/>
              <w:bottom w:val="nil"/>
              <w:right w:val="nil"/>
            </w:tcBorders>
            <w:shd w:val="clear" w:color="auto" w:fill="auto"/>
            <w:vAlign w:val="center"/>
            <w:hideMark/>
          </w:tcPr>
          <w:p w14:paraId="7DA84667" w14:textId="77777777" w:rsidR="00395C56" w:rsidRPr="00B326CC" w:rsidRDefault="00395C56" w:rsidP="00572FDE">
            <w:pPr>
              <w:spacing w:after="0" w:line="240" w:lineRule="auto"/>
              <w:jc w:val="center"/>
              <w:rPr>
                <w:rFonts w:ascii="Times New Roman" w:eastAsia="Times New Roman" w:hAnsi="Times New Roman" w:cs="Times New Roman"/>
                <w:sz w:val="20"/>
                <w:szCs w:val="20"/>
              </w:rPr>
            </w:pPr>
          </w:p>
        </w:tc>
        <w:tc>
          <w:tcPr>
            <w:tcW w:w="400" w:type="pct"/>
            <w:tcBorders>
              <w:top w:val="nil"/>
              <w:left w:val="nil"/>
              <w:bottom w:val="nil"/>
              <w:right w:val="nil"/>
            </w:tcBorders>
            <w:shd w:val="clear" w:color="auto" w:fill="auto"/>
            <w:vAlign w:val="center"/>
            <w:hideMark/>
          </w:tcPr>
          <w:p w14:paraId="3BA1CBB7" w14:textId="77777777" w:rsidR="00395C56" w:rsidRPr="00B326CC" w:rsidRDefault="00395C56" w:rsidP="00572FDE">
            <w:pPr>
              <w:spacing w:after="0" w:line="240" w:lineRule="auto"/>
              <w:jc w:val="center"/>
              <w:rPr>
                <w:rFonts w:ascii="Times New Roman" w:eastAsia="Times New Roman" w:hAnsi="Times New Roman" w:cs="Times New Roman"/>
                <w:sz w:val="20"/>
                <w:szCs w:val="20"/>
              </w:rPr>
            </w:pPr>
          </w:p>
        </w:tc>
        <w:tc>
          <w:tcPr>
            <w:tcW w:w="355" w:type="pct"/>
            <w:tcBorders>
              <w:top w:val="nil"/>
              <w:left w:val="nil"/>
              <w:bottom w:val="nil"/>
              <w:right w:val="nil"/>
            </w:tcBorders>
            <w:shd w:val="clear" w:color="auto" w:fill="auto"/>
            <w:vAlign w:val="center"/>
            <w:hideMark/>
          </w:tcPr>
          <w:p w14:paraId="4910ED58" w14:textId="77777777" w:rsidR="00395C56" w:rsidRPr="00B326CC" w:rsidRDefault="00395C56" w:rsidP="00572FDE">
            <w:pPr>
              <w:spacing w:after="0" w:line="240" w:lineRule="auto"/>
              <w:jc w:val="center"/>
              <w:rPr>
                <w:rFonts w:ascii="Times New Roman" w:eastAsia="Times New Roman" w:hAnsi="Times New Roman" w:cs="Times New Roman"/>
                <w:sz w:val="20"/>
                <w:szCs w:val="20"/>
              </w:rPr>
            </w:pPr>
          </w:p>
        </w:tc>
        <w:tc>
          <w:tcPr>
            <w:tcW w:w="364" w:type="pct"/>
            <w:gridSpan w:val="2"/>
            <w:tcBorders>
              <w:top w:val="nil"/>
              <w:left w:val="nil"/>
              <w:bottom w:val="nil"/>
              <w:right w:val="nil"/>
            </w:tcBorders>
            <w:shd w:val="clear" w:color="auto" w:fill="auto"/>
            <w:vAlign w:val="center"/>
            <w:hideMark/>
          </w:tcPr>
          <w:p w14:paraId="296E15D9" w14:textId="77777777" w:rsidR="00395C56" w:rsidRPr="00B326CC" w:rsidRDefault="00395C56" w:rsidP="00572FDE">
            <w:pPr>
              <w:spacing w:after="0" w:line="240" w:lineRule="auto"/>
              <w:jc w:val="center"/>
              <w:rPr>
                <w:rFonts w:ascii="Times New Roman" w:eastAsia="Times New Roman" w:hAnsi="Times New Roman" w:cs="Times New Roman"/>
                <w:sz w:val="20"/>
                <w:szCs w:val="20"/>
              </w:rPr>
            </w:pPr>
          </w:p>
        </w:tc>
        <w:tc>
          <w:tcPr>
            <w:tcW w:w="306" w:type="pct"/>
            <w:gridSpan w:val="2"/>
            <w:tcBorders>
              <w:top w:val="nil"/>
              <w:left w:val="nil"/>
              <w:bottom w:val="nil"/>
              <w:right w:val="nil"/>
            </w:tcBorders>
            <w:shd w:val="clear" w:color="auto" w:fill="auto"/>
            <w:vAlign w:val="center"/>
            <w:hideMark/>
          </w:tcPr>
          <w:p w14:paraId="7F48E73E" w14:textId="77777777" w:rsidR="00395C56" w:rsidRPr="00B326CC" w:rsidRDefault="00395C56" w:rsidP="00572FDE">
            <w:pPr>
              <w:spacing w:after="0" w:line="240" w:lineRule="auto"/>
              <w:jc w:val="center"/>
              <w:rPr>
                <w:rFonts w:ascii="Times New Roman" w:eastAsia="Times New Roman" w:hAnsi="Times New Roman" w:cs="Times New Roman"/>
                <w:sz w:val="20"/>
                <w:szCs w:val="20"/>
              </w:rPr>
            </w:pPr>
          </w:p>
        </w:tc>
        <w:tc>
          <w:tcPr>
            <w:tcW w:w="440" w:type="pct"/>
            <w:gridSpan w:val="2"/>
            <w:tcBorders>
              <w:top w:val="nil"/>
              <w:left w:val="nil"/>
              <w:bottom w:val="nil"/>
              <w:right w:val="nil"/>
            </w:tcBorders>
            <w:shd w:val="clear" w:color="auto" w:fill="auto"/>
            <w:vAlign w:val="center"/>
            <w:hideMark/>
          </w:tcPr>
          <w:p w14:paraId="2ADC2551" w14:textId="77777777" w:rsidR="00395C56" w:rsidRPr="00B326CC" w:rsidRDefault="00395C56" w:rsidP="00572FDE">
            <w:pPr>
              <w:spacing w:after="0" w:line="240" w:lineRule="auto"/>
              <w:jc w:val="center"/>
              <w:rPr>
                <w:rFonts w:ascii="Times New Roman" w:eastAsia="Times New Roman" w:hAnsi="Times New Roman" w:cs="Times New Roman"/>
                <w:sz w:val="20"/>
                <w:szCs w:val="20"/>
              </w:rPr>
            </w:pPr>
          </w:p>
        </w:tc>
        <w:tc>
          <w:tcPr>
            <w:tcW w:w="398" w:type="pct"/>
            <w:tcBorders>
              <w:top w:val="nil"/>
              <w:left w:val="nil"/>
              <w:bottom w:val="nil"/>
              <w:right w:val="nil"/>
            </w:tcBorders>
            <w:shd w:val="clear" w:color="auto" w:fill="auto"/>
            <w:vAlign w:val="center"/>
            <w:hideMark/>
          </w:tcPr>
          <w:p w14:paraId="5A906E90" w14:textId="77777777" w:rsidR="00395C56" w:rsidRPr="00B326CC" w:rsidRDefault="00395C56" w:rsidP="00572FDE">
            <w:pPr>
              <w:spacing w:after="0" w:line="240" w:lineRule="auto"/>
              <w:jc w:val="center"/>
              <w:rPr>
                <w:rFonts w:ascii="Times New Roman" w:eastAsia="Times New Roman" w:hAnsi="Times New Roman" w:cs="Times New Roman"/>
                <w:sz w:val="20"/>
                <w:szCs w:val="20"/>
              </w:rPr>
            </w:pPr>
          </w:p>
        </w:tc>
        <w:tc>
          <w:tcPr>
            <w:tcW w:w="487" w:type="pct"/>
            <w:tcBorders>
              <w:top w:val="nil"/>
              <w:left w:val="nil"/>
              <w:bottom w:val="nil"/>
              <w:right w:val="nil"/>
            </w:tcBorders>
            <w:shd w:val="clear" w:color="auto" w:fill="auto"/>
            <w:vAlign w:val="center"/>
          </w:tcPr>
          <w:p w14:paraId="71EE77DB" w14:textId="77777777" w:rsidR="00395C56" w:rsidRPr="00B326CC" w:rsidRDefault="00395C56" w:rsidP="00572FDE">
            <w:pPr>
              <w:spacing w:after="0" w:line="240" w:lineRule="auto"/>
              <w:jc w:val="center"/>
              <w:rPr>
                <w:rFonts w:ascii="Times New Roman" w:eastAsia="Times New Roman" w:hAnsi="Times New Roman" w:cs="Times New Roman"/>
                <w:sz w:val="20"/>
                <w:szCs w:val="20"/>
              </w:rPr>
            </w:pPr>
          </w:p>
        </w:tc>
      </w:tr>
      <w:tr w:rsidR="00395C56" w:rsidRPr="00B326CC" w14:paraId="16C39A1F" w14:textId="77777777" w:rsidTr="00A6265D">
        <w:trPr>
          <w:trHeight w:val="260"/>
        </w:trPr>
        <w:tc>
          <w:tcPr>
            <w:tcW w:w="1889" w:type="pct"/>
            <w:gridSpan w:val="2"/>
            <w:tcBorders>
              <w:top w:val="nil"/>
              <w:left w:val="nil"/>
              <w:bottom w:val="nil"/>
              <w:right w:val="nil"/>
            </w:tcBorders>
            <w:shd w:val="clear" w:color="auto" w:fill="auto"/>
            <w:vAlign w:val="center"/>
            <w:hideMark/>
          </w:tcPr>
          <w:p w14:paraId="1061C3D1" w14:textId="161A3B54" w:rsidR="00395C56" w:rsidRPr="00B326CC" w:rsidRDefault="00395C56" w:rsidP="00572FDE">
            <w:pPr>
              <w:spacing w:after="0" w:line="240" w:lineRule="auto"/>
              <w:rPr>
                <w:rFonts w:ascii="Times New Roman" w:eastAsia="Times New Roman" w:hAnsi="Times New Roman" w:cs="Times New Roman"/>
                <w:color w:val="000000"/>
                <w:sz w:val="20"/>
                <w:szCs w:val="20"/>
              </w:rPr>
            </w:pPr>
          </w:p>
        </w:tc>
        <w:tc>
          <w:tcPr>
            <w:tcW w:w="362" w:type="pct"/>
            <w:gridSpan w:val="2"/>
            <w:tcBorders>
              <w:top w:val="nil"/>
              <w:left w:val="nil"/>
              <w:bottom w:val="nil"/>
              <w:right w:val="nil"/>
            </w:tcBorders>
            <w:shd w:val="clear" w:color="auto" w:fill="auto"/>
            <w:vAlign w:val="center"/>
            <w:hideMark/>
          </w:tcPr>
          <w:p w14:paraId="11A1ED90" w14:textId="77777777" w:rsidR="00395C56" w:rsidRPr="00B326CC" w:rsidRDefault="00395C56" w:rsidP="00572FDE">
            <w:pPr>
              <w:spacing w:after="0" w:line="240" w:lineRule="auto"/>
              <w:rPr>
                <w:rFonts w:ascii="Times New Roman" w:eastAsia="Times New Roman" w:hAnsi="Times New Roman" w:cs="Times New Roman"/>
                <w:color w:val="000000"/>
                <w:sz w:val="20"/>
                <w:szCs w:val="20"/>
              </w:rPr>
            </w:pPr>
          </w:p>
        </w:tc>
        <w:tc>
          <w:tcPr>
            <w:tcW w:w="400" w:type="pct"/>
            <w:tcBorders>
              <w:top w:val="nil"/>
              <w:left w:val="nil"/>
              <w:bottom w:val="nil"/>
              <w:right w:val="nil"/>
            </w:tcBorders>
            <w:shd w:val="clear" w:color="auto" w:fill="auto"/>
            <w:noWrap/>
            <w:vAlign w:val="bottom"/>
            <w:hideMark/>
          </w:tcPr>
          <w:p w14:paraId="0C236F7A" w14:textId="0EABD8DC" w:rsidR="00395C56" w:rsidRPr="00B326CC" w:rsidRDefault="00395C56" w:rsidP="00572FDE">
            <w:pPr>
              <w:spacing w:after="0" w:line="240" w:lineRule="auto"/>
              <w:jc w:val="right"/>
              <w:rPr>
                <w:rFonts w:ascii="Times New Roman" w:eastAsia="Times New Roman" w:hAnsi="Times New Roman" w:cs="Times New Roman"/>
                <w:color w:val="000000"/>
                <w:sz w:val="16"/>
                <w:szCs w:val="16"/>
              </w:rPr>
            </w:pPr>
            <w:r w:rsidRPr="00B326CC">
              <w:rPr>
                <w:rFonts w:ascii="Times New Roman" w:eastAsia="Times New Roman" w:hAnsi="Times New Roman" w:cs="Times New Roman"/>
                <w:color w:val="000000"/>
                <w:sz w:val="16"/>
                <w:szCs w:val="16"/>
              </w:rPr>
              <w:t xml:space="preserve"> 1 </w:t>
            </w:r>
            <w:r w:rsidR="00796272" w:rsidRPr="00B326CC">
              <w:rPr>
                <w:rFonts w:ascii="Times New Roman" w:eastAsia="Times New Roman" w:hAnsi="Times New Roman" w:cs="Times New Roman"/>
                <w:color w:val="000000"/>
                <w:sz w:val="16"/>
                <w:szCs w:val="16"/>
              </w:rPr>
              <w:t>US</w:t>
            </w:r>
            <w:r w:rsidR="00796272">
              <w:rPr>
                <w:rFonts w:ascii="Times New Roman" w:eastAsia="Times New Roman" w:hAnsi="Times New Roman" w:cs="Times New Roman"/>
                <w:color w:val="000000"/>
                <w:sz w:val="16"/>
                <w:szCs w:val="16"/>
              </w:rPr>
              <w:t>$</w:t>
            </w:r>
            <w:r w:rsidRPr="00B326CC">
              <w:rPr>
                <w:rFonts w:ascii="Times New Roman" w:eastAsia="Times New Roman" w:hAnsi="Times New Roman" w:cs="Times New Roman"/>
                <w:color w:val="000000"/>
                <w:sz w:val="16"/>
                <w:szCs w:val="16"/>
              </w:rPr>
              <w:t xml:space="preserve">= </w:t>
            </w:r>
          </w:p>
        </w:tc>
        <w:tc>
          <w:tcPr>
            <w:tcW w:w="355" w:type="pct"/>
            <w:tcBorders>
              <w:top w:val="nil"/>
              <w:left w:val="nil"/>
              <w:bottom w:val="nil"/>
              <w:right w:val="nil"/>
            </w:tcBorders>
            <w:shd w:val="clear" w:color="auto" w:fill="auto"/>
            <w:noWrap/>
            <w:vAlign w:val="bottom"/>
            <w:hideMark/>
          </w:tcPr>
          <w:p w14:paraId="46785DB5" w14:textId="77777777" w:rsidR="00395C56" w:rsidRPr="00B326CC" w:rsidRDefault="00395C56" w:rsidP="00572FDE">
            <w:pPr>
              <w:spacing w:after="0" w:line="240" w:lineRule="auto"/>
              <w:jc w:val="right"/>
              <w:rPr>
                <w:rFonts w:ascii="Times New Roman" w:eastAsia="Times New Roman" w:hAnsi="Times New Roman" w:cs="Times New Roman"/>
                <w:color w:val="000000"/>
                <w:sz w:val="16"/>
                <w:szCs w:val="16"/>
              </w:rPr>
            </w:pPr>
            <w:r w:rsidRPr="00B326CC">
              <w:rPr>
                <w:rFonts w:ascii="Times New Roman" w:eastAsia="Times New Roman" w:hAnsi="Times New Roman" w:cs="Times New Roman"/>
                <w:color w:val="000000"/>
                <w:sz w:val="16"/>
                <w:szCs w:val="16"/>
              </w:rPr>
              <w:t xml:space="preserve">           9.4 </w:t>
            </w:r>
          </w:p>
        </w:tc>
        <w:tc>
          <w:tcPr>
            <w:tcW w:w="364" w:type="pct"/>
            <w:gridSpan w:val="2"/>
            <w:tcBorders>
              <w:top w:val="nil"/>
              <w:left w:val="nil"/>
              <w:bottom w:val="nil"/>
              <w:right w:val="nil"/>
            </w:tcBorders>
            <w:shd w:val="clear" w:color="auto" w:fill="auto"/>
            <w:noWrap/>
            <w:vAlign w:val="bottom"/>
            <w:hideMark/>
          </w:tcPr>
          <w:p w14:paraId="12AFC00C" w14:textId="77777777" w:rsidR="00395C56" w:rsidRPr="00B326CC" w:rsidRDefault="00395C56" w:rsidP="00572FDE">
            <w:pPr>
              <w:spacing w:after="0" w:line="240" w:lineRule="auto"/>
              <w:jc w:val="right"/>
              <w:rPr>
                <w:rFonts w:ascii="Times New Roman" w:eastAsia="Times New Roman" w:hAnsi="Times New Roman" w:cs="Times New Roman"/>
                <w:color w:val="000000"/>
                <w:sz w:val="16"/>
                <w:szCs w:val="16"/>
              </w:rPr>
            </w:pPr>
            <w:r w:rsidRPr="00B326CC">
              <w:rPr>
                <w:rFonts w:ascii="Times New Roman" w:eastAsia="Times New Roman" w:hAnsi="Times New Roman" w:cs="Times New Roman"/>
                <w:color w:val="000000"/>
                <w:sz w:val="16"/>
                <w:szCs w:val="16"/>
              </w:rPr>
              <w:t xml:space="preserve"> MAD </w:t>
            </w:r>
          </w:p>
        </w:tc>
        <w:tc>
          <w:tcPr>
            <w:tcW w:w="745" w:type="pct"/>
            <w:gridSpan w:val="4"/>
            <w:tcBorders>
              <w:top w:val="nil"/>
              <w:left w:val="nil"/>
              <w:bottom w:val="nil"/>
              <w:right w:val="nil"/>
            </w:tcBorders>
            <w:shd w:val="clear" w:color="auto" w:fill="auto"/>
            <w:noWrap/>
            <w:vAlign w:val="bottom"/>
            <w:hideMark/>
          </w:tcPr>
          <w:p w14:paraId="7B675749" w14:textId="77777777" w:rsidR="00395C56" w:rsidRPr="00B326CC" w:rsidRDefault="00395C56" w:rsidP="00572FDE">
            <w:pPr>
              <w:spacing w:after="0" w:line="240" w:lineRule="auto"/>
              <w:rPr>
                <w:rFonts w:ascii="Times New Roman" w:eastAsia="Times New Roman" w:hAnsi="Times New Roman" w:cs="Times New Roman"/>
                <w:color w:val="000000"/>
                <w:sz w:val="16"/>
                <w:szCs w:val="16"/>
              </w:rPr>
            </w:pPr>
            <w:r w:rsidRPr="00B326CC">
              <w:rPr>
                <w:rFonts w:ascii="Times New Roman" w:eastAsia="Times New Roman" w:hAnsi="Times New Roman" w:cs="Times New Roman"/>
                <w:color w:val="000000"/>
                <w:sz w:val="16"/>
                <w:szCs w:val="16"/>
              </w:rPr>
              <w:t xml:space="preserve"> effective 10/10/2017 </w:t>
            </w:r>
          </w:p>
        </w:tc>
        <w:tc>
          <w:tcPr>
            <w:tcW w:w="398" w:type="pct"/>
            <w:tcBorders>
              <w:top w:val="nil"/>
              <w:left w:val="nil"/>
              <w:bottom w:val="nil"/>
              <w:right w:val="nil"/>
            </w:tcBorders>
            <w:shd w:val="clear" w:color="auto" w:fill="auto"/>
            <w:vAlign w:val="center"/>
            <w:hideMark/>
          </w:tcPr>
          <w:p w14:paraId="468C7DEF" w14:textId="77777777" w:rsidR="00395C56" w:rsidRPr="00B326CC" w:rsidRDefault="00395C56" w:rsidP="00572FDE">
            <w:pPr>
              <w:spacing w:after="0" w:line="240" w:lineRule="auto"/>
              <w:rPr>
                <w:rFonts w:ascii="Times New Roman" w:eastAsia="Times New Roman" w:hAnsi="Times New Roman" w:cs="Times New Roman"/>
                <w:color w:val="000000"/>
                <w:sz w:val="16"/>
                <w:szCs w:val="16"/>
              </w:rPr>
            </w:pPr>
          </w:p>
        </w:tc>
        <w:tc>
          <w:tcPr>
            <w:tcW w:w="487" w:type="pct"/>
            <w:tcBorders>
              <w:top w:val="nil"/>
              <w:left w:val="nil"/>
              <w:bottom w:val="nil"/>
              <w:right w:val="nil"/>
            </w:tcBorders>
            <w:shd w:val="clear" w:color="auto" w:fill="auto"/>
            <w:vAlign w:val="center"/>
            <w:hideMark/>
          </w:tcPr>
          <w:p w14:paraId="16C821C1" w14:textId="77777777" w:rsidR="00395C56" w:rsidRPr="00B326CC" w:rsidRDefault="00395C56" w:rsidP="00572FDE">
            <w:pPr>
              <w:spacing w:after="0" w:line="240" w:lineRule="auto"/>
              <w:jc w:val="right"/>
              <w:rPr>
                <w:rFonts w:ascii="Times New Roman" w:eastAsia="Times New Roman" w:hAnsi="Times New Roman" w:cs="Times New Roman"/>
                <w:sz w:val="20"/>
                <w:szCs w:val="20"/>
              </w:rPr>
            </w:pPr>
          </w:p>
        </w:tc>
      </w:tr>
      <w:tr w:rsidR="00395C56" w:rsidRPr="00B326CC" w14:paraId="62C95454" w14:textId="77777777" w:rsidTr="00A6265D">
        <w:trPr>
          <w:gridAfter w:val="3"/>
          <w:wAfter w:w="1045" w:type="pct"/>
          <w:trHeight w:val="260"/>
        </w:trPr>
        <w:tc>
          <w:tcPr>
            <w:tcW w:w="1372" w:type="pct"/>
            <w:tcBorders>
              <w:top w:val="nil"/>
              <w:left w:val="nil"/>
              <w:bottom w:val="nil"/>
              <w:right w:val="nil"/>
            </w:tcBorders>
            <w:shd w:val="clear" w:color="auto" w:fill="auto"/>
            <w:vAlign w:val="center"/>
            <w:hideMark/>
          </w:tcPr>
          <w:p w14:paraId="68FC42CB" w14:textId="4B5FAD15" w:rsidR="00395C56" w:rsidRPr="00B326CC" w:rsidRDefault="00395C56" w:rsidP="00572FDE">
            <w:pPr>
              <w:spacing w:after="0" w:line="240" w:lineRule="auto"/>
              <w:rPr>
                <w:rFonts w:ascii="Times New Roman" w:eastAsia="Times New Roman" w:hAnsi="Times New Roman" w:cs="Times New Roman"/>
                <w:color w:val="000000"/>
                <w:sz w:val="20"/>
                <w:szCs w:val="20"/>
              </w:rPr>
            </w:pPr>
          </w:p>
        </w:tc>
        <w:tc>
          <w:tcPr>
            <w:tcW w:w="517" w:type="pct"/>
            <w:tcBorders>
              <w:top w:val="nil"/>
              <w:left w:val="nil"/>
              <w:bottom w:val="nil"/>
              <w:right w:val="nil"/>
            </w:tcBorders>
            <w:shd w:val="clear" w:color="auto" w:fill="auto"/>
            <w:vAlign w:val="center"/>
            <w:hideMark/>
          </w:tcPr>
          <w:p w14:paraId="309B540B" w14:textId="77777777" w:rsidR="00395C56" w:rsidRPr="00B326CC" w:rsidRDefault="00395C56" w:rsidP="00572FDE">
            <w:pPr>
              <w:spacing w:after="0" w:line="240" w:lineRule="auto"/>
              <w:rPr>
                <w:rFonts w:ascii="Times New Roman" w:eastAsia="Times New Roman" w:hAnsi="Times New Roman" w:cs="Times New Roman"/>
                <w:color w:val="000000"/>
                <w:sz w:val="20"/>
                <w:szCs w:val="20"/>
              </w:rPr>
            </w:pPr>
          </w:p>
        </w:tc>
        <w:tc>
          <w:tcPr>
            <w:tcW w:w="254" w:type="pct"/>
            <w:tcBorders>
              <w:top w:val="nil"/>
              <w:left w:val="nil"/>
              <w:bottom w:val="nil"/>
              <w:right w:val="nil"/>
            </w:tcBorders>
            <w:shd w:val="clear" w:color="auto" w:fill="auto"/>
            <w:vAlign w:val="center"/>
            <w:hideMark/>
          </w:tcPr>
          <w:p w14:paraId="51F3EBDB" w14:textId="77777777" w:rsidR="00395C56" w:rsidRPr="00B326CC" w:rsidRDefault="00395C56" w:rsidP="00572FDE">
            <w:pPr>
              <w:spacing w:after="0" w:line="240" w:lineRule="auto"/>
              <w:rPr>
                <w:rFonts w:ascii="Times New Roman" w:eastAsia="Times New Roman" w:hAnsi="Times New Roman" w:cs="Times New Roman"/>
                <w:sz w:val="20"/>
                <w:szCs w:val="20"/>
              </w:rPr>
            </w:pPr>
          </w:p>
        </w:tc>
        <w:tc>
          <w:tcPr>
            <w:tcW w:w="882" w:type="pct"/>
            <w:gridSpan w:val="4"/>
            <w:tcBorders>
              <w:top w:val="nil"/>
              <w:left w:val="nil"/>
              <w:bottom w:val="nil"/>
              <w:right w:val="nil"/>
            </w:tcBorders>
            <w:shd w:val="clear" w:color="auto" w:fill="auto"/>
            <w:vAlign w:val="center"/>
            <w:hideMark/>
          </w:tcPr>
          <w:p w14:paraId="15AC23CD" w14:textId="77777777" w:rsidR="00395C56" w:rsidRPr="00B326CC" w:rsidRDefault="00395C56" w:rsidP="00572FDE">
            <w:pPr>
              <w:spacing w:after="0" w:line="240" w:lineRule="auto"/>
              <w:rPr>
                <w:rFonts w:ascii="Times New Roman" w:eastAsia="Times New Roman" w:hAnsi="Times New Roman" w:cs="Times New Roman"/>
                <w:sz w:val="20"/>
                <w:szCs w:val="20"/>
              </w:rPr>
            </w:pPr>
          </w:p>
        </w:tc>
        <w:tc>
          <w:tcPr>
            <w:tcW w:w="429" w:type="pct"/>
            <w:gridSpan w:val="2"/>
            <w:tcBorders>
              <w:top w:val="nil"/>
              <w:left w:val="nil"/>
              <w:bottom w:val="nil"/>
              <w:right w:val="nil"/>
            </w:tcBorders>
            <w:shd w:val="clear" w:color="auto" w:fill="auto"/>
            <w:vAlign w:val="center"/>
            <w:hideMark/>
          </w:tcPr>
          <w:p w14:paraId="07E630E4" w14:textId="77777777" w:rsidR="00395C56" w:rsidRPr="00B326CC" w:rsidRDefault="00395C56" w:rsidP="00572FDE">
            <w:pPr>
              <w:spacing w:after="0" w:line="240" w:lineRule="auto"/>
              <w:rPr>
                <w:rFonts w:ascii="Times New Roman" w:eastAsia="Times New Roman" w:hAnsi="Times New Roman" w:cs="Times New Roman"/>
                <w:sz w:val="20"/>
                <w:szCs w:val="20"/>
              </w:rPr>
            </w:pPr>
          </w:p>
        </w:tc>
        <w:tc>
          <w:tcPr>
            <w:tcW w:w="500" w:type="pct"/>
            <w:gridSpan w:val="2"/>
            <w:tcBorders>
              <w:top w:val="nil"/>
              <w:left w:val="nil"/>
              <w:bottom w:val="nil"/>
              <w:right w:val="nil"/>
            </w:tcBorders>
            <w:shd w:val="clear" w:color="auto" w:fill="auto"/>
            <w:vAlign w:val="center"/>
            <w:hideMark/>
          </w:tcPr>
          <w:p w14:paraId="24EE3DE6" w14:textId="77777777" w:rsidR="00395C56" w:rsidRPr="00B326CC" w:rsidRDefault="00395C56" w:rsidP="00572FDE">
            <w:pPr>
              <w:spacing w:after="0" w:line="240" w:lineRule="auto"/>
              <w:rPr>
                <w:rFonts w:ascii="Times New Roman" w:eastAsia="Times New Roman" w:hAnsi="Times New Roman" w:cs="Times New Roman"/>
                <w:sz w:val="20"/>
                <w:szCs w:val="20"/>
              </w:rPr>
            </w:pPr>
          </w:p>
        </w:tc>
      </w:tr>
    </w:tbl>
    <w:p w14:paraId="523586CA" w14:textId="45001256" w:rsidR="00742B07" w:rsidRPr="00BC7BB5" w:rsidRDefault="00742B07" w:rsidP="00742B07">
      <w:pPr>
        <w:pStyle w:val="Attachmenttitle"/>
        <w:rPr>
          <w:i/>
          <w:sz w:val="22"/>
          <w:szCs w:val="22"/>
        </w:rPr>
      </w:pPr>
      <w:r w:rsidRPr="00BC7BB5">
        <w:rPr>
          <w:i/>
          <w:sz w:val="22"/>
          <w:szCs w:val="22"/>
        </w:rPr>
        <w:t>Alignment with Government priorities</w:t>
      </w:r>
    </w:p>
    <w:p w14:paraId="6A80D923" w14:textId="1E9A0F6C" w:rsidR="00742B07" w:rsidRPr="00BC7BB5" w:rsidRDefault="00742B07" w:rsidP="00422BC8">
      <w:pPr>
        <w:pStyle w:val="ListParagraph"/>
        <w:numPr>
          <w:ilvl w:val="0"/>
          <w:numId w:val="15"/>
        </w:numPr>
        <w:autoSpaceDE w:val="0"/>
        <w:autoSpaceDN w:val="0"/>
        <w:adjustRightInd w:val="0"/>
        <w:spacing w:after="0" w:line="240" w:lineRule="auto"/>
        <w:ind w:left="0" w:firstLine="0"/>
        <w:jc w:val="both"/>
        <w:rPr>
          <w:rFonts w:ascii="Times New Roman" w:hAnsi="Times New Roman" w:cs="Times New Roman"/>
        </w:rPr>
      </w:pPr>
      <w:r w:rsidRPr="00BC7BB5">
        <w:rPr>
          <w:rFonts w:ascii="Times New Roman" w:hAnsi="Times New Roman" w:cs="Times New Roman"/>
        </w:rPr>
        <w:t xml:space="preserve">The activities contained in the expenditure framework meet the directions set by the Government, under the </w:t>
      </w:r>
      <w:r w:rsidRPr="00BC7BB5">
        <w:rPr>
          <w:rFonts w:ascii="Times New Roman" w:hAnsi="Times New Roman" w:cs="Times New Roman"/>
          <w:i/>
        </w:rPr>
        <w:t>Plan Maroc Vert</w:t>
      </w:r>
      <w:r w:rsidRPr="00BC7BB5">
        <w:rPr>
          <w:rFonts w:ascii="Times New Roman" w:hAnsi="Times New Roman" w:cs="Times New Roman"/>
        </w:rPr>
        <w:t xml:space="preserve"> (Green Morocco Plan), which is the Government’ strategy for the development of the agriculture sector. In addition, they are in line with national efforts</w:t>
      </w:r>
      <w:r w:rsidR="00796272">
        <w:rPr>
          <w:rFonts w:ascii="Times New Roman" w:hAnsi="Times New Roman" w:cs="Times New Roman"/>
        </w:rPr>
        <w:t>:</w:t>
      </w:r>
      <w:r w:rsidRPr="00BC7BB5">
        <w:rPr>
          <w:rFonts w:ascii="Times New Roman" w:hAnsi="Times New Roman" w:cs="Times New Roman"/>
        </w:rPr>
        <w:t xml:space="preserve"> (a) to accelerate the implementation of transversal institutional reforms within the sector, as well as an investment support program based on public-private partnerships</w:t>
      </w:r>
      <w:r w:rsidR="00796272">
        <w:rPr>
          <w:rFonts w:ascii="Times New Roman" w:hAnsi="Times New Roman" w:cs="Times New Roman"/>
        </w:rPr>
        <w:t>;</w:t>
      </w:r>
      <w:r w:rsidRPr="00BC7BB5">
        <w:rPr>
          <w:rFonts w:ascii="Times New Roman" w:hAnsi="Times New Roman" w:cs="Times New Roman"/>
        </w:rPr>
        <w:t xml:space="preserve"> and (b) for a greater emphasis on value-addition and value-chain development in the Moroccan agri-food sector. Lastly, the Program includes activities a</w:t>
      </w:r>
      <w:r w:rsidR="00395C56" w:rsidRPr="00BC7BB5">
        <w:rPr>
          <w:rFonts w:ascii="Times New Roman" w:hAnsi="Times New Roman" w:cs="Times New Roman"/>
        </w:rPr>
        <w:t xml:space="preserve">iming to improve governance in </w:t>
      </w:r>
      <w:r w:rsidRPr="00BC7BB5">
        <w:rPr>
          <w:rFonts w:ascii="Times New Roman" w:hAnsi="Times New Roman" w:cs="Times New Roman"/>
        </w:rPr>
        <w:t>MAPM</w:t>
      </w:r>
      <w:r w:rsidR="004A04EB" w:rsidRPr="00BC7BB5">
        <w:rPr>
          <w:rFonts w:ascii="Times New Roman" w:hAnsi="Times New Roman" w:cs="Times New Roman"/>
        </w:rPr>
        <w:t>DREF</w:t>
      </w:r>
      <w:r w:rsidRPr="00BC7BB5">
        <w:rPr>
          <w:rFonts w:ascii="Times New Roman" w:hAnsi="Times New Roman" w:cs="Times New Roman"/>
        </w:rPr>
        <w:t xml:space="preserve"> (</w:t>
      </w:r>
      <w:r w:rsidR="004A04EB" w:rsidRPr="00BC7BB5">
        <w:rPr>
          <w:rFonts w:ascii="Times New Roman" w:hAnsi="Times New Roman" w:cs="Times New Roman"/>
        </w:rPr>
        <w:t xml:space="preserve">such as </w:t>
      </w:r>
      <w:r w:rsidRPr="00BC7BB5">
        <w:rPr>
          <w:rFonts w:ascii="Times New Roman" w:hAnsi="Times New Roman" w:cs="Times New Roman"/>
        </w:rPr>
        <w:t>the deployment of the integrated financial management system) which meet the requirements of the Public Finance Act adopted on June 2015</w:t>
      </w:r>
      <w:r w:rsidRPr="00BC7BB5">
        <w:rPr>
          <w:rStyle w:val="FootnoteReference"/>
          <w:rFonts w:ascii="Times New Roman" w:hAnsi="Times New Roman" w:cs="Times New Roman"/>
        </w:rPr>
        <w:footnoteReference w:id="61"/>
      </w:r>
      <w:r w:rsidRPr="00BC7BB5">
        <w:rPr>
          <w:rFonts w:ascii="Times New Roman" w:hAnsi="Times New Roman" w:cs="Times New Roman"/>
        </w:rPr>
        <w:t xml:space="preserve">. </w:t>
      </w:r>
    </w:p>
    <w:p w14:paraId="32456A44" w14:textId="77777777" w:rsidR="004A04EB" w:rsidRPr="00BC7BB5" w:rsidRDefault="004A04EB" w:rsidP="004A04EB">
      <w:pPr>
        <w:pStyle w:val="Attachmenttitle"/>
        <w:spacing w:after="0"/>
        <w:rPr>
          <w:i/>
          <w:sz w:val="22"/>
          <w:szCs w:val="22"/>
        </w:rPr>
      </w:pPr>
      <w:bookmarkStart w:id="31" w:name="_Toc487036316"/>
    </w:p>
    <w:p w14:paraId="482E008A" w14:textId="05A77105" w:rsidR="00742B07" w:rsidRPr="00BC7BB5" w:rsidRDefault="00742B07" w:rsidP="00742B07">
      <w:pPr>
        <w:pStyle w:val="Attachmenttitle"/>
        <w:rPr>
          <w:i/>
          <w:sz w:val="22"/>
          <w:szCs w:val="22"/>
        </w:rPr>
      </w:pPr>
      <w:r w:rsidRPr="00BC7BB5">
        <w:rPr>
          <w:i/>
          <w:sz w:val="22"/>
          <w:szCs w:val="22"/>
        </w:rPr>
        <w:t xml:space="preserve">Sustainability </w:t>
      </w:r>
    </w:p>
    <w:p w14:paraId="27D79277" w14:textId="3AE3B3C5" w:rsidR="00742B07" w:rsidRPr="00BC7BB5" w:rsidRDefault="00742B07" w:rsidP="00422BC8">
      <w:pPr>
        <w:pStyle w:val="ListParagraph"/>
        <w:numPr>
          <w:ilvl w:val="0"/>
          <w:numId w:val="15"/>
        </w:numPr>
        <w:autoSpaceDE w:val="0"/>
        <w:autoSpaceDN w:val="0"/>
        <w:adjustRightInd w:val="0"/>
        <w:spacing w:after="0" w:line="240" w:lineRule="auto"/>
        <w:ind w:left="0" w:firstLine="0"/>
        <w:jc w:val="both"/>
        <w:rPr>
          <w:rFonts w:ascii="Times New Roman" w:hAnsi="Times New Roman" w:cs="Times New Roman"/>
        </w:rPr>
      </w:pPr>
      <w:r w:rsidRPr="00BC7BB5">
        <w:rPr>
          <w:rFonts w:ascii="Times New Roman" w:hAnsi="Times New Roman" w:cs="Times New Roman"/>
        </w:rPr>
        <w:t>The sustainability of MAPM</w:t>
      </w:r>
      <w:r w:rsidR="00132F3F" w:rsidRPr="00BC7BB5">
        <w:rPr>
          <w:rFonts w:ascii="Times New Roman" w:hAnsi="Times New Roman" w:cs="Times New Roman"/>
        </w:rPr>
        <w:t>DREF’s</w:t>
      </w:r>
      <w:r w:rsidRPr="00BC7BB5">
        <w:rPr>
          <w:rFonts w:ascii="Times New Roman" w:hAnsi="Times New Roman" w:cs="Times New Roman"/>
        </w:rPr>
        <w:t xml:space="preserve"> expenditure framework is ensured by the existence of several tools. </w:t>
      </w:r>
      <w:r w:rsidRPr="00BC7BB5">
        <w:rPr>
          <w:rFonts w:ascii="Times New Roman" w:hAnsi="Times New Roman" w:cs="Times New Roman"/>
          <w:i/>
        </w:rPr>
        <w:t>First</w:t>
      </w:r>
      <w:r w:rsidRPr="00BC7BB5">
        <w:rPr>
          <w:rFonts w:ascii="Times New Roman" w:hAnsi="Times New Roman" w:cs="Times New Roman"/>
        </w:rPr>
        <w:t>, the Medium-Term Expenditure Framework (MTEF</w:t>
      </w:r>
      <w:r w:rsidR="00B326CC">
        <w:rPr>
          <w:rFonts w:ascii="Times New Roman" w:hAnsi="Times New Roman" w:cs="Times New Roman"/>
        </w:rPr>
        <w:fldChar w:fldCharType="begin"/>
      </w:r>
      <w:r w:rsidR="00B326CC">
        <w:instrText xml:space="preserve"> XE "</w:instrText>
      </w:r>
      <w:r w:rsidR="00B326CC" w:rsidRPr="00BF09BB">
        <w:rPr>
          <w:rFonts w:ascii="Times New Roman" w:hAnsi="Times New Roman" w:cs="Times New Roman"/>
        </w:rPr>
        <w:instrText>MTEF:</w:instrText>
      </w:r>
      <w:r w:rsidR="00B326CC" w:rsidRPr="00BF09BB">
        <w:instrText>Medium-Term Expenditure Framework</w:instrText>
      </w:r>
      <w:r w:rsidR="00B326CC">
        <w:instrText xml:space="preserve">" </w:instrText>
      </w:r>
      <w:r w:rsidR="00B326CC">
        <w:rPr>
          <w:rFonts w:ascii="Times New Roman" w:hAnsi="Times New Roman" w:cs="Times New Roman"/>
        </w:rPr>
        <w:fldChar w:fldCharType="end"/>
      </w:r>
      <w:r w:rsidRPr="00BC7BB5">
        <w:rPr>
          <w:rFonts w:ascii="Times New Roman" w:hAnsi="Times New Roman" w:cs="Times New Roman"/>
        </w:rPr>
        <w:t xml:space="preserve">) developed in the context of the Public </w:t>
      </w:r>
      <w:r w:rsidRPr="00BC7BB5">
        <w:rPr>
          <w:rFonts w:ascii="Times New Roman" w:hAnsi="Times New Roman" w:cs="Times New Roman"/>
        </w:rPr>
        <w:lastRenderedPageBreak/>
        <w:t xml:space="preserve">Finance Act. The current MTEF covers the period from 2018 to 2021. </w:t>
      </w:r>
      <w:r w:rsidRPr="00BC7BB5">
        <w:rPr>
          <w:rFonts w:ascii="Times New Roman" w:hAnsi="Times New Roman" w:cs="Times New Roman"/>
          <w:i/>
        </w:rPr>
        <w:t>Second</w:t>
      </w:r>
      <w:r w:rsidRPr="00BC7BB5">
        <w:rPr>
          <w:rFonts w:ascii="Times New Roman" w:hAnsi="Times New Roman" w:cs="Times New Roman"/>
        </w:rPr>
        <w:t xml:space="preserve">, a new multi-year program approach which will complement the MTEF. It is being developed with support from the Ministry of Finance </w:t>
      </w:r>
      <w:r w:rsidR="00132F3F" w:rsidRPr="00BC7BB5">
        <w:rPr>
          <w:rFonts w:ascii="Times New Roman" w:hAnsi="Times New Roman" w:cs="Times New Roman"/>
        </w:rPr>
        <w:t xml:space="preserve">(MEF) </w:t>
      </w:r>
      <w:r w:rsidRPr="00BC7BB5">
        <w:rPr>
          <w:rFonts w:ascii="Times New Roman" w:hAnsi="Times New Roman" w:cs="Times New Roman"/>
        </w:rPr>
        <w:t xml:space="preserve">as part of the enforcement of the additional innovations introduced by the Public Finance Act. The deployment of this new approach is planned for January 2019. </w:t>
      </w:r>
      <w:r w:rsidRPr="00BC7BB5">
        <w:rPr>
          <w:rFonts w:ascii="Times New Roman" w:hAnsi="Times New Roman" w:cs="Times New Roman"/>
          <w:i/>
        </w:rPr>
        <w:t>Third</w:t>
      </w:r>
      <w:r w:rsidRPr="00BC7BB5">
        <w:rPr>
          <w:rFonts w:ascii="Times New Roman" w:hAnsi="Times New Roman" w:cs="Times New Roman"/>
        </w:rPr>
        <w:t xml:space="preserve">, the annual performance plan endorsed by the Parliament which describes the key programs, the associated budget and performance indicators. </w:t>
      </w:r>
      <w:r w:rsidRPr="00BC7BB5">
        <w:rPr>
          <w:rFonts w:ascii="Times New Roman" w:hAnsi="Times New Roman" w:cs="Times New Roman"/>
          <w:i/>
        </w:rPr>
        <w:t>Fourth</w:t>
      </w:r>
      <w:r w:rsidR="00796272">
        <w:rPr>
          <w:rFonts w:ascii="Times New Roman" w:hAnsi="Times New Roman" w:cs="Times New Roman"/>
          <w:i/>
        </w:rPr>
        <w:t>,</w:t>
      </w:r>
      <w:r w:rsidRPr="00BC7BB5">
        <w:rPr>
          <w:rFonts w:ascii="Times New Roman" w:hAnsi="Times New Roman" w:cs="Times New Roman"/>
        </w:rPr>
        <w:t xml:space="preserve"> the annual performance report which summarizes the results achieved and the budget executed for a given year. The Program is well included and articulated with the abovementioned tools.</w:t>
      </w:r>
    </w:p>
    <w:p w14:paraId="141A9B07" w14:textId="77777777" w:rsidR="00742B07" w:rsidRPr="00BC7BB5" w:rsidRDefault="00742B07" w:rsidP="00742B07">
      <w:pPr>
        <w:pStyle w:val="ListParagraph"/>
        <w:autoSpaceDE w:val="0"/>
        <w:autoSpaceDN w:val="0"/>
        <w:adjustRightInd w:val="0"/>
        <w:spacing w:after="0" w:line="240" w:lineRule="auto"/>
        <w:ind w:left="0"/>
        <w:jc w:val="both"/>
        <w:rPr>
          <w:rFonts w:ascii="Times New Roman" w:hAnsi="Times New Roman" w:cs="Times New Roman"/>
        </w:rPr>
      </w:pPr>
    </w:p>
    <w:p w14:paraId="5BBA0D12" w14:textId="62ADA9FA" w:rsidR="00742B07" w:rsidRPr="00BC7BB5" w:rsidRDefault="00742B07" w:rsidP="00422BC8">
      <w:pPr>
        <w:pStyle w:val="ListParagraph"/>
        <w:numPr>
          <w:ilvl w:val="0"/>
          <w:numId w:val="15"/>
        </w:numPr>
        <w:autoSpaceDE w:val="0"/>
        <w:autoSpaceDN w:val="0"/>
        <w:adjustRightInd w:val="0"/>
        <w:spacing w:after="0" w:line="240" w:lineRule="auto"/>
        <w:ind w:left="0" w:firstLine="0"/>
        <w:jc w:val="both"/>
        <w:rPr>
          <w:rFonts w:ascii="Times New Roman" w:hAnsi="Times New Roman" w:cs="Times New Roman"/>
        </w:rPr>
      </w:pPr>
      <w:r w:rsidRPr="00BC7BB5">
        <w:rPr>
          <w:rFonts w:ascii="Times New Roman" w:hAnsi="Times New Roman" w:cs="Times New Roman"/>
        </w:rPr>
        <w:t xml:space="preserve">In addition, the funding sustainability </w:t>
      </w:r>
      <w:r w:rsidR="00132F3F" w:rsidRPr="00BC7BB5">
        <w:rPr>
          <w:rFonts w:ascii="Times New Roman" w:hAnsi="Times New Roman" w:cs="Times New Roman"/>
        </w:rPr>
        <w:t xml:space="preserve">of the Program </w:t>
      </w:r>
      <w:r w:rsidRPr="00BC7BB5">
        <w:rPr>
          <w:rFonts w:ascii="Times New Roman" w:hAnsi="Times New Roman" w:cs="Times New Roman"/>
        </w:rPr>
        <w:t xml:space="preserve">is ensured by the high visibility and ownership of the government program and the Program itself – </w:t>
      </w:r>
      <w:r w:rsidR="00132F3F" w:rsidRPr="00BC7BB5">
        <w:rPr>
          <w:rFonts w:ascii="Times New Roman" w:hAnsi="Times New Roman" w:cs="Times New Roman"/>
        </w:rPr>
        <w:t xml:space="preserve">by </w:t>
      </w:r>
      <w:r w:rsidRPr="00BC7BB5">
        <w:rPr>
          <w:rFonts w:ascii="Times New Roman" w:hAnsi="Times New Roman" w:cs="Times New Roman"/>
        </w:rPr>
        <w:t>two key ministries</w:t>
      </w:r>
      <w:r w:rsidR="00132F3F" w:rsidRPr="00BC7BB5">
        <w:rPr>
          <w:rFonts w:ascii="Times New Roman" w:hAnsi="Times New Roman" w:cs="Times New Roman"/>
        </w:rPr>
        <w:t>, MAPMDREF</w:t>
      </w:r>
      <w:r w:rsidRPr="00BC7BB5">
        <w:rPr>
          <w:rFonts w:ascii="Times New Roman" w:hAnsi="Times New Roman" w:cs="Times New Roman"/>
        </w:rPr>
        <w:t xml:space="preserve"> and </w:t>
      </w:r>
      <w:r w:rsidR="00132F3F" w:rsidRPr="00BC7BB5">
        <w:rPr>
          <w:rFonts w:ascii="Times New Roman" w:hAnsi="Times New Roman" w:cs="Times New Roman"/>
        </w:rPr>
        <w:t>MEF</w:t>
      </w:r>
      <w:r w:rsidRPr="00BC7BB5">
        <w:rPr>
          <w:rFonts w:ascii="Times New Roman" w:hAnsi="Times New Roman" w:cs="Times New Roman"/>
        </w:rPr>
        <w:t xml:space="preserve">, directly invested into it – but also through the measures taken under the Program aimed </w:t>
      </w:r>
      <w:r w:rsidR="00132F3F" w:rsidRPr="00BC7BB5">
        <w:rPr>
          <w:rFonts w:ascii="Times New Roman" w:hAnsi="Times New Roman" w:cs="Times New Roman"/>
        </w:rPr>
        <w:t xml:space="preserve">at </w:t>
      </w:r>
      <w:r w:rsidRPr="00BC7BB5">
        <w:rPr>
          <w:rFonts w:ascii="Times New Roman" w:hAnsi="Times New Roman" w:cs="Times New Roman"/>
        </w:rPr>
        <w:t>support</w:t>
      </w:r>
      <w:r w:rsidR="00132F3F" w:rsidRPr="00BC7BB5">
        <w:rPr>
          <w:rFonts w:ascii="Times New Roman" w:hAnsi="Times New Roman" w:cs="Times New Roman"/>
        </w:rPr>
        <w:t>ing</w:t>
      </w:r>
      <w:r w:rsidRPr="00BC7BB5">
        <w:rPr>
          <w:rFonts w:ascii="Times New Roman" w:hAnsi="Times New Roman" w:cs="Times New Roman"/>
        </w:rPr>
        <w:t xml:space="preserve"> and financ</w:t>
      </w:r>
      <w:r w:rsidR="00132F3F" w:rsidRPr="00BC7BB5">
        <w:rPr>
          <w:rFonts w:ascii="Times New Roman" w:hAnsi="Times New Roman" w:cs="Times New Roman"/>
        </w:rPr>
        <w:t>ing</w:t>
      </w:r>
      <w:r w:rsidRPr="00BC7BB5">
        <w:rPr>
          <w:rFonts w:ascii="Times New Roman" w:hAnsi="Times New Roman" w:cs="Times New Roman"/>
        </w:rPr>
        <w:t xml:space="preserve"> improvements to implementing agencies’ capacity for monitoring and evaluation (M&amp;E), as well as enhancements to the existing public financial management system. </w:t>
      </w:r>
    </w:p>
    <w:p w14:paraId="0B9447DB" w14:textId="77777777" w:rsidR="00742B07" w:rsidRPr="00BC7BB5" w:rsidRDefault="00742B07" w:rsidP="00742B07">
      <w:pPr>
        <w:pStyle w:val="ListParagraph"/>
        <w:rPr>
          <w:rFonts w:ascii="Times New Roman" w:hAnsi="Times New Roman" w:cs="Times New Roman"/>
        </w:rPr>
      </w:pPr>
    </w:p>
    <w:p w14:paraId="529547A4" w14:textId="4C7462F5" w:rsidR="00742B07" w:rsidRPr="00BC7BB5" w:rsidRDefault="00742B07" w:rsidP="00422BC8">
      <w:pPr>
        <w:pStyle w:val="ListParagraph"/>
        <w:numPr>
          <w:ilvl w:val="0"/>
          <w:numId w:val="15"/>
        </w:numPr>
        <w:autoSpaceDE w:val="0"/>
        <w:autoSpaceDN w:val="0"/>
        <w:adjustRightInd w:val="0"/>
        <w:spacing w:after="0" w:line="240" w:lineRule="auto"/>
        <w:ind w:left="0" w:firstLine="0"/>
        <w:jc w:val="both"/>
        <w:rPr>
          <w:rFonts w:ascii="Times New Roman" w:hAnsi="Times New Roman" w:cs="Times New Roman"/>
        </w:rPr>
      </w:pPr>
      <w:r w:rsidRPr="00BC7BB5">
        <w:rPr>
          <w:rFonts w:ascii="Times New Roman" w:hAnsi="Times New Roman" w:cs="Times New Roman"/>
        </w:rPr>
        <w:t>Over the past five years MAPM</w:t>
      </w:r>
      <w:r w:rsidR="00132F3F" w:rsidRPr="00BC7BB5">
        <w:rPr>
          <w:rFonts w:ascii="Times New Roman" w:hAnsi="Times New Roman" w:cs="Times New Roman"/>
        </w:rPr>
        <w:t>DREF</w:t>
      </w:r>
      <w:r w:rsidRPr="00BC7BB5">
        <w:rPr>
          <w:rFonts w:ascii="Times New Roman" w:hAnsi="Times New Roman" w:cs="Times New Roman"/>
        </w:rPr>
        <w:t xml:space="preserve">’s investment budget has acquired a degree of stability, with overall </w:t>
      </w:r>
      <w:r w:rsidR="00132F3F" w:rsidRPr="00BC7BB5">
        <w:rPr>
          <w:rFonts w:ascii="Times New Roman" w:hAnsi="Times New Roman" w:cs="Times New Roman"/>
        </w:rPr>
        <w:t xml:space="preserve">annual </w:t>
      </w:r>
      <w:r w:rsidRPr="00BC7BB5">
        <w:rPr>
          <w:rFonts w:ascii="Times New Roman" w:hAnsi="Times New Roman" w:cs="Times New Roman"/>
        </w:rPr>
        <w:t>expenses stable (</w:t>
      </w:r>
      <w:r w:rsidR="00796272">
        <w:rPr>
          <w:rFonts w:ascii="Times New Roman" w:hAnsi="Times New Roman" w:cs="Times New Roman"/>
        </w:rPr>
        <w:t>o</w:t>
      </w:r>
      <w:r w:rsidR="00796272" w:rsidRPr="00BC7BB5">
        <w:rPr>
          <w:rFonts w:ascii="Times New Roman" w:hAnsi="Times New Roman" w:cs="Times New Roman"/>
        </w:rPr>
        <w:t xml:space="preserve">n </w:t>
      </w:r>
      <w:r w:rsidRPr="00BC7BB5">
        <w:rPr>
          <w:rFonts w:ascii="Times New Roman" w:hAnsi="Times New Roman" w:cs="Times New Roman"/>
        </w:rPr>
        <w:t>average US</w:t>
      </w:r>
      <w:r w:rsidR="00B326CC">
        <w:rPr>
          <w:rFonts w:ascii="Times New Roman" w:hAnsi="Times New Roman" w:cs="Times New Roman"/>
        </w:rPr>
        <w:t>$</w:t>
      </w:r>
      <w:r w:rsidRPr="00BC7BB5">
        <w:rPr>
          <w:rFonts w:ascii="Times New Roman" w:hAnsi="Times New Roman" w:cs="Times New Roman"/>
        </w:rPr>
        <w:t xml:space="preserve">768 million). During the same period, the capital budget expenditure outturns are in line the amount originally approved, as defined in government budget documentation and fiscal reports. </w:t>
      </w:r>
    </w:p>
    <w:p w14:paraId="38F04746" w14:textId="77777777" w:rsidR="00150D27" w:rsidRPr="00BC7BB5" w:rsidRDefault="00150D27" w:rsidP="00150D27">
      <w:pPr>
        <w:pStyle w:val="Attachmenttitle"/>
        <w:spacing w:after="0"/>
        <w:rPr>
          <w:i/>
          <w:sz w:val="22"/>
          <w:szCs w:val="22"/>
        </w:rPr>
      </w:pPr>
    </w:p>
    <w:p w14:paraId="0E0FB530" w14:textId="5B0DBBF3" w:rsidR="00742B07" w:rsidRPr="00BC7BB5" w:rsidRDefault="00742B07" w:rsidP="00742B07">
      <w:pPr>
        <w:pStyle w:val="Attachmenttitle"/>
        <w:rPr>
          <w:i/>
          <w:sz w:val="22"/>
          <w:szCs w:val="22"/>
        </w:rPr>
      </w:pPr>
      <w:r w:rsidRPr="00BC7BB5">
        <w:rPr>
          <w:i/>
          <w:sz w:val="22"/>
          <w:szCs w:val="22"/>
        </w:rPr>
        <w:t>Budget structure</w:t>
      </w:r>
      <w:bookmarkEnd w:id="31"/>
    </w:p>
    <w:p w14:paraId="0BA6BD12" w14:textId="365E0308" w:rsidR="00742B07" w:rsidRPr="00BC7BB5" w:rsidRDefault="00742B07" w:rsidP="00422BC8">
      <w:pPr>
        <w:pStyle w:val="ListParagraph"/>
        <w:numPr>
          <w:ilvl w:val="0"/>
          <w:numId w:val="15"/>
        </w:numPr>
        <w:autoSpaceDE w:val="0"/>
        <w:autoSpaceDN w:val="0"/>
        <w:adjustRightInd w:val="0"/>
        <w:spacing w:after="0" w:line="240" w:lineRule="auto"/>
        <w:ind w:left="0" w:firstLine="0"/>
        <w:jc w:val="both"/>
        <w:rPr>
          <w:rFonts w:ascii="Times New Roman" w:hAnsi="Times New Roman" w:cs="Times New Roman"/>
        </w:rPr>
      </w:pPr>
      <w:r w:rsidRPr="00BC7BB5">
        <w:rPr>
          <w:rFonts w:ascii="Times New Roman" w:hAnsi="Times New Roman" w:cs="Times New Roman"/>
        </w:rPr>
        <w:t>The Program’s budget structure is clear in terms of sources of funding, budgetary vehicles and categories of expenditures. The Program budget is funded by MAPM</w:t>
      </w:r>
      <w:r w:rsidR="00C21A75" w:rsidRPr="00BC7BB5">
        <w:rPr>
          <w:rFonts w:ascii="Times New Roman" w:hAnsi="Times New Roman" w:cs="Times New Roman"/>
        </w:rPr>
        <w:t>DREF</w:t>
      </w:r>
      <w:r w:rsidRPr="00BC7BB5">
        <w:rPr>
          <w:rFonts w:ascii="Times New Roman" w:hAnsi="Times New Roman" w:cs="Times New Roman"/>
        </w:rPr>
        <w:t xml:space="preserve"> resources, via the General Budget of the State. All expenses are programmed in line with the Classification of the Functions of Government (COFOG) and will be incurred between 2018 and 202</w:t>
      </w:r>
      <w:r w:rsidR="00DA4214" w:rsidRPr="00BC7BB5">
        <w:rPr>
          <w:rFonts w:ascii="Times New Roman" w:hAnsi="Times New Roman" w:cs="Times New Roman"/>
        </w:rPr>
        <w:t>2</w:t>
      </w:r>
      <w:r w:rsidRPr="00BC7BB5">
        <w:rPr>
          <w:rFonts w:ascii="Times New Roman" w:hAnsi="Times New Roman" w:cs="Times New Roman"/>
        </w:rPr>
        <w:t xml:space="preserve">. Around 66 percent of the expenditures finance physical assets, the rest including technical studies, consulting and goods and equipment, including IT. </w:t>
      </w:r>
      <w:r w:rsidR="00DA4214" w:rsidRPr="00BC7BB5">
        <w:rPr>
          <w:rFonts w:ascii="Times New Roman" w:hAnsi="Times New Roman" w:cs="Times New Roman"/>
        </w:rPr>
        <w:t xml:space="preserve">Four </w:t>
      </w:r>
      <w:r w:rsidRPr="00BC7BB5">
        <w:rPr>
          <w:rFonts w:ascii="Times New Roman" w:hAnsi="Times New Roman" w:cs="Times New Roman"/>
        </w:rPr>
        <w:t xml:space="preserve">mains items are included in the physical assets: (i) the construction of </w:t>
      </w:r>
      <w:r w:rsidR="00DA4214" w:rsidRPr="00BC7BB5">
        <w:rPr>
          <w:rFonts w:ascii="Times New Roman" w:hAnsi="Times New Roman" w:cs="Times New Roman"/>
        </w:rPr>
        <w:t xml:space="preserve">at least one </w:t>
      </w:r>
      <w:r w:rsidRPr="00BC7BB5">
        <w:rPr>
          <w:rFonts w:ascii="Times New Roman" w:hAnsi="Times New Roman" w:cs="Times New Roman"/>
          <w:iCs/>
        </w:rPr>
        <w:t>wholesale market, (ii) the construction/</w:t>
      </w:r>
      <w:r w:rsidRPr="00BC7BB5">
        <w:rPr>
          <w:rFonts w:ascii="Times New Roman" w:hAnsi="Times New Roman" w:cs="Times New Roman"/>
          <w:color w:val="000000" w:themeColor="text1"/>
        </w:rPr>
        <w:t xml:space="preserve">equipment of </w:t>
      </w:r>
      <w:r w:rsidR="00E527CD">
        <w:rPr>
          <w:rFonts w:ascii="Times New Roman" w:hAnsi="Times New Roman" w:cs="Times New Roman"/>
          <w:color w:val="000000" w:themeColor="text1"/>
        </w:rPr>
        <w:t>approximately 7</w:t>
      </w:r>
      <w:r w:rsidR="00DA4214" w:rsidRPr="00BC7BB5">
        <w:rPr>
          <w:rFonts w:ascii="Times New Roman" w:hAnsi="Times New Roman" w:cs="Times New Roman"/>
          <w:color w:val="000000" w:themeColor="text1"/>
        </w:rPr>
        <w:t xml:space="preserve">0 </w:t>
      </w:r>
      <w:r w:rsidRPr="00BC7BB5">
        <w:rPr>
          <w:rFonts w:ascii="Times New Roman" w:hAnsi="Times New Roman" w:cs="Times New Roman"/>
          <w:color w:val="000000" w:themeColor="text1"/>
        </w:rPr>
        <w:t>processing</w:t>
      </w:r>
      <w:r w:rsidR="00DA4214" w:rsidRPr="00BC7BB5">
        <w:rPr>
          <w:rFonts w:ascii="Times New Roman" w:hAnsi="Times New Roman" w:cs="Times New Roman"/>
          <w:color w:val="000000" w:themeColor="text1"/>
        </w:rPr>
        <w:t>, pack</w:t>
      </w:r>
      <w:r w:rsidR="00E03960">
        <w:rPr>
          <w:rFonts w:ascii="Times New Roman" w:hAnsi="Times New Roman" w:cs="Times New Roman"/>
          <w:color w:val="000000" w:themeColor="text1"/>
        </w:rPr>
        <w:t>ag</w:t>
      </w:r>
      <w:r w:rsidR="00DA4214" w:rsidRPr="00BC7BB5">
        <w:rPr>
          <w:rFonts w:ascii="Times New Roman" w:hAnsi="Times New Roman" w:cs="Times New Roman"/>
          <w:color w:val="000000" w:themeColor="text1"/>
        </w:rPr>
        <w:t>ing and conditioning</w:t>
      </w:r>
      <w:r w:rsidRPr="00BC7BB5">
        <w:rPr>
          <w:rFonts w:ascii="Times New Roman" w:hAnsi="Times New Roman" w:cs="Times New Roman"/>
          <w:color w:val="000000" w:themeColor="text1"/>
        </w:rPr>
        <w:t xml:space="preserve"> units</w:t>
      </w:r>
      <w:r w:rsidR="00DA4214" w:rsidRPr="00BC7BB5">
        <w:rPr>
          <w:rFonts w:ascii="Times New Roman" w:hAnsi="Times New Roman" w:cs="Times New Roman"/>
          <w:color w:val="000000" w:themeColor="text1"/>
        </w:rPr>
        <w:t>,</w:t>
      </w:r>
      <w:r w:rsidRPr="00BC7BB5">
        <w:rPr>
          <w:rFonts w:ascii="Times New Roman" w:hAnsi="Times New Roman" w:cs="Times New Roman"/>
          <w:color w:val="000000" w:themeColor="text1"/>
        </w:rPr>
        <w:t xml:space="preserve"> </w:t>
      </w:r>
      <w:r w:rsidR="00DA4214" w:rsidRPr="00BC7BB5">
        <w:rPr>
          <w:rFonts w:ascii="Times New Roman" w:hAnsi="Times New Roman" w:cs="Times New Roman"/>
          <w:color w:val="000000" w:themeColor="text1"/>
        </w:rPr>
        <w:t>(iii) the construction of one technical and two innovation centers</w:t>
      </w:r>
      <w:r w:rsidR="00796272">
        <w:rPr>
          <w:rFonts w:ascii="Times New Roman" w:hAnsi="Times New Roman" w:cs="Times New Roman"/>
          <w:color w:val="000000" w:themeColor="text1"/>
        </w:rPr>
        <w:t>,</w:t>
      </w:r>
      <w:r w:rsidR="00DA4214" w:rsidRPr="00BC7BB5">
        <w:rPr>
          <w:rFonts w:ascii="Times New Roman" w:hAnsi="Times New Roman" w:cs="Times New Roman"/>
          <w:color w:val="000000" w:themeColor="text1"/>
        </w:rPr>
        <w:t xml:space="preserve"> </w:t>
      </w:r>
      <w:r w:rsidRPr="00BC7BB5">
        <w:rPr>
          <w:rFonts w:ascii="Times New Roman" w:hAnsi="Times New Roman" w:cs="Times New Roman"/>
          <w:color w:val="000000" w:themeColor="text1"/>
        </w:rPr>
        <w:t>and (i</w:t>
      </w:r>
      <w:r w:rsidR="00DA4214" w:rsidRPr="00BC7BB5">
        <w:rPr>
          <w:rFonts w:ascii="Times New Roman" w:hAnsi="Times New Roman" w:cs="Times New Roman"/>
          <w:color w:val="000000" w:themeColor="text1"/>
        </w:rPr>
        <w:t>v</w:t>
      </w:r>
      <w:r w:rsidRPr="00BC7BB5">
        <w:rPr>
          <w:rFonts w:ascii="Times New Roman" w:hAnsi="Times New Roman" w:cs="Times New Roman"/>
          <w:color w:val="000000" w:themeColor="text1"/>
        </w:rPr>
        <w:t>) the development and deployment of an integra</w:t>
      </w:r>
      <w:r w:rsidR="00395C56" w:rsidRPr="00BC7BB5">
        <w:rPr>
          <w:rFonts w:ascii="Times New Roman" w:hAnsi="Times New Roman" w:cs="Times New Roman"/>
          <w:color w:val="000000" w:themeColor="text1"/>
        </w:rPr>
        <w:t>ted financial management system</w:t>
      </w:r>
      <w:r w:rsidRPr="00BC7BB5">
        <w:rPr>
          <w:rFonts w:ascii="Times New Roman" w:hAnsi="Times New Roman" w:cs="Times New Roman"/>
          <w:color w:val="000000" w:themeColor="text1"/>
        </w:rPr>
        <w:t>.</w:t>
      </w:r>
      <w:r w:rsidRPr="00BC7BB5">
        <w:rPr>
          <w:rFonts w:ascii="Times New Roman" w:hAnsi="Times New Roman" w:cs="Times New Roman"/>
          <w:iCs/>
        </w:rPr>
        <w:t xml:space="preserve"> The construction of the wholesale market represents the activity of the Program’s expenditure</w:t>
      </w:r>
      <w:r w:rsidR="00DA4214" w:rsidRPr="00BC7BB5">
        <w:rPr>
          <w:rFonts w:ascii="Times New Roman" w:hAnsi="Times New Roman" w:cs="Times New Roman"/>
          <w:iCs/>
        </w:rPr>
        <w:t>s</w:t>
      </w:r>
      <w:r w:rsidR="00395C56" w:rsidRPr="00BC7BB5">
        <w:rPr>
          <w:rFonts w:ascii="Times New Roman" w:hAnsi="Times New Roman" w:cs="Times New Roman"/>
          <w:iCs/>
        </w:rPr>
        <w:t xml:space="preserve"> presenting the most substantial risks</w:t>
      </w:r>
      <w:r w:rsidRPr="00BC7BB5">
        <w:rPr>
          <w:rFonts w:ascii="Times New Roman" w:hAnsi="Times New Roman" w:cs="Times New Roman"/>
        </w:rPr>
        <w:t xml:space="preserve">. The review of the readiness of the </w:t>
      </w:r>
      <w:r w:rsidR="00DA4214" w:rsidRPr="00BC7BB5">
        <w:rPr>
          <w:rFonts w:ascii="Times New Roman" w:hAnsi="Times New Roman" w:cs="Times New Roman"/>
        </w:rPr>
        <w:t xml:space="preserve">three </w:t>
      </w:r>
      <w:r w:rsidRPr="00BC7BB5">
        <w:rPr>
          <w:rFonts w:ascii="Times New Roman" w:hAnsi="Times New Roman" w:cs="Times New Roman"/>
        </w:rPr>
        <w:t>other activities did not reveal any significant issue</w:t>
      </w:r>
      <w:r w:rsidRPr="00BC7BB5">
        <w:rPr>
          <w:rStyle w:val="FootnoteReference"/>
          <w:rFonts w:ascii="Times New Roman" w:hAnsi="Times New Roman" w:cs="Times New Roman"/>
        </w:rPr>
        <w:footnoteReference w:id="62"/>
      </w:r>
      <w:r w:rsidRPr="00BC7BB5">
        <w:rPr>
          <w:rFonts w:ascii="Times New Roman" w:hAnsi="Times New Roman" w:cs="Times New Roman"/>
        </w:rPr>
        <w:t>. Pre-requisite actions (resettlement, f</w:t>
      </w:r>
      <w:r w:rsidR="00395C56" w:rsidRPr="00BC7BB5">
        <w:rPr>
          <w:rFonts w:ascii="Times New Roman" w:hAnsi="Times New Roman" w:cs="Times New Roman"/>
        </w:rPr>
        <w:t xml:space="preserve">easibility studies, social </w:t>
      </w:r>
      <w:r w:rsidR="00796272">
        <w:rPr>
          <w:rFonts w:ascii="Times New Roman" w:hAnsi="Times New Roman" w:cs="Times New Roman"/>
        </w:rPr>
        <w:t xml:space="preserve">action </w:t>
      </w:r>
      <w:r w:rsidR="00395C56" w:rsidRPr="00BC7BB5">
        <w:rPr>
          <w:rFonts w:ascii="Times New Roman" w:hAnsi="Times New Roman" w:cs="Times New Roman"/>
        </w:rPr>
        <w:t>plan</w:t>
      </w:r>
      <w:r w:rsidRPr="00BC7BB5">
        <w:rPr>
          <w:rFonts w:ascii="Times New Roman" w:hAnsi="Times New Roman" w:cs="Times New Roman"/>
        </w:rPr>
        <w:t xml:space="preserve">) have been reviewed as part of the Program design to mitigate the risk of low budget execution of the budget appropriation associated with the construction of the wholesale market. In addition, a DLI related to this activity has been included in the </w:t>
      </w:r>
      <w:r w:rsidR="00796272">
        <w:rPr>
          <w:rFonts w:ascii="Times New Roman" w:hAnsi="Times New Roman" w:cs="Times New Roman"/>
        </w:rPr>
        <w:t>PforR</w:t>
      </w:r>
      <w:r w:rsidRPr="00BC7BB5">
        <w:rPr>
          <w:rFonts w:ascii="Times New Roman" w:hAnsi="Times New Roman" w:cs="Times New Roman"/>
        </w:rPr>
        <w:t>.</w:t>
      </w:r>
    </w:p>
    <w:p w14:paraId="16B00BB9" w14:textId="77777777" w:rsidR="00742B07" w:rsidRPr="00BC7BB5" w:rsidRDefault="00742B07" w:rsidP="00103ACE">
      <w:pPr>
        <w:pStyle w:val="Attachmenttitle"/>
        <w:spacing w:after="0"/>
        <w:rPr>
          <w:sz w:val="22"/>
          <w:szCs w:val="22"/>
        </w:rPr>
      </w:pPr>
    </w:p>
    <w:p w14:paraId="7ABE63D0" w14:textId="7C83A715" w:rsidR="00742B07" w:rsidRPr="00BC7BB5" w:rsidRDefault="00742B07" w:rsidP="00742B07">
      <w:pPr>
        <w:pStyle w:val="Attachmenttitle"/>
        <w:rPr>
          <w:i/>
          <w:sz w:val="22"/>
          <w:szCs w:val="22"/>
        </w:rPr>
      </w:pPr>
      <w:r w:rsidRPr="00BC7BB5">
        <w:rPr>
          <w:i/>
          <w:sz w:val="22"/>
          <w:szCs w:val="22"/>
        </w:rPr>
        <w:t xml:space="preserve">Predictability </w:t>
      </w:r>
    </w:p>
    <w:p w14:paraId="750817D3" w14:textId="2E470090" w:rsidR="00742B07" w:rsidRPr="00BC7BB5" w:rsidRDefault="00742B07" w:rsidP="00422BC8">
      <w:pPr>
        <w:pStyle w:val="ListParagraph"/>
        <w:numPr>
          <w:ilvl w:val="0"/>
          <w:numId w:val="15"/>
        </w:numPr>
        <w:autoSpaceDE w:val="0"/>
        <w:autoSpaceDN w:val="0"/>
        <w:adjustRightInd w:val="0"/>
        <w:spacing w:after="0" w:line="240" w:lineRule="auto"/>
        <w:ind w:left="0" w:firstLine="0"/>
        <w:jc w:val="both"/>
        <w:rPr>
          <w:rFonts w:ascii="Times New Roman" w:hAnsi="Times New Roman" w:cs="Times New Roman"/>
        </w:rPr>
      </w:pPr>
      <w:r w:rsidRPr="00BC7BB5">
        <w:rPr>
          <w:rFonts w:ascii="Times New Roman" w:hAnsi="Times New Roman" w:cs="Times New Roman"/>
        </w:rPr>
        <w:t>Overall</w:t>
      </w:r>
      <w:r w:rsidR="00796272">
        <w:rPr>
          <w:rFonts w:ascii="Times New Roman" w:hAnsi="Times New Roman" w:cs="Times New Roman"/>
        </w:rPr>
        <w:t>,</w:t>
      </w:r>
      <w:r w:rsidRPr="00BC7BB5">
        <w:rPr>
          <w:rFonts w:ascii="Times New Roman" w:hAnsi="Times New Roman" w:cs="Times New Roman"/>
        </w:rPr>
        <w:t xml:space="preserve"> as per the 2016 PEFA, the predictability of the GoM’s expenditures is robust with the indicator on predictability rated as </w:t>
      </w:r>
      <w:r w:rsidR="00796272">
        <w:rPr>
          <w:rFonts w:ascii="Times New Roman" w:hAnsi="Times New Roman" w:cs="Times New Roman"/>
        </w:rPr>
        <w:t>“</w:t>
      </w:r>
      <w:r w:rsidRPr="00BC7BB5">
        <w:rPr>
          <w:rFonts w:ascii="Times New Roman" w:hAnsi="Times New Roman" w:cs="Times New Roman"/>
        </w:rPr>
        <w:t>A</w:t>
      </w:r>
      <w:r w:rsidR="00796272">
        <w:rPr>
          <w:rFonts w:ascii="Times New Roman" w:hAnsi="Times New Roman" w:cs="Times New Roman"/>
        </w:rPr>
        <w:t>”</w:t>
      </w:r>
      <w:r w:rsidRPr="00BC7BB5">
        <w:rPr>
          <w:rStyle w:val="FootnoteReference"/>
          <w:rFonts w:ascii="Times New Roman" w:hAnsi="Times New Roman" w:cs="Times New Roman"/>
        </w:rPr>
        <w:footnoteReference w:id="63"/>
      </w:r>
      <w:r w:rsidRPr="00BC7BB5">
        <w:rPr>
          <w:rFonts w:ascii="Times New Roman" w:hAnsi="Times New Roman" w:cs="Times New Roman"/>
        </w:rPr>
        <w:t xml:space="preserve"> with timely release of the budget’s appropriations to the budget holders. MAPM</w:t>
      </w:r>
      <w:r w:rsidR="00DA4214" w:rsidRPr="00BC7BB5">
        <w:rPr>
          <w:rFonts w:ascii="Times New Roman" w:hAnsi="Times New Roman" w:cs="Times New Roman"/>
        </w:rPr>
        <w:t>DREF</w:t>
      </w:r>
      <w:r w:rsidRPr="00BC7BB5">
        <w:rPr>
          <w:rFonts w:ascii="Times New Roman" w:hAnsi="Times New Roman" w:cs="Times New Roman"/>
        </w:rPr>
        <w:t>’s investment budget execution over the past five years is also exemplary with 85 percent and 65 percent in average, respectively for the commitment and the payment. More specifically, the execution rate of the Program’s expenditures (except for the Rabat wholesale market)</w:t>
      </w:r>
      <w:r w:rsidR="00796272">
        <w:rPr>
          <w:rFonts w:ascii="Times New Roman" w:hAnsi="Times New Roman" w:cs="Times New Roman"/>
        </w:rPr>
        <w:t>,</w:t>
      </w:r>
      <w:r w:rsidRPr="00BC7BB5">
        <w:rPr>
          <w:rStyle w:val="FootnoteReference"/>
          <w:rFonts w:ascii="Times New Roman" w:hAnsi="Times New Roman" w:cs="Times New Roman"/>
        </w:rPr>
        <w:footnoteReference w:id="64"/>
      </w:r>
      <w:r w:rsidRPr="00BC7BB5">
        <w:rPr>
          <w:rFonts w:ascii="Times New Roman" w:hAnsi="Times New Roman" w:cs="Times New Roman"/>
        </w:rPr>
        <w:t xml:space="preserve"> including ONSSA over the last </w:t>
      </w:r>
      <w:r w:rsidR="00DA4214" w:rsidRPr="00BC7BB5">
        <w:rPr>
          <w:rFonts w:ascii="Times New Roman" w:hAnsi="Times New Roman" w:cs="Times New Roman"/>
        </w:rPr>
        <w:t>two</w:t>
      </w:r>
      <w:r w:rsidRPr="00BC7BB5">
        <w:rPr>
          <w:rFonts w:ascii="Times New Roman" w:hAnsi="Times New Roman" w:cs="Times New Roman"/>
        </w:rPr>
        <w:t xml:space="preserve"> years (2015 and 2016) is more than adequate (close to 100 percent on the commitment and 90 percent on the payment). An annual midterm review of the budget execution has been </w:t>
      </w:r>
      <w:r w:rsidRPr="00BC7BB5">
        <w:rPr>
          <w:rFonts w:ascii="Times New Roman" w:hAnsi="Times New Roman" w:cs="Times New Roman"/>
        </w:rPr>
        <w:lastRenderedPageBreak/>
        <w:t>recently introduced by the Financial Directorate</w:t>
      </w:r>
      <w:r w:rsidR="00DA4214" w:rsidRPr="00BC7BB5">
        <w:rPr>
          <w:rFonts w:ascii="Times New Roman" w:hAnsi="Times New Roman" w:cs="Times New Roman"/>
        </w:rPr>
        <w:t xml:space="preserve"> (DF) of the Ministry</w:t>
      </w:r>
      <w:r w:rsidRPr="00BC7BB5">
        <w:rPr>
          <w:rFonts w:ascii="Times New Roman" w:hAnsi="Times New Roman" w:cs="Times New Roman"/>
        </w:rPr>
        <w:t xml:space="preserve"> with </w:t>
      </w:r>
      <w:r w:rsidR="00DA4214" w:rsidRPr="00BC7BB5">
        <w:rPr>
          <w:rFonts w:ascii="Times New Roman" w:hAnsi="Times New Roman" w:cs="Times New Roman"/>
        </w:rPr>
        <w:t>a</w:t>
      </w:r>
      <w:r w:rsidRPr="00BC7BB5">
        <w:rPr>
          <w:rFonts w:ascii="Times New Roman" w:hAnsi="Times New Roman" w:cs="Times New Roman"/>
        </w:rPr>
        <w:t xml:space="preserve"> view to identify</w:t>
      </w:r>
      <w:r w:rsidR="00DA4214" w:rsidRPr="00BC7BB5">
        <w:rPr>
          <w:rFonts w:ascii="Times New Roman" w:hAnsi="Times New Roman" w:cs="Times New Roman"/>
        </w:rPr>
        <w:t>ing</w:t>
      </w:r>
      <w:r w:rsidRPr="00BC7BB5">
        <w:rPr>
          <w:rFonts w:ascii="Times New Roman" w:hAnsi="Times New Roman" w:cs="Times New Roman"/>
        </w:rPr>
        <w:t xml:space="preserve"> bottlenecks in the budget execution and redeploy</w:t>
      </w:r>
      <w:r w:rsidR="00DA4214" w:rsidRPr="00BC7BB5">
        <w:rPr>
          <w:rFonts w:ascii="Times New Roman" w:hAnsi="Times New Roman" w:cs="Times New Roman"/>
        </w:rPr>
        <w:t>ing</w:t>
      </w:r>
      <w:r w:rsidRPr="00BC7BB5">
        <w:rPr>
          <w:rFonts w:ascii="Times New Roman" w:hAnsi="Times New Roman" w:cs="Times New Roman"/>
        </w:rPr>
        <w:t xml:space="preserve"> the budget appropriations to more performing managers. Key bottlenecks in the budget execution relate to the relative modest capacity at the decentralized level to implement the activities including, the long lead time to centralize/coordinate the financial information between the central and decentralized levels. The deployment of the integrated financial management system included in the Program will be a critical tool to address this issue.</w:t>
      </w:r>
    </w:p>
    <w:p w14:paraId="5286DDD5" w14:textId="77777777" w:rsidR="00742B07" w:rsidRPr="00BC7BB5" w:rsidRDefault="00742B07" w:rsidP="00103ACE">
      <w:pPr>
        <w:pStyle w:val="Attachmenttitle"/>
        <w:spacing w:after="0"/>
        <w:rPr>
          <w:sz w:val="22"/>
          <w:szCs w:val="22"/>
        </w:rPr>
      </w:pPr>
    </w:p>
    <w:p w14:paraId="1AF908AD" w14:textId="77777777" w:rsidR="00742B07" w:rsidRPr="00BC7BB5" w:rsidRDefault="00742B07" w:rsidP="00742B07">
      <w:pPr>
        <w:pStyle w:val="Attachmenttitle"/>
        <w:rPr>
          <w:i/>
          <w:sz w:val="22"/>
          <w:szCs w:val="22"/>
        </w:rPr>
      </w:pPr>
      <w:r w:rsidRPr="00BC7BB5">
        <w:rPr>
          <w:i/>
          <w:sz w:val="22"/>
          <w:szCs w:val="22"/>
        </w:rPr>
        <w:t>Effectiveness</w:t>
      </w:r>
    </w:p>
    <w:p w14:paraId="5ECE9596" w14:textId="4DF70E22" w:rsidR="00742B07" w:rsidRPr="00BC7BB5" w:rsidRDefault="00742B07" w:rsidP="00422BC8">
      <w:pPr>
        <w:pStyle w:val="ListParagraph"/>
        <w:numPr>
          <w:ilvl w:val="0"/>
          <w:numId w:val="15"/>
        </w:numPr>
        <w:autoSpaceDE w:val="0"/>
        <w:autoSpaceDN w:val="0"/>
        <w:adjustRightInd w:val="0"/>
        <w:spacing w:after="0" w:line="240" w:lineRule="auto"/>
        <w:ind w:left="0" w:firstLine="0"/>
        <w:jc w:val="both"/>
        <w:rPr>
          <w:rFonts w:ascii="Times New Roman" w:hAnsi="Times New Roman" w:cs="Times New Roman"/>
        </w:rPr>
      </w:pPr>
      <w:r w:rsidRPr="00BC7BB5">
        <w:rPr>
          <w:rFonts w:ascii="Times New Roman" w:hAnsi="Times New Roman" w:cs="Times New Roman"/>
        </w:rPr>
        <w:t xml:space="preserve">Activities included under the expenditure framework are subject to technical and financial assessments in order to ensure their timely execution at envisaged costs. The construction of the wholesale market is the main activity which entails land or legal issues that </w:t>
      </w:r>
      <w:r w:rsidR="00103ACE" w:rsidRPr="00BC7BB5">
        <w:rPr>
          <w:rFonts w:ascii="Times New Roman" w:hAnsi="Times New Roman" w:cs="Times New Roman"/>
        </w:rPr>
        <w:t>might</w:t>
      </w:r>
      <w:r w:rsidRPr="00BC7BB5">
        <w:rPr>
          <w:rFonts w:ascii="Times New Roman" w:hAnsi="Times New Roman" w:cs="Times New Roman"/>
        </w:rPr>
        <w:t xml:space="preserve"> pose a risk to implementation. This risk has been identified and adequate mitigation measures </w:t>
      </w:r>
      <w:r w:rsidR="00796272">
        <w:rPr>
          <w:rFonts w:ascii="Times New Roman" w:hAnsi="Times New Roman" w:cs="Times New Roman"/>
        </w:rPr>
        <w:t>have been incorporated</w:t>
      </w:r>
      <w:r w:rsidRPr="00BC7BB5">
        <w:rPr>
          <w:rFonts w:ascii="Times New Roman" w:hAnsi="Times New Roman" w:cs="Times New Roman"/>
        </w:rPr>
        <w:t xml:space="preserve"> as part of the Program design. All Program executing entities – including </w:t>
      </w:r>
      <w:r w:rsidRPr="00BC7BB5">
        <w:rPr>
          <w:rFonts w:ascii="Times New Roman" w:hAnsi="Times New Roman" w:cs="Times New Roman"/>
          <w:i/>
        </w:rPr>
        <w:t xml:space="preserve">Rabat </w:t>
      </w:r>
      <w:r w:rsidR="00E2113C">
        <w:rPr>
          <w:rFonts w:ascii="Times New Roman" w:hAnsi="Times New Roman" w:cs="Times New Roman"/>
          <w:i/>
        </w:rPr>
        <w:t xml:space="preserve">Région </w:t>
      </w:r>
      <w:r w:rsidRPr="00BC7BB5">
        <w:rPr>
          <w:rFonts w:ascii="Times New Roman" w:hAnsi="Times New Roman" w:cs="Times New Roman"/>
          <w:i/>
        </w:rPr>
        <w:t>Aménagement</w:t>
      </w:r>
      <w:r w:rsidRPr="00BC7BB5">
        <w:rPr>
          <w:rFonts w:ascii="Times New Roman" w:hAnsi="Times New Roman" w:cs="Times New Roman"/>
        </w:rPr>
        <w:t xml:space="preserve"> and ONSSA – are subject to public procurement rules, allowing for Program activities to be executed at lowest cost. </w:t>
      </w:r>
    </w:p>
    <w:p w14:paraId="364D72EF" w14:textId="77777777" w:rsidR="00742B07" w:rsidRPr="00BC7BB5" w:rsidRDefault="00742B07" w:rsidP="00742B07">
      <w:pPr>
        <w:pStyle w:val="ListParagraph"/>
        <w:autoSpaceDE w:val="0"/>
        <w:autoSpaceDN w:val="0"/>
        <w:adjustRightInd w:val="0"/>
        <w:spacing w:after="0" w:line="240" w:lineRule="auto"/>
        <w:ind w:left="0"/>
        <w:jc w:val="both"/>
        <w:rPr>
          <w:rFonts w:ascii="Times New Roman" w:hAnsi="Times New Roman" w:cs="Times New Roman"/>
        </w:rPr>
      </w:pPr>
    </w:p>
    <w:p w14:paraId="543F13B0" w14:textId="29D60E04" w:rsidR="00742B07" w:rsidRPr="00BC7BB5" w:rsidRDefault="00742B07" w:rsidP="00422BC8">
      <w:pPr>
        <w:pStyle w:val="ListParagraph"/>
        <w:numPr>
          <w:ilvl w:val="0"/>
          <w:numId w:val="15"/>
        </w:numPr>
        <w:autoSpaceDE w:val="0"/>
        <w:autoSpaceDN w:val="0"/>
        <w:adjustRightInd w:val="0"/>
        <w:spacing w:after="0" w:line="240" w:lineRule="auto"/>
        <w:ind w:left="0" w:firstLine="0"/>
        <w:jc w:val="both"/>
        <w:rPr>
          <w:rFonts w:ascii="Times New Roman" w:hAnsi="Times New Roman" w:cs="Times New Roman"/>
        </w:rPr>
      </w:pPr>
      <w:r w:rsidRPr="00BC7BB5">
        <w:rPr>
          <w:rFonts w:ascii="Times New Roman" w:hAnsi="Times New Roman" w:cs="Times New Roman"/>
        </w:rPr>
        <w:t>The Program's own fiduciary risk control mechanisms (which are more fully assessed within the Fiduciary System Assessment) provide further driver</w:t>
      </w:r>
      <w:r w:rsidR="00605655" w:rsidRPr="00BC7BB5">
        <w:rPr>
          <w:rFonts w:ascii="Times New Roman" w:hAnsi="Times New Roman" w:cs="Times New Roman"/>
        </w:rPr>
        <w:t>s</w:t>
      </w:r>
      <w:r w:rsidRPr="00BC7BB5">
        <w:rPr>
          <w:rFonts w:ascii="Times New Roman" w:hAnsi="Times New Roman" w:cs="Times New Roman"/>
        </w:rPr>
        <w:t xml:space="preserve"> of efficacy </w:t>
      </w:r>
      <w:r w:rsidRPr="00BC7BB5">
        <w:rPr>
          <w:rFonts w:ascii="Times New Roman" w:hAnsi="Times New Roman" w:cs="Times New Roman"/>
          <w:color w:val="000000" w:themeColor="text1"/>
        </w:rPr>
        <w:t xml:space="preserve">of expenditures </w:t>
      </w:r>
      <w:r w:rsidRPr="00BC7BB5">
        <w:rPr>
          <w:rFonts w:ascii="Times New Roman" w:hAnsi="Times New Roman" w:cs="Times New Roman"/>
        </w:rPr>
        <w:t xml:space="preserve">under the Program. The following measures will contribute to ensure </w:t>
      </w:r>
      <w:r w:rsidR="007B7C52" w:rsidRPr="00BC7BB5">
        <w:rPr>
          <w:rFonts w:ascii="Times New Roman" w:hAnsi="Times New Roman" w:cs="Times New Roman"/>
        </w:rPr>
        <w:t xml:space="preserve">the </w:t>
      </w:r>
      <w:r w:rsidRPr="00BC7BB5">
        <w:rPr>
          <w:rFonts w:ascii="Times New Roman" w:hAnsi="Times New Roman" w:cs="Times New Roman"/>
        </w:rPr>
        <w:t xml:space="preserve">effectiveness of the Program activities: </w:t>
      </w:r>
    </w:p>
    <w:p w14:paraId="12E3311D" w14:textId="33C3C361" w:rsidR="00742B07" w:rsidRPr="00BC7BB5" w:rsidRDefault="00742B07" w:rsidP="00F561E8">
      <w:pPr>
        <w:pStyle w:val="ListParagraph"/>
        <w:numPr>
          <w:ilvl w:val="0"/>
          <w:numId w:val="37"/>
        </w:numPr>
        <w:autoSpaceDE w:val="0"/>
        <w:autoSpaceDN w:val="0"/>
        <w:adjustRightInd w:val="0"/>
        <w:spacing w:before="120" w:after="120" w:line="240" w:lineRule="auto"/>
        <w:contextualSpacing w:val="0"/>
        <w:jc w:val="both"/>
        <w:rPr>
          <w:rFonts w:ascii="Times New Roman" w:hAnsi="Times New Roman" w:cs="Times New Roman"/>
        </w:rPr>
      </w:pPr>
      <w:r w:rsidRPr="00BC7BB5">
        <w:rPr>
          <w:rFonts w:ascii="Times New Roman" w:hAnsi="Times New Roman" w:cs="Times New Roman"/>
          <w:iCs/>
        </w:rPr>
        <w:t>The mid</w:t>
      </w:r>
      <w:r w:rsidR="007B7C52" w:rsidRPr="00BC7BB5">
        <w:rPr>
          <w:rFonts w:ascii="Times New Roman" w:hAnsi="Times New Roman" w:cs="Times New Roman"/>
          <w:iCs/>
        </w:rPr>
        <w:t>-</w:t>
      </w:r>
      <w:r w:rsidRPr="00BC7BB5">
        <w:rPr>
          <w:rFonts w:ascii="Times New Roman" w:hAnsi="Times New Roman" w:cs="Times New Roman"/>
          <w:iCs/>
        </w:rPr>
        <w:t>term review of MAPM</w:t>
      </w:r>
      <w:r w:rsidR="007B7C52" w:rsidRPr="00BC7BB5">
        <w:rPr>
          <w:rFonts w:ascii="Times New Roman" w:hAnsi="Times New Roman" w:cs="Times New Roman"/>
          <w:iCs/>
        </w:rPr>
        <w:t>DREF’s</w:t>
      </w:r>
      <w:r w:rsidRPr="00BC7BB5">
        <w:rPr>
          <w:rFonts w:ascii="Times New Roman" w:hAnsi="Times New Roman" w:cs="Times New Roman"/>
          <w:iCs/>
        </w:rPr>
        <w:t xml:space="preserve"> budget will be extended to the Program. This measure will be monitored as part of the Program Action Plan;</w:t>
      </w:r>
    </w:p>
    <w:p w14:paraId="30DFE7C6" w14:textId="6991AF5C" w:rsidR="00742B07" w:rsidRPr="00BC7BB5" w:rsidRDefault="00742B07" w:rsidP="00F561E8">
      <w:pPr>
        <w:pStyle w:val="ListParagraph"/>
        <w:numPr>
          <w:ilvl w:val="0"/>
          <w:numId w:val="37"/>
        </w:numPr>
        <w:autoSpaceDE w:val="0"/>
        <w:autoSpaceDN w:val="0"/>
        <w:adjustRightInd w:val="0"/>
        <w:spacing w:before="120" w:after="120" w:line="240" w:lineRule="auto"/>
        <w:contextualSpacing w:val="0"/>
        <w:jc w:val="both"/>
        <w:rPr>
          <w:rFonts w:ascii="Times New Roman" w:hAnsi="Times New Roman" w:cs="Times New Roman"/>
        </w:rPr>
      </w:pPr>
      <w:r w:rsidRPr="00BC7BB5">
        <w:rPr>
          <w:rFonts w:ascii="Times New Roman" w:hAnsi="Times New Roman" w:cs="Times New Roman"/>
          <w:iCs/>
        </w:rPr>
        <w:t xml:space="preserve">The close monitoring of </w:t>
      </w:r>
      <w:r w:rsidRPr="00BC7BB5">
        <w:rPr>
          <w:rFonts w:ascii="Times New Roman" w:hAnsi="Times New Roman" w:cs="Times New Roman"/>
          <w:i/>
          <w:iCs/>
        </w:rPr>
        <w:t xml:space="preserve">Rabat </w:t>
      </w:r>
      <w:r w:rsidR="00E2113C">
        <w:rPr>
          <w:rFonts w:ascii="Times New Roman" w:hAnsi="Times New Roman" w:cs="Times New Roman"/>
          <w:i/>
          <w:iCs/>
        </w:rPr>
        <w:t xml:space="preserve">Région </w:t>
      </w:r>
      <w:r w:rsidRPr="00BC7BB5">
        <w:rPr>
          <w:rFonts w:ascii="Times New Roman" w:hAnsi="Times New Roman" w:cs="Times New Roman"/>
          <w:i/>
          <w:iCs/>
        </w:rPr>
        <w:t>Am</w:t>
      </w:r>
      <w:r w:rsidR="007B7C52" w:rsidRPr="00BC7BB5">
        <w:rPr>
          <w:rFonts w:ascii="Times New Roman" w:hAnsi="Times New Roman" w:cs="Times New Roman"/>
          <w:i/>
          <w:iCs/>
        </w:rPr>
        <w:t>é</w:t>
      </w:r>
      <w:r w:rsidRPr="00BC7BB5">
        <w:rPr>
          <w:rFonts w:ascii="Times New Roman" w:hAnsi="Times New Roman" w:cs="Times New Roman"/>
          <w:i/>
          <w:iCs/>
        </w:rPr>
        <w:t>nagement</w:t>
      </w:r>
      <w:r w:rsidRPr="00BC7BB5">
        <w:rPr>
          <w:rFonts w:ascii="Times New Roman" w:hAnsi="Times New Roman" w:cs="Times New Roman"/>
          <w:iCs/>
        </w:rPr>
        <w:t xml:space="preserve"> and ONSSA</w:t>
      </w:r>
      <w:r w:rsidR="007B7C52" w:rsidRPr="00BC7BB5">
        <w:rPr>
          <w:rFonts w:ascii="Times New Roman" w:hAnsi="Times New Roman" w:cs="Times New Roman"/>
          <w:iCs/>
        </w:rPr>
        <w:t>’s</w:t>
      </w:r>
      <w:r w:rsidRPr="00BC7BB5">
        <w:rPr>
          <w:rFonts w:ascii="Times New Roman" w:hAnsi="Times New Roman" w:cs="Times New Roman"/>
          <w:iCs/>
        </w:rPr>
        <w:t xml:space="preserve"> budget execution by MAPM</w:t>
      </w:r>
      <w:r w:rsidR="007B7C52" w:rsidRPr="00BC7BB5">
        <w:rPr>
          <w:rFonts w:ascii="Times New Roman" w:hAnsi="Times New Roman" w:cs="Times New Roman"/>
          <w:iCs/>
        </w:rPr>
        <w:t>DREF</w:t>
      </w:r>
      <w:r w:rsidRPr="00BC7BB5">
        <w:rPr>
          <w:rFonts w:ascii="Times New Roman" w:hAnsi="Times New Roman" w:cs="Times New Roman"/>
          <w:iCs/>
        </w:rPr>
        <w:t xml:space="preserve">’s </w:t>
      </w:r>
      <w:r w:rsidR="00E527CD">
        <w:rPr>
          <w:rFonts w:ascii="Times New Roman" w:hAnsi="Times New Roman" w:cs="Times New Roman"/>
          <w:iCs/>
        </w:rPr>
        <w:t>PMU</w:t>
      </w:r>
      <w:r w:rsidRPr="00BC7BB5">
        <w:rPr>
          <w:rFonts w:ascii="Times New Roman" w:hAnsi="Times New Roman" w:cs="Times New Roman"/>
          <w:iCs/>
        </w:rPr>
        <w:t>;</w:t>
      </w:r>
    </w:p>
    <w:p w14:paraId="18CB604A" w14:textId="057A59D4" w:rsidR="00742B07" w:rsidRPr="00BC7BB5" w:rsidRDefault="00742B07" w:rsidP="00F561E8">
      <w:pPr>
        <w:pStyle w:val="ListParagraph"/>
        <w:numPr>
          <w:ilvl w:val="0"/>
          <w:numId w:val="37"/>
        </w:numPr>
        <w:autoSpaceDE w:val="0"/>
        <w:autoSpaceDN w:val="0"/>
        <w:adjustRightInd w:val="0"/>
        <w:spacing w:before="120" w:after="120" w:line="240" w:lineRule="auto"/>
        <w:contextualSpacing w:val="0"/>
        <w:jc w:val="both"/>
        <w:rPr>
          <w:rFonts w:ascii="Times New Roman" w:hAnsi="Times New Roman" w:cs="Times New Roman"/>
        </w:rPr>
      </w:pPr>
      <w:r w:rsidRPr="00BC7BB5">
        <w:rPr>
          <w:rFonts w:ascii="Times New Roman" w:hAnsi="Times New Roman" w:cs="Times New Roman"/>
          <w:iCs/>
        </w:rPr>
        <w:t>The deployment of the integrate</w:t>
      </w:r>
      <w:r w:rsidR="007B7C52" w:rsidRPr="00BC7BB5">
        <w:rPr>
          <w:rFonts w:ascii="Times New Roman" w:hAnsi="Times New Roman" w:cs="Times New Roman"/>
          <w:iCs/>
        </w:rPr>
        <w:t>d</w:t>
      </w:r>
      <w:r w:rsidRPr="00BC7BB5">
        <w:rPr>
          <w:rFonts w:ascii="Times New Roman" w:hAnsi="Times New Roman" w:cs="Times New Roman"/>
          <w:iCs/>
        </w:rPr>
        <w:t xml:space="preserve"> financial management system within MAPM</w:t>
      </w:r>
      <w:r w:rsidR="007B7C52" w:rsidRPr="00BC7BB5">
        <w:rPr>
          <w:rFonts w:ascii="Times New Roman" w:hAnsi="Times New Roman" w:cs="Times New Roman"/>
          <w:iCs/>
        </w:rPr>
        <w:t>DREF</w:t>
      </w:r>
      <w:r w:rsidRPr="00BC7BB5">
        <w:rPr>
          <w:rFonts w:ascii="Times New Roman" w:hAnsi="Times New Roman" w:cs="Times New Roman"/>
          <w:iCs/>
        </w:rPr>
        <w:t xml:space="preserve"> and its decentralized directorates as to increase timely production of reliable financial information allowing </w:t>
      </w:r>
      <w:r w:rsidR="007B7C52" w:rsidRPr="00BC7BB5">
        <w:rPr>
          <w:rFonts w:ascii="Times New Roman" w:hAnsi="Times New Roman" w:cs="Times New Roman"/>
          <w:iCs/>
        </w:rPr>
        <w:t>improved</w:t>
      </w:r>
      <w:r w:rsidRPr="00BC7BB5">
        <w:rPr>
          <w:rFonts w:ascii="Times New Roman" w:hAnsi="Times New Roman" w:cs="Times New Roman"/>
          <w:iCs/>
        </w:rPr>
        <w:t xml:space="preserve"> decision making process;</w:t>
      </w:r>
    </w:p>
    <w:p w14:paraId="4D39A3B1" w14:textId="19E6037A" w:rsidR="00742B07" w:rsidRPr="00BC7BB5" w:rsidRDefault="00742B07" w:rsidP="00F561E8">
      <w:pPr>
        <w:pStyle w:val="ListParagraph"/>
        <w:numPr>
          <w:ilvl w:val="0"/>
          <w:numId w:val="37"/>
        </w:numPr>
        <w:autoSpaceDE w:val="0"/>
        <w:autoSpaceDN w:val="0"/>
        <w:adjustRightInd w:val="0"/>
        <w:spacing w:before="120" w:after="120" w:line="240" w:lineRule="auto"/>
        <w:contextualSpacing w:val="0"/>
        <w:jc w:val="both"/>
        <w:rPr>
          <w:rFonts w:ascii="Times New Roman" w:hAnsi="Times New Roman" w:cs="Times New Roman"/>
        </w:rPr>
      </w:pPr>
      <w:r w:rsidRPr="00BC7BB5">
        <w:rPr>
          <w:rFonts w:ascii="Times New Roman" w:hAnsi="Times New Roman" w:cs="Times New Roman"/>
        </w:rPr>
        <w:t xml:space="preserve">The Treasury General of the Kingdom </w:t>
      </w:r>
      <w:r w:rsidR="00796272">
        <w:rPr>
          <w:rFonts w:ascii="Times New Roman" w:hAnsi="Times New Roman" w:cs="Times New Roman"/>
        </w:rPr>
        <w:t>that</w:t>
      </w:r>
      <w:r w:rsidR="00796272" w:rsidRPr="00BC7BB5">
        <w:rPr>
          <w:rFonts w:ascii="Times New Roman" w:hAnsi="Times New Roman" w:cs="Times New Roman"/>
        </w:rPr>
        <w:t xml:space="preserve"> </w:t>
      </w:r>
      <w:r w:rsidRPr="00BC7BB5">
        <w:rPr>
          <w:rFonts w:ascii="Times New Roman" w:hAnsi="Times New Roman" w:cs="Times New Roman"/>
        </w:rPr>
        <w:t>checks the regularity of the expenses incurred by the entities involved in the Program and their compliance with the agreements it has signed before paying them;</w:t>
      </w:r>
    </w:p>
    <w:p w14:paraId="3749889B" w14:textId="282010A0" w:rsidR="00742B07" w:rsidRPr="00BC7BB5" w:rsidRDefault="00742B07" w:rsidP="00F561E8">
      <w:pPr>
        <w:pStyle w:val="ListParagraph"/>
        <w:numPr>
          <w:ilvl w:val="0"/>
          <w:numId w:val="37"/>
        </w:numPr>
        <w:autoSpaceDE w:val="0"/>
        <w:autoSpaceDN w:val="0"/>
        <w:adjustRightInd w:val="0"/>
        <w:spacing w:before="120" w:after="120" w:line="240" w:lineRule="auto"/>
        <w:contextualSpacing w:val="0"/>
        <w:jc w:val="both"/>
        <w:rPr>
          <w:rFonts w:ascii="Times New Roman" w:hAnsi="Times New Roman" w:cs="Times New Roman"/>
        </w:rPr>
      </w:pPr>
      <w:r w:rsidRPr="00BC7BB5">
        <w:rPr>
          <w:rFonts w:ascii="Times New Roman" w:hAnsi="Times New Roman" w:cs="Times New Roman"/>
        </w:rPr>
        <w:t>The General Inspectorate of Finance (IGF), under the authority of the Minister of Finance, is also called upon to audit the accounts of</w:t>
      </w:r>
      <w:r w:rsidR="00E527CD">
        <w:rPr>
          <w:rFonts w:ascii="Times New Roman" w:hAnsi="Times New Roman" w:cs="Times New Roman"/>
        </w:rPr>
        <w:t xml:space="preserve"> local and regional authorities</w:t>
      </w:r>
      <w:r w:rsidRPr="00BC7BB5">
        <w:rPr>
          <w:rFonts w:ascii="Times New Roman" w:hAnsi="Times New Roman" w:cs="Times New Roman"/>
        </w:rPr>
        <w:t>;</w:t>
      </w:r>
    </w:p>
    <w:p w14:paraId="1B0A6AD7" w14:textId="64B008B3" w:rsidR="00742B07" w:rsidRPr="00BC7BB5" w:rsidRDefault="00742B07" w:rsidP="00F561E8">
      <w:pPr>
        <w:pStyle w:val="ListParagraph"/>
        <w:numPr>
          <w:ilvl w:val="0"/>
          <w:numId w:val="37"/>
        </w:numPr>
        <w:autoSpaceDE w:val="0"/>
        <w:autoSpaceDN w:val="0"/>
        <w:adjustRightInd w:val="0"/>
        <w:spacing w:before="120" w:after="120" w:line="240" w:lineRule="auto"/>
        <w:contextualSpacing w:val="0"/>
        <w:jc w:val="both"/>
        <w:rPr>
          <w:rFonts w:ascii="Times New Roman" w:hAnsi="Times New Roman" w:cs="Times New Roman"/>
        </w:rPr>
      </w:pPr>
      <w:r w:rsidRPr="00BC7BB5">
        <w:rPr>
          <w:rFonts w:ascii="Times New Roman" w:hAnsi="Times New Roman" w:cs="Times New Roman"/>
          <w:iCs/>
        </w:rPr>
        <w:t>The</w:t>
      </w:r>
      <w:r w:rsidRPr="00BC7BB5">
        <w:rPr>
          <w:rFonts w:ascii="Times New Roman" w:hAnsi="Times New Roman" w:cs="Times New Roman"/>
        </w:rPr>
        <w:t xml:space="preserve"> Supreme Audit Institution which has a standing control mandate over MAPM</w:t>
      </w:r>
      <w:r w:rsidR="007B7C52" w:rsidRPr="00BC7BB5">
        <w:rPr>
          <w:rFonts w:ascii="Times New Roman" w:hAnsi="Times New Roman" w:cs="Times New Roman"/>
        </w:rPr>
        <w:t>DREF</w:t>
      </w:r>
      <w:r w:rsidRPr="00BC7BB5">
        <w:rPr>
          <w:rFonts w:ascii="Times New Roman" w:hAnsi="Times New Roman" w:cs="Times New Roman"/>
        </w:rPr>
        <w:t xml:space="preserve"> but also over related bodies such as </w:t>
      </w:r>
      <w:r w:rsidRPr="00BC7BB5">
        <w:rPr>
          <w:rFonts w:ascii="Times New Roman" w:hAnsi="Times New Roman" w:cs="Times New Roman"/>
          <w:i/>
        </w:rPr>
        <w:t xml:space="preserve">Rabat </w:t>
      </w:r>
      <w:r w:rsidR="00E2113C">
        <w:rPr>
          <w:rFonts w:ascii="Times New Roman" w:hAnsi="Times New Roman" w:cs="Times New Roman"/>
          <w:i/>
        </w:rPr>
        <w:t xml:space="preserve">Région </w:t>
      </w:r>
      <w:r w:rsidRPr="00BC7BB5">
        <w:rPr>
          <w:rFonts w:ascii="Times New Roman" w:hAnsi="Times New Roman" w:cs="Times New Roman"/>
          <w:i/>
        </w:rPr>
        <w:t>Aménagement</w:t>
      </w:r>
      <w:r w:rsidRPr="00BC7BB5">
        <w:rPr>
          <w:rFonts w:ascii="Times New Roman" w:hAnsi="Times New Roman" w:cs="Times New Roman"/>
        </w:rPr>
        <w:t xml:space="preserve"> and ONSSA;</w:t>
      </w:r>
    </w:p>
    <w:p w14:paraId="79B18D59" w14:textId="15DF1301" w:rsidR="00742B07" w:rsidRPr="00BC7BB5" w:rsidRDefault="00742B07" w:rsidP="00F561E8">
      <w:pPr>
        <w:pStyle w:val="ListParagraph"/>
        <w:numPr>
          <w:ilvl w:val="0"/>
          <w:numId w:val="37"/>
        </w:numPr>
        <w:autoSpaceDE w:val="0"/>
        <w:autoSpaceDN w:val="0"/>
        <w:adjustRightInd w:val="0"/>
        <w:spacing w:before="120" w:after="120" w:line="240" w:lineRule="auto"/>
        <w:contextualSpacing w:val="0"/>
        <w:jc w:val="both"/>
        <w:rPr>
          <w:rFonts w:ascii="Times New Roman" w:hAnsi="Times New Roman" w:cs="Times New Roman"/>
        </w:rPr>
      </w:pPr>
      <w:r w:rsidRPr="00BC7BB5">
        <w:rPr>
          <w:rFonts w:ascii="Times New Roman" w:hAnsi="Times New Roman" w:cs="Times New Roman"/>
        </w:rPr>
        <w:t xml:space="preserve">The </w:t>
      </w:r>
      <w:r w:rsidR="007B7C52" w:rsidRPr="00BC7BB5">
        <w:rPr>
          <w:rFonts w:ascii="Times New Roman" w:hAnsi="Times New Roman" w:cs="Times New Roman"/>
        </w:rPr>
        <w:t xml:space="preserve">Minister </w:t>
      </w:r>
      <w:r w:rsidRPr="00BC7BB5">
        <w:rPr>
          <w:rFonts w:ascii="Times New Roman" w:hAnsi="Times New Roman" w:cs="Times New Roman"/>
        </w:rPr>
        <w:t>in charge of agriculture can order external audit operations targeting the Program itself as well as any entity for which it is responsible for the implementation of the Program;</w:t>
      </w:r>
    </w:p>
    <w:p w14:paraId="2B8887F8" w14:textId="77777777" w:rsidR="00742B07" w:rsidRPr="00BC7BB5" w:rsidRDefault="00742B07" w:rsidP="00F561E8">
      <w:pPr>
        <w:pStyle w:val="ListParagraph"/>
        <w:numPr>
          <w:ilvl w:val="0"/>
          <w:numId w:val="37"/>
        </w:numPr>
        <w:autoSpaceDE w:val="0"/>
        <w:autoSpaceDN w:val="0"/>
        <w:adjustRightInd w:val="0"/>
        <w:spacing w:before="120" w:after="120" w:line="240" w:lineRule="auto"/>
        <w:contextualSpacing w:val="0"/>
        <w:jc w:val="both"/>
        <w:rPr>
          <w:rFonts w:ascii="Times New Roman" w:hAnsi="Times New Roman" w:cs="Times New Roman"/>
        </w:rPr>
      </w:pPr>
      <w:r w:rsidRPr="00BC7BB5">
        <w:rPr>
          <w:rFonts w:ascii="Times New Roman" w:hAnsi="Times New Roman" w:cs="Times New Roman"/>
        </w:rPr>
        <w:t>The publication of the Program’s results will be included in the Program Action Plan as to increase transparency that will positively affect its effectiveness.</w:t>
      </w:r>
    </w:p>
    <w:p w14:paraId="549BD882" w14:textId="4E284170" w:rsidR="00AD7B8F" w:rsidRPr="00BC7BB5" w:rsidRDefault="00AD7B8F" w:rsidP="007B7C52">
      <w:pPr>
        <w:pStyle w:val="ListParagraph"/>
        <w:autoSpaceDE w:val="0"/>
        <w:autoSpaceDN w:val="0"/>
        <w:adjustRightInd w:val="0"/>
        <w:spacing w:after="0" w:line="240" w:lineRule="auto"/>
        <w:ind w:left="0"/>
        <w:jc w:val="both"/>
        <w:rPr>
          <w:rFonts w:ascii="Times New Roman" w:hAnsi="Times New Roman" w:cs="Times New Roman"/>
        </w:rPr>
      </w:pPr>
    </w:p>
    <w:p w14:paraId="670D192C" w14:textId="7D61FFC9" w:rsidR="00AD7B8F" w:rsidRPr="00BC7BB5" w:rsidRDefault="00FF1F7A" w:rsidP="00F561E8">
      <w:pPr>
        <w:pStyle w:val="NoSpacing"/>
        <w:numPr>
          <w:ilvl w:val="0"/>
          <w:numId w:val="31"/>
        </w:numPr>
        <w:ind w:left="0" w:firstLine="0"/>
        <w:rPr>
          <w:rFonts w:ascii="Times New Roman Bold" w:hAnsi="Times New Roman Bold" w:cs="Times New Roman"/>
          <w:b/>
          <w:smallCaps/>
        </w:rPr>
      </w:pPr>
      <w:r w:rsidRPr="00BC7BB5">
        <w:rPr>
          <w:rFonts w:ascii="Times New Roman Bold" w:hAnsi="Times New Roman Bold" w:cs="Times New Roman"/>
          <w:b/>
          <w:smallCaps/>
        </w:rPr>
        <w:t>Program Fiduciary Arrangements</w:t>
      </w:r>
    </w:p>
    <w:p w14:paraId="36E05898" w14:textId="77777777" w:rsidR="00417CD0" w:rsidRPr="00BC7BB5" w:rsidRDefault="00417CD0" w:rsidP="00417CD0">
      <w:pPr>
        <w:pStyle w:val="Subtitle"/>
        <w:numPr>
          <w:ilvl w:val="0"/>
          <w:numId w:val="0"/>
        </w:numPr>
        <w:spacing w:before="0"/>
        <w:rPr>
          <w:i/>
        </w:rPr>
      </w:pPr>
    </w:p>
    <w:p w14:paraId="7C8BAA30" w14:textId="05940C1F" w:rsidR="00AD7B8F" w:rsidRPr="00BC7BB5" w:rsidRDefault="00796272" w:rsidP="000A2644">
      <w:pPr>
        <w:pStyle w:val="Subtitle"/>
        <w:numPr>
          <w:ilvl w:val="0"/>
          <w:numId w:val="0"/>
        </w:numPr>
        <w:spacing w:before="0"/>
        <w:rPr>
          <w:i/>
        </w:rPr>
      </w:pPr>
      <w:r>
        <w:rPr>
          <w:i/>
        </w:rPr>
        <w:t>An overview</w:t>
      </w:r>
      <w:r w:rsidR="00AD7B8F" w:rsidRPr="00BC7BB5">
        <w:rPr>
          <w:i/>
        </w:rPr>
        <w:t xml:space="preserve"> of the country PFM cycle</w:t>
      </w:r>
    </w:p>
    <w:p w14:paraId="299169A8" w14:textId="77777777" w:rsidR="00417CD0" w:rsidRPr="00BC7BB5" w:rsidRDefault="00417CD0" w:rsidP="00417CD0">
      <w:pPr>
        <w:spacing w:after="0" w:line="240" w:lineRule="auto"/>
        <w:ind w:left="360"/>
      </w:pPr>
    </w:p>
    <w:p w14:paraId="150CE149" w14:textId="51BC3AFC" w:rsidR="00AD7B8F" w:rsidRPr="00BC7BB5" w:rsidRDefault="00AD7B8F" w:rsidP="00796272">
      <w:pPr>
        <w:pStyle w:val="ListParagraph"/>
        <w:numPr>
          <w:ilvl w:val="0"/>
          <w:numId w:val="15"/>
        </w:numPr>
        <w:autoSpaceDE w:val="0"/>
        <w:autoSpaceDN w:val="0"/>
        <w:adjustRightInd w:val="0"/>
        <w:spacing w:after="0" w:line="240" w:lineRule="auto"/>
        <w:ind w:left="0" w:firstLine="0"/>
        <w:jc w:val="both"/>
        <w:rPr>
          <w:rFonts w:ascii="Times New Roman" w:hAnsi="Times New Roman" w:cs="Times New Roman"/>
        </w:rPr>
      </w:pPr>
      <w:r w:rsidRPr="00BC7BB5">
        <w:rPr>
          <w:rFonts w:ascii="Times New Roman" w:hAnsi="Times New Roman" w:cs="Times New Roman"/>
          <w:b/>
        </w:rPr>
        <w:t xml:space="preserve">Overall, Morocco’s PFM system suffers from two interrelated weaknesses: the shortcoming in the selection of investments projects which affects the programming and planning processes and the mixed impact of those investments on the quality of the public services. </w:t>
      </w:r>
      <w:r w:rsidRPr="00BC7BB5">
        <w:rPr>
          <w:rFonts w:ascii="Times New Roman" w:hAnsi="Times New Roman" w:cs="Times New Roman"/>
        </w:rPr>
        <w:t xml:space="preserve">In addition, the publication of the budget execution report in a </w:t>
      </w:r>
      <w:r w:rsidR="00796272">
        <w:rPr>
          <w:rFonts w:ascii="Times New Roman" w:hAnsi="Times New Roman" w:cs="Times New Roman"/>
        </w:rPr>
        <w:t>disaggregated</w:t>
      </w:r>
      <w:r w:rsidR="00796272" w:rsidRPr="00BC7BB5">
        <w:rPr>
          <w:rFonts w:ascii="Times New Roman" w:hAnsi="Times New Roman" w:cs="Times New Roman"/>
        </w:rPr>
        <w:t xml:space="preserve"> </w:t>
      </w:r>
      <w:r w:rsidRPr="00BC7BB5">
        <w:rPr>
          <w:rFonts w:ascii="Times New Roman" w:hAnsi="Times New Roman" w:cs="Times New Roman"/>
        </w:rPr>
        <w:t xml:space="preserve">manner remains another area of improvement in spite of </w:t>
      </w:r>
      <w:r w:rsidRPr="00BC7BB5">
        <w:rPr>
          <w:rFonts w:ascii="Times New Roman" w:hAnsi="Times New Roman" w:cs="Times New Roman"/>
        </w:rPr>
        <w:lastRenderedPageBreak/>
        <w:t xml:space="preserve">the ongoing efforts. The </w:t>
      </w:r>
      <w:r w:rsidR="00796272" w:rsidRPr="00796272">
        <w:rPr>
          <w:rFonts w:ascii="Times New Roman" w:hAnsi="Times New Roman" w:cs="Times New Roman"/>
        </w:rPr>
        <w:t>Supporting New Governance Framework Project and the Improving Infrastructure Service Delivery and PPPs in Morocco Project, both financed by the MENA Transition Fund</w:t>
      </w:r>
      <w:r w:rsidR="00796272">
        <w:rPr>
          <w:rFonts w:ascii="Times New Roman" w:hAnsi="Times New Roman" w:cs="Times New Roman"/>
        </w:rPr>
        <w:t>,</w:t>
      </w:r>
      <w:r w:rsidR="00796272" w:rsidRPr="00796272" w:rsidDel="00796272">
        <w:rPr>
          <w:rFonts w:ascii="Times New Roman" w:hAnsi="Times New Roman" w:cs="Times New Roman"/>
        </w:rPr>
        <w:t xml:space="preserve"> </w:t>
      </w:r>
      <w:r w:rsidRPr="00BC7BB5">
        <w:rPr>
          <w:rFonts w:ascii="Times New Roman" w:hAnsi="Times New Roman" w:cs="Times New Roman"/>
        </w:rPr>
        <w:t xml:space="preserve">are two complementary </w:t>
      </w:r>
      <w:r w:rsidR="00796272">
        <w:rPr>
          <w:rFonts w:ascii="Times New Roman" w:hAnsi="Times New Roman" w:cs="Times New Roman"/>
        </w:rPr>
        <w:t>interventions</w:t>
      </w:r>
      <w:r w:rsidRPr="00BC7BB5">
        <w:rPr>
          <w:rFonts w:ascii="Times New Roman" w:hAnsi="Times New Roman" w:cs="Times New Roman"/>
        </w:rPr>
        <w:t xml:space="preserve"> aiming to address the PFM issues at national level. The first project strengthens capacity in procurement and financial management in the context of the implementation of the new PFM Organic Law</w:t>
      </w:r>
      <w:r w:rsidR="00796272">
        <w:rPr>
          <w:rFonts w:ascii="Times New Roman" w:hAnsi="Times New Roman" w:cs="Times New Roman"/>
        </w:rPr>
        <w:t>,</w:t>
      </w:r>
      <w:r w:rsidRPr="00BC7BB5">
        <w:rPr>
          <w:rFonts w:ascii="Times New Roman" w:hAnsi="Times New Roman" w:cs="Times New Roman"/>
        </w:rPr>
        <w:t xml:space="preserve"> which introduces program budgeting approach. The second project will focus on the establishment of a revised public investment management system and the improvement of the efficiency of state-owned enterprises in the infrastructure sector including mobilizing the private sector investment for infrastructure. As such, the Program will benefit from the technical assistance activities deployed and/or to be implemented under the two abovementioned projects. More specifically, MAPMREF is being supported under the first </w:t>
      </w:r>
      <w:r w:rsidR="00796272">
        <w:rPr>
          <w:rFonts w:ascii="Times New Roman" w:hAnsi="Times New Roman" w:cs="Times New Roman"/>
        </w:rPr>
        <w:t>p</w:t>
      </w:r>
      <w:r w:rsidRPr="00BC7BB5">
        <w:rPr>
          <w:rFonts w:ascii="Times New Roman" w:hAnsi="Times New Roman" w:cs="Times New Roman"/>
        </w:rPr>
        <w:t>roject in the design of new programs, associated indicators oriented on service delivery, an annual performance plan and annual performance report as well as in planning and execution processes.</w:t>
      </w:r>
    </w:p>
    <w:p w14:paraId="191DFAA2" w14:textId="77777777" w:rsidR="00AD73DF" w:rsidRPr="00BC7BB5" w:rsidRDefault="00AD73DF" w:rsidP="00AD73DF">
      <w:pPr>
        <w:autoSpaceDE w:val="0"/>
        <w:autoSpaceDN w:val="0"/>
        <w:adjustRightInd w:val="0"/>
        <w:spacing w:after="0" w:line="240" w:lineRule="auto"/>
        <w:jc w:val="both"/>
        <w:rPr>
          <w:rFonts w:ascii="Times New Roman" w:hAnsi="Times New Roman" w:cs="Times New Roman"/>
        </w:rPr>
      </w:pPr>
    </w:p>
    <w:p w14:paraId="2A2B6C16" w14:textId="22DF98B3" w:rsidR="00AD7B8F" w:rsidRPr="00BC7BB5" w:rsidRDefault="00AD7B8F" w:rsidP="00422BC8">
      <w:pPr>
        <w:pStyle w:val="ListParagraph"/>
        <w:numPr>
          <w:ilvl w:val="0"/>
          <w:numId w:val="15"/>
        </w:numPr>
        <w:autoSpaceDE w:val="0"/>
        <w:autoSpaceDN w:val="0"/>
        <w:adjustRightInd w:val="0"/>
        <w:spacing w:after="0" w:line="240" w:lineRule="auto"/>
        <w:ind w:left="0" w:firstLine="0"/>
        <w:jc w:val="both"/>
        <w:rPr>
          <w:rFonts w:ascii="Times New Roman" w:hAnsi="Times New Roman" w:cs="Times New Roman"/>
        </w:rPr>
      </w:pPr>
      <w:r w:rsidRPr="00BC7BB5">
        <w:rPr>
          <w:rFonts w:ascii="Times New Roman" w:hAnsi="Times New Roman" w:cs="Times New Roman"/>
          <w:b/>
          <w:bCs/>
          <w:iCs/>
        </w:rPr>
        <w:t xml:space="preserve">Other Morocco’s fiduciary areas are considered exemplary with a moderate risk. </w:t>
      </w:r>
      <w:r w:rsidRPr="008B72BC">
        <w:rPr>
          <w:rFonts w:ascii="Times New Roman" w:hAnsi="Times New Roman" w:cs="Times New Roman"/>
          <w:bCs/>
          <w:iCs/>
        </w:rPr>
        <w:t xml:space="preserve">This will create an enabling fiduciary environment for the implementation of the Program. </w:t>
      </w:r>
      <w:r w:rsidRPr="00BC7BB5">
        <w:rPr>
          <w:rFonts w:ascii="Times New Roman" w:hAnsi="Times New Roman" w:cs="Times New Roman"/>
        </w:rPr>
        <w:t xml:space="preserve">The main conditions for fiscal and financial discipline are indeed met, as evidenced by the credibility of the budget and the achievement of the planned objectives. Budget execution benefits from an adequate information management system, as well as from robust internal controls which includes an </w:t>
      </w:r>
      <w:r w:rsidRPr="00BC7BB5">
        <w:rPr>
          <w:rFonts w:ascii="Times New Roman" w:hAnsi="Times New Roman" w:cs="Times New Roman"/>
          <w:i/>
        </w:rPr>
        <w:t>ex-ante</w:t>
      </w:r>
      <w:r w:rsidRPr="00BC7BB5">
        <w:rPr>
          <w:rFonts w:ascii="Times New Roman" w:hAnsi="Times New Roman" w:cs="Times New Roman"/>
        </w:rPr>
        <w:t xml:space="preserve"> control of expenditures based on a risk model. Internal audit function is more than adequate using a risk based audit with an acceptable completion rate of the audits planned including a proper follow up of the recommendations. Procurement reforms also translate Government’s efforts to ensure a more strategic and efficient use of resources with the establishment of a National Commission for Public Procurement (CNCP</w:t>
      </w:r>
      <w:r w:rsidR="00A254D1">
        <w:rPr>
          <w:rFonts w:ascii="Times New Roman" w:hAnsi="Times New Roman" w:cs="Times New Roman"/>
        </w:rPr>
        <w:fldChar w:fldCharType="begin"/>
      </w:r>
      <w:r w:rsidR="00A254D1">
        <w:instrText xml:space="preserve"> XE "</w:instrText>
      </w:r>
      <w:r w:rsidR="00A254D1" w:rsidRPr="0021512B">
        <w:rPr>
          <w:rFonts w:ascii="Times New Roman" w:hAnsi="Times New Roman" w:cs="Times New Roman"/>
        </w:rPr>
        <w:instrText>CNCP:</w:instrText>
      </w:r>
      <w:r w:rsidR="00A254D1" w:rsidRPr="0021512B">
        <w:instrText>National Commission for Public Procurement</w:instrText>
      </w:r>
      <w:r w:rsidR="00A254D1">
        <w:instrText xml:space="preserve">" </w:instrText>
      </w:r>
      <w:r w:rsidR="00A254D1">
        <w:rPr>
          <w:rFonts w:ascii="Times New Roman" w:hAnsi="Times New Roman" w:cs="Times New Roman"/>
        </w:rPr>
        <w:fldChar w:fldCharType="end"/>
      </w:r>
      <w:r w:rsidRPr="00BC7BB5">
        <w:rPr>
          <w:rFonts w:ascii="Times New Roman" w:hAnsi="Times New Roman" w:cs="Times New Roman"/>
        </w:rPr>
        <w:t xml:space="preserve">) and the harmonization and simplification for the regulatory framework for procurement. The financial supervision of the local authorities, the public institutions and that of the </w:t>
      </w:r>
      <w:r w:rsidR="00796272">
        <w:rPr>
          <w:rFonts w:ascii="Times New Roman" w:hAnsi="Times New Roman" w:cs="Times New Roman"/>
        </w:rPr>
        <w:t>s</w:t>
      </w:r>
      <w:r w:rsidRPr="00BC7BB5">
        <w:rPr>
          <w:rFonts w:ascii="Times New Roman" w:hAnsi="Times New Roman" w:cs="Times New Roman"/>
        </w:rPr>
        <w:t>tate-</w:t>
      </w:r>
      <w:r w:rsidR="00796272">
        <w:rPr>
          <w:rFonts w:ascii="Times New Roman" w:hAnsi="Times New Roman" w:cs="Times New Roman"/>
        </w:rPr>
        <w:t>o</w:t>
      </w:r>
      <w:r w:rsidRPr="00BC7BB5">
        <w:rPr>
          <w:rFonts w:ascii="Times New Roman" w:hAnsi="Times New Roman" w:cs="Times New Roman"/>
        </w:rPr>
        <w:t xml:space="preserve">wned </w:t>
      </w:r>
      <w:r w:rsidR="00796272">
        <w:rPr>
          <w:rFonts w:ascii="Times New Roman" w:hAnsi="Times New Roman" w:cs="Times New Roman"/>
        </w:rPr>
        <w:t>e</w:t>
      </w:r>
      <w:r w:rsidRPr="00BC7BB5">
        <w:rPr>
          <w:rFonts w:ascii="Times New Roman" w:hAnsi="Times New Roman" w:cs="Times New Roman"/>
        </w:rPr>
        <w:t xml:space="preserve">nterprises is adequate and brings an essential contribution to the </w:t>
      </w:r>
      <w:r w:rsidR="00796272">
        <w:rPr>
          <w:rFonts w:ascii="Times New Roman" w:hAnsi="Times New Roman" w:cs="Times New Roman"/>
        </w:rPr>
        <w:t>s</w:t>
      </w:r>
      <w:r w:rsidRPr="00BC7BB5">
        <w:rPr>
          <w:rFonts w:ascii="Times New Roman" w:hAnsi="Times New Roman" w:cs="Times New Roman"/>
        </w:rPr>
        <w:t>tate financial stability. The Supreme Audit Institution (SAI</w:t>
      </w:r>
      <w:r w:rsidR="00A254D1">
        <w:rPr>
          <w:rFonts w:ascii="Times New Roman" w:hAnsi="Times New Roman" w:cs="Times New Roman"/>
        </w:rPr>
        <w:fldChar w:fldCharType="begin"/>
      </w:r>
      <w:r w:rsidR="00A254D1">
        <w:instrText xml:space="preserve"> XE "</w:instrText>
      </w:r>
      <w:r w:rsidR="00A254D1" w:rsidRPr="00813430">
        <w:rPr>
          <w:rFonts w:ascii="Times New Roman" w:hAnsi="Times New Roman" w:cs="Times New Roman"/>
        </w:rPr>
        <w:instrText>SAI:</w:instrText>
      </w:r>
      <w:r w:rsidR="00A254D1" w:rsidRPr="00813430">
        <w:instrText>Supreme Audit Institution</w:instrText>
      </w:r>
      <w:r w:rsidR="00A254D1">
        <w:instrText xml:space="preserve">" </w:instrText>
      </w:r>
      <w:r w:rsidR="00A254D1">
        <w:rPr>
          <w:rFonts w:ascii="Times New Roman" w:hAnsi="Times New Roman" w:cs="Times New Roman"/>
        </w:rPr>
        <w:fldChar w:fldCharType="end"/>
      </w:r>
      <w:r w:rsidRPr="00BC7BB5">
        <w:rPr>
          <w:rFonts w:ascii="Times New Roman" w:hAnsi="Times New Roman" w:cs="Times New Roman"/>
        </w:rPr>
        <w:t xml:space="preserve">), whose independence is well guaranteed (even if the rules of appointment and replacement of the first President are not defined in the Act), ensures an effective ex-post control. </w:t>
      </w:r>
    </w:p>
    <w:p w14:paraId="5EDE552B" w14:textId="77777777" w:rsidR="00AD7B8F" w:rsidRPr="00BC7BB5" w:rsidRDefault="00AD7B8F" w:rsidP="00417CD0">
      <w:pPr>
        <w:pStyle w:val="ListParagraph"/>
        <w:spacing w:after="0" w:line="240" w:lineRule="auto"/>
        <w:ind w:left="0"/>
        <w:jc w:val="both"/>
        <w:rPr>
          <w:rFonts w:ascii="Times New Roman" w:hAnsi="Times New Roman" w:cs="Times New Roman"/>
        </w:rPr>
      </w:pPr>
    </w:p>
    <w:p w14:paraId="12762FE9" w14:textId="77777777" w:rsidR="00AD7B8F" w:rsidRPr="00BC7BB5" w:rsidRDefault="00AD7B8F" w:rsidP="000A2644">
      <w:pPr>
        <w:autoSpaceDE w:val="0"/>
        <w:autoSpaceDN w:val="0"/>
        <w:adjustRightInd w:val="0"/>
        <w:spacing w:after="0" w:line="240" w:lineRule="auto"/>
        <w:jc w:val="both"/>
        <w:rPr>
          <w:rFonts w:ascii="Times New Roman" w:hAnsi="Times New Roman" w:cs="Times New Roman"/>
          <w:b/>
          <w:i/>
        </w:rPr>
      </w:pPr>
      <w:r w:rsidRPr="00BC7BB5">
        <w:rPr>
          <w:rFonts w:ascii="Times New Roman" w:hAnsi="Times New Roman" w:cs="Times New Roman"/>
          <w:b/>
          <w:i/>
        </w:rPr>
        <w:t>Review of Public Financial Management Cycle of the entities involved in the Program</w:t>
      </w:r>
    </w:p>
    <w:p w14:paraId="5B18B697" w14:textId="77777777" w:rsidR="00AD7B8F" w:rsidRPr="00BC7BB5" w:rsidRDefault="00AD7B8F" w:rsidP="00417CD0">
      <w:pPr>
        <w:pStyle w:val="ListParagraph"/>
        <w:autoSpaceDE w:val="0"/>
        <w:autoSpaceDN w:val="0"/>
        <w:adjustRightInd w:val="0"/>
        <w:spacing w:after="0" w:line="240" w:lineRule="auto"/>
        <w:ind w:left="0"/>
        <w:jc w:val="both"/>
        <w:rPr>
          <w:rFonts w:ascii="Times New Roman" w:hAnsi="Times New Roman" w:cs="Times New Roman"/>
          <w:i/>
        </w:rPr>
      </w:pPr>
    </w:p>
    <w:p w14:paraId="5E219A7E" w14:textId="685FAA82" w:rsidR="00AD7B8F" w:rsidRPr="00BC7BB5" w:rsidRDefault="00AD7B8F" w:rsidP="00422BC8">
      <w:pPr>
        <w:pStyle w:val="ListParagraph"/>
        <w:numPr>
          <w:ilvl w:val="0"/>
          <w:numId w:val="15"/>
        </w:numPr>
        <w:autoSpaceDE w:val="0"/>
        <w:autoSpaceDN w:val="0"/>
        <w:adjustRightInd w:val="0"/>
        <w:spacing w:after="0" w:line="240" w:lineRule="auto"/>
        <w:ind w:left="0" w:firstLine="0"/>
        <w:jc w:val="both"/>
        <w:rPr>
          <w:rFonts w:ascii="Times New Roman" w:hAnsi="Times New Roman" w:cs="Times New Roman"/>
          <w:color w:val="000000" w:themeColor="text1"/>
        </w:rPr>
      </w:pPr>
      <w:r w:rsidRPr="00BC7BB5">
        <w:rPr>
          <w:rFonts w:ascii="Times New Roman" w:hAnsi="Times New Roman" w:cs="Times New Roman"/>
          <w:b/>
          <w:color w:val="000000" w:themeColor="text1"/>
        </w:rPr>
        <w:t>Planning and budgeting</w:t>
      </w:r>
      <w:r w:rsidRPr="00BC7BB5">
        <w:rPr>
          <w:rFonts w:ascii="Times New Roman" w:hAnsi="Times New Roman" w:cs="Times New Roman"/>
          <w:color w:val="000000" w:themeColor="text1"/>
        </w:rPr>
        <w:t xml:space="preserve">. </w:t>
      </w:r>
      <w:r w:rsidRPr="00BC7BB5">
        <w:rPr>
          <w:rFonts w:ascii="Times New Roman" w:hAnsi="Times New Roman" w:cs="Times New Roman"/>
        </w:rPr>
        <w:t xml:space="preserve">The Program supports the objectives of the Plan Maroc Vert, the Government’s medium-term sector strategy for agriculture and rural development. </w:t>
      </w:r>
      <w:r w:rsidRPr="00BC7BB5">
        <w:rPr>
          <w:rFonts w:ascii="Times New Roman" w:hAnsi="Times New Roman" w:cs="Times New Roman"/>
          <w:color w:val="000000" w:themeColor="text1"/>
        </w:rPr>
        <w:t xml:space="preserve">The PMV amounts to </w:t>
      </w:r>
      <w:r w:rsidR="00A97C35" w:rsidRPr="00BC7BB5">
        <w:rPr>
          <w:rFonts w:ascii="Times New Roman" w:hAnsi="Times New Roman" w:cs="Times New Roman"/>
          <w:color w:val="000000" w:themeColor="text1"/>
        </w:rPr>
        <w:t xml:space="preserve">6.6 </w:t>
      </w:r>
      <w:r w:rsidRPr="00BC7BB5">
        <w:rPr>
          <w:rFonts w:ascii="Times New Roman" w:hAnsi="Times New Roman" w:cs="Times New Roman"/>
          <w:color w:val="000000" w:themeColor="text1"/>
        </w:rPr>
        <w:t>billion dollars for the period from 20</w:t>
      </w:r>
      <w:r w:rsidR="00A97C35" w:rsidRPr="00BC7BB5">
        <w:rPr>
          <w:rFonts w:ascii="Times New Roman" w:hAnsi="Times New Roman" w:cs="Times New Roman"/>
          <w:color w:val="000000" w:themeColor="text1"/>
        </w:rPr>
        <w:t>0</w:t>
      </w:r>
      <w:r w:rsidRPr="00BC7BB5">
        <w:rPr>
          <w:rFonts w:ascii="Times New Roman" w:hAnsi="Times New Roman" w:cs="Times New Roman"/>
          <w:color w:val="000000" w:themeColor="text1"/>
        </w:rPr>
        <w:t xml:space="preserve">8 to 2021, including US$200 million that will be funded by the Program. The Program will be implemented mainly by </w:t>
      </w:r>
      <w:r w:rsidR="00A97C35" w:rsidRPr="00BC7BB5">
        <w:rPr>
          <w:rFonts w:ascii="Times New Roman" w:hAnsi="Times New Roman" w:cs="Times New Roman"/>
          <w:color w:val="000000" w:themeColor="text1"/>
        </w:rPr>
        <w:t xml:space="preserve">three entities with fiduciary responsibilities, </w:t>
      </w:r>
      <w:r w:rsidRPr="00BC7BB5">
        <w:rPr>
          <w:rFonts w:ascii="Times New Roman" w:hAnsi="Times New Roman" w:cs="Times New Roman"/>
          <w:color w:val="000000" w:themeColor="text1"/>
        </w:rPr>
        <w:t xml:space="preserve">MAPMDREF, ONSSA </w:t>
      </w:r>
      <w:r w:rsidR="00A97C35" w:rsidRPr="00BC7BB5">
        <w:rPr>
          <w:rFonts w:ascii="Times New Roman" w:hAnsi="Times New Roman" w:cs="Times New Roman"/>
          <w:color w:val="000000" w:themeColor="text1"/>
        </w:rPr>
        <w:t xml:space="preserve">and Rabat </w:t>
      </w:r>
      <w:r w:rsidR="003D5D39">
        <w:rPr>
          <w:rFonts w:ascii="Times New Roman" w:hAnsi="Times New Roman" w:cs="Times New Roman"/>
          <w:color w:val="000000" w:themeColor="text1"/>
        </w:rPr>
        <w:t xml:space="preserve">Région </w:t>
      </w:r>
      <w:r w:rsidR="00A97C35" w:rsidRPr="00BC7BB5">
        <w:rPr>
          <w:rFonts w:ascii="Times New Roman" w:hAnsi="Times New Roman" w:cs="Times New Roman"/>
          <w:color w:val="000000" w:themeColor="text1"/>
        </w:rPr>
        <w:t>Aménagement</w:t>
      </w:r>
      <w:r w:rsidRPr="00BC7BB5">
        <w:rPr>
          <w:rFonts w:ascii="Times New Roman" w:hAnsi="Times New Roman" w:cs="Times New Roman"/>
          <w:color w:val="000000" w:themeColor="text1"/>
        </w:rPr>
        <w:t xml:space="preserve">. </w:t>
      </w:r>
      <w:r w:rsidRPr="00BC7BB5">
        <w:rPr>
          <w:rFonts w:ascii="Times New Roman" w:hAnsi="Times New Roman" w:cs="Times New Roman"/>
          <w:color w:val="000000" w:themeColor="text1"/>
          <w:lang w:eastAsia="fr-FR"/>
        </w:rPr>
        <w:t>The assessment of the planning and budgeting processes in effect at the level of each entity of the Program is as follows.</w:t>
      </w:r>
    </w:p>
    <w:p w14:paraId="29F16985" w14:textId="77777777" w:rsidR="00AD73DF" w:rsidRPr="00BC7BB5" w:rsidRDefault="00AD73DF" w:rsidP="00AD73DF">
      <w:pPr>
        <w:spacing w:after="0" w:line="240" w:lineRule="auto"/>
        <w:ind w:left="720"/>
        <w:jc w:val="both"/>
        <w:rPr>
          <w:rFonts w:ascii="Times New Roman" w:hAnsi="Times New Roman" w:cs="Times New Roman"/>
          <w:color w:val="000000" w:themeColor="text1"/>
        </w:rPr>
      </w:pPr>
    </w:p>
    <w:p w14:paraId="4A30B33B" w14:textId="1B0BF2B1" w:rsidR="00AD7B8F" w:rsidRPr="00BC7BB5" w:rsidRDefault="00AD7B8F" w:rsidP="00422BC8">
      <w:pPr>
        <w:pStyle w:val="ListParagraph"/>
        <w:numPr>
          <w:ilvl w:val="0"/>
          <w:numId w:val="12"/>
        </w:numPr>
        <w:spacing w:after="0" w:line="240" w:lineRule="auto"/>
        <w:jc w:val="both"/>
        <w:rPr>
          <w:rFonts w:ascii="Times New Roman" w:hAnsi="Times New Roman" w:cs="Times New Roman"/>
          <w:color w:val="000000" w:themeColor="text1"/>
        </w:rPr>
      </w:pPr>
      <w:r w:rsidRPr="00BC7BB5">
        <w:rPr>
          <w:rFonts w:ascii="Times New Roman" w:hAnsi="Times New Roman" w:cs="Times New Roman"/>
          <w:i/>
          <w:color w:val="000000" w:themeColor="text1"/>
        </w:rPr>
        <w:t>MAPMDREF</w:t>
      </w:r>
      <w:r w:rsidRPr="00BC7BB5">
        <w:rPr>
          <w:rFonts w:ascii="Times New Roman" w:hAnsi="Times New Roman" w:cs="Times New Roman"/>
          <w:color w:val="000000" w:themeColor="text1"/>
        </w:rPr>
        <w:t xml:space="preserve">. The planning and budgeting processes at MAPMDREF are deemed adequate thanks to an important level of efforts of consolidation of the number of entities involved, which affects efficiency. Those efforts include: (i) the enforcement of the medium expenditure framework, (ii) the consultations with the technical directorates from the decentralized to the central levels, and related agencies including the Ministry of Economy and Finance (MEF), (iii) the elaboration of an annual performance report in line with the program budgeting approach promoted by the new PFM Organic Act, and (iv) the timely availability of the budget appropriations. However, the system suffers from some deficiencies mainly due to the </w:t>
      </w:r>
      <w:r w:rsidR="008B72BC">
        <w:rPr>
          <w:rFonts w:ascii="Times New Roman" w:hAnsi="Times New Roman" w:cs="Times New Roman"/>
          <w:color w:val="000000" w:themeColor="text1"/>
        </w:rPr>
        <w:t>large</w:t>
      </w:r>
      <w:r w:rsidR="008B72BC" w:rsidRPr="00BC7BB5">
        <w:rPr>
          <w:rFonts w:ascii="Times New Roman" w:hAnsi="Times New Roman" w:cs="Times New Roman"/>
          <w:color w:val="000000" w:themeColor="text1"/>
        </w:rPr>
        <w:t xml:space="preserve"> </w:t>
      </w:r>
      <w:r w:rsidRPr="00BC7BB5">
        <w:rPr>
          <w:rFonts w:ascii="Times New Roman" w:hAnsi="Times New Roman" w:cs="Times New Roman"/>
          <w:color w:val="000000" w:themeColor="text1"/>
        </w:rPr>
        <w:t xml:space="preserve">number of </w:t>
      </w:r>
      <w:r w:rsidRPr="00BC7BB5">
        <w:rPr>
          <w:rFonts w:ascii="Times New Roman" w:hAnsi="Times New Roman" w:cs="Times New Roman"/>
        </w:rPr>
        <w:t xml:space="preserve">provincial directorates and other relevant agencies under the supervision of the MAPMDREF’s financial directorate. This implies intense manual tasks during the budget preparation, increasing the risk of mistake. To address this risk and increase efficiency in the budget preparation process, MAPMDREF is planning to procure and deploy an integrated management system for a total amount of US$4 million. The development of the various modules (planning, programming, procurement, and execution) is expected to be completed in 18 months. This major initiative would </w:t>
      </w:r>
      <w:r w:rsidRPr="00BC7BB5">
        <w:rPr>
          <w:rFonts w:ascii="Times New Roman" w:hAnsi="Times New Roman" w:cs="Times New Roman"/>
        </w:rPr>
        <w:lastRenderedPageBreak/>
        <w:t>also increase the efficiency in the oversight of the MAPMDREF’s work program and accountability and it would be reflected in the Program’s result matrix and/or Program Action Plan (PAP). Change management associated with this initiative will need to be taken into account and managed with due care. In addition, like for all information management systems, the risk of slippages will need to be properly managed in addition to the interface with the existing systems.</w:t>
      </w:r>
    </w:p>
    <w:p w14:paraId="4958C802" w14:textId="77777777" w:rsidR="00AD7B8F" w:rsidRPr="00BC7BB5" w:rsidRDefault="00AD7B8F" w:rsidP="00417CD0">
      <w:pPr>
        <w:pStyle w:val="ListParagraph"/>
        <w:spacing w:after="0" w:line="240" w:lineRule="auto"/>
        <w:jc w:val="both"/>
        <w:rPr>
          <w:rFonts w:ascii="Times New Roman" w:hAnsi="Times New Roman" w:cs="Times New Roman"/>
          <w:color w:val="000000" w:themeColor="text1"/>
        </w:rPr>
      </w:pPr>
    </w:p>
    <w:p w14:paraId="6DFDCBF1" w14:textId="717535E1" w:rsidR="00AD7B8F" w:rsidRPr="00BC7BB5" w:rsidRDefault="00AD7B8F" w:rsidP="00422BC8">
      <w:pPr>
        <w:pStyle w:val="ListParagraph"/>
        <w:numPr>
          <w:ilvl w:val="0"/>
          <w:numId w:val="12"/>
        </w:numPr>
        <w:spacing w:after="0" w:line="240" w:lineRule="auto"/>
        <w:jc w:val="both"/>
        <w:rPr>
          <w:rFonts w:ascii="Times New Roman" w:hAnsi="Times New Roman" w:cs="Times New Roman"/>
          <w:color w:val="000000" w:themeColor="text1"/>
        </w:rPr>
      </w:pPr>
      <w:r w:rsidRPr="00BC7BB5">
        <w:rPr>
          <w:rFonts w:ascii="Times New Roman" w:hAnsi="Times New Roman" w:cs="Times New Roman"/>
          <w:i/>
          <w:color w:val="000000" w:themeColor="text1"/>
        </w:rPr>
        <w:t>ONSSA</w:t>
      </w:r>
      <w:r w:rsidRPr="00BC7BB5">
        <w:rPr>
          <w:rFonts w:ascii="Times New Roman" w:hAnsi="Times New Roman" w:cs="Times New Roman"/>
          <w:color w:val="000000" w:themeColor="text1"/>
        </w:rPr>
        <w:t>. The planning and budgeting processes at the level of ONSSA are drawn from the national PFM regulation governing the parastatals and further developed in the recently updated manual of procedures. Those rules require</w:t>
      </w:r>
      <w:r w:rsidR="00DA13FB">
        <w:rPr>
          <w:rFonts w:ascii="Times New Roman" w:hAnsi="Times New Roman" w:cs="Times New Roman"/>
          <w:color w:val="000000" w:themeColor="text1"/>
        </w:rPr>
        <w:t>:</w:t>
      </w:r>
      <w:r w:rsidRPr="00BC7BB5">
        <w:rPr>
          <w:rFonts w:ascii="Times New Roman" w:hAnsi="Times New Roman" w:cs="Times New Roman"/>
          <w:color w:val="000000" w:themeColor="text1"/>
        </w:rPr>
        <w:t xml:space="preserve"> (i) the elaboration of the budget following consultations with the technical services (within the ceiling included in the </w:t>
      </w:r>
      <w:r w:rsidR="000A2644" w:rsidRPr="00BC7BB5">
        <w:rPr>
          <w:rFonts w:ascii="Times New Roman" w:hAnsi="Times New Roman" w:cs="Times New Roman"/>
          <w:color w:val="000000" w:themeColor="text1"/>
        </w:rPr>
        <w:t>medium-term</w:t>
      </w:r>
      <w:r w:rsidRPr="00BC7BB5">
        <w:rPr>
          <w:rFonts w:ascii="Times New Roman" w:hAnsi="Times New Roman" w:cs="Times New Roman"/>
          <w:color w:val="000000" w:themeColor="text1"/>
        </w:rPr>
        <w:t xml:space="preserve"> expenditure framework), (ii) the approval by the Board of Directors before the end of the fiscal year, (iii) and then validation by MAPMDREF. Overall, over the past years, the predictability of ONSSA’s budget has been strong. The budget approved by the Board has been fully validated by MAPMDREF and made available for its execution in a timely manner. In addition, the existing procedures have provided sufficient flexibilities (modifications/adjustments) with regard to the emergency situations that ONSSA may face in case of food safety crises in the agriculture sector.</w:t>
      </w:r>
    </w:p>
    <w:p w14:paraId="3C85C6E0" w14:textId="77777777" w:rsidR="00AD7B8F" w:rsidRPr="00BC7BB5" w:rsidRDefault="00AD7B8F" w:rsidP="00417CD0">
      <w:pPr>
        <w:pStyle w:val="ListParagraph"/>
        <w:spacing w:after="0" w:line="240" w:lineRule="auto"/>
        <w:rPr>
          <w:rFonts w:ascii="Times New Roman" w:hAnsi="Times New Roman" w:cs="Times New Roman"/>
          <w:color w:val="000000" w:themeColor="text1"/>
        </w:rPr>
      </w:pPr>
    </w:p>
    <w:p w14:paraId="732B4F9F" w14:textId="06760700" w:rsidR="00AD7B8F" w:rsidRPr="00BC7BB5" w:rsidRDefault="00AD7B8F" w:rsidP="00422BC8">
      <w:pPr>
        <w:pStyle w:val="ListParagraph"/>
        <w:numPr>
          <w:ilvl w:val="0"/>
          <w:numId w:val="12"/>
        </w:numPr>
        <w:spacing w:after="0" w:line="240" w:lineRule="auto"/>
        <w:jc w:val="both"/>
        <w:rPr>
          <w:rFonts w:ascii="Times New Roman" w:hAnsi="Times New Roman" w:cs="Times New Roman"/>
        </w:rPr>
      </w:pPr>
      <w:r w:rsidRPr="00BC7BB5">
        <w:rPr>
          <w:rFonts w:ascii="Times New Roman" w:hAnsi="Times New Roman" w:cs="Times New Roman"/>
          <w:i/>
          <w:color w:val="000000" w:themeColor="text1"/>
        </w:rPr>
        <w:t xml:space="preserve">Rabat </w:t>
      </w:r>
      <w:r w:rsidR="00E2113C">
        <w:rPr>
          <w:rFonts w:ascii="Times New Roman" w:hAnsi="Times New Roman" w:cs="Times New Roman"/>
          <w:i/>
          <w:color w:val="000000" w:themeColor="text1"/>
        </w:rPr>
        <w:t xml:space="preserve">Région </w:t>
      </w:r>
      <w:r w:rsidRPr="00BC7BB5">
        <w:rPr>
          <w:rFonts w:ascii="Times New Roman" w:hAnsi="Times New Roman" w:cs="Times New Roman"/>
          <w:i/>
          <w:color w:val="000000" w:themeColor="text1"/>
        </w:rPr>
        <w:t>Aménagement</w:t>
      </w:r>
      <w:r w:rsidRPr="00BC7BB5">
        <w:rPr>
          <w:rFonts w:ascii="Times New Roman" w:hAnsi="Times New Roman" w:cs="Times New Roman"/>
          <w:color w:val="000000" w:themeColor="text1"/>
        </w:rPr>
        <w:t xml:space="preserve">. The planning and budgeting processes are drawn from the private sector as the entity is a limited liability company with public capital (SDLs). Those rules require the elaboration of a budget for the following year well in advance to allow its approval by </w:t>
      </w:r>
      <w:r w:rsidR="008B72BC">
        <w:rPr>
          <w:rFonts w:ascii="Times New Roman" w:hAnsi="Times New Roman" w:cs="Times New Roman"/>
          <w:color w:val="000000" w:themeColor="text1"/>
        </w:rPr>
        <w:t>its</w:t>
      </w:r>
      <w:r w:rsidRPr="00BC7BB5">
        <w:rPr>
          <w:rFonts w:ascii="Times New Roman" w:hAnsi="Times New Roman" w:cs="Times New Roman"/>
          <w:color w:val="000000" w:themeColor="text1"/>
        </w:rPr>
        <w:t xml:space="preserve"> Board of Directors in November</w:t>
      </w:r>
      <w:r w:rsidR="008B72BC">
        <w:rPr>
          <w:rFonts w:ascii="Times New Roman" w:hAnsi="Times New Roman" w:cs="Times New Roman"/>
          <w:color w:val="000000" w:themeColor="text1"/>
        </w:rPr>
        <w:t xml:space="preserve"> of each year</w:t>
      </w:r>
      <w:r w:rsidRPr="00BC7BB5">
        <w:rPr>
          <w:rFonts w:ascii="Times New Roman" w:hAnsi="Times New Roman" w:cs="Times New Roman"/>
          <w:color w:val="000000" w:themeColor="text1"/>
        </w:rPr>
        <w:t xml:space="preserve">. </w:t>
      </w:r>
      <w:r w:rsidRPr="00BC7BB5">
        <w:rPr>
          <w:rFonts w:ascii="Times New Roman" w:hAnsi="Times New Roman" w:cs="Times New Roman"/>
        </w:rPr>
        <w:t>In addition, there is a multi-annual budgetary programming which is included in the Memorandum of Understanding (MoU</w:t>
      </w:r>
      <w:r w:rsidR="006A7513" w:rsidRPr="00BC7BB5">
        <w:rPr>
          <w:rFonts w:ascii="Times New Roman" w:hAnsi="Times New Roman" w:cs="Times New Roman"/>
        </w:rPr>
        <w:fldChar w:fldCharType="begin"/>
      </w:r>
      <w:r w:rsidR="006A7513" w:rsidRPr="00BC7BB5">
        <w:instrText xml:space="preserve"> XE "</w:instrText>
      </w:r>
      <w:r w:rsidR="006A7513" w:rsidRPr="00BC7BB5">
        <w:rPr>
          <w:rFonts w:ascii="Times New Roman" w:hAnsi="Times New Roman" w:cs="Times New Roman"/>
        </w:rPr>
        <w:instrText>MoU:</w:instrText>
      </w:r>
      <w:r w:rsidR="006A7513" w:rsidRPr="00BC7BB5">
        <w:instrText xml:space="preserve">Memorandum of Understanding" </w:instrText>
      </w:r>
      <w:r w:rsidR="006A7513" w:rsidRPr="00BC7BB5">
        <w:rPr>
          <w:rFonts w:ascii="Times New Roman" w:hAnsi="Times New Roman" w:cs="Times New Roman"/>
        </w:rPr>
        <w:fldChar w:fldCharType="end"/>
      </w:r>
      <w:r w:rsidRPr="00BC7BB5">
        <w:rPr>
          <w:rFonts w:ascii="Times New Roman" w:hAnsi="Times New Roman" w:cs="Times New Roman"/>
        </w:rPr>
        <w:t xml:space="preserve">) signed with the beneficiaries and approved annually by the Rabat </w:t>
      </w:r>
      <w:r w:rsidR="00E2113C">
        <w:rPr>
          <w:rFonts w:ascii="Times New Roman" w:hAnsi="Times New Roman" w:cs="Times New Roman"/>
        </w:rPr>
        <w:t xml:space="preserve">Région </w:t>
      </w:r>
      <w:r w:rsidRPr="00BC7BB5">
        <w:rPr>
          <w:rFonts w:ascii="Times New Roman" w:hAnsi="Times New Roman" w:cs="Times New Roman"/>
        </w:rPr>
        <w:t xml:space="preserve">Aménagement’s Board. Some MoUs have a six-year timeframe and represent the basis for the planning and budgeting processes. A periodic evaluation of MoU is agreed with the beneficiaries to take stock of progress. </w:t>
      </w:r>
    </w:p>
    <w:p w14:paraId="5F9A7534" w14:textId="77777777" w:rsidR="00AD7B8F" w:rsidRPr="00BC7BB5" w:rsidRDefault="00AD7B8F" w:rsidP="00417CD0">
      <w:pPr>
        <w:pStyle w:val="ListParagraph"/>
        <w:spacing w:after="0" w:line="240" w:lineRule="auto"/>
        <w:ind w:left="0"/>
        <w:jc w:val="both"/>
        <w:rPr>
          <w:rFonts w:ascii="Times New Roman" w:hAnsi="Times New Roman" w:cs="Times New Roman"/>
          <w:color w:val="000000" w:themeColor="text1"/>
        </w:rPr>
      </w:pPr>
    </w:p>
    <w:p w14:paraId="438F4234" w14:textId="22DF34DF" w:rsidR="00AD7B8F" w:rsidRPr="00BC7BB5" w:rsidRDefault="00AD7B8F" w:rsidP="00422BC8">
      <w:pPr>
        <w:pStyle w:val="ListParagraph"/>
        <w:numPr>
          <w:ilvl w:val="0"/>
          <w:numId w:val="15"/>
        </w:numPr>
        <w:autoSpaceDE w:val="0"/>
        <w:autoSpaceDN w:val="0"/>
        <w:adjustRightInd w:val="0"/>
        <w:spacing w:after="0" w:line="240" w:lineRule="auto"/>
        <w:ind w:left="0" w:firstLine="0"/>
        <w:jc w:val="both"/>
        <w:rPr>
          <w:rFonts w:ascii="Times New Roman" w:hAnsi="Times New Roman" w:cs="Times New Roman"/>
          <w:color w:val="000000" w:themeColor="text1"/>
        </w:rPr>
      </w:pPr>
      <w:r w:rsidRPr="00BC7BB5">
        <w:rPr>
          <w:rFonts w:ascii="Times New Roman" w:hAnsi="Times New Roman" w:cs="Times New Roman"/>
          <w:color w:val="000000" w:themeColor="text1"/>
        </w:rPr>
        <w:t xml:space="preserve">The Program will follow the planning and budgeting processes of MAPMDREF, ONSSA and Rabat </w:t>
      </w:r>
      <w:r w:rsidR="00E2113C">
        <w:rPr>
          <w:rFonts w:ascii="Times New Roman" w:hAnsi="Times New Roman" w:cs="Times New Roman"/>
          <w:color w:val="000000" w:themeColor="text1"/>
        </w:rPr>
        <w:t xml:space="preserve">Région </w:t>
      </w:r>
      <w:r w:rsidRPr="00BC7BB5">
        <w:rPr>
          <w:rFonts w:ascii="Times New Roman" w:hAnsi="Times New Roman" w:cs="Times New Roman"/>
          <w:color w:val="000000" w:themeColor="text1"/>
        </w:rPr>
        <w:t xml:space="preserve">Aménagement which are found appropriate. However, to increase efficiency in the Program planning and budgeting processes, the deployment of the integrated financial management information system under development by MAPMDREF will be key. </w:t>
      </w:r>
      <w:r w:rsidRPr="00BC7BB5">
        <w:rPr>
          <w:rFonts w:ascii="Times New Roman" w:hAnsi="Times New Roman" w:cs="Times New Roman"/>
          <w:color w:val="000000" w:themeColor="text1"/>
          <w:lang w:eastAsia="fr-FR"/>
        </w:rPr>
        <w:t xml:space="preserve">To this end, this important activity </w:t>
      </w:r>
      <w:r w:rsidR="00DA13FB">
        <w:rPr>
          <w:rFonts w:ascii="Times New Roman" w:hAnsi="Times New Roman" w:cs="Times New Roman"/>
          <w:color w:val="000000" w:themeColor="text1"/>
          <w:lang w:eastAsia="fr-FR"/>
        </w:rPr>
        <w:t>is</w:t>
      </w:r>
      <w:r w:rsidRPr="00BC7BB5">
        <w:rPr>
          <w:rFonts w:ascii="Times New Roman" w:hAnsi="Times New Roman" w:cs="Times New Roman"/>
          <w:color w:val="000000" w:themeColor="text1"/>
          <w:lang w:eastAsia="fr-FR"/>
        </w:rPr>
        <w:t xml:space="preserve"> reflected in the Program’s </w:t>
      </w:r>
      <w:r w:rsidR="00DA13FB">
        <w:rPr>
          <w:rFonts w:ascii="Times New Roman" w:hAnsi="Times New Roman" w:cs="Times New Roman"/>
          <w:color w:val="000000" w:themeColor="text1"/>
          <w:lang w:eastAsia="fr-FR"/>
        </w:rPr>
        <w:t>DLIs</w:t>
      </w:r>
      <w:r w:rsidRPr="00BC7BB5">
        <w:rPr>
          <w:rFonts w:ascii="Times New Roman" w:hAnsi="Times New Roman" w:cs="Times New Roman"/>
          <w:color w:val="000000" w:themeColor="text1"/>
          <w:lang w:eastAsia="fr-FR"/>
        </w:rPr>
        <w:t xml:space="preserve"> and Program Action Plan</w:t>
      </w:r>
      <w:r w:rsidRPr="00BC7BB5">
        <w:rPr>
          <w:rFonts w:ascii="Times New Roman" w:hAnsi="Times New Roman" w:cs="Times New Roman"/>
          <w:color w:val="000000" w:themeColor="text1"/>
        </w:rPr>
        <w:t xml:space="preserve">. </w:t>
      </w:r>
    </w:p>
    <w:p w14:paraId="69EB9776" w14:textId="77777777" w:rsidR="00AD7B8F" w:rsidRPr="00BC7BB5" w:rsidRDefault="00AD7B8F" w:rsidP="00417CD0">
      <w:pPr>
        <w:pStyle w:val="ListParagraph"/>
        <w:autoSpaceDE w:val="0"/>
        <w:autoSpaceDN w:val="0"/>
        <w:adjustRightInd w:val="0"/>
        <w:spacing w:after="0" w:line="240" w:lineRule="auto"/>
        <w:ind w:left="0"/>
        <w:jc w:val="both"/>
        <w:rPr>
          <w:rFonts w:ascii="Times New Roman" w:hAnsi="Times New Roman" w:cs="Times New Roman"/>
          <w:color w:val="000000" w:themeColor="text1"/>
        </w:rPr>
      </w:pPr>
    </w:p>
    <w:p w14:paraId="2B7D9E27" w14:textId="39FBC9A0" w:rsidR="00185B4F" w:rsidRPr="00BC7BB5" w:rsidRDefault="00185B4F" w:rsidP="00422BC8">
      <w:pPr>
        <w:pStyle w:val="ListParagraph"/>
        <w:numPr>
          <w:ilvl w:val="0"/>
          <w:numId w:val="15"/>
        </w:numPr>
        <w:autoSpaceDE w:val="0"/>
        <w:autoSpaceDN w:val="0"/>
        <w:adjustRightInd w:val="0"/>
        <w:spacing w:after="0" w:line="240" w:lineRule="auto"/>
        <w:ind w:left="0" w:firstLine="0"/>
        <w:jc w:val="both"/>
        <w:rPr>
          <w:rFonts w:ascii="Times New Roman" w:hAnsi="Times New Roman" w:cs="Times New Roman"/>
          <w:color w:val="000000" w:themeColor="text1"/>
        </w:rPr>
      </w:pPr>
      <w:r w:rsidRPr="00BC7BB5">
        <w:rPr>
          <w:rFonts w:ascii="Times New Roman" w:hAnsi="Times New Roman" w:cs="Times New Roman"/>
          <w:b/>
          <w:color w:val="000000" w:themeColor="text1"/>
        </w:rPr>
        <w:t>Procurement planning</w:t>
      </w:r>
      <w:r w:rsidRPr="00BC7BB5">
        <w:rPr>
          <w:rFonts w:ascii="Times New Roman" w:hAnsi="Times New Roman" w:cs="Times New Roman"/>
          <w:color w:val="000000" w:themeColor="text1"/>
        </w:rPr>
        <w:t>. Procurement planning and the publication of the plans are made mandatory by the public procurement decree (PPD</w:t>
      </w:r>
      <w:r w:rsidR="00A254D1">
        <w:rPr>
          <w:rFonts w:ascii="Times New Roman" w:hAnsi="Times New Roman" w:cs="Times New Roman"/>
          <w:color w:val="000000" w:themeColor="text1"/>
        </w:rPr>
        <w:fldChar w:fldCharType="begin"/>
      </w:r>
      <w:r w:rsidR="00A254D1">
        <w:instrText xml:space="preserve"> XE "</w:instrText>
      </w:r>
      <w:r w:rsidR="00A254D1" w:rsidRPr="00A36518">
        <w:rPr>
          <w:rFonts w:ascii="Times New Roman" w:hAnsi="Times New Roman" w:cs="Times New Roman"/>
          <w:color w:val="000000" w:themeColor="text1"/>
        </w:rPr>
        <w:instrText>PPD:</w:instrText>
      </w:r>
      <w:r w:rsidR="00A254D1" w:rsidRPr="00A36518">
        <w:instrText>public procurement decree</w:instrText>
      </w:r>
      <w:r w:rsidR="00A254D1">
        <w:instrText xml:space="preserve">" </w:instrText>
      </w:r>
      <w:r w:rsidR="00A254D1">
        <w:rPr>
          <w:rFonts w:ascii="Times New Roman" w:hAnsi="Times New Roman" w:cs="Times New Roman"/>
          <w:color w:val="000000" w:themeColor="text1"/>
        </w:rPr>
        <w:fldChar w:fldCharType="end"/>
      </w:r>
      <w:r w:rsidRPr="00BC7BB5">
        <w:rPr>
          <w:rFonts w:ascii="Times New Roman" w:hAnsi="Times New Roman" w:cs="Times New Roman"/>
          <w:color w:val="000000" w:themeColor="text1"/>
        </w:rPr>
        <w:t xml:space="preserve">). This apply to the implementing departments within MAPMDREF as well as to ONSSA and Rabat </w:t>
      </w:r>
      <w:r w:rsidR="00E2113C">
        <w:rPr>
          <w:rFonts w:ascii="Times New Roman" w:hAnsi="Times New Roman" w:cs="Times New Roman"/>
          <w:color w:val="000000" w:themeColor="text1"/>
        </w:rPr>
        <w:t xml:space="preserve">Région </w:t>
      </w:r>
      <w:r w:rsidRPr="00BC7BB5">
        <w:rPr>
          <w:rFonts w:ascii="Times New Roman" w:hAnsi="Times New Roman" w:cs="Times New Roman"/>
          <w:color w:val="000000" w:themeColor="text1"/>
        </w:rPr>
        <w:t>Aménagement. Each public procuring entity is required, according to the PPD, to publish its procurement plan which shall include all contracts planned for the fiscal year, under their budget. The publication should be done at least in two national newspapers (one in Arabic and one in foreign language) and on the procurement electronic portal, no later than the end of the first quarter of each fiscal year. This requirement fosters the access to information on procurement opportunities for all potential bidders. In practice, all the implementing entities are complying with this requirement.</w:t>
      </w:r>
    </w:p>
    <w:p w14:paraId="0D2919CF" w14:textId="77777777" w:rsidR="00185B4F" w:rsidRPr="00BC7BB5" w:rsidRDefault="00185B4F" w:rsidP="00185B4F">
      <w:pPr>
        <w:tabs>
          <w:tab w:val="left" w:pos="0"/>
        </w:tabs>
        <w:spacing w:after="0" w:line="240" w:lineRule="auto"/>
        <w:ind w:left="1277"/>
        <w:jc w:val="both"/>
        <w:rPr>
          <w:rFonts w:ascii="Times New Roman" w:eastAsia="MS Mincho" w:hAnsi="Times New Roman" w:cs="Times New Roman"/>
        </w:rPr>
      </w:pPr>
    </w:p>
    <w:p w14:paraId="7CCFD34B" w14:textId="26D5F34B" w:rsidR="00185B4F" w:rsidRPr="00BC7BB5" w:rsidRDefault="00185B4F" w:rsidP="00422BC8">
      <w:pPr>
        <w:pStyle w:val="ListParagraph"/>
        <w:numPr>
          <w:ilvl w:val="0"/>
          <w:numId w:val="15"/>
        </w:numPr>
        <w:autoSpaceDE w:val="0"/>
        <w:autoSpaceDN w:val="0"/>
        <w:adjustRightInd w:val="0"/>
        <w:spacing w:before="120" w:after="120" w:line="240" w:lineRule="auto"/>
        <w:ind w:left="0" w:firstLine="0"/>
        <w:contextualSpacing w:val="0"/>
        <w:jc w:val="both"/>
        <w:rPr>
          <w:rFonts w:ascii="Times New Roman" w:hAnsi="Times New Roman" w:cs="Times New Roman"/>
        </w:rPr>
      </w:pPr>
      <w:r w:rsidRPr="00BC7BB5">
        <w:rPr>
          <w:rFonts w:ascii="Times New Roman" w:hAnsi="Times New Roman" w:cs="Times New Roman"/>
          <w:b/>
          <w:color w:val="000000" w:themeColor="text1"/>
        </w:rPr>
        <w:t xml:space="preserve">Procurement profile of the Program. </w:t>
      </w:r>
      <w:r w:rsidRPr="00BC7BB5">
        <w:rPr>
          <w:rFonts w:ascii="Times New Roman" w:hAnsi="Times New Roman" w:cs="Times New Roman"/>
        </w:rPr>
        <w:t xml:space="preserve">Each of the implementing entities (MAPM, ONSSA and Rabat Aménagement) will handle part of the Program activities. ONSSA and Rabat </w:t>
      </w:r>
      <w:r w:rsidR="00CB60AB">
        <w:rPr>
          <w:rFonts w:ascii="Times New Roman" w:hAnsi="Times New Roman" w:cs="Times New Roman"/>
        </w:rPr>
        <w:t xml:space="preserve">Région </w:t>
      </w:r>
      <w:r w:rsidRPr="00BC7BB5">
        <w:rPr>
          <w:rFonts w:ascii="Times New Roman" w:hAnsi="Times New Roman" w:cs="Times New Roman"/>
        </w:rPr>
        <w:t xml:space="preserve">Aménagement will receive their allocated resources through transfers received from MAPMDREF. Procurement under the Program involves </w:t>
      </w:r>
      <w:r w:rsidR="00DA13FB">
        <w:rPr>
          <w:rFonts w:ascii="Times New Roman" w:hAnsi="Times New Roman" w:cs="Times New Roman"/>
        </w:rPr>
        <w:t>c</w:t>
      </w:r>
      <w:r w:rsidRPr="00BC7BB5">
        <w:rPr>
          <w:rFonts w:ascii="Times New Roman" w:hAnsi="Times New Roman" w:cs="Times New Roman"/>
        </w:rPr>
        <w:t xml:space="preserve">onsultant services, </w:t>
      </w:r>
      <w:r w:rsidR="00DA13FB">
        <w:rPr>
          <w:rFonts w:ascii="Times New Roman" w:hAnsi="Times New Roman" w:cs="Times New Roman"/>
        </w:rPr>
        <w:t>g</w:t>
      </w:r>
      <w:r w:rsidRPr="00BC7BB5">
        <w:rPr>
          <w:rFonts w:ascii="Times New Roman" w:hAnsi="Times New Roman" w:cs="Times New Roman"/>
        </w:rPr>
        <w:t xml:space="preserve">oods, </w:t>
      </w:r>
      <w:r w:rsidR="00DA13FB">
        <w:rPr>
          <w:rFonts w:ascii="Times New Roman" w:hAnsi="Times New Roman" w:cs="Times New Roman"/>
        </w:rPr>
        <w:t>w</w:t>
      </w:r>
      <w:r w:rsidRPr="00BC7BB5">
        <w:rPr>
          <w:rFonts w:ascii="Times New Roman" w:hAnsi="Times New Roman" w:cs="Times New Roman"/>
        </w:rPr>
        <w:t xml:space="preserve">orks and non-consulting </w:t>
      </w:r>
      <w:r w:rsidR="00E970FE" w:rsidRPr="00BC7BB5">
        <w:rPr>
          <w:rFonts w:ascii="Times New Roman" w:hAnsi="Times New Roman" w:cs="Times New Roman"/>
        </w:rPr>
        <w:t>s</w:t>
      </w:r>
      <w:r w:rsidRPr="00BC7BB5">
        <w:rPr>
          <w:rFonts w:ascii="Times New Roman" w:hAnsi="Times New Roman" w:cs="Times New Roman"/>
        </w:rPr>
        <w:t xml:space="preserve">ervices to support the implementation of activities included in the two result areas, including: technical assistance, design and implementation of industry-specific training and qualification programs, design, establishment and operation of two Agri-Food Innovation Centers (CIA), construction of a new wholesale market, </w:t>
      </w:r>
      <w:r w:rsidRPr="00BC7BB5">
        <w:rPr>
          <w:rFonts w:ascii="Times New Roman" w:hAnsi="Times New Roman" w:cs="Times New Roman"/>
        </w:rPr>
        <w:lastRenderedPageBreak/>
        <w:t>communication campaigns, modernization of MAPMDREF’s existing Asaar market information platform, etc.</w:t>
      </w:r>
    </w:p>
    <w:p w14:paraId="43EC32F5" w14:textId="25EBDF9B" w:rsidR="00185B4F" w:rsidRPr="00BC7BB5" w:rsidRDefault="00DA13FB" w:rsidP="00422BC8">
      <w:pPr>
        <w:pStyle w:val="ListParagraph"/>
        <w:numPr>
          <w:ilvl w:val="0"/>
          <w:numId w:val="15"/>
        </w:numPr>
        <w:autoSpaceDE w:val="0"/>
        <w:autoSpaceDN w:val="0"/>
        <w:adjustRightInd w:val="0"/>
        <w:spacing w:before="120" w:after="120" w:line="240" w:lineRule="auto"/>
        <w:ind w:left="0" w:firstLine="0"/>
        <w:contextualSpacing w:val="0"/>
        <w:jc w:val="both"/>
        <w:rPr>
          <w:rFonts w:ascii="Times New Roman" w:hAnsi="Times New Roman" w:cs="Times New Roman"/>
        </w:rPr>
      </w:pPr>
      <w:r w:rsidRPr="00BC7BB5">
        <w:rPr>
          <w:rFonts w:ascii="Times New Roman" w:hAnsi="Times New Roman" w:cs="Times New Roman"/>
        </w:rPr>
        <w:t>Th</w:t>
      </w:r>
      <w:r>
        <w:rPr>
          <w:rFonts w:ascii="Times New Roman" w:hAnsi="Times New Roman" w:cs="Times New Roman"/>
        </w:rPr>
        <w:t>e</w:t>
      </w:r>
      <w:r w:rsidRPr="00BC7BB5">
        <w:rPr>
          <w:rFonts w:ascii="Times New Roman" w:hAnsi="Times New Roman" w:cs="Times New Roman"/>
        </w:rPr>
        <w:t xml:space="preserve">se </w:t>
      </w:r>
      <w:r>
        <w:rPr>
          <w:rFonts w:ascii="Times New Roman" w:hAnsi="Times New Roman" w:cs="Times New Roman"/>
        </w:rPr>
        <w:t>c</w:t>
      </w:r>
      <w:r w:rsidR="00185B4F" w:rsidRPr="00BC7BB5">
        <w:rPr>
          <w:rFonts w:ascii="Times New Roman" w:hAnsi="Times New Roman" w:cs="Times New Roman"/>
        </w:rPr>
        <w:t xml:space="preserve">onsultant services, </w:t>
      </w:r>
      <w:r>
        <w:rPr>
          <w:rFonts w:ascii="Times New Roman" w:hAnsi="Times New Roman" w:cs="Times New Roman"/>
        </w:rPr>
        <w:t>g</w:t>
      </w:r>
      <w:r w:rsidR="00185B4F" w:rsidRPr="00BC7BB5">
        <w:rPr>
          <w:rFonts w:ascii="Times New Roman" w:hAnsi="Times New Roman" w:cs="Times New Roman"/>
        </w:rPr>
        <w:t xml:space="preserve">oods, </w:t>
      </w:r>
      <w:r>
        <w:rPr>
          <w:rFonts w:ascii="Times New Roman" w:hAnsi="Times New Roman" w:cs="Times New Roman"/>
        </w:rPr>
        <w:t>w</w:t>
      </w:r>
      <w:r w:rsidR="00185B4F" w:rsidRPr="00BC7BB5">
        <w:rPr>
          <w:rFonts w:ascii="Times New Roman" w:hAnsi="Times New Roman" w:cs="Times New Roman"/>
        </w:rPr>
        <w:t xml:space="preserve">orks and non-consulting services are not expected to have a significant adverse impact on the environment and/or affected people, as defined in the </w:t>
      </w:r>
      <w:r>
        <w:rPr>
          <w:rFonts w:ascii="Times New Roman" w:hAnsi="Times New Roman" w:cs="Times New Roman"/>
        </w:rPr>
        <w:t xml:space="preserve">World Bank’s </w:t>
      </w:r>
      <w:r w:rsidR="00185B4F" w:rsidRPr="00BC7BB5">
        <w:rPr>
          <w:rFonts w:ascii="Times New Roman" w:hAnsi="Times New Roman" w:cs="Times New Roman"/>
        </w:rPr>
        <w:t xml:space="preserve">Policy and Directive on </w:t>
      </w:r>
      <w:r>
        <w:rPr>
          <w:rFonts w:ascii="Times New Roman" w:hAnsi="Times New Roman" w:cs="Times New Roman"/>
        </w:rPr>
        <w:t>PforR</w:t>
      </w:r>
      <w:r w:rsidRPr="00BC7BB5">
        <w:rPr>
          <w:rFonts w:ascii="Times New Roman" w:hAnsi="Times New Roman" w:cs="Times New Roman"/>
        </w:rPr>
        <w:t xml:space="preserve"> </w:t>
      </w:r>
      <w:r w:rsidR="00185B4F" w:rsidRPr="00BC7BB5">
        <w:rPr>
          <w:rFonts w:ascii="Times New Roman" w:hAnsi="Times New Roman" w:cs="Times New Roman"/>
        </w:rPr>
        <w:t>Financing, and the resulting contracts are below the Operations Procurement Review Committee (OPRC</w:t>
      </w:r>
      <w:r w:rsidR="00A254D1">
        <w:rPr>
          <w:rFonts w:ascii="Times New Roman" w:hAnsi="Times New Roman" w:cs="Times New Roman"/>
        </w:rPr>
        <w:fldChar w:fldCharType="begin"/>
      </w:r>
      <w:r w:rsidR="00A254D1">
        <w:instrText xml:space="preserve"> XE "</w:instrText>
      </w:r>
      <w:r w:rsidR="00A254D1" w:rsidRPr="008E747B">
        <w:rPr>
          <w:rFonts w:ascii="Times New Roman" w:hAnsi="Times New Roman" w:cs="Times New Roman"/>
        </w:rPr>
        <w:instrText>OPRC:</w:instrText>
      </w:r>
      <w:r w:rsidR="00A254D1" w:rsidRPr="008E747B">
        <w:instrText>Operations Procurement Review Committee</w:instrText>
      </w:r>
      <w:r w:rsidR="00A254D1">
        <w:instrText xml:space="preserve">" </w:instrText>
      </w:r>
      <w:r w:rsidR="00A254D1">
        <w:rPr>
          <w:rFonts w:ascii="Times New Roman" w:hAnsi="Times New Roman" w:cs="Times New Roman"/>
        </w:rPr>
        <w:fldChar w:fldCharType="end"/>
      </w:r>
      <w:r w:rsidR="00185B4F" w:rsidRPr="00BC7BB5">
        <w:rPr>
          <w:rFonts w:ascii="Times New Roman" w:hAnsi="Times New Roman" w:cs="Times New Roman"/>
        </w:rPr>
        <w:t xml:space="preserve">) thresholds (high risk activities). During the implementation, the Bank will screen Program execution to ensure that no high-risk activity is included in the Program and there is compliance with the </w:t>
      </w:r>
      <w:r>
        <w:rPr>
          <w:rFonts w:ascii="Times New Roman" w:hAnsi="Times New Roman" w:cs="Times New Roman"/>
        </w:rPr>
        <w:t>PforR</w:t>
      </w:r>
      <w:r w:rsidRPr="00BC7BB5">
        <w:rPr>
          <w:rFonts w:ascii="Times New Roman" w:hAnsi="Times New Roman" w:cs="Times New Roman"/>
        </w:rPr>
        <w:t xml:space="preserve"> </w:t>
      </w:r>
      <w:r w:rsidR="00185B4F" w:rsidRPr="00BC7BB5">
        <w:rPr>
          <w:rFonts w:ascii="Times New Roman" w:hAnsi="Times New Roman" w:cs="Times New Roman"/>
        </w:rPr>
        <w:t>policy requirements.</w:t>
      </w:r>
    </w:p>
    <w:p w14:paraId="3FDB1D4E" w14:textId="77777777" w:rsidR="00AD7B8F" w:rsidRPr="00BC7BB5" w:rsidRDefault="00AD7B8F" w:rsidP="00417CD0">
      <w:pPr>
        <w:pStyle w:val="ListParagraph"/>
        <w:spacing w:after="0" w:line="240" w:lineRule="auto"/>
        <w:rPr>
          <w:rFonts w:ascii="Times New Roman" w:hAnsi="Times New Roman" w:cs="Times New Roman"/>
          <w:b/>
          <w:color w:val="000000" w:themeColor="text1"/>
        </w:rPr>
      </w:pPr>
    </w:p>
    <w:p w14:paraId="54000995" w14:textId="77777777" w:rsidR="00AD7B8F" w:rsidRPr="00BC7BB5" w:rsidRDefault="00AD7B8F" w:rsidP="00422BC8">
      <w:pPr>
        <w:pStyle w:val="ListParagraph"/>
        <w:numPr>
          <w:ilvl w:val="0"/>
          <w:numId w:val="15"/>
        </w:numPr>
        <w:autoSpaceDE w:val="0"/>
        <w:autoSpaceDN w:val="0"/>
        <w:adjustRightInd w:val="0"/>
        <w:spacing w:after="0" w:line="240" w:lineRule="auto"/>
        <w:ind w:left="0" w:firstLine="0"/>
        <w:jc w:val="both"/>
        <w:rPr>
          <w:rFonts w:ascii="Times New Roman" w:hAnsi="Times New Roman" w:cs="Times New Roman"/>
          <w:color w:val="000000" w:themeColor="text1"/>
        </w:rPr>
      </w:pPr>
      <w:r w:rsidRPr="00BC7BB5">
        <w:rPr>
          <w:rFonts w:ascii="Times New Roman" w:hAnsi="Times New Roman" w:cs="Times New Roman"/>
          <w:b/>
          <w:color w:val="000000" w:themeColor="text1"/>
        </w:rPr>
        <w:t xml:space="preserve">Budget execution, accounting and reporting. </w:t>
      </w:r>
      <w:r w:rsidRPr="00BC7BB5">
        <w:rPr>
          <w:rFonts w:ascii="Times New Roman" w:hAnsi="Times New Roman" w:cs="Times New Roman"/>
          <w:color w:val="000000" w:themeColor="text1"/>
          <w:lang w:eastAsia="fr-FR"/>
        </w:rPr>
        <w:t>The assessment of the budget execution, accounting and reporting processes in effect at the level of each entity of the Program is as follows.</w:t>
      </w:r>
    </w:p>
    <w:p w14:paraId="207C8793" w14:textId="2DC88DEE" w:rsidR="00AD7B8F" w:rsidRPr="00BC7BB5" w:rsidRDefault="00AD7B8F" w:rsidP="00422BC8">
      <w:pPr>
        <w:pStyle w:val="ListParagraph"/>
        <w:numPr>
          <w:ilvl w:val="0"/>
          <w:numId w:val="13"/>
        </w:numPr>
        <w:spacing w:before="120" w:after="120" w:line="240" w:lineRule="auto"/>
        <w:contextualSpacing w:val="0"/>
        <w:jc w:val="both"/>
        <w:rPr>
          <w:rFonts w:ascii="Times New Roman" w:hAnsi="Times New Roman" w:cs="Times New Roman"/>
          <w:color w:val="000000" w:themeColor="text1"/>
        </w:rPr>
      </w:pPr>
      <w:r w:rsidRPr="00BC7BB5">
        <w:rPr>
          <w:rFonts w:ascii="Times New Roman" w:hAnsi="Times New Roman" w:cs="Times New Roman"/>
          <w:i/>
          <w:color w:val="000000" w:themeColor="text1"/>
        </w:rPr>
        <w:t>MAPMDREF</w:t>
      </w:r>
      <w:r w:rsidRPr="00BC7BB5">
        <w:rPr>
          <w:rFonts w:ascii="Times New Roman" w:hAnsi="Times New Roman" w:cs="Times New Roman"/>
          <w:color w:val="000000" w:themeColor="text1"/>
        </w:rPr>
        <w:t xml:space="preserve">. Once approved by the Parliament, the budget is made available for MAPMDREF within an acceptable timeline for its execution. MAPMDREF’s budget classification is in line with international standards. The implementation of the risk-based approach in the </w:t>
      </w:r>
      <w:r w:rsidRPr="00BC7BB5">
        <w:rPr>
          <w:rFonts w:ascii="Times New Roman" w:hAnsi="Times New Roman" w:cs="Times New Roman"/>
          <w:i/>
          <w:color w:val="000000" w:themeColor="text1"/>
        </w:rPr>
        <w:t>ex-ante</w:t>
      </w:r>
      <w:r w:rsidRPr="00BC7BB5">
        <w:rPr>
          <w:rFonts w:ascii="Times New Roman" w:hAnsi="Times New Roman" w:cs="Times New Roman"/>
          <w:color w:val="000000" w:themeColor="text1"/>
        </w:rPr>
        <w:t xml:space="preserve"> control of the expenditures by the financial controller and the devolution of budget authority to the decentralized level are key strengths in the budget execution procedures. The accounting standards are those prescribed by the accounting regulation which calls for the use of cash basis. Budget executions are monitored using GID</w:t>
      </w:r>
      <w:r w:rsidR="006A7513" w:rsidRPr="00BC7BB5">
        <w:rPr>
          <w:rFonts w:ascii="Times New Roman" w:hAnsi="Times New Roman" w:cs="Times New Roman"/>
          <w:color w:val="000000" w:themeColor="text1"/>
        </w:rPr>
        <w:fldChar w:fldCharType="begin"/>
      </w:r>
      <w:r w:rsidR="006A7513" w:rsidRPr="00BC7BB5">
        <w:instrText xml:space="preserve"> XE "</w:instrText>
      </w:r>
      <w:r w:rsidR="006A7513" w:rsidRPr="00BC7BB5">
        <w:rPr>
          <w:rFonts w:ascii="Times New Roman" w:hAnsi="Times New Roman" w:cs="Times New Roman"/>
          <w:color w:val="000000" w:themeColor="text1"/>
        </w:rPr>
        <w:instrText>GID</w:instrText>
      </w:r>
      <w:r w:rsidR="006A7513" w:rsidRPr="00BC7BB5">
        <w:instrText xml:space="preserve">" </w:instrText>
      </w:r>
      <w:r w:rsidR="006A7513" w:rsidRPr="00BC7BB5">
        <w:rPr>
          <w:rFonts w:ascii="Times New Roman" w:hAnsi="Times New Roman" w:cs="Times New Roman"/>
          <w:color w:val="000000" w:themeColor="text1"/>
        </w:rPr>
        <w:fldChar w:fldCharType="end"/>
      </w:r>
      <w:r w:rsidRPr="00BC7BB5">
        <w:rPr>
          <w:rFonts w:ascii="Times New Roman" w:hAnsi="Times New Roman" w:cs="Times New Roman"/>
          <w:color w:val="000000" w:themeColor="text1"/>
        </w:rPr>
        <w:t xml:space="preserve"> (integrated financial management system for the expenditures). For the last </w:t>
      </w:r>
      <w:r w:rsidR="008B72BC">
        <w:rPr>
          <w:rFonts w:ascii="Times New Roman" w:hAnsi="Times New Roman" w:cs="Times New Roman"/>
          <w:color w:val="000000" w:themeColor="text1"/>
        </w:rPr>
        <w:t xml:space="preserve">three </w:t>
      </w:r>
      <w:r w:rsidRPr="00BC7BB5">
        <w:rPr>
          <w:rFonts w:ascii="Times New Roman" w:hAnsi="Times New Roman" w:cs="Times New Roman"/>
          <w:color w:val="000000" w:themeColor="text1"/>
        </w:rPr>
        <w:t xml:space="preserve">years </w:t>
      </w:r>
      <w:r w:rsidR="00DA13FB">
        <w:rPr>
          <w:rFonts w:ascii="Times New Roman" w:hAnsi="Times New Roman" w:cs="Times New Roman"/>
          <w:color w:val="000000" w:themeColor="text1"/>
        </w:rPr>
        <w:t>o</w:t>
      </w:r>
      <w:r w:rsidRPr="00BC7BB5">
        <w:rPr>
          <w:rFonts w:ascii="Times New Roman" w:hAnsi="Times New Roman" w:cs="Times New Roman"/>
          <w:color w:val="000000" w:themeColor="text1"/>
        </w:rPr>
        <w:t>n average, the commitment’s execution ratio is acceptable (85 percent). However, the payment ratio is around 65 percent. Overall, the budget execution is affected by the modest capacity and weak incentives in the provincial directorates compared to the central directorates. To address this issue, MAPMDREF is reflecting on ways to increase the incentives’ schemes in the provincial directorates. The in-year review of the budget execution against forecasts is embedded. Nevertheless, the in-year budget execution report’s elaboration is made difficult as a result of multiple players at the decentralized level. The ongoing acquisition/deployment of the integrated management system will help to improve efficiency in the in-year budget execution report.  MAPMDREF’s annual budget execution reports are presented in the annual performance report in line with the program budget approach. To address the risk related to the difficulty to elaborate the budget execution report, a reconciliation sheet will be developed to extract the Program’s expenditure from MAPMDREF’s annual budget execution report. To this end, a pre-defined format of budget execution report and financial statements will be agreed upon.</w:t>
      </w:r>
    </w:p>
    <w:p w14:paraId="6469E233" w14:textId="02FC9F82" w:rsidR="00AD7B8F" w:rsidRPr="00BC7BB5" w:rsidRDefault="00AD7B8F" w:rsidP="00422BC8">
      <w:pPr>
        <w:pStyle w:val="ListParagraph"/>
        <w:numPr>
          <w:ilvl w:val="0"/>
          <w:numId w:val="13"/>
        </w:numPr>
        <w:spacing w:before="120" w:after="120" w:line="240" w:lineRule="auto"/>
        <w:contextualSpacing w:val="0"/>
        <w:jc w:val="both"/>
        <w:rPr>
          <w:rFonts w:ascii="Times New Roman" w:hAnsi="Times New Roman" w:cs="Times New Roman"/>
          <w:color w:val="000000" w:themeColor="text1"/>
        </w:rPr>
      </w:pPr>
      <w:r w:rsidRPr="00BC7BB5">
        <w:rPr>
          <w:rFonts w:ascii="Times New Roman" w:hAnsi="Times New Roman" w:cs="Times New Roman"/>
          <w:i/>
          <w:color w:val="000000" w:themeColor="text1"/>
        </w:rPr>
        <w:t>ONSSA</w:t>
      </w:r>
      <w:r w:rsidRPr="00BC7BB5">
        <w:rPr>
          <w:rFonts w:ascii="Times New Roman" w:hAnsi="Times New Roman" w:cs="Times New Roman"/>
          <w:color w:val="000000" w:themeColor="text1"/>
        </w:rPr>
        <w:t xml:space="preserve">. The budget execution procedures are described in the recently updated manual of procedures. They comprise the </w:t>
      </w:r>
      <w:r w:rsidRPr="00BC7BB5">
        <w:rPr>
          <w:rFonts w:ascii="Times New Roman" w:hAnsi="Times New Roman" w:cs="Times New Roman"/>
          <w:i/>
          <w:color w:val="000000" w:themeColor="text1"/>
        </w:rPr>
        <w:t>ex-ante</w:t>
      </w:r>
      <w:r w:rsidRPr="00BC7BB5">
        <w:rPr>
          <w:rFonts w:ascii="Times New Roman" w:hAnsi="Times New Roman" w:cs="Times New Roman"/>
          <w:color w:val="000000" w:themeColor="text1"/>
        </w:rPr>
        <w:t xml:space="preserve"> control by the financial controller. The risk-based approach in the </w:t>
      </w:r>
      <w:r w:rsidRPr="00BC7BB5">
        <w:rPr>
          <w:rFonts w:ascii="Times New Roman" w:hAnsi="Times New Roman" w:cs="Times New Roman"/>
          <w:i/>
          <w:color w:val="000000" w:themeColor="text1"/>
        </w:rPr>
        <w:t>ex-ante</w:t>
      </w:r>
      <w:r w:rsidRPr="00BC7BB5">
        <w:rPr>
          <w:rFonts w:ascii="Times New Roman" w:hAnsi="Times New Roman" w:cs="Times New Roman"/>
          <w:color w:val="000000" w:themeColor="text1"/>
        </w:rPr>
        <w:t xml:space="preserve"> control is not yet enforced at ONSSA as a number of prerequisites need to be met. However, this does not significantly affect the budget execution rate which is more than adequate</w:t>
      </w:r>
      <w:r w:rsidRPr="00BC7BB5">
        <w:rPr>
          <w:rStyle w:val="FootnoteReference"/>
          <w:rFonts w:ascii="Times New Roman" w:hAnsi="Times New Roman" w:cs="Times New Roman"/>
          <w:color w:val="000000" w:themeColor="text1"/>
        </w:rPr>
        <w:footnoteReference w:id="65"/>
      </w:r>
      <w:r w:rsidRPr="00BC7BB5">
        <w:rPr>
          <w:rFonts w:ascii="Times New Roman" w:hAnsi="Times New Roman" w:cs="Times New Roman"/>
          <w:color w:val="000000" w:themeColor="text1"/>
        </w:rPr>
        <w:t>. The accounting procedure is based on accrual basis. This will be complemented by the ongoing deployment of the management accounting. The budgetary and accounting system are managed through an integrated management system (Saage Sari) deployed at the central level. Its deployment is underway at the decentralized level. This system could be customized to extract the Program’s expenditures by adjusting the budget and accounting classifications.</w:t>
      </w:r>
    </w:p>
    <w:p w14:paraId="4D17A986" w14:textId="2A0A642D" w:rsidR="00AD7B8F" w:rsidRPr="00BC7BB5" w:rsidRDefault="00AD7B8F" w:rsidP="00422BC8">
      <w:pPr>
        <w:pStyle w:val="ListParagraph"/>
        <w:numPr>
          <w:ilvl w:val="0"/>
          <w:numId w:val="13"/>
        </w:numPr>
        <w:spacing w:before="120" w:after="120" w:line="240" w:lineRule="auto"/>
        <w:contextualSpacing w:val="0"/>
        <w:jc w:val="both"/>
        <w:rPr>
          <w:rFonts w:ascii="Times New Roman" w:hAnsi="Times New Roman" w:cs="Times New Roman"/>
          <w:color w:val="000000" w:themeColor="text1"/>
        </w:rPr>
      </w:pPr>
      <w:r w:rsidRPr="00BC7BB5">
        <w:rPr>
          <w:rFonts w:ascii="Times New Roman" w:hAnsi="Times New Roman" w:cs="Times New Roman"/>
          <w:i/>
          <w:color w:val="000000" w:themeColor="text1"/>
        </w:rPr>
        <w:t xml:space="preserve">Rabat </w:t>
      </w:r>
      <w:r w:rsidR="00CB60AB">
        <w:rPr>
          <w:rFonts w:ascii="Times New Roman" w:hAnsi="Times New Roman" w:cs="Times New Roman"/>
          <w:i/>
          <w:color w:val="000000" w:themeColor="text1"/>
        </w:rPr>
        <w:t xml:space="preserve">Région </w:t>
      </w:r>
      <w:r w:rsidRPr="00BC7BB5">
        <w:rPr>
          <w:rFonts w:ascii="Times New Roman" w:hAnsi="Times New Roman" w:cs="Times New Roman"/>
          <w:i/>
          <w:color w:val="000000" w:themeColor="text1"/>
        </w:rPr>
        <w:t>Aménagement</w:t>
      </w:r>
      <w:r w:rsidR="005808DE">
        <w:rPr>
          <w:rFonts w:ascii="Times New Roman" w:hAnsi="Times New Roman" w:cs="Times New Roman"/>
          <w:i/>
          <w:color w:val="000000" w:themeColor="text1"/>
        </w:rPr>
        <w:t xml:space="preserve"> (RRA)</w:t>
      </w:r>
      <w:r w:rsidRPr="00BC7BB5">
        <w:rPr>
          <w:rFonts w:ascii="Times New Roman" w:hAnsi="Times New Roman" w:cs="Times New Roman"/>
          <w:color w:val="000000" w:themeColor="text1"/>
        </w:rPr>
        <w:t xml:space="preserve">. The Managing Director, as a corporate officer, has the power to implement and execute budget approved by the Board. Rabat </w:t>
      </w:r>
      <w:r w:rsidR="00CB60AB">
        <w:rPr>
          <w:rFonts w:ascii="Times New Roman" w:hAnsi="Times New Roman" w:cs="Times New Roman"/>
          <w:color w:val="000000" w:themeColor="text1"/>
        </w:rPr>
        <w:t xml:space="preserve">Région </w:t>
      </w:r>
      <w:r w:rsidRPr="00BC7BB5">
        <w:rPr>
          <w:rFonts w:ascii="Times New Roman" w:hAnsi="Times New Roman" w:cs="Times New Roman"/>
          <w:color w:val="000000" w:themeColor="text1"/>
        </w:rPr>
        <w:t xml:space="preserve">Aménagement uses a budgetary and accounting system (Saage Sari) which is able to report on the execution of the MoU signed with the beneficiaries. This system (Moroccan General Accounting Standards) is based on accrual basis. </w:t>
      </w:r>
    </w:p>
    <w:p w14:paraId="1FCF6235" w14:textId="21821D4A" w:rsidR="00AD7B8F" w:rsidRPr="00BC7BB5" w:rsidRDefault="00AD7B8F" w:rsidP="00422BC8">
      <w:pPr>
        <w:pStyle w:val="ListParagraph"/>
        <w:numPr>
          <w:ilvl w:val="0"/>
          <w:numId w:val="15"/>
        </w:numPr>
        <w:autoSpaceDE w:val="0"/>
        <w:autoSpaceDN w:val="0"/>
        <w:adjustRightInd w:val="0"/>
        <w:spacing w:after="0" w:line="240" w:lineRule="auto"/>
        <w:ind w:left="0" w:firstLine="0"/>
        <w:jc w:val="both"/>
        <w:rPr>
          <w:rFonts w:ascii="Times New Roman" w:hAnsi="Times New Roman" w:cs="Times New Roman"/>
          <w:b/>
          <w:color w:val="000000" w:themeColor="text1"/>
        </w:rPr>
      </w:pPr>
      <w:r w:rsidRPr="00BC7BB5">
        <w:rPr>
          <w:rFonts w:ascii="Times New Roman" w:hAnsi="Times New Roman" w:cs="Times New Roman"/>
          <w:color w:val="000000" w:themeColor="text1"/>
        </w:rPr>
        <w:lastRenderedPageBreak/>
        <w:t xml:space="preserve">The Program will apply MAPMDREF, ONSSA and Rabat </w:t>
      </w:r>
      <w:r w:rsidR="00CB60AB">
        <w:rPr>
          <w:rFonts w:ascii="Times New Roman" w:hAnsi="Times New Roman" w:cs="Times New Roman"/>
          <w:color w:val="000000" w:themeColor="text1"/>
        </w:rPr>
        <w:t xml:space="preserve">Région </w:t>
      </w:r>
      <w:r w:rsidRPr="00BC7BB5">
        <w:rPr>
          <w:rFonts w:ascii="Times New Roman" w:hAnsi="Times New Roman" w:cs="Times New Roman"/>
          <w:color w:val="000000" w:themeColor="text1"/>
        </w:rPr>
        <w:t>Aménagement budget execution, accounting and reporting procedures which are acceptable. MAPMDREF will be in charge of the overall consolidation of the Program’s budget execution report and financial statements</w:t>
      </w:r>
      <w:r w:rsidR="003D5D39">
        <w:rPr>
          <w:rFonts w:ascii="Times New Roman" w:hAnsi="Times New Roman" w:cs="Times New Roman"/>
          <w:color w:val="000000" w:themeColor="text1"/>
        </w:rPr>
        <w:t xml:space="preserve"> including for entities under its oversight</w:t>
      </w:r>
      <w:r w:rsidRPr="00BC7BB5">
        <w:rPr>
          <w:rFonts w:ascii="Times New Roman" w:hAnsi="Times New Roman" w:cs="Times New Roman"/>
          <w:color w:val="000000" w:themeColor="text1"/>
        </w:rPr>
        <w:t xml:space="preserve">. Technical assistance/hands-on-support will be provided/included in the Programme Action Plan, to extract from the entities’ budget execution reports the Program’s budget execution data and financial statement in a pre-defined format. In addition, the Program will support ONSSA in the convergence program to be eligible for the risk-based approach in the </w:t>
      </w:r>
      <w:r w:rsidRPr="00BC7BB5">
        <w:rPr>
          <w:rFonts w:ascii="Times New Roman" w:hAnsi="Times New Roman" w:cs="Times New Roman"/>
          <w:i/>
          <w:color w:val="000000" w:themeColor="text1"/>
        </w:rPr>
        <w:t>ex-ante</w:t>
      </w:r>
      <w:r w:rsidRPr="00BC7BB5">
        <w:rPr>
          <w:rFonts w:ascii="Times New Roman" w:hAnsi="Times New Roman" w:cs="Times New Roman"/>
          <w:color w:val="000000" w:themeColor="text1"/>
        </w:rPr>
        <w:t xml:space="preserve"> control.</w:t>
      </w:r>
    </w:p>
    <w:p w14:paraId="148E9BE3" w14:textId="77777777" w:rsidR="000A2644" w:rsidRPr="00BC7BB5" w:rsidRDefault="000A2644" w:rsidP="000A2644">
      <w:pPr>
        <w:pStyle w:val="ListParagraph"/>
        <w:autoSpaceDE w:val="0"/>
        <w:autoSpaceDN w:val="0"/>
        <w:adjustRightInd w:val="0"/>
        <w:spacing w:after="0" w:line="240" w:lineRule="auto"/>
        <w:ind w:left="0"/>
        <w:jc w:val="both"/>
        <w:rPr>
          <w:rFonts w:ascii="Times New Roman" w:hAnsi="Times New Roman" w:cs="Times New Roman"/>
          <w:b/>
          <w:color w:val="000000" w:themeColor="text1"/>
        </w:rPr>
      </w:pPr>
    </w:p>
    <w:p w14:paraId="71F74DA3" w14:textId="684961BB" w:rsidR="00AD7B8F" w:rsidRPr="00BC7BB5" w:rsidRDefault="00AD7B8F" w:rsidP="00422BC8">
      <w:pPr>
        <w:pStyle w:val="ListParagraph"/>
        <w:numPr>
          <w:ilvl w:val="0"/>
          <w:numId w:val="15"/>
        </w:numPr>
        <w:autoSpaceDE w:val="0"/>
        <w:autoSpaceDN w:val="0"/>
        <w:adjustRightInd w:val="0"/>
        <w:spacing w:after="0" w:line="240" w:lineRule="auto"/>
        <w:ind w:left="0" w:firstLine="0"/>
        <w:jc w:val="both"/>
        <w:rPr>
          <w:rFonts w:ascii="Times New Roman" w:hAnsi="Times New Roman" w:cs="Times New Roman"/>
          <w:color w:val="000000" w:themeColor="text1"/>
          <w:lang w:eastAsia="fr-FR"/>
        </w:rPr>
      </w:pPr>
      <w:r w:rsidRPr="00BC7BB5">
        <w:rPr>
          <w:rFonts w:ascii="Times New Roman" w:hAnsi="Times New Roman" w:cs="Times New Roman"/>
          <w:b/>
          <w:color w:val="000000" w:themeColor="text1"/>
        </w:rPr>
        <w:t xml:space="preserve">Treasury management and funds flow. </w:t>
      </w:r>
      <w:r w:rsidRPr="00BC7BB5">
        <w:rPr>
          <w:rFonts w:ascii="Times New Roman" w:hAnsi="Times New Roman" w:cs="Times New Roman"/>
          <w:color w:val="000000" w:themeColor="text1"/>
          <w:lang w:eastAsia="fr-FR"/>
        </w:rPr>
        <w:t xml:space="preserve">The Program’s funds will be reflected in the Government budget under MAPMDREF and part will then be channeled to ONSSA and Rabat </w:t>
      </w:r>
      <w:r w:rsidR="00CB60AB">
        <w:rPr>
          <w:rFonts w:ascii="Times New Roman" w:hAnsi="Times New Roman" w:cs="Times New Roman"/>
          <w:color w:val="000000" w:themeColor="text1"/>
          <w:lang w:eastAsia="fr-FR"/>
        </w:rPr>
        <w:t xml:space="preserve">Région </w:t>
      </w:r>
      <w:r w:rsidR="003D5D39">
        <w:rPr>
          <w:rFonts w:ascii="Times New Roman" w:hAnsi="Times New Roman" w:cs="Times New Roman"/>
          <w:color w:val="000000" w:themeColor="text1"/>
          <w:lang w:eastAsia="fr-FR"/>
        </w:rPr>
        <w:t>Aménagement. For advances, prior results and achieved results, t</w:t>
      </w:r>
      <w:r w:rsidRPr="00BC7BB5">
        <w:rPr>
          <w:rFonts w:ascii="Times New Roman" w:hAnsi="Times New Roman" w:cs="Times New Roman"/>
          <w:color w:val="000000" w:themeColor="text1"/>
          <w:lang w:eastAsia="fr-FR"/>
        </w:rPr>
        <w:t xml:space="preserve">he funds will be disbursed to the Government’s Treasury Single Account. </w:t>
      </w:r>
    </w:p>
    <w:p w14:paraId="47978204" w14:textId="77777777" w:rsidR="000A2644" w:rsidRPr="00BC7BB5" w:rsidRDefault="000A2644" w:rsidP="000A2644">
      <w:pPr>
        <w:pStyle w:val="ListParagraph"/>
        <w:autoSpaceDE w:val="0"/>
        <w:autoSpaceDN w:val="0"/>
        <w:adjustRightInd w:val="0"/>
        <w:spacing w:after="0" w:line="240" w:lineRule="auto"/>
        <w:ind w:left="0"/>
        <w:jc w:val="both"/>
        <w:rPr>
          <w:rFonts w:ascii="Times New Roman" w:hAnsi="Times New Roman" w:cs="Times New Roman"/>
          <w:b/>
          <w:color w:val="000000" w:themeColor="text1"/>
          <w:highlight w:val="yellow"/>
        </w:rPr>
      </w:pPr>
    </w:p>
    <w:p w14:paraId="07862D05" w14:textId="346E5019" w:rsidR="00AD7B8F" w:rsidRPr="00BC7BB5" w:rsidRDefault="00AD7B8F" w:rsidP="00422BC8">
      <w:pPr>
        <w:pStyle w:val="ListParagraph"/>
        <w:numPr>
          <w:ilvl w:val="0"/>
          <w:numId w:val="15"/>
        </w:numPr>
        <w:autoSpaceDE w:val="0"/>
        <w:autoSpaceDN w:val="0"/>
        <w:adjustRightInd w:val="0"/>
        <w:spacing w:after="0" w:line="240" w:lineRule="auto"/>
        <w:ind w:left="0" w:firstLine="0"/>
        <w:jc w:val="both"/>
        <w:rPr>
          <w:rFonts w:ascii="Times New Roman" w:hAnsi="Times New Roman" w:cs="Times New Roman"/>
          <w:b/>
          <w:color w:val="000000" w:themeColor="text1"/>
        </w:rPr>
      </w:pPr>
      <w:r w:rsidRPr="00BC7BB5">
        <w:rPr>
          <w:rFonts w:ascii="Times New Roman" w:hAnsi="Times New Roman" w:cs="Times New Roman"/>
          <w:b/>
        </w:rPr>
        <w:t>Procurement processes and procedures</w:t>
      </w:r>
      <w:r w:rsidRPr="00BC7BB5">
        <w:rPr>
          <w:rFonts w:ascii="Times New Roman" w:hAnsi="Times New Roman" w:cs="Times New Roman"/>
        </w:rPr>
        <w:t xml:space="preserve">. </w:t>
      </w:r>
      <w:r w:rsidR="00292941" w:rsidRPr="00BC7BB5">
        <w:rPr>
          <w:rFonts w:ascii="Times New Roman" w:hAnsi="Times New Roman" w:cs="Times New Roman"/>
        </w:rPr>
        <w:t>Below is a summary of the processes and procedures that each implementing agency will follow:</w:t>
      </w:r>
    </w:p>
    <w:p w14:paraId="63102713" w14:textId="77777777" w:rsidR="00292941" w:rsidRPr="00BC7BB5" w:rsidRDefault="00292941" w:rsidP="00292941">
      <w:pPr>
        <w:autoSpaceDE w:val="0"/>
        <w:autoSpaceDN w:val="0"/>
        <w:adjustRightInd w:val="0"/>
        <w:spacing w:after="0" w:line="240" w:lineRule="auto"/>
        <w:jc w:val="both"/>
        <w:rPr>
          <w:rFonts w:ascii="Times New Roman" w:hAnsi="Times New Roman" w:cs="Times New Roman"/>
          <w:b/>
          <w:color w:val="000000" w:themeColor="text1"/>
        </w:rPr>
      </w:pPr>
    </w:p>
    <w:p w14:paraId="5F465899" w14:textId="6E95CFB0" w:rsidR="005808DE" w:rsidRDefault="00292941" w:rsidP="005808DE">
      <w:pPr>
        <w:pStyle w:val="ListParagraph"/>
        <w:numPr>
          <w:ilvl w:val="0"/>
          <w:numId w:val="57"/>
        </w:numPr>
        <w:spacing w:after="0" w:line="240" w:lineRule="auto"/>
        <w:jc w:val="both"/>
        <w:rPr>
          <w:rFonts w:ascii="Times New Roman" w:hAnsi="Times New Roman" w:cs="Times New Roman"/>
        </w:rPr>
      </w:pPr>
      <w:r w:rsidRPr="00BC7BB5">
        <w:rPr>
          <w:rFonts w:ascii="Times New Roman" w:hAnsi="Times New Roman" w:cs="Times New Roman"/>
          <w:color w:val="000000" w:themeColor="text1"/>
          <w:lang w:eastAsia="fr-FR"/>
        </w:rPr>
        <w:t>MAPMDREF</w:t>
      </w:r>
      <w:r w:rsidRPr="00BC7BB5">
        <w:rPr>
          <w:rFonts w:ascii="Times New Roman" w:hAnsi="Times New Roman" w:cs="Times New Roman"/>
        </w:rPr>
        <w:t xml:space="preserve">. Procurement by </w:t>
      </w:r>
      <w:r w:rsidRPr="00BC7BB5">
        <w:rPr>
          <w:rFonts w:ascii="Times New Roman" w:hAnsi="Times New Roman" w:cs="Times New Roman"/>
          <w:color w:val="000000" w:themeColor="text1"/>
          <w:lang w:eastAsia="fr-FR"/>
        </w:rPr>
        <w:t>MAPMDREF</w:t>
      </w:r>
      <w:r w:rsidRPr="00BC7BB5">
        <w:rPr>
          <w:rFonts w:ascii="Times New Roman" w:hAnsi="Times New Roman" w:cs="Times New Roman"/>
        </w:rPr>
        <w:t xml:space="preserve"> under the Program will be carried out according to Morocco’s existing systems and processes for Public Procurement Management, including the oversight of the Ministry of Finance (MEF). The main procurement methods are Open National Competitive Bidding (ONCB</w:t>
      </w:r>
      <w:r w:rsidR="00A254D1">
        <w:rPr>
          <w:rFonts w:ascii="Times New Roman" w:hAnsi="Times New Roman" w:cs="Times New Roman"/>
        </w:rPr>
        <w:fldChar w:fldCharType="begin"/>
      </w:r>
      <w:r w:rsidR="00A254D1">
        <w:instrText xml:space="preserve"> XE "</w:instrText>
      </w:r>
      <w:r w:rsidR="00A254D1" w:rsidRPr="00756DC6">
        <w:rPr>
          <w:rFonts w:ascii="Times New Roman" w:hAnsi="Times New Roman" w:cs="Times New Roman"/>
        </w:rPr>
        <w:instrText>ONCB:</w:instrText>
      </w:r>
      <w:r w:rsidR="00A254D1" w:rsidRPr="00756DC6">
        <w:instrText>Open National Competitive Bidding</w:instrText>
      </w:r>
      <w:r w:rsidR="00A254D1">
        <w:instrText xml:space="preserve">" </w:instrText>
      </w:r>
      <w:r w:rsidR="00A254D1">
        <w:rPr>
          <w:rFonts w:ascii="Times New Roman" w:hAnsi="Times New Roman" w:cs="Times New Roman"/>
        </w:rPr>
        <w:fldChar w:fldCharType="end"/>
      </w:r>
      <w:r w:rsidRPr="00BC7BB5">
        <w:rPr>
          <w:rFonts w:ascii="Times New Roman" w:hAnsi="Times New Roman" w:cs="Times New Roman"/>
        </w:rPr>
        <w:t>) and Shopping (purchase orders). The use of th</w:t>
      </w:r>
      <w:r w:rsidR="00C20105">
        <w:rPr>
          <w:rFonts w:ascii="Times New Roman" w:hAnsi="Times New Roman" w:cs="Times New Roman"/>
        </w:rPr>
        <w:t>e</w:t>
      </w:r>
      <w:r w:rsidRPr="00BC7BB5">
        <w:rPr>
          <w:rFonts w:ascii="Times New Roman" w:hAnsi="Times New Roman" w:cs="Times New Roman"/>
        </w:rPr>
        <w:t xml:space="preserve"> lat</w:t>
      </w:r>
      <w:r w:rsidR="00C20105">
        <w:rPr>
          <w:rFonts w:ascii="Times New Roman" w:hAnsi="Times New Roman" w:cs="Times New Roman"/>
        </w:rPr>
        <w:t>t</w:t>
      </w:r>
      <w:r w:rsidRPr="00BC7BB5">
        <w:rPr>
          <w:rFonts w:ascii="Times New Roman" w:hAnsi="Times New Roman" w:cs="Times New Roman"/>
        </w:rPr>
        <w:t xml:space="preserve">er method is limited to a list of works, goods and services </w:t>
      </w:r>
      <w:r w:rsidR="00C20105">
        <w:rPr>
          <w:rFonts w:ascii="Times New Roman" w:hAnsi="Times New Roman" w:cs="Times New Roman"/>
        </w:rPr>
        <w:t>with</w:t>
      </w:r>
      <w:r w:rsidRPr="00BC7BB5">
        <w:rPr>
          <w:rFonts w:ascii="Times New Roman" w:hAnsi="Times New Roman" w:cs="Times New Roman"/>
        </w:rPr>
        <w:t xml:space="preserve"> amount for individual </w:t>
      </w:r>
      <w:r w:rsidR="008B72BC">
        <w:rPr>
          <w:rFonts w:ascii="Times New Roman" w:hAnsi="Times New Roman" w:cs="Times New Roman"/>
        </w:rPr>
        <w:t>purchase orders</w:t>
      </w:r>
      <w:r w:rsidRPr="00BC7BB5">
        <w:rPr>
          <w:rFonts w:ascii="Times New Roman" w:hAnsi="Times New Roman" w:cs="Times New Roman"/>
        </w:rPr>
        <w:t xml:space="preserve"> </w:t>
      </w:r>
      <w:r w:rsidR="00C20105">
        <w:rPr>
          <w:rFonts w:ascii="Times New Roman" w:hAnsi="Times New Roman" w:cs="Times New Roman"/>
        </w:rPr>
        <w:t>not to exceed</w:t>
      </w:r>
      <w:r w:rsidR="00F23C6B" w:rsidRPr="00BC7BB5">
        <w:rPr>
          <w:rFonts w:ascii="Times New Roman" w:hAnsi="Times New Roman" w:cs="Times New Roman"/>
        </w:rPr>
        <w:t xml:space="preserve"> </w:t>
      </w:r>
      <w:r w:rsidR="00DA13FB">
        <w:rPr>
          <w:rFonts w:ascii="Times New Roman" w:hAnsi="Times New Roman" w:cs="Times New Roman"/>
        </w:rPr>
        <w:t xml:space="preserve">MAD </w:t>
      </w:r>
      <w:r w:rsidR="00F23C6B" w:rsidRPr="00BC7BB5">
        <w:rPr>
          <w:rFonts w:ascii="Times New Roman" w:hAnsi="Times New Roman" w:cs="Times New Roman"/>
        </w:rPr>
        <w:t>250,000 or US</w:t>
      </w:r>
      <w:r w:rsidR="00A254D1">
        <w:rPr>
          <w:rFonts w:ascii="Times New Roman" w:hAnsi="Times New Roman" w:cs="Times New Roman"/>
        </w:rPr>
        <w:t>$</w:t>
      </w:r>
      <w:r w:rsidR="00F23C6B" w:rsidRPr="00BC7BB5">
        <w:rPr>
          <w:rFonts w:ascii="Times New Roman" w:hAnsi="Times New Roman" w:cs="Times New Roman"/>
        </w:rPr>
        <w:t>25,00</w:t>
      </w:r>
      <w:r w:rsidRPr="00BC7BB5">
        <w:rPr>
          <w:rFonts w:ascii="Times New Roman" w:hAnsi="Times New Roman" w:cs="Times New Roman"/>
        </w:rPr>
        <w:t xml:space="preserve">0 (ref. list in </w:t>
      </w:r>
      <w:r w:rsidR="00C20105">
        <w:rPr>
          <w:rFonts w:ascii="Times New Roman" w:hAnsi="Times New Roman" w:cs="Times New Roman"/>
        </w:rPr>
        <w:t>a</w:t>
      </w:r>
      <w:r w:rsidRPr="00BC7BB5">
        <w:rPr>
          <w:rFonts w:ascii="Times New Roman" w:hAnsi="Times New Roman" w:cs="Times New Roman"/>
        </w:rPr>
        <w:t xml:space="preserve">nnex 4 of the PPD No.2-12-349 dated 8 “Joumada” 1434 (March 20, 2013). Procurement by </w:t>
      </w:r>
      <w:r w:rsidRPr="00BC7BB5">
        <w:rPr>
          <w:rFonts w:ascii="Times New Roman" w:hAnsi="Times New Roman" w:cs="Times New Roman"/>
          <w:color w:val="000000" w:themeColor="text1"/>
          <w:lang w:eastAsia="fr-FR"/>
        </w:rPr>
        <w:t>MAPMDREF</w:t>
      </w:r>
      <w:r w:rsidRPr="00BC7BB5">
        <w:rPr>
          <w:rFonts w:ascii="Times New Roman" w:hAnsi="Times New Roman" w:cs="Times New Roman"/>
        </w:rPr>
        <w:t xml:space="preserve"> is subject to the review of the “</w:t>
      </w:r>
      <w:r w:rsidRPr="00BC7BB5">
        <w:rPr>
          <w:rFonts w:ascii="Times New Roman" w:hAnsi="Times New Roman" w:cs="Times New Roman"/>
          <w:i/>
        </w:rPr>
        <w:t>Contrôleur des Engagements</w:t>
      </w:r>
      <w:r w:rsidRPr="00BC7BB5">
        <w:rPr>
          <w:rFonts w:ascii="Times New Roman" w:hAnsi="Times New Roman" w:cs="Times New Roman"/>
        </w:rPr>
        <w:t>” with regard to the respect of procedures and provisions of the PPD. In addition, the new PPD reinforces the legal basis for e-procurement in Morocco. The e-portal has increased the availability of information, especially in terms of making calls for proposals widely available, making contract-related documentation available to all potential bidders, disclosing an estimated cost for the goods or projects to be procured, and publishing the results of tendering contests. Additional features have been included which are now in use since very recently: electronic submission of bids and electronic reverse auctions. The portal includes also a database of suppliers.</w:t>
      </w:r>
      <w:r w:rsidR="005808DE" w:rsidRPr="005808DE">
        <w:rPr>
          <w:rFonts w:ascii="Times New Roman" w:hAnsi="Times New Roman" w:cs="Times New Roman"/>
        </w:rPr>
        <w:t xml:space="preserve"> </w:t>
      </w:r>
      <w:r w:rsidR="005808DE">
        <w:rPr>
          <w:rFonts w:ascii="Times New Roman" w:hAnsi="Times New Roman" w:cs="Times New Roman"/>
        </w:rPr>
        <w:t xml:space="preserve">For the MAPMDREF, procurement handling is totally decentralized at the level of the technical departments for their respective activities. Each department sets up its own ad-hoc procurement committees for the management of procurement activities (approval of bidding documents, opening and evaluation of bids and recommendation of contract awards). All contracts including purchase orders </w:t>
      </w:r>
      <w:r w:rsidR="005808DE">
        <w:rPr>
          <w:rFonts w:ascii="Times New Roman" w:hAnsi="Times New Roman" w:cs="Times New Roman"/>
          <w:i/>
        </w:rPr>
        <w:t xml:space="preserve">(“Bons de commande”) </w:t>
      </w:r>
      <w:r w:rsidR="005808DE">
        <w:rPr>
          <w:rFonts w:ascii="Times New Roman" w:hAnsi="Times New Roman" w:cs="Times New Roman"/>
        </w:rPr>
        <w:t xml:space="preserve">of less than </w:t>
      </w:r>
      <w:r w:rsidR="00DA13FB">
        <w:rPr>
          <w:rFonts w:ascii="Times New Roman" w:hAnsi="Times New Roman" w:cs="Times New Roman"/>
        </w:rPr>
        <w:t xml:space="preserve">MAD </w:t>
      </w:r>
      <w:r w:rsidR="005808DE">
        <w:rPr>
          <w:rFonts w:ascii="Times New Roman" w:hAnsi="Times New Roman" w:cs="Times New Roman"/>
        </w:rPr>
        <w:t>20 million are signed by the director and the upper ones are signed by the S</w:t>
      </w:r>
      <w:r w:rsidR="00801F03">
        <w:rPr>
          <w:rFonts w:ascii="Times New Roman" w:hAnsi="Times New Roman" w:cs="Times New Roman"/>
        </w:rPr>
        <w:t xml:space="preserve">ecretary </w:t>
      </w:r>
      <w:r w:rsidR="005808DE">
        <w:rPr>
          <w:rFonts w:ascii="Times New Roman" w:hAnsi="Times New Roman" w:cs="Times New Roman"/>
        </w:rPr>
        <w:t>G</w:t>
      </w:r>
      <w:r w:rsidR="00801F03">
        <w:rPr>
          <w:rFonts w:ascii="Times New Roman" w:hAnsi="Times New Roman" w:cs="Times New Roman"/>
        </w:rPr>
        <w:t>eneral</w:t>
      </w:r>
      <w:r w:rsidR="005808DE">
        <w:rPr>
          <w:rFonts w:ascii="Times New Roman" w:hAnsi="Times New Roman" w:cs="Times New Roman"/>
        </w:rPr>
        <w:t xml:space="preserve"> of the ministry. This mechanism seems to be well mastered. However, delays are frequent in the evaluation of bids phase.</w:t>
      </w:r>
    </w:p>
    <w:p w14:paraId="43ECB55A" w14:textId="3DDD2E43" w:rsidR="00292941" w:rsidRPr="00BC7BB5" w:rsidRDefault="00292941" w:rsidP="00422BC8">
      <w:pPr>
        <w:pStyle w:val="Subtitle"/>
        <w:numPr>
          <w:ilvl w:val="0"/>
          <w:numId w:val="14"/>
        </w:numPr>
        <w:rPr>
          <w:rFonts w:eastAsia="MS Mincho"/>
          <w:b w:val="0"/>
        </w:rPr>
      </w:pPr>
      <w:r w:rsidRPr="00BC7BB5">
        <w:rPr>
          <w:rFonts w:eastAsia="MS Mincho"/>
          <w:b w:val="0"/>
          <w:i/>
        </w:rPr>
        <w:t>ONSSA.</w:t>
      </w:r>
      <w:r w:rsidRPr="00BC7BB5">
        <w:rPr>
          <w:rFonts w:eastAsia="MS Mincho"/>
          <w:b w:val="0"/>
        </w:rPr>
        <w:t xml:space="preserve"> As SOE, ONSSA has its own procurement regulations dated February 18, 2014. It is largely </w:t>
      </w:r>
      <w:r w:rsidR="008B72BC">
        <w:rPr>
          <w:rFonts w:eastAsia="MS Mincho"/>
          <w:b w:val="0"/>
        </w:rPr>
        <w:t>consistent with</w:t>
      </w:r>
      <w:r w:rsidRPr="00BC7BB5">
        <w:rPr>
          <w:rFonts w:eastAsia="MS Mincho"/>
          <w:b w:val="0"/>
        </w:rPr>
        <w:t xml:space="preserve"> the Public Procurement Decree and is complemented by a manual of procedures, which includes specific details on procurement and contracts execution as well as the roles and responsibilities of different actors involved. ONSSA is not yet eligible to full post review of its procurement (</w:t>
      </w:r>
      <w:r w:rsidRPr="00BC7BB5">
        <w:rPr>
          <w:rFonts w:eastAsia="MS Mincho"/>
          <w:b w:val="0"/>
          <w:i/>
        </w:rPr>
        <w:t>contrôle modulé de la dépense</w:t>
      </w:r>
      <w:r w:rsidRPr="00BC7BB5">
        <w:rPr>
          <w:rFonts w:eastAsia="MS Mincho"/>
          <w:b w:val="0"/>
        </w:rPr>
        <w:t xml:space="preserve">), which implies that its procurement activities are still subject to the review of the DEPP </w:t>
      </w:r>
      <w:r w:rsidRPr="00BC7BB5">
        <w:rPr>
          <w:rFonts w:eastAsia="MS Mincho"/>
          <w:b w:val="0"/>
          <w:i/>
        </w:rPr>
        <w:t>(“Contrôleur d’Etat</w:t>
      </w:r>
      <w:r w:rsidRPr="00BC7BB5">
        <w:rPr>
          <w:rFonts w:eastAsia="MS Mincho"/>
          <w:b w:val="0"/>
        </w:rPr>
        <w:t>”) with regard to the respect of procedures and provisions of the PPD.</w:t>
      </w:r>
    </w:p>
    <w:p w14:paraId="6AF6101D" w14:textId="6A44D834" w:rsidR="00292941" w:rsidRPr="00D873E4" w:rsidRDefault="00292941" w:rsidP="00422BC8">
      <w:pPr>
        <w:pStyle w:val="Subtitle"/>
        <w:numPr>
          <w:ilvl w:val="0"/>
          <w:numId w:val="14"/>
        </w:numPr>
        <w:spacing w:after="240"/>
        <w:rPr>
          <w:b w:val="0"/>
        </w:rPr>
      </w:pPr>
      <w:r w:rsidRPr="00BC7BB5">
        <w:rPr>
          <w:rFonts w:eastAsia="MS Mincho"/>
          <w:b w:val="0"/>
          <w:i/>
        </w:rPr>
        <w:t xml:space="preserve"> Rabat </w:t>
      </w:r>
      <w:r w:rsidR="00CB60AB">
        <w:rPr>
          <w:rFonts w:eastAsia="MS Mincho"/>
          <w:b w:val="0"/>
          <w:i/>
        </w:rPr>
        <w:t xml:space="preserve">Région </w:t>
      </w:r>
      <w:r w:rsidRPr="00BC7BB5">
        <w:rPr>
          <w:rFonts w:eastAsia="MS Mincho"/>
          <w:b w:val="0"/>
          <w:i/>
        </w:rPr>
        <w:t>Aménagement</w:t>
      </w:r>
      <w:r w:rsidRPr="00BC7BB5">
        <w:rPr>
          <w:b w:val="0"/>
          <w:i/>
        </w:rPr>
        <w:t xml:space="preserve"> </w:t>
      </w:r>
      <w:r w:rsidR="00312192">
        <w:rPr>
          <w:b w:val="0"/>
          <w:i/>
        </w:rPr>
        <w:t xml:space="preserve">(RRA) </w:t>
      </w:r>
      <w:r w:rsidRPr="00BC7BB5">
        <w:rPr>
          <w:rFonts w:eastAsia="MS Mincho"/>
          <w:b w:val="0"/>
        </w:rPr>
        <w:t xml:space="preserve">has its own procurement regulations which are largely </w:t>
      </w:r>
      <w:r w:rsidR="008B72BC">
        <w:rPr>
          <w:rFonts w:eastAsia="MS Mincho"/>
          <w:b w:val="0"/>
        </w:rPr>
        <w:t>consistent with</w:t>
      </w:r>
      <w:r w:rsidRPr="00BC7BB5">
        <w:rPr>
          <w:rFonts w:eastAsia="MS Mincho"/>
          <w:b w:val="0"/>
        </w:rPr>
        <w:t xml:space="preserve"> the Public Procurement Decree. The procedures manual is under approval. Procurement activities for </w:t>
      </w:r>
      <w:r w:rsidR="00312192">
        <w:rPr>
          <w:rFonts w:eastAsia="MS Mincho"/>
          <w:b w:val="0"/>
          <w:i/>
        </w:rPr>
        <w:t>RRA</w:t>
      </w:r>
      <w:r w:rsidRPr="00BC7BB5">
        <w:rPr>
          <w:b w:val="0"/>
          <w:i/>
        </w:rPr>
        <w:t xml:space="preserve"> </w:t>
      </w:r>
      <w:r w:rsidRPr="00BC7BB5">
        <w:rPr>
          <w:rFonts w:eastAsia="MS Mincho"/>
          <w:b w:val="0"/>
        </w:rPr>
        <w:t xml:space="preserve">are subject only to post review by DEPP (entity eligible for </w:t>
      </w:r>
      <w:r w:rsidRPr="00BC7BB5">
        <w:rPr>
          <w:rFonts w:eastAsia="MS Mincho"/>
          <w:b w:val="0"/>
          <w:i/>
        </w:rPr>
        <w:t>contrôle modulé de la dépense</w:t>
      </w:r>
      <w:r w:rsidRPr="00BC7BB5">
        <w:rPr>
          <w:rFonts w:eastAsia="MS Mincho"/>
          <w:b w:val="0"/>
        </w:rPr>
        <w:t>). This allows more flexibility in procurement.</w:t>
      </w:r>
      <w:r w:rsidR="00D873E4">
        <w:rPr>
          <w:rFonts w:eastAsia="MS Mincho"/>
          <w:b w:val="0"/>
        </w:rPr>
        <w:t xml:space="preserve"> </w:t>
      </w:r>
      <w:r w:rsidR="00D873E4" w:rsidRPr="00D873E4">
        <w:rPr>
          <w:b w:val="0"/>
        </w:rPr>
        <w:t>Created in 2014 as a limited liability company with public capital, RRA</w:t>
      </w:r>
      <w:r w:rsidR="00D873E4">
        <w:rPr>
          <w:b w:val="0"/>
        </w:rPr>
        <w:t>,</w:t>
      </w:r>
      <w:r w:rsidR="00D873E4" w:rsidRPr="00D873E4">
        <w:rPr>
          <w:b w:val="0"/>
        </w:rPr>
        <w:t xml:space="preserve"> a </w:t>
      </w:r>
      <w:r w:rsidR="00D873E4">
        <w:rPr>
          <w:b w:val="0"/>
          <w:i/>
        </w:rPr>
        <w:t>“société de dé</w:t>
      </w:r>
      <w:r w:rsidR="00D873E4" w:rsidRPr="00D873E4">
        <w:rPr>
          <w:b w:val="0"/>
          <w:i/>
        </w:rPr>
        <w:t>veloppement local” (SDLs)</w:t>
      </w:r>
      <w:r w:rsidR="00D873E4">
        <w:rPr>
          <w:b w:val="0"/>
          <w:i/>
        </w:rPr>
        <w:t>,</w:t>
      </w:r>
      <w:r w:rsidR="00D873E4" w:rsidRPr="00D873E4">
        <w:rPr>
          <w:b w:val="0"/>
        </w:rPr>
        <w:t xml:space="preserve"> is a </w:t>
      </w:r>
      <w:r w:rsidR="00D873E4" w:rsidRPr="00D873E4">
        <w:rPr>
          <w:b w:val="0"/>
        </w:rPr>
        <w:lastRenderedPageBreak/>
        <w:t>relatively new entity, with a short history with regards to its fiduciary performance in implementing projects. In the absence of audit reports, implementation reports of projects/program since its creation, the fiduciary assessment could not review the performance and achievements regarding procurement aspects. During the last three years (2015-2017), RRA</w:t>
      </w:r>
      <w:r w:rsidR="00D873E4">
        <w:rPr>
          <w:b w:val="0"/>
        </w:rPr>
        <w:t>,</w:t>
      </w:r>
      <w:r w:rsidR="00D873E4" w:rsidRPr="00D873E4">
        <w:rPr>
          <w:b w:val="0"/>
        </w:rPr>
        <w:t xml:space="preserve"> as a delegated manager, has accumulated considerable experience in different types of procurement (</w:t>
      </w:r>
      <w:r w:rsidR="00DA13FB">
        <w:rPr>
          <w:b w:val="0"/>
        </w:rPr>
        <w:t>w</w:t>
      </w:r>
      <w:r w:rsidR="00D873E4" w:rsidRPr="00D873E4">
        <w:rPr>
          <w:b w:val="0"/>
        </w:rPr>
        <w:t xml:space="preserve">orks, consulting services, </w:t>
      </w:r>
      <w:r w:rsidR="00DA13FB">
        <w:rPr>
          <w:b w:val="0"/>
        </w:rPr>
        <w:t>g</w:t>
      </w:r>
      <w:r w:rsidR="00D873E4" w:rsidRPr="00D873E4">
        <w:rPr>
          <w:b w:val="0"/>
        </w:rPr>
        <w:t>oods). Indeed, RRA has signed more than 350 contracts</w:t>
      </w:r>
      <w:r w:rsidR="00DA13FB">
        <w:rPr>
          <w:b w:val="0"/>
        </w:rPr>
        <w:t>,</w:t>
      </w:r>
      <w:r w:rsidR="00D873E4" w:rsidRPr="00D873E4">
        <w:rPr>
          <w:b w:val="0"/>
        </w:rPr>
        <w:t xml:space="preserve"> including 242 for works and 105 for consulting services for a total value of </w:t>
      </w:r>
      <w:r w:rsidR="00DA13FB">
        <w:rPr>
          <w:b w:val="0"/>
        </w:rPr>
        <w:t xml:space="preserve">MAD </w:t>
      </w:r>
      <w:r w:rsidR="00D873E4" w:rsidRPr="00D873E4">
        <w:rPr>
          <w:b w:val="0"/>
        </w:rPr>
        <w:t>3,745 million. The most important contracts awarded in the last two years include the following: project management services (</w:t>
      </w:r>
      <w:r w:rsidR="00DA13FB">
        <w:rPr>
          <w:b w:val="0"/>
        </w:rPr>
        <w:t xml:space="preserve">MAD </w:t>
      </w:r>
      <w:r w:rsidR="00D873E4" w:rsidRPr="00D873E4">
        <w:rPr>
          <w:b w:val="0"/>
        </w:rPr>
        <w:t>213 million), consulting services (</w:t>
      </w:r>
      <w:r w:rsidR="00DA13FB">
        <w:rPr>
          <w:b w:val="0"/>
        </w:rPr>
        <w:t xml:space="preserve">MAD </w:t>
      </w:r>
      <w:r w:rsidR="00D873E4" w:rsidRPr="00D873E4">
        <w:rPr>
          <w:b w:val="0"/>
        </w:rPr>
        <w:t>175 million), studies (</w:t>
      </w:r>
      <w:r w:rsidR="00DA13FB">
        <w:rPr>
          <w:b w:val="0"/>
        </w:rPr>
        <w:t xml:space="preserve">MAD </w:t>
      </w:r>
      <w:r w:rsidR="00D873E4" w:rsidRPr="00D873E4">
        <w:rPr>
          <w:b w:val="0"/>
        </w:rPr>
        <w:t>4.7 million) and architectural services</w:t>
      </w:r>
      <w:r w:rsidR="00D873E4">
        <w:rPr>
          <w:b w:val="0"/>
        </w:rPr>
        <w:t xml:space="preserve"> (</w:t>
      </w:r>
      <w:r w:rsidR="00DA13FB">
        <w:rPr>
          <w:b w:val="0"/>
        </w:rPr>
        <w:t xml:space="preserve">Euro </w:t>
      </w:r>
      <w:r w:rsidR="00D873E4">
        <w:rPr>
          <w:b w:val="0"/>
        </w:rPr>
        <w:t>8 million). Although there are</w:t>
      </w:r>
      <w:r w:rsidR="00D873E4" w:rsidRPr="00D873E4">
        <w:rPr>
          <w:b w:val="0"/>
        </w:rPr>
        <w:t xml:space="preserve"> statistics available on performance and achievements, it is noted an upward trend in unsuccess</w:t>
      </w:r>
      <w:r w:rsidR="00D873E4">
        <w:rPr>
          <w:b w:val="0"/>
        </w:rPr>
        <w:t xml:space="preserve">ful tenders over the </w:t>
      </w:r>
      <w:r w:rsidR="00DA13FB">
        <w:rPr>
          <w:b w:val="0"/>
        </w:rPr>
        <w:t>three-</w:t>
      </w:r>
      <w:r w:rsidR="00D873E4">
        <w:rPr>
          <w:b w:val="0"/>
        </w:rPr>
        <w:t>year</w:t>
      </w:r>
      <w:r w:rsidR="00D873E4" w:rsidRPr="00D873E4">
        <w:rPr>
          <w:b w:val="0"/>
        </w:rPr>
        <w:t xml:space="preserve"> period under consideration</w:t>
      </w:r>
      <w:r w:rsidR="00D873E4">
        <w:rPr>
          <w:b w:val="0"/>
        </w:rPr>
        <w:t>.</w:t>
      </w:r>
    </w:p>
    <w:p w14:paraId="7CD5213E" w14:textId="62C1AF65" w:rsidR="00292941" w:rsidRPr="00BC7BB5" w:rsidRDefault="00292941" w:rsidP="00422BC8">
      <w:pPr>
        <w:pStyle w:val="ListParagraph"/>
        <w:numPr>
          <w:ilvl w:val="0"/>
          <w:numId w:val="15"/>
        </w:numPr>
        <w:autoSpaceDE w:val="0"/>
        <w:autoSpaceDN w:val="0"/>
        <w:adjustRightInd w:val="0"/>
        <w:spacing w:before="120" w:after="120" w:line="240" w:lineRule="auto"/>
        <w:ind w:left="0" w:firstLine="0"/>
        <w:contextualSpacing w:val="0"/>
        <w:jc w:val="both"/>
        <w:rPr>
          <w:rFonts w:ascii="Times New Roman" w:hAnsi="Times New Roman" w:cs="Times New Roman"/>
        </w:rPr>
      </w:pPr>
      <w:r w:rsidRPr="00BC7BB5">
        <w:rPr>
          <w:rFonts w:ascii="Times New Roman" w:hAnsi="Times New Roman" w:cs="Times New Roman"/>
          <w:b/>
        </w:rPr>
        <w:t>Contract administration</w:t>
      </w:r>
      <w:r w:rsidRPr="00BC7BB5">
        <w:rPr>
          <w:rFonts w:ascii="Times New Roman" w:hAnsi="Times New Roman" w:cs="Times New Roman"/>
        </w:rPr>
        <w:t>. Contract administration by each implementing agency will follow the below modalities:</w:t>
      </w:r>
    </w:p>
    <w:p w14:paraId="624E3009" w14:textId="5D9C91F7" w:rsidR="005808DE" w:rsidRDefault="00292941" w:rsidP="005808DE">
      <w:pPr>
        <w:pStyle w:val="Subtitle"/>
        <w:numPr>
          <w:ilvl w:val="0"/>
          <w:numId w:val="59"/>
        </w:numPr>
        <w:rPr>
          <w:rFonts w:eastAsia="MS Mincho"/>
          <w:b w:val="0"/>
        </w:rPr>
      </w:pPr>
      <w:r w:rsidRPr="00BC7BB5">
        <w:rPr>
          <w:b w:val="0"/>
          <w:i/>
          <w:color w:val="000000" w:themeColor="text1"/>
          <w:lang w:eastAsia="fr-FR"/>
        </w:rPr>
        <w:t xml:space="preserve">MAPMDREF. </w:t>
      </w:r>
      <w:r w:rsidRPr="00BC7BB5">
        <w:rPr>
          <w:rFonts w:eastAsia="MS Mincho"/>
          <w:b w:val="0"/>
        </w:rPr>
        <w:t>Each one of the departments involved in the implementation of the program has a budget authority (</w:t>
      </w:r>
      <w:r w:rsidRPr="00BC7BB5">
        <w:rPr>
          <w:rFonts w:eastAsia="MS Mincho"/>
          <w:b w:val="0"/>
          <w:i/>
        </w:rPr>
        <w:t>sous-ordonnateur</w:t>
      </w:r>
      <w:r w:rsidRPr="00BC7BB5">
        <w:rPr>
          <w:rFonts w:eastAsia="MS Mincho"/>
          <w:b w:val="0"/>
        </w:rPr>
        <w:t xml:space="preserve">) and will be </w:t>
      </w:r>
      <w:r w:rsidR="00BB5B2C" w:rsidRPr="00BC7BB5">
        <w:rPr>
          <w:rFonts w:eastAsia="MS Mincho"/>
          <w:b w:val="0"/>
        </w:rPr>
        <w:t>responsible for</w:t>
      </w:r>
      <w:r w:rsidRPr="00BC7BB5">
        <w:rPr>
          <w:rFonts w:eastAsia="MS Mincho"/>
          <w:b w:val="0"/>
        </w:rPr>
        <w:t xml:space="preserve"> implementing the activities under its responsibility including contract management. Given its transversal role the </w:t>
      </w:r>
      <w:r w:rsidR="00BB5B2C" w:rsidRPr="00BC7BB5">
        <w:rPr>
          <w:rFonts w:eastAsia="MS Mincho"/>
          <w:b w:val="0"/>
        </w:rPr>
        <w:t>D</w:t>
      </w:r>
      <w:r w:rsidRPr="00BC7BB5">
        <w:rPr>
          <w:rFonts w:eastAsia="MS Mincho"/>
          <w:b w:val="0"/>
        </w:rPr>
        <w:t xml:space="preserve">epartment of Finance </w:t>
      </w:r>
      <w:r w:rsidR="00BB5B2C" w:rsidRPr="00BC7BB5">
        <w:rPr>
          <w:rFonts w:eastAsia="MS Mincho"/>
          <w:b w:val="0"/>
        </w:rPr>
        <w:t xml:space="preserve">(DF) </w:t>
      </w:r>
      <w:r w:rsidRPr="00BC7BB5">
        <w:rPr>
          <w:rFonts w:eastAsia="MS Mincho"/>
          <w:b w:val="0"/>
        </w:rPr>
        <w:t xml:space="preserve">has large experience in contract management including in projects supported by donors.  </w:t>
      </w:r>
      <w:r w:rsidRPr="00BC7BB5">
        <w:rPr>
          <w:b w:val="0"/>
        </w:rPr>
        <w:t>The setting</w:t>
      </w:r>
      <w:r w:rsidR="00BB5B2C" w:rsidRPr="00BC7BB5">
        <w:rPr>
          <w:b w:val="0"/>
        </w:rPr>
        <w:t>-</w:t>
      </w:r>
      <w:r w:rsidRPr="00BC7BB5">
        <w:rPr>
          <w:b w:val="0"/>
        </w:rPr>
        <w:t xml:space="preserve">up of the </w:t>
      </w:r>
      <w:r w:rsidR="00BB5B2C" w:rsidRPr="00BC7BB5">
        <w:rPr>
          <w:b w:val="0"/>
        </w:rPr>
        <w:t>integrated</w:t>
      </w:r>
      <w:r w:rsidRPr="00BC7BB5">
        <w:rPr>
          <w:rFonts w:eastAsia="MS Mincho"/>
          <w:b w:val="0"/>
        </w:rPr>
        <w:t xml:space="preserve"> financial management </w:t>
      </w:r>
      <w:r w:rsidR="00BB5B2C" w:rsidRPr="00BC7BB5">
        <w:rPr>
          <w:rFonts w:eastAsia="MS Mincho"/>
          <w:b w:val="0"/>
        </w:rPr>
        <w:t>system (including</w:t>
      </w:r>
      <w:r w:rsidRPr="00BC7BB5">
        <w:rPr>
          <w:rFonts w:eastAsia="MS Mincho"/>
          <w:b w:val="0"/>
        </w:rPr>
        <w:t xml:space="preserve"> procurement</w:t>
      </w:r>
      <w:r w:rsidR="00BB5B2C" w:rsidRPr="00BC7BB5">
        <w:rPr>
          <w:rFonts w:eastAsia="MS Mincho"/>
          <w:b w:val="0"/>
        </w:rPr>
        <w:t>)</w:t>
      </w:r>
      <w:r w:rsidRPr="00BC7BB5">
        <w:rPr>
          <w:rFonts w:eastAsia="MS Mincho"/>
          <w:b w:val="0"/>
        </w:rPr>
        <w:t xml:space="preserve"> will be very useful as it will allow to generate consolidate reports, </w:t>
      </w:r>
      <w:r w:rsidR="00BB5B2C" w:rsidRPr="00BC7BB5">
        <w:rPr>
          <w:rFonts w:eastAsia="MS Mincho"/>
          <w:b w:val="0"/>
        </w:rPr>
        <w:t xml:space="preserve">and </w:t>
      </w:r>
      <w:r w:rsidRPr="00BC7BB5">
        <w:rPr>
          <w:rFonts w:eastAsia="MS Mincho"/>
          <w:b w:val="0"/>
        </w:rPr>
        <w:t xml:space="preserve">to do analysis and performance evaluation on the execution of procurement plans.  </w:t>
      </w:r>
      <w:r w:rsidR="005808DE">
        <w:rPr>
          <w:rFonts w:eastAsia="MS Mincho"/>
          <w:b w:val="0"/>
        </w:rPr>
        <w:t xml:space="preserve">In term of evaluation and audit, all contracts are reviewed by the IGA (General Inspectorate of the ministry). Contracts higher than </w:t>
      </w:r>
      <w:r w:rsidR="00DA13FB">
        <w:rPr>
          <w:rFonts w:eastAsia="MS Mincho"/>
          <w:b w:val="0"/>
        </w:rPr>
        <w:t xml:space="preserve">MAD </w:t>
      </w:r>
      <w:r w:rsidR="005808DE">
        <w:rPr>
          <w:rFonts w:eastAsia="MS Mincho"/>
          <w:b w:val="0"/>
        </w:rPr>
        <w:t>5 million are systematically reviewed while the lower</w:t>
      </w:r>
      <w:r w:rsidR="00801F03">
        <w:rPr>
          <w:rFonts w:eastAsia="MS Mincho"/>
          <w:b w:val="0"/>
        </w:rPr>
        <w:t>-value</w:t>
      </w:r>
      <w:r w:rsidR="005808DE">
        <w:rPr>
          <w:rFonts w:eastAsia="MS Mincho"/>
          <w:b w:val="0"/>
        </w:rPr>
        <w:t xml:space="preserve"> contracts are reviewed on the basis of </w:t>
      </w:r>
      <w:r w:rsidR="00801F03">
        <w:rPr>
          <w:rFonts w:eastAsia="MS Mincho"/>
          <w:b w:val="0"/>
        </w:rPr>
        <w:t xml:space="preserve">a </w:t>
      </w:r>
      <w:r w:rsidR="005808DE">
        <w:rPr>
          <w:rFonts w:eastAsia="MS Mincho"/>
          <w:b w:val="0"/>
        </w:rPr>
        <w:t>sample of 10 to 20</w:t>
      </w:r>
      <w:r w:rsidR="00801F03">
        <w:rPr>
          <w:rFonts w:eastAsia="MS Mincho"/>
          <w:b w:val="0"/>
        </w:rPr>
        <w:t xml:space="preserve"> percent</w:t>
      </w:r>
      <w:r w:rsidR="005808DE">
        <w:rPr>
          <w:rFonts w:eastAsia="MS Mincho"/>
          <w:b w:val="0"/>
        </w:rPr>
        <w:t>. The IGA produces an annual report with risk mapping and an action plan for the implementation of the recommendations. In 2016</w:t>
      </w:r>
      <w:r w:rsidR="00DA13FB">
        <w:rPr>
          <w:rFonts w:eastAsia="MS Mincho"/>
          <w:b w:val="0"/>
        </w:rPr>
        <w:t>,</w:t>
      </w:r>
      <w:r w:rsidR="005808DE">
        <w:rPr>
          <w:rFonts w:eastAsia="MS Mincho"/>
          <w:b w:val="0"/>
        </w:rPr>
        <w:t xml:space="preserve"> the audit conducted by IGA covered 90 contracts above </w:t>
      </w:r>
      <w:r w:rsidR="00DA13FB">
        <w:rPr>
          <w:rFonts w:eastAsia="MS Mincho"/>
          <w:b w:val="0"/>
        </w:rPr>
        <w:t xml:space="preserve">MAD </w:t>
      </w:r>
      <w:r w:rsidR="005808DE">
        <w:rPr>
          <w:rFonts w:eastAsia="MS Mincho"/>
          <w:b w:val="0"/>
        </w:rPr>
        <w:t xml:space="preserve">5 million and a few dozen small contracts for which the risks identified were rated moderate to low. </w:t>
      </w:r>
    </w:p>
    <w:p w14:paraId="626BA4C6" w14:textId="426F7004" w:rsidR="00292941" w:rsidRPr="00BC7BB5" w:rsidRDefault="00292941" w:rsidP="00292941">
      <w:pPr>
        <w:pStyle w:val="Subtitle"/>
        <w:numPr>
          <w:ilvl w:val="0"/>
          <w:numId w:val="0"/>
        </w:numPr>
        <w:ind w:left="720"/>
        <w:rPr>
          <w:rFonts w:eastAsia="MS Mincho"/>
          <w:b w:val="0"/>
        </w:rPr>
      </w:pPr>
      <w:r w:rsidRPr="00BC7BB5">
        <w:rPr>
          <w:b w:val="0"/>
        </w:rPr>
        <w:t xml:space="preserve">b. </w:t>
      </w:r>
      <w:r w:rsidRPr="00BC7BB5">
        <w:rPr>
          <w:rFonts w:eastAsia="MS Mincho"/>
          <w:b w:val="0"/>
          <w:i/>
        </w:rPr>
        <w:t>ONSSA.</w:t>
      </w:r>
      <w:r w:rsidRPr="00BC7BB5">
        <w:rPr>
          <w:b w:val="0"/>
          <w:i/>
        </w:rPr>
        <w:t xml:space="preserve"> </w:t>
      </w:r>
      <w:r w:rsidRPr="00BC7BB5">
        <w:rPr>
          <w:rFonts w:eastAsia="MS Mincho"/>
          <w:b w:val="0"/>
        </w:rPr>
        <w:t>Based on the data provided, ONSSA has good track record on procurement with 98</w:t>
      </w:r>
      <w:r w:rsidR="00BB5B2C" w:rsidRPr="00BC7BB5">
        <w:rPr>
          <w:rFonts w:eastAsia="MS Mincho"/>
          <w:b w:val="0"/>
        </w:rPr>
        <w:t xml:space="preserve"> percent</w:t>
      </w:r>
      <w:r w:rsidRPr="00BC7BB5">
        <w:rPr>
          <w:rFonts w:eastAsia="MS Mincho"/>
          <w:b w:val="0"/>
        </w:rPr>
        <w:t xml:space="preserve"> of </w:t>
      </w:r>
      <w:r w:rsidR="00BB5B2C" w:rsidRPr="00BC7BB5">
        <w:rPr>
          <w:rFonts w:eastAsia="MS Mincho"/>
          <w:b w:val="0"/>
        </w:rPr>
        <w:t xml:space="preserve">its </w:t>
      </w:r>
      <w:r w:rsidRPr="00BC7BB5">
        <w:rPr>
          <w:rFonts w:eastAsia="MS Mincho"/>
          <w:b w:val="0"/>
        </w:rPr>
        <w:t>investment budget committed in 2016. Furthermore, the audit reports in 2015 and 2016 did not raise concern related to procurement, and payment delay</w:t>
      </w:r>
      <w:r w:rsidR="00BB5B2C" w:rsidRPr="00BC7BB5">
        <w:rPr>
          <w:rFonts w:eastAsia="MS Mincho"/>
          <w:b w:val="0"/>
        </w:rPr>
        <w:t>s</w:t>
      </w:r>
      <w:r w:rsidRPr="00BC7BB5">
        <w:rPr>
          <w:rFonts w:eastAsia="MS Mincho"/>
          <w:b w:val="0"/>
        </w:rPr>
        <w:t xml:space="preserve"> have </w:t>
      </w:r>
      <w:r w:rsidR="00BB5B2C" w:rsidRPr="00BC7BB5">
        <w:rPr>
          <w:rFonts w:eastAsia="MS Mincho"/>
          <w:b w:val="0"/>
        </w:rPr>
        <w:t>reduced</w:t>
      </w:r>
      <w:r w:rsidRPr="00BC7BB5">
        <w:rPr>
          <w:rFonts w:eastAsia="MS Mincho"/>
          <w:b w:val="0"/>
        </w:rPr>
        <w:t xml:space="preserve">. ONSSA have dedicated staff for procurement at central and regional levels. In 2017, it is planned to hire two additional staff to reinforce the procurement unit with the Finance and </w:t>
      </w:r>
      <w:r w:rsidR="00BB5B2C" w:rsidRPr="00BC7BB5">
        <w:rPr>
          <w:rFonts w:eastAsia="MS Mincho"/>
          <w:b w:val="0"/>
        </w:rPr>
        <w:t>A</w:t>
      </w:r>
      <w:r w:rsidRPr="00BC7BB5">
        <w:rPr>
          <w:rFonts w:eastAsia="MS Mincho"/>
          <w:b w:val="0"/>
        </w:rPr>
        <w:t>dministrati</w:t>
      </w:r>
      <w:r w:rsidR="00BB5B2C" w:rsidRPr="00BC7BB5">
        <w:rPr>
          <w:rFonts w:eastAsia="MS Mincho"/>
          <w:b w:val="0"/>
        </w:rPr>
        <w:t>on</w:t>
      </w:r>
      <w:r w:rsidRPr="00BC7BB5">
        <w:rPr>
          <w:rFonts w:eastAsia="MS Mincho"/>
          <w:b w:val="0"/>
        </w:rPr>
        <w:t xml:space="preserve"> </w:t>
      </w:r>
      <w:r w:rsidR="00BB5B2C" w:rsidRPr="00BC7BB5">
        <w:rPr>
          <w:rFonts w:eastAsia="MS Mincho"/>
          <w:b w:val="0"/>
        </w:rPr>
        <w:t>D</w:t>
      </w:r>
      <w:r w:rsidRPr="00BC7BB5">
        <w:rPr>
          <w:rFonts w:eastAsia="MS Mincho"/>
          <w:b w:val="0"/>
        </w:rPr>
        <w:t xml:space="preserve">epartment. </w:t>
      </w:r>
    </w:p>
    <w:p w14:paraId="569D3531" w14:textId="77777777" w:rsidR="00292941" w:rsidRPr="00BC7BB5" w:rsidRDefault="00292941" w:rsidP="00292941">
      <w:pPr>
        <w:pStyle w:val="ListParagraph"/>
        <w:autoSpaceDE w:val="0"/>
        <w:autoSpaceDN w:val="0"/>
        <w:adjustRightInd w:val="0"/>
        <w:spacing w:after="0" w:line="240" w:lineRule="auto"/>
        <w:rPr>
          <w:rFonts w:ascii="Times New Roman" w:hAnsi="Times New Roman" w:cs="Times New Roman"/>
        </w:rPr>
      </w:pPr>
    </w:p>
    <w:p w14:paraId="65EC1152" w14:textId="1F6E8C9D" w:rsidR="005808DE" w:rsidRDefault="00292941" w:rsidP="005808DE">
      <w:pPr>
        <w:pStyle w:val="ListParagraph"/>
        <w:autoSpaceDE w:val="0"/>
        <w:autoSpaceDN w:val="0"/>
        <w:adjustRightInd w:val="0"/>
        <w:spacing w:after="0" w:line="240" w:lineRule="auto"/>
        <w:jc w:val="both"/>
        <w:rPr>
          <w:rFonts w:ascii="Times New Roman" w:hAnsi="Times New Roman" w:cs="Times New Roman"/>
        </w:rPr>
      </w:pPr>
      <w:r w:rsidRPr="00BC7BB5">
        <w:rPr>
          <w:rFonts w:ascii="Times New Roman" w:eastAsia="MS Mincho" w:hAnsi="Times New Roman" w:cs="Times New Roman"/>
          <w:i/>
        </w:rPr>
        <w:t xml:space="preserve">c. Rabat </w:t>
      </w:r>
      <w:r w:rsidR="00CB60AB">
        <w:rPr>
          <w:rFonts w:ascii="Times New Roman" w:eastAsia="MS Mincho" w:hAnsi="Times New Roman" w:cs="Times New Roman"/>
          <w:i/>
        </w:rPr>
        <w:t xml:space="preserve">Région </w:t>
      </w:r>
      <w:r w:rsidRPr="00BC7BB5">
        <w:rPr>
          <w:rFonts w:ascii="Times New Roman" w:eastAsia="MS Mincho" w:hAnsi="Times New Roman" w:cs="Times New Roman"/>
          <w:i/>
        </w:rPr>
        <w:t>Am</w:t>
      </w:r>
      <w:r w:rsidR="00FA27AA" w:rsidRPr="00BC7BB5">
        <w:rPr>
          <w:rFonts w:ascii="Times New Roman" w:eastAsia="MS Mincho" w:hAnsi="Times New Roman" w:cs="Times New Roman"/>
          <w:i/>
        </w:rPr>
        <w:t>é</w:t>
      </w:r>
      <w:r w:rsidRPr="00BC7BB5">
        <w:rPr>
          <w:rFonts w:ascii="Times New Roman" w:eastAsia="MS Mincho" w:hAnsi="Times New Roman" w:cs="Times New Roman"/>
          <w:i/>
        </w:rPr>
        <w:t>nagement</w:t>
      </w:r>
      <w:r w:rsidRPr="00BC7BB5">
        <w:rPr>
          <w:rFonts w:ascii="Times New Roman" w:hAnsi="Times New Roman" w:cs="Times New Roman"/>
          <w:i/>
        </w:rPr>
        <w:t>.</w:t>
      </w:r>
      <w:r w:rsidRPr="00BC7BB5">
        <w:rPr>
          <w:rFonts w:ascii="Times New Roman" w:hAnsi="Times New Roman" w:cs="Times New Roman"/>
        </w:rPr>
        <w:t xml:space="preserve"> The Procurement department (“</w:t>
      </w:r>
      <w:r w:rsidRPr="00BC7BB5">
        <w:rPr>
          <w:rFonts w:ascii="Times New Roman" w:hAnsi="Times New Roman" w:cs="Times New Roman"/>
          <w:i/>
        </w:rPr>
        <w:t>Pole Achat”</w:t>
      </w:r>
      <w:r w:rsidRPr="00BC7BB5">
        <w:rPr>
          <w:rFonts w:ascii="Times New Roman" w:hAnsi="Times New Roman" w:cs="Times New Roman"/>
        </w:rPr>
        <w:t xml:space="preserve">) is in charge of procurement </w:t>
      </w:r>
      <w:r w:rsidR="00FA27AA" w:rsidRPr="00BC7BB5">
        <w:rPr>
          <w:rFonts w:ascii="Times New Roman" w:hAnsi="Times New Roman" w:cs="Times New Roman"/>
        </w:rPr>
        <w:t>at</w:t>
      </w:r>
      <w:r w:rsidRPr="00BC7BB5">
        <w:rPr>
          <w:rFonts w:ascii="Times New Roman" w:hAnsi="Times New Roman" w:cs="Times New Roman"/>
        </w:rPr>
        <w:t xml:space="preserve"> </w:t>
      </w:r>
      <w:r w:rsidR="00312192">
        <w:rPr>
          <w:rFonts w:ascii="Times New Roman" w:eastAsia="MS Mincho" w:hAnsi="Times New Roman" w:cs="Times New Roman"/>
        </w:rPr>
        <w:t>RRA</w:t>
      </w:r>
      <w:r w:rsidRPr="00BC7BB5">
        <w:rPr>
          <w:rFonts w:ascii="Times New Roman" w:hAnsi="Times New Roman" w:cs="Times New Roman"/>
        </w:rPr>
        <w:t>. The other departments (</w:t>
      </w:r>
      <w:r w:rsidRPr="00BC7BB5">
        <w:rPr>
          <w:rFonts w:ascii="Times New Roman" w:hAnsi="Times New Roman" w:cs="Times New Roman"/>
          <w:i/>
        </w:rPr>
        <w:t>am</w:t>
      </w:r>
      <w:r w:rsidR="00FA27AA" w:rsidRPr="00BC7BB5">
        <w:rPr>
          <w:rFonts w:ascii="Times New Roman" w:hAnsi="Times New Roman" w:cs="Times New Roman"/>
          <w:i/>
        </w:rPr>
        <w:t>é</w:t>
      </w:r>
      <w:r w:rsidRPr="00BC7BB5">
        <w:rPr>
          <w:rFonts w:ascii="Times New Roman" w:hAnsi="Times New Roman" w:cs="Times New Roman"/>
          <w:i/>
        </w:rPr>
        <w:t>nagement, habitat, patrimoine/culture, administration/finance, proximit</w:t>
      </w:r>
      <w:r w:rsidR="00FA27AA" w:rsidRPr="00BC7BB5">
        <w:rPr>
          <w:rFonts w:ascii="Times New Roman" w:hAnsi="Times New Roman" w:cs="Times New Roman"/>
          <w:i/>
        </w:rPr>
        <w:t>é</w:t>
      </w:r>
      <w:r w:rsidRPr="00BC7BB5">
        <w:rPr>
          <w:rFonts w:ascii="Times New Roman" w:hAnsi="Times New Roman" w:cs="Times New Roman"/>
          <w:i/>
        </w:rPr>
        <w:t>, grands projets</w:t>
      </w:r>
      <w:r w:rsidRPr="00BC7BB5">
        <w:rPr>
          <w:rFonts w:ascii="Times New Roman" w:hAnsi="Times New Roman" w:cs="Times New Roman"/>
        </w:rPr>
        <w:t>) are also involved, in the definition of their respective needs and the preparation of the technical specifications of bidding documents and the follow</w:t>
      </w:r>
      <w:r w:rsidR="00FA27AA" w:rsidRPr="00BC7BB5">
        <w:rPr>
          <w:rFonts w:ascii="Times New Roman" w:hAnsi="Times New Roman" w:cs="Times New Roman"/>
        </w:rPr>
        <w:t>-</w:t>
      </w:r>
      <w:r w:rsidRPr="00BC7BB5">
        <w:rPr>
          <w:rFonts w:ascii="Times New Roman" w:hAnsi="Times New Roman" w:cs="Times New Roman"/>
        </w:rPr>
        <w:t xml:space="preserve">up of contract execution. </w:t>
      </w:r>
      <w:r w:rsidR="00312192">
        <w:rPr>
          <w:rFonts w:ascii="Times New Roman" w:eastAsia="MS Mincho" w:hAnsi="Times New Roman" w:cs="Times New Roman"/>
          <w:i/>
        </w:rPr>
        <w:t>RRA</w:t>
      </w:r>
      <w:r w:rsidRPr="00BC7BB5">
        <w:rPr>
          <w:rFonts w:ascii="Times New Roman" w:eastAsia="MS Mincho" w:hAnsi="Times New Roman" w:cs="Times New Roman"/>
          <w:i/>
        </w:rPr>
        <w:t xml:space="preserve"> </w:t>
      </w:r>
      <w:r w:rsidRPr="00BC7BB5">
        <w:rPr>
          <w:rFonts w:ascii="Times New Roman" w:eastAsia="MS Mincho" w:hAnsi="Times New Roman" w:cs="Times New Roman"/>
        </w:rPr>
        <w:t>has limited staff (</w:t>
      </w:r>
      <w:r w:rsidR="00FA27AA" w:rsidRPr="00BC7BB5">
        <w:rPr>
          <w:rFonts w:ascii="Times New Roman" w:eastAsia="MS Mincho" w:hAnsi="Times New Roman" w:cs="Times New Roman"/>
        </w:rPr>
        <w:t>four</w:t>
      </w:r>
      <w:r w:rsidRPr="00BC7BB5">
        <w:rPr>
          <w:rFonts w:ascii="Times New Roman" w:eastAsia="MS Mincho" w:hAnsi="Times New Roman" w:cs="Times New Roman"/>
        </w:rPr>
        <w:t xml:space="preserve"> in the procurement unit) given its mandate and activities (budget of </w:t>
      </w:r>
      <w:r w:rsidR="00FA27AA" w:rsidRPr="00BC7BB5">
        <w:rPr>
          <w:rFonts w:ascii="Times New Roman" w:eastAsia="MS Mincho" w:hAnsi="Times New Roman" w:cs="Times New Roman"/>
        </w:rPr>
        <w:t xml:space="preserve">MAD </w:t>
      </w:r>
      <w:r w:rsidRPr="00BC7BB5">
        <w:rPr>
          <w:rFonts w:ascii="Times New Roman" w:eastAsia="MS Mincho" w:hAnsi="Times New Roman" w:cs="Times New Roman"/>
        </w:rPr>
        <w:t xml:space="preserve">9 billion for the period of 2014-2018). </w:t>
      </w:r>
      <w:r w:rsidR="005808DE">
        <w:rPr>
          <w:rFonts w:ascii="Times New Roman" w:hAnsi="Times New Roman" w:cs="Times New Roman"/>
        </w:rPr>
        <w:t xml:space="preserve">Created in 2014 as a limited liability company with public capital (SDLs), RRA is a relatively new entity, with </w:t>
      </w:r>
      <w:r w:rsidR="00801F03">
        <w:rPr>
          <w:rFonts w:ascii="Times New Roman" w:hAnsi="Times New Roman" w:cs="Times New Roman"/>
        </w:rPr>
        <w:t xml:space="preserve">a short history with regards to </w:t>
      </w:r>
      <w:r w:rsidR="005808DE">
        <w:rPr>
          <w:rFonts w:ascii="Times New Roman" w:hAnsi="Times New Roman" w:cs="Times New Roman"/>
        </w:rPr>
        <w:t xml:space="preserve">its fiduciary performance in implementing projects. In the absence of audit reports, implementation reports with achievements and performances of projects/program since its creation, the fiduciary assessment could not </w:t>
      </w:r>
      <w:r w:rsidR="00801F03">
        <w:rPr>
          <w:rFonts w:ascii="Times New Roman" w:hAnsi="Times New Roman" w:cs="Times New Roman"/>
        </w:rPr>
        <w:t>review</w:t>
      </w:r>
      <w:r w:rsidR="005808DE">
        <w:rPr>
          <w:rFonts w:ascii="Times New Roman" w:hAnsi="Times New Roman" w:cs="Times New Roman"/>
        </w:rPr>
        <w:t xml:space="preserve"> </w:t>
      </w:r>
      <w:r w:rsidR="00801F03">
        <w:rPr>
          <w:rFonts w:ascii="Times New Roman" w:hAnsi="Times New Roman" w:cs="Times New Roman"/>
        </w:rPr>
        <w:t xml:space="preserve">information </w:t>
      </w:r>
      <w:r w:rsidR="005808DE">
        <w:rPr>
          <w:rFonts w:ascii="Times New Roman" w:hAnsi="Times New Roman" w:cs="Times New Roman"/>
        </w:rPr>
        <w:t xml:space="preserve">on </w:t>
      </w:r>
      <w:r w:rsidR="00801F03">
        <w:rPr>
          <w:rFonts w:ascii="Times New Roman" w:hAnsi="Times New Roman" w:cs="Times New Roman"/>
        </w:rPr>
        <w:t>its</w:t>
      </w:r>
      <w:r w:rsidR="005808DE">
        <w:rPr>
          <w:rFonts w:ascii="Times New Roman" w:hAnsi="Times New Roman" w:cs="Times New Roman"/>
        </w:rPr>
        <w:t xml:space="preserve"> performance and achievements regarding </w:t>
      </w:r>
      <w:r w:rsidR="00801F03">
        <w:rPr>
          <w:rFonts w:ascii="Times New Roman" w:hAnsi="Times New Roman" w:cs="Times New Roman"/>
        </w:rPr>
        <w:t>p</w:t>
      </w:r>
      <w:r w:rsidR="005808DE">
        <w:rPr>
          <w:rFonts w:ascii="Times New Roman" w:hAnsi="Times New Roman" w:cs="Times New Roman"/>
        </w:rPr>
        <w:t xml:space="preserve">rocurement aspects. However, RRA, as the delegated authority in charge of </w:t>
      </w:r>
      <w:r w:rsidR="00EB7BDD">
        <w:rPr>
          <w:rFonts w:ascii="Times New Roman" w:hAnsi="Times New Roman" w:cs="Times New Roman"/>
        </w:rPr>
        <w:t xml:space="preserve">overseeing </w:t>
      </w:r>
      <w:r w:rsidR="005808DE">
        <w:rPr>
          <w:rFonts w:ascii="Times New Roman" w:hAnsi="Times New Roman" w:cs="Times New Roman"/>
        </w:rPr>
        <w:t xml:space="preserve">the construction of the wholesale market (the only activity it is responsible for in the </w:t>
      </w:r>
      <w:r w:rsidR="00801F03">
        <w:rPr>
          <w:rFonts w:ascii="Times New Roman" w:hAnsi="Times New Roman" w:cs="Times New Roman"/>
        </w:rPr>
        <w:t>P</w:t>
      </w:r>
      <w:r w:rsidR="005808DE">
        <w:rPr>
          <w:rFonts w:ascii="Times New Roman" w:hAnsi="Times New Roman" w:cs="Times New Roman"/>
        </w:rPr>
        <w:t xml:space="preserve">rogram) has </w:t>
      </w:r>
      <w:r w:rsidR="00801F03">
        <w:rPr>
          <w:rFonts w:ascii="Times New Roman" w:hAnsi="Times New Roman" w:cs="Times New Roman"/>
        </w:rPr>
        <w:t>few</w:t>
      </w:r>
      <w:r w:rsidR="005808DE">
        <w:rPr>
          <w:rFonts w:ascii="Times New Roman" w:hAnsi="Times New Roman" w:cs="Times New Roman"/>
        </w:rPr>
        <w:t xml:space="preserve"> staff for the management of the activity (procurement, supervision and monitoring). Therefore, as a recommendation included in the PAP, RRA must reinforce its technical staff with a technician dedicating most of his</w:t>
      </w:r>
      <w:r w:rsidR="00801F03">
        <w:rPr>
          <w:rFonts w:ascii="Times New Roman" w:hAnsi="Times New Roman" w:cs="Times New Roman"/>
        </w:rPr>
        <w:t>/her</w:t>
      </w:r>
      <w:r w:rsidR="005808DE">
        <w:rPr>
          <w:rFonts w:ascii="Times New Roman" w:hAnsi="Times New Roman" w:cs="Times New Roman"/>
        </w:rPr>
        <w:t xml:space="preserve"> time if not all, to the construction of the wholesale market. Also, the periodic program implementation report will include a specific section </w:t>
      </w:r>
      <w:r w:rsidR="005808DE">
        <w:rPr>
          <w:rFonts w:ascii="Times New Roman" w:hAnsi="Times New Roman" w:cs="Times New Roman"/>
        </w:rPr>
        <w:lastRenderedPageBreak/>
        <w:t xml:space="preserve">on the execution of the wholesale market with details on physical progress (respect of the deadlines vs chronogram, the difficulties / constraints of implementation and the solutions provided, etc.) as well as fiduciary aspects (commitments, payment ratio, compliance with regulatory deadlines for payment, constraints and difficulties faced). The </w:t>
      </w:r>
      <w:r w:rsidR="00801F03">
        <w:rPr>
          <w:rFonts w:ascii="Times New Roman" w:hAnsi="Times New Roman" w:cs="Times New Roman"/>
        </w:rPr>
        <w:t>P</w:t>
      </w:r>
      <w:r w:rsidR="005808DE">
        <w:rPr>
          <w:rFonts w:ascii="Times New Roman" w:hAnsi="Times New Roman" w:cs="Times New Roman"/>
        </w:rPr>
        <w:t xml:space="preserve">rogram </w:t>
      </w:r>
      <w:r w:rsidR="00801F03">
        <w:rPr>
          <w:rFonts w:ascii="Times New Roman" w:hAnsi="Times New Roman" w:cs="Times New Roman"/>
        </w:rPr>
        <w:t>Operational M</w:t>
      </w:r>
      <w:r w:rsidR="005808DE">
        <w:rPr>
          <w:rFonts w:ascii="Times New Roman" w:hAnsi="Times New Roman" w:cs="Times New Roman"/>
        </w:rPr>
        <w:t xml:space="preserve">anual will include in its section on reporting the requirement to </w:t>
      </w:r>
      <w:r w:rsidR="00801F03">
        <w:rPr>
          <w:rFonts w:ascii="Times New Roman" w:hAnsi="Times New Roman" w:cs="Times New Roman"/>
        </w:rPr>
        <w:t>include a status report</w:t>
      </w:r>
      <w:r w:rsidR="005808DE">
        <w:rPr>
          <w:rFonts w:ascii="Times New Roman" w:hAnsi="Times New Roman" w:cs="Times New Roman"/>
        </w:rPr>
        <w:t xml:space="preserve"> on technical and financial achievements and performance related to the construction of the wholesale market. </w:t>
      </w:r>
    </w:p>
    <w:p w14:paraId="2C6170EC" w14:textId="77777777" w:rsidR="005808DE" w:rsidRDefault="005808DE" w:rsidP="005808DE">
      <w:pPr>
        <w:pStyle w:val="ListParagraph"/>
        <w:autoSpaceDE w:val="0"/>
        <w:autoSpaceDN w:val="0"/>
        <w:adjustRightInd w:val="0"/>
        <w:spacing w:after="0" w:line="240" w:lineRule="auto"/>
        <w:jc w:val="both"/>
        <w:rPr>
          <w:rFonts w:ascii="Times New Roman" w:hAnsi="Times New Roman" w:cs="Times New Roman"/>
        </w:rPr>
      </w:pPr>
    </w:p>
    <w:p w14:paraId="73DA4EA8" w14:textId="674FAB91" w:rsidR="00292941" w:rsidRPr="00BC7BB5" w:rsidRDefault="00292941" w:rsidP="00422BC8">
      <w:pPr>
        <w:pStyle w:val="ListParagraph"/>
        <w:numPr>
          <w:ilvl w:val="0"/>
          <w:numId w:val="15"/>
        </w:numPr>
        <w:autoSpaceDE w:val="0"/>
        <w:autoSpaceDN w:val="0"/>
        <w:adjustRightInd w:val="0"/>
        <w:spacing w:before="120" w:after="120" w:line="240" w:lineRule="auto"/>
        <w:ind w:left="0" w:firstLine="0"/>
        <w:contextualSpacing w:val="0"/>
        <w:jc w:val="both"/>
        <w:rPr>
          <w:rFonts w:ascii="Times New Roman" w:hAnsi="Times New Roman" w:cs="Times New Roman"/>
          <w:color w:val="000000" w:themeColor="text1"/>
        </w:rPr>
      </w:pPr>
      <w:r w:rsidRPr="00BC7BB5">
        <w:rPr>
          <w:rFonts w:ascii="Times New Roman" w:hAnsi="Times New Roman" w:cs="Times New Roman"/>
          <w:b/>
        </w:rPr>
        <w:t>Integrity and transparency</w:t>
      </w:r>
      <w:r w:rsidR="00FA27AA" w:rsidRPr="00BC7BB5">
        <w:rPr>
          <w:rFonts w:ascii="Times New Roman" w:hAnsi="Times New Roman" w:cs="Times New Roman"/>
          <w:b/>
          <w:i/>
        </w:rPr>
        <w:t xml:space="preserve">. </w:t>
      </w:r>
      <w:r w:rsidR="00FA27AA" w:rsidRPr="00BC7BB5">
        <w:rPr>
          <w:rFonts w:ascii="Times New Roman" w:hAnsi="Times New Roman" w:cs="Times New Roman"/>
        </w:rPr>
        <w:t>With regards to integrity and transparency, the following systems are in place:</w:t>
      </w:r>
    </w:p>
    <w:p w14:paraId="19088496" w14:textId="50E54C9B" w:rsidR="00292941" w:rsidRPr="00BC7BB5" w:rsidRDefault="00292941" w:rsidP="00015825">
      <w:pPr>
        <w:pStyle w:val="ListParagraph"/>
        <w:numPr>
          <w:ilvl w:val="1"/>
          <w:numId w:val="15"/>
        </w:numPr>
        <w:autoSpaceDE w:val="0"/>
        <w:autoSpaceDN w:val="0"/>
        <w:adjustRightInd w:val="0"/>
        <w:spacing w:before="120" w:after="120" w:line="240" w:lineRule="auto"/>
        <w:ind w:left="720" w:firstLine="0"/>
        <w:contextualSpacing w:val="0"/>
        <w:jc w:val="both"/>
        <w:rPr>
          <w:rFonts w:ascii="Times New Roman" w:hAnsi="Times New Roman" w:cs="Times New Roman"/>
        </w:rPr>
      </w:pPr>
      <w:r w:rsidRPr="00BC7BB5">
        <w:rPr>
          <w:rFonts w:ascii="Times New Roman" w:hAnsi="Times New Roman" w:cs="Times New Roman"/>
          <w:i/>
        </w:rPr>
        <w:t>Arbitration in procurement</w:t>
      </w:r>
      <w:r w:rsidRPr="00BC7BB5">
        <w:rPr>
          <w:rFonts w:ascii="Times New Roman" w:hAnsi="Times New Roman" w:cs="Times New Roman"/>
        </w:rPr>
        <w:t xml:space="preserve">. The country arbitration system is required by law. As part of the 2007 reforms, a law for arbitration and mediation procedures was </w:t>
      </w:r>
      <w:r w:rsidRPr="00BC7BB5">
        <w:rPr>
          <w:rFonts w:ascii="Times New Roman" w:hAnsi="Times New Roman" w:cs="Times New Roman"/>
          <w:color w:val="000000" w:themeColor="text1"/>
        </w:rPr>
        <w:t>introduced</w:t>
      </w:r>
      <w:r w:rsidRPr="00BC7BB5">
        <w:rPr>
          <w:rFonts w:ascii="Times New Roman" w:hAnsi="Times New Roman" w:cs="Times New Roman"/>
        </w:rPr>
        <w:t xml:space="preserve"> but many of its provisions have remained unsatisfactory (not reflected in the existing General Contract Conditions (GCCs</w:t>
      </w:r>
      <w:r w:rsidR="00A254D1">
        <w:rPr>
          <w:rFonts w:ascii="Times New Roman" w:hAnsi="Times New Roman" w:cs="Times New Roman"/>
        </w:rPr>
        <w:fldChar w:fldCharType="begin"/>
      </w:r>
      <w:r w:rsidR="00A254D1">
        <w:instrText xml:space="preserve"> XE "</w:instrText>
      </w:r>
      <w:r w:rsidR="00A254D1" w:rsidRPr="00963249">
        <w:rPr>
          <w:rFonts w:ascii="Times New Roman" w:hAnsi="Times New Roman" w:cs="Times New Roman"/>
        </w:rPr>
        <w:instrText>GCC:</w:instrText>
      </w:r>
      <w:r w:rsidR="00A254D1" w:rsidRPr="00963249">
        <w:instrText>General Contract Condition</w:instrText>
      </w:r>
      <w:r w:rsidR="00A254D1">
        <w:instrText xml:space="preserve">" </w:instrText>
      </w:r>
      <w:r w:rsidR="00A254D1">
        <w:rPr>
          <w:rFonts w:ascii="Times New Roman" w:hAnsi="Times New Roman" w:cs="Times New Roman"/>
        </w:rPr>
        <w:fldChar w:fldCharType="end"/>
      </w:r>
      <w:r w:rsidRPr="00BC7BB5">
        <w:rPr>
          <w:rFonts w:ascii="Times New Roman" w:hAnsi="Times New Roman" w:cs="Times New Roman"/>
        </w:rPr>
        <w:t>)).</w:t>
      </w:r>
    </w:p>
    <w:p w14:paraId="514E9D52" w14:textId="5A5A1349" w:rsidR="00395C56" w:rsidRPr="00BC7BB5" w:rsidRDefault="00395C56" w:rsidP="00015825">
      <w:pPr>
        <w:pStyle w:val="ListParagraph"/>
        <w:numPr>
          <w:ilvl w:val="1"/>
          <w:numId w:val="15"/>
        </w:numPr>
        <w:autoSpaceDE w:val="0"/>
        <w:autoSpaceDN w:val="0"/>
        <w:adjustRightInd w:val="0"/>
        <w:spacing w:before="120" w:after="120" w:line="240" w:lineRule="auto"/>
        <w:ind w:left="720" w:firstLine="0"/>
        <w:contextualSpacing w:val="0"/>
        <w:jc w:val="both"/>
        <w:rPr>
          <w:rFonts w:ascii="Times New Roman" w:hAnsi="Times New Roman" w:cs="Times New Roman"/>
        </w:rPr>
      </w:pPr>
      <w:r w:rsidRPr="00BC7BB5">
        <w:rPr>
          <w:rFonts w:ascii="Times New Roman" w:hAnsi="Times New Roman" w:cs="Times New Roman"/>
          <w:i/>
        </w:rPr>
        <w:t>Complaint management</w:t>
      </w:r>
      <w:r w:rsidRPr="00BC7BB5">
        <w:rPr>
          <w:rFonts w:ascii="Times New Roman" w:hAnsi="Times New Roman" w:cs="Times New Roman"/>
        </w:rPr>
        <w:t>. The “</w:t>
      </w:r>
      <w:r w:rsidRPr="00BC7BB5">
        <w:rPr>
          <w:rFonts w:ascii="Times New Roman" w:hAnsi="Times New Roman" w:cs="Times New Roman"/>
          <w:i/>
        </w:rPr>
        <w:t>Commission Nationale de la Commande Publique</w:t>
      </w:r>
      <w:r w:rsidRPr="00BC7BB5">
        <w:rPr>
          <w:rFonts w:ascii="Times New Roman" w:hAnsi="Times New Roman" w:cs="Times New Roman"/>
        </w:rPr>
        <w:t xml:space="preserve">” (CNCP), has the mandate to handle and manage complaints in procurement and contract execution. It replaces the </w:t>
      </w:r>
      <w:r w:rsidR="00DF3C5C" w:rsidRPr="00DF3C5C">
        <w:rPr>
          <w:rFonts w:ascii="Times New Roman" w:hAnsi="Times New Roman" w:cs="Times New Roman"/>
          <w:i/>
        </w:rPr>
        <w:t>Commission des Marchés</w:t>
      </w:r>
      <w:r w:rsidR="00DF3C5C">
        <w:rPr>
          <w:rFonts w:ascii="Times New Roman" w:hAnsi="Times New Roman" w:cs="Times New Roman"/>
        </w:rPr>
        <w:t xml:space="preserve"> (Procurement Commission)</w:t>
      </w:r>
      <w:r w:rsidRPr="00BC7BB5">
        <w:rPr>
          <w:rFonts w:ascii="Times New Roman" w:hAnsi="Times New Roman" w:cs="Times New Roman"/>
        </w:rPr>
        <w:t xml:space="preserve">, but is still not yet effective (designation of members underway). Its membership includes key stakeholders such as the Ministry of Economy and Finance (MEF), the TGR, representatives of private sector, etc. According to the </w:t>
      </w:r>
      <w:r w:rsidR="00DA13FB">
        <w:rPr>
          <w:rFonts w:ascii="Times New Roman" w:hAnsi="Times New Roman" w:cs="Times New Roman"/>
        </w:rPr>
        <w:t xml:space="preserve">2016 </w:t>
      </w:r>
      <w:r w:rsidRPr="00BC7BB5">
        <w:rPr>
          <w:rFonts w:ascii="Times New Roman" w:hAnsi="Times New Roman" w:cs="Times New Roman"/>
        </w:rPr>
        <w:t xml:space="preserve">PEFA report, the mechanism set up to investigate complaints related to public procurement is not satisfactory in the light of the PEFA framework criteria. Information on the resolution of complaints relating to the award of public contracts by </w:t>
      </w:r>
      <w:r w:rsidR="00DF3C5C">
        <w:rPr>
          <w:rFonts w:ascii="Times New Roman" w:hAnsi="Times New Roman" w:cs="Times New Roman"/>
        </w:rPr>
        <w:t xml:space="preserve">the </w:t>
      </w:r>
      <w:r w:rsidR="00DF3C5C" w:rsidRPr="00DF3C5C">
        <w:rPr>
          <w:rFonts w:ascii="Times New Roman" w:hAnsi="Times New Roman" w:cs="Times New Roman"/>
          <w:i/>
        </w:rPr>
        <w:t>Commission des Marchés</w:t>
      </w:r>
      <w:r w:rsidR="00DF3C5C" w:rsidRPr="00BC7BB5">
        <w:rPr>
          <w:rFonts w:ascii="Times New Roman" w:hAnsi="Times New Roman" w:cs="Times New Roman"/>
        </w:rPr>
        <w:t xml:space="preserve"> </w:t>
      </w:r>
      <w:r w:rsidRPr="00BC7BB5">
        <w:rPr>
          <w:rFonts w:ascii="Times New Roman" w:hAnsi="Times New Roman" w:cs="Times New Roman"/>
        </w:rPr>
        <w:t>is not made available to the public</w:t>
      </w:r>
    </w:p>
    <w:p w14:paraId="779996AF" w14:textId="77777777" w:rsidR="00AD7B8F" w:rsidRPr="00BC7BB5" w:rsidRDefault="00AD7B8F" w:rsidP="00422BC8">
      <w:pPr>
        <w:pStyle w:val="ListParagraph"/>
        <w:numPr>
          <w:ilvl w:val="0"/>
          <w:numId w:val="15"/>
        </w:numPr>
        <w:autoSpaceDE w:val="0"/>
        <w:autoSpaceDN w:val="0"/>
        <w:adjustRightInd w:val="0"/>
        <w:spacing w:after="0" w:line="240" w:lineRule="auto"/>
        <w:ind w:left="0" w:firstLine="0"/>
        <w:jc w:val="both"/>
        <w:rPr>
          <w:rFonts w:ascii="Times New Roman" w:hAnsi="Times New Roman" w:cs="Times New Roman"/>
          <w:color w:val="000000" w:themeColor="text1"/>
        </w:rPr>
      </w:pPr>
      <w:r w:rsidRPr="00BC7BB5">
        <w:rPr>
          <w:rFonts w:ascii="Times New Roman" w:hAnsi="Times New Roman" w:cs="Times New Roman"/>
          <w:b/>
        </w:rPr>
        <w:t>Internal</w:t>
      </w:r>
      <w:r w:rsidRPr="00BC7BB5">
        <w:rPr>
          <w:rFonts w:ascii="Times New Roman" w:hAnsi="Times New Roman" w:cs="Times New Roman"/>
          <w:b/>
          <w:color w:val="000000" w:themeColor="text1"/>
        </w:rPr>
        <w:t xml:space="preserve"> control. </w:t>
      </w:r>
      <w:r w:rsidRPr="00BC7BB5">
        <w:rPr>
          <w:rFonts w:ascii="Times New Roman" w:hAnsi="Times New Roman" w:cs="Times New Roman"/>
          <w:color w:val="000000" w:themeColor="text1"/>
          <w:lang w:eastAsia="fr-FR"/>
        </w:rPr>
        <w:t>The assessment of the internal control arrangements in effect at the level of each entity of the Program is as follows.</w:t>
      </w:r>
    </w:p>
    <w:p w14:paraId="1A0DE14C" w14:textId="77777777" w:rsidR="00E304E2" w:rsidRPr="00BC7BB5" w:rsidRDefault="00E304E2" w:rsidP="007D3731">
      <w:pPr>
        <w:autoSpaceDE w:val="0"/>
        <w:autoSpaceDN w:val="0"/>
        <w:adjustRightInd w:val="0"/>
        <w:spacing w:after="0" w:line="240" w:lineRule="auto"/>
        <w:ind w:left="720"/>
        <w:jc w:val="both"/>
        <w:rPr>
          <w:rFonts w:ascii="Times New Roman" w:hAnsi="Times New Roman" w:cs="Times New Roman"/>
          <w:color w:val="000000" w:themeColor="text1"/>
        </w:rPr>
      </w:pPr>
    </w:p>
    <w:p w14:paraId="5A36AEB5" w14:textId="297574C8" w:rsidR="00AD7B8F" w:rsidRPr="00BC7BB5" w:rsidRDefault="00AD7B8F" w:rsidP="00F561E8">
      <w:pPr>
        <w:pStyle w:val="ListParagraph"/>
        <w:numPr>
          <w:ilvl w:val="0"/>
          <w:numId w:val="39"/>
        </w:numPr>
        <w:autoSpaceDE w:val="0"/>
        <w:autoSpaceDN w:val="0"/>
        <w:adjustRightInd w:val="0"/>
        <w:spacing w:after="0" w:line="240" w:lineRule="auto"/>
        <w:contextualSpacing w:val="0"/>
        <w:jc w:val="both"/>
        <w:rPr>
          <w:rFonts w:ascii="Times New Roman" w:hAnsi="Times New Roman" w:cs="Times New Roman"/>
          <w:color w:val="000000" w:themeColor="text1"/>
        </w:rPr>
      </w:pPr>
      <w:r w:rsidRPr="00BC7BB5">
        <w:rPr>
          <w:rFonts w:ascii="Times New Roman" w:hAnsi="Times New Roman" w:cs="Times New Roman"/>
          <w:i/>
          <w:color w:val="000000" w:themeColor="text1"/>
        </w:rPr>
        <w:t>MAPMDREF</w:t>
      </w:r>
      <w:r w:rsidRPr="00BC7BB5">
        <w:rPr>
          <w:rFonts w:ascii="Times New Roman" w:hAnsi="Times New Roman" w:cs="Times New Roman"/>
          <w:color w:val="000000" w:themeColor="text1"/>
        </w:rPr>
        <w:t xml:space="preserve">. Internal control rules are laid down in the regulation of public accounting. Execution of non-salary expenditures follows the steps of engagement, liquidation, approval and payment. The first three steps that make up the administrative phase are under the responsibility of the budget holders. The payment is the responsibility of the line ministry treasurer after the </w:t>
      </w:r>
      <w:r w:rsidRPr="00BC7BB5">
        <w:rPr>
          <w:rFonts w:ascii="Times New Roman" w:hAnsi="Times New Roman" w:cs="Times New Roman"/>
          <w:i/>
          <w:color w:val="000000" w:themeColor="text1"/>
        </w:rPr>
        <w:t>ex-ante</w:t>
      </w:r>
      <w:r w:rsidRPr="00BC7BB5">
        <w:rPr>
          <w:rFonts w:ascii="Times New Roman" w:hAnsi="Times New Roman" w:cs="Times New Roman"/>
          <w:color w:val="000000" w:themeColor="text1"/>
        </w:rPr>
        <w:t xml:space="preserve"> control of the financial controller based a risk model. Overall, effectiveness of the control system is satisfactory and a major part of the non-salary expenditures are performed according to the normal procedure, and the exceptional procedures are well established and justified. </w:t>
      </w:r>
    </w:p>
    <w:p w14:paraId="7ED94EC2" w14:textId="77777777" w:rsidR="00AD7B8F" w:rsidRPr="00BC7BB5" w:rsidRDefault="00AD7B8F" w:rsidP="007D3731">
      <w:pPr>
        <w:pStyle w:val="ListParagraph"/>
        <w:spacing w:after="0" w:line="240" w:lineRule="auto"/>
        <w:jc w:val="both"/>
        <w:rPr>
          <w:rFonts w:ascii="Times New Roman" w:hAnsi="Times New Roman" w:cs="Times New Roman"/>
          <w:color w:val="000000" w:themeColor="text1"/>
        </w:rPr>
      </w:pPr>
    </w:p>
    <w:p w14:paraId="71AF7617" w14:textId="77777777" w:rsidR="00AD7B8F" w:rsidRPr="00BC7BB5" w:rsidRDefault="00AD7B8F" w:rsidP="00F561E8">
      <w:pPr>
        <w:pStyle w:val="ListParagraph"/>
        <w:numPr>
          <w:ilvl w:val="0"/>
          <w:numId w:val="39"/>
        </w:numPr>
        <w:spacing w:after="0" w:line="240" w:lineRule="auto"/>
        <w:jc w:val="both"/>
        <w:rPr>
          <w:rFonts w:ascii="Times New Roman" w:hAnsi="Times New Roman" w:cs="Times New Roman"/>
          <w:color w:val="000000" w:themeColor="text1"/>
        </w:rPr>
      </w:pPr>
      <w:r w:rsidRPr="00BC7BB5">
        <w:rPr>
          <w:rFonts w:ascii="Times New Roman" w:hAnsi="Times New Roman" w:cs="Times New Roman"/>
          <w:i/>
          <w:color w:val="000000" w:themeColor="text1"/>
        </w:rPr>
        <w:t>ONSSA</w:t>
      </w:r>
      <w:r w:rsidRPr="00BC7BB5">
        <w:rPr>
          <w:rFonts w:ascii="Times New Roman" w:hAnsi="Times New Roman" w:cs="Times New Roman"/>
          <w:color w:val="000000" w:themeColor="text1"/>
        </w:rPr>
        <w:t>. ONSSA internal control procedures are described in the recently updated manual of procedures which includes clear segregation of duties between the key players and lead time for each player in the processing of budget transactions. Enforcement of the manual of procedures is ensured by the financial directorate, the internal audit department, the quality department and the financial controller. Overall, effectiveness of the internal control system is adequate.</w:t>
      </w:r>
    </w:p>
    <w:p w14:paraId="735235E1" w14:textId="77777777" w:rsidR="00AD7B8F" w:rsidRPr="00BC7BB5" w:rsidRDefault="00AD7B8F" w:rsidP="007D3731">
      <w:pPr>
        <w:pStyle w:val="ListParagraph"/>
        <w:spacing w:after="0" w:line="240" w:lineRule="auto"/>
        <w:rPr>
          <w:rFonts w:ascii="Times New Roman" w:hAnsi="Times New Roman" w:cs="Times New Roman"/>
          <w:color w:val="000000" w:themeColor="text1"/>
        </w:rPr>
      </w:pPr>
    </w:p>
    <w:p w14:paraId="33E9FDBD" w14:textId="77FFB83F" w:rsidR="00AD7B8F" w:rsidRPr="00BC7BB5" w:rsidRDefault="00AD7B8F" w:rsidP="00F561E8">
      <w:pPr>
        <w:pStyle w:val="ListParagraph"/>
        <w:numPr>
          <w:ilvl w:val="0"/>
          <w:numId w:val="39"/>
        </w:numPr>
        <w:spacing w:after="0" w:line="240" w:lineRule="auto"/>
        <w:jc w:val="both"/>
        <w:rPr>
          <w:rFonts w:ascii="Times New Roman" w:hAnsi="Times New Roman" w:cs="Times New Roman"/>
          <w:color w:val="000000" w:themeColor="text1"/>
        </w:rPr>
      </w:pPr>
      <w:r w:rsidRPr="00BC7BB5">
        <w:rPr>
          <w:rFonts w:ascii="Times New Roman" w:hAnsi="Times New Roman" w:cs="Times New Roman"/>
          <w:i/>
          <w:color w:val="000000" w:themeColor="text1"/>
        </w:rPr>
        <w:t xml:space="preserve">Rabat </w:t>
      </w:r>
      <w:r w:rsidR="004835DC" w:rsidRPr="00BC7BB5">
        <w:rPr>
          <w:rFonts w:ascii="Times New Roman" w:hAnsi="Times New Roman" w:cs="Times New Roman"/>
          <w:i/>
          <w:color w:val="000000" w:themeColor="text1"/>
        </w:rPr>
        <w:t xml:space="preserve">Région </w:t>
      </w:r>
      <w:r w:rsidRPr="00BC7BB5">
        <w:rPr>
          <w:rFonts w:ascii="Times New Roman" w:hAnsi="Times New Roman" w:cs="Times New Roman"/>
          <w:i/>
          <w:color w:val="000000" w:themeColor="text1"/>
        </w:rPr>
        <w:t>Aménagement</w:t>
      </w:r>
      <w:r w:rsidRPr="00BC7BB5">
        <w:rPr>
          <w:rFonts w:ascii="Times New Roman" w:hAnsi="Times New Roman" w:cs="Times New Roman"/>
          <w:color w:val="000000" w:themeColor="text1"/>
        </w:rPr>
        <w:t xml:space="preserve">. The internal control procedures are those of the private sector but not formalized. In view of this situation, a formal manual of procedures has been drafted with support from an audit firm but it has not yet been approved. </w:t>
      </w:r>
    </w:p>
    <w:p w14:paraId="32B7FF06" w14:textId="77777777" w:rsidR="00AD7B8F" w:rsidRPr="00BC7BB5" w:rsidRDefault="00AD7B8F" w:rsidP="007D3731">
      <w:pPr>
        <w:pStyle w:val="ListParagraph"/>
        <w:spacing w:after="0" w:line="240" w:lineRule="auto"/>
        <w:ind w:left="0"/>
        <w:jc w:val="both"/>
        <w:rPr>
          <w:rFonts w:ascii="Times New Roman" w:hAnsi="Times New Roman" w:cs="Times New Roman"/>
          <w:color w:val="000000" w:themeColor="text1"/>
        </w:rPr>
      </w:pPr>
    </w:p>
    <w:p w14:paraId="57BF47F8" w14:textId="7535A41C" w:rsidR="00AD7B8F" w:rsidRPr="00BC7BB5" w:rsidRDefault="00AD7B8F" w:rsidP="00422BC8">
      <w:pPr>
        <w:pStyle w:val="ListParagraph"/>
        <w:numPr>
          <w:ilvl w:val="0"/>
          <w:numId w:val="15"/>
        </w:numPr>
        <w:autoSpaceDE w:val="0"/>
        <w:autoSpaceDN w:val="0"/>
        <w:adjustRightInd w:val="0"/>
        <w:spacing w:after="0" w:line="240" w:lineRule="auto"/>
        <w:ind w:left="0" w:firstLine="0"/>
        <w:jc w:val="both"/>
        <w:rPr>
          <w:rFonts w:ascii="Times New Roman" w:hAnsi="Times New Roman" w:cs="Times New Roman"/>
          <w:color w:val="000000" w:themeColor="text1"/>
        </w:rPr>
      </w:pPr>
      <w:r w:rsidRPr="00BC7BB5">
        <w:rPr>
          <w:rFonts w:ascii="Times New Roman" w:hAnsi="Times New Roman" w:cs="Times New Roman"/>
          <w:color w:val="000000" w:themeColor="text1"/>
        </w:rPr>
        <w:t xml:space="preserve">The Program will apply the internal control arrangements of MAPMDREF, ONSSA and Rabat </w:t>
      </w:r>
      <w:r w:rsidR="004835DC" w:rsidRPr="00BC7BB5">
        <w:rPr>
          <w:rFonts w:ascii="Times New Roman" w:hAnsi="Times New Roman" w:cs="Times New Roman"/>
          <w:color w:val="000000" w:themeColor="text1"/>
        </w:rPr>
        <w:t xml:space="preserve">Région Région </w:t>
      </w:r>
      <w:r w:rsidRPr="00BC7BB5">
        <w:rPr>
          <w:rFonts w:ascii="Times New Roman" w:hAnsi="Times New Roman" w:cs="Times New Roman"/>
          <w:color w:val="000000" w:themeColor="text1"/>
        </w:rPr>
        <w:t>Aménagement which meet the minimum standards.</w:t>
      </w:r>
      <w:r w:rsidRPr="00BC7BB5">
        <w:rPr>
          <w:rFonts w:ascii="Times New Roman" w:hAnsi="Times New Roman" w:cs="Times New Roman"/>
          <w:b/>
          <w:color w:val="000000" w:themeColor="text1"/>
        </w:rPr>
        <w:t xml:space="preserve"> </w:t>
      </w:r>
      <w:r w:rsidRPr="00BC7BB5">
        <w:rPr>
          <w:rFonts w:ascii="Times New Roman" w:hAnsi="Times New Roman" w:cs="Times New Roman"/>
          <w:color w:val="000000" w:themeColor="text1"/>
        </w:rPr>
        <w:t xml:space="preserve">However, the formal approval of the manual of procedures of Rabat </w:t>
      </w:r>
      <w:r w:rsidR="004835DC" w:rsidRPr="00BC7BB5">
        <w:rPr>
          <w:rFonts w:ascii="Times New Roman" w:hAnsi="Times New Roman" w:cs="Times New Roman"/>
          <w:color w:val="000000" w:themeColor="text1"/>
        </w:rPr>
        <w:t xml:space="preserve">Région </w:t>
      </w:r>
      <w:r w:rsidRPr="00BC7BB5">
        <w:rPr>
          <w:rFonts w:ascii="Times New Roman" w:hAnsi="Times New Roman" w:cs="Times New Roman"/>
          <w:color w:val="000000" w:themeColor="text1"/>
        </w:rPr>
        <w:t>Aménagement will be part of the Program</w:t>
      </w:r>
      <w:r w:rsidR="004835DC" w:rsidRPr="00BC7BB5">
        <w:rPr>
          <w:rFonts w:ascii="Times New Roman" w:hAnsi="Times New Roman" w:cs="Times New Roman"/>
          <w:color w:val="000000" w:themeColor="text1"/>
        </w:rPr>
        <w:t>’s fiduciary key performance indicators (KPI)</w:t>
      </w:r>
      <w:r w:rsidRPr="00BC7BB5">
        <w:rPr>
          <w:rFonts w:ascii="Times New Roman" w:hAnsi="Times New Roman" w:cs="Times New Roman"/>
          <w:color w:val="000000" w:themeColor="text1"/>
        </w:rPr>
        <w:t>. To assess the soundness of the control environment over the Program implementation, the external audit reports of the entities of the Program will include management letters on the internal control.</w:t>
      </w:r>
      <w:r w:rsidRPr="00BC7BB5">
        <w:rPr>
          <w:rFonts w:ascii="Times New Roman" w:hAnsi="Times New Roman" w:cs="Times New Roman"/>
          <w:b/>
          <w:color w:val="000000" w:themeColor="text1"/>
        </w:rPr>
        <w:t xml:space="preserve"> </w:t>
      </w:r>
    </w:p>
    <w:p w14:paraId="6038D72C" w14:textId="77777777" w:rsidR="00AD7B8F" w:rsidRPr="00BC7BB5" w:rsidRDefault="00AD7B8F" w:rsidP="007D3731">
      <w:pPr>
        <w:autoSpaceDE w:val="0"/>
        <w:autoSpaceDN w:val="0"/>
        <w:adjustRightInd w:val="0"/>
        <w:spacing w:after="0" w:line="240" w:lineRule="auto"/>
        <w:jc w:val="both"/>
        <w:rPr>
          <w:rFonts w:ascii="Times New Roman" w:hAnsi="Times New Roman" w:cs="Times New Roman"/>
          <w:b/>
          <w:color w:val="000000" w:themeColor="text1"/>
        </w:rPr>
      </w:pPr>
    </w:p>
    <w:p w14:paraId="7FA3AA44" w14:textId="77777777" w:rsidR="00AD7B8F" w:rsidRPr="00BC7BB5" w:rsidRDefault="00AD7B8F" w:rsidP="000A2644">
      <w:pPr>
        <w:autoSpaceDE w:val="0"/>
        <w:autoSpaceDN w:val="0"/>
        <w:adjustRightInd w:val="0"/>
        <w:spacing w:after="0" w:line="240" w:lineRule="auto"/>
        <w:jc w:val="both"/>
        <w:rPr>
          <w:rFonts w:ascii="Times New Roman" w:hAnsi="Times New Roman" w:cs="Times New Roman"/>
          <w:b/>
          <w:i/>
          <w:color w:val="000000" w:themeColor="text1"/>
        </w:rPr>
      </w:pPr>
      <w:r w:rsidRPr="00BC7BB5">
        <w:rPr>
          <w:rFonts w:ascii="Times New Roman" w:hAnsi="Times New Roman" w:cs="Times New Roman"/>
          <w:b/>
          <w:i/>
          <w:color w:val="000000" w:themeColor="text1"/>
        </w:rPr>
        <w:t>Program governance and anti-corruption arrangements</w:t>
      </w:r>
    </w:p>
    <w:p w14:paraId="44C7F980" w14:textId="77777777" w:rsidR="00AD7B8F" w:rsidRPr="00BC7BB5" w:rsidRDefault="00AD7B8F" w:rsidP="007D3731">
      <w:pPr>
        <w:pStyle w:val="ListParagraph"/>
        <w:autoSpaceDE w:val="0"/>
        <w:autoSpaceDN w:val="0"/>
        <w:adjustRightInd w:val="0"/>
        <w:spacing w:after="0" w:line="240" w:lineRule="auto"/>
        <w:ind w:left="1637"/>
        <w:jc w:val="both"/>
        <w:rPr>
          <w:rFonts w:ascii="Times New Roman" w:eastAsia="Times New Roman" w:hAnsi="Times New Roman" w:cs="Times New Roman"/>
          <w:i/>
        </w:rPr>
      </w:pPr>
    </w:p>
    <w:p w14:paraId="46BB74A6" w14:textId="2903A494" w:rsidR="00AD7B8F" w:rsidRPr="00BC7BB5" w:rsidRDefault="00AD7B8F" w:rsidP="00422BC8">
      <w:pPr>
        <w:pStyle w:val="ListParagraph"/>
        <w:numPr>
          <w:ilvl w:val="0"/>
          <w:numId w:val="15"/>
        </w:numPr>
        <w:autoSpaceDE w:val="0"/>
        <w:autoSpaceDN w:val="0"/>
        <w:adjustRightInd w:val="0"/>
        <w:spacing w:after="0" w:line="240" w:lineRule="auto"/>
        <w:ind w:left="0" w:firstLine="0"/>
        <w:jc w:val="both"/>
        <w:rPr>
          <w:rFonts w:ascii="Times New Roman" w:eastAsia="Times New Roman" w:hAnsi="Times New Roman" w:cs="Times New Roman"/>
        </w:rPr>
      </w:pPr>
      <w:r w:rsidRPr="00BC7BB5">
        <w:rPr>
          <w:rFonts w:ascii="Times New Roman" w:eastAsia="Times New Roman" w:hAnsi="Times New Roman" w:cs="Times New Roman"/>
          <w:b/>
        </w:rPr>
        <w:t xml:space="preserve">Morocco's </w:t>
      </w:r>
      <w:r w:rsidR="00DA13FB">
        <w:rPr>
          <w:rFonts w:ascii="Times New Roman" w:eastAsia="Times New Roman" w:hAnsi="Times New Roman" w:cs="Times New Roman"/>
          <w:b/>
        </w:rPr>
        <w:t>C</w:t>
      </w:r>
      <w:r w:rsidRPr="00BC7BB5">
        <w:rPr>
          <w:rFonts w:ascii="Times New Roman" w:eastAsia="Times New Roman" w:hAnsi="Times New Roman" w:cs="Times New Roman"/>
          <w:b/>
        </w:rPr>
        <w:t>onstitution, enacted on July 1, 2011, explicitly mentions the need to fight corruption and to ensure good governance and transparency</w:t>
      </w:r>
      <w:r w:rsidRPr="00BC7BB5">
        <w:rPr>
          <w:rFonts w:ascii="Times New Roman" w:eastAsia="Times New Roman" w:hAnsi="Times New Roman" w:cs="Times New Roman"/>
        </w:rPr>
        <w:t xml:space="preserve"> as fundamental tools of public sector management. The </w:t>
      </w:r>
      <w:r w:rsidR="00DA13FB">
        <w:rPr>
          <w:rFonts w:ascii="Times New Roman" w:eastAsia="Times New Roman" w:hAnsi="Times New Roman" w:cs="Times New Roman"/>
        </w:rPr>
        <w:t>C</w:t>
      </w:r>
      <w:r w:rsidRPr="00BC7BB5">
        <w:rPr>
          <w:rFonts w:ascii="Times New Roman" w:eastAsia="Times New Roman" w:hAnsi="Times New Roman" w:cs="Times New Roman"/>
        </w:rPr>
        <w:t>onstitution sets the ground for more transparency and efficient use of public resources, through Title II on conflict of interest, misconduct in public procurement, misuse of public funds, greater transparency, accountability, and the fight against fraud and corruption and through Title XII for good governance. The institutional framework for fighting against fraud and corruption includes several entities</w:t>
      </w:r>
      <w:r w:rsidR="00DA13FB">
        <w:rPr>
          <w:rFonts w:ascii="Times New Roman" w:eastAsia="Times New Roman" w:hAnsi="Times New Roman" w:cs="Times New Roman"/>
        </w:rPr>
        <w:t xml:space="preserve"> described below.</w:t>
      </w:r>
    </w:p>
    <w:p w14:paraId="2076D348" w14:textId="77777777" w:rsidR="00AD7B8F" w:rsidRPr="00BC7BB5" w:rsidRDefault="00AD7B8F" w:rsidP="007D3731">
      <w:pPr>
        <w:pStyle w:val="ListParagraph"/>
        <w:autoSpaceDE w:val="0"/>
        <w:autoSpaceDN w:val="0"/>
        <w:adjustRightInd w:val="0"/>
        <w:spacing w:after="0" w:line="240" w:lineRule="auto"/>
        <w:ind w:left="1637"/>
        <w:rPr>
          <w:rFonts w:ascii="Times New Roman" w:eastAsia="Times New Roman" w:hAnsi="Times New Roman" w:cs="Times New Roman"/>
        </w:rPr>
      </w:pPr>
    </w:p>
    <w:p w14:paraId="099435DF" w14:textId="1E61072B" w:rsidR="00AD7B8F" w:rsidRPr="00BC7BB5" w:rsidRDefault="00AD7B8F" w:rsidP="00422BC8">
      <w:pPr>
        <w:pStyle w:val="ListParagraph"/>
        <w:numPr>
          <w:ilvl w:val="0"/>
          <w:numId w:val="15"/>
        </w:numPr>
        <w:autoSpaceDE w:val="0"/>
        <w:autoSpaceDN w:val="0"/>
        <w:adjustRightInd w:val="0"/>
        <w:spacing w:after="0" w:line="240" w:lineRule="auto"/>
        <w:ind w:left="0" w:firstLine="0"/>
        <w:jc w:val="both"/>
        <w:rPr>
          <w:rFonts w:ascii="Times New Roman" w:eastAsia="Times New Roman" w:hAnsi="Times New Roman" w:cs="Times New Roman"/>
        </w:rPr>
      </w:pPr>
      <w:r w:rsidRPr="00BC7BB5">
        <w:rPr>
          <w:rFonts w:ascii="Times New Roman" w:eastAsia="Times New Roman" w:hAnsi="Times New Roman" w:cs="Times New Roman"/>
        </w:rPr>
        <w:t>Pursuant to the provisions of Article 6 of the United Nations Convention against Corruption which it signed in 2003 and ratified in 2007, Morocco created the “</w:t>
      </w:r>
      <w:r w:rsidRPr="00BC7BB5">
        <w:rPr>
          <w:rFonts w:ascii="Times New Roman" w:eastAsia="Times New Roman" w:hAnsi="Times New Roman" w:cs="Times New Roman"/>
          <w:i/>
        </w:rPr>
        <w:t>Instance Centrale de Prévention de la Corruption</w:t>
      </w:r>
      <w:r w:rsidRPr="00BC7BB5">
        <w:rPr>
          <w:rFonts w:ascii="Times New Roman" w:eastAsia="Times New Roman" w:hAnsi="Times New Roman" w:cs="Times New Roman"/>
        </w:rPr>
        <w:t xml:space="preserve"> (ICPC</w:t>
      </w:r>
      <w:r w:rsidR="00A254D1">
        <w:rPr>
          <w:rFonts w:ascii="Times New Roman" w:eastAsia="Times New Roman" w:hAnsi="Times New Roman" w:cs="Times New Roman"/>
        </w:rPr>
        <w:fldChar w:fldCharType="begin"/>
      </w:r>
      <w:r w:rsidR="00A254D1">
        <w:instrText xml:space="preserve"> XE "</w:instrText>
      </w:r>
      <w:r w:rsidR="00A254D1" w:rsidRPr="00AC0495">
        <w:rPr>
          <w:rFonts w:ascii="Times New Roman" w:eastAsia="Times New Roman" w:hAnsi="Times New Roman" w:cs="Times New Roman"/>
        </w:rPr>
        <w:instrText>ICPC:</w:instrText>
      </w:r>
      <w:r w:rsidR="00A254D1" w:rsidRPr="00AC0495">
        <w:instrText>Instance Centrale de Prévention de la Corruption</w:instrText>
      </w:r>
      <w:r w:rsidR="00A254D1">
        <w:instrText xml:space="preserve">" </w:instrText>
      </w:r>
      <w:r w:rsidR="00A254D1">
        <w:rPr>
          <w:rFonts w:ascii="Times New Roman" w:eastAsia="Times New Roman" w:hAnsi="Times New Roman" w:cs="Times New Roman"/>
        </w:rPr>
        <w:fldChar w:fldCharType="end"/>
      </w:r>
      <w:r w:rsidRPr="00BC7BB5">
        <w:rPr>
          <w:rFonts w:ascii="Times New Roman" w:eastAsia="Times New Roman" w:hAnsi="Times New Roman" w:cs="Times New Roman"/>
        </w:rPr>
        <w:t>)” by Decree No. 2- 05-1228 (13 March 2007). The ICPC is responsible for coordinating, supervising and monitoring the implementation of corruption prevention policies, collecting and disseminating information in this field. To this end, it shall in particular be responsible for: (i) proposing to the government the main orientations of a policy of prevention of corruption, particularly in the area of cooperation between the public and private sectors to fight against corruption; (ii) proposing measures to raise public awareness and organize information campaigns to this effect; (iii) contributing, in cooperation with the administrations and entities concerned, to the development of international cooperation in the field of prevention of corruption; (iv) ensuring a monitoring and evaluation of the measures taken to implement government's policy in this area and making recommendations to the public administration, public agencies, private companies and all those involved in the prevention of corruption policy; (v) providing advices to the administrative authorities on possible measures to prevent corruption; (vi) collecting all information related to the phenomenon of corruption and managing the related database</w:t>
      </w:r>
      <w:r w:rsidR="00DA13FB">
        <w:rPr>
          <w:rFonts w:ascii="Times New Roman" w:eastAsia="Times New Roman" w:hAnsi="Times New Roman" w:cs="Times New Roman"/>
        </w:rPr>
        <w:t>;</w:t>
      </w:r>
      <w:r w:rsidRPr="00BC7BB5">
        <w:rPr>
          <w:rFonts w:ascii="Times New Roman" w:eastAsia="Times New Roman" w:hAnsi="Times New Roman" w:cs="Times New Roman"/>
        </w:rPr>
        <w:t xml:space="preserve"> and (vii) informing the competent judicial authority of all the facts brought to its attention during the performance of its duties, which it considers may constitute acts of corruption punishable by law. The number of complaints or anonymous whistle blowing cases declared by ICPC is usually small: about 100 allegations at national level after the first year the launch of ICPC secured electronic site. This is a sign of lack of bidders’ confidence in the systems with regard to appeal mechanisms or judicial process, and of their fear to be penalized.</w:t>
      </w:r>
    </w:p>
    <w:p w14:paraId="0FC24CF5" w14:textId="77777777" w:rsidR="007D3731" w:rsidRPr="00BC7BB5" w:rsidRDefault="007D3731" w:rsidP="007D3731">
      <w:pPr>
        <w:autoSpaceDE w:val="0"/>
        <w:autoSpaceDN w:val="0"/>
        <w:adjustRightInd w:val="0"/>
        <w:spacing w:after="0" w:line="240" w:lineRule="auto"/>
        <w:jc w:val="both"/>
        <w:rPr>
          <w:rFonts w:ascii="Times New Roman" w:eastAsia="Times New Roman" w:hAnsi="Times New Roman" w:cs="Times New Roman"/>
        </w:rPr>
      </w:pPr>
    </w:p>
    <w:p w14:paraId="15E34EC8" w14:textId="59682BB7" w:rsidR="00AD7B8F" w:rsidRPr="00BC7BB5" w:rsidRDefault="00AD7B8F" w:rsidP="00422BC8">
      <w:pPr>
        <w:pStyle w:val="ListParagraph"/>
        <w:numPr>
          <w:ilvl w:val="0"/>
          <w:numId w:val="15"/>
        </w:numPr>
        <w:autoSpaceDE w:val="0"/>
        <w:autoSpaceDN w:val="0"/>
        <w:adjustRightInd w:val="0"/>
        <w:spacing w:after="0" w:line="240" w:lineRule="auto"/>
        <w:ind w:left="0" w:firstLine="0"/>
        <w:jc w:val="both"/>
        <w:rPr>
          <w:rFonts w:ascii="Times New Roman" w:eastAsia="Times New Roman" w:hAnsi="Times New Roman" w:cs="Times New Roman"/>
        </w:rPr>
      </w:pPr>
      <w:r w:rsidRPr="00BC7BB5">
        <w:rPr>
          <w:rFonts w:ascii="Times New Roman" w:eastAsia="Times New Roman" w:hAnsi="Times New Roman" w:cs="Times New Roman"/>
        </w:rPr>
        <w:t xml:space="preserve">At the level of the Program, any allegation of fraud and corruption </w:t>
      </w:r>
      <w:r w:rsidR="00D23364">
        <w:rPr>
          <w:rFonts w:ascii="Times New Roman" w:eastAsia="Times New Roman" w:hAnsi="Times New Roman" w:cs="Times New Roman"/>
        </w:rPr>
        <w:t>will</w:t>
      </w:r>
      <w:r w:rsidRPr="00BC7BB5">
        <w:rPr>
          <w:rFonts w:ascii="Times New Roman" w:eastAsia="Times New Roman" w:hAnsi="Times New Roman" w:cs="Times New Roman"/>
        </w:rPr>
        <w:t xml:space="preserve"> be reported to the ICPC.</w:t>
      </w:r>
    </w:p>
    <w:p w14:paraId="4C520CEC" w14:textId="77777777" w:rsidR="00AD7B8F" w:rsidRPr="00BC7BB5" w:rsidRDefault="00AD7B8F" w:rsidP="007D3731">
      <w:pPr>
        <w:pStyle w:val="ListParagraph"/>
        <w:autoSpaceDE w:val="0"/>
        <w:autoSpaceDN w:val="0"/>
        <w:adjustRightInd w:val="0"/>
        <w:spacing w:after="0" w:line="240" w:lineRule="auto"/>
        <w:ind w:left="1637"/>
        <w:jc w:val="both"/>
        <w:rPr>
          <w:rFonts w:ascii="Times New Roman" w:eastAsia="Times New Roman" w:hAnsi="Times New Roman" w:cs="Times New Roman"/>
        </w:rPr>
      </w:pPr>
    </w:p>
    <w:p w14:paraId="02C69168" w14:textId="14D16227" w:rsidR="00AD7B8F" w:rsidRPr="00BC7BB5" w:rsidRDefault="00AD7B8F" w:rsidP="00422BC8">
      <w:pPr>
        <w:pStyle w:val="ListParagraph"/>
        <w:numPr>
          <w:ilvl w:val="0"/>
          <w:numId w:val="15"/>
        </w:numPr>
        <w:autoSpaceDE w:val="0"/>
        <w:autoSpaceDN w:val="0"/>
        <w:adjustRightInd w:val="0"/>
        <w:spacing w:after="0" w:line="240" w:lineRule="auto"/>
        <w:ind w:left="0" w:firstLine="0"/>
        <w:jc w:val="both"/>
        <w:rPr>
          <w:rFonts w:ascii="Times New Roman" w:hAnsi="Times New Roman" w:cs="Times New Roman"/>
        </w:rPr>
      </w:pPr>
      <w:r w:rsidRPr="00BC7BB5">
        <w:rPr>
          <w:rFonts w:ascii="Times New Roman" w:eastAsia="Times New Roman" w:hAnsi="Times New Roman" w:cs="Times New Roman"/>
          <w:i/>
        </w:rPr>
        <w:t>The Institution of the Ombudsman (</w:t>
      </w:r>
      <w:r w:rsidRPr="00BC7BB5">
        <w:rPr>
          <w:rFonts w:ascii="Times New Roman" w:eastAsia="Times New Roman" w:hAnsi="Times New Roman" w:cs="Times New Roman"/>
          <w:i/>
          <w:iCs/>
        </w:rPr>
        <w:t>L’Institution du Médiateur</w:t>
      </w:r>
      <w:r w:rsidRPr="00BC7BB5">
        <w:rPr>
          <w:rFonts w:ascii="Times New Roman" w:eastAsia="Times New Roman" w:hAnsi="Times New Roman" w:cs="Times New Roman"/>
          <w:i/>
        </w:rPr>
        <w:t>)</w:t>
      </w:r>
      <w:r w:rsidRPr="00BC7BB5">
        <w:rPr>
          <w:rFonts w:ascii="Times New Roman" w:eastAsia="Times New Roman" w:hAnsi="Times New Roman" w:cs="Times New Roman"/>
        </w:rPr>
        <w:t xml:space="preserve"> is a constitutional body that was established by the Constitution</w:t>
      </w:r>
      <w:r w:rsidRPr="00BC7BB5">
        <w:rPr>
          <w:rFonts w:ascii="Times New Roman" w:hAnsi="Times New Roman" w:cs="Times New Roman"/>
          <w:vertAlign w:val="superscript"/>
        </w:rPr>
        <w:footnoteReference w:id="66"/>
      </w:r>
      <w:r w:rsidRPr="00BC7BB5">
        <w:rPr>
          <w:rFonts w:ascii="Times New Roman" w:eastAsia="Times New Roman" w:hAnsi="Times New Roman" w:cs="Times New Roman"/>
        </w:rPr>
        <w:t xml:space="preserve">  to replace the former Grievances Office (</w:t>
      </w:r>
      <w:r w:rsidRPr="00BC7BB5">
        <w:rPr>
          <w:rFonts w:ascii="Times New Roman" w:eastAsia="Times New Roman" w:hAnsi="Times New Roman" w:cs="Times New Roman"/>
          <w:i/>
          <w:iCs/>
        </w:rPr>
        <w:t>Diwan Al Madalim</w:t>
      </w:r>
      <w:r w:rsidRPr="00BC7BB5">
        <w:rPr>
          <w:rFonts w:ascii="Times New Roman" w:eastAsia="Times New Roman" w:hAnsi="Times New Roman" w:cs="Times New Roman"/>
        </w:rPr>
        <w:t xml:space="preserve">). The Ombudsman’s mandate covers handling complaints and grievances of citizens, domestic or foreign individuals or legal entities against the administration (including regional and local governments) and organizations which benefit from financial support of the </w:t>
      </w:r>
      <w:r w:rsidR="00DA13FB">
        <w:rPr>
          <w:rFonts w:ascii="Times New Roman" w:eastAsia="Times New Roman" w:hAnsi="Times New Roman" w:cs="Times New Roman"/>
        </w:rPr>
        <w:t>s</w:t>
      </w:r>
      <w:r w:rsidRPr="00BC7BB5">
        <w:rPr>
          <w:rFonts w:ascii="Times New Roman" w:eastAsia="Times New Roman" w:hAnsi="Times New Roman" w:cs="Times New Roman"/>
        </w:rPr>
        <w:t>tate (CC, SDL). The Ombudsman is, in addition, empowered with capacity of investigation on its own initiative (</w:t>
      </w:r>
      <w:r w:rsidRPr="00BC7BB5">
        <w:rPr>
          <w:rFonts w:ascii="Times New Roman" w:eastAsia="Times New Roman" w:hAnsi="Times New Roman" w:cs="Times New Roman"/>
          <w:i/>
          <w:iCs/>
        </w:rPr>
        <w:t>autosaisine</w:t>
      </w:r>
      <w:r w:rsidRPr="00BC7BB5">
        <w:rPr>
          <w:rFonts w:ascii="Times New Roman" w:eastAsia="Times New Roman" w:hAnsi="Times New Roman" w:cs="Times New Roman"/>
        </w:rPr>
        <w:t>). It is free and easily accessible as grievances, complaints and claims can be introduced through regular or registered mail, fax or internet. According to its latest annual report, the total number of complaints and grievances treated by the institution reached 1,919 in 2013</w:t>
      </w:r>
      <w:r w:rsidRPr="00BC7BB5">
        <w:rPr>
          <w:rFonts w:ascii="Times New Roman" w:hAnsi="Times New Roman" w:cs="Times New Roman"/>
        </w:rPr>
        <w:t>. Complaints brought to the Ombudsman mostly related to administrative, real estate and financial and legal cases.</w:t>
      </w:r>
    </w:p>
    <w:p w14:paraId="0663175F" w14:textId="124B8786" w:rsidR="007D3731" w:rsidRPr="00BC7BB5" w:rsidRDefault="007D3731" w:rsidP="007D3731">
      <w:pPr>
        <w:autoSpaceDE w:val="0"/>
        <w:autoSpaceDN w:val="0"/>
        <w:adjustRightInd w:val="0"/>
        <w:spacing w:after="0" w:line="240" w:lineRule="auto"/>
        <w:jc w:val="both"/>
        <w:rPr>
          <w:rFonts w:ascii="Times New Roman" w:hAnsi="Times New Roman" w:cs="Times New Roman"/>
        </w:rPr>
      </w:pPr>
    </w:p>
    <w:p w14:paraId="16C4E3D4" w14:textId="4F79FD90" w:rsidR="00AD7B8F" w:rsidRPr="00BC7BB5" w:rsidRDefault="00AD7B8F" w:rsidP="00422BC8">
      <w:pPr>
        <w:pStyle w:val="ListParagraph"/>
        <w:numPr>
          <w:ilvl w:val="0"/>
          <w:numId w:val="15"/>
        </w:numPr>
        <w:autoSpaceDE w:val="0"/>
        <w:autoSpaceDN w:val="0"/>
        <w:adjustRightInd w:val="0"/>
        <w:spacing w:after="0" w:line="240" w:lineRule="auto"/>
        <w:ind w:left="0" w:firstLine="0"/>
        <w:jc w:val="both"/>
        <w:rPr>
          <w:rFonts w:ascii="Times New Roman" w:eastAsia="Times New Roman" w:hAnsi="Times New Roman" w:cs="Times New Roman"/>
        </w:rPr>
      </w:pPr>
      <w:r w:rsidRPr="00BC7BB5">
        <w:rPr>
          <w:rFonts w:ascii="Times New Roman" w:eastAsia="Times New Roman" w:hAnsi="Times New Roman" w:cs="Times New Roman"/>
          <w:b/>
        </w:rPr>
        <w:t xml:space="preserve">Anti-corruption arrangements. </w:t>
      </w:r>
      <w:r w:rsidRPr="00BC7BB5">
        <w:rPr>
          <w:rFonts w:ascii="Times New Roman" w:hAnsi="Times New Roman" w:cs="Times New Roman"/>
        </w:rPr>
        <w:t>The Borrower will use the existing country systems to take all appropriate measures to prevent fraud and corruption in connection with the Program. The Bank’s Guidelines on Preventing and Combating Fraud and Corruption in Program-for-Results Financing, dated February 1, 2012 and revised July 10, 2015 (the Anti-Corruption Guidelines) will apply.</w:t>
      </w:r>
    </w:p>
    <w:p w14:paraId="16014F5D" w14:textId="67706B6C" w:rsidR="007D3731" w:rsidRPr="00BC7BB5" w:rsidRDefault="007D3731" w:rsidP="007D3731">
      <w:pPr>
        <w:autoSpaceDE w:val="0"/>
        <w:autoSpaceDN w:val="0"/>
        <w:adjustRightInd w:val="0"/>
        <w:spacing w:after="0" w:line="240" w:lineRule="auto"/>
        <w:jc w:val="both"/>
        <w:rPr>
          <w:rFonts w:ascii="Times New Roman" w:eastAsia="Times New Roman" w:hAnsi="Times New Roman" w:cs="Times New Roman"/>
        </w:rPr>
      </w:pPr>
    </w:p>
    <w:p w14:paraId="1A64F378" w14:textId="1292420B" w:rsidR="00AD7B8F" w:rsidRPr="00BC7BB5" w:rsidRDefault="00AD7B8F" w:rsidP="00422BC8">
      <w:pPr>
        <w:pStyle w:val="ListParagraph"/>
        <w:numPr>
          <w:ilvl w:val="0"/>
          <w:numId w:val="15"/>
        </w:numPr>
        <w:autoSpaceDE w:val="0"/>
        <w:autoSpaceDN w:val="0"/>
        <w:adjustRightInd w:val="0"/>
        <w:spacing w:after="0" w:line="240" w:lineRule="auto"/>
        <w:ind w:left="0" w:firstLine="0"/>
        <w:jc w:val="both"/>
        <w:rPr>
          <w:rFonts w:ascii="Times New Roman" w:hAnsi="Times New Roman" w:cs="Times New Roman"/>
        </w:rPr>
      </w:pPr>
      <w:r w:rsidRPr="00BC7BB5">
        <w:rPr>
          <w:rFonts w:ascii="Times New Roman" w:eastAsia="Times New Roman" w:hAnsi="Times New Roman" w:cs="Times New Roman"/>
          <w:b/>
        </w:rPr>
        <w:lastRenderedPageBreak/>
        <w:t>Reporting</w:t>
      </w:r>
      <w:r w:rsidRPr="00BC7BB5">
        <w:rPr>
          <w:rFonts w:ascii="Times New Roman" w:hAnsi="Times New Roman" w:cs="Times New Roman"/>
          <w:b/>
        </w:rPr>
        <w:t>.</w:t>
      </w:r>
      <w:r w:rsidRPr="00BC7BB5">
        <w:rPr>
          <w:rFonts w:ascii="Times New Roman" w:hAnsi="Times New Roman" w:cs="Times New Roman"/>
        </w:rPr>
        <w:t xml:space="preserve"> The </w:t>
      </w:r>
      <w:r w:rsidR="00775BFD">
        <w:rPr>
          <w:rFonts w:ascii="Times New Roman" w:hAnsi="Times New Roman" w:cs="Times New Roman"/>
        </w:rPr>
        <w:t>B</w:t>
      </w:r>
      <w:r w:rsidRPr="00BC7BB5">
        <w:rPr>
          <w:rFonts w:ascii="Times New Roman" w:hAnsi="Times New Roman" w:cs="Times New Roman"/>
        </w:rPr>
        <w:t xml:space="preserve">orrower will handle and report to the Bank allegations occurring under the Program via the annual reports during Program implementation. The World Bank’s prerogative of administrative inquiry for allegations of fraud and corruption has been clarified to the borrower during the Program preparation. The borrower’s collaboration with the Bank on the administrative inquiries into allegations which the Bank intends to pursue has been confirmed during preparation. In accordance with the Bank’s Anti-Corruption </w:t>
      </w:r>
      <w:r w:rsidR="00775BFD">
        <w:rPr>
          <w:rFonts w:ascii="Times New Roman" w:hAnsi="Times New Roman" w:cs="Times New Roman"/>
        </w:rPr>
        <w:t>G</w:t>
      </w:r>
      <w:r w:rsidRPr="00BC7BB5">
        <w:rPr>
          <w:rFonts w:ascii="Times New Roman" w:hAnsi="Times New Roman" w:cs="Times New Roman"/>
        </w:rPr>
        <w:t>uidelines, the Program will take steps to ensure that “any person or entity debarred or suspended by the Bank is not awarded a contract under or otherwise allowed to participate in the Program during the period of such debarment or suspension”. During the procurement processes, each of the implementing entities will verify the names of the contractor against the Bank’s database</w:t>
      </w:r>
      <w:r w:rsidRPr="00BC7BB5">
        <w:rPr>
          <w:rStyle w:val="FootnoteReference"/>
          <w:rFonts w:ascii="Times New Roman" w:hAnsi="Times New Roman" w:cs="Times New Roman"/>
        </w:rPr>
        <w:footnoteReference w:id="67"/>
      </w:r>
      <w:r w:rsidRPr="00BC7BB5">
        <w:rPr>
          <w:rFonts w:ascii="Times New Roman" w:hAnsi="Times New Roman" w:cs="Times New Roman"/>
        </w:rPr>
        <w:t xml:space="preserve"> of debarred or suspended contractors to ensure that no such contractor is awarded any contract under the Program.</w:t>
      </w:r>
    </w:p>
    <w:p w14:paraId="11B9D0AA" w14:textId="3561085C" w:rsidR="007D3731" w:rsidRPr="00BC7BB5" w:rsidRDefault="007D3731" w:rsidP="007D3731">
      <w:pPr>
        <w:autoSpaceDE w:val="0"/>
        <w:autoSpaceDN w:val="0"/>
        <w:adjustRightInd w:val="0"/>
        <w:spacing w:after="0" w:line="240" w:lineRule="auto"/>
        <w:jc w:val="both"/>
        <w:rPr>
          <w:rFonts w:ascii="Times New Roman" w:hAnsi="Times New Roman" w:cs="Times New Roman"/>
        </w:rPr>
      </w:pPr>
    </w:p>
    <w:p w14:paraId="2DDCF698" w14:textId="7C91364F" w:rsidR="00AD7B8F" w:rsidRPr="00BC7BB5" w:rsidRDefault="00AD7B8F" w:rsidP="00422BC8">
      <w:pPr>
        <w:pStyle w:val="ListParagraph"/>
        <w:numPr>
          <w:ilvl w:val="0"/>
          <w:numId w:val="15"/>
        </w:numPr>
        <w:autoSpaceDE w:val="0"/>
        <w:autoSpaceDN w:val="0"/>
        <w:adjustRightInd w:val="0"/>
        <w:spacing w:after="0" w:line="240" w:lineRule="auto"/>
        <w:ind w:left="0" w:firstLine="0"/>
        <w:jc w:val="both"/>
        <w:rPr>
          <w:rFonts w:ascii="Times New Roman" w:hAnsi="Times New Roman" w:cs="Times New Roman"/>
        </w:rPr>
      </w:pPr>
      <w:r w:rsidRPr="00BC7BB5">
        <w:rPr>
          <w:rFonts w:ascii="Times New Roman" w:eastAsia="Times New Roman" w:hAnsi="Times New Roman" w:cs="Times New Roman"/>
          <w:b/>
        </w:rPr>
        <w:t>Actions</w:t>
      </w:r>
      <w:r w:rsidRPr="00BC7BB5">
        <w:rPr>
          <w:rFonts w:ascii="Times New Roman" w:hAnsi="Times New Roman" w:cs="Times New Roman"/>
          <w:b/>
        </w:rPr>
        <w:t xml:space="preserve"> related to fraud and corruption.</w:t>
      </w:r>
      <w:r w:rsidRPr="00BC7BB5">
        <w:rPr>
          <w:rFonts w:ascii="Times New Roman" w:hAnsi="Times New Roman" w:cs="Times New Roman"/>
        </w:rPr>
        <w:t xml:space="preserve"> The Borrower will: (a) take all appropriate measures to ensure that the Program is carried out in accordance with the Bank’s Anti-Corruption Guidelines; (b) take all appropriate measures to prevent fraud and corruption in connection with the Program, including (but not limited to) adopting and implementing appropriate fiduciary and administrative practices and institutional arrangements to ensure that the proceeds of the Loan are used only for the purposes for which the Loan was granted; (c) promptly inform the Bank of all credible and material allegations or other indications of fraud and corruption in connection with the Program that come to its attention, together with the investigative and other actions that the Borrower proposes to take with respect thereto; (d) unless otherwise agreed with the Bank with respect to a particular case, take timely and appropriate action to investigate such allegations and indications; report to the Bank on the actions taken in any such investigation, at such intervals as may be agreed between the Borrower and the Bank; and, promptly upon the completion of any such investigation, report to the Bank the findings thereof; (e) if the Borrower or the Bank determines that any person or entity has engaged in fraud and corruption in connection with the Program, take timely and appropriate action, satisfactory to the Bank, to remedy or otherwise address the situation and prevent its recurrence; and (f) ensure that any person or entity debarred or suspended by the Bank is not awarded contract under or otherwise allowed to participate in the Program during the period of such debarment or suspension. The Bank’s debarment list, which is easily accessible, will be checked by all procuring entities before awarding contracts. </w:t>
      </w:r>
    </w:p>
    <w:p w14:paraId="69DD652A" w14:textId="77777777" w:rsidR="007D3731" w:rsidRPr="00BC7BB5" w:rsidRDefault="007D3731" w:rsidP="007D3731">
      <w:pPr>
        <w:autoSpaceDE w:val="0"/>
        <w:autoSpaceDN w:val="0"/>
        <w:adjustRightInd w:val="0"/>
        <w:spacing w:after="0" w:line="240" w:lineRule="auto"/>
        <w:jc w:val="both"/>
        <w:rPr>
          <w:rFonts w:ascii="Times New Roman" w:hAnsi="Times New Roman" w:cs="Times New Roman"/>
        </w:rPr>
      </w:pPr>
    </w:p>
    <w:p w14:paraId="10ED014F" w14:textId="77777777" w:rsidR="00AD7B8F" w:rsidRPr="00BC7BB5" w:rsidRDefault="00AD7B8F" w:rsidP="00422BC8">
      <w:pPr>
        <w:pStyle w:val="ListParagraph"/>
        <w:numPr>
          <w:ilvl w:val="0"/>
          <w:numId w:val="15"/>
        </w:numPr>
        <w:autoSpaceDE w:val="0"/>
        <w:autoSpaceDN w:val="0"/>
        <w:adjustRightInd w:val="0"/>
        <w:spacing w:after="0" w:line="240" w:lineRule="auto"/>
        <w:ind w:left="0" w:firstLine="0"/>
        <w:jc w:val="both"/>
        <w:rPr>
          <w:rFonts w:ascii="Times New Roman" w:hAnsi="Times New Roman" w:cs="Times New Roman"/>
          <w:color w:val="000000" w:themeColor="text1"/>
        </w:rPr>
      </w:pPr>
      <w:r w:rsidRPr="00BC7BB5">
        <w:rPr>
          <w:rFonts w:ascii="Times New Roman" w:eastAsia="Times New Roman" w:hAnsi="Times New Roman" w:cs="Times New Roman"/>
          <w:b/>
        </w:rPr>
        <w:t>Internal</w:t>
      </w:r>
      <w:r w:rsidRPr="00BC7BB5">
        <w:rPr>
          <w:rFonts w:ascii="Times New Roman" w:hAnsi="Times New Roman" w:cs="Times New Roman"/>
          <w:b/>
          <w:color w:val="000000" w:themeColor="text1"/>
        </w:rPr>
        <w:t xml:space="preserve"> audit. </w:t>
      </w:r>
      <w:r w:rsidRPr="00BC7BB5">
        <w:rPr>
          <w:rFonts w:ascii="Times New Roman" w:hAnsi="Times New Roman" w:cs="Times New Roman"/>
          <w:color w:val="000000" w:themeColor="text1"/>
          <w:lang w:eastAsia="fr-FR"/>
        </w:rPr>
        <w:t>The assessment of the internal audit arrangements in effect at the level of each entity of the Program is as follows.</w:t>
      </w:r>
    </w:p>
    <w:p w14:paraId="26982DE0" w14:textId="77777777" w:rsidR="007D3731" w:rsidRPr="00BC7BB5" w:rsidRDefault="007D3731" w:rsidP="007D3731">
      <w:pPr>
        <w:autoSpaceDE w:val="0"/>
        <w:autoSpaceDN w:val="0"/>
        <w:adjustRightInd w:val="0"/>
        <w:spacing w:after="0" w:line="240" w:lineRule="auto"/>
        <w:ind w:left="720"/>
        <w:jc w:val="both"/>
        <w:rPr>
          <w:rFonts w:ascii="Times New Roman" w:hAnsi="Times New Roman" w:cs="Times New Roman"/>
          <w:color w:val="000000" w:themeColor="text1"/>
        </w:rPr>
      </w:pPr>
    </w:p>
    <w:p w14:paraId="6F57F03D" w14:textId="126422D0" w:rsidR="00AD7B8F" w:rsidRPr="00BC7BB5" w:rsidRDefault="00AD7B8F" w:rsidP="00422BC8">
      <w:pPr>
        <w:pStyle w:val="ListParagraph"/>
        <w:numPr>
          <w:ilvl w:val="0"/>
          <w:numId w:val="16"/>
        </w:numPr>
        <w:autoSpaceDE w:val="0"/>
        <w:autoSpaceDN w:val="0"/>
        <w:adjustRightInd w:val="0"/>
        <w:spacing w:after="0" w:line="240" w:lineRule="auto"/>
        <w:contextualSpacing w:val="0"/>
        <w:jc w:val="both"/>
        <w:rPr>
          <w:rFonts w:ascii="Times New Roman" w:hAnsi="Times New Roman" w:cs="Times New Roman"/>
          <w:color w:val="000000" w:themeColor="text1"/>
        </w:rPr>
      </w:pPr>
      <w:r w:rsidRPr="00BC7BB5">
        <w:rPr>
          <w:rFonts w:ascii="Times New Roman" w:hAnsi="Times New Roman" w:cs="Times New Roman"/>
          <w:i/>
          <w:color w:val="000000" w:themeColor="text1"/>
        </w:rPr>
        <w:t>MAPMDREF</w:t>
      </w:r>
      <w:r w:rsidRPr="00BC7BB5">
        <w:rPr>
          <w:rFonts w:ascii="Times New Roman" w:hAnsi="Times New Roman" w:cs="Times New Roman"/>
          <w:color w:val="000000" w:themeColor="text1"/>
        </w:rPr>
        <w:t xml:space="preserve">. The internal audit function is under the responsibility of the General Ministerial Inspectorate. This entity is one of the three General Ministerial Inspectorates fully operational in Morocco. It is mentored by the General Inspectorate of Finance with the view to introduce the risk based audit and the performance audit. </w:t>
      </w:r>
    </w:p>
    <w:p w14:paraId="1BA84B60" w14:textId="77777777" w:rsidR="00AD7B8F" w:rsidRPr="00BC7BB5" w:rsidRDefault="00AD7B8F" w:rsidP="007D3731">
      <w:pPr>
        <w:pStyle w:val="ListParagraph"/>
        <w:spacing w:after="0" w:line="240" w:lineRule="auto"/>
        <w:jc w:val="both"/>
        <w:rPr>
          <w:rFonts w:ascii="Times New Roman" w:hAnsi="Times New Roman" w:cs="Times New Roman"/>
          <w:color w:val="000000" w:themeColor="text1"/>
        </w:rPr>
      </w:pPr>
    </w:p>
    <w:p w14:paraId="2260550E" w14:textId="77777777" w:rsidR="00AD7B8F" w:rsidRPr="00BC7BB5" w:rsidRDefault="00AD7B8F" w:rsidP="00422BC8">
      <w:pPr>
        <w:pStyle w:val="ListParagraph"/>
        <w:numPr>
          <w:ilvl w:val="0"/>
          <w:numId w:val="16"/>
        </w:numPr>
        <w:spacing w:after="0" w:line="240" w:lineRule="auto"/>
        <w:jc w:val="both"/>
        <w:rPr>
          <w:rFonts w:ascii="Times New Roman" w:hAnsi="Times New Roman" w:cs="Times New Roman"/>
          <w:color w:val="000000" w:themeColor="text1"/>
        </w:rPr>
      </w:pPr>
      <w:r w:rsidRPr="00BC7BB5">
        <w:rPr>
          <w:rFonts w:ascii="Times New Roman" w:hAnsi="Times New Roman" w:cs="Times New Roman"/>
          <w:i/>
          <w:color w:val="000000" w:themeColor="text1"/>
        </w:rPr>
        <w:t>ONSSA</w:t>
      </w:r>
      <w:r w:rsidRPr="00BC7BB5">
        <w:rPr>
          <w:rFonts w:ascii="Times New Roman" w:hAnsi="Times New Roman" w:cs="Times New Roman"/>
          <w:color w:val="000000" w:themeColor="text1"/>
        </w:rPr>
        <w:t xml:space="preserve">. The internal audit department is fully operational. The entity prepares and shares with the management its annual audit plan which covers both the central and decentralized levels. The entity capacity is deemed adequate. </w:t>
      </w:r>
    </w:p>
    <w:p w14:paraId="64ABAFE2" w14:textId="77777777" w:rsidR="00AD7B8F" w:rsidRPr="00BC7BB5" w:rsidRDefault="00AD7B8F" w:rsidP="007D3731">
      <w:pPr>
        <w:pStyle w:val="ListParagraph"/>
        <w:spacing w:after="0" w:line="240" w:lineRule="auto"/>
        <w:rPr>
          <w:rFonts w:ascii="Times New Roman" w:hAnsi="Times New Roman" w:cs="Times New Roman"/>
          <w:color w:val="000000" w:themeColor="text1"/>
        </w:rPr>
      </w:pPr>
    </w:p>
    <w:p w14:paraId="532152DC" w14:textId="6892F72F" w:rsidR="006B06B4" w:rsidRPr="00BC7BB5" w:rsidRDefault="00AD7B8F" w:rsidP="00422BC8">
      <w:pPr>
        <w:pStyle w:val="ListParagraph"/>
        <w:numPr>
          <w:ilvl w:val="0"/>
          <w:numId w:val="16"/>
        </w:numPr>
        <w:spacing w:after="0" w:line="240" w:lineRule="auto"/>
        <w:jc w:val="both"/>
        <w:rPr>
          <w:rFonts w:ascii="Times New Roman" w:hAnsi="Times New Roman" w:cs="Times New Roman"/>
          <w:color w:val="000000" w:themeColor="text1"/>
        </w:rPr>
      </w:pPr>
      <w:r w:rsidRPr="00BC7BB5">
        <w:rPr>
          <w:rFonts w:ascii="Times New Roman" w:hAnsi="Times New Roman" w:cs="Times New Roman"/>
          <w:i/>
          <w:color w:val="000000" w:themeColor="text1"/>
        </w:rPr>
        <w:t xml:space="preserve">Rabat </w:t>
      </w:r>
      <w:r w:rsidR="00CB60AB">
        <w:rPr>
          <w:rFonts w:ascii="Times New Roman" w:hAnsi="Times New Roman" w:cs="Times New Roman"/>
          <w:i/>
          <w:color w:val="000000" w:themeColor="text1"/>
        </w:rPr>
        <w:t xml:space="preserve">Région </w:t>
      </w:r>
      <w:r w:rsidRPr="00BC7BB5">
        <w:rPr>
          <w:rFonts w:ascii="Times New Roman" w:hAnsi="Times New Roman" w:cs="Times New Roman"/>
          <w:i/>
          <w:color w:val="000000" w:themeColor="text1"/>
        </w:rPr>
        <w:t>Aménagement</w:t>
      </w:r>
      <w:r w:rsidRPr="00BC7BB5">
        <w:rPr>
          <w:rFonts w:ascii="Times New Roman" w:hAnsi="Times New Roman" w:cs="Times New Roman"/>
          <w:color w:val="000000" w:themeColor="text1"/>
        </w:rPr>
        <w:t xml:space="preserve">. The internal audit unit mentioned in the company organigram is not </w:t>
      </w:r>
      <w:r w:rsidR="008B72BC">
        <w:rPr>
          <w:rFonts w:ascii="Times New Roman" w:hAnsi="Times New Roman" w:cs="Times New Roman"/>
          <w:color w:val="000000" w:themeColor="text1"/>
        </w:rPr>
        <w:t xml:space="preserve">yet </w:t>
      </w:r>
      <w:r w:rsidRPr="00BC7BB5">
        <w:rPr>
          <w:rFonts w:ascii="Times New Roman" w:hAnsi="Times New Roman" w:cs="Times New Roman"/>
          <w:color w:val="000000" w:themeColor="text1"/>
        </w:rPr>
        <w:t xml:space="preserve">staffed. The recruitment process </w:t>
      </w:r>
      <w:r w:rsidR="00DF3C5C">
        <w:rPr>
          <w:rFonts w:ascii="Times New Roman" w:hAnsi="Times New Roman" w:cs="Times New Roman"/>
          <w:color w:val="000000" w:themeColor="text1"/>
        </w:rPr>
        <w:t xml:space="preserve">has been launched and </w:t>
      </w:r>
      <w:r w:rsidRPr="00BC7BB5">
        <w:rPr>
          <w:rFonts w:ascii="Times New Roman" w:hAnsi="Times New Roman" w:cs="Times New Roman"/>
          <w:color w:val="000000" w:themeColor="text1"/>
        </w:rPr>
        <w:t>is ongoing. To ensure the appropriate management of the risk and compliance with the provisions of the manual of procedures once adopted, it will be crucial to establish an operational internal audit unit</w:t>
      </w:r>
      <w:r w:rsidR="00775BFD">
        <w:rPr>
          <w:rFonts w:ascii="Times New Roman" w:hAnsi="Times New Roman" w:cs="Times New Roman"/>
          <w:color w:val="000000" w:themeColor="text1"/>
        </w:rPr>
        <w:t>.</w:t>
      </w:r>
    </w:p>
    <w:p w14:paraId="29875AFA" w14:textId="2D539120" w:rsidR="00AD7B8F" w:rsidRPr="00BC7BB5" w:rsidRDefault="00AD7B8F" w:rsidP="006B06B4">
      <w:pPr>
        <w:spacing w:after="0" w:line="240" w:lineRule="auto"/>
        <w:jc w:val="both"/>
        <w:rPr>
          <w:rFonts w:ascii="Times New Roman" w:hAnsi="Times New Roman" w:cs="Times New Roman"/>
          <w:color w:val="000000" w:themeColor="text1"/>
        </w:rPr>
      </w:pPr>
    </w:p>
    <w:p w14:paraId="48B9F58C" w14:textId="5802FB3F" w:rsidR="00AD7B8F" w:rsidRPr="00BC7BB5" w:rsidRDefault="00AD7B8F" w:rsidP="00422BC8">
      <w:pPr>
        <w:pStyle w:val="ListParagraph"/>
        <w:numPr>
          <w:ilvl w:val="0"/>
          <w:numId w:val="15"/>
        </w:numPr>
        <w:autoSpaceDE w:val="0"/>
        <w:autoSpaceDN w:val="0"/>
        <w:adjustRightInd w:val="0"/>
        <w:spacing w:after="0" w:line="240" w:lineRule="auto"/>
        <w:ind w:left="0" w:firstLine="0"/>
        <w:jc w:val="both"/>
        <w:rPr>
          <w:rFonts w:ascii="Times New Roman" w:hAnsi="Times New Roman" w:cs="Times New Roman"/>
          <w:color w:val="000000" w:themeColor="text1"/>
        </w:rPr>
      </w:pPr>
      <w:r w:rsidRPr="00BC7BB5">
        <w:rPr>
          <w:rFonts w:ascii="Times New Roman" w:hAnsi="Times New Roman" w:cs="Times New Roman"/>
          <w:color w:val="000000" w:themeColor="text1"/>
        </w:rPr>
        <w:lastRenderedPageBreak/>
        <w:t xml:space="preserve">The Program will apply the internal audit arrangement of MAPMDREF, ONSSA, and </w:t>
      </w:r>
      <w:r w:rsidR="00312192">
        <w:rPr>
          <w:rFonts w:ascii="Times New Roman" w:hAnsi="Times New Roman" w:cs="Times New Roman"/>
          <w:color w:val="000000" w:themeColor="text1"/>
        </w:rPr>
        <w:t>RRA</w:t>
      </w:r>
      <w:r w:rsidRPr="00BC7BB5">
        <w:rPr>
          <w:rFonts w:ascii="Times New Roman" w:hAnsi="Times New Roman" w:cs="Times New Roman"/>
          <w:color w:val="000000" w:themeColor="text1"/>
        </w:rPr>
        <w:t xml:space="preserve"> which are found acceptable.</w:t>
      </w:r>
      <w:r w:rsidRPr="00BC7BB5">
        <w:rPr>
          <w:rFonts w:ascii="Times New Roman" w:hAnsi="Times New Roman" w:cs="Times New Roman"/>
          <w:b/>
          <w:color w:val="000000" w:themeColor="text1"/>
        </w:rPr>
        <w:t xml:space="preserve"> </w:t>
      </w:r>
      <w:r w:rsidRPr="00BC7BB5">
        <w:rPr>
          <w:rFonts w:ascii="Times New Roman" w:hAnsi="Times New Roman" w:cs="Times New Roman"/>
          <w:color w:val="000000" w:themeColor="text1"/>
        </w:rPr>
        <w:t xml:space="preserve">The operationalization of the internal audit unit of </w:t>
      </w:r>
      <w:r w:rsidR="00312192">
        <w:rPr>
          <w:rFonts w:ascii="Times New Roman" w:hAnsi="Times New Roman" w:cs="Times New Roman"/>
          <w:color w:val="000000" w:themeColor="text1"/>
        </w:rPr>
        <w:t>RRA</w:t>
      </w:r>
      <w:r w:rsidRPr="00BC7BB5">
        <w:rPr>
          <w:rFonts w:ascii="Times New Roman" w:hAnsi="Times New Roman" w:cs="Times New Roman"/>
          <w:color w:val="000000" w:themeColor="text1"/>
        </w:rPr>
        <w:t xml:space="preserve"> will be an action to follow up as part of the Program Action Plan.</w:t>
      </w:r>
    </w:p>
    <w:p w14:paraId="210DD5B3" w14:textId="77777777" w:rsidR="00AD7B8F" w:rsidRPr="00BC7BB5" w:rsidRDefault="00AD7B8F" w:rsidP="006B06B4">
      <w:pPr>
        <w:pStyle w:val="ListParagraph"/>
        <w:spacing w:after="0" w:line="240" w:lineRule="auto"/>
        <w:rPr>
          <w:rFonts w:ascii="Times New Roman" w:hAnsi="Times New Roman" w:cs="Times New Roman"/>
          <w:color w:val="000000" w:themeColor="text1"/>
        </w:rPr>
      </w:pPr>
    </w:p>
    <w:p w14:paraId="2ACC05B3" w14:textId="77777777" w:rsidR="00AD7B8F" w:rsidRPr="00BC7BB5" w:rsidRDefault="00AD7B8F" w:rsidP="00422BC8">
      <w:pPr>
        <w:pStyle w:val="ListParagraph"/>
        <w:numPr>
          <w:ilvl w:val="0"/>
          <w:numId w:val="15"/>
        </w:numPr>
        <w:autoSpaceDE w:val="0"/>
        <w:autoSpaceDN w:val="0"/>
        <w:adjustRightInd w:val="0"/>
        <w:spacing w:after="0" w:line="240" w:lineRule="auto"/>
        <w:ind w:left="0" w:firstLine="0"/>
        <w:jc w:val="both"/>
        <w:rPr>
          <w:rFonts w:ascii="Times New Roman" w:hAnsi="Times New Roman" w:cs="Times New Roman"/>
          <w:color w:val="000000" w:themeColor="text1"/>
        </w:rPr>
      </w:pPr>
      <w:r w:rsidRPr="00BC7BB5">
        <w:rPr>
          <w:rFonts w:ascii="Times New Roman" w:hAnsi="Times New Roman" w:cs="Times New Roman"/>
          <w:b/>
          <w:color w:val="000000" w:themeColor="text1"/>
        </w:rPr>
        <w:t xml:space="preserve">Auditing. </w:t>
      </w:r>
      <w:r w:rsidRPr="00BC7BB5">
        <w:rPr>
          <w:rFonts w:ascii="Times New Roman" w:hAnsi="Times New Roman" w:cs="Times New Roman"/>
          <w:color w:val="000000" w:themeColor="text1"/>
          <w:lang w:eastAsia="fr-FR"/>
        </w:rPr>
        <w:t>The assessment of the external audit arrangements in effect at the level of each entity of the Program is as follows.</w:t>
      </w:r>
    </w:p>
    <w:p w14:paraId="7986BBE8" w14:textId="77777777" w:rsidR="006B06B4" w:rsidRPr="00BC7BB5" w:rsidRDefault="006B06B4" w:rsidP="006B06B4">
      <w:pPr>
        <w:autoSpaceDE w:val="0"/>
        <w:autoSpaceDN w:val="0"/>
        <w:adjustRightInd w:val="0"/>
        <w:spacing w:after="0" w:line="240" w:lineRule="auto"/>
        <w:ind w:left="720"/>
        <w:jc w:val="both"/>
        <w:rPr>
          <w:rFonts w:ascii="Times New Roman" w:hAnsi="Times New Roman" w:cs="Times New Roman"/>
          <w:color w:val="000000" w:themeColor="text1"/>
        </w:rPr>
      </w:pPr>
    </w:p>
    <w:p w14:paraId="70037D6A" w14:textId="41BCB81C" w:rsidR="00AD7B8F" w:rsidRPr="00BC7BB5" w:rsidRDefault="00AD7B8F" w:rsidP="00422BC8">
      <w:pPr>
        <w:pStyle w:val="ListParagraph"/>
        <w:numPr>
          <w:ilvl w:val="0"/>
          <w:numId w:val="17"/>
        </w:numPr>
        <w:autoSpaceDE w:val="0"/>
        <w:autoSpaceDN w:val="0"/>
        <w:adjustRightInd w:val="0"/>
        <w:spacing w:after="0" w:line="240" w:lineRule="auto"/>
        <w:contextualSpacing w:val="0"/>
        <w:jc w:val="both"/>
        <w:rPr>
          <w:rFonts w:ascii="Times New Roman" w:hAnsi="Times New Roman" w:cs="Times New Roman"/>
          <w:color w:val="000000" w:themeColor="text1"/>
        </w:rPr>
      </w:pPr>
      <w:r w:rsidRPr="00BC7BB5">
        <w:rPr>
          <w:rFonts w:ascii="Times New Roman" w:hAnsi="Times New Roman" w:cs="Times New Roman"/>
          <w:i/>
          <w:color w:val="000000" w:themeColor="text1"/>
        </w:rPr>
        <w:t>MAPMDREF</w:t>
      </w:r>
      <w:r w:rsidRPr="00BC7BB5">
        <w:rPr>
          <w:rFonts w:ascii="Times New Roman" w:hAnsi="Times New Roman" w:cs="Times New Roman"/>
          <w:color w:val="000000" w:themeColor="text1"/>
        </w:rPr>
        <w:t xml:space="preserve">: Donor funded projects managed by MAPMDREF are subject to annual audits carried out by the General Inspectorate of Finance. The reports are made available within </w:t>
      </w:r>
      <w:r w:rsidR="007011AD">
        <w:rPr>
          <w:rFonts w:ascii="Times New Roman" w:hAnsi="Times New Roman" w:cs="Times New Roman"/>
          <w:color w:val="000000" w:themeColor="text1"/>
        </w:rPr>
        <w:t>nine</w:t>
      </w:r>
      <w:r w:rsidRPr="00BC7BB5">
        <w:rPr>
          <w:rFonts w:ascii="Times New Roman" w:hAnsi="Times New Roman" w:cs="Times New Roman"/>
          <w:color w:val="000000" w:themeColor="text1"/>
        </w:rPr>
        <w:t xml:space="preserve"> months after the end of the fiscal year. The General Inspectorate of Finance is staffed with qualified staff and uses the international auditing standards. MAPMDREF is also subject to some performance audits by the Supreme Audit Institution. Two World Bank</w:t>
      </w:r>
      <w:r w:rsidR="00775BFD">
        <w:rPr>
          <w:rFonts w:ascii="Times New Roman" w:hAnsi="Times New Roman" w:cs="Times New Roman"/>
          <w:color w:val="000000" w:themeColor="text1"/>
        </w:rPr>
        <w:t>-</w:t>
      </w:r>
      <w:r w:rsidRPr="00BC7BB5">
        <w:rPr>
          <w:rFonts w:ascii="Times New Roman" w:hAnsi="Times New Roman" w:cs="Times New Roman"/>
          <w:color w:val="000000" w:themeColor="text1"/>
        </w:rPr>
        <w:t xml:space="preserve">financed projects linked to MAPMDREF </w:t>
      </w:r>
      <w:r w:rsidR="00775BFD">
        <w:rPr>
          <w:rFonts w:ascii="Times New Roman" w:hAnsi="Times New Roman" w:cs="Times New Roman"/>
          <w:color w:val="000000" w:themeColor="text1"/>
        </w:rPr>
        <w:t>have</w:t>
      </w:r>
      <w:r w:rsidR="00775BFD" w:rsidRPr="00BC7BB5">
        <w:rPr>
          <w:rFonts w:ascii="Times New Roman" w:hAnsi="Times New Roman" w:cs="Times New Roman"/>
          <w:color w:val="000000" w:themeColor="text1"/>
        </w:rPr>
        <w:t xml:space="preserve"> </w:t>
      </w:r>
      <w:r w:rsidRPr="00BC7BB5">
        <w:rPr>
          <w:rFonts w:ascii="Times New Roman" w:hAnsi="Times New Roman" w:cs="Times New Roman"/>
          <w:color w:val="000000" w:themeColor="text1"/>
        </w:rPr>
        <w:t>no overdue audit report</w:t>
      </w:r>
      <w:r w:rsidR="00775BFD">
        <w:rPr>
          <w:rFonts w:ascii="Times New Roman" w:hAnsi="Times New Roman" w:cs="Times New Roman"/>
          <w:color w:val="000000" w:themeColor="text1"/>
        </w:rPr>
        <w:t>s</w:t>
      </w:r>
      <w:r w:rsidRPr="00BC7BB5">
        <w:rPr>
          <w:rFonts w:ascii="Times New Roman" w:hAnsi="Times New Roman" w:cs="Times New Roman"/>
          <w:color w:val="000000" w:themeColor="text1"/>
        </w:rPr>
        <w:t xml:space="preserve">. The review of the audit reports did not reveal any systemic issue that could affect the Program’s financial management system. </w:t>
      </w:r>
    </w:p>
    <w:p w14:paraId="50EF4018" w14:textId="77777777" w:rsidR="00AD7B8F" w:rsidRPr="00BC7BB5" w:rsidRDefault="00AD7B8F" w:rsidP="00422BC8">
      <w:pPr>
        <w:pStyle w:val="ListParagraph"/>
        <w:numPr>
          <w:ilvl w:val="0"/>
          <w:numId w:val="17"/>
        </w:numPr>
        <w:autoSpaceDE w:val="0"/>
        <w:autoSpaceDN w:val="0"/>
        <w:adjustRightInd w:val="0"/>
        <w:spacing w:after="0" w:line="240" w:lineRule="auto"/>
        <w:contextualSpacing w:val="0"/>
        <w:jc w:val="both"/>
        <w:rPr>
          <w:rFonts w:ascii="Times New Roman" w:hAnsi="Times New Roman" w:cs="Times New Roman"/>
          <w:color w:val="000000" w:themeColor="text1"/>
        </w:rPr>
      </w:pPr>
      <w:r w:rsidRPr="00BC7BB5">
        <w:rPr>
          <w:rFonts w:ascii="Times New Roman" w:hAnsi="Times New Roman" w:cs="Times New Roman"/>
          <w:i/>
          <w:color w:val="000000" w:themeColor="text1"/>
        </w:rPr>
        <w:t>ONSSA</w:t>
      </w:r>
      <w:r w:rsidRPr="00BC7BB5">
        <w:rPr>
          <w:rFonts w:ascii="Times New Roman" w:hAnsi="Times New Roman" w:cs="Times New Roman"/>
          <w:color w:val="000000" w:themeColor="text1"/>
        </w:rPr>
        <w:t>: An external auditor from the private sector is recruited following a competitive process. A rotation of external auditors is in place. The auditors apply local auditing standards that even if they are not totally in line with the international auditing standards of IFAC remain acceptable. Following some qualifications in the 2015 financial statements, as a result of lack of clarity on the tax situation, the 2016 audit comprises an unqualified opinion. ONSSA is also subject to the audits of the Supreme Audit Institution.</w:t>
      </w:r>
    </w:p>
    <w:p w14:paraId="057ACAD7" w14:textId="4779E0B5" w:rsidR="00AD7B8F" w:rsidRPr="00BC7BB5" w:rsidRDefault="00AD7B8F" w:rsidP="00422BC8">
      <w:pPr>
        <w:pStyle w:val="ListParagraph"/>
        <w:numPr>
          <w:ilvl w:val="0"/>
          <w:numId w:val="17"/>
        </w:numPr>
        <w:autoSpaceDE w:val="0"/>
        <w:autoSpaceDN w:val="0"/>
        <w:adjustRightInd w:val="0"/>
        <w:spacing w:after="0" w:line="240" w:lineRule="auto"/>
        <w:contextualSpacing w:val="0"/>
        <w:jc w:val="both"/>
        <w:rPr>
          <w:rFonts w:ascii="Times New Roman" w:hAnsi="Times New Roman" w:cs="Times New Roman"/>
          <w:color w:val="000000" w:themeColor="text1"/>
        </w:rPr>
      </w:pPr>
      <w:r w:rsidRPr="00BC7BB5">
        <w:rPr>
          <w:rFonts w:ascii="Times New Roman" w:hAnsi="Times New Roman" w:cs="Times New Roman"/>
          <w:i/>
          <w:color w:val="000000" w:themeColor="text1"/>
        </w:rPr>
        <w:t xml:space="preserve">Rabat </w:t>
      </w:r>
      <w:r w:rsidR="00CB60AB">
        <w:rPr>
          <w:rFonts w:ascii="Times New Roman" w:hAnsi="Times New Roman" w:cs="Times New Roman"/>
          <w:i/>
          <w:color w:val="000000" w:themeColor="text1"/>
        </w:rPr>
        <w:t xml:space="preserve">Région </w:t>
      </w:r>
      <w:r w:rsidRPr="00BC7BB5">
        <w:rPr>
          <w:rFonts w:ascii="Times New Roman" w:hAnsi="Times New Roman" w:cs="Times New Roman"/>
          <w:i/>
          <w:color w:val="000000" w:themeColor="text1"/>
        </w:rPr>
        <w:t>Aménagement</w:t>
      </w:r>
      <w:r w:rsidRPr="00BC7BB5">
        <w:rPr>
          <w:rFonts w:ascii="Times New Roman" w:hAnsi="Times New Roman" w:cs="Times New Roman"/>
          <w:color w:val="000000" w:themeColor="text1"/>
        </w:rPr>
        <w:t xml:space="preserve">. An external auditor from the private sector is recruited following a competitive process for a three-year mandate. A rotation of external auditors is in place. The auditors apply local auditing standards that even if they are not totally in line with the international auditing standards of IFAC remain acceptable. The 2015 and 2016 financial statements were audited with a clean audit opinion. No material weaknesses were identified in the external auditor’s management letter. </w:t>
      </w:r>
    </w:p>
    <w:p w14:paraId="52C43FB8" w14:textId="77777777" w:rsidR="00AD7B8F" w:rsidRPr="00BC7BB5" w:rsidRDefault="00AD7B8F" w:rsidP="007D3731">
      <w:pPr>
        <w:pStyle w:val="ListParagraph"/>
        <w:spacing w:after="0" w:line="240" w:lineRule="auto"/>
        <w:ind w:left="0"/>
        <w:jc w:val="both"/>
        <w:rPr>
          <w:rFonts w:ascii="Times New Roman" w:hAnsi="Times New Roman" w:cs="Times New Roman"/>
          <w:color w:val="000000" w:themeColor="text1"/>
        </w:rPr>
      </w:pPr>
    </w:p>
    <w:p w14:paraId="4DCD56BA" w14:textId="3799DCF6" w:rsidR="00AD7B8F" w:rsidRPr="00BC7BB5" w:rsidRDefault="00AD7B8F" w:rsidP="00422BC8">
      <w:pPr>
        <w:pStyle w:val="ListParagraph"/>
        <w:numPr>
          <w:ilvl w:val="0"/>
          <w:numId w:val="15"/>
        </w:numPr>
        <w:autoSpaceDE w:val="0"/>
        <w:autoSpaceDN w:val="0"/>
        <w:adjustRightInd w:val="0"/>
        <w:spacing w:after="0" w:line="240" w:lineRule="auto"/>
        <w:ind w:left="0" w:firstLine="0"/>
        <w:jc w:val="both"/>
        <w:rPr>
          <w:rFonts w:ascii="Times New Roman" w:hAnsi="Times New Roman" w:cs="Times New Roman"/>
          <w:color w:val="000000" w:themeColor="text1"/>
          <w:lang w:eastAsia="fr-FR"/>
        </w:rPr>
      </w:pPr>
      <w:r w:rsidRPr="00BC7BB5">
        <w:rPr>
          <w:rFonts w:ascii="Times New Roman" w:hAnsi="Times New Roman" w:cs="Times New Roman"/>
          <w:color w:val="000000" w:themeColor="text1"/>
          <w:lang w:eastAsia="fr-FR"/>
        </w:rPr>
        <w:t xml:space="preserve">The </w:t>
      </w:r>
      <w:r w:rsidR="00A97C35" w:rsidRPr="00BC7BB5">
        <w:rPr>
          <w:rFonts w:ascii="Times New Roman" w:hAnsi="Times New Roman" w:cs="Times New Roman"/>
          <w:color w:val="000000" w:themeColor="text1"/>
          <w:lang w:eastAsia="fr-FR"/>
        </w:rPr>
        <w:t>General Inspectorate of Finance</w:t>
      </w:r>
      <w:r w:rsidR="00A10AF1">
        <w:rPr>
          <w:rFonts w:ascii="Times New Roman" w:hAnsi="Times New Roman" w:cs="Times New Roman"/>
          <w:color w:val="000000" w:themeColor="text1"/>
          <w:lang w:eastAsia="fr-FR"/>
        </w:rPr>
        <w:t xml:space="preserve"> (IGF)</w:t>
      </w:r>
      <w:r w:rsidR="00A97C35" w:rsidRPr="00BC7BB5">
        <w:rPr>
          <w:rFonts w:ascii="Times New Roman" w:hAnsi="Times New Roman" w:cs="Times New Roman"/>
          <w:color w:val="000000" w:themeColor="text1"/>
          <w:lang w:eastAsia="fr-FR"/>
        </w:rPr>
        <w:t xml:space="preserve"> will carry out the </w:t>
      </w:r>
      <w:r w:rsidR="00A97C35" w:rsidRPr="00BC7BB5">
        <w:rPr>
          <w:rFonts w:ascii="Times New Roman" w:hAnsi="Times New Roman" w:cs="Times New Roman"/>
          <w:color w:val="000000" w:themeColor="text1"/>
        </w:rPr>
        <w:t>financial</w:t>
      </w:r>
      <w:r w:rsidR="00A97C35" w:rsidRPr="00BC7BB5">
        <w:rPr>
          <w:rFonts w:ascii="Times New Roman" w:hAnsi="Times New Roman" w:cs="Times New Roman"/>
          <w:color w:val="000000" w:themeColor="text1"/>
          <w:lang w:eastAsia="fr-FR"/>
        </w:rPr>
        <w:t xml:space="preserve"> audits of the Pr</w:t>
      </w:r>
      <w:r w:rsidR="00A10AF1">
        <w:rPr>
          <w:rFonts w:ascii="Times New Roman" w:hAnsi="Times New Roman" w:cs="Times New Roman"/>
          <w:color w:val="000000" w:themeColor="text1"/>
          <w:lang w:eastAsia="fr-FR"/>
        </w:rPr>
        <w:t>ogram expenditures including</w:t>
      </w:r>
      <w:r w:rsidR="00A97C35" w:rsidRPr="00BC7BB5">
        <w:rPr>
          <w:rFonts w:ascii="Times New Roman" w:hAnsi="Times New Roman" w:cs="Times New Roman"/>
          <w:color w:val="000000" w:themeColor="text1"/>
          <w:lang w:eastAsia="fr-FR"/>
        </w:rPr>
        <w:t xml:space="preserve"> the expenditures incurred by </w:t>
      </w:r>
      <w:r w:rsidR="00A10AF1">
        <w:rPr>
          <w:rFonts w:ascii="Times New Roman" w:hAnsi="Times New Roman" w:cs="Times New Roman"/>
          <w:color w:val="000000" w:themeColor="text1"/>
          <w:lang w:eastAsia="fr-FR"/>
        </w:rPr>
        <w:t xml:space="preserve">MAPMDREF, </w:t>
      </w:r>
      <w:r w:rsidR="00A97C35" w:rsidRPr="00BC7BB5">
        <w:rPr>
          <w:rFonts w:ascii="Times New Roman" w:hAnsi="Times New Roman" w:cs="Times New Roman"/>
          <w:color w:val="000000" w:themeColor="text1"/>
          <w:lang w:eastAsia="fr-FR"/>
        </w:rPr>
        <w:t xml:space="preserve">ONSSA and Rabat </w:t>
      </w:r>
      <w:r w:rsidR="00CB60AB">
        <w:rPr>
          <w:rFonts w:ascii="Times New Roman" w:hAnsi="Times New Roman" w:cs="Times New Roman"/>
          <w:color w:val="000000" w:themeColor="text1"/>
          <w:lang w:eastAsia="fr-FR"/>
        </w:rPr>
        <w:t xml:space="preserve">Région </w:t>
      </w:r>
      <w:r w:rsidR="00A97C35" w:rsidRPr="00BC7BB5">
        <w:rPr>
          <w:rFonts w:ascii="Times New Roman" w:hAnsi="Times New Roman" w:cs="Times New Roman"/>
          <w:color w:val="000000" w:themeColor="text1"/>
          <w:lang w:eastAsia="fr-FR"/>
        </w:rPr>
        <w:t>Am</w:t>
      </w:r>
      <w:r w:rsidR="007C4C03" w:rsidRPr="00BC7BB5">
        <w:rPr>
          <w:rFonts w:ascii="Times New Roman" w:hAnsi="Times New Roman" w:cs="Times New Roman"/>
          <w:color w:val="000000" w:themeColor="text1"/>
          <w:lang w:eastAsia="fr-FR"/>
        </w:rPr>
        <w:t>é</w:t>
      </w:r>
      <w:r w:rsidR="00A97C35" w:rsidRPr="00BC7BB5">
        <w:rPr>
          <w:rFonts w:ascii="Times New Roman" w:hAnsi="Times New Roman" w:cs="Times New Roman"/>
          <w:color w:val="000000" w:themeColor="text1"/>
          <w:lang w:eastAsia="fr-FR"/>
        </w:rPr>
        <w:t xml:space="preserve">nagement. </w:t>
      </w:r>
      <w:r w:rsidR="00A97C35" w:rsidRPr="00BC7BB5">
        <w:rPr>
          <w:rFonts w:ascii="Times New Roman" w:hAnsi="Times New Roman" w:cs="Times New Roman"/>
          <w:color w:val="000000" w:themeColor="text1"/>
        </w:rPr>
        <w:t xml:space="preserve">The audit report will be carried out based on </w:t>
      </w:r>
      <w:r w:rsidR="00A10AF1">
        <w:rPr>
          <w:rFonts w:ascii="Times New Roman" w:hAnsi="Times New Roman" w:cs="Times New Roman"/>
          <w:color w:val="000000" w:themeColor="text1"/>
        </w:rPr>
        <w:t>the</w:t>
      </w:r>
      <w:r w:rsidR="00A97C35" w:rsidRPr="00BC7BB5">
        <w:rPr>
          <w:rFonts w:ascii="Times New Roman" w:hAnsi="Times New Roman" w:cs="Times New Roman"/>
          <w:color w:val="000000" w:themeColor="text1"/>
        </w:rPr>
        <w:t xml:space="preserve"> </w:t>
      </w:r>
      <w:r w:rsidR="00775BFD">
        <w:rPr>
          <w:rFonts w:ascii="Times New Roman" w:hAnsi="Times New Roman" w:cs="Times New Roman"/>
          <w:color w:val="000000" w:themeColor="text1"/>
        </w:rPr>
        <w:t>t</w:t>
      </w:r>
      <w:r w:rsidR="00A97C35" w:rsidRPr="00BC7BB5">
        <w:rPr>
          <w:rFonts w:ascii="Times New Roman" w:hAnsi="Times New Roman" w:cs="Times New Roman"/>
          <w:color w:val="000000" w:themeColor="text1"/>
        </w:rPr>
        <w:t xml:space="preserve">erms of </w:t>
      </w:r>
      <w:r w:rsidR="00775BFD">
        <w:rPr>
          <w:rFonts w:ascii="Times New Roman" w:hAnsi="Times New Roman" w:cs="Times New Roman"/>
          <w:color w:val="000000" w:themeColor="text1"/>
        </w:rPr>
        <w:t>r</w:t>
      </w:r>
      <w:r w:rsidR="00A97C35" w:rsidRPr="00BC7BB5">
        <w:rPr>
          <w:rFonts w:ascii="Times New Roman" w:hAnsi="Times New Roman" w:cs="Times New Roman"/>
          <w:color w:val="000000" w:themeColor="text1"/>
        </w:rPr>
        <w:t xml:space="preserve">eferences </w:t>
      </w:r>
      <w:r w:rsidR="00A10AF1">
        <w:rPr>
          <w:rFonts w:ascii="Times New Roman" w:hAnsi="Times New Roman" w:cs="Times New Roman"/>
          <w:color w:val="000000" w:themeColor="text1"/>
        </w:rPr>
        <w:t>agreed between IGF and the Bank for PforR operations</w:t>
      </w:r>
      <w:r w:rsidRPr="00BC7BB5">
        <w:rPr>
          <w:rFonts w:ascii="Times New Roman" w:hAnsi="Times New Roman" w:cs="Times New Roman"/>
          <w:color w:val="000000" w:themeColor="text1"/>
          <w:lang w:eastAsia="fr-FR"/>
        </w:rPr>
        <w:t xml:space="preserve">.  </w:t>
      </w:r>
      <w:r w:rsidR="00A10AF1">
        <w:rPr>
          <w:rFonts w:ascii="Times New Roman" w:hAnsi="Times New Roman" w:cs="Times New Roman"/>
          <w:color w:val="000000" w:themeColor="text1"/>
          <w:lang w:eastAsia="fr-FR"/>
        </w:rPr>
        <w:t>Two audit reports will be produced, one for the financial statements presented by MAPMDREF</w:t>
      </w:r>
      <w:r w:rsidR="00B27FC6">
        <w:rPr>
          <w:rFonts w:ascii="Times New Roman" w:hAnsi="Times New Roman" w:cs="Times New Roman"/>
          <w:color w:val="000000" w:themeColor="text1"/>
          <w:lang w:eastAsia="fr-FR"/>
        </w:rPr>
        <w:t xml:space="preserve"> (for MAPMDREF and ONSSA)</w:t>
      </w:r>
      <w:r w:rsidR="00A10AF1">
        <w:rPr>
          <w:rFonts w:ascii="Times New Roman" w:hAnsi="Times New Roman" w:cs="Times New Roman"/>
          <w:color w:val="000000" w:themeColor="text1"/>
          <w:lang w:eastAsia="fr-FR"/>
        </w:rPr>
        <w:t xml:space="preserve">, and one for those of Rabat Région Aménagement (for the wholesale market). </w:t>
      </w:r>
      <w:r w:rsidRPr="00BC7BB5">
        <w:rPr>
          <w:rFonts w:ascii="Times New Roman" w:hAnsi="Times New Roman" w:cs="Times New Roman"/>
          <w:color w:val="000000" w:themeColor="text1"/>
          <w:lang w:eastAsia="fr-FR"/>
        </w:rPr>
        <w:t xml:space="preserve">It is envisaged that the production of audit reports no later than </w:t>
      </w:r>
      <w:r w:rsidR="00A10AF1">
        <w:rPr>
          <w:rFonts w:ascii="Times New Roman" w:hAnsi="Times New Roman" w:cs="Times New Roman"/>
          <w:color w:val="000000" w:themeColor="text1"/>
          <w:lang w:eastAsia="fr-FR"/>
        </w:rPr>
        <w:t>nine</w:t>
      </w:r>
      <w:r w:rsidRPr="00BC7BB5">
        <w:rPr>
          <w:rFonts w:ascii="Times New Roman" w:hAnsi="Times New Roman" w:cs="Times New Roman"/>
          <w:color w:val="000000" w:themeColor="text1"/>
          <w:lang w:eastAsia="fr-FR"/>
        </w:rPr>
        <w:t xml:space="preserve"> months after the closure of accounts will be part of the Program Action Plan.</w:t>
      </w:r>
    </w:p>
    <w:p w14:paraId="5984F217" w14:textId="77777777" w:rsidR="00AD7B8F" w:rsidRPr="00BC7BB5" w:rsidRDefault="00AD7B8F" w:rsidP="007D3731">
      <w:pPr>
        <w:pStyle w:val="ListParagraph"/>
        <w:spacing w:after="0" w:line="240" w:lineRule="auto"/>
        <w:rPr>
          <w:rFonts w:ascii="Times New Roman" w:hAnsi="Times New Roman" w:cs="Times New Roman"/>
          <w:color w:val="000000" w:themeColor="text1"/>
          <w:lang w:eastAsia="fr-FR"/>
        </w:rPr>
      </w:pPr>
    </w:p>
    <w:p w14:paraId="5C4831FF" w14:textId="24BEAB3A" w:rsidR="00AD7B8F" w:rsidRPr="00BC7BB5" w:rsidRDefault="00AD7B8F" w:rsidP="00422BC8">
      <w:pPr>
        <w:pStyle w:val="ListParagraph"/>
        <w:numPr>
          <w:ilvl w:val="0"/>
          <w:numId w:val="15"/>
        </w:numPr>
        <w:autoSpaceDE w:val="0"/>
        <w:autoSpaceDN w:val="0"/>
        <w:adjustRightInd w:val="0"/>
        <w:spacing w:after="0" w:line="240" w:lineRule="auto"/>
        <w:ind w:left="0" w:firstLine="0"/>
        <w:jc w:val="both"/>
        <w:rPr>
          <w:rFonts w:ascii="Times New Roman" w:hAnsi="Times New Roman" w:cs="Times New Roman"/>
          <w:b/>
          <w:color w:val="000000" w:themeColor="text1"/>
        </w:rPr>
      </w:pPr>
      <w:r w:rsidRPr="00BC7BB5">
        <w:rPr>
          <w:rFonts w:ascii="Times New Roman" w:hAnsi="Times New Roman" w:cs="Times New Roman"/>
          <w:b/>
          <w:color w:val="000000" w:themeColor="text1"/>
        </w:rPr>
        <w:t>Staff capacity</w:t>
      </w:r>
      <w:r w:rsidR="00775BFD">
        <w:rPr>
          <w:rFonts w:ascii="Times New Roman" w:hAnsi="Times New Roman" w:cs="Times New Roman"/>
          <w:b/>
          <w:color w:val="000000" w:themeColor="text1"/>
        </w:rPr>
        <w:t>.</w:t>
      </w:r>
      <w:r w:rsidR="00775BFD" w:rsidRPr="00BC7BB5">
        <w:rPr>
          <w:rFonts w:ascii="Times New Roman" w:hAnsi="Times New Roman" w:cs="Times New Roman"/>
          <w:b/>
          <w:color w:val="000000" w:themeColor="text1"/>
        </w:rPr>
        <w:t xml:space="preserve"> </w:t>
      </w:r>
      <w:r w:rsidRPr="00BC7BB5">
        <w:rPr>
          <w:rFonts w:ascii="Times New Roman" w:hAnsi="Times New Roman" w:cs="Times New Roman"/>
          <w:color w:val="000000" w:themeColor="text1"/>
        </w:rPr>
        <w:t>The assessment of staff capacity at MAPMDREF</w:t>
      </w:r>
      <w:r w:rsidR="00A97C35" w:rsidRPr="00BC7BB5">
        <w:rPr>
          <w:rFonts w:ascii="Times New Roman" w:hAnsi="Times New Roman" w:cs="Times New Roman"/>
          <w:color w:val="000000" w:themeColor="text1"/>
        </w:rPr>
        <w:t xml:space="preserve">, </w:t>
      </w:r>
      <w:r w:rsidRPr="00BC7BB5">
        <w:rPr>
          <w:rFonts w:ascii="Times New Roman" w:hAnsi="Times New Roman" w:cs="Times New Roman"/>
          <w:color w:val="000000" w:themeColor="text1"/>
        </w:rPr>
        <w:t>ONSSA</w:t>
      </w:r>
      <w:r w:rsidR="00A97C35" w:rsidRPr="00BC7BB5">
        <w:rPr>
          <w:rFonts w:ascii="Times New Roman" w:hAnsi="Times New Roman" w:cs="Times New Roman"/>
          <w:color w:val="000000" w:themeColor="text1"/>
        </w:rPr>
        <w:t xml:space="preserve"> and Rabat </w:t>
      </w:r>
      <w:r w:rsidR="00CB60AB">
        <w:rPr>
          <w:rFonts w:ascii="Times New Roman" w:hAnsi="Times New Roman" w:cs="Times New Roman"/>
          <w:color w:val="000000" w:themeColor="text1"/>
        </w:rPr>
        <w:t xml:space="preserve">Région </w:t>
      </w:r>
      <w:r w:rsidR="00A97C35" w:rsidRPr="00BC7BB5">
        <w:rPr>
          <w:rFonts w:ascii="Times New Roman" w:hAnsi="Times New Roman" w:cs="Times New Roman"/>
          <w:color w:val="000000" w:themeColor="text1"/>
        </w:rPr>
        <w:t>Aménagement</w:t>
      </w:r>
      <w:r w:rsidRPr="00BC7BB5">
        <w:rPr>
          <w:rFonts w:ascii="Times New Roman" w:hAnsi="Times New Roman" w:cs="Times New Roman"/>
          <w:color w:val="000000" w:themeColor="text1"/>
        </w:rPr>
        <w:t xml:space="preserve"> revealed the following: </w:t>
      </w:r>
    </w:p>
    <w:p w14:paraId="58B2F514" w14:textId="77777777" w:rsidR="00AD7B8F" w:rsidRPr="00BC7BB5" w:rsidRDefault="00AD7B8F" w:rsidP="00AD7B8F">
      <w:pPr>
        <w:pStyle w:val="ListParagraph"/>
        <w:rPr>
          <w:rFonts w:ascii="Times New Roman" w:hAnsi="Times New Roman" w:cs="Times New Roman"/>
          <w:b/>
          <w:color w:val="000000" w:themeColor="text1"/>
        </w:rPr>
      </w:pPr>
    </w:p>
    <w:p w14:paraId="6470DA41" w14:textId="77777777" w:rsidR="00AD7B8F" w:rsidRPr="00BC7BB5" w:rsidRDefault="00AD7B8F" w:rsidP="00422BC8">
      <w:pPr>
        <w:pStyle w:val="ListParagraph"/>
        <w:numPr>
          <w:ilvl w:val="0"/>
          <w:numId w:val="18"/>
        </w:numPr>
        <w:autoSpaceDE w:val="0"/>
        <w:autoSpaceDN w:val="0"/>
        <w:adjustRightInd w:val="0"/>
        <w:spacing w:after="0" w:line="240" w:lineRule="auto"/>
        <w:contextualSpacing w:val="0"/>
        <w:jc w:val="both"/>
        <w:rPr>
          <w:rFonts w:ascii="Times New Roman" w:hAnsi="Times New Roman" w:cs="Times New Roman"/>
          <w:i/>
          <w:color w:val="000000" w:themeColor="text1"/>
        </w:rPr>
      </w:pPr>
      <w:r w:rsidRPr="00BC7BB5">
        <w:rPr>
          <w:rFonts w:ascii="Times New Roman" w:hAnsi="Times New Roman" w:cs="Times New Roman"/>
          <w:i/>
          <w:color w:val="000000" w:themeColor="text1"/>
        </w:rPr>
        <w:t xml:space="preserve">MAPMDREF: </w:t>
      </w:r>
      <w:r w:rsidRPr="00BC7BB5">
        <w:rPr>
          <w:rFonts w:ascii="Times New Roman" w:hAnsi="Times New Roman" w:cs="Times New Roman"/>
          <w:color w:val="000000" w:themeColor="text1"/>
        </w:rPr>
        <w:t>The Finance Directorate comprises five units (among others budget, accounting, and procurement). At the provincial level, adapted unit exists to support the budget holder. The challenge is mainly with the automation of the planning and budgeting processes rather than the recruitment of additional staff. To this end, the acquisition/deployment of the integrated financial management information system will be key. Another challenge is the incentives for the staff located in the provincial directorates.</w:t>
      </w:r>
    </w:p>
    <w:p w14:paraId="5871CF38" w14:textId="77777777" w:rsidR="00AD7B8F" w:rsidRPr="00BC7BB5" w:rsidRDefault="00AD7B8F" w:rsidP="00422BC8">
      <w:pPr>
        <w:pStyle w:val="ListParagraph"/>
        <w:numPr>
          <w:ilvl w:val="0"/>
          <w:numId w:val="18"/>
        </w:numPr>
        <w:autoSpaceDE w:val="0"/>
        <w:autoSpaceDN w:val="0"/>
        <w:adjustRightInd w:val="0"/>
        <w:spacing w:after="0" w:line="240" w:lineRule="auto"/>
        <w:contextualSpacing w:val="0"/>
        <w:jc w:val="both"/>
        <w:rPr>
          <w:rFonts w:ascii="Times New Roman" w:hAnsi="Times New Roman" w:cs="Times New Roman"/>
          <w:i/>
          <w:color w:val="000000" w:themeColor="text1"/>
        </w:rPr>
      </w:pPr>
      <w:r w:rsidRPr="00BC7BB5">
        <w:rPr>
          <w:rFonts w:ascii="Times New Roman" w:hAnsi="Times New Roman" w:cs="Times New Roman"/>
          <w:i/>
          <w:color w:val="000000" w:themeColor="text1"/>
        </w:rPr>
        <w:t xml:space="preserve">ONSSA: </w:t>
      </w:r>
      <w:r w:rsidRPr="00BC7BB5">
        <w:rPr>
          <w:rFonts w:ascii="Times New Roman" w:hAnsi="Times New Roman" w:cs="Times New Roman"/>
        </w:rPr>
        <w:t>Over the last three years, the ONSSA has gradually increased the staffing in the financial directorate. This is complemented by outsourcing of some tasks such as legal and tax functions.</w:t>
      </w:r>
    </w:p>
    <w:p w14:paraId="21278EDB" w14:textId="514E1C53" w:rsidR="00AD7B8F" w:rsidRPr="00BC7BB5" w:rsidRDefault="00AD7B8F" w:rsidP="00422BC8">
      <w:pPr>
        <w:pStyle w:val="ListParagraph"/>
        <w:numPr>
          <w:ilvl w:val="0"/>
          <w:numId w:val="18"/>
        </w:numPr>
        <w:autoSpaceDE w:val="0"/>
        <w:autoSpaceDN w:val="0"/>
        <w:adjustRightInd w:val="0"/>
        <w:spacing w:after="0" w:line="240" w:lineRule="auto"/>
        <w:contextualSpacing w:val="0"/>
        <w:jc w:val="both"/>
        <w:rPr>
          <w:rFonts w:ascii="Times New Roman" w:hAnsi="Times New Roman" w:cs="Times New Roman"/>
          <w:i/>
          <w:color w:val="000000" w:themeColor="text1"/>
        </w:rPr>
      </w:pPr>
      <w:r w:rsidRPr="00BC7BB5">
        <w:rPr>
          <w:rFonts w:ascii="Times New Roman" w:hAnsi="Times New Roman" w:cs="Times New Roman"/>
          <w:i/>
          <w:color w:val="000000" w:themeColor="text1"/>
        </w:rPr>
        <w:t xml:space="preserve">Rabat </w:t>
      </w:r>
      <w:r w:rsidR="009B6429" w:rsidRPr="00BC7BB5">
        <w:rPr>
          <w:rFonts w:ascii="Times New Roman" w:hAnsi="Times New Roman" w:cs="Times New Roman"/>
          <w:i/>
          <w:color w:val="000000" w:themeColor="text1"/>
        </w:rPr>
        <w:t xml:space="preserve">Région </w:t>
      </w:r>
      <w:r w:rsidRPr="00BC7BB5">
        <w:rPr>
          <w:rFonts w:ascii="Times New Roman" w:hAnsi="Times New Roman" w:cs="Times New Roman"/>
          <w:i/>
          <w:color w:val="000000" w:themeColor="text1"/>
        </w:rPr>
        <w:t xml:space="preserve">Aménagement. </w:t>
      </w:r>
      <w:r w:rsidRPr="00BC7BB5">
        <w:rPr>
          <w:rFonts w:ascii="Times New Roman" w:hAnsi="Times New Roman" w:cs="Times New Roman"/>
          <w:color w:val="000000" w:themeColor="text1"/>
        </w:rPr>
        <w:t>The company comprises 42 staff</w:t>
      </w:r>
      <w:r w:rsidR="00775BFD">
        <w:rPr>
          <w:rFonts w:ascii="Times New Roman" w:hAnsi="Times New Roman" w:cs="Times New Roman"/>
          <w:color w:val="000000" w:themeColor="text1"/>
        </w:rPr>
        <w:t>,</w:t>
      </w:r>
      <w:r w:rsidRPr="00BC7BB5">
        <w:rPr>
          <w:rFonts w:ascii="Times New Roman" w:hAnsi="Times New Roman" w:cs="Times New Roman"/>
          <w:color w:val="000000" w:themeColor="text1"/>
        </w:rPr>
        <w:t xml:space="preserve"> including eight at the Financial Directorate (four in the procurement unit and four in the finance and accounting unit). Two additional staff are being recruited so as to reinforce the staff in the fiduciary function.</w:t>
      </w:r>
    </w:p>
    <w:p w14:paraId="05A03689" w14:textId="77777777" w:rsidR="00AD7B8F" w:rsidRPr="00BC7BB5" w:rsidRDefault="00AD7B8F" w:rsidP="00DD48DE">
      <w:pPr>
        <w:pStyle w:val="ListParagraph"/>
        <w:spacing w:after="0" w:line="240" w:lineRule="auto"/>
        <w:rPr>
          <w:rFonts w:ascii="Times New Roman" w:hAnsi="Times New Roman" w:cs="Times New Roman"/>
          <w:b/>
          <w:color w:val="000000" w:themeColor="text1"/>
        </w:rPr>
      </w:pPr>
    </w:p>
    <w:p w14:paraId="6E58EA7A" w14:textId="4FF1960D" w:rsidR="00AD7B8F" w:rsidRPr="00BC7BB5" w:rsidRDefault="00AD7B8F" w:rsidP="00422BC8">
      <w:pPr>
        <w:pStyle w:val="ListParagraph"/>
        <w:numPr>
          <w:ilvl w:val="0"/>
          <w:numId w:val="15"/>
        </w:numPr>
        <w:autoSpaceDE w:val="0"/>
        <w:autoSpaceDN w:val="0"/>
        <w:adjustRightInd w:val="0"/>
        <w:spacing w:after="0" w:line="240" w:lineRule="auto"/>
        <w:ind w:left="0" w:firstLine="0"/>
        <w:jc w:val="both"/>
        <w:rPr>
          <w:rFonts w:ascii="Times New Roman" w:hAnsi="Times New Roman" w:cs="Times New Roman"/>
          <w:b/>
          <w:color w:val="000000" w:themeColor="text1"/>
        </w:rPr>
      </w:pPr>
      <w:r w:rsidRPr="00BC7BB5">
        <w:rPr>
          <w:rFonts w:ascii="Times New Roman" w:hAnsi="Times New Roman" w:cs="Times New Roman"/>
          <w:b/>
          <w:color w:val="000000" w:themeColor="text1"/>
        </w:rPr>
        <w:lastRenderedPageBreak/>
        <w:t xml:space="preserve">Contribution to the Program Action Plan. </w:t>
      </w:r>
      <w:r w:rsidRPr="00BC7BB5">
        <w:rPr>
          <w:rFonts w:ascii="Times New Roman" w:hAnsi="Times New Roman" w:cs="Times New Roman"/>
          <w:iCs/>
        </w:rPr>
        <w:t xml:space="preserve">Table </w:t>
      </w:r>
      <w:r w:rsidR="00775BFD">
        <w:rPr>
          <w:rFonts w:ascii="Times New Roman" w:hAnsi="Times New Roman" w:cs="Times New Roman"/>
          <w:iCs/>
        </w:rPr>
        <w:t xml:space="preserve">A5.2 </w:t>
      </w:r>
      <w:r w:rsidRPr="00BC7BB5">
        <w:rPr>
          <w:rFonts w:ascii="Times New Roman" w:hAnsi="Times New Roman" w:cs="Times New Roman"/>
          <w:iCs/>
        </w:rPr>
        <w:t>details the PAP’s fiduciary actions</w:t>
      </w:r>
      <w:r w:rsidR="00DF3C5C">
        <w:rPr>
          <w:rFonts w:ascii="Times New Roman" w:hAnsi="Times New Roman" w:cs="Times New Roman"/>
          <w:iCs/>
        </w:rPr>
        <w:t xml:space="preserve"> as well as actions that will be monitored by the World Bank as Key Performance Indicators (KPIs) with regards to fiduciary aspects</w:t>
      </w:r>
      <w:r w:rsidRPr="00BC7BB5">
        <w:rPr>
          <w:rFonts w:ascii="Times New Roman" w:hAnsi="Times New Roman" w:cs="Times New Roman"/>
          <w:iCs/>
        </w:rPr>
        <w:t>.</w:t>
      </w:r>
    </w:p>
    <w:p w14:paraId="36B5A38A" w14:textId="77777777" w:rsidR="008D14BA" w:rsidRPr="00BC7BB5" w:rsidRDefault="008D14BA" w:rsidP="00AD7B8F">
      <w:pPr>
        <w:pStyle w:val="ListParagraph"/>
        <w:rPr>
          <w:rFonts w:ascii="Times New Roman" w:hAnsi="Times New Roman" w:cs="Times New Roman"/>
          <w:color w:val="000000" w:themeColor="text1"/>
          <w:lang w:eastAsia="fr-FR"/>
        </w:rPr>
      </w:pPr>
    </w:p>
    <w:p w14:paraId="642839D0" w14:textId="3C572D84" w:rsidR="00AD7B8F" w:rsidRPr="00BC7BB5" w:rsidRDefault="008D14BA" w:rsidP="008D14BA">
      <w:pPr>
        <w:pStyle w:val="ListParagraph"/>
        <w:spacing w:after="120" w:line="240" w:lineRule="auto"/>
        <w:jc w:val="center"/>
        <w:rPr>
          <w:rFonts w:ascii="Times New Roman" w:hAnsi="Times New Roman" w:cs="Times New Roman"/>
          <w:b/>
          <w:color w:val="000000" w:themeColor="text1"/>
          <w:lang w:eastAsia="fr-FR"/>
        </w:rPr>
      </w:pPr>
      <w:r w:rsidRPr="00BC7BB5">
        <w:rPr>
          <w:rFonts w:ascii="Times New Roman" w:hAnsi="Times New Roman" w:cs="Times New Roman"/>
          <w:b/>
          <w:color w:val="000000" w:themeColor="text1"/>
          <w:lang w:eastAsia="fr-FR"/>
        </w:rPr>
        <w:t xml:space="preserve">Table </w:t>
      </w:r>
      <w:r w:rsidR="000A2644" w:rsidRPr="00BC7BB5">
        <w:rPr>
          <w:rFonts w:ascii="Times New Roman" w:hAnsi="Times New Roman" w:cs="Times New Roman"/>
          <w:b/>
          <w:color w:val="000000" w:themeColor="text1"/>
          <w:lang w:eastAsia="fr-FR"/>
        </w:rPr>
        <w:t>A</w:t>
      </w:r>
      <w:r w:rsidRPr="00BC7BB5">
        <w:rPr>
          <w:rFonts w:ascii="Times New Roman" w:hAnsi="Times New Roman" w:cs="Times New Roman"/>
          <w:b/>
          <w:color w:val="000000" w:themeColor="text1"/>
          <w:lang w:eastAsia="fr-FR"/>
        </w:rPr>
        <w:t>5.</w:t>
      </w:r>
      <w:r w:rsidR="00A6265D">
        <w:rPr>
          <w:rFonts w:ascii="Times New Roman" w:hAnsi="Times New Roman" w:cs="Times New Roman"/>
          <w:b/>
          <w:color w:val="000000" w:themeColor="text1"/>
          <w:lang w:eastAsia="fr-FR"/>
        </w:rPr>
        <w:t>2</w:t>
      </w:r>
      <w:r w:rsidRPr="00BC7BB5">
        <w:rPr>
          <w:rFonts w:ascii="Times New Roman" w:hAnsi="Times New Roman" w:cs="Times New Roman"/>
          <w:b/>
          <w:color w:val="000000" w:themeColor="text1"/>
          <w:lang w:eastAsia="fr-FR"/>
        </w:rPr>
        <w:t xml:space="preserve"> PAP Fiduciary Actions</w:t>
      </w:r>
    </w:p>
    <w:tbl>
      <w:tblPr>
        <w:tblStyle w:val="TableGrid"/>
        <w:tblW w:w="5000" w:type="pct"/>
        <w:jc w:val="center"/>
        <w:tblLook w:val="04A0" w:firstRow="1" w:lastRow="0" w:firstColumn="1" w:lastColumn="0" w:noHBand="0" w:noVBand="1"/>
      </w:tblPr>
      <w:tblGrid>
        <w:gridCol w:w="3736"/>
        <w:gridCol w:w="2094"/>
        <w:gridCol w:w="2287"/>
        <w:gridCol w:w="1233"/>
      </w:tblGrid>
      <w:tr w:rsidR="00AD7B8F" w:rsidRPr="00BC7BB5" w14:paraId="25EFE6B5" w14:textId="77777777" w:rsidTr="003163F0">
        <w:trPr>
          <w:jc w:val="center"/>
        </w:trPr>
        <w:tc>
          <w:tcPr>
            <w:tcW w:w="2019"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763EC530" w14:textId="77777777" w:rsidR="00AD7B8F" w:rsidRPr="00BC7BB5" w:rsidRDefault="00AD7B8F" w:rsidP="009C2536">
            <w:pPr>
              <w:rPr>
                <w:rFonts w:ascii="Times New Roman" w:hAnsi="Times New Roman" w:cs="Times New Roman"/>
                <w:b/>
                <w:bCs/>
                <w:iCs/>
                <w:color w:val="000000" w:themeColor="text1"/>
                <w:sz w:val="18"/>
              </w:rPr>
            </w:pPr>
            <w:r w:rsidRPr="00BC7BB5">
              <w:rPr>
                <w:rFonts w:ascii="Times New Roman" w:hAnsi="Times New Roman" w:cs="Times New Roman"/>
                <w:color w:val="000000" w:themeColor="text1"/>
                <w:sz w:val="18"/>
              </w:rPr>
              <w:br w:type="page"/>
            </w:r>
            <w:r w:rsidRPr="00BC7BB5">
              <w:rPr>
                <w:rFonts w:ascii="Times New Roman" w:hAnsi="Times New Roman" w:cs="Times New Roman"/>
                <w:b/>
                <w:bCs/>
                <w:iCs/>
                <w:color w:val="000000" w:themeColor="text1"/>
                <w:sz w:val="18"/>
              </w:rPr>
              <w:t>Risk</w:t>
            </w:r>
          </w:p>
        </w:tc>
        <w:tc>
          <w:tcPr>
            <w:tcW w:w="1141"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611FC077" w14:textId="77777777" w:rsidR="00AD7B8F" w:rsidRPr="00BC7BB5" w:rsidRDefault="00AD7B8F" w:rsidP="009C2536">
            <w:pPr>
              <w:rPr>
                <w:rFonts w:ascii="Times New Roman" w:hAnsi="Times New Roman" w:cs="Times New Roman"/>
                <w:b/>
                <w:bCs/>
                <w:iCs/>
                <w:color w:val="000000" w:themeColor="text1"/>
                <w:sz w:val="18"/>
              </w:rPr>
            </w:pPr>
            <w:r w:rsidRPr="00BC7BB5">
              <w:rPr>
                <w:rFonts w:ascii="Times New Roman" w:hAnsi="Times New Roman" w:cs="Times New Roman"/>
                <w:b/>
                <w:bCs/>
                <w:iCs/>
                <w:color w:val="000000" w:themeColor="text1"/>
                <w:sz w:val="18"/>
              </w:rPr>
              <w:t>Mitigation action</w:t>
            </w:r>
          </w:p>
        </w:tc>
        <w:tc>
          <w:tcPr>
            <w:tcW w:w="1159"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1A278327" w14:textId="77777777" w:rsidR="00AD7B8F" w:rsidRPr="00BC7BB5" w:rsidRDefault="00AD7B8F" w:rsidP="009C2536">
            <w:pPr>
              <w:rPr>
                <w:rFonts w:ascii="Times New Roman" w:hAnsi="Times New Roman" w:cs="Times New Roman"/>
                <w:b/>
                <w:bCs/>
                <w:iCs/>
                <w:color w:val="000000" w:themeColor="text1"/>
                <w:sz w:val="18"/>
              </w:rPr>
            </w:pPr>
            <w:r w:rsidRPr="00BC7BB5">
              <w:rPr>
                <w:rFonts w:ascii="Times New Roman" w:hAnsi="Times New Roman" w:cs="Times New Roman"/>
                <w:b/>
                <w:bCs/>
                <w:iCs/>
                <w:color w:val="000000" w:themeColor="text1"/>
                <w:sz w:val="18"/>
              </w:rPr>
              <w:t xml:space="preserve">Responsible </w:t>
            </w:r>
          </w:p>
        </w:tc>
        <w:tc>
          <w:tcPr>
            <w:tcW w:w="681" w:type="pct"/>
            <w:tcBorders>
              <w:top w:val="single" w:sz="4" w:space="0" w:color="auto"/>
              <w:left w:val="single" w:sz="4" w:space="0" w:color="auto"/>
              <w:bottom w:val="single" w:sz="4" w:space="0" w:color="auto"/>
              <w:right w:val="single" w:sz="4" w:space="0" w:color="auto"/>
            </w:tcBorders>
            <w:shd w:val="clear" w:color="auto" w:fill="FFFFFF" w:themeFill="background1"/>
          </w:tcPr>
          <w:p w14:paraId="78DF348C" w14:textId="7745F2CF" w:rsidR="00AD7B8F" w:rsidRPr="00BC7BB5" w:rsidRDefault="00AD7B8F" w:rsidP="009C2536">
            <w:pPr>
              <w:rPr>
                <w:rFonts w:ascii="Times New Roman" w:hAnsi="Times New Roman" w:cs="Times New Roman"/>
                <w:b/>
                <w:bCs/>
                <w:iCs/>
                <w:color w:val="000000" w:themeColor="text1"/>
                <w:sz w:val="18"/>
              </w:rPr>
            </w:pPr>
            <w:r w:rsidRPr="00BC7BB5">
              <w:rPr>
                <w:rFonts w:ascii="Times New Roman" w:hAnsi="Times New Roman" w:cs="Times New Roman"/>
                <w:b/>
                <w:bCs/>
                <w:iCs/>
                <w:color w:val="000000" w:themeColor="text1"/>
                <w:sz w:val="18"/>
              </w:rPr>
              <w:t>Type of action (PAP, DLI</w:t>
            </w:r>
            <w:r w:rsidR="00D23364">
              <w:rPr>
                <w:rFonts w:ascii="Times New Roman" w:hAnsi="Times New Roman" w:cs="Times New Roman"/>
                <w:b/>
                <w:bCs/>
                <w:iCs/>
                <w:color w:val="000000" w:themeColor="text1"/>
                <w:sz w:val="18"/>
              </w:rPr>
              <w:t>, KPI</w:t>
            </w:r>
            <w:r w:rsidRPr="00BC7BB5">
              <w:rPr>
                <w:rFonts w:ascii="Times New Roman" w:hAnsi="Times New Roman" w:cs="Times New Roman"/>
                <w:b/>
                <w:bCs/>
                <w:iCs/>
                <w:color w:val="000000" w:themeColor="text1"/>
                <w:sz w:val="18"/>
              </w:rPr>
              <w:t>)</w:t>
            </w:r>
          </w:p>
        </w:tc>
      </w:tr>
      <w:tr w:rsidR="00AD7B8F" w:rsidRPr="00BC7BB5" w14:paraId="307CB6A5" w14:textId="77777777" w:rsidTr="003163F0">
        <w:trPr>
          <w:jc w:val="center"/>
        </w:trPr>
        <w:tc>
          <w:tcPr>
            <w:tcW w:w="2019" w:type="pct"/>
            <w:tcBorders>
              <w:top w:val="single" w:sz="4" w:space="0" w:color="auto"/>
              <w:left w:val="single" w:sz="4" w:space="0" w:color="auto"/>
              <w:bottom w:val="single" w:sz="4" w:space="0" w:color="auto"/>
              <w:right w:val="single" w:sz="4" w:space="0" w:color="auto"/>
            </w:tcBorders>
            <w:shd w:val="clear" w:color="auto" w:fill="FFFFFF" w:themeFill="background1"/>
          </w:tcPr>
          <w:p w14:paraId="7F726D5D" w14:textId="77777777" w:rsidR="00AD7B8F" w:rsidRPr="00BC7BB5" w:rsidRDefault="00AD7B8F" w:rsidP="009C2536">
            <w:pPr>
              <w:rPr>
                <w:rFonts w:ascii="Times New Roman" w:hAnsi="Times New Roman" w:cs="Times New Roman"/>
                <w:color w:val="000000" w:themeColor="text1"/>
                <w:sz w:val="18"/>
              </w:rPr>
            </w:pPr>
            <w:r w:rsidRPr="00BC7BB5">
              <w:rPr>
                <w:rFonts w:ascii="Times New Roman" w:hAnsi="Times New Roman" w:cs="Times New Roman"/>
                <w:color w:val="000000" w:themeColor="text1"/>
                <w:sz w:val="18"/>
              </w:rPr>
              <w:t xml:space="preserve">Inefficiencies in the planning and budgeting processes </w:t>
            </w:r>
          </w:p>
        </w:tc>
        <w:tc>
          <w:tcPr>
            <w:tcW w:w="1141" w:type="pct"/>
            <w:tcBorders>
              <w:top w:val="single" w:sz="4" w:space="0" w:color="auto"/>
              <w:left w:val="single" w:sz="4" w:space="0" w:color="auto"/>
              <w:bottom w:val="single" w:sz="4" w:space="0" w:color="auto"/>
              <w:right w:val="single" w:sz="4" w:space="0" w:color="auto"/>
            </w:tcBorders>
            <w:shd w:val="clear" w:color="auto" w:fill="FFFFFF" w:themeFill="background1"/>
          </w:tcPr>
          <w:p w14:paraId="63DA9127" w14:textId="77777777" w:rsidR="00AD7B8F" w:rsidRPr="00BC7BB5" w:rsidRDefault="00AD7B8F" w:rsidP="009C2536">
            <w:pPr>
              <w:rPr>
                <w:rFonts w:ascii="Times New Roman" w:hAnsi="Times New Roman" w:cs="Times New Roman"/>
                <w:color w:val="000000" w:themeColor="text1"/>
                <w:sz w:val="18"/>
              </w:rPr>
            </w:pPr>
            <w:r w:rsidRPr="00BC7BB5">
              <w:rPr>
                <w:rFonts w:ascii="Times New Roman" w:hAnsi="Times New Roman" w:cs="Times New Roman"/>
                <w:color w:val="000000" w:themeColor="text1"/>
                <w:sz w:val="18"/>
              </w:rPr>
              <w:t>Deploy the integrated financial management information system</w:t>
            </w:r>
          </w:p>
        </w:tc>
        <w:tc>
          <w:tcPr>
            <w:tcW w:w="1159" w:type="pct"/>
            <w:tcBorders>
              <w:top w:val="single" w:sz="4" w:space="0" w:color="auto"/>
              <w:left w:val="single" w:sz="4" w:space="0" w:color="auto"/>
              <w:bottom w:val="single" w:sz="4" w:space="0" w:color="auto"/>
              <w:right w:val="single" w:sz="4" w:space="0" w:color="auto"/>
            </w:tcBorders>
            <w:shd w:val="clear" w:color="auto" w:fill="FFFFFF" w:themeFill="background1"/>
          </w:tcPr>
          <w:p w14:paraId="52FF757C" w14:textId="77777777" w:rsidR="00AD7B8F" w:rsidRPr="00BC7BB5" w:rsidRDefault="00AD7B8F" w:rsidP="009C2536">
            <w:pPr>
              <w:rPr>
                <w:rFonts w:ascii="Times New Roman" w:hAnsi="Times New Roman" w:cs="Times New Roman"/>
                <w:color w:val="000000" w:themeColor="text1"/>
                <w:sz w:val="18"/>
              </w:rPr>
            </w:pPr>
            <w:r w:rsidRPr="00BC7BB5">
              <w:rPr>
                <w:rFonts w:ascii="Times New Roman" w:hAnsi="Times New Roman" w:cs="Times New Roman"/>
                <w:color w:val="000000" w:themeColor="text1"/>
                <w:sz w:val="18"/>
              </w:rPr>
              <w:t>MAPMDREF</w:t>
            </w:r>
          </w:p>
        </w:tc>
        <w:tc>
          <w:tcPr>
            <w:tcW w:w="681" w:type="pct"/>
            <w:tcBorders>
              <w:top w:val="single" w:sz="4" w:space="0" w:color="auto"/>
              <w:left w:val="single" w:sz="4" w:space="0" w:color="auto"/>
              <w:bottom w:val="single" w:sz="4" w:space="0" w:color="auto"/>
              <w:right w:val="single" w:sz="4" w:space="0" w:color="auto"/>
            </w:tcBorders>
            <w:shd w:val="clear" w:color="auto" w:fill="FFFFFF" w:themeFill="background1"/>
          </w:tcPr>
          <w:p w14:paraId="2D4AFA9A" w14:textId="6DDB92D6" w:rsidR="00AD7B8F" w:rsidRPr="00BC7BB5" w:rsidRDefault="00AD7B8F" w:rsidP="009C2536">
            <w:pPr>
              <w:rPr>
                <w:rFonts w:ascii="Times New Roman" w:hAnsi="Times New Roman" w:cs="Times New Roman"/>
                <w:color w:val="000000" w:themeColor="text1"/>
                <w:sz w:val="18"/>
              </w:rPr>
            </w:pPr>
            <w:r w:rsidRPr="00BC7BB5">
              <w:rPr>
                <w:rFonts w:ascii="Times New Roman" w:hAnsi="Times New Roman" w:cs="Times New Roman"/>
                <w:color w:val="000000" w:themeColor="text1"/>
                <w:sz w:val="18"/>
              </w:rPr>
              <w:t xml:space="preserve">PAP / </w:t>
            </w:r>
            <w:r w:rsidR="0002088A" w:rsidRPr="00BC7BB5">
              <w:rPr>
                <w:rFonts w:ascii="Times New Roman" w:hAnsi="Times New Roman" w:cs="Times New Roman"/>
                <w:color w:val="000000" w:themeColor="text1"/>
                <w:sz w:val="18"/>
              </w:rPr>
              <w:t>DLI</w:t>
            </w:r>
          </w:p>
        </w:tc>
      </w:tr>
      <w:tr w:rsidR="00AD7B8F" w:rsidRPr="00BC7BB5" w14:paraId="47EB53F6" w14:textId="77777777" w:rsidTr="003163F0">
        <w:trPr>
          <w:jc w:val="center"/>
        </w:trPr>
        <w:tc>
          <w:tcPr>
            <w:tcW w:w="2019" w:type="pct"/>
            <w:tcBorders>
              <w:top w:val="single" w:sz="4" w:space="0" w:color="auto"/>
              <w:left w:val="single" w:sz="4" w:space="0" w:color="auto"/>
              <w:bottom w:val="single" w:sz="4" w:space="0" w:color="auto"/>
              <w:right w:val="single" w:sz="4" w:space="0" w:color="auto"/>
            </w:tcBorders>
            <w:shd w:val="clear" w:color="auto" w:fill="FFFFFF" w:themeFill="background1"/>
          </w:tcPr>
          <w:p w14:paraId="3B77A378" w14:textId="77777777" w:rsidR="00AD7B8F" w:rsidRPr="00BC7BB5" w:rsidRDefault="00AD7B8F" w:rsidP="009C2536">
            <w:pPr>
              <w:rPr>
                <w:rFonts w:ascii="Times New Roman" w:hAnsi="Times New Roman" w:cs="Times New Roman"/>
                <w:color w:val="000000" w:themeColor="text1"/>
                <w:sz w:val="18"/>
              </w:rPr>
            </w:pPr>
            <w:r w:rsidRPr="00BC7BB5">
              <w:rPr>
                <w:rFonts w:ascii="Times New Roman" w:hAnsi="Times New Roman" w:cs="Times New Roman"/>
                <w:color w:val="000000" w:themeColor="text1"/>
                <w:sz w:val="18"/>
              </w:rPr>
              <w:t>Difficult to report on the Program’s expenditures</w:t>
            </w:r>
          </w:p>
        </w:tc>
        <w:tc>
          <w:tcPr>
            <w:tcW w:w="1141" w:type="pct"/>
            <w:tcBorders>
              <w:top w:val="single" w:sz="4" w:space="0" w:color="auto"/>
              <w:left w:val="single" w:sz="4" w:space="0" w:color="auto"/>
              <w:bottom w:val="single" w:sz="4" w:space="0" w:color="auto"/>
              <w:right w:val="single" w:sz="4" w:space="0" w:color="auto"/>
            </w:tcBorders>
            <w:shd w:val="clear" w:color="auto" w:fill="FFFFFF" w:themeFill="background1"/>
          </w:tcPr>
          <w:p w14:paraId="77C71007" w14:textId="4E55B889" w:rsidR="00AD7B8F" w:rsidRPr="00BC7BB5" w:rsidRDefault="00AD7B8F" w:rsidP="009C2536">
            <w:pPr>
              <w:rPr>
                <w:rFonts w:ascii="Times New Roman" w:hAnsi="Times New Roman" w:cs="Times New Roman"/>
                <w:color w:val="000000" w:themeColor="text1"/>
                <w:sz w:val="18"/>
              </w:rPr>
            </w:pPr>
            <w:r w:rsidRPr="00BC7BB5">
              <w:rPr>
                <w:rFonts w:ascii="Times New Roman" w:hAnsi="Times New Roman" w:cs="Times New Roman"/>
                <w:color w:val="000000" w:themeColor="text1"/>
                <w:sz w:val="18"/>
              </w:rPr>
              <w:t>TA activities to draft a pre-defined format of the Program’s financial report</w:t>
            </w:r>
            <w:r w:rsidR="008B00C9" w:rsidRPr="00BC7BB5">
              <w:rPr>
                <w:rFonts w:ascii="Times New Roman" w:hAnsi="Times New Roman" w:cs="Times New Roman"/>
                <w:color w:val="000000" w:themeColor="text1"/>
                <w:sz w:val="18"/>
              </w:rPr>
              <w:t>;</w:t>
            </w:r>
          </w:p>
          <w:p w14:paraId="2ABEC9CA" w14:textId="53090559" w:rsidR="00AD7B8F" w:rsidRPr="00BC7BB5" w:rsidRDefault="008B00C9" w:rsidP="008B00C9">
            <w:pPr>
              <w:rPr>
                <w:rFonts w:ascii="Times New Roman" w:hAnsi="Times New Roman" w:cs="Times New Roman"/>
                <w:color w:val="000000" w:themeColor="text1"/>
                <w:sz w:val="18"/>
              </w:rPr>
            </w:pPr>
            <w:r w:rsidRPr="00BC7BB5">
              <w:rPr>
                <w:rFonts w:ascii="Times New Roman" w:hAnsi="Times New Roman" w:cs="Times New Roman"/>
                <w:color w:val="000000" w:themeColor="text1"/>
                <w:sz w:val="18"/>
              </w:rPr>
              <w:t>Prepare consolidated periodic reports with a performance analysis, on contract execution</w:t>
            </w:r>
          </w:p>
        </w:tc>
        <w:tc>
          <w:tcPr>
            <w:tcW w:w="1159" w:type="pct"/>
            <w:tcBorders>
              <w:top w:val="single" w:sz="4" w:space="0" w:color="auto"/>
              <w:left w:val="single" w:sz="4" w:space="0" w:color="auto"/>
              <w:bottom w:val="single" w:sz="4" w:space="0" w:color="auto"/>
              <w:right w:val="single" w:sz="4" w:space="0" w:color="auto"/>
            </w:tcBorders>
            <w:shd w:val="clear" w:color="auto" w:fill="FFFFFF" w:themeFill="background1"/>
          </w:tcPr>
          <w:p w14:paraId="74501DED" w14:textId="77777777" w:rsidR="00AD7B8F" w:rsidRPr="00BC7BB5" w:rsidRDefault="00AD7B8F" w:rsidP="009C2536">
            <w:pPr>
              <w:rPr>
                <w:rFonts w:ascii="Times New Roman" w:hAnsi="Times New Roman" w:cs="Times New Roman"/>
                <w:color w:val="000000" w:themeColor="text1"/>
                <w:sz w:val="18"/>
              </w:rPr>
            </w:pPr>
            <w:r w:rsidRPr="00BC7BB5">
              <w:rPr>
                <w:rFonts w:ascii="Times New Roman" w:hAnsi="Times New Roman" w:cs="Times New Roman"/>
                <w:color w:val="000000" w:themeColor="text1"/>
                <w:sz w:val="18"/>
              </w:rPr>
              <w:t>MAPMDREF/WB</w:t>
            </w:r>
          </w:p>
        </w:tc>
        <w:tc>
          <w:tcPr>
            <w:tcW w:w="681" w:type="pct"/>
            <w:tcBorders>
              <w:top w:val="single" w:sz="4" w:space="0" w:color="auto"/>
              <w:left w:val="single" w:sz="4" w:space="0" w:color="auto"/>
              <w:bottom w:val="single" w:sz="4" w:space="0" w:color="auto"/>
              <w:right w:val="single" w:sz="4" w:space="0" w:color="auto"/>
            </w:tcBorders>
            <w:shd w:val="clear" w:color="auto" w:fill="FFFFFF" w:themeFill="background1"/>
          </w:tcPr>
          <w:p w14:paraId="4098FB3E" w14:textId="4EF823BE" w:rsidR="00AD7B8F" w:rsidRPr="00BC7BB5" w:rsidRDefault="0002088A" w:rsidP="009C2536">
            <w:pPr>
              <w:rPr>
                <w:rFonts w:ascii="Times New Roman" w:hAnsi="Times New Roman" w:cs="Times New Roman"/>
                <w:color w:val="000000" w:themeColor="text1"/>
                <w:sz w:val="18"/>
              </w:rPr>
            </w:pPr>
            <w:r w:rsidRPr="00BC7BB5">
              <w:rPr>
                <w:rFonts w:ascii="Times New Roman" w:hAnsi="Times New Roman" w:cs="Times New Roman"/>
                <w:color w:val="000000" w:themeColor="text1"/>
                <w:sz w:val="18"/>
              </w:rPr>
              <w:t>KPI</w:t>
            </w:r>
            <w:r w:rsidR="00AD7B8F" w:rsidRPr="00BC7BB5">
              <w:rPr>
                <w:rFonts w:ascii="Times New Roman" w:hAnsi="Times New Roman" w:cs="Times New Roman"/>
                <w:color w:val="000000" w:themeColor="text1"/>
                <w:sz w:val="18"/>
              </w:rPr>
              <w:t xml:space="preserve"> </w:t>
            </w:r>
          </w:p>
        </w:tc>
      </w:tr>
      <w:tr w:rsidR="00AD7B8F" w:rsidRPr="00BC7BB5" w14:paraId="4CD8855A" w14:textId="77777777" w:rsidTr="003163F0">
        <w:trPr>
          <w:jc w:val="center"/>
        </w:trPr>
        <w:tc>
          <w:tcPr>
            <w:tcW w:w="2019" w:type="pct"/>
            <w:tcBorders>
              <w:top w:val="single" w:sz="4" w:space="0" w:color="auto"/>
              <w:left w:val="single" w:sz="4" w:space="0" w:color="auto"/>
              <w:bottom w:val="single" w:sz="4" w:space="0" w:color="auto"/>
              <w:right w:val="single" w:sz="4" w:space="0" w:color="auto"/>
            </w:tcBorders>
            <w:shd w:val="clear" w:color="auto" w:fill="FFFFFF" w:themeFill="background1"/>
          </w:tcPr>
          <w:p w14:paraId="2A00E76D" w14:textId="057166E9" w:rsidR="00AD7B8F" w:rsidRPr="00BC7BB5" w:rsidRDefault="00AD7B8F" w:rsidP="009C2536">
            <w:pPr>
              <w:rPr>
                <w:rFonts w:ascii="Times New Roman" w:hAnsi="Times New Roman" w:cs="Times New Roman"/>
                <w:color w:val="000000" w:themeColor="text1"/>
                <w:sz w:val="18"/>
              </w:rPr>
            </w:pPr>
            <w:r w:rsidRPr="00BC7BB5">
              <w:rPr>
                <w:rFonts w:ascii="Times New Roman" w:hAnsi="Times New Roman" w:cs="Times New Roman"/>
                <w:color w:val="000000" w:themeColor="text1"/>
                <w:sz w:val="18"/>
              </w:rPr>
              <w:t xml:space="preserve">Lack of formal manual of procedures at </w:t>
            </w:r>
            <w:r w:rsidR="00801F03">
              <w:rPr>
                <w:rFonts w:ascii="Times New Roman" w:hAnsi="Times New Roman" w:cs="Times New Roman"/>
                <w:color w:val="000000" w:themeColor="text1"/>
                <w:sz w:val="18"/>
              </w:rPr>
              <w:t>RRA</w:t>
            </w:r>
          </w:p>
        </w:tc>
        <w:tc>
          <w:tcPr>
            <w:tcW w:w="1141" w:type="pct"/>
            <w:tcBorders>
              <w:top w:val="single" w:sz="4" w:space="0" w:color="auto"/>
              <w:left w:val="single" w:sz="4" w:space="0" w:color="auto"/>
              <w:bottom w:val="single" w:sz="4" w:space="0" w:color="auto"/>
              <w:right w:val="single" w:sz="4" w:space="0" w:color="auto"/>
            </w:tcBorders>
            <w:shd w:val="clear" w:color="auto" w:fill="FFFFFF" w:themeFill="background1"/>
          </w:tcPr>
          <w:p w14:paraId="7FBAF904" w14:textId="77777777" w:rsidR="00AD7B8F" w:rsidRPr="00BC7BB5" w:rsidRDefault="00AD7B8F" w:rsidP="009C2536">
            <w:pPr>
              <w:rPr>
                <w:rFonts w:ascii="Times New Roman" w:hAnsi="Times New Roman" w:cs="Times New Roman"/>
                <w:color w:val="000000" w:themeColor="text1"/>
                <w:sz w:val="18"/>
              </w:rPr>
            </w:pPr>
            <w:r w:rsidRPr="00BC7BB5">
              <w:rPr>
                <w:rFonts w:ascii="Times New Roman" w:hAnsi="Times New Roman" w:cs="Times New Roman"/>
                <w:color w:val="000000" w:themeColor="text1"/>
                <w:sz w:val="18"/>
              </w:rPr>
              <w:t>Approve the manual of procedures</w:t>
            </w:r>
          </w:p>
        </w:tc>
        <w:tc>
          <w:tcPr>
            <w:tcW w:w="1159" w:type="pct"/>
            <w:tcBorders>
              <w:top w:val="single" w:sz="4" w:space="0" w:color="auto"/>
              <w:left w:val="single" w:sz="4" w:space="0" w:color="auto"/>
              <w:bottom w:val="single" w:sz="4" w:space="0" w:color="auto"/>
              <w:right w:val="single" w:sz="4" w:space="0" w:color="auto"/>
            </w:tcBorders>
            <w:shd w:val="clear" w:color="auto" w:fill="FFFFFF" w:themeFill="background1"/>
          </w:tcPr>
          <w:p w14:paraId="42F0060A" w14:textId="516AFAA6" w:rsidR="00AD7B8F" w:rsidRPr="00BC7BB5" w:rsidRDefault="00312192" w:rsidP="009C2536">
            <w:pPr>
              <w:rPr>
                <w:rFonts w:ascii="Times New Roman" w:hAnsi="Times New Roman" w:cs="Times New Roman"/>
                <w:color w:val="000000" w:themeColor="text1"/>
                <w:sz w:val="18"/>
              </w:rPr>
            </w:pPr>
            <w:r>
              <w:rPr>
                <w:rFonts w:ascii="Times New Roman" w:hAnsi="Times New Roman" w:cs="Times New Roman"/>
                <w:color w:val="000000" w:themeColor="text1"/>
                <w:sz w:val="18"/>
              </w:rPr>
              <w:t>RRA</w:t>
            </w:r>
          </w:p>
        </w:tc>
        <w:tc>
          <w:tcPr>
            <w:tcW w:w="681" w:type="pct"/>
            <w:tcBorders>
              <w:top w:val="single" w:sz="4" w:space="0" w:color="auto"/>
              <w:left w:val="single" w:sz="4" w:space="0" w:color="auto"/>
              <w:bottom w:val="single" w:sz="4" w:space="0" w:color="auto"/>
              <w:right w:val="single" w:sz="4" w:space="0" w:color="auto"/>
            </w:tcBorders>
            <w:shd w:val="clear" w:color="auto" w:fill="FFFFFF" w:themeFill="background1"/>
          </w:tcPr>
          <w:p w14:paraId="0D248394" w14:textId="7189C99D" w:rsidR="00AD7B8F" w:rsidRPr="00BC7BB5" w:rsidRDefault="0002088A" w:rsidP="009C2536">
            <w:pPr>
              <w:rPr>
                <w:rFonts w:ascii="Times New Roman" w:hAnsi="Times New Roman" w:cs="Times New Roman"/>
                <w:color w:val="000000" w:themeColor="text1"/>
                <w:sz w:val="18"/>
              </w:rPr>
            </w:pPr>
            <w:r w:rsidRPr="00BC7BB5">
              <w:rPr>
                <w:rFonts w:ascii="Times New Roman" w:hAnsi="Times New Roman" w:cs="Times New Roman"/>
                <w:color w:val="000000" w:themeColor="text1"/>
                <w:sz w:val="18"/>
              </w:rPr>
              <w:t>KPI</w:t>
            </w:r>
          </w:p>
        </w:tc>
      </w:tr>
      <w:tr w:rsidR="00AD7B8F" w:rsidRPr="00BC7BB5" w14:paraId="701C8B07" w14:textId="77777777" w:rsidTr="003163F0">
        <w:trPr>
          <w:jc w:val="center"/>
        </w:trPr>
        <w:tc>
          <w:tcPr>
            <w:tcW w:w="2019" w:type="pct"/>
            <w:tcBorders>
              <w:top w:val="single" w:sz="4" w:space="0" w:color="auto"/>
              <w:left w:val="single" w:sz="4" w:space="0" w:color="auto"/>
              <w:bottom w:val="single" w:sz="4" w:space="0" w:color="auto"/>
              <w:right w:val="single" w:sz="4" w:space="0" w:color="auto"/>
            </w:tcBorders>
            <w:shd w:val="clear" w:color="auto" w:fill="FFFFFF" w:themeFill="background1"/>
          </w:tcPr>
          <w:p w14:paraId="2980BD91" w14:textId="0B4B2DC9" w:rsidR="00AD7B8F" w:rsidRPr="00BC7BB5" w:rsidRDefault="00AD7B8F" w:rsidP="009C2536">
            <w:pPr>
              <w:rPr>
                <w:rFonts w:ascii="Times New Roman" w:hAnsi="Times New Roman" w:cs="Times New Roman"/>
                <w:color w:val="000000" w:themeColor="text1"/>
                <w:sz w:val="18"/>
              </w:rPr>
            </w:pPr>
            <w:r w:rsidRPr="00BC7BB5">
              <w:rPr>
                <w:rFonts w:ascii="Times New Roman" w:hAnsi="Times New Roman" w:cs="Times New Roman"/>
                <w:color w:val="000000" w:themeColor="text1"/>
                <w:sz w:val="18"/>
              </w:rPr>
              <w:t xml:space="preserve">Lack of operational internal audit unit at </w:t>
            </w:r>
            <w:r w:rsidR="00801F03">
              <w:rPr>
                <w:rFonts w:ascii="Times New Roman" w:hAnsi="Times New Roman" w:cs="Times New Roman"/>
                <w:color w:val="000000" w:themeColor="text1"/>
                <w:sz w:val="18"/>
              </w:rPr>
              <w:t>RRA</w:t>
            </w:r>
          </w:p>
        </w:tc>
        <w:tc>
          <w:tcPr>
            <w:tcW w:w="1141" w:type="pct"/>
            <w:tcBorders>
              <w:top w:val="single" w:sz="4" w:space="0" w:color="auto"/>
              <w:left w:val="single" w:sz="4" w:space="0" w:color="auto"/>
              <w:bottom w:val="single" w:sz="4" w:space="0" w:color="auto"/>
              <w:right w:val="single" w:sz="4" w:space="0" w:color="auto"/>
            </w:tcBorders>
            <w:shd w:val="clear" w:color="auto" w:fill="FFFFFF" w:themeFill="background1"/>
          </w:tcPr>
          <w:p w14:paraId="4AF51E6B" w14:textId="77777777" w:rsidR="00AD7B8F" w:rsidRPr="00BC7BB5" w:rsidRDefault="00AD7B8F" w:rsidP="009C2536">
            <w:pPr>
              <w:rPr>
                <w:rFonts w:ascii="Times New Roman" w:hAnsi="Times New Roman" w:cs="Times New Roman"/>
                <w:color w:val="000000" w:themeColor="text1"/>
                <w:sz w:val="18"/>
              </w:rPr>
            </w:pPr>
            <w:r w:rsidRPr="00BC7BB5">
              <w:rPr>
                <w:rFonts w:ascii="Times New Roman" w:hAnsi="Times New Roman" w:cs="Times New Roman"/>
                <w:color w:val="000000" w:themeColor="text1"/>
                <w:sz w:val="18"/>
              </w:rPr>
              <w:t>Recruit the internal auditor and adopt a first audit plan</w:t>
            </w:r>
          </w:p>
        </w:tc>
        <w:tc>
          <w:tcPr>
            <w:tcW w:w="1159" w:type="pct"/>
            <w:tcBorders>
              <w:top w:val="single" w:sz="4" w:space="0" w:color="auto"/>
              <w:left w:val="single" w:sz="4" w:space="0" w:color="auto"/>
              <w:bottom w:val="single" w:sz="4" w:space="0" w:color="auto"/>
              <w:right w:val="single" w:sz="4" w:space="0" w:color="auto"/>
            </w:tcBorders>
            <w:shd w:val="clear" w:color="auto" w:fill="FFFFFF" w:themeFill="background1"/>
          </w:tcPr>
          <w:p w14:paraId="389CD84C" w14:textId="013D9EBC" w:rsidR="00AD7B8F" w:rsidRPr="00BC7BB5" w:rsidRDefault="00312192" w:rsidP="009C2536">
            <w:pPr>
              <w:rPr>
                <w:rFonts w:ascii="Times New Roman" w:hAnsi="Times New Roman" w:cs="Times New Roman"/>
                <w:color w:val="000000" w:themeColor="text1"/>
                <w:sz w:val="18"/>
              </w:rPr>
            </w:pPr>
            <w:r>
              <w:rPr>
                <w:rFonts w:ascii="Times New Roman" w:hAnsi="Times New Roman" w:cs="Times New Roman"/>
                <w:color w:val="000000" w:themeColor="text1"/>
                <w:sz w:val="18"/>
              </w:rPr>
              <w:t>RRA</w:t>
            </w:r>
            <w:r w:rsidR="00DA5C2D">
              <w:rPr>
                <w:rFonts w:ascii="Times New Roman" w:hAnsi="Times New Roman" w:cs="Times New Roman"/>
                <w:color w:val="000000" w:themeColor="text1"/>
                <w:sz w:val="18"/>
              </w:rPr>
              <w:t xml:space="preserve"> </w:t>
            </w:r>
            <w:r w:rsidR="00AD7B8F" w:rsidRPr="00BC7BB5">
              <w:rPr>
                <w:rFonts w:ascii="Times New Roman" w:hAnsi="Times New Roman" w:cs="Times New Roman"/>
                <w:color w:val="000000" w:themeColor="text1"/>
                <w:sz w:val="18"/>
              </w:rPr>
              <w:t>Aménagement</w:t>
            </w:r>
          </w:p>
        </w:tc>
        <w:tc>
          <w:tcPr>
            <w:tcW w:w="681" w:type="pct"/>
            <w:tcBorders>
              <w:top w:val="single" w:sz="4" w:space="0" w:color="auto"/>
              <w:left w:val="single" w:sz="4" w:space="0" w:color="auto"/>
              <w:bottom w:val="single" w:sz="4" w:space="0" w:color="auto"/>
              <w:right w:val="single" w:sz="4" w:space="0" w:color="auto"/>
            </w:tcBorders>
            <w:shd w:val="clear" w:color="auto" w:fill="FFFFFF" w:themeFill="background1"/>
          </w:tcPr>
          <w:p w14:paraId="7422A4E3" w14:textId="4E08748F" w:rsidR="00AD7B8F" w:rsidRPr="00BC7BB5" w:rsidRDefault="0002088A" w:rsidP="009C2536">
            <w:pPr>
              <w:rPr>
                <w:rFonts w:ascii="Times New Roman" w:hAnsi="Times New Roman" w:cs="Times New Roman"/>
                <w:color w:val="000000" w:themeColor="text1"/>
                <w:sz w:val="18"/>
              </w:rPr>
            </w:pPr>
            <w:r w:rsidRPr="00BC7BB5">
              <w:rPr>
                <w:rFonts w:ascii="Times New Roman" w:hAnsi="Times New Roman" w:cs="Times New Roman"/>
                <w:color w:val="000000" w:themeColor="text1"/>
                <w:sz w:val="18"/>
              </w:rPr>
              <w:t>KPI</w:t>
            </w:r>
          </w:p>
        </w:tc>
      </w:tr>
      <w:tr w:rsidR="00602F08" w:rsidRPr="00CB60AB" w14:paraId="52D6CBCF" w14:textId="77777777" w:rsidTr="003163F0">
        <w:tblPrEx>
          <w:jc w:val="left"/>
        </w:tblPrEx>
        <w:tc>
          <w:tcPr>
            <w:tcW w:w="2019" w:type="pct"/>
          </w:tcPr>
          <w:p w14:paraId="6194D677" w14:textId="77777777" w:rsidR="00602F08" w:rsidRPr="00CB60AB" w:rsidRDefault="00602F08" w:rsidP="00F51BFF">
            <w:pPr>
              <w:tabs>
                <w:tab w:val="left" w:pos="0"/>
              </w:tabs>
              <w:contextualSpacing/>
              <w:jc w:val="both"/>
              <w:rPr>
                <w:rFonts w:ascii="Times New Roman" w:hAnsi="Times New Roman" w:cs="Times New Roman"/>
                <w:color w:val="000000" w:themeColor="text1"/>
                <w:sz w:val="18"/>
                <w:szCs w:val="18"/>
              </w:rPr>
            </w:pPr>
            <w:r w:rsidRPr="00CB60AB">
              <w:rPr>
                <w:rFonts w:ascii="Times New Roman" w:hAnsi="Times New Roman" w:cs="Times New Roman"/>
                <w:color w:val="000000" w:themeColor="text1"/>
                <w:sz w:val="18"/>
                <w:szCs w:val="18"/>
              </w:rPr>
              <w:t xml:space="preserve">Lack of formal contract monitoring and reporting on contract execution </w:t>
            </w:r>
          </w:p>
          <w:p w14:paraId="25F4802E" w14:textId="77777777" w:rsidR="00602F08" w:rsidRPr="00CB60AB" w:rsidRDefault="00602F08" w:rsidP="00F51BFF">
            <w:pPr>
              <w:tabs>
                <w:tab w:val="left" w:pos="0"/>
              </w:tabs>
              <w:contextualSpacing/>
              <w:jc w:val="both"/>
              <w:rPr>
                <w:rFonts w:ascii="Times New Roman" w:hAnsi="Times New Roman" w:cs="Times New Roman"/>
                <w:color w:val="000000" w:themeColor="text1"/>
                <w:sz w:val="18"/>
                <w:szCs w:val="18"/>
              </w:rPr>
            </w:pPr>
          </w:p>
          <w:p w14:paraId="2FE61C3C" w14:textId="77777777" w:rsidR="00602F08" w:rsidRPr="00CB60AB" w:rsidRDefault="00602F08" w:rsidP="00F51BFF">
            <w:pPr>
              <w:rPr>
                <w:rFonts w:ascii="Times New Roman" w:hAnsi="Times New Roman" w:cs="Times New Roman"/>
                <w:color w:val="000000" w:themeColor="text1"/>
                <w:sz w:val="18"/>
                <w:szCs w:val="18"/>
              </w:rPr>
            </w:pPr>
          </w:p>
        </w:tc>
        <w:tc>
          <w:tcPr>
            <w:tcW w:w="1141" w:type="pct"/>
          </w:tcPr>
          <w:p w14:paraId="29D5F421" w14:textId="77777777" w:rsidR="00602F08" w:rsidRPr="00CB60AB" w:rsidRDefault="00602F08" w:rsidP="00F51BFF">
            <w:pPr>
              <w:rPr>
                <w:rFonts w:ascii="Times New Roman" w:hAnsi="Times New Roman" w:cs="Times New Roman"/>
                <w:color w:val="000000" w:themeColor="text1"/>
                <w:sz w:val="18"/>
                <w:szCs w:val="18"/>
              </w:rPr>
            </w:pPr>
            <w:r w:rsidRPr="00CB60AB">
              <w:rPr>
                <w:rFonts w:ascii="Times New Roman" w:hAnsi="Times New Roman" w:cs="Times New Roman"/>
                <w:color w:val="000000" w:themeColor="text1"/>
                <w:sz w:val="18"/>
                <w:szCs w:val="18"/>
              </w:rPr>
              <w:t xml:space="preserve">Prepare consolidated periodic reports with a performance analysis, on contract execution </w:t>
            </w:r>
          </w:p>
        </w:tc>
        <w:tc>
          <w:tcPr>
            <w:tcW w:w="1159" w:type="pct"/>
          </w:tcPr>
          <w:p w14:paraId="100350A9" w14:textId="5560D28C" w:rsidR="00602F08" w:rsidRPr="00CB60AB" w:rsidRDefault="00602F08" w:rsidP="00F51BFF">
            <w:pPr>
              <w:rPr>
                <w:rFonts w:ascii="Times New Roman" w:hAnsi="Times New Roman" w:cs="Times New Roman"/>
                <w:color w:val="000000" w:themeColor="text1"/>
                <w:sz w:val="18"/>
                <w:szCs w:val="18"/>
              </w:rPr>
            </w:pPr>
            <w:r w:rsidRPr="00CB60AB">
              <w:rPr>
                <w:rFonts w:ascii="Times New Roman" w:hAnsi="Times New Roman" w:cs="Times New Roman"/>
                <w:color w:val="000000" w:themeColor="text1"/>
                <w:sz w:val="18"/>
                <w:szCs w:val="18"/>
              </w:rPr>
              <w:t>MAPMDREF/ONSSA/R</w:t>
            </w:r>
            <w:r w:rsidR="00312192">
              <w:rPr>
                <w:rFonts w:ascii="Times New Roman" w:hAnsi="Times New Roman" w:cs="Times New Roman"/>
                <w:color w:val="000000" w:themeColor="text1"/>
                <w:sz w:val="18"/>
                <w:szCs w:val="18"/>
              </w:rPr>
              <w:t>R</w:t>
            </w:r>
            <w:r w:rsidRPr="00CB60AB">
              <w:rPr>
                <w:rFonts w:ascii="Times New Roman" w:hAnsi="Times New Roman" w:cs="Times New Roman"/>
                <w:color w:val="000000" w:themeColor="text1"/>
                <w:sz w:val="18"/>
                <w:szCs w:val="18"/>
              </w:rPr>
              <w:t xml:space="preserve">A </w:t>
            </w:r>
          </w:p>
        </w:tc>
        <w:tc>
          <w:tcPr>
            <w:tcW w:w="681" w:type="pct"/>
          </w:tcPr>
          <w:p w14:paraId="6A3A1F7C" w14:textId="77777777" w:rsidR="00602F08" w:rsidRPr="00CB60AB" w:rsidRDefault="00602F08" w:rsidP="00F51BFF">
            <w:pPr>
              <w:rPr>
                <w:rFonts w:ascii="Times New Roman" w:hAnsi="Times New Roman" w:cs="Times New Roman"/>
                <w:color w:val="000000" w:themeColor="text1"/>
                <w:sz w:val="18"/>
                <w:szCs w:val="18"/>
              </w:rPr>
            </w:pPr>
            <w:r w:rsidRPr="00CB60AB">
              <w:rPr>
                <w:rFonts w:ascii="Times New Roman" w:hAnsi="Times New Roman" w:cs="Times New Roman"/>
                <w:color w:val="000000" w:themeColor="text1"/>
                <w:sz w:val="18"/>
                <w:szCs w:val="18"/>
              </w:rPr>
              <w:t>PAP</w:t>
            </w:r>
          </w:p>
        </w:tc>
      </w:tr>
      <w:tr w:rsidR="005808DE" w:rsidRPr="000D4E73" w14:paraId="4034A80B" w14:textId="77777777" w:rsidTr="003163F0">
        <w:tblPrEx>
          <w:jc w:val="left"/>
        </w:tblPrEx>
        <w:tc>
          <w:tcPr>
            <w:tcW w:w="2019" w:type="pct"/>
          </w:tcPr>
          <w:p w14:paraId="1C7DE672" w14:textId="51C60D3C" w:rsidR="005808DE" w:rsidRPr="000D4E73" w:rsidRDefault="005808DE" w:rsidP="00F51BFF">
            <w:pPr>
              <w:tabs>
                <w:tab w:val="left" w:pos="0"/>
              </w:tabs>
              <w:contextualSpacing/>
              <w:jc w:val="both"/>
              <w:rPr>
                <w:rFonts w:ascii="Times New Roman" w:hAnsi="Times New Roman" w:cs="Times New Roman"/>
                <w:color w:val="000000" w:themeColor="text1"/>
                <w:sz w:val="18"/>
                <w:szCs w:val="18"/>
              </w:rPr>
            </w:pPr>
            <w:r w:rsidRPr="000D4E73">
              <w:rPr>
                <w:rFonts w:ascii="Times New Roman" w:hAnsi="Times New Roman" w:cs="Times New Roman"/>
                <w:color w:val="000000" w:themeColor="text1"/>
                <w:sz w:val="18"/>
                <w:szCs w:val="18"/>
              </w:rPr>
              <w:t>Limited staff of R</w:t>
            </w:r>
            <w:r w:rsidR="00312192" w:rsidRPr="000D4E73">
              <w:rPr>
                <w:rFonts w:ascii="Times New Roman" w:hAnsi="Times New Roman" w:cs="Times New Roman"/>
                <w:color w:val="000000" w:themeColor="text1"/>
                <w:sz w:val="18"/>
                <w:szCs w:val="18"/>
              </w:rPr>
              <w:t>R</w:t>
            </w:r>
            <w:r w:rsidRPr="000D4E73">
              <w:rPr>
                <w:rFonts w:ascii="Times New Roman" w:hAnsi="Times New Roman" w:cs="Times New Roman"/>
                <w:color w:val="000000" w:themeColor="text1"/>
                <w:sz w:val="18"/>
                <w:szCs w:val="18"/>
              </w:rPr>
              <w:t>A for handling of the construction of the wholesale market</w:t>
            </w:r>
          </w:p>
        </w:tc>
        <w:tc>
          <w:tcPr>
            <w:tcW w:w="1141" w:type="pct"/>
          </w:tcPr>
          <w:p w14:paraId="72D1645E" w14:textId="77777777" w:rsidR="005808DE" w:rsidRPr="000D4E73" w:rsidRDefault="005808DE" w:rsidP="005808DE">
            <w:pPr>
              <w:rPr>
                <w:rFonts w:ascii="Times New Roman" w:hAnsi="Times New Roman" w:cs="Times New Roman"/>
                <w:color w:val="000000" w:themeColor="text1"/>
                <w:sz w:val="18"/>
                <w:szCs w:val="18"/>
              </w:rPr>
            </w:pPr>
            <w:r w:rsidRPr="000D4E73">
              <w:rPr>
                <w:rFonts w:ascii="Times New Roman" w:hAnsi="Times New Roman" w:cs="Times New Roman"/>
                <w:color w:val="000000" w:themeColor="text1"/>
                <w:sz w:val="18"/>
                <w:szCs w:val="18"/>
              </w:rPr>
              <w:t xml:space="preserve">Strengthen technical staff with dedicated technician, for managing the construction of the wholesale market </w:t>
            </w:r>
          </w:p>
          <w:p w14:paraId="66044DBA" w14:textId="77777777" w:rsidR="005808DE" w:rsidRPr="000D4E73" w:rsidRDefault="005808DE" w:rsidP="005808DE">
            <w:pPr>
              <w:rPr>
                <w:rFonts w:ascii="Times New Roman" w:hAnsi="Times New Roman" w:cs="Times New Roman"/>
                <w:color w:val="000000" w:themeColor="text1"/>
                <w:sz w:val="18"/>
                <w:szCs w:val="18"/>
              </w:rPr>
            </w:pPr>
          </w:p>
          <w:p w14:paraId="4E26C1D8" w14:textId="59063EFA" w:rsidR="005808DE" w:rsidRPr="000D4E73" w:rsidRDefault="00775BFD" w:rsidP="005808DE">
            <w:pP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Due date</w:t>
            </w:r>
            <w:r w:rsidR="005808DE" w:rsidRPr="000D4E73">
              <w:rPr>
                <w:rFonts w:ascii="Times New Roman" w:hAnsi="Times New Roman" w:cs="Times New Roman"/>
                <w:color w:val="000000" w:themeColor="text1"/>
                <w:sz w:val="18"/>
                <w:szCs w:val="18"/>
              </w:rPr>
              <w:t>: before the launch of the call for tenders</w:t>
            </w:r>
          </w:p>
          <w:p w14:paraId="24FE6C52" w14:textId="6658CA4B" w:rsidR="005808DE" w:rsidRPr="000D4E73" w:rsidRDefault="005808DE" w:rsidP="00F51BFF">
            <w:pPr>
              <w:rPr>
                <w:rFonts w:ascii="Times New Roman" w:hAnsi="Times New Roman" w:cs="Times New Roman"/>
                <w:color w:val="000000" w:themeColor="text1"/>
                <w:sz w:val="18"/>
                <w:szCs w:val="18"/>
              </w:rPr>
            </w:pPr>
          </w:p>
        </w:tc>
        <w:tc>
          <w:tcPr>
            <w:tcW w:w="1159" w:type="pct"/>
          </w:tcPr>
          <w:p w14:paraId="4F8E5583" w14:textId="4EA404E1" w:rsidR="005808DE" w:rsidRPr="000D4E73" w:rsidRDefault="005808DE" w:rsidP="00F51BFF">
            <w:pPr>
              <w:rPr>
                <w:rFonts w:ascii="Times New Roman" w:hAnsi="Times New Roman" w:cs="Times New Roman"/>
                <w:color w:val="000000" w:themeColor="text1"/>
                <w:sz w:val="18"/>
                <w:szCs w:val="18"/>
              </w:rPr>
            </w:pPr>
            <w:r w:rsidRPr="000D4E73">
              <w:rPr>
                <w:rFonts w:ascii="Times New Roman" w:hAnsi="Times New Roman" w:cs="Times New Roman"/>
                <w:color w:val="000000" w:themeColor="text1"/>
                <w:sz w:val="18"/>
                <w:szCs w:val="18"/>
              </w:rPr>
              <w:t>RRA</w:t>
            </w:r>
          </w:p>
        </w:tc>
        <w:tc>
          <w:tcPr>
            <w:tcW w:w="681" w:type="pct"/>
          </w:tcPr>
          <w:p w14:paraId="2273669F" w14:textId="4D8710D7" w:rsidR="005808DE" w:rsidRPr="000D4E73" w:rsidRDefault="005808DE" w:rsidP="00F51BFF">
            <w:pPr>
              <w:rPr>
                <w:rFonts w:ascii="Times New Roman" w:hAnsi="Times New Roman" w:cs="Times New Roman"/>
                <w:color w:val="000000" w:themeColor="text1"/>
                <w:sz w:val="18"/>
                <w:szCs w:val="18"/>
              </w:rPr>
            </w:pPr>
            <w:r w:rsidRPr="000D4E73">
              <w:rPr>
                <w:rFonts w:ascii="Times New Roman" w:hAnsi="Times New Roman" w:cs="Times New Roman"/>
                <w:color w:val="000000" w:themeColor="text1"/>
                <w:sz w:val="18"/>
                <w:szCs w:val="18"/>
              </w:rPr>
              <w:t>PAP</w:t>
            </w:r>
          </w:p>
        </w:tc>
      </w:tr>
      <w:tr w:rsidR="005808DE" w:rsidRPr="000D4E73" w14:paraId="6C5F096A" w14:textId="77777777" w:rsidTr="003163F0">
        <w:tblPrEx>
          <w:jc w:val="left"/>
        </w:tblPrEx>
        <w:tc>
          <w:tcPr>
            <w:tcW w:w="2019" w:type="pct"/>
          </w:tcPr>
          <w:p w14:paraId="1B8AC985" w14:textId="6D59A8B7" w:rsidR="005808DE" w:rsidRPr="000D4E73" w:rsidRDefault="005808DE" w:rsidP="00F51BFF">
            <w:pPr>
              <w:tabs>
                <w:tab w:val="left" w:pos="0"/>
              </w:tabs>
              <w:contextualSpacing/>
              <w:jc w:val="both"/>
              <w:rPr>
                <w:rFonts w:ascii="Times New Roman" w:hAnsi="Times New Roman" w:cs="Times New Roman"/>
                <w:color w:val="000000" w:themeColor="text1"/>
                <w:sz w:val="18"/>
                <w:szCs w:val="18"/>
              </w:rPr>
            </w:pPr>
            <w:r w:rsidRPr="000D4E73">
              <w:rPr>
                <w:rFonts w:ascii="Times New Roman" w:hAnsi="Times New Roman" w:cs="Times New Roman"/>
                <w:color w:val="000000" w:themeColor="text1"/>
                <w:sz w:val="18"/>
                <w:szCs w:val="18"/>
              </w:rPr>
              <w:t>Absence of close monitoring and follow up on performance in the construction of the wholesale market</w:t>
            </w:r>
          </w:p>
        </w:tc>
        <w:tc>
          <w:tcPr>
            <w:tcW w:w="1141" w:type="pct"/>
          </w:tcPr>
          <w:p w14:paraId="05534E23" w14:textId="77777777" w:rsidR="005808DE" w:rsidRPr="000D4E73" w:rsidRDefault="005808DE" w:rsidP="005808DE">
            <w:pPr>
              <w:rPr>
                <w:rFonts w:ascii="Times New Roman" w:hAnsi="Times New Roman" w:cs="Times New Roman"/>
                <w:color w:val="000000" w:themeColor="text1"/>
                <w:sz w:val="18"/>
                <w:szCs w:val="18"/>
              </w:rPr>
            </w:pPr>
            <w:r w:rsidRPr="000D4E73">
              <w:rPr>
                <w:rFonts w:ascii="Times New Roman" w:hAnsi="Times New Roman" w:cs="Times New Roman"/>
                <w:color w:val="000000" w:themeColor="text1"/>
                <w:sz w:val="18"/>
                <w:szCs w:val="18"/>
              </w:rPr>
              <w:t>Periodic reporting on the construction of the wholesale market (physical and financial progress) including technical and fiduciary performance aspects</w:t>
            </w:r>
          </w:p>
          <w:p w14:paraId="67E9409F" w14:textId="77777777" w:rsidR="005808DE" w:rsidRPr="000D4E73" w:rsidRDefault="005808DE" w:rsidP="005808DE">
            <w:pPr>
              <w:pStyle w:val="ListParagraph"/>
              <w:ind w:left="0"/>
              <w:rPr>
                <w:rFonts w:ascii="Times New Roman" w:hAnsi="Times New Roman" w:cs="Times New Roman"/>
                <w:color w:val="000000" w:themeColor="text1"/>
                <w:sz w:val="18"/>
                <w:szCs w:val="18"/>
              </w:rPr>
            </w:pPr>
            <w:r w:rsidRPr="000D4E73">
              <w:rPr>
                <w:rFonts w:ascii="Times New Roman" w:hAnsi="Times New Roman" w:cs="Times New Roman"/>
                <w:color w:val="000000" w:themeColor="text1"/>
                <w:sz w:val="18"/>
                <w:szCs w:val="18"/>
              </w:rPr>
              <w:t>Due date: following program implementation report</w:t>
            </w:r>
          </w:p>
          <w:p w14:paraId="3661A837" w14:textId="77777777" w:rsidR="005808DE" w:rsidRPr="000D4E73" w:rsidRDefault="005808DE" w:rsidP="00F51BFF">
            <w:pPr>
              <w:rPr>
                <w:rFonts w:ascii="Times New Roman" w:hAnsi="Times New Roman" w:cs="Times New Roman"/>
                <w:color w:val="000000" w:themeColor="text1"/>
                <w:sz w:val="18"/>
                <w:szCs w:val="18"/>
              </w:rPr>
            </w:pPr>
          </w:p>
        </w:tc>
        <w:tc>
          <w:tcPr>
            <w:tcW w:w="1159" w:type="pct"/>
          </w:tcPr>
          <w:p w14:paraId="5B7F28F6" w14:textId="6AE174AB" w:rsidR="005808DE" w:rsidRPr="000D4E73" w:rsidRDefault="005808DE" w:rsidP="00F51BFF">
            <w:pPr>
              <w:rPr>
                <w:rFonts w:ascii="Times New Roman" w:hAnsi="Times New Roman" w:cs="Times New Roman"/>
                <w:color w:val="000000" w:themeColor="text1"/>
                <w:sz w:val="18"/>
                <w:szCs w:val="18"/>
              </w:rPr>
            </w:pPr>
            <w:r w:rsidRPr="000D4E73">
              <w:rPr>
                <w:rFonts w:ascii="Times New Roman" w:hAnsi="Times New Roman" w:cs="Times New Roman"/>
                <w:color w:val="000000" w:themeColor="text1"/>
                <w:sz w:val="18"/>
                <w:szCs w:val="18"/>
              </w:rPr>
              <w:t>RRA</w:t>
            </w:r>
          </w:p>
        </w:tc>
        <w:tc>
          <w:tcPr>
            <w:tcW w:w="681" w:type="pct"/>
          </w:tcPr>
          <w:p w14:paraId="38533D2F" w14:textId="70CE1336" w:rsidR="005808DE" w:rsidRPr="000D4E73" w:rsidRDefault="005808DE" w:rsidP="00F51BFF">
            <w:pPr>
              <w:rPr>
                <w:rFonts w:ascii="Times New Roman" w:hAnsi="Times New Roman" w:cs="Times New Roman"/>
                <w:color w:val="000000" w:themeColor="text1"/>
                <w:sz w:val="18"/>
                <w:szCs w:val="18"/>
              </w:rPr>
            </w:pPr>
            <w:r w:rsidRPr="000D4E73">
              <w:rPr>
                <w:rFonts w:ascii="Times New Roman" w:hAnsi="Times New Roman" w:cs="Times New Roman"/>
                <w:color w:val="000000" w:themeColor="text1"/>
                <w:sz w:val="18"/>
                <w:szCs w:val="18"/>
              </w:rPr>
              <w:t>PAP</w:t>
            </w:r>
          </w:p>
        </w:tc>
      </w:tr>
    </w:tbl>
    <w:p w14:paraId="04028E55" w14:textId="77777777" w:rsidR="00C723AC" w:rsidRPr="00BC7BB5" w:rsidRDefault="00C723AC" w:rsidP="00AD7B8F"/>
    <w:p w14:paraId="7E3B8B7C" w14:textId="2C83F14B" w:rsidR="00AD7B8F" w:rsidRPr="00BC7BB5" w:rsidRDefault="00AD7B8F" w:rsidP="00422BC8">
      <w:pPr>
        <w:pStyle w:val="ListParagraph"/>
        <w:numPr>
          <w:ilvl w:val="0"/>
          <w:numId w:val="15"/>
        </w:numPr>
        <w:autoSpaceDE w:val="0"/>
        <w:autoSpaceDN w:val="0"/>
        <w:adjustRightInd w:val="0"/>
        <w:spacing w:after="0" w:line="240" w:lineRule="auto"/>
        <w:ind w:left="0" w:firstLine="0"/>
        <w:jc w:val="both"/>
        <w:rPr>
          <w:rFonts w:ascii="Times New Roman" w:hAnsi="Times New Roman" w:cs="Times New Roman"/>
          <w:color w:val="000000" w:themeColor="text1"/>
        </w:rPr>
      </w:pPr>
      <w:r w:rsidRPr="00BC7BB5">
        <w:rPr>
          <w:rFonts w:ascii="Times New Roman" w:hAnsi="Times New Roman" w:cs="Times New Roman"/>
          <w:b/>
          <w:color w:val="000000" w:themeColor="text1"/>
        </w:rPr>
        <w:t xml:space="preserve">Implementation support. </w:t>
      </w:r>
      <w:r w:rsidRPr="00BC7BB5">
        <w:rPr>
          <w:rFonts w:ascii="Times New Roman" w:hAnsi="Times New Roman" w:cs="Times New Roman"/>
          <w:color w:val="000000" w:themeColor="text1"/>
        </w:rPr>
        <w:t>Fiduciary support</w:t>
      </w:r>
      <w:r w:rsidR="004878AC" w:rsidRPr="00BC7BB5">
        <w:rPr>
          <w:rFonts w:ascii="Times New Roman" w:hAnsi="Times New Roman" w:cs="Times New Roman"/>
          <w:color w:val="000000" w:themeColor="text1"/>
        </w:rPr>
        <w:t xml:space="preserve"> </w:t>
      </w:r>
      <w:r w:rsidR="00775BFD">
        <w:rPr>
          <w:rFonts w:ascii="Times New Roman" w:hAnsi="Times New Roman" w:cs="Times New Roman"/>
          <w:color w:val="000000" w:themeColor="text1"/>
        </w:rPr>
        <w:t>will</w:t>
      </w:r>
      <w:r w:rsidR="00775BFD" w:rsidRPr="00BC7BB5">
        <w:rPr>
          <w:rFonts w:ascii="Times New Roman" w:hAnsi="Times New Roman" w:cs="Times New Roman"/>
          <w:color w:val="000000" w:themeColor="text1"/>
        </w:rPr>
        <w:t xml:space="preserve"> </w:t>
      </w:r>
      <w:r w:rsidR="004878AC" w:rsidRPr="00BC7BB5">
        <w:rPr>
          <w:rFonts w:ascii="Times New Roman" w:hAnsi="Times New Roman" w:cs="Times New Roman"/>
          <w:color w:val="000000" w:themeColor="text1"/>
        </w:rPr>
        <w:t>include</w:t>
      </w:r>
      <w:r w:rsidRPr="00BC7BB5">
        <w:rPr>
          <w:rFonts w:ascii="Times New Roman" w:hAnsi="Times New Roman" w:cs="Times New Roman"/>
          <w:color w:val="000000" w:themeColor="text1"/>
        </w:rPr>
        <w:t>:</w:t>
      </w:r>
    </w:p>
    <w:p w14:paraId="00F033F0" w14:textId="77777777" w:rsidR="0000728E" w:rsidRPr="00BC7BB5" w:rsidRDefault="0000728E" w:rsidP="0000728E">
      <w:pPr>
        <w:autoSpaceDE w:val="0"/>
        <w:autoSpaceDN w:val="0"/>
        <w:adjustRightInd w:val="0"/>
        <w:spacing w:after="0" w:line="240" w:lineRule="auto"/>
        <w:ind w:left="1080"/>
        <w:jc w:val="both"/>
        <w:rPr>
          <w:rFonts w:ascii="Times New Roman" w:hAnsi="Times New Roman" w:cs="Times New Roman"/>
          <w:color w:val="000000" w:themeColor="text1"/>
        </w:rPr>
      </w:pPr>
    </w:p>
    <w:p w14:paraId="4D631DD7" w14:textId="0561DF00" w:rsidR="00AD7B8F" w:rsidRPr="00BC7BB5" w:rsidRDefault="00AD7B8F" w:rsidP="00F561E8">
      <w:pPr>
        <w:pStyle w:val="ListParagraph"/>
        <w:numPr>
          <w:ilvl w:val="1"/>
          <w:numId w:val="51"/>
        </w:numPr>
        <w:autoSpaceDE w:val="0"/>
        <w:autoSpaceDN w:val="0"/>
        <w:adjustRightInd w:val="0"/>
        <w:spacing w:after="0" w:line="240" w:lineRule="auto"/>
        <w:contextualSpacing w:val="0"/>
        <w:jc w:val="both"/>
        <w:rPr>
          <w:rFonts w:ascii="Times New Roman" w:hAnsi="Times New Roman" w:cs="Times New Roman"/>
          <w:color w:val="000000" w:themeColor="text1"/>
        </w:rPr>
      </w:pPr>
      <w:r w:rsidRPr="00BC7BB5">
        <w:rPr>
          <w:rFonts w:ascii="Times New Roman" w:hAnsi="Times New Roman" w:cs="Times New Roman"/>
          <w:color w:val="000000" w:themeColor="text1"/>
        </w:rPr>
        <w:t>Close monitoring of the acquisition/deployment of the integrated financia</w:t>
      </w:r>
      <w:r w:rsidR="0000728E" w:rsidRPr="00BC7BB5">
        <w:rPr>
          <w:rFonts w:ascii="Times New Roman" w:hAnsi="Times New Roman" w:cs="Times New Roman"/>
          <w:color w:val="000000" w:themeColor="text1"/>
        </w:rPr>
        <w:t>l management system of MAPMDREF;</w:t>
      </w:r>
    </w:p>
    <w:p w14:paraId="6E7C9C71" w14:textId="5E8C238C" w:rsidR="00AD7B8F" w:rsidRPr="00BC7BB5" w:rsidRDefault="00AD7B8F" w:rsidP="00F561E8">
      <w:pPr>
        <w:pStyle w:val="ListParagraph"/>
        <w:numPr>
          <w:ilvl w:val="1"/>
          <w:numId w:val="51"/>
        </w:numPr>
        <w:autoSpaceDE w:val="0"/>
        <w:autoSpaceDN w:val="0"/>
        <w:adjustRightInd w:val="0"/>
        <w:spacing w:after="0" w:line="240" w:lineRule="auto"/>
        <w:contextualSpacing w:val="0"/>
        <w:jc w:val="both"/>
        <w:rPr>
          <w:rFonts w:ascii="Times New Roman" w:hAnsi="Times New Roman" w:cs="Times New Roman"/>
          <w:color w:val="000000" w:themeColor="text1"/>
        </w:rPr>
      </w:pPr>
      <w:r w:rsidRPr="00BC7BB5">
        <w:rPr>
          <w:rFonts w:ascii="Times New Roman" w:hAnsi="Times New Roman" w:cs="Times New Roman"/>
          <w:color w:val="000000" w:themeColor="text1"/>
        </w:rPr>
        <w:t>Reviewing implementation progress and working with the task team to examine the achievement of Program results and DLIs</w:t>
      </w:r>
      <w:r w:rsidR="0000728E" w:rsidRPr="00BC7BB5">
        <w:rPr>
          <w:rFonts w:ascii="Times New Roman" w:hAnsi="Times New Roman" w:cs="Times New Roman"/>
          <w:color w:val="000000" w:themeColor="text1"/>
        </w:rPr>
        <w:t xml:space="preserve"> that are of a fiduciary nature;</w:t>
      </w:r>
    </w:p>
    <w:p w14:paraId="3D8A8500" w14:textId="4F842ADC" w:rsidR="00AD7B8F" w:rsidRPr="00BC7BB5" w:rsidRDefault="00AD7B8F" w:rsidP="00F561E8">
      <w:pPr>
        <w:pStyle w:val="ListParagraph"/>
        <w:numPr>
          <w:ilvl w:val="1"/>
          <w:numId w:val="51"/>
        </w:numPr>
        <w:autoSpaceDE w:val="0"/>
        <w:autoSpaceDN w:val="0"/>
        <w:adjustRightInd w:val="0"/>
        <w:spacing w:after="0" w:line="240" w:lineRule="auto"/>
        <w:contextualSpacing w:val="0"/>
        <w:jc w:val="both"/>
        <w:rPr>
          <w:rFonts w:ascii="Times New Roman" w:hAnsi="Times New Roman" w:cs="Times New Roman"/>
          <w:color w:val="000000" w:themeColor="text1"/>
        </w:rPr>
      </w:pPr>
      <w:r w:rsidRPr="00BC7BB5">
        <w:rPr>
          <w:rFonts w:ascii="Times New Roman" w:hAnsi="Times New Roman" w:cs="Times New Roman"/>
          <w:color w:val="000000" w:themeColor="text1"/>
        </w:rPr>
        <w:lastRenderedPageBreak/>
        <w:t xml:space="preserve">Helping the borrower resolve implementation issues and carry out </w:t>
      </w:r>
      <w:r w:rsidR="0000728E" w:rsidRPr="00BC7BB5">
        <w:rPr>
          <w:rFonts w:ascii="Times New Roman" w:hAnsi="Times New Roman" w:cs="Times New Roman"/>
          <w:color w:val="000000" w:themeColor="text1"/>
        </w:rPr>
        <w:t>institutional capacity building;</w:t>
      </w:r>
    </w:p>
    <w:p w14:paraId="061D24D9" w14:textId="731949D6" w:rsidR="00AD7B8F" w:rsidRPr="00BC7BB5" w:rsidRDefault="00AD7B8F" w:rsidP="00F561E8">
      <w:pPr>
        <w:pStyle w:val="ListParagraph"/>
        <w:numPr>
          <w:ilvl w:val="1"/>
          <w:numId w:val="51"/>
        </w:numPr>
        <w:autoSpaceDE w:val="0"/>
        <w:autoSpaceDN w:val="0"/>
        <w:adjustRightInd w:val="0"/>
        <w:spacing w:after="0" w:line="240" w:lineRule="auto"/>
        <w:contextualSpacing w:val="0"/>
        <w:jc w:val="both"/>
        <w:rPr>
          <w:rFonts w:ascii="Times New Roman" w:hAnsi="Times New Roman" w:cs="Times New Roman"/>
          <w:color w:val="000000" w:themeColor="text1"/>
        </w:rPr>
      </w:pPr>
      <w:r w:rsidRPr="00BC7BB5">
        <w:rPr>
          <w:rFonts w:ascii="Times New Roman" w:hAnsi="Times New Roman" w:cs="Times New Roman"/>
          <w:color w:val="000000" w:themeColor="text1"/>
        </w:rPr>
        <w:t>Monitoring the performance of fiduciary systems and audit reports, includin</w:t>
      </w:r>
      <w:r w:rsidR="0000728E" w:rsidRPr="00BC7BB5">
        <w:rPr>
          <w:rFonts w:ascii="Times New Roman" w:hAnsi="Times New Roman" w:cs="Times New Roman"/>
          <w:color w:val="000000" w:themeColor="text1"/>
        </w:rPr>
        <w:t>g the implementation of the PAP; and</w:t>
      </w:r>
    </w:p>
    <w:p w14:paraId="53B2A3DC" w14:textId="36308508" w:rsidR="00142634" w:rsidRPr="00BC7BB5" w:rsidRDefault="00AD7B8F" w:rsidP="00F561E8">
      <w:pPr>
        <w:pStyle w:val="ListParagraph"/>
        <w:numPr>
          <w:ilvl w:val="1"/>
          <w:numId w:val="51"/>
        </w:numPr>
        <w:autoSpaceDE w:val="0"/>
        <w:autoSpaceDN w:val="0"/>
        <w:adjustRightInd w:val="0"/>
        <w:spacing w:after="0" w:line="240" w:lineRule="auto"/>
        <w:contextualSpacing w:val="0"/>
        <w:jc w:val="both"/>
        <w:rPr>
          <w:rFonts w:ascii="Times New Roman" w:hAnsi="Times New Roman" w:cs="Times New Roman"/>
        </w:rPr>
      </w:pPr>
      <w:r w:rsidRPr="00BC7BB5">
        <w:rPr>
          <w:rFonts w:ascii="Times New Roman" w:hAnsi="Times New Roman" w:cs="Times New Roman"/>
          <w:color w:val="000000" w:themeColor="text1"/>
        </w:rPr>
        <w:t>Monitoring changes in fiduciary risks to the Program and, as relevant, compliance with the fiduciary provisions of legal covenants</w:t>
      </w:r>
      <w:r w:rsidRPr="00BC7BB5">
        <w:rPr>
          <w:rFonts w:cs="Times New Roman"/>
          <w:color w:val="000000" w:themeColor="text1"/>
        </w:rPr>
        <w:t>.</w:t>
      </w:r>
      <w:r w:rsidR="00142634" w:rsidRPr="00BC7BB5">
        <w:rPr>
          <w:rFonts w:ascii="Times New Roman" w:hAnsi="Times New Roman" w:cs="Times New Roman"/>
        </w:rPr>
        <w:t xml:space="preserve"> </w:t>
      </w:r>
    </w:p>
    <w:p w14:paraId="53B2A3DD" w14:textId="77777777" w:rsidR="002F4FFB" w:rsidRPr="00BC7BB5" w:rsidRDefault="002F4FFB" w:rsidP="008A4A71">
      <w:pPr>
        <w:pStyle w:val="NoSpacing"/>
        <w:ind w:left="360"/>
        <w:rPr>
          <w:rFonts w:ascii="Times New Roman" w:hAnsi="Times New Roman" w:cs="Times New Roman"/>
        </w:rPr>
      </w:pPr>
    </w:p>
    <w:p w14:paraId="53B2A3DF" w14:textId="77777777" w:rsidR="00AE45E6" w:rsidRPr="00BC7BB5" w:rsidRDefault="001D2940" w:rsidP="008A4A71">
      <w:pPr>
        <w:rPr>
          <w:rFonts w:ascii="Times New Roman" w:hAnsi="Times New Roman" w:cs="Times New Roman"/>
        </w:rPr>
      </w:pPr>
      <w:r w:rsidRPr="00BC7BB5">
        <w:rPr>
          <w:rFonts w:ascii="Times New Roman" w:hAnsi="Times New Roman" w:cs="Times New Roman"/>
        </w:rPr>
        <w:t xml:space="preserve">. </w:t>
      </w:r>
      <w:r w:rsidRPr="00BC7BB5">
        <w:rPr>
          <w:rFonts w:ascii="Times New Roman" w:hAnsi="Times New Roman" w:cs="Times New Roman"/>
        </w:rPr>
        <w:br w:type="page"/>
      </w:r>
    </w:p>
    <w:p w14:paraId="53B2A3E0" w14:textId="77777777" w:rsidR="00AE45E6" w:rsidRPr="00BC7BB5" w:rsidRDefault="001D2940" w:rsidP="005D30EF">
      <w:pPr>
        <w:pStyle w:val="ListParagraph"/>
        <w:ind w:left="0"/>
        <w:jc w:val="center"/>
        <w:outlineLvl w:val="0"/>
        <w:rPr>
          <w:rFonts w:ascii="Times New Roman" w:hAnsi="Times New Roman" w:cs="Times New Roman"/>
          <w:b/>
        </w:rPr>
      </w:pPr>
      <w:bookmarkStart w:id="32" w:name="_Toc499113416"/>
      <w:r w:rsidRPr="00BC7BB5">
        <w:rPr>
          <w:rFonts w:ascii="Times New Roman" w:hAnsi="Times New Roman" w:cs="Times New Roman"/>
          <w:b/>
        </w:rPr>
        <w:lastRenderedPageBreak/>
        <w:t xml:space="preserve">Annex </w:t>
      </w:r>
      <w:r w:rsidR="00D43533" w:rsidRPr="00BC7BB5">
        <w:rPr>
          <w:rFonts w:ascii="Times New Roman" w:hAnsi="Times New Roman" w:cs="Times New Roman"/>
          <w:b/>
        </w:rPr>
        <w:t>6</w:t>
      </w:r>
      <w:r w:rsidRPr="00BC7BB5">
        <w:rPr>
          <w:rFonts w:ascii="Times New Roman" w:hAnsi="Times New Roman" w:cs="Times New Roman"/>
          <w:b/>
        </w:rPr>
        <w:t xml:space="preserve">:  </w:t>
      </w:r>
      <w:r w:rsidR="0004779C" w:rsidRPr="00BC7BB5">
        <w:rPr>
          <w:rFonts w:ascii="Times New Roman" w:hAnsi="Times New Roman" w:cs="Times New Roman"/>
          <w:b/>
        </w:rPr>
        <w:t xml:space="preserve">Summary </w:t>
      </w:r>
      <w:r w:rsidRPr="00BC7BB5">
        <w:rPr>
          <w:rFonts w:ascii="Times New Roman" w:hAnsi="Times New Roman" w:cs="Times New Roman"/>
          <w:b/>
        </w:rPr>
        <w:t>Environmental and Social Systems Assessment</w:t>
      </w:r>
      <w:bookmarkEnd w:id="32"/>
    </w:p>
    <w:p w14:paraId="53B2A3E1" w14:textId="0050044D" w:rsidR="00DC6A3C" w:rsidRPr="00BC7BB5" w:rsidRDefault="00DC6A3C" w:rsidP="00CF260B">
      <w:pPr>
        <w:spacing w:after="0" w:line="240" w:lineRule="auto"/>
        <w:jc w:val="center"/>
        <w:rPr>
          <w:rFonts w:ascii="Times New Roman" w:hAnsi="Times New Roman" w:cs="Times New Roman"/>
          <w:b/>
        </w:rPr>
      </w:pPr>
    </w:p>
    <w:p w14:paraId="0B489457" w14:textId="7FA2B8A6" w:rsidR="00BD32FD" w:rsidRPr="00BC7BB5" w:rsidRDefault="00BD32FD" w:rsidP="00BD32FD">
      <w:pPr>
        <w:pStyle w:val="Style7"/>
        <w:spacing w:line="240" w:lineRule="auto"/>
        <w:ind w:left="0" w:firstLine="0"/>
        <w:rPr>
          <w:rFonts w:ascii="Times New Roman" w:hAnsi="Times New Roman" w:cs="Times New Roman"/>
        </w:rPr>
      </w:pPr>
      <w:r w:rsidRPr="00BC7BB5">
        <w:rPr>
          <w:rFonts w:ascii="Times New Roman" w:hAnsi="Times New Roman"/>
        </w:rPr>
        <w:t>This Environmental and Social Systems Assessment (ESSA) of the Strengthening Agri-food Value Chains Program</w:t>
      </w:r>
      <w:r w:rsidRPr="00BC7BB5">
        <w:rPr>
          <w:rFonts w:ascii="Times New Roman" w:hAnsi="Times New Roman"/>
          <w:i/>
        </w:rPr>
        <w:t xml:space="preserve"> </w:t>
      </w:r>
      <w:r w:rsidRPr="00BC7BB5">
        <w:rPr>
          <w:rFonts w:ascii="Times New Roman" w:hAnsi="Times New Roman"/>
        </w:rPr>
        <w:t xml:space="preserve">was carried out by the World Bank with the support and collaboration of the Borrower in the preparation of the Program. The proposed </w:t>
      </w:r>
      <w:r w:rsidR="00FE4DD8">
        <w:rPr>
          <w:rFonts w:ascii="Times New Roman" w:hAnsi="Times New Roman"/>
        </w:rPr>
        <w:t>P</w:t>
      </w:r>
      <w:r w:rsidR="00B414A9">
        <w:rPr>
          <w:rFonts w:ascii="Times New Roman" w:hAnsi="Times New Roman"/>
        </w:rPr>
        <w:t>f</w:t>
      </w:r>
      <w:r w:rsidR="00896ECE">
        <w:rPr>
          <w:rFonts w:ascii="Times New Roman" w:hAnsi="Times New Roman"/>
        </w:rPr>
        <w:t>or</w:t>
      </w:r>
      <w:r w:rsidR="00FE4DD8">
        <w:rPr>
          <w:rFonts w:ascii="Times New Roman" w:hAnsi="Times New Roman"/>
        </w:rPr>
        <w:t>R</w:t>
      </w:r>
      <w:r w:rsidRPr="00BC7BB5">
        <w:rPr>
          <w:rFonts w:ascii="Times New Roman" w:hAnsi="Times New Roman"/>
        </w:rPr>
        <w:t xml:space="preserve"> instrument, is part of the implementation of the second phase of the government’s Plan Maroc Vert and is aimed at </w:t>
      </w:r>
      <w:r w:rsidRPr="00BC7BB5">
        <w:rPr>
          <w:rFonts w:ascii="Times New Roman" w:hAnsi="Times New Roman" w:cs="Times New Roman"/>
          <w:color w:val="000000" w:themeColor="text1"/>
        </w:rPr>
        <w:t>increasing the volume of added-value products commercialized in selected agri-food value chains in the Program area</w:t>
      </w:r>
      <w:r w:rsidRPr="00BC7BB5">
        <w:rPr>
          <w:rFonts w:ascii="Times New Roman" w:hAnsi="Times New Roman"/>
        </w:rPr>
        <w:t>.</w:t>
      </w:r>
    </w:p>
    <w:p w14:paraId="7A6F7E75" w14:textId="77777777" w:rsidR="00BD32FD" w:rsidRPr="00BC7BB5" w:rsidRDefault="00BD32FD" w:rsidP="00BD32FD">
      <w:pPr>
        <w:pStyle w:val="Style7"/>
        <w:numPr>
          <w:ilvl w:val="0"/>
          <w:numId w:val="0"/>
        </w:numPr>
        <w:spacing w:line="240" w:lineRule="auto"/>
        <w:rPr>
          <w:rFonts w:ascii="Times New Roman" w:hAnsi="Times New Roman" w:cs="Times New Roman"/>
        </w:rPr>
      </w:pPr>
    </w:p>
    <w:p w14:paraId="225338D4" w14:textId="7209F38C" w:rsidR="00BD32FD" w:rsidRPr="00A254D1" w:rsidRDefault="00A254D1" w:rsidP="00BD32FD">
      <w:pPr>
        <w:spacing w:line="240" w:lineRule="auto"/>
        <w:rPr>
          <w:rFonts w:ascii="Times New Roman" w:hAnsi="Times New Roman" w:cs="Times New Roman"/>
          <w:b/>
          <w:bCs/>
          <w:i/>
        </w:rPr>
      </w:pPr>
      <w:r w:rsidRPr="00A254D1">
        <w:rPr>
          <w:rFonts w:ascii="Times New Roman" w:hAnsi="Times New Roman" w:cs="Times New Roman"/>
          <w:b/>
          <w:bCs/>
          <w:i/>
        </w:rPr>
        <w:t>Objectives and Approach of</w:t>
      </w:r>
      <w:r>
        <w:rPr>
          <w:rFonts w:ascii="Times New Roman" w:hAnsi="Times New Roman" w:cs="Times New Roman"/>
          <w:b/>
          <w:bCs/>
          <w:i/>
        </w:rPr>
        <w:t xml:space="preserve"> t</w:t>
      </w:r>
      <w:r w:rsidRPr="00A254D1">
        <w:rPr>
          <w:rFonts w:ascii="Times New Roman" w:hAnsi="Times New Roman" w:cs="Times New Roman"/>
          <w:b/>
          <w:bCs/>
          <w:i/>
        </w:rPr>
        <w:t>he ESSA</w:t>
      </w:r>
    </w:p>
    <w:p w14:paraId="441611C9" w14:textId="00455F54" w:rsidR="00BD32FD" w:rsidRPr="00BC7BB5" w:rsidRDefault="00BD32FD" w:rsidP="00BD32FD">
      <w:pPr>
        <w:pStyle w:val="Style7"/>
        <w:spacing w:line="240" w:lineRule="auto"/>
        <w:ind w:left="0" w:firstLine="0"/>
        <w:rPr>
          <w:rFonts w:ascii="Times New Roman" w:hAnsi="Times New Roman" w:cs="Times New Roman"/>
        </w:rPr>
      </w:pPr>
      <w:r w:rsidRPr="00BC7BB5">
        <w:rPr>
          <w:rFonts w:ascii="Times New Roman" w:hAnsi="Times New Roman"/>
        </w:rPr>
        <w:t xml:space="preserve">The ESSA analyzes the compatibility of the Program’s systems with the requirements of the World Bank’s Policy </w:t>
      </w:r>
      <w:r w:rsidR="0007765B">
        <w:rPr>
          <w:rFonts w:ascii="Times New Roman" w:hAnsi="Times New Roman"/>
        </w:rPr>
        <w:t>and Directive on</w:t>
      </w:r>
      <w:r w:rsidRPr="00BC7BB5">
        <w:rPr>
          <w:rFonts w:ascii="Times New Roman" w:hAnsi="Times New Roman"/>
        </w:rPr>
        <w:t xml:space="preserve"> </w:t>
      </w:r>
      <w:r w:rsidR="00FE4DD8">
        <w:rPr>
          <w:rFonts w:ascii="Times New Roman" w:hAnsi="Times New Roman"/>
        </w:rPr>
        <w:t>P</w:t>
      </w:r>
      <w:r w:rsidR="0007765B">
        <w:rPr>
          <w:rFonts w:ascii="Times New Roman" w:hAnsi="Times New Roman"/>
        </w:rPr>
        <w:t>f</w:t>
      </w:r>
      <w:r w:rsidR="00896ECE">
        <w:rPr>
          <w:rFonts w:ascii="Times New Roman" w:hAnsi="Times New Roman"/>
        </w:rPr>
        <w:t>or</w:t>
      </w:r>
      <w:r w:rsidR="00FE4DD8">
        <w:rPr>
          <w:rFonts w:ascii="Times New Roman" w:hAnsi="Times New Roman"/>
        </w:rPr>
        <w:t>R</w:t>
      </w:r>
      <w:r w:rsidRPr="00BC7BB5">
        <w:rPr>
          <w:rFonts w:ascii="Times New Roman" w:hAnsi="Times New Roman"/>
        </w:rPr>
        <w:t xml:space="preserve"> </w:t>
      </w:r>
      <w:r w:rsidR="0007765B">
        <w:rPr>
          <w:rFonts w:ascii="Times New Roman" w:hAnsi="Times New Roman"/>
        </w:rPr>
        <w:t>F</w:t>
      </w:r>
      <w:r w:rsidRPr="00BC7BB5">
        <w:rPr>
          <w:rFonts w:ascii="Times New Roman" w:hAnsi="Times New Roman"/>
        </w:rPr>
        <w:t xml:space="preserve">inancing, with regards to the following components: (i) laws, regulations, procedures, etc. (the “system as defined”); and (ii) the capacity of the institutions of the Program to effectively implement the systems (the “system as it is applied in practice”). It identifies and analyzes the gaps between national systems and the basic principles applying to the Program, and recommends actions for improvement aimed at the compatibility of environmental and social management systems with the requirements of the World Bank’s Policy </w:t>
      </w:r>
      <w:r w:rsidR="0007765B">
        <w:rPr>
          <w:rFonts w:ascii="Times New Roman" w:hAnsi="Times New Roman"/>
        </w:rPr>
        <w:t>and Directive</w:t>
      </w:r>
      <w:r w:rsidRPr="00BC7BB5">
        <w:rPr>
          <w:rFonts w:ascii="Times New Roman" w:hAnsi="Times New Roman"/>
        </w:rPr>
        <w:t>.</w:t>
      </w:r>
    </w:p>
    <w:p w14:paraId="1DB51BF8" w14:textId="77777777" w:rsidR="00BD32FD" w:rsidRPr="00BC7BB5" w:rsidRDefault="00BD32FD" w:rsidP="00BD32FD">
      <w:pPr>
        <w:pStyle w:val="Style7"/>
        <w:numPr>
          <w:ilvl w:val="0"/>
          <w:numId w:val="0"/>
        </w:numPr>
        <w:spacing w:line="240" w:lineRule="auto"/>
        <w:rPr>
          <w:rFonts w:ascii="Times New Roman" w:hAnsi="Times New Roman" w:cs="Times New Roman"/>
        </w:rPr>
      </w:pPr>
    </w:p>
    <w:p w14:paraId="47FECBAA" w14:textId="3C0037D6" w:rsidR="00BD32FD" w:rsidRPr="00BC7BB5" w:rsidRDefault="00BD32FD" w:rsidP="00BD32FD">
      <w:pPr>
        <w:pStyle w:val="Style7"/>
        <w:spacing w:line="240" w:lineRule="auto"/>
        <w:ind w:left="0" w:firstLine="0"/>
        <w:rPr>
          <w:rFonts w:ascii="Times New Roman" w:hAnsi="Times New Roman" w:cs="Times New Roman"/>
        </w:rPr>
      </w:pPr>
      <w:r w:rsidRPr="00BC7BB5">
        <w:rPr>
          <w:rFonts w:ascii="Times New Roman" w:hAnsi="Times New Roman"/>
        </w:rPr>
        <w:t>The preparation of the ESSA and the development of measures to strengthen the environmental and social management system</w:t>
      </w:r>
      <w:r w:rsidR="0007765B">
        <w:rPr>
          <w:rFonts w:ascii="Times New Roman" w:hAnsi="Times New Roman"/>
        </w:rPr>
        <w:t>s</w:t>
      </w:r>
      <w:r w:rsidRPr="00BC7BB5">
        <w:rPr>
          <w:rFonts w:ascii="Times New Roman" w:hAnsi="Times New Roman"/>
        </w:rPr>
        <w:t xml:space="preserve"> benefited from various sources of information and an extensive consultation process, including: interviews and field visits; a review of the documentation; and consultation meetings with the various stakeholders involved in the Program. Th</w:t>
      </w:r>
      <w:r w:rsidR="0007765B">
        <w:rPr>
          <w:rFonts w:ascii="Times New Roman" w:hAnsi="Times New Roman"/>
        </w:rPr>
        <w:t>e draft ESSA</w:t>
      </w:r>
      <w:r w:rsidRPr="00BC7BB5">
        <w:rPr>
          <w:rFonts w:ascii="Times New Roman" w:hAnsi="Times New Roman"/>
        </w:rPr>
        <w:t xml:space="preserve"> was presented and discussed with the various actors and stakeholders during an extensive public consultation on October 6, 2017. Subsequently, it </w:t>
      </w:r>
      <w:r w:rsidR="0007765B">
        <w:rPr>
          <w:rFonts w:ascii="Times New Roman" w:hAnsi="Times New Roman"/>
        </w:rPr>
        <w:t>was</w:t>
      </w:r>
      <w:r w:rsidRPr="00BC7BB5">
        <w:rPr>
          <w:rFonts w:ascii="Times New Roman" w:hAnsi="Times New Roman"/>
        </w:rPr>
        <w:t xml:space="preserve"> disseminated and published in order to collect and take into consideration the comments and opinions of the different stakeholders. The final report of the ESSA </w:t>
      </w:r>
      <w:r w:rsidR="00B414A9">
        <w:rPr>
          <w:rFonts w:ascii="Times New Roman" w:hAnsi="Times New Roman"/>
        </w:rPr>
        <w:t>was</w:t>
      </w:r>
      <w:r w:rsidRPr="00BC7BB5">
        <w:rPr>
          <w:rFonts w:ascii="Times New Roman" w:hAnsi="Times New Roman"/>
        </w:rPr>
        <w:t xml:space="preserve"> publicly released on the World Bank’s website and on the website of the Ministry of Agriculture, Marine Fisheries, Rural Development, Water and Forests (MAPMDREF)</w:t>
      </w:r>
      <w:r w:rsidR="00B414A9">
        <w:rPr>
          <w:rFonts w:ascii="Times New Roman" w:hAnsi="Times New Roman"/>
        </w:rPr>
        <w:t xml:space="preserve"> on November 17, 2017</w:t>
      </w:r>
      <w:r w:rsidRPr="00BC7BB5">
        <w:rPr>
          <w:rFonts w:ascii="Times New Roman" w:hAnsi="Times New Roman"/>
        </w:rPr>
        <w:t>.</w:t>
      </w:r>
    </w:p>
    <w:p w14:paraId="14D8190B" w14:textId="77777777" w:rsidR="00BD32FD" w:rsidRPr="00BC7BB5" w:rsidRDefault="00BD32FD" w:rsidP="00BD32FD">
      <w:pPr>
        <w:pStyle w:val="Style7"/>
        <w:numPr>
          <w:ilvl w:val="0"/>
          <w:numId w:val="0"/>
        </w:numPr>
        <w:spacing w:line="240" w:lineRule="auto"/>
        <w:ind w:left="720" w:hanging="360"/>
        <w:rPr>
          <w:rFonts w:ascii="Times New Roman" w:hAnsi="Times New Roman" w:cs="Times New Roman"/>
        </w:rPr>
      </w:pPr>
    </w:p>
    <w:p w14:paraId="41457E22" w14:textId="38A4E7D4" w:rsidR="00BD32FD" w:rsidRPr="00A254D1" w:rsidRDefault="00A254D1" w:rsidP="00BD32FD">
      <w:pPr>
        <w:spacing w:line="240" w:lineRule="auto"/>
        <w:rPr>
          <w:rFonts w:ascii="Times New Roman" w:hAnsi="Times New Roman" w:cs="Times New Roman"/>
          <w:b/>
          <w:bCs/>
          <w:i/>
        </w:rPr>
      </w:pPr>
      <w:r w:rsidRPr="00A254D1">
        <w:rPr>
          <w:rFonts w:ascii="Times New Roman" w:hAnsi="Times New Roman" w:cs="Times New Roman"/>
          <w:b/>
          <w:bCs/>
          <w:i/>
        </w:rPr>
        <w:t>General Presentation of</w:t>
      </w:r>
      <w:r>
        <w:rPr>
          <w:rFonts w:ascii="Times New Roman" w:hAnsi="Times New Roman" w:cs="Times New Roman"/>
          <w:b/>
          <w:bCs/>
          <w:i/>
        </w:rPr>
        <w:t xml:space="preserve"> t</w:t>
      </w:r>
      <w:r w:rsidRPr="00A254D1">
        <w:rPr>
          <w:rFonts w:ascii="Times New Roman" w:hAnsi="Times New Roman" w:cs="Times New Roman"/>
          <w:b/>
          <w:bCs/>
          <w:i/>
        </w:rPr>
        <w:t>he Program</w:t>
      </w:r>
    </w:p>
    <w:p w14:paraId="28AB1207" w14:textId="73D22CE4" w:rsidR="00BD32FD" w:rsidRPr="00BC7BB5" w:rsidRDefault="00BD32FD" w:rsidP="00A254D1">
      <w:pPr>
        <w:pStyle w:val="Style7"/>
        <w:spacing w:line="240" w:lineRule="auto"/>
        <w:ind w:left="0" w:firstLine="0"/>
        <w:rPr>
          <w:rFonts w:asciiTheme="majorBidi" w:hAnsiTheme="majorBidi"/>
        </w:rPr>
      </w:pPr>
      <w:r w:rsidRPr="00BC7BB5">
        <w:rPr>
          <w:b/>
          <w:bCs/>
        </w:rPr>
        <w:t xml:space="preserve"> </w:t>
      </w:r>
      <w:r w:rsidRPr="00BC7BB5">
        <w:rPr>
          <w:rFonts w:asciiTheme="majorBidi" w:hAnsiTheme="majorBidi"/>
        </w:rPr>
        <w:t>The Pro</w:t>
      </w:r>
      <w:r w:rsidR="00B27FC6">
        <w:rPr>
          <w:rFonts w:asciiTheme="majorBidi" w:hAnsiTheme="majorBidi"/>
        </w:rPr>
        <w:t>gram</w:t>
      </w:r>
      <w:r w:rsidRPr="00BC7BB5">
        <w:rPr>
          <w:rFonts w:asciiTheme="majorBidi" w:hAnsiTheme="majorBidi"/>
        </w:rPr>
        <w:t xml:space="preserve"> Development Objective (PDO) is to </w:t>
      </w:r>
      <w:r w:rsidRPr="00BC7BB5">
        <w:rPr>
          <w:rFonts w:ascii="Times New Roman" w:hAnsi="Times New Roman" w:cs="Times New Roman"/>
          <w:color w:val="000000" w:themeColor="text1"/>
        </w:rPr>
        <w:t>increase the volume of added-value products commercialized in selected agri-food value chains in the Program area</w:t>
      </w:r>
      <w:r w:rsidRPr="00BC7BB5">
        <w:rPr>
          <w:rFonts w:asciiTheme="majorBidi" w:hAnsiTheme="majorBidi"/>
        </w:rPr>
        <w:t xml:space="preserve">.  </w:t>
      </w:r>
    </w:p>
    <w:p w14:paraId="45DF6657" w14:textId="77777777" w:rsidR="00BD32FD" w:rsidRPr="00BC7BB5" w:rsidRDefault="00BD32FD" w:rsidP="00BD32FD">
      <w:pPr>
        <w:pStyle w:val="Style7"/>
        <w:numPr>
          <w:ilvl w:val="0"/>
          <w:numId w:val="0"/>
        </w:numPr>
        <w:spacing w:line="240" w:lineRule="auto"/>
        <w:rPr>
          <w:rFonts w:asciiTheme="majorBidi" w:hAnsiTheme="majorBidi"/>
        </w:rPr>
      </w:pPr>
    </w:p>
    <w:p w14:paraId="2666029B" w14:textId="77777777" w:rsidR="00BD32FD" w:rsidRPr="00BC7BB5" w:rsidRDefault="00BD32FD" w:rsidP="00BD32FD">
      <w:pPr>
        <w:pStyle w:val="Style7"/>
        <w:spacing w:line="240" w:lineRule="auto"/>
        <w:rPr>
          <w:rFonts w:asciiTheme="majorBidi" w:hAnsiTheme="majorBidi"/>
        </w:rPr>
      </w:pPr>
      <w:r w:rsidRPr="00BC7BB5">
        <w:rPr>
          <w:rFonts w:asciiTheme="majorBidi" w:hAnsiTheme="majorBidi"/>
        </w:rPr>
        <w:t>The proposed Program includes two result areas that comprise the following activities:</w:t>
      </w:r>
    </w:p>
    <w:p w14:paraId="09BC9873" w14:textId="77777777" w:rsidR="00A6265D" w:rsidRDefault="00A6265D" w:rsidP="00BD32FD">
      <w:pPr>
        <w:pStyle w:val="NoSpacing"/>
        <w:jc w:val="both"/>
        <w:rPr>
          <w:rFonts w:ascii="Times New Roman" w:hAnsi="Times New Roman" w:cs="Times New Roman"/>
          <w:b/>
        </w:rPr>
      </w:pPr>
    </w:p>
    <w:p w14:paraId="422B0258" w14:textId="2BE19FCF" w:rsidR="00BD32FD" w:rsidRPr="00BC7BB5" w:rsidRDefault="00BD32FD" w:rsidP="00F561E8">
      <w:pPr>
        <w:pStyle w:val="NoSpacing"/>
        <w:numPr>
          <w:ilvl w:val="0"/>
          <w:numId w:val="52"/>
        </w:numPr>
        <w:jc w:val="both"/>
        <w:rPr>
          <w:rFonts w:ascii="Times New Roman" w:hAnsi="Times New Roman" w:cs="Times New Roman"/>
        </w:rPr>
      </w:pPr>
      <w:r w:rsidRPr="00BC7BB5">
        <w:rPr>
          <w:rFonts w:ascii="Times New Roman" w:hAnsi="Times New Roman" w:cs="Times New Roman"/>
          <w:b/>
        </w:rPr>
        <w:t>Result Area 1 – Increased market efficiency and integration</w:t>
      </w:r>
      <w:r w:rsidRPr="00BC7BB5">
        <w:rPr>
          <w:rFonts w:ascii="Times New Roman" w:hAnsi="Times New Roman" w:cs="Times New Roman"/>
        </w:rPr>
        <w:t xml:space="preserve">. </w:t>
      </w:r>
      <w:r w:rsidRPr="00BC7BB5">
        <w:rPr>
          <w:rFonts w:ascii="Times New Roman" w:hAnsi="Times New Roman" w:cs="Times New Roman"/>
          <w:color w:val="000000" w:themeColor="text1"/>
        </w:rPr>
        <w:t>Result area 1 aims at improving market efficiency and transparency, and facilitating the integration of small and medium producers and enterprises with modern value-chains.</w:t>
      </w:r>
      <w:r w:rsidRPr="00BC7BB5">
        <w:rPr>
          <w:rFonts w:ascii="Times New Roman" w:hAnsi="Times New Roman" w:cs="Times New Roman"/>
          <w:b/>
          <w:color w:val="000000" w:themeColor="text1"/>
        </w:rPr>
        <w:t xml:space="preserve"> </w:t>
      </w:r>
      <w:r w:rsidRPr="00BC7BB5">
        <w:rPr>
          <w:rFonts w:ascii="Times New Roman" w:hAnsi="Times New Roman" w:cs="Times New Roman"/>
          <w:color w:val="000000" w:themeColor="text1"/>
        </w:rPr>
        <w:t>The proposed Program would support the following four sub-programs of the PMV in order to reach that objective:</w:t>
      </w:r>
      <w:r w:rsidRPr="00BC7BB5">
        <w:rPr>
          <w:rFonts w:ascii="Times New Roman" w:hAnsi="Times New Roman" w:cs="Times New Roman"/>
          <w:b/>
          <w:color w:val="000000" w:themeColor="text1"/>
        </w:rPr>
        <w:t xml:space="preserve"> </w:t>
      </w:r>
    </w:p>
    <w:p w14:paraId="0705C144" w14:textId="77777777" w:rsidR="00BD32FD" w:rsidRPr="00BC7BB5" w:rsidRDefault="00BD32FD" w:rsidP="00BD32FD">
      <w:pPr>
        <w:pStyle w:val="NoSpacing"/>
        <w:ind w:left="720"/>
        <w:jc w:val="both"/>
        <w:rPr>
          <w:rFonts w:ascii="Times New Roman" w:hAnsi="Times New Roman" w:cs="Times New Roman"/>
        </w:rPr>
      </w:pPr>
    </w:p>
    <w:p w14:paraId="02D3F246" w14:textId="32E258B7" w:rsidR="00BD32FD" w:rsidRPr="00BC7BB5" w:rsidRDefault="00BD32FD" w:rsidP="00F561E8">
      <w:pPr>
        <w:pStyle w:val="NoSpacing"/>
        <w:numPr>
          <w:ilvl w:val="0"/>
          <w:numId w:val="53"/>
        </w:numPr>
        <w:jc w:val="both"/>
        <w:rPr>
          <w:rFonts w:ascii="Times New Roman" w:hAnsi="Times New Roman" w:cs="Times New Roman"/>
        </w:rPr>
      </w:pPr>
      <w:r w:rsidRPr="00BC7BB5">
        <w:rPr>
          <w:rFonts w:ascii="Times New Roman" w:hAnsi="Times New Roman" w:cs="Times New Roman"/>
          <w:i/>
          <w:color w:val="000000" w:themeColor="text1"/>
        </w:rPr>
        <w:t>Strengthening the interprofessions</w:t>
      </w:r>
      <w:r w:rsidRPr="00BC7BB5">
        <w:rPr>
          <w:rFonts w:ascii="Times New Roman" w:hAnsi="Times New Roman" w:cs="Times New Roman"/>
          <w:color w:val="000000" w:themeColor="text1"/>
        </w:rPr>
        <w:t>.</w:t>
      </w:r>
      <w:r w:rsidRPr="00BC7BB5">
        <w:rPr>
          <w:rFonts w:ascii="Times New Roman" w:hAnsi="Times New Roman" w:cs="Times New Roman"/>
        </w:rPr>
        <w:t xml:space="preserve"> </w:t>
      </w:r>
      <w:r w:rsidR="000D4198" w:rsidRPr="00BC7BB5">
        <w:rPr>
          <w:rFonts w:ascii="Times New Roman" w:hAnsi="Times New Roman" w:cs="Times New Roman"/>
          <w:color w:val="000000" w:themeColor="text1"/>
        </w:rPr>
        <w:t>The Program would provide technical and financial support to strengthen the capacity of at least two interprofessions (Maroc Citrus and Interprolive) so as to enable them to carry out their missions under Law 03-12 and to become effective and inclusive platforms for intra-branch coordination and public-private dialogue. Program activities would focus on the preparation of their respective business plans (specifically covering: revenue mobilization and sustainability</w:t>
      </w:r>
      <w:r w:rsidR="000D4198">
        <w:rPr>
          <w:rFonts w:ascii="Times New Roman" w:hAnsi="Times New Roman" w:cs="Times New Roman"/>
          <w:color w:val="000000" w:themeColor="text1"/>
        </w:rPr>
        <w:t>,</w:t>
      </w:r>
      <w:r w:rsidR="000D4198" w:rsidRPr="00BC7BB5">
        <w:rPr>
          <w:rFonts w:ascii="Times New Roman" w:hAnsi="Times New Roman" w:cs="Times New Roman"/>
          <w:color w:val="000000" w:themeColor="text1"/>
        </w:rPr>
        <w:t xml:space="preserve"> including through the </w:t>
      </w:r>
      <w:r w:rsidR="000D4198">
        <w:rPr>
          <w:rFonts w:ascii="Times New Roman" w:hAnsi="Times New Roman" w:cs="Times New Roman"/>
          <w:color w:val="000000" w:themeColor="text1"/>
        </w:rPr>
        <w:t>adoption</w:t>
      </w:r>
      <w:r w:rsidR="000D4198" w:rsidRPr="00BC7BB5">
        <w:rPr>
          <w:rFonts w:ascii="Times New Roman" w:hAnsi="Times New Roman" w:cs="Times New Roman"/>
          <w:color w:val="000000" w:themeColor="text1"/>
        </w:rPr>
        <w:t xml:space="preserve"> of intra-branch financing agreements for each interprofession</w:t>
      </w:r>
      <w:r w:rsidR="000D4198">
        <w:rPr>
          <w:rFonts w:ascii="Times New Roman" w:hAnsi="Times New Roman" w:cs="Times New Roman"/>
          <w:color w:val="000000" w:themeColor="text1"/>
        </w:rPr>
        <w:t xml:space="preserve"> – </w:t>
      </w:r>
      <w:r w:rsidR="000D4198" w:rsidRPr="006949C7">
        <w:rPr>
          <w:rFonts w:ascii="Times New Roman" w:hAnsi="Times New Roman" w:cs="Times New Roman"/>
          <w:i/>
          <w:color w:val="000000" w:themeColor="text1"/>
        </w:rPr>
        <w:t>Accords interprofessionnels</w:t>
      </w:r>
      <w:r w:rsidR="000D4198" w:rsidRPr="00BC7BB5">
        <w:rPr>
          <w:rFonts w:ascii="Times New Roman" w:hAnsi="Times New Roman" w:cs="Times New Roman"/>
          <w:color w:val="000000" w:themeColor="text1"/>
        </w:rPr>
        <w:t xml:space="preserve">, </w:t>
      </w:r>
      <w:r w:rsidR="000D4198">
        <w:rPr>
          <w:rFonts w:ascii="Times New Roman" w:hAnsi="Times New Roman" w:cs="Times New Roman"/>
          <w:color w:val="000000" w:themeColor="text1"/>
        </w:rPr>
        <w:t xml:space="preserve">- </w:t>
      </w:r>
      <w:r w:rsidR="000D4198" w:rsidRPr="00BC7BB5">
        <w:rPr>
          <w:rFonts w:ascii="Times New Roman" w:hAnsi="Times New Roman" w:cs="Times New Roman"/>
          <w:color w:val="000000" w:themeColor="text1"/>
        </w:rPr>
        <w:t>strategic activities, improvement of representativeness and capacity building) and financing the subsequent execution of those business plans</w:t>
      </w:r>
      <w:r w:rsidRPr="00BC7BB5">
        <w:rPr>
          <w:rFonts w:ascii="Times New Roman" w:hAnsi="Times New Roman" w:cs="Times New Roman"/>
          <w:color w:val="000000" w:themeColor="text1"/>
        </w:rPr>
        <w:t>;</w:t>
      </w:r>
    </w:p>
    <w:p w14:paraId="18020D1F" w14:textId="7AD5F583" w:rsidR="00BD32FD" w:rsidRPr="00BC7BB5" w:rsidRDefault="00BD32FD" w:rsidP="00F561E8">
      <w:pPr>
        <w:pStyle w:val="NoSpacing"/>
        <w:numPr>
          <w:ilvl w:val="0"/>
          <w:numId w:val="53"/>
        </w:numPr>
        <w:jc w:val="both"/>
        <w:rPr>
          <w:rFonts w:ascii="Times New Roman" w:hAnsi="Times New Roman" w:cs="Times New Roman"/>
        </w:rPr>
      </w:pPr>
      <w:r w:rsidRPr="00BC7BB5">
        <w:rPr>
          <w:rFonts w:ascii="Times New Roman" w:hAnsi="Times New Roman" w:cs="Times New Roman"/>
          <w:i/>
          <w:color w:val="000000" w:themeColor="text1"/>
        </w:rPr>
        <w:lastRenderedPageBreak/>
        <w:t>Support</w:t>
      </w:r>
      <w:r w:rsidR="0007765B">
        <w:rPr>
          <w:rFonts w:ascii="Times New Roman" w:hAnsi="Times New Roman" w:cs="Times New Roman"/>
          <w:i/>
          <w:color w:val="000000" w:themeColor="text1"/>
        </w:rPr>
        <w:t>ing</w:t>
      </w:r>
      <w:r w:rsidRPr="00BC7BB5">
        <w:rPr>
          <w:rFonts w:ascii="Times New Roman" w:hAnsi="Times New Roman" w:cs="Times New Roman"/>
          <w:i/>
          <w:color w:val="000000" w:themeColor="text1"/>
        </w:rPr>
        <w:t xml:space="preserve"> the integration of small and medium producers </w:t>
      </w:r>
      <w:r w:rsidR="00D23364">
        <w:rPr>
          <w:rFonts w:ascii="Times New Roman" w:hAnsi="Times New Roman" w:cs="Times New Roman"/>
          <w:i/>
          <w:color w:val="000000" w:themeColor="text1"/>
        </w:rPr>
        <w:t>and</w:t>
      </w:r>
      <w:r w:rsidRPr="00BC7BB5">
        <w:rPr>
          <w:rFonts w:ascii="Times New Roman" w:hAnsi="Times New Roman" w:cs="Times New Roman"/>
          <w:i/>
          <w:color w:val="000000" w:themeColor="text1"/>
        </w:rPr>
        <w:t xml:space="preserve"> markets</w:t>
      </w:r>
      <w:r w:rsidR="00604A44">
        <w:rPr>
          <w:rFonts w:ascii="Times New Roman" w:hAnsi="Times New Roman" w:cs="Times New Roman"/>
          <w:color w:val="000000" w:themeColor="text1"/>
        </w:rPr>
        <w:t xml:space="preserve">. </w:t>
      </w:r>
      <w:r w:rsidR="000D4198" w:rsidRPr="00BC7BB5">
        <w:rPr>
          <w:rFonts w:ascii="Times New Roman" w:hAnsi="Times New Roman" w:cs="Times New Roman"/>
          <w:color w:val="000000" w:themeColor="text1"/>
        </w:rPr>
        <w:t>The Program would support adjustments to existing PMV instruments for the promotion of private investment with a view to improving their structuring impact on selected value chains</w:t>
      </w:r>
      <w:r w:rsidR="000D4198">
        <w:rPr>
          <w:rFonts w:ascii="Times New Roman" w:hAnsi="Times New Roman" w:cs="Times New Roman"/>
          <w:color w:val="000000" w:themeColor="text1"/>
        </w:rPr>
        <w:t>,</w:t>
      </w:r>
      <w:r w:rsidR="000D4198" w:rsidRPr="00BC7BB5">
        <w:rPr>
          <w:rFonts w:ascii="Times New Roman" w:hAnsi="Times New Roman" w:cs="Times New Roman"/>
          <w:color w:val="000000" w:themeColor="text1"/>
        </w:rPr>
        <w:t xml:space="preserve"> as well as better inclusion of and access to finance for small and medium producers and enterprises, including</w:t>
      </w:r>
      <w:r w:rsidR="000D4198">
        <w:rPr>
          <w:rFonts w:ascii="Times New Roman" w:hAnsi="Times New Roman" w:cs="Times New Roman"/>
          <w:color w:val="000000" w:themeColor="text1"/>
        </w:rPr>
        <w:t>:</w:t>
      </w:r>
      <w:r w:rsidR="000D4198" w:rsidRPr="00BC7BB5">
        <w:rPr>
          <w:rFonts w:ascii="Times New Roman" w:hAnsi="Times New Roman" w:cs="Times New Roman"/>
          <w:color w:val="000000" w:themeColor="text1"/>
        </w:rPr>
        <w:t xml:space="preserve"> (i) the amendment of </w:t>
      </w:r>
      <w:r w:rsidR="000D4198">
        <w:rPr>
          <w:rFonts w:ascii="Times New Roman" w:hAnsi="Times New Roman" w:cs="Times New Roman"/>
          <w:color w:val="000000" w:themeColor="text1"/>
        </w:rPr>
        <w:t xml:space="preserve">the </w:t>
      </w:r>
      <w:r w:rsidR="000D4198" w:rsidRPr="00BC7BB5">
        <w:rPr>
          <w:rFonts w:ascii="Times New Roman" w:hAnsi="Times New Roman" w:cs="Times New Roman"/>
          <w:color w:val="000000" w:themeColor="text1"/>
        </w:rPr>
        <w:t xml:space="preserve">Law 04-12 on </w:t>
      </w:r>
      <w:r w:rsidR="000D4198">
        <w:rPr>
          <w:rFonts w:ascii="Times New Roman" w:hAnsi="Times New Roman" w:cs="Times New Roman"/>
          <w:color w:val="000000" w:themeColor="text1"/>
        </w:rPr>
        <w:t xml:space="preserve">agricultural </w:t>
      </w:r>
      <w:r w:rsidR="000D4198" w:rsidRPr="00BC7BB5">
        <w:rPr>
          <w:rFonts w:ascii="Times New Roman" w:hAnsi="Times New Roman" w:cs="Times New Roman"/>
          <w:color w:val="000000" w:themeColor="text1"/>
        </w:rPr>
        <w:t xml:space="preserve">aggregation to allow for direct sales of fruit and vegetables from aggregation </w:t>
      </w:r>
      <w:r w:rsidR="000D4198">
        <w:rPr>
          <w:rFonts w:ascii="Times New Roman" w:hAnsi="Times New Roman" w:cs="Times New Roman"/>
          <w:color w:val="000000" w:themeColor="text1"/>
        </w:rPr>
        <w:t>investments</w:t>
      </w:r>
      <w:r w:rsidR="000D4198" w:rsidRPr="00BC7BB5">
        <w:rPr>
          <w:rFonts w:ascii="Times New Roman" w:hAnsi="Times New Roman" w:cs="Times New Roman"/>
          <w:color w:val="000000" w:themeColor="text1"/>
        </w:rPr>
        <w:t xml:space="preserve"> to supermarkets and other modern commercialization platforms</w:t>
      </w:r>
      <w:r w:rsidR="000D4198">
        <w:rPr>
          <w:rFonts w:ascii="Times New Roman" w:hAnsi="Times New Roman" w:cs="Times New Roman"/>
          <w:color w:val="000000" w:themeColor="text1"/>
        </w:rPr>
        <w:t>;</w:t>
      </w:r>
      <w:r w:rsidR="000D4198" w:rsidRPr="00BC7BB5">
        <w:rPr>
          <w:rFonts w:ascii="Times New Roman" w:hAnsi="Times New Roman" w:cs="Times New Roman"/>
          <w:color w:val="000000" w:themeColor="text1"/>
        </w:rPr>
        <w:t xml:space="preserve"> (ii) incentives for </w:t>
      </w:r>
      <w:r w:rsidR="000D4198">
        <w:rPr>
          <w:rFonts w:ascii="Times New Roman" w:hAnsi="Times New Roman" w:cs="Times New Roman"/>
          <w:color w:val="000000" w:themeColor="text1"/>
        </w:rPr>
        <w:t xml:space="preserve">investments in </w:t>
      </w:r>
      <w:r w:rsidR="000D4198" w:rsidRPr="00BC7BB5">
        <w:rPr>
          <w:rFonts w:ascii="Times New Roman" w:hAnsi="Times New Roman" w:cs="Times New Roman"/>
          <w:color w:val="000000" w:themeColor="text1"/>
        </w:rPr>
        <w:t>value-addition</w:t>
      </w:r>
      <w:r w:rsidR="000D4198">
        <w:rPr>
          <w:rFonts w:ascii="Times New Roman" w:hAnsi="Times New Roman" w:cs="Times New Roman"/>
          <w:color w:val="000000" w:themeColor="text1"/>
        </w:rPr>
        <w:t xml:space="preserve"> and support for aggregation</w:t>
      </w:r>
      <w:r w:rsidR="000D4198" w:rsidRPr="00BC7BB5">
        <w:rPr>
          <w:rFonts w:ascii="Times New Roman" w:hAnsi="Times New Roman" w:cs="Times New Roman"/>
          <w:color w:val="000000" w:themeColor="text1"/>
        </w:rPr>
        <w:t xml:space="preserve"> in the selected value-chains under the FDA</w:t>
      </w:r>
      <w:r w:rsidR="000D4198">
        <w:rPr>
          <w:rFonts w:ascii="Times New Roman" w:hAnsi="Times New Roman" w:cs="Times New Roman"/>
          <w:color w:val="000000" w:themeColor="text1"/>
        </w:rPr>
        <w:t>’s</w:t>
      </w:r>
      <w:r w:rsidR="000D4198" w:rsidRPr="00BC7BB5">
        <w:rPr>
          <w:rFonts w:ascii="Times New Roman" w:hAnsi="Times New Roman" w:cs="Times New Roman"/>
          <w:color w:val="000000" w:themeColor="text1"/>
        </w:rPr>
        <w:fldChar w:fldCharType="begin"/>
      </w:r>
      <w:r w:rsidR="000D4198" w:rsidRPr="00BC7BB5">
        <w:instrText xml:space="preserve"> XE "</w:instrText>
      </w:r>
      <w:r w:rsidR="000D4198" w:rsidRPr="00BC7BB5">
        <w:rPr>
          <w:rFonts w:ascii="Times New Roman" w:hAnsi="Times New Roman" w:cs="Times New Roman"/>
          <w:color w:val="000000" w:themeColor="text1"/>
        </w:rPr>
        <w:instrText>FDA</w:instrText>
      </w:r>
      <w:r w:rsidR="000D4198" w:rsidRPr="00BC7BB5">
        <w:instrText xml:space="preserve">" </w:instrText>
      </w:r>
      <w:r w:rsidR="000D4198" w:rsidRPr="00BC7BB5">
        <w:rPr>
          <w:rFonts w:ascii="Times New Roman" w:hAnsi="Times New Roman" w:cs="Times New Roman"/>
          <w:color w:val="000000" w:themeColor="text1"/>
        </w:rPr>
        <w:fldChar w:fldCharType="end"/>
      </w:r>
      <w:r w:rsidR="000D4198">
        <w:rPr>
          <w:rFonts w:ascii="Times New Roman" w:hAnsi="Times New Roman" w:cs="Times New Roman"/>
          <w:color w:val="000000" w:themeColor="text1"/>
        </w:rPr>
        <w:t xml:space="preserve"> </w:t>
      </w:r>
      <w:r w:rsidR="000D4198" w:rsidRPr="00BC7BB5">
        <w:rPr>
          <w:rFonts w:ascii="Times New Roman" w:hAnsi="Times New Roman" w:cs="Times New Roman"/>
          <w:color w:val="000000" w:themeColor="text1"/>
        </w:rPr>
        <w:t>universal</w:t>
      </w:r>
      <w:r w:rsidR="000D4198">
        <w:rPr>
          <w:rFonts w:ascii="Times New Roman" w:hAnsi="Times New Roman" w:cs="Times New Roman"/>
          <w:color w:val="000000" w:themeColor="text1"/>
        </w:rPr>
        <w:t xml:space="preserve"> support system</w:t>
      </w:r>
      <w:r w:rsidR="000D4198" w:rsidRPr="00BC7BB5">
        <w:rPr>
          <w:rFonts w:ascii="Times New Roman" w:hAnsi="Times New Roman" w:cs="Times New Roman"/>
          <w:color w:val="000000" w:themeColor="text1"/>
        </w:rPr>
        <w:t xml:space="preserve"> following adjusted operational modalities; and (iii) the piloting of a new support mechanism (productive alliances) to support producer groups interested in entering into commercial partnerships with buyers. The proposed Program would initially finance projects in the olive and citrus sub-sectors prepared and implemented following those enhanced operational modalities (support could be extended to other sub-sectors during implementation, subject to further appraisal</w:t>
      </w:r>
      <w:r w:rsidRPr="00BC7BB5">
        <w:rPr>
          <w:rFonts w:ascii="Times New Roman" w:hAnsi="Times New Roman" w:cs="Times New Roman"/>
          <w:color w:val="000000" w:themeColor="text1"/>
        </w:rPr>
        <w:t>);</w:t>
      </w:r>
    </w:p>
    <w:p w14:paraId="21BE1FC1" w14:textId="3C7D24B3" w:rsidR="00BD32FD" w:rsidRPr="00BC7BB5" w:rsidRDefault="00BD32FD" w:rsidP="00F561E8">
      <w:pPr>
        <w:pStyle w:val="NoSpacing"/>
        <w:numPr>
          <w:ilvl w:val="0"/>
          <w:numId w:val="53"/>
        </w:numPr>
        <w:jc w:val="both"/>
        <w:rPr>
          <w:rFonts w:ascii="Times New Roman" w:hAnsi="Times New Roman" w:cs="Times New Roman"/>
        </w:rPr>
      </w:pPr>
      <w:r w:rsidRPr="00BC7BB5">
        <w:rPr>
          <w:rFonts w:ascii="Times New Roman" w:hAnsi="Times New Roman" w:cs="Times New Roman"/>
          <w:i/>
        </w:rPr>
        <w:t>Modernizing the management of wholesale markets</w:t>
      </w:r>
      <w:r w:rsidRPr="00BC7BB5">
        <w:rPr>
          <w:rFonts w:ascii="Times New Roman" w:hAnsi="Times New Roman" w:cs="Times New Roman"/>
          <w:i/>
          <w:color w:val="000000" w:themeColor="text1"/>
        </w:rPr>
        <w:t xml:space="preserve">. </w:t>
      </w:r>
      <w:r w:rsidR="000D4198">
        <w:rPr>
          <w:rFonts w:ascii="Times New Roman" w:hAnsi="Times New Roman" w:cs="Times New Roman"/>
          <w:color w:val="000000" w:themeColor="text1"/>
        </w:rPr>
        <w:t xml:space="preserve">The </w:t>
      </w:r>
      <w:r w:rsidR="000D4198" w:rsidRPr="00BC7BB5">
        <w:rPr>
          <w:rFonts w:ascii="Times New Roman" w:hAnsi="Times New Roman" w:cs="Times New Roman"/>
          <w:color w:val="000000" w:themeColor="text1"/>
        </w:rPr>
        <w:t xml:space="preserve">Program would finance </w:t>
      </w:r>
      <w:r w:rsidR="000D4198">
        <w:rPr>
          <w:rFonts w:ascii="Times New Roman" w:hAnsi="Times New Roman" w:cs="Times New Roman"/>
          <w:color w:val="000000" w:themeColor="text1"/>
        </w:rPr>
        <w:t xml:space="preserve">the construction and operationalization of </w:t>
      </w:r>
      <w:r w:rsidR="000D4198" w:rsidRPr="00BC7BB5">
        <w:rPr>
          <w:rFonts w:ascii="Times New Roman" w:hAnsi="Times New Roman" w:cs="Times New Roman"/>
          <w:color w:val="000000" w:themeColor="text1"/>
        </w:rPr>
        <w:t>at least one new wholesale market and support the establishment of a new management model with a view to improving domestic market efficiency and transparency in the fruit and vegetables sector. The wholesale market with most advanced readiness conditions is that of the Rabat-Salé-Kénitra region</w:t>
      </w:r>
      <w:r w:rsidRPr="00BC7BB5">
        <w:rPr>
          <w:rFonts w:ascii="Times New Roman" w:hAnsi="Times New Roman" w:cs="Times New Roman"/>
          <w:color w:val="000000" w:themeColor="text1"/>
        </w:rPr>
        <w:t xml:space="preserve">. </w:t>
      </w:r>
    </w:p>
    <w:p w14:paraId="15D4F027" w14:textId="6261ABFF" w:rsidR="00BD32FD" w:rsidRPr="00BC7BB5" w:rsidRDefault="00BD32FD" w:rsidP="00F561E8">
      <w:pPr>
        <w:pStyle w:val="NoSpacing"/>
        <w:numPr>
          <w:ilvl w:val="0"/>
          <w:numId w:val="53"/>
        </w:numPr>
        <w:jc w:val="both"/>
        <w:rPr>
          <w:rFonts w:ascii="Times New Roman" w:hAnsi="Times New Roman" w:cs="Times New Roman"/>
        </w:rPr>
      </w:pPr>
      <w:r w:rsidRPr="00BC7BB5">
        <w:rPr>
          <w:rFonts w:ascii="Times New Roman" w:hAnsi="Times New Roman" w:cs="Times New Roman"/>
          <w:i/>
          <w:color w:val="000000" w:themeColor="text1"/>
        </w:rPr>
        <w:t>Improving access to information</w:t>
      </w:r>
      <w:r w:rsidR="00604A44">
        <w:rPr>
          <w:rFonts w:ascii="Times New Roman" w:hAnsi="Times New Roman" w:cs="Times New Roman"/>
          <w:color w:val="000000" w:themeColor="text1"/>
        </w:rPr>
        <w:t xml:space="preserve">. </w:t>
      </w:r>
      <w:r w:rsidR="000D4198" w:rsidRPr="00BC7BB5">
        <w:rPr>
          <w:rFonts w:ascii="Times New Roman" w:hAnsi="Times New Roman" w:cs="Times New Roman"/>
          <w:color w:val="000000" w:themeColor="text1"/>
        </w:rPr>
        <w:t xml:space="preserve">The Program would support MAPMDREF’s efforts to improve the transparency of market information and to make it accessible for small and medium producers, through the modernization of the existing </w:t>
      </w:r>
      <w:r w:rsidR="000D4198" w:rsidRPr="00BC7BB5">
        <w:rPr>
          <w:rFonts w:ascii="Times New Roman" w:hAnsi="Times New Roman" w:cs="Times New Roman"/>
          <w:i/>
          <w:color w:val="000000" w:themeColor="text1"/>
        </w:rPr>
        <w:t>Asaar</w:t>
      </w:r>
      <w:r w:rsidR="000D4198" w:rsidRPr="00BC7BB5">
        <w:rPr>
          <w:rFonts w:ascii="Times New Roman" w:hAnsi="Times New Roman" w:cs="Times New Roman"/>
          <w:color w:val="000000" w:themeColor="text1"/>
        </w:rPr>
        <w:t xml:space="preserve"> market information platform, the strengthening of the market </w:t>
      </w:r>
      <w:r w:rsidR="000D4198">
        <w:rPr>
          <w:rFonts w:ascii="Times New Roman" w:hAnsi="Times New Roman" w:cs="Times New Roman"/>
          <w:color w:val="000000" w:themeColor="text1"/>
        </w:rPr>
        <w:t xml:space="preserve">price </w:t>
      </w:r>
      <w:r w:rsidR="000D4198" w:rsidRPr="00BC7BB5">
        <w:rPr>
          <w:rFonts w:ascii="Times New Roman" w:hAnsi="Times New Roman" w:cs="Times New Roman"/>
          <w:color w:val="000000" w:themeColor="text1"/>
        </w:rPr>
        <w:t xml:space="preserve">analysis unit of the Ministry’s Department of Strategy and Statistics in Casablanca, as well as the </w:t>
      </w:r>
      <w:r w:rsidR="000D4198">
        <w:rPr>
          <w:rFonts w:ascii="Times New Roman" w:hAnsi="Times New Roman" w:cs="Times New Roman"/>
          <w:color w:val="000000" w:themeColor="text1"/>
        </w:rPr>
        <w:t>development</w:t>
      </w:r>
      <w:r w:rsidR="000D4198" w:rsidRPr="00BC7BB5">
        <w:rPr>
          <w:rFonts w:ascii="Times New Roman" w:hAnsi="Times New Roman" w:cs="Times New Roman"/>
          <w:color w:val="000000" w:themeColor="text1"/>
        </w:rPr>
        <w:t xml:space="preserve"> of new ICT tools (mobile apps, SMS, etc.) to </w:t>
      </w:r>
      <w:r w:rsidR="000D4198">
        <w:rPr>
          <w:rFonts w:ascii="Times New Roman" w:hAnsi="Times New Roman" w:cs="Times New Roman"/>
          <w:color w:val="000000" w:themeColor="text1"/>
        </w:rPr>
        <w:t>increase producers and enterprises’ access to information</w:t>
      </w:r>
      <w:r w:rsidRPr="00BC7BB5">
        <w:rPr>
          <w:rFonts w:ascii="Times New Roman" w:hAnsi="Times New Roman" w:cs="Times New Roman"/>
          <w:color w:val="000000" w:themeColor="text1"/>
        </w:rPr>
        <w:t>.</w:t>
      </w:r>
    </w:p>
    <w:p w14:paraId="250DD51F" w14:textId="77777777" w:rsidR="00BD32FD" w:rsidRPr="00BC7BB5" w:rsidRDefault="00BD32FD" w:rsidP="00BD32FD">
      <w:pPr>
        <w:pStyle w:val="NoSpacing"/>
        <w:jc w:val="both"/>
        <w:rPr>
          <w:rFonts w:ascii="Times New Roman" w:hAnsi="Times New Roman" w:cs="Times New Roman"/>
        </w:rPr>
      </w:pPr>
    </w:p>
    <w:p w14:paraId="1EB5CEA5" w14:textId="77777777" w:rsidR="00BD32FD" w:rsidRPr="00BC7BB5" w:rsidRDefault="00BD32FD" w:rsidP="00F561E8">
      <w:pPr>
        <w:pStyle w:val="NoSpacing"/>
        <w:numPr>
          <w:ilvl w:val="0"/>
          <w:numId w:val="52"/>
        </w:numPr>
        <w:jc w:val="both"/>
        <w:rPr>
          <w:rFonts w:ascii="Times New Roman" w:hAnsi="Times New Roman" w:cs="Times New Roman"/>
        </w:rPr>
      </w:pPr>
      <w:r w:rsidRPr="00BC7BB5">
        <w:rPr>
          <w:rFonts w:ascii="Times New Roman" w:hAnsi="Times New Roman" w:cs="Times New Roman"/>
          <w:b/>
        </w:rPr>
        <w:t>Result Area 2 – Improved added-value of agri-food products</w:t>
      </w:r>
      <w:r w:rsidRPr="00BC7BB5">
        <w:rPr>
          <w:rFonts w:ascii="Times New Roman" w:hAnsi="Times New Roman" w:cs="Times New Roman"/>
        </w:rPr>
        <w:t xml:space="preserve">. </w:t>
      </w:r>
      <w:r w:rsidRPr="00BC7BB5">
        <w:rPr>
          <w:rFonts w:ascii="Times New Roman" w:hAnsi="Times New Roman" w:cs="Times New Roman"/>
          <w:color w:val="000000" w:themeColor="text1"/>
        </w:rPr>
        <w:t>Result area 2 aims at improving the added value of agri-food products, including food quality and food safety and sanitary and phytosanitary aspects which have been identified as key constraints for operators in the agri-food sector to meet market demand and to access new market opportunity both domestically and for exports. Result area 2 also aims at improving producers and agribusiness SMEs’ capacity to add-value to their products by increasing their capacity for innovation and their access to marketing and distribution networks, through access to business development services, technical support services and training, and financing for innovation. Four sub-programs would be included:</w:t>
      </w:r>
    </w:p>
    <w:p w14:paraId="3FC55540" w14:textId="77777777" w:rsidR="00BD32FD" w:rsidRPr="00BC7BB5" w:rsidRDefault="00BD32FD" w:rsidP="00BD32FD">
      <w:pPr>
        <w:pStyle w:val="NoSpacing"/>
        <w:ind w:left="1140"/>
        <w:jc w:val="both"/>
        <w:rPr>
          <w:rFonts w:ascii="Times New Roman" w:hAnsi="Times New Roman" w:cs="Times New Roman"/>
        </w:rPr>
      </w:pPr>
    </w:p>
    <w:p w14:paraId="106452C4" w14:textId="1707F93C" w:rsidR="00BD32FD" w:rsidRPr="00BC7BB5" w:rsidRDefault="00BD32FD" w:rsidP="00F561E8">
      <w:pPr>
        <w:pStyle w:val="NoSpacing"/>
        <w:numPr>
          <w:ilvl w:val="0"/>
          <w:numId w:val="54"/>
        </w:numPr>
        <w:jc w:val="both"/>
        <w:rPr>
          <w:rFonts w:ascii="Times New Roman" w:hAnsi="Times New Roman" w:cs="Times New Roman"/>
        </w:rPr>
      </w:pPr>
      <w:r w:rsidRPr="00BC7BB5">
        <w:rPr>
          <w:rFonts w:ascii="Times New Roman" w:hAnsi="Times New Roman" w:cs="Times New Roman"/>
          <w:i/>
        </w:rPr>
        <w:t>Improving food safety.</w:t>
      </w:r>
      <w:r w:rsidRPr="00BC7BB5">
        <w:rPr>
          <w:rFonts w:ascii="Times New Roman" w:hAnsi="Times New Roman" w:cs="Times New Roman"/>
          <w:b/>
        </w:rPr>
        <w:t xml:space="preserve"> </w:t>
      </w:r>
      <w:r w:rsidR="000D4198">
        <w:rPr>
          <w:rFonts w:ascii="Times New Roman" w:hAnsi="Times New Roman" w:cs="Times New Roman"/>
          <w:color w:val="000000" w:themeColor="text1"/>
        </w:rPr>
        <w:t xml:space="preserve">The </w:t>
      </w:r>
      <w:r w:rsidR="000D4198" w:rsidRPr="00BC7BB5">
        <w:rPr>
          <w:rFonts w:ascii="Times New Roman" w:hAnsi="Times New Roman" w:cs="Times New Roman"/>
          <w:color w:val="000000" w:themeColor="text1"/>
        </w:rPr>
        <w:t>Program would</w:t>
      </w:r>
      <w:r w:rsidR="000D4198">
        <w:rPr>
          <w:rFonts w:ascii="Times New Roman" w:hAnsi="Times New Roman" w:cs="Times New Roman"/>
          <w:color w:val="000000" w:themeColor="text1"/>
        </w:rPr>
        <w:t xml:space="preserve"> support: </w:t>
      </w:r>
      <w:r w:rsidR="000D4198" w:rsidRPr="00A422D9">
        <w:rPr>
          <w:rFonts w:ascii="Times New Roman" w:hAnsi="Times New Roman" w:cs="Times New Roman"/>
          <w:color w:val="000000" w:themeColor="text1"/>
        </w:rPr>
        <w:t>(i) the carrying out of a census of agri-food enterprises and the provision of advisory services to private operators regarding compliance with food safety requirements and ONSSA’s approval/authorization criteria and processes; (ii) the strengthening of the capacity of ONSSA to carry out its mandate through the carrying out of the activities described in the POM; (iii) the carrying out of awareness campaigns to inform consumers about food safety; (iv) the establishment of an input register for citrus in the Souss region; and (v) the implementation of the Mediterranean fruit fly</w:t>
      </w:r>
      <w:r w:rsidR="000D4198">
        <w:rPr>
          <w:rFonts w:ascii="Times New Roman" w:hAnsi="Times New Roman" w:cs="Times New Roman"/>
          <w:color w:val="000000" w:themeColor="text1"/>
        </w:rPr>
        <w:t xml:space="preserve"> control program through</w:t>
      </w:r>
      <w:r w:rsidR="000D4198" w:rsidRPr="00A422D9">
        <w:rPr>
          <w:rFonts w:ascii="Times New Roman" w:hAnsi="Times New Roman" w:cs="Times New Roman"/>
          <w:color w:val="000000" w:themeColor="text1"/>
        </w:rPr>
        <w:t xml:space="preserve"> the creation of a new facility for the production of sterile </w:t>
      </w:r>
      <w:r w:rsidR="000D4198" w:rsidRPr="00A422D9">
        <w:rPr>
          <w:rFonts w:ascii="Times New Roman" w:hAnsi="Times New Roman" w:cs="Times New Roman"/>
          <w:i/>
          <w:color w:val="000000" w:themeColor="text1"/>
        </w:rPr>
        <w:t>ceratit</w:t>
      </w:r>
      <w:r w:rsidR="000D4198">
        <w:rPr>
          <w:rFonts w:ascii="Times New Roman" w:hAnsi="Times New Roman" w:cs="Times New Roman"/>
          <w:i/>
          <w:color w:val="000000" w:themeColor="text1"/>
        </w:rPr>
        <w:t>is</w:t>
      </w:r>
      <w:r w:rsidR="000D4198" w:rsidRPr="00A422D9">
        <w:rPr>
          <w:rFonts w:ascii="Times New Roman" w:hAnsi="Times New Roman" w:cs="Times New Roman"/>
          <w:color w:val="000000" w:themeColor="text1"/>
        </w:rPr>
        <w:t xml:space="preserve"> males and the expansion of the areas covered by releases of sterile males</w:t>
      </w:r>
      <w:r w:rsidRPr="00BC7BB5">
        <w:rPr>
          <w:rFonts w:ascii="Times New Roman" w:hAnsi="Times New Roman" w:cs="Times New Roman"/>
          <w:color w:val="000000" w:themeColor="text1"/>
        </w:rPr>
        <w:t>;</w:t>
      </w:r>
    </w:p>
    <w:p w14:paraId="73C7ECDC" w14:textId="404E7E7F" w:rsidR="00BD32FD" w:rsidRPr="00BC7BB5" w:rsidRDefault="00BD32FD" w:rsidP="00F561E8">
      <w:pPr>
        <w:pStyle w:val="NoSpacing"/>
        <w:numPr>
          <w:ilvl w:val="0"/>
          <w:numId w:val="54"/>
        </w:numPr>
        <w:jc w:val="both"/>
        <w:rPr>
          <w:rFonts w:ascii="Times New Roman" w:hAnsi="Times New Roman" w:cs="Times New Roman"/>
        </w:rPr>
      </w:pPr>
      <w:r w:rsidRPr="00BC7BB5">
        <w:rPr>
          <w:rFonts w:ascii="Times New Roman" w:hAnsi="Times New Roman" w:cs="Times New Roman"/>
          <w:i/>
        </w:rPr>
        <w:t>Promoting quality standards and certification systems.</w:t>
      </w:r>
      <w:r w:rsidRPr="00BC7BB5">
        <w:rPr>
          <w:rFonts w:ascii="Times New Roman" w:hAnsi="Times New Roman" w:cs="Times New Roman"/>
        </w:rPr>
        <w:t xml:space="preserve"> </w:t>
      </w:r>
      <w:r w:rsidR="000D4198" w:rsidRPr="00BC7BB5">
        <w:rPr>
          <w:rFonts w:ascii="Times New Roman" w:hAnsi="Times New Roman" w:cs="Times New Roman"/>
          <w:color w:val="000000" w:themeColor="text1"/>
        </w:rPr>
        <w:t xml:space="preserve">The Program would provide technical support to: (i) certify new products under </w:t>
      </w:r>
      <w:r w:rsidR="000D4198" w:rsidRPr="00BC7BB5">
        <w:rPr>
          <w:rFonts w:ascii="Times New Roman" w:hAnsi="Times New Roman" w:cs="Times New Roman"/>
          <w:sz w:val="21"/>
          <w:szCs w:val="21"/>
        </w:rPr>
        <w:t xml:space="preserve">Distinctive Signs of Origin and Quality </w:t>
      </w:r>
      <w:r w:rsidR="000D4198" w:rsidRPr="00BC7BB5">
        <w:rPr>
          <w:rFonts w:ascii="Times New Roman" w:hAnsi="Times New Roman" w:cs="Times New Roman"/>
          <w:color w:val="000000" w:themeColor="text1"/>
        </w:rPr>
        <w:t>schemes (SDOQ</w:t>
      </w:r>
      <w:r w:rsidR="000D4198">
        <w:rPr>
          <w:rFonts w:ascii="Times New Roman" w:hAnsi="Times New Roman" w:cs="Times New Roman"/>
          <w:color w:val="000000" w:themeColor="text1"/>
        </w:rPr>
        <w:fldChar w:fldCharType="begin"/>
      </w:r>
      <w:r w:rsidR="000D4198">
        <w:instrText xml:space="preserve"> XE "</w:instrText>
      </w:r>
      <w:r w:rsidR="000D4198" w:rsidRPr="00FE6D7B">
        <w:rPr>
          <w:rFonts w:ascii="Times New Roman" w:hAnsi="Times New Roman" w:cs="Times New Roman"/>
          <w:color w:val="000000" w:themeColor="text1"/>
        </w:rPr>
        <w:instrText>SDOQ:</w:instrText>
      </w:r>
      <w:r w:rsidR="000D4198" w:rsidRPr="00FE6D7B">
        <w:instrText>Distinctive Signs of Origin and Quality</w:instrText>
      </w:r>
      <w:r w:rsidR="000D4198">
        <w:instrText xml:space="preserve">" </w:instrText>
      </w:r>
      <w:r w:rsidR="000D4198">
        <w:rPr>
          <w:rFonts w:ascii="Times New Roman" w:hAnsi="Times New Roman" w:cs="Times New Roman"/>
          <w:color w:val="000000" w:themeColor="text1"/>
        </w:rPr>
        <w:fldChar w:fldCharType="end"/>
      </w:r>
      <w:r w:rsidR="000D4198" w:rsidRPr="00BC7BB5">
        <w:rPr>
          <w:rFonts w:ascii="Times New Roman" w:hAnsi="Times New Roman" w:cs="Times New Roman"/>
          <w:color w:val="000000" w:themeColor="text1"/>
        </w:rPr>
        <w:t xml:space="preserve">); (ii) help producers and producer groups adopt good practices required to obtain organic certification; and (iii) </w:t>
      </w:r>
      <w:r w:rsidR="000D4198">
        <w:rPr>
          <w:rFonts w:ascii="Times New Roman" w:hAnsi="Times New Roman" w:cs="Times New Roman"/>
          <w:color w:val="000000" w:themeColor="text1"/>
        </w:rPr>
        <w:t>strengthen the</w:t>
      </w:r>
      <w:r w:rsidR="000D4198" w:rsidRPr="00BC7BB5">
        <w:rPr>
          <w:rFonts w:ascii="Times New Roman" w:hAnsi="Times New Roman" w:cs="Times New Roman"/>
          <w:color w:val="000000" w:themeColor="text1"/>
        </w:rPr>
        <w:t xml:space="preserve"> capacity </w:t>
      </w:r>
      <w:r w:rsidR="000D4198">
        <w:rPr>
          <w:rFonts w:ascii="Times New Roman" w:hAnsi="Times New Roman" w:cs="Times New Roman"/>
          <w:color w:val="000000" w:themeColor="text1"/>
        </w:rPr>
        <w:t xml:space="preserve">of producers </w:t>
      </w:r>
      <w:r w:rsidR="000D4198" w:rsidRPr="00BC7BB5">
        <w:rPr>
          <w:rFonts w:ascii="Times New Roman" w:hAnsi="Times New Roman" w:cs="Times New Roman"/>
          <w:color w:val="000000" w:themeColor="text1"/>
        </w:rPr>
        <w:t>of organic and SDOQ-certified produc</w:t>
      </w:r>
      <w:r w:rsidR="000D4198">
        <w:rPr>
          <w:rFonts w:ascii="Times New Roman" w:hAnsi="Times New Roman" w:cs="Times New Roman"/>
          <w:color w:val="000000" w:themeColor="text1"/>
        </w:rPr>
        <w:t>ts</w:t>
      </w:r>
      <w:r w:rsidR="000D4198" w:rsidRPr="00BC7BB5">
        <w:rPr>
          <w:rFonts w:ascii="Times New Roman" w:hAnsi="Times New Roman" w:cs="Times New Roman"/>
          <w:color w:val="000000" w:themeColor="text1"/>
        </w:rPr>
        <w:t xml:space="preserve"> to implement good hygiene practices</w:t>
      </w:r>
      <w:r w:rsidR="000D4198">
        <w:rPr>
          <w:rFonts w:ascii="Times New Roman" w:hAnsi="Times New Roman" w:cs="Times New Roman"/>
          <w:color w:val="000000" w:themeColor="text1"/>
        </w:rPr>
        <w:t>,</w:t>
      </w:r>
      <w:r w:rsidR="000D4198" w:rsidRPr="00BC7BB5">
        <w:rPr>
          <w:rFonts w:ascii="Times New Roman" w:hAnsi="Times New Roman" w:cs="Times New Roman"/>
          <w:color w:val="000000" w:themeColor="text1"/>
        </w:rPr>
        <w:t xml:space="preserve"> as well as value adding techniq</w:t>
      </w:r>
      <w:r w:rsidR="000D4198">
        <w:rPr>
          <w:rFonts w:ascii="Times New Roman" w:hAnsi="Times New Roman" w:cs="Times New Roman"/>
          <w:color w:val="000000" w:themeColor="text1"/>
        </w:rPr>
        <w:t xml:space="preserve">ues.  In addition, the </w:t>
      </w:r>
      <w:r w:rsidR="000D4198" w:rsidRPr="00BC7BB5">
        <w:rPr>
          <w:rFonts w:ascii="Times New Roman" w:hAnsi="Times New Roman" w:cs="Times New Roman"/>
          <w:color w:val="000000" w:themeColor="text1"/>
        </w:rPr>
        <w:t>P</w:t>
      </w:r>
      <w:r w:rsidR="000D4198">
        <w:rPr>
          <w:rFonts w:ascii="Times New Roman" w:hAnsi="Times New Roman" w:cs="Times New Roman"/>
          <w:color w:val="000000" w:themeColor="text1"/>
        </w:rPr>
        <w:t>rogram would</w:t>
      </w:r>
      <w:r w:rsidR="000D4198" w:rsidRPr="00BC7BB5">
        <w:rPr>
          <w:rFonts w:ascii="Times New Roman" w:hAnsi="Times New Roman" w:cs="Times New Roman"/>
          <w:color w:val="000000" w:themeColor="text1"/>
        </w:rPr>
        <w:t xml:space="preserve"> </w:t>
      </w:r>
      <w:r w:rsidR="000D4198">
        <w:rPr>
          <w:rFonts w:ascii="Times New Roman" w:hAnsi="Times New Roman" w:cs="Times New Roman"/>
          <w:color w:val="000000" w:themeColor="text1"/>
        </w:rPr>
        <w:t>establish</w:t>
      </w:r>
      <w:r w:rsidR="000D4198" w:rsidRPr="00BC7BB5">
        <w:rPr>
          <w:rFonts w:ascii="Times New Roman" w:hAnsi="Times New Roman" w:cs="Times New Roman"/>
          <w:color w:val="000000" w:themeColor="text1"/>
        </w:rPr>
        <w:t xml:space="preserve"> FDA financial support to </w:t>
      </w:r>
      <w:r w:rsidR="000D4198">
        <w:rPr>
          <w:rFonts w:ascii="Times New Roman" w:hAnsi="Times New Roman" w:cs="Times New Roman"/>
          <w:color w:val="000000" w:themeColor="text1"/>
        </w:rPr>
        <w:lastRenderedPageBreak/>
        <w:t>producers for the certification costs of</w:t>
      </w:r>
      <w:r w:rsidR="000D4198" w:rsidRPr="00BC7BB5">
        <w:rPr>
          <w:rFonts w:ascii="Times New Roman" w:hAnsi="Times New Roman" w:cs="Times New Roman"/>
          <w:color w:val="000000" w:themeColor="text1"/>
        </w:rPr>
        <w:t xml:space="preserve"> organic </w:t>
      </w:r>
      <w:r w:rsidR="000D4198">
        <w:rPr>
          <w:rFonts w:ascii="Times New Roman" w:hAnsi="Times New Roman" w:cs="Times New Roman"/>
          <w:color w:val="000000" w:themeColor="text1"/>
        </w:rPr>
        <w:t xml:space="preserve">and SDOQ </w:t>
      </w:r>
      <w:r w:rsidR="000D4198" w:rsidRPr="00BC7BB5">
        <w:rPr>
          <w:rFonts w:ascii="Times New Roman" w:hAnsi="Times New Roman" w:cs="Times New Roman"/>
          <w:color w:val="000000" w:themeColor="text1"/>
        </w:rPr>
        <w:t>products. Finally, the Program would support awareness raising campaigns to raise the knowledge of producers and consumers about quality standards and organic and SDOQ certification systems</w:t>
      </w:r>
      <w:r w:rsidR="000D4198">
        <w:rPr>
          <w:rFonts w:ascii="Times New Roman" w:hAnsi="Times New Roman" w:cs="Times New Roman"/>
          <w:color w:val="000000" w:themeColor="text1"/>
        </w:rPr>
        <w:t>, including for olive oil</w:t>
      </w:r>
      <w:r w:rsidRPr="00BC7BB5">
        <w:rPr>
          <w:rFonts w:ascii="Times New Roman" w:hAnsi="Times New Roman" w:cs="Times New Roman"/>
          <w:color w:val="000000" w:themeColor="text1"/>
        </w:rPr>
        <w:t>;</w:t>
      </w:r>
    </w:p>
    <w:p w14:paraId="57D6B4F3" w14:textId="19EFD9DC" w:rsidR="00BD32FD" w:rsidRPr="00BC7BB5" w:rsidRDefault="004F7642" w:rsidP="00F561E8">
      <w:pPr>
        <w:pStyle w:val="NoSpacing"/>
        <w:numPr>
          <w:ilvl w:val="0"/>
          <w:numId w:val="54"/>
        </w:numPr>
        <w:jc w:val="both"/>
        <w:rPr>
          <w:rFonts w:ascii="Times New Roman" w:hAnsi="Times New Roman" w:cs="Times New Roman"/>
        </w:rPr>
      </w:pPr>
      <w:r w:rsidRPr="00BC7BB5">
        <w:rPr>
          <w:rFonts w:ascii="Times New Roman" w:hAnsi="Times New Roman" w:cs="Times New Roman"/>
          <w:bCs/>
          <w:i/>
          <w:color w:val="000000" w:themeColor="text1"/>
        </w:rPr>
        <w:t>Strengthening business development and technical support services for the agri-food sector.</w:t>
      </w:r>
      <w:r>
        <w:rPr>
          <w:rFonts w:ascii="Times New Roman" w:hAnsi="Times New Roman" w:cs="Times New Roman"/>
          <w:bCs/>
          <w:color w:val="000000" w:themeColor="text1"/>
        </w:rPr>
        <w:t xml:space="preserve"> The</w:t>
      </w:r>
      <w:r w:rsidRPr="00BC7BB5">
        <w:rPr>
          <w:rFonts w:ascii="Times New Roman" w:hAnsi="Times New Roman" w:cs="Times New Roman"/>
          <w:bCs/>
          <w:color w:val="000000" w:themeColor="text1"/>
        </w:rPr>
        <w:t xml:space="preserve"> Program would finance the design, establishment and operation of two Agri-Food Innovation Centers (</w:t>
      </w:r>
      <w:r w:rsidRPr="00BC7BB5">
        <w:rPr>
          <w:rFonts w:ascii="Times New Roman" w:hAnsi="Times New Roman" w:cs="Times New Roman"/>
          <w:bCs/>
          <w:i/>
          <w:color w:val="000000" w:themeColor="text1"/>
        </w:rPr>
        <w:t>Centres d’Innovation Agro-Alimentaire</w:t>
      </w:r>
      <w:r w:rsidRPr="00BC7BB5">
        <w:rPr>
          <w:rFonts w:ascii="Times New Roman" w:hAnsi="Times New Roman" w:cs="Times New Roman"/>
          <w:bCs/>
          <w:color w:val="000000" w:themeColor="text1"/>
        </w:rPr>
        <w:t>, CIA</w:t>
      </w:r>
      <w:r w:rsidRPr="00BC7BB5">
        <w:rPr>
          <w:rFonts w:ascii="Times New Roman" w:hAnsi="Times New Roman" w:cs="Times New Roman"/>
          <w:bCs/>
          <w:color w:val="000000" w:themeColor="text1"/>
        </w:rPr>
        <w:fldChar w:fldCharType="begin"/>
      </w:r>
      <w:r w:rsidRPr="00BC7BB5">
        <w:instrText xml:space="preserve"> XE "</w:instrText>
      </w:r>
      <w:r w:rsidRPr="00BC7BB5">
        <w:rPr>
          <w:rFonts w:ascii="Times New Roman" w:hAnsi="Times New Roman" w:cs="Times New Roman"/>
          <w:bCs/>
          <w:color w:val="000000" w:themeColor="text1"/>
        </w:rPr>
        <w:instrText>CIAA:</w:instrText>
      </w:r>
      <w:r w:rsidRPr="00BC7BB5">
        <w:instrText xml:space="preserve">Centres d’Innovation Agro-Alimentaire" </w:instrText>
      </w:r>
      <w:r w:rsidRPr="00BC7BB5">
        <w:rPr>
          <w:rFonts w:ascii="Times New Roman" w:hAnsi="Times New Roman" w:cs="Times New Roman"/>
          <w:bCs/>
          <w:color w:val="000000" w:themeColor="text1"/>
        </w:rPr>
        <w:fldChar w:fldCharType="end"/>
      </w:r>
      <w:r w:rsidRPr="00BC7BB5">
        <w:rPr>
          <w:rFonts w:ascii="Times New Roman" w:hAnsi="Times New Roman" w:cs="Times New Roman"/>
          <w:bCs/>
          <w:color w:val="000000" w:themeColor="text1"/>
        </w:rPr>
        <w:t xml:space="preserve">) providing a range of technical, training and business development services (including incubation services) to </w:t>
      </w:r>
      <w:r w:rsidRPr="00BC7BB5">
        <w:rPr>
          <w:rFonts w:ascii="Times New Roman" w:hAnsi="Times New Roman" w:cs="Times New Roman"/>
          <w:color w:val="000000" w:themeColor="text1"/>
        </w:rPr>
        <w:t>agribusiness SMEs, agribusiness start-ups</w:t>
      </w:r>
      <w:r w:rsidR="00BD32FD" w:rsidRPr="00BC7BB5">
        <w:rPr>
          <w:rFonts w:ascii="Times New Roman" w:hAnsi="Times New Roman" w:cs="Times New Roman"/>
          <w:bCs/>
          <w:color w:val="000000" w:themeColor="text1"/>
        </w:rPr>
        <w:t>;</w:t>
      </w:r>
    </w:p>
    <w:p w14:paraId="62E8A006" w14:textId="7C8D8BB7" w:rsidR="00BD32FD" w:rsidRPr="00BC7BB5" w:rsidRDefault="004F7642" w:rsidP="00F561E8">
      <w:pPr>
        <w:pStyle w:val="NoSpacing"/>
        <w:numPr>
          <w:ilvl w:val="0"/>
          <w:numId w:val="54"/>
        </w:numPr>
        <w:jc w:val="both"/>
        <w:rPr>
          <w:rFonts w:ascii="Times New Roman" w:hAnsi="Times New Roman" w:cs="Times New Roman"/>
        </w:rPr>
      </w:pPr>
      <w:r w:rsidRPr="00BC7BB5">
        <w:rPr>
          <w:rFonts w:ascii="Times New Roman" w:hAnsi="Times New Roman" w:cs="Times New Roman"/>
          <w:bCs/>
          <w:i/>
          <w:color w:val="000000" w:themeColor="text1"/>
        </w:rPr>
        <w:t>Financing innovation</w:t>
      </w:r>
      <w:r w:rsidRPr="00BC7BB5">
        <w:rPr>
          <w:rFonts w:ascii="Times New Roman" w:hAnsi="Times New Roman" w:cs="Times New Roman"/>
          <w:bCs/>
          <w:color w:val="000000" w:themeColor="text1"/>
        </w:rPr>
        <w:t>. Complementing t</w:t>
      </w:r>
      <w:r>
        <w:rPr>
          <w:rFonts w:ascii="Times New Roman" w:hAnsi="Times New Roman" w:cs="Times New Roman"/>
          <w:bCs/>
          <w:color w:val="000000" w:themeColor="text1"/>
        </w:rPr>
        <w:t>he development of the CIAs, the</w:t>
      </w:r>
      <w:r w:rsidRPr="00BC7BB5">
        <w:rPr>
          <w:rFonts w:ascii="Times New Roman" w:hAnsi="Times New Roman" w:cs="Times New Roman"/>
          <w:bCs/>
          <w:color w:val="000000" w:themeColor="text1"/>
        </w:rPr>
        <w:t xml:space="preserve"> Program would establish and finance a competitive innovation grant mechanism </w:t>
      </w:r>
      <w:r>
        <w:rPr>
          <w:rFonts w:ascii="Times New Roman" w:hAnsi="Times New Roman" w:cs="Times New Roman"/>
          <w:bCs/>
          <w:color w:val="000000" w:themeColor="text1"/>
        </w:rPr>
        <w:t>in support of</w:t>
      </w:r>
      <w:r w:rsidRPr="00BC7BB5">
        <w:rPr>
          <w:rFonts w:ascii="Times New Roman" w:hAnsi="Times New Roman" w:cs="Times New Roman"/>
          <w:bCs/>
          <w:color w:val="000000" w:themeColor="text1"/>
        </w:rPr>
        <w:t xml:space="preserve"> innovation by SMEs and producer organizations targeting the development and market introduction of new agri-food products, services or technologies</w:t>
      </w:r>
      <w:r w:rsidR="00BD32FD" w:rsidRPr="00BC7BB5">
        <w:rPr>
          <w:rFonts w:ascii="Times New Roman" w:hAnsi="Times New Roman" w:cs="Times New Roman"/>
          <w:bCs/>
          <w:color w:val="000000" w:themeColor="text1"/>
        </w:rPr>
        <w:t>.</w:t>
      </w:r>
    </w:p>
    <w:p w14:paraId="114FE68A" w14:textId="77777777" w:rsidR="00BD32FD" w:rsidRPr="00BC7BB5" w:rsidRDefault="00BD32FD" w:rsidP="00BD32FD">
      <w:pPr>
        <w:pStyle w:val="NoSpacing"/>
        <w:jc w:val="both"/>
        <w:rPr>
          <w:rFonts w:ascii="Times New Roman" w:hAnsi="Times New Roman" w:cs="Times New Roman"/>
        </w:rPr>
      </w:pPr>
    </w:p>
    <w:p w14:paraId="414C063D" w14:textId="3C669BC4" w:rsidR="00BD32FD" w:rsidRPr="00BC7BB5" w:rsidRDefault="00BD32FD" w:rsidP="00BD32FD">
      <w:pPr>
        <w:pStyle w:val="Style7"/>
        <w:spacing w:line="240" w:lineRule="auto"/>
        <w:ind w:left="0" w:firstLine="0"/>
        <w:rPr>
          <w:rFonts w:ascii="Times New Roman" w:hAnsi="Times New Roman" w:cs="Times New Roman"/>
        </w:rPr>
      </w:pPr>
      <w:r w:rsidRPr="00BC7BB5">
        <w:rPr>
          <w:rFonts w:ascii="Times New Roman" w:hAnsi="Times New Roman" w:cs="Times New Roman"/>
        </w:rPr>
        <w:t xml:space="preserve">In addition to those two result areas, the Program would support and finance improvements to implementing agencies’ capacity for </w:t>
      </w:r>
      <w:r w:rsidR="00D23364">
        <w:rPr>
          <w:rFonts w:ascii="Times New Roman" w:hAnsi="Times New Roman" w:cs="Times New Roman"/>
        </w:rPr>
        <w:t>implementation</w:t>
      </w:r>
      <w:r w:rsidRPr="00BC7BB5">
        <w:rPr>
          <w:rFonts w:ascii="Times New Roman" w:hAnsi="Times New Roman" w:cs="Times New Roman"/>
        </w:rPr>
        <w:t xml:space="preserve"> and monitoring and evaluation (M&amp;E) of the </w:t>
      </w:r>
      <w:r w:rsidR="00D23364">
        <w:rPr>
          <w:rFonts w:ascii="Times New Roman" w:hAnsi="Times New Roman" w:cs="Times New Roman"/>
        </w:rPr>
        <w:t>P</w:t>
      </w:r>
      <w:r w:rsidRPr="00BC7BB5">
        <w:rPr>
          <w:rFonts w:ascii="Times New Roman" w:hAnsi="Times New Roman" w:cs="Times New Roman"/>
        </w:rPr>
        <w:t xml:space="preserve">rogram. </w:t>
      </w:r>
    </w:p>
    <w:p w14:paraId="1C981E4A" w14:textId="77777777" w:rsidR="00BD32FD" w:rsidRPr="00BC7BB5" w:rsidRDefault="00BD32FD" w:rsidP="00BD32FD">
      <w:pPr>
        <w:pStyle w:val="Style7"/>
        <w:numPr>
          <w:ilvl w:val="0"/>
          <w:numId w:val="0"/>
        </w:numPr>
        <w:spacing w:line="240" w:lineRule="auto"/>
        <w:rPr>
          <w:rFonts w:ascii="Times New Roman" w:hAnsi="Times New Roman" w:cs="Times New Roman"/>
        </w:rPr>
      </w:pPr>
    </w:p>
    <w:p w14:paraId="12CEC557" w14:textId="0BB29DDD" w:rsidR="00BD32FD" w:rsidRPr="00BC7BB5" w:rsidRDefault="00BD32FD" w:rsidP="00BD32FD">
      <w:pPr>
        <w:pStyle w:val="Style7"/>
        <w:spacing w:line="240" w:lineRule="auto"/>
        <w:ind w:left="0" w:firstLine="0"/>
      </w:pPr>
      <w:r w:rsidRPr="00BC7BB5">
        <w:rPr>
          <w:rFonts w:ascii="Times New Roman" w:hAnsi="Times New Roman" w:cs="Times New Roman"/>
          <w:b/>
        </w:rPr>
        <w:t xml:space="preserve">Program beneficiaries.  </w:t>
      </w:r>
      <w:r w:rsidRPr="00BC7BB5">
        <w:rPr>
          <w:rFonts w:ascii="Times New Roman" w:hAnsi="Times New Roman" w:cs="Times New Roman"/>
        </w:rPr>
        <w:t>Direct Program beneficiaries would include small and medium producers (including women and youth) and enterprises engaged in the agri-food sector.</w:t>
      </w:r>
      <w:r w:rsidRPr="00BC7BB5">
        <w:rPr>
          <w:rFonts w:ascii="Times New Roman" w:hAnsi="Times New Roman" w:cs="Times New Roman"/>
          <w:b/>
        </w:rPr>
        <w:t xml:space="preserve"> </w:t>
      </w:r>
      <w:r w:rsidRPr="00BC7BB5">
        <w:rPr>
          <w:rFonts w:ascii="Times New Roman" w:hAnsi="Times New Roman" w:cs="Times New Roman"/>
        </w:rPr>
        <w:t>The</w:t>
      </w:r>
      <w:r w:rsidR="00D23364">
        <w:rPr>
          <w:rFonts w:ascii="Times New Roman" w:hAnsi="Times New Roman" w:cs="Times New Roman"/>
        </w:rPr>
        <w:t>se beneficiaries</w:t>
      </w:r>
      <w:r w:rsidRPr="00BC7BB5">
        <w:rPr>
          <w:rFonts w:ascii="Times New Roman" w:hAnsi="Times New Roman" w:cs="Times New Roman"/>
        </w:rPr>
        <w:t xml:space="preserve"> and a broader range of</w:t>
      </w:r>
      <w:r w:rsidRPr="00BC7BB5">
        <w:rPr>
          <w:rFonts w:ascii="Times New Roman" w:hAnsi="Times New Roman" w:cs="Times New Roman"/>
          <w:b/>
        </w:rPr>
        <w:t xml:space="preserve"> </w:t>
      </w:r>
      <w:r w:rsidRPr="00BC7BB5">
        <w:rPr>
          <w:rFonts w:ascii="Times New Roman" w:hAnsi="Times New Roman" w:cs="Times New Roman"/>
        </w:rPr>
        <w:t>stakeholders would also benefit from improved food safety and quality, increased efficiency of wholesale markets and access to market information, and better coordination among value-chains. Those beneficiaries include enterprises in the agri-food sector, such as traders and exporters, as well as Moroccan consumers, who will benefit from safer and better quality products. It is estimated</w:t>
      </w:r>
      <w:r w:rsidRPr="00BC7BB5">
        <w:rPr>
          <w:rFonts w:ascii="Times New Roman" w:hAnsi="Times New Roman" w:cs="Times New Roman"/>
          <w:b/>
        </w:rPr>
        <w:t xml:space="preserve"> </w:t>
      </w:r>
      <w:r w:rsidRPr="00BC7BB5">
        <w:rPr>
          <w:rFonts w:ascii="Times New Roman" w:hAnsi="Times New Roman" w:cs="Times New Roman"/>
        </w:rPr>
        <w:t xml:space="preserve">that approximately 200,000 agri-food producers and enterprises would benefit from one or more of the Program activities in the nine Provinces included in the Program area. Finally, the Government agencies involved in the Program (MAPMDREF, ONSSA, ADA) and the selected interprofessions would benefit from increased capacity to implement their mandates and to monitor and evaluate the results of their respective programs </w:t>
      </w:r>
      <w:r w:rsidRPr="00BC7BB5">
        <w:rPr>
          <w:rFonts w:ascii="Times New Roman" w:hAnsi="Times New Roman"/>
        </w:rPr>
        <w:t>to implement their mandates and to monitor and evaluate the results of their respective programs.</w:t>
      </w:r>
    </w:p>
    <w:p w14:paraId="217566E2" w14:textId="77777777" w:rsidR="00BD32FD" w:rsidRPr="00BC7BB5" w:rsidRDefault="00BD32FD" w:rsidP="00BD32FD">
      <w:pPr>
        <w:pStyle w:val="Paranumbering"/>
        <w:numPr>
          <w:ilvl w:val="0"/>
          <w:numId w:val="0"/>
        </w:numPr>
        <w:spacing w:before="0" w:after="0" w:line="240" w:lineRule="auto"/>
        <w:rPr>
          <w:sz w:val="22"/>
          <w:szCs w:val="22"/>
        </w:rPr>
      </w:pPr>
    </w:p>
    <w:p w14:paraId="2FF8C27F" w14:textId="1B9EFCD8" w:rsidR="00BD32FD" w:rsidRPr="002763F4" w:rsidRDefault="00BD32FD" w:rsidP="00BD32FD">
      <w:pPr>
        <w:pStyle w:val="Style7"/>
        <w:spacing w:line="240" w:lineRule="auto"/>
      </w:pPr>
      <w:r w:rsidRPr="00BC7BB5">
        <w:rPr>
          <w:rFonts w:ascii="Times New Roman" w:hAnsi="Times New Roman"/>
        </w:rPr>
        <w:t xml:space="preserve">The proposed Program will </w:t>
      </w:r>
      <w:r w:rsidR="0007765B">
        <w:rPr>
          <w:rFonts w:ascii="Times New Roman" w:hAnsi="Times New Roman"/>
        </w:rPr>
        <w:t>cover the period from</w:t>
      </w:r>
      <w:r w:rsidRPr="00BC7BB5">
        <w:rPr>
          <w:rFonts w:ascii="Times New Roman" w:hAnsi="Times New Roman"/>
        </w:rPr>
        <w:t xml:space="preserve"> January 2018 to December 2022.</w:t>
      </w:r>
    </w:p>
    <w:p w14:paraId="2371371B" w14:textId="77777777" w:rsidR="002763F4" w:rsidRDefault="002763F4" w:rsidP="002763F4">
      <w:pPr>
        <w:pStyle w:val="ListParagraph"/>
        <w:spacing w:after="0"/>
      </w:pPr>
    </w:p>
    <w:p w14:paraId="77257A6F" w14:textId="3D569926" w:rsidR="002763F4" w:rsidRPr="00B1726E" w:rsidRDefault="002763F4" w:rsidP="00B1726E">
      <w:pPr>
        <w:pStyle w:val="Style7"/>
        <w:spacing w:line="240" w:lineRule="auto"/>
        <w:ind w:left="0" w:firstLine="0"/>
        <w:rPr>
          <w:rFonts w:ascii="Times New Roman" w:hAnsi="Times New Roman" w:cs="Times New Roman"/>
        </w:rPr>
      </w:pPr>
      <w:r w:rsidRPr="00CE726B">
        <w:rPr>
          <w:rFonts w:ascii="Times New Roman" w:hAnsi="Times New Roman" w:cs="Times New Roman"/>
        </w:rPr>
        <w:t xml:space="preserve">The IBRD loan amount is </w:t>
      </w:r>
      <w:r w:rsidR="0007765B" w:rsidRPr="00CE726B">
        <w:rPr>
          <w:rFonts w:ascii="Times New Roman" w:hAnsi="Times New Roman" w:cs="Times New Roman"/>
        </w:rPr>
        <w:t>US</w:t>
      </w:r>
      <w:r w:rsidR="0007765B">
        <w:rPr>
          <w:rFonts w:ascii="Times New Roman" w:hAnsi="Times New Roman" w:cs="Times New Roman"/>
        </w:rPr>
        <w:t>$</w:t>
      </w:r>
      <w:r w:rsidRPr="00CE726B">
        <w:rPr>
          <w:rFonts w:ascii="Times New Roman" w:hAnsi="Times New Roman" w:cs="Times New Roman"/>
        </w:rPr>
        <w:t>200 million. The disbursements of the loan are not linked to specific expenditures, but to the achievement of results agreed upon by the World Bank and the Government of Morocco.</w:t>
      </w:r>
    </w:p>
    <w:p w14:paraId="2B4CA1CC" w14:textId="77777777" w:rsidR="006801EA" w:rsidRPr="00BC7BB5" w:rsidRDefault="006801EA" w:rsidP="006801EA">
      <w:pPr>
        <w:spacing w:after="0" w:line="240" w:lineRule="auto"/>
        <w:rPr>
          <w:b/>
          <w:bCs/>
        </w:rPr>
      </w:pPr>
    </w:p>
    <w:p w14:paraId="3D72DD20" w14:textId="67A55459" w:rsidR="00BD32FD" w:rsidRPr="00B52D04" w:rsidRDefault="00B52D04" w:rsidP="00BD32FD">
      <w:pPr>
        <w:spacing w:line="240" w:lineRule="auto"/>
        <w:rPr>
          <w:rFonts w:ascii="Times New Roman" w:hAnsi="Times New Roman" w:cs="Times New Roman"/>
          <w:b/>
          <w:bCs/>
          <w:i/>
        </w:rPr>
      </w:pPr>
      <w:r w:rsidRPr="00B52D04">
        <w:rPr>
          <w:rFonts w:ascii="Times New Roman" w:hAnsi="Times New Roman" w:cs="Times New Roman"/>
          <w:b/>
          <w:bCs/>
          <w:i/>
        </w:rPr>
        <w:t xml:space="preserve">Environmental and </w:t>
      </w:r>
      <w:r w:rsidR="0007765B">
        <w:rPr>
          <w:rFonts w:ascii="Times New Roman" w:hAnsi="Times New Roman" w:cs="Times New Roman"/>
          <w:b/>
          <w:bCs/>
          <w:i/>
        </w:rPr>
        <w:t>S</w:t>
      </w:r>
      <w:r w:rsidR="0007765B" w:rsidRPr="00B52D04">
        <w:rPr>
          <w:rFonts w:ascii="Times New Roman" w:hAnsi="Times New Roman" w:cs="Times New Roman"/>
          <w:b/>
          <w:bCs/>
          <w:i/>
        </w:rPr>
        <w:t xml:space="preserve">ocial </w:t>
      </w:r>
      <w:r w:rsidR="0007765B">
        <w:rPr>
          <w:rFonts w:ascii="Times New Roman" w:hAnsi="Times New Roman" w:cs="Times New Roman"/>
          <w:b/>
          <w:bCs/>
          <w:i/>
        </w:rPr>
        <w:t>B</w:t>
      </w:r>
      <w:r w:rsidR="0007765B" w:rsidRPr="00B52D04">
        <w:rPr>
          <w:rFonts w:ascii="Times New Roman" w:hAnsi="Times New Roman" w:cs="Times New Roman"/>
          <w:b/>
          <w:bCs/>
          <w:i/>
        </w:rPr>
        <w:t xml:space="preserve">enefits </w:t>
      </w:r>
      <w:r w:rsidRPr="00B52D04">
        <w:rPr>
          <w:rFonts w:ascii="Times New Roman" w:hAnsi="Times New Roman" w:cs="Times New Roman"/>
          <w:b/>
          <w:bCs/>
          <w:i/>
        </w:rPr>
        <w:t xml:space="preserve">of the </w:t>
      </w:r>
      <w:r w:rsidR="0007765B">
        <w:rPr>
          <w:rFonts w:ascii="Times New Roman" w:hAnsi="Times New Roman" w:cs="Times New Roman"/>
          <w:b/>
          <w:bCs/>
          <w:i/>
        </w:rPr>
        <w:t>P</w:t>
      </w:r>
      <w:r w:rsidR="0007765B" w:rsidRPr="00B52D04">
        <w:rPr>
          <w:rFonts w:ascii="Times New Roman" w:hAnsi="Times New Roman" w:cs="Times New Roman"/>
          <w:b/>
          <w:bCs/>
          <w:i/>
        </w:rPr>
        <w:t>rogram</w:t>
      </w:r>
    </w:p>
    <w:p w14:paraId="7FCE0C58" w14:textId="3EEE5756" w:rsidR="00BD32FD" w:rsidRPr="00BC7BB5" w:rsidRDefault="00BD32FD" w:rsidP="00BD32FD">
      <w:pPr>
        <w:pStyle w:val="Style7"/>
        <w:spacing w:line="240" w:lineRule="auto"/>
        <w:rPr>
          <w:rFonts w:ascii="Times New Roman" w:hAnsi="Times New Roman" w:cs="Times New Roman"/>
        </w:rPr>
      </w:pPr>
      <w:r w:rsidRPr="00BC7BB5">
        <w:rPr>
          <w:rFonts w:ascii="Times New Roman" w:hAnsi="Times New Roman"/>
        </w:rPr>
        <w:t xml:space="preserve">The activities of the Program will have clear </w:t>
      </w:r>
      <w:r w:rsidRPr="00BC7BB5">
        <w:rPr>
          <w:rFonts w:ascii="Times New Roman" w:hAnsi="Times New Roman"/>
          <w:b/>
          <w:i/>
        </w:rPr>
        <w:t>environmental, social and economic benefits</w:t>
      </w:r>
      <w:r w:rsidRPr="00BC7BB5">
        <w:rPr>
          <w:rFonts w:ascii="Times New Roman" w:hAnsi="Times New Roman"/>
        </w:rPr>
        <w:t xml:space="preserve">. </w:t>
      </w:r>
    </w:p>
    <w:p w14:paraId="66A90CDA" w14:textId="77777777" w:rsidR="00A6265D" w:rsidRDefault="00A6265D" w:rsidP="00A6265D">
      <w:pPr>
        <w:spacing w:after="0" w:line="240" w:lineRule="auto"/>
        <w:rPr>
          <w:rFonts w:ascii="Times New Roman" w:hAnsi="Times New Roman" w:cs="Times New Roman"/>
          <w:b/>
          <w:bCs/>
        </w:rPr>
      </w:pPr>
    </w:p>
    <w:p w14:paraId="43BEB5B2" w14:textId="205B3911" w:rsidR="00BD32FD" w:rsidRPr="009B52EA" w:rsidRDefault="00BD32FD" w:rsidP="00BD32FD">
      <w:pPr>
        <w:spacing w:line="240" w:lineRule="auto"/>
        <w:rPr>
          <w:rFonts w:ascii="Times New Roman" w:hAnsi="Times New Roman" w:cs="Times New Roman"/>
          <w:b/>
          <w:bCs/>
        </w:rPr>
      </w:pPr>
      <w:r w:rsidRPr="009B52EA">
        <w:rPr>
          <w:rFonts w:ascii="Times New Roman" w:hAnsi="Times New Roman" w:cs="Times New Roman"/>
          <w:b/>
          <w:bCs/>
        </w:rPr>
        <w:t>Environmental Benefits</w:t>
      </w:r>
    </w:p>
    <w:p w14:paraId="5CDF9B7E" w14:textId="77777777" w:rsidR="00BD32FD" w:rsidRPr="00BC7BB5" w:rsidRDefault="00BD32FD" w:rsidP="00BD32FD">
      <w:pPr>
        <w:pStyle w:val="Style7"/>
        <w:spacing w:line="240" w:lineRule="auto"/>
        <w:rPr>
          <w:rFonts w:ascii="Times New Roman" w:hAnsi="Times New Roman" w:cs="Times New Roman"/>
        </w:rPr>
      </w:pPr>
      <w:r w:rsidRPr="00BC7BB5">
        <w:rPr>
          <w:rFonts w:ascii="Times New Roman" w:hAnsi="Times New Roman" w:cs="Times New Roman"/>
        </w:rPr>
        <w:t>Through the activities that it aims to fund, the Program will:</w:t>
      </w:r>
    </w:p>
    <w:p w14:paraId="095D1495" w14:textId="77777777" w:rsidR="00BD32FD" w:rsidRPr="00BC7BB5" w:rsidRDefault="00BD32FD" w:rsidP="00BD32FD">
      <w:pPr>
        <w:pStyle w:val="Style7"/>
        <w:numPr>
          <w:ilvl w:val="0"/>
          <w:numId w:val="0"/>
        </w:numPr>
        <w:spacing w:line="240" w:lineRule="auto"/>
        <w:rPr>
          <w:rFonts w:ascii="Times New Roman" w:hAnsi="Times New Roman" w:cs="Times New Roman"/>
        </w:rPr>
      </w:pPr>
    </w:p>
    <w:p w14:paraId="52EB4981" w14:textId="77777777" w:rsidR="00BD32FD" w:rsidRPr="00BC7BB5" w:rsidRDefault="00BD32FD" w:rsidP="00F561E8">
      <w:pPr>
        <w:widowControl w:val="0"/>
        <w:numPr>
          <w:ilvl w:val="0"/>
          <w:numId w:val="44"/>
        </w:numPr>
        <w:autoSpaceDE w:val="0"/>
        <w:autoSpaceDN w:val="0"/>
        <w:adjustRightInd w:val="0"/>
        <w:spacing w:after="0" w:line="240" w:lineRule="auto"/>
        <w:contextualSpacing/>
        <w:jc w:val="both"/>
        <w:textAlignment w:val="baseline"/>
        <w:rPr>
          <w:rFonts w:ascii="Times New Roman" w:hAnsi="Times New Roman" w:cs="Times New Roman"/>
        </w:rPr>
      </w:pPr>
      <w:r w:rsidRPr="00BC7BB5">
        <w:rPr>
          <w:rFonts w:ascii="Times New Roman" w:hAnsi="Times New Roman" w:cs="Times New Roman"/>
        </w:rPr>
        <w:t>Support, introduce and monitor the implementation of sustainable farm management practices by supporting small producers and their associations (such as cooperatives and GIEs) in the implementation of Distinctive Signs of Origin and Quality (SDOQs) and organic production systems.</w:t>
      </w:r>
    </w:p>
    <w:p w14:paraId="276FCE9A" w14:textId="77777777" w:rsidR="00BD32FD" w:rsidRPr="00BC7BB5" w:rsidRDefault="00BD32FD" w:rsidP="00F561E8">
      <w:pPr>
        <w:widowControl w:val="0"/>
        <w:numPr>
          <w:ilvl w:val="0"/>
          <w:numId w:val="44"/>
        </w:numPr>
        <w:autoSpaceDE w:val="0"/>
        <w:autoSpaceDN w:val="0"/>
        <w:adjustRightInd w:val="0"/>
        <w:spacing w:after="0" w:line="240" w:lineRule="auto"/>
        <w:contextualSpacing/>
        <w:jc w:val="both"/>
        <w:textAlignment w:val="baseline"/>
        <w:rPr>
          <w:rFonts w:ascii="Times New Roman" w:hAnsi="Times New Roman" w:cs="Times New Roman"/>
        </w:rPr>
      </w:pPr>
      <w:r w:rsidRPr="00BC7BB5">
        <w:rPr>
          <w:rFonts w:ascii="Times New Roman" w:hAnsi="Times New Roman" w:cs="Times New Roman"/>
        </w:rPr>
        <w:t xml:space="preserve">Strengthen the regulatory and partnership framework through the development, adoption and implementation of the Decree on the spreading of olive mill residues, as well as a partnership agreement with the State Secretariat for Sustainable Development. </w:t>
      </w:r>
    </w:p>
    <w:p w14:paraId="0755C3A3" w14:textId="77777777" w:rsidR="00BD32FD" w:rsidRPr="00BC7BB5" w:rsidRDefault="00BD32FD" w:rsidP="00F561E8">
      <w:pPr>
        <w:widowControl w:val="0"/>
        <w:numPr>
          <w:ilvl w:val="0"/>
          <w:numId w:val="44"/>
        </w:numPr>
        <w:autoSpaceDE w:val="0"/>
        <w:autoSpaceDN w:val="0"/>
        <w:adjustRightInd w:val="0"/>
        <w:spacing w:after="0" w:line="240" w:lineRule="auto"/>
        <w:contextualSpacing/>
        <w:jc w:val="both"/>
        <w:textAlignment w:val="baseline"/>
        <w:rPr>
          <w:rFonts w:ascii="Times New Roman" w:hAnsi="Times New Roman" w:cs="Times New Roman"/>
        </w:rPr>
      </w:pPr>
      <w:r w:rsidRPr="00BC7BB5">
        <w:rPr>
          <w:rFonts w:ascii="Times New Roman" w:hAnsi="Times New Roman" w:cs="Times New Roman"/>
        </w:rPr>
        <w:t xml:space="preserve">Improve the environmental performance of business units through the minimization and recycling </w:t>
      </w:r>
      <w:r w:rsidRPr="00BC7BB5">
        <w:rPr>
          <w:rFonts w:ascii="Times New Roman" w:hAnsi="Times New Roman" w:cs="Times New Roman"/>
        </w:rPr>
        <w:lastRenderedPageBreak/>
        <w:t xml:space="preserve">of waste, as well as the use of by-products.  </w:t>
      </w:r>
    </w:p>
    <w:p w14:paraId="003F07F4" w14:textId="77777777" w:rsidR="00BD32FD" w:rsidRPr="00BC7BB5" w:rsidRDefault="00BD32FD" w:rsidP="00F561E8">
      <w:pPr>
        <w:widowControl w:val="0"/>
        <w:numPr>
          <w:ilvl w:val="0"/>
          <w:numId w:val="44"/>
        </w:numPr>
        <w:autoSpaceDE w:val="0"/>
        <w:autoSpaceDN w:val="0"/>
        <w:adjustRightInd w:val="0"/>
        <w:spacing w:after="0" w:line="240" w:lineRule="auto"/>
        <w:contextualSpacing/>
        <w:jc w:val="both"/>
        <w:textAlignment w:val="baseline"/>
        <w:rPr>
          <w:rFonts w:ascii="Times New Roman" w:hAnsi="Times New Roman" w:cs="Times New Roman"/>
        </w:rPr>
      </w:pPr>
      <w:r w:rsidRPr="00BC7BB5">
        <w:rPr>
          <w:rFonts w:ascii="Times New Roman" w:hAnsi="Times New Roman" w:cs="Times New Roman"/>
        </w:rPr>
        <w:t xml:space="preserve">Avoid the use of pesticides in the fight against citrus fruits pests (Mediterranean fruit fly or </w:t>
      </w:r>
      <w:r w:rsidRPr="00BC7BB5">
        <w:rPr>
          <w:rFonts w:ascii="Times New Roman" w:hAnsi="Times New Roman" w:cs="Times New Roman"/>
          <w:i/>
        </w:rPr>
        <w:t>Ceratitis capitata</w:t>
      </w:r>
      <w:r w:rsidRPr="00BC7BB5">
        <w:rPr>
          <w:rFonts w:ascii="Times New Roman" w:hAnsi="Times New Roman" w:cs="Times New Roman"/>
        </w:rPr>
        <w:t>).</w:t>
      </w:r>
    </w:p>
    <w:p w14:paraId="0D20D6EA" w14:textId="77777777" w:rsidR="00BD32FD" w:rsidRPr="00BC7BB5" w:rsidRDefault="00BD32FD" w:rsidP="00F561E8">
      <w:pPr>
        <w:widowControl w:val="0"/>
        <w:numPr>
          <w:ilvl w:val="0"/>
          <w:numId w:val="44"/>
        </w:numPr>
        <w:autoSpaceDE w:val="0"/>
        <w:autoSpaceDN w:val="0"/>
        <w:adjustRightInd w:val="0"/>
        <w:spacing w:after="0" w:line="240" w:lineRule="auto"/>
        <w:contextualSpacing/>
        <w:jc w:val="both"/>
        <w:textAlignment w:val="baseline"/>
        <w:rPr>
          <w:rFonts w:ascii="Times New Roman" w:hAnsi="Times New Roman" w:cs="Times New Roman"/>
        </w:rPr>
      </w:pPr>
      <w:r w:rsidRPr="00BC7BB5">
        <w:rPr>
          <w:rFonts w:ascii="Times New Roman" w:hAnsi="Times New Roman" w:cs="Times New Roman"/>
        </w:rPr>
        <w:t>Reduce and control the use of pesticides by creating registers of inputs, in accordance with the Decree of the Minister of Agriculture and Fisheries No. 1129-13 dated April 2, 2013.</w:t>
      </w:r>
    </w:p>
    <w:p w14:paraId="3FE1761F" w14:textId="77777777" w:rsidR="00BD32FD" w:rsidRPr="00BC7BB5" w:rsidRDefault="00BD32FD" w:rsidP="00F561E8">
      <w:pPr>
        <w:widowControl w:val="0"/>
        <w:numPr>
          <w:ilvl w:val="0"/>
          <w:numId w:val="44"/>
        </w:numPr>
        <w:autoSpaceDE w:val="0"/>
        <w:autoSpaceDN w:val="0"/>
        <w:adjustRightInd w:val="0"/>
        <w:spacing w:after="0" w:line="240" w:lineRule="auto"/>
        <w:contextualSpacing/>
        <w:jc w:val="both"/>
        <w:textAlignment w:val="baseline"/>
        <w:rPr>
          <w:rFonts w:ascii="Times New Roman" w:hAnsi="Times New Roman" w:cs="Times New Roman"/>
        </w:rPr>
      </w:pPr>
      <w:r w:rsidRPr="00BC7BB5">
        <w:rPr>
          <w:rFonts w:ascii="Times New Roman" w:hAnsi="Times New Roman" w:cs="Times New Roman"/>
        </w:rPr>
        <w:t>Introduce a new model for the management of wholesale markets to be accompanied by sustainable management practices for the trade in agricultural products and a better control of solid waste and liquid effluents.</w:t>
      </w:r>
    </w:p>
    <w:p w14:paraId="477D646F" w14:textId="77777777" w:rsidR="00BD32FD" w:rsidRPr="00BC7BB5" w:rsidRDefault="00BD32FD" w:rsidP="00F561E8">
      <w:pPr>
        <w:widowControl w:val="0"/>
        <w:numPr>
          <w:ilvl w:val="0"/>
          <w:numId w:val="44"/>
        </w:numPr>
        <w:autoSpaceDE w:val="0"/>
        <w:autoSpaceDN w:val="0"/>
        <w:adjustRightInd w:val="0"/>
        <w:spacing w:after="0" w:line="240" w:lineRule="auto"/>
        <w:contextualSpacing/>
        <w:jc w:val="both"/>
        <w:textAlignment w:val="baseline"/>
        <w:rPr>
          <w:rFonts w:ascii="Times New Roman" w:hAnsi="Times New Roman" w:cs="Times New Roman"/>
        </w:rPr>
      </w:pPr>
      <w:r w:rsidRPr="00BC7BB5">
        <w:rPr>
          <w:rFonts w:ascii="Times New Roman" w:hAnsi="Times New Roman" w:cs="Times New Roman"/>
        </w:rPr>
        <w:t>Reduce the health risks related to the consumption of agricultural products with more information and awareness-raising among professionals and consumers about the provisions of Law 28-07 on the food safety and the texts adopted for its application, which have introduced a number of principles to guarantee the safety of food products.</w:t>
      </w:r>
    </w:p>
    <w:p w14:paraId="3082D76F" w14:textId="77777777" w:rsidR="00BD32FD" w:rsidRPr="00BC7BB5" w:rsidRDefault="00BD32FD" w:rsidP="00F561E8">
      <w:pPr>
        <w:widowControl w:val="0"/>
        <w:numPr>
          <w:ilvl w:val="0"/>
          <w:numId w:val="44"/>
        </w:numPr>
        <w:autoSpaceDE w:val="0"/>
        <w:autoSpaceDN w:val="0"/>
        <w:adjustRightInd w:val="0"/>
        <w:spacing w:after="0" w:line="240" w:lineRule="auto"/>
        <w:contextualSpacing/>
        <w:jc w:val="both"/>
        <w:textAlignment w:val="baseline"/>
        <w:rPr>
          <w:rFonts w:ascii="Times New Roman" w:hAnsi="Times New Roman" w:cs="Times New Roman"/>
        </w:rPr>
      </w:pPr>
      <w:r w:rsidRPr="00BC7BB5">
        <w:rPr>
          <w:rFonts w:ascii="Times New Roman" w:hAnsi="Times New Roman" w:cs="Times New Roman"/>
        </w:rPr>
        <w:t>Determine, monitor and inform decision-making on risk management of food products through a national food consumption study and by strengthening ONSSA’s control laboratories.</w:t>
      </w:r>
    </w:p>
    <w:p w14:paraId="268F8063" w14:textId="77777777" w:rsidR="00BD32FD" w:rsidRPr="00BC7BB5" w:rsidRDefault="00BD32FD" w:rsidP="00BD32FD">
      <w:pPr>
        <w:rPr>
          <w:rFonts w:ascii="Times New Roman" w:hAnsi="Times New Roman" w:cs="Times New Roman"/>
          <w:b/>
          <w:bCs/>
          <w:sz w:val="18"/>
          <w:szCs w:val="18"/>
        </w:rPr>
      </w:pPr>
    </w:p>
    <w:p w14:paraId="6A3D1F3E" w14:textId="77777777" w:rsidR="00BD32FD" w:rsidRPr="00BC7BB5" w:rsidRDefault="00BD32FD" w:rsidP="00BD32FD">
      <w:pPr>
        <w:autoSpaceDE w:val="0"/>
        <w:autoSpaceDN w:val="0"/>
        <w:spacing w:line="240" w:lineRule="auto"/>
        <w:contextualSpacing/>
        <w:rPr>
          <w:rFonts w:ascii="Times New Roman" w:hAnsi="Times New Roman" w:cs="Times New Roman"/>
          <w:b/>
        </w:rPr>
      </w:pPr>
      <w:r w:rsidRPr="00BC7BB5">
        <w:rPr>
          <w:rFonts w:ascii="Times New Roman" w:hAnsi="Times New Roman" w:cs="Times New Roman"/>
          <w:b/>
        </w:rPr>
        <w:t>Social Benefits</w:t>
      </w:r>
    </w:p>
    <w:p w14:paraId="6A12C1C7" w14:textId="77777777" w:rsidR="00BD32FD" w:rsidRPr="00BC7BB5" w:rsidRDefault="00BD32FD" w:rsidP="00BD32FD">
      <w:pPr>
        <w:pStyle w:val="Style7"/>
        <w:spacing w:line="240" w:lineRule="auto"/>
        <w:rPr>
          <w:rFonts w:ascii="Times New Roman" w:hAnsi="Times New Roman" w:cs="Times New Roman"/>
        </w:rPr>
      </w:pPr>
      <w:r w:rsidRPr="00BC7BB5">
        <w:rPr>
          <w:rFonts w:ascii="Times New Roman" w:hAnsi="Times New Roman" w:cs="Times New Roman"/>
        </w:rPr>
        <w:t>From a social point of view, the Program aims to:</w:t>
      </w:r>
    </w:p>
    <w:p w14:paraId="6CA0DDCF" w14:textId="77777777" w:rsidR="00BD32FD" w:rsidRPr="00BC7BB5" w:rsidRDefault="00BD32FD" w:rsidP="00BD32FD">
      <w:pPr>
        <w:pStyle w:val="Style7"/>
        <w:numPr>
          <w:ilvl w:val="0"/>
          <w:numId w:val="0"/>
        </w:numPr>
        <w:spacing w:line="240" w:lineRule="auto"/>
        <w:ind w:left="720"/>
        <w:rPr>
          <w:rFonts w:ascii="Times New Roman" w:hAnsi="Times New Roman" w:cs="Times New Roman"/>
        </w:rPr>
      </w:pPr>
    </w:p>
    <w:p w14:paraId="726A4B54" w14:textId="77777777" w:rsidR="00BD32FD" w:rsidRPr="00BC7BB5" w:rsidRDefault="00BD32FD" w:rsidP="00F561E8">
      <w:pPr>
        <w:widowControl w:val="0"/>
        <w:numPr>
          <w:ilvl w:val="0"/>
          <w:numId w:val="45"/>
        </w:numPr>
        <w:autoSpaceDE w:val="0"/>
        <w:autoSpaceDN w:val="0"/>
        <w:adjustRightInd w:val="0"/>
        <w:spacing w:after="0" w:line="240" w:lineRule="auto"/>
        <w:contextualSpacing/>
        <w:jc w:val="both"/>
        <w:textAlignment w:val="baseline"/>
        <w:rPr>
          <w:rFonts w:ascii="Times New Roman" w:hAnsi="Times New Roman" w:cs="Times New Roman"/>
        </w:rPr>
      </w:pPr>
      <w:r w:rsidRPr="00BC7BB5">
        <w:rPr>
          <w:rFonts w:ascii="Times New Roman" w:hAnsi="Times New Roman" w:cs="Times New Roman"/>
        </w:rPr>
        <w:t>Strengthen the value chains of the agri-food sector in Morocco and, in particular, contribute to removing obstacles to market access for small and medium-sized enterprises, individual agricultural producers and groups of agricultural producers (such as cooperatives and GIEs).</w:t>
      </w:r>
    </w:p>
    <w:p w14:paraId="72D8BC8A" w14:textId="77777777" w:rsidR="00BD32FD" w:rsidRPr="00BC7BB5" w:rsidRDefault="00BD32FD" w:rsidP="00F561E8">
      <w:pPr>
        <w:widowControl w:val="0"/>
        <w:numPr>
          <w:ilvl w:val="0"/>
          <w:numId w:val="45"/>
        </w:numPr>
        <w:autoSpaceDE w:val="0"/>
        <w:autoSpaceDN w:val="0"/>
        <w:adjustRightInd w:val="0"/>
        <w:spacing w:after="0" w:line="240" w:lineRule="auto"/>
        <w:contextualSpacing/>
        <w:jc w:val="both"/>
        <w:textAlignment w:val="baseline"/>
        <w:rPr>
          <w:rFonts w:ascii="Times New Roman" w:hAnsi="Times New Roman" w:cs="Times New Roman"/>
        </w:rPr>
      </w:pPr>
      <w:r w:rsidRPr="00BC7BB5">
        <w:rPr>
          <w:rFonts w:ascii="Times New Roman" w:hAnsi="Times New Roman" w:cs="Times New Roman"/>
        </w:rPr>
        <w:t>Improve the ability of small and medium-sized enterprises, individual agricultural producers and groups of agricultural producers to take risks, in a considered and informed manner, in order to improve their business activities and the overall performance of the agri-food sector, by establishing systems to provide them with better access to information, including on market prices, and supporting their integration into the most promising value chains.</w:t>
      </w:r>
    </w:p>
    <w:p w14:paraId="7FC5F10A" w14:textId="77777777" w:rsidR="00BD32FD" w:rsidRPr="00BC7BB5" w:rsidRDefault="00BD32FD" w:rsidP="00F561E8">
      <w:pPr>
        <w:widowControl w:val="0"/>
        <w:numPr>
          <w:ilvl w:val="0"/>
          <w:numId w:val="45"/>
        </w:numPr>
        <w:autoSpaceDE w:val="0"/>
        <w:autoSpaceDN w:val="0"/>
        <w:adjustRightInd w:val="0"/>
        <w:spacing w:after="0" w:line="240" w:lineRule="auto"/>
        <w:contextualSpacing/>
        <w:jc w:val="both"/>
        <w:textAlignment w:val="baseline"/>
        <w:rPr>
          <w:rFonts w:ascii="Times New Roman" w:hAnsi="Times New Roman" w:cs="Times New Roman"/>
        </w:rPr>
      </w:pPr>
      <w:r w:rsidRPr="00BC7BB5">
        <w:rPr>
          <w:rFonts w:ascii="Times New Roman" w:hAnsi="Times New Roman" w:cs="Times New Roman"/>
        </w:rPr>
        <w:t>Provide more effective services to producers and enterprises in the agri-food sector, particularly concerning access to information on markets, prices, etc., by strengthening horizontal and vertical cooperation through the interprofessions established in 2012.</w:t>
      </w:r>
    </w:p>
    <w:p w14:paraId="67BD1706" w14:textId="77777777" w:rsidR="00BD32FD" w:rsidRPr="00BC7BB5" w:rsidRDefault="00BD32FD" w:rsidP="00F561E8">
      <w:pPr>
        <w:widowControl w:val="0"/>
        <w:numPr>
          <w:ilvl w:val="0"/>
          <w:numId w:val="45"/>
        </w:numPr>
        <w:autoSpaceDE w:val="0"/>
        <w:autoSpaceDN w:val="0"/>
        <w:adjustRightInd w:val="0"/>
        <w:spacing w:after="0" w:line="240" w:lineRule="auto"/>
        <w:contextualSpacing/>
        <w:jc w:val="both"/>
        <w:textAlignment w:val="baseline"/>
        <w:rPr>
          <w:rFonts w:ascii="Times New Roman" w:hAnsi="Times New Roman" w:cs="Times New Roman"/>
        </w:rPr>
      </w:pPr>
      <w:r w:rsidRPr="00BC7BB5">
        <w:rPr>
          <w:rFonts w:ascii="Times New Roman" w:hAnsi="Times New Roman" w:cs="Times New Roman"/>
        </w:rPr>
        <w:t xml:space="preserve">Consolidate the market positions of small and medium producers by strengthening practices of certified organic production and the development of products based on origin and quality such as </w:t>
      </w:r>
      <w:r w:rsidRPr="00BC7BB5">
        <w:rPr>
          <w:rFonts w:ascii="Times New Roman" w:hAnsi="Times New Roman" w:cs="Times New Roman"/>
          <w:i/>
        </w:rPr>
        <w:t>Signes Distinctifs d’Origine et de Qualité</w:t>
      </w:r>
      <w:r w:rsidRPr="00BC7BB5">
        <w:rPr>
          <w:rFonts w:ascii="Times New Roman" w:hAnsi="Times New Roman" w:cs="Times New Roman"/>
        </w:rPr>
        <w:t xml:space="preserve"> (SDOQs).</w:t>
      </w:r>
    </w:p>
    <w:p w14:paraId="5C292DE6" w14:textId="77777777" w:rsidR="00BD32FD" w:rsidRPr="00BC7BB5" w:rsidRDefault="00BD32FD" w:rsidP="00F561E8">
      <w:pPr>
        <w:widowControl w:val="0"/>
        <w:numPr>
          <w:ilvl w:val="0"/>
          <w:numId w:val="45"/>
        </w:numPr>
        <w:autoSpaceDE w:val="0"/>
        <w:autoSpaceDN w:val="0"/>
        <w:adjustRightInd w:val="0"/>
        <w:spacing w:after="0" w:line="240" w:lineRule="auto"/>
        <w:contextualSpacing/>
        <w:jc w:val="both"/>
        <w:textAlignment w:val="baseline"/>
        <w:rPr>
          <w:rFonts w:ascii="Times New Roman" w:hAnsi="Times New Roman" w:cs="Times New Roman"/>
        </w:rPr>
      </w:pPr>
      <w:r w:rsidRPr="00BC7BB5">
        <w:rPr>
          <w:rFonts w:ascii="Times New Roman" w:hAnsi="Times New Roman" w:cs="Times New Roman"/>
        </w:rPr>
        <w:t>Contribute to improving the production of public goods such as the security and safety of food products.</w:t>
      </w:r>
    </w:p>
    <w:p w14:paraId="32D2BFE6" w14:textId="77777777" w:rsidR="00BD32FD" w:rsidRPr="00BC7BB5" w:rsidRDefault="00BD32FD" w:rsidP="00F561E8">
      <w:pPr>
        <w:widowControl w:val="0"/>
        <w:numPr>
          <w:ilvl w:val="0"/>
          <w:numId w:val="45"/>
        </w:numPr>
        <w:autoSpaceDE w:val="0"/>
        <w:autoSpaceDN w:val="0"/>
        <w:adjustRightInd w:val="0"/>
        <w:spacing w:after="0" w:line="240" w:lineRule="auto"/>
        <w:contextualSpacing/>
        <w:jc w:val="both"/>
        <w:textAlignment w:val="baseline"/>
        <w:rPr>
          <w:rFonts w:ascii="Times New Roman" w:hAnsi="Times New Roman" w:cs="Times New Roman"/>
        </w:rPr>
      </w:pPr>
      <w:r w:rsidRPr="00BC7BB5">
        <w:rPr>
          <w:rFonts w:ascii="Times New Roman" w:hAnsi="Times New Roman" w:cs="Times New Roman"/>
        </w:rPr>
        <w:t xml:space="preserve">Create jobs, mainly local, in the construction phase for the Results Area 1 investments such as the wholesale market, and the investments in conditioning, storage and processing units.  </w:t>
      </w:r>
    </w:p>
    <w:p w14:paraId="5A18B13F" w14:textId="77777777" w:rsidR="00BD32FD" w:rsidRPr="00BC7BB5" w:rsidRDefault="00BD32FD" w:rsidP="00F561E8">
      <w:pPr>
        <w:widowControl w:val="0"/>
        <w:numPr>
          <w:ilvl w:val="0"/>
          <w:numId w:val="45"/>
        </w:numPr>
        <w:autoSpaceDE w:val="0"/>
        <w:autoSpaceDN w:val="0"/>
        <w:adjustRightInd w:val="0"/>
        <w:spacing w:after="0" w:line="240" w:lineRule="auto"/>
        <w:contextualSpacing/>
        <w:jc w:val="both"/>
        <w:textAlignment w:val="baseline"/>
        <w:rPr>
          <w:rFonts w:ascii="Times New Roman" w:hAnsi="Times New Roman" w:cs="Times New Roman"/>
        </w:rPr>
      </w:pPr>
      <w:r w:rsidRPr="00BC7BB5">
        <w:rPr>
          <w:rFonts w:ascii="Times New Roman" w:hAnsi="Times New Roman" w:cs="Times New Roman"/>
        </w:rPr>
        <w:t xml:space="preserve">Create opportunities for hiring and additional jobs, in particular through the incentives for companies investing in conditioning, storage and processing units, and maintain a focus on companies and cooperatives managed by women. </w:t>
      </w:r>
    </w:p>
    <w:p w14:paraId="00549DCD" w14:textId="77777777" w:rsidR="00BD32FD" w:rsidRPr="00BC7BB5" w:rsidRDefault="00BD32FD" w:rsidP="00F561E8">
      <w:pPr>
        <w:widowControl w:val="0"/>
        <w:numPr>
          <w:ilvl w:val="0"/>
          <w:numId w:val="45"/>
        </w:numPr>
        <w:autoSpaceDE w:val="0"/>
        <w:autoSpaceDN w:val="0"/>
        <w:adjustRightInd w:val="0"/>
        <w:spacing w:after="0" w:line="240" w:lineRule="auto"/>
        <w:contextualSpacing/>
        <w:jc w:val="both"/>
        <w:textAlignment w:val="baseline"/>
        <w:rPr>
          <w:rFonts w:ascii="Times New Roman" w:hAnsi="Times New Roman" w:cs="Times New Roman"/>
        </w:rPr>
      </w:pPr>
      <w:r w:rsidRPr="00BC7BB5">
        <w:rPr>
          <w:rFonts w:ascii="Times New Roman" w:hAnsi="Times New Roman" w:cs="Times New Roman"/>
        </w:rPr>
        <w:t>Awareness raising for SMEs and cooperatives through the interprofessions supported by the Program on applicable labor laws, including on child labor, and other applicable regulations such as requirements for registration with the National Social Security Fund (CNSS).</w:t>
      </w:r>
    </w:p>
    <w:p w14:paraId="493661C4" w14:textId="77777777" w:rsidR="00BD32FD" w:rsidRPr="00BC7BB5" w:rsidRDefault="00BD32FD" w:rsidP="00F561E8">
      <w:pPr>
        <w:widowControl w:val="0"/>
        <w:numPr>
          <w:ilvl w:val="0"/>
          <w:numId w:val="45"/>
        </w:numPr>
        <w:autoSpaceDE w:val="0"/>
        <w:autoSpaceDN w:val="0"/>
        <w:adjustRightInd w:val="0"/>
        <w:spacing w:after="0" w:line="240" w:lineRule="auto"/>
        <w:contextualSpacing/>
        <w:jc w:val="both"/>
        <w:textAlignment w:val="baseline"/>
        <w:rPr>
          <w:rFonts w:ascii="Times New Roman" w:hAnsi="Times New Roman" w:cs="Times New Roman"/>
        </w:rPr>
      </w:pPr>
      <w:r w:rsidRPr="00BC7BB5">
        <w:rPr>
          <w:rFonts w:ascii="Times New Roman" w:hAnsi="Times New Roman" w:cs="Times New Roman"/>
        </w:rPr>
        <w:t>Improve the situation of the many women who are involved in agribusiness and agricultural activities and who lack basic education, and contribute to the reduction of social stigma to which women are subject.</w:t>
      </w:r>
    </w:p>
    <w:p w14:paraId="4651810F" w14:textId="77777777" w:rsidR="00BD32FD" w:rsidRPr="00BC7BB5" w:rsidRDefault="00BD32FD" w:rsidP="00F561E8">
      <w:pPr>
        <w:widowControl w:val="0"/>
        <w:numPr>
          <w:ilvl w:val="0"/>
          <w:numId w:val="45"/>
        </w:numPr>
        <w:autoSpaceDE w:val="0"/>
        <w:autoSpaceDN w:val="0"/>
        <w:adjustRightInd w:val="0"/>
        <w:spacing w:after="0" w:line="240" w:lineRule="auto"/>
        <w:contextualSpacing/>
        <w:jc w:val="both"/>
        <w:textAlignment w:val="baseline"/>
        <w:rPr>
          <w:rFonts w:ascii="Times New Roman" w:hAnsi="Times New Roman" w:cs="Times New Roman"/>
        </w:rPr>
      </w:pPr>
      <w:r w:rsidRPr="00BC7BB5">
        <w:rPr>
          <w:rFonts w:ascii="Times New Roman" w:hAnsi="Times New Roman" w:cs="Times New Roman"/>
        </w:rPr>
        <w:t>Improve the situation of small traders, operators, and formal and informal workers in wholesale markets in the Rabat-Salé-Kénitra region affected by the modernization of market infrastructures, leading to a reduction in risks to workers’ health and improvements to their working conditions.</w:t>
      </w:r>
    </w:p>
    <w:p w14:paraId="3FD0F10B" w14:textId="77C2B457" w:rsidR="00BD32FD" w:rsidRPr="00BC7BB5" w:rsidRDefault="00BD32FD" w:rsidP="00F561E8">
      <w:pPr>
        <w:widowControl w:val="0"/>
        <w:numPr>
          <w:ilvl w:val="0"/>
          <w:numId w:val="45"/>
        </w:numPr>
        <w:autoSpaceDE w:val="0"/>
        <w:autoSpaceDN w:val="0"/>
        <w:adjustRightInd w:val="0"/>
        <w:spacing w:after="0" w:line="240" w:lineRule="auto"/>
        <w:contextualSpacing/>
        <w:jc w:val="both"/>
        <w:textAlignment w:val="baseline"/>
        <w:rPr>
          <w:rFonts w:ascii="Times New Roman" w:hAnsi="Times New Roman" w:cs="Times New Roman"/>
        </w:rPr>
      </w:pPr>
      <w:r w:rsidRPr="00BC7BB5">
        <w:rPr>
          <w:rFonts w:ascii="Times New Roman" w:hAnsi="Times New Roman" w:cs="Times New Roman"/>
        </w:rPr>
        <w:t xml:space="preserve">Help to reduce the unemployment and under-employment rates among young men and women </w:t>
      </w:r>
      <w:r w:rsidRPr="00BC7BB5">
        <w:rPr>
          <w:rFonts w:ascii="Times New Roman" w:hAnsi="Times New Roman" w:cs="Times New Roman"/>
        </w:rPr>
        <w:lastRenderedPageBreak/>
        <w:t>(respectively 23.5</w:t>
      </w:r>
      <w:r w:rsidR="00B52D04">
        <w:rPr>
          <w:rFonts w:ascii="Times New Roman" w:hAnsi="Times New Roman" w:cs="Times New Roman"/>
        </w:rPr>
        <w:t xml:space="preserve"> percent</w:t>
      </w:r>
      <w:r w:rsidRPr="00BC7BB5">
        <w:rPr>
          <w:rFonts w:ascii="Times New Roman" w:hAnsi="Times New Roman" w:cs="Times New Roman"/>
        </w:rPr>
        <w:t xml:space="preserve"> and 16.3</w:t>
      </w:r>
      <w:r w:rsidR="00B52D04">
        <w:rPr>
          <w:rFonts w:ascii="Times New Roman" w:hAnsi="Times New Roman" w:cs="Times New Roman"/>
        </w:rPr>
        <w:t xml:space="preserve"> percent</w:t>
      </w:r>
      <w:r w:rsidRPr="00BC7BB5">
        <w:rPr>
          <w:rFonts w:ascii="Times New Roman" w:hAnsi="Times New Roman" w:cs="Times New Roman"/>
        </w:rPr>
        <w:t xml:space="preserve"> at the national level)</w:t>
      </w:r>
      <w:r w:rsidRPr="00BC7BB5">
        <w:rPr>
          <w:rStyle w:val="FootnoteReference"/>
          <w:rFonts w:ascii="Times New Roman" w:hAnsi="Times New Roman" w:cs="Times New Roman"/>
        </w:rPr>
        <w:footnoteReference w:id="68"/>
      </w:r>
      <w:r w:rsidRPr="00BC7BB5">
        <w:rPr>
          <w:rFonts w:ascii="Times New Roman" w:hAnsi="Times New Roman" w:cs="Times New Roman"/>
        </w:rPr>
        <w:t>; create incentives to foster the involvement of young men and women in agricultural and commercial activities, and opportunities to make the transition from informal work to formal hiring.</w:t>
      </w:r>
    </w:p>
    <w:p w14:paraId="57F077DE" w14:textId="77777777" w:rsidR="009D2C68" w:rsidRDefault="009D2C68" w:rsidP="00BD32FD">
      <w:pPr>
        <w:spacing w:line="240" w:lineRule="auto"/>
        <w:rPr>
          <w:rFonts w:ascii="Times New Roman" w:hAnsi="Times New Roman" w:cs="Times New Roman"/>
          <w:b/>
          <w:bCs/>
          <w:i/>
        </w:rPr>
      </w:pPr>
    </w:p>
    <w:p w14:paraId="42AF9AA1" w14:textId="744DE7B7" w:rsidR="00BD32FD" w:rsidRPr="00B52D04" w:rsidRDefault="00B52D04" w:rsidP="00BD32FD">
      <w:pPr>
        <w:spacing w:line="240" w:lineRule="auto"/>
        <w:rPr>
          <w:rFonts w:ascii="Times New Roman" w:hAnsi="Times New Roman" w:cs="Times New Roman"/>
          <w:b/>
          <w:bCs/>
          <w:i/>
        </w:rPr>
      </w:pPr>
      <w:r w:rsidRPr="00B52D04">
        <w:rPr>
          <w:rFonts w:ascii="Times New Roman" w:hAnsi="Times New Roman" w:cs="Times New Roman"/>
          <w:b/>
          <w:bCs/>
          <w:i/>
        </w:rPr>
        <w:t xml:space="preserve">Environmental and </w:t>
      </w:r>
      <w:r w:rsidR="0007765B">
        <w:rPr>
          <w:rFonts w:ascii="Times New Roman" w:hAnsi="Times New Roman" w:cs="Times New Roman"/>
          <w:b/>
          <w:bCs/>
          <w:i/>
        </w:rPr>
        <w:t>S</w:t>
      </w:r>
      <w:r w:rsidR="0007765B" w:rsidRPr="00B52D04">
        <w:rPr>
          <w:rFonts w:ascii="Times New Roman" w:hAnsi="Times New Roman" w:cs="Times New Roman"/>
          <w:b/>
          <w:bCs/>
          <w:i/>
        </w:rPr>
        <w:t xml:space="preserve">ocial </w:t>
      </w:r>
      <w:r w:rsidR="0007765B">
        <w:rPr>
          <w:rFonts w:ascii="Times New Roman" w:hAnsi="Times New Roman" w:cs="Times New Roman"/>
          <w:b/>
          <w:bCs/>
          <w:i/>
        </w:rPr>
        <w:t>R</w:t>
      </w:r>
      <w:r w:rsidR="0007765B" w:rsidRPr="00B52D04">
        <w:rPr>
          <w:rFonts w:ascii="Times New Roman" w:hAnsi="Times New Roman" w:cs="Times New Roman"/>
          <w:b/>
          <w:bCs/>
          <w:i/>
        </w:rPr>
        <w:t xml:space="preserve">isks </w:t>
      </w:r>
      <w:r w:rsidRPr="00B52D04">
        <w:rPr>
          <w:rFonts w:ascii="Times New Roman" w:hAnsi="Times New Roman" w:cs="Times New Roman"/>
          <w:b/>
          <w:bCs/>
          <w:i/>
        </w:rPr>
        <w:t xml:space="preserve">of the </w:t>
      </w:r>
      <w:r w:rsidR="0007765B">
        <w:rPr>
          <w:rFonts w:ascii="Times New Roman" w:hAnsi="Times New Roman" w:cs="Times New Roman"/>
          <w:b/>
          <w:bCs/>
          <w:i/>
        </w:rPr>
        <w:t>P</w:t>
      </w:r>
      <w:r w:rsidR="0007765B" w:rsidRPr="00B52D04">
        <w:rPr>
          <w:rFonts w:ascii="Times New Roman" w:hAnsi="Times New Roman" w:cs="Times New Roman"/>
          <w:b/>
          <w:bCs/>
          <w:i/>
        </w:rPr>
        <w:t>rogram</w:t>
      </w:r>
    </w:p>
    <w:p w14:paraId="5B4A4348" w14:textId="77D106E6" w:rsidR="00BD32FD" w:rsidRPr="00BC7BB5" w:rsidRDefault="00BD32FD" w:rsidP="003B5755">
      <w:pPr>
        <w:pStyle w:val="Style7"/>
        <w:spacing w:line="240" w:lineRule="auto"/>
        <w:ind w:left="0" w:firstLine="0"/>
        <w:rPr>
          <w:rFonts w:ascii="Times New Roman" w:hAnsi="Times New Roman" w:cs="Times New Roman"/>
        </w:rPr>
      </w:pPr>
      <w:r w:rsidRPr="00BC7BB5">
        <w:rPr>
          <w:rFonts w:ascii="Times New Roman" w:hAnsi="Times New Roman"/>
        </w:rPr>
        <w:t xml:space="preserve">Overall, the negative environmental and social risks associated with the </w:t>
      </w:r>
      <w:r w:rsidR="003D73FA">
        <w:rPr>
          <w:rFonts w:ascii="Times New Roman" w:hAnsi="Times New Roman"/>
        </w:rPr>
        <w:t>P</w:t>
      </w:r>
      <w:r w:rsidR="003D73FA" w:rsidRPr="00BC7BB5">
        <w:rPr>
          <w:rFonts w:ascii="Times New Roman" w:hAnsi="Times New Roman"/>
        </w:rPr>
        <w:t xml:space="preserve">rogram </w:t>
      </w:r>
      <w:r w:rsidRPr="00BC7BB5">
        <w:rPr>
          <w:rFonts w:ascii="Times New Roman" w:hAnsi="Times New Roman"/>
        </w:rPr>
        <w:t>are</w:t>
      </w:r>
      <w:r w:rsidRPr="00BC7BB5">
        <w:rPr>
          <w:rFonts w:ascii="Times New Roman" w:hAnsi="Times New Roman"/>
          <w:b/>
          <w:i/>
        </w:rPr>
        <w:t xml:space="preserve"> </w:t>
      </w:r>
      <w:r w:rsidRPr="00B414A9">
        <w:rPr>
          <w:rFonts w:ascii="Times New Roman" w:hAnsi="Times New Roman"/>
          <w:i/>
        </w:rPr>
        <w:t>substantial</w:t>
      </w:r>
      <w:r w:rsidR="00896ECE">
        <w:rPr>
          <w:rFonts w:ascii="Times New Roman" w:hAnsi="Times New Roman"/>
        </w:rPr>
        <w:t>. The related impacts</w:t>
      </w:r>
      <w:r w:rsidRPr="00BC7BB5">
        <w:rPr>
          <w:rFonts w:ascii="Times New Roman" w:hAnsi="Times New Roman"/>
        </w:rPr>
        <w:t xml:space="preserve"> will be </w:t>
      </w:r>
      <w:r w:rsidR="000D4198" w:rsidRPr="00BC7BB5">
        <w:rPr>
          <w:rFonts w:ascii="Times New Roman" w:hAnsi="Times New Roman"/>
        </w:rPr>
        <w:t>m</w:t>
      </w:r>
      <w:r w:rsidR="000D4198">
        <w:rPr>
          <w:rFonts w:ascii="Times New Roman" w:hAnsi="Times New Roman"/>
        </w:rPr>
        <w:t>oderate</w:t>
      </w:r>
      <w:r w:rsidRPr="00BC7BB5">
        <w:rPr>
          <w:rFonts w:ascii="Times New Roman" w:hAnsi="Times New Roman"/>
        </w:rPr>
        <w:t>, reversible, and easily mitigated. They will be easy to identify in advance and to prevent and minimize with effective mitigation measures, and moreover may be subject to a simple system of environmental control and monitoring making it possible to identify and manage potential risks in real time. This is related to the following aspects:</w:t>
      </w:r>
    </w:p>
    <w:p w14:paraId="4B040410" w14:textId="77777777" w:rsidR="00BD32FD" w:rsidRPr="00BC7BB5" w:rsidRDefault="00BD32FD" w:rsidP="00BD32FD">
      <w:pPr>
        <w:pStyle w:val="Style7"/>
        <w:numPr>
          <w:ilvl w:val="0"/>
          <w:numId w:val="0"/>
        </w:numPr>
        <w:spacing w:line="240" w:lineRule="auto"/>
        <w:rPr>
          <w:rFonts w:ascii="Times New Roman" w:hAnsi="Times New Roman" w:cs="Times New Roman"/>
        </w:rPr>
      </w:pPr>
    </w:p>
    <w:p w14:paraId="741CAAA8" w14:textId="2C8BAC48" w:rsidR="00BD32FD" w:rsidRPr="00B52D04" w:rsidRDefault="00BD32FD" w:rsidP="00F561E8">
      <w:pPr>
        <w:widowControl w:val="0"/>
        <w:numPr>
          <w:ilvl w:val="0"/>
          <w:numId w:val="46"/>
        </w:numPr>
        <w:autoSpaceDE w:val="0"/>
        <w:autoSpaceDN w:val="0"/>
        <w:adjustRightInd w:val="0"/>
        <w:spacing w:after="0" w:line="240" w:lineRule="auto"/>
        <w:contextualSpacing/>
        <w:jc w:val="both"/>
        <w:textAlignment w:val="baseline"/>
        <w:rPr>
          <w:rFonts w:ascii="Times New Roman" w:hAnsi="Times New Roman" w:cs="Times New Roman"/>
        </w:rPr>
      </w:pPr>
      <w:r w:rsidRPr="00B52D04">
        <w:rPr>
          <w:rFonts w:ascii="Times New Roman" w:hAnsi="Times New Roman" w:cs="Times New Roman"/>
        </w:rPr>
        <w:t xml:space="preserve">The nature of the program, conceived as a </w:t>
      </w:r>
      <w:r w:rsidR="00896ECE">
        <w:rPr>
          <w:rFonts w:ascii="Times New Roman" w:hAnsi="Times New Roman" w:cs="Times New Roman"/>
        </w:rPr>
        <w:t>P</w:t>
      </w:r>
      <w:r w:rsidR="003D73FA">
        <w:rPr>
          <w:rFonts w:ascii="Times New Roman" w:hAnsi="Times New Roman" w:cs="Times New Roman"/>
        </w:rPr>
        <w:t>f</w:t>
      </w:r>
      <w:r w:rsidR="00896ECE">
        <w:rPr>
          <w:rFonts w:ascii="Times New Roman" w:hAnsi="Times New Roman" w:cs="Times New Roman"/>
        </w:rPr>
        <w:t>or</w:t>
      </w:r>
      <w:r w:rsidR="00FE4DD8" w:rsidRPr="00B52D04">
        <w:rPr>
          <w:rFonts w:ascii="Times New Roman" w:hAnsi="Times New Roman" w:cs="Times New Roman"/>
        </w:rPr>
        <w:t>R</w:t>
      </w:r>
      <w:r w:rsidRPr="00B52D04">
        <w:rPr>
          <w:rFonts w:ascii="Times New Roman" w:hAnsi="Times New Roman" w:cs="Times New Roman"/>
        </w:rPr>
        <w:t>, which by definition excludes any investment entailing major environmental and social risks (namely, activities classified as Category A), in accordance with the provisions of the World Bank</w:t>
      </w:r>
      <w:r w:rsidR="003D73FA">
        <w:rPr>
          <w:rFonts w:ascii="Times New Roman" w:hAnsi="Times New Roman" w:cs="Times New Roman"/>
        </w:rPr>
        <w:t>’s</w:t>
      </w:r>
      <w:r w:rsidRPr="00B52D04">
        <w:rPr>
          <w:rFonts w:ascii="Times New Roman" w:hAnsi="Times New Roman" w:cs="Times New Roman"/>
        </w:rPr>
        <w:t xml:space="preserve"> </w:t>
      </w:r>
      <w:r w:rsidR="003D73FA">
        <w:rPr>
          <w:rFonts w:ascii="Times New Roman" w:hAnsi="Times New Roman" w:cs="Times New Roman"/>
        </w:rPr>
        <w:t>P</w:t>
      </w:r>
      <w:r w:rsidR="003D73FA" w:rsidRPr="00B52D04">
        <w:rPr>
          <w:rFonts w:ascii="Times New Roman" w:hAnsi="Times New Roman" w:cs="Times New Roman"/>
        </w:rPr>
        <w:t xml:space="preserve">olicy </w:t>
      </w:r>
      <w:r w:rsidR="003D73FA">
        <w:rPr>
          <w:rFonts w:ascii="Times New Roman" w:hAnsi="Times New Roman" w:cs="Times New Roman"/>
        </w:rPr>
        <w:t xml:space="preserve">and Directive </w:t>
      </w:r>
      <w:r w:rsidRPr="00B52D04">
        <w:rPr>
          <w:rFonts w:ascii="Times New Roman" w:hAnsi="Times New Roman" w:cs="Times New Roman"/>
        </w:rPr>
        <w:t xml:space="preserve">on </w:t>
      </w:r>
      <w:r w:rsidR="00896ECE">
        <w:rPr>
          <w:rFonts w:ascii="Times New Roman" w:hAnsi="Times New Roman" w:cs="Times New Roman"/>
        </w:rPr>
        <w:t>P</w:t>
      </w:r>
      <w:r w:rsidR="003D73FA">
        <w:rPr>
          <w:rFonts w:ascii="Times New Roman" w:hAnsi="Times New Roman" w:cs="Times New Roman"/>
        </w:rPr>
        <w:t>f</w:t>
      </w:r>
      <w:r w:rsidR="00896ECE">
        <w:rPr>
          <w:rFonts w:ascii="Times New Roman" w:hAnsi="Times New Roman" w:cs="Times New Roman"/>
        </w:rPr>
        <w:t>or</w:t>
      </w:r>
      <w:r w:rsidR="00FE4DD8" w:rsidRPr="00B52D04">
        <w:rPr>
          <w:rFonts w:ascii="Times New Roman" w:hAnsi="Times New Roman" w:cs="Times New Roman"/>
        </w:rPr>
        <w:t>R</w:t>
      </w:r>
      <w:r w:rsidR="003D73FA">
        <w:rPr>
          <w:rFonts w:ascii="Times New Roman" w:hAnsi="Times New Roman" w:cs="Times New Roman"/>
        </w:rPr>
        <w:t xml:space="preserve"> Financing</w:t>
      </w:r>
      <w:r w:rsidRPr="00B52D04">
        <w:rPr>
          <w:rFonts w:ascii="Times New Roman" w:hAnsi="Times New Roman" w:cs="Times New Roman"/>
        </w:rPr>
        <w:t xml:space="preserve">. Therefore, in the context of the </w:t>
      </w:r>
      <w:r w:rsidR="00896ECE">
        <w:rPr>
          <w:rFonts w:ascii="Times New Roman" w:hAnsi="Times New Roman" w:cs="Times New Roman"/>
        </w:rPr>
        <w:t>P</w:t>
      </w:r>
      <w:r w:rsidR="003D73FA">
        <w:rPr>
          <w:rFonts w:ascii="Times New Roman" w:hAnsi="Times New Roman" w:cs="Times New Roman"/>
        </w:rPr>
        <w:t>f</w:t>
      </w:r>
      <w:r w:rsidR="00896ECE">
        <w:rPr>
          <w:rFonts w:ascii="Times New Roman" w:hAnsi="Times New Roman" w:cs="Times New Roman"/>
        </w:rPr>
        <w:t>or</w:t>
      </w:r>
      <w:r w:rsidR="00FE4DD8" w:rsidRPr="00B52D04">
        <w:rPr>
          <w:rFonts w:ascii="Times New Roman" w:hAnsi="Times New Roman" w:cs="Times New Roman"/>
        </w:rPr>
        <w:t>R</w:t>
      </w:r>
      <w:r w:rsidRPr="00B52D04">
        <w:rPr>
          <w:rFonts w:ascii="Times New Roman" w:hAnsi="Times New Roman" w:cs="Times New Roman"/>
        </w:rPr>
        <w:t>, an activity will be considered ineligible</w:t>
      </w:r>
      <w:r w:rsidR="006D4589">
        <w:rPr>
          <w:rFonts w:ascii="Times New Roman" w:hAnsi="Times New Roman" w:cs="Times New Roman"/>
        </w:rPr>
        <w:t>,</w:t>
      </w:r>
      <w:r w:rsidRPr="00B52D04">
        <w:rPr>
          <w:rFonts w:ascii="Times New Roman" w:hAnsi="Times New Roman" w:cs="Times New Roman"/>
        </w:rPr>
        <w:t xml:space="preserve"> if it could: </w:t>
      </w:r>
    </w:p>
    <w:p w14:paraId="0ACBEEDD" w14:textId="77777777" w:rsidR="00BD32FD" w:rsidRPr="00BC7BB5" w:rsidRDefault="00BD32FD" w:rsidP="00F561E8">
      <w:pPr>
        <w:pStyle w:val="Paranumbering"/>
        <w:numPr>
          <w:ilvl w:val="0"/>
          <w:numId w:val="47"/>
        </w:numPr>
        <w:spacing w:before="0" w:after="0" w:line="240" w:lineRule="auto"/>
        <w:rPr>
          <w:sz w:val="22"/>
          <w:szCs w:val="22"/>
        </w:rPr>
      </w:pPr>
      <w:r w:rsidRPr="00BC7BB5">
        <w:rPr>
          <w:sz w:val="22"/>
          <w:szCs w:val="22"/>
        </w:rPr>
        <w:t>have an irreversible impact on natural resources;</w:t>
      </w:r>
    </w:p>
    <w:p w14:paraId="4C974344" w14:textId="77777777" w:rsidR="00BD32FD" w:rsidRPr="00BC7BB5" w:rsidRDefault="00BD32FD" w:rsidP="00F561E8">
      <w:pPr>
        <w:pStyle w:val="Paranumbering"/>
        <w:numPr>
          <w:ilvl w:val="0"/>
          <w:numId w:val="47"/>
        </w:numPr>
        <w:spacing w:before="0" w:after="0" w:line="240" w:lineRule="auto"/>
        <w:rPr>
          <w:sz w:val="22"/>
          <w:szCs w:val="22"/>
        </w:rPr>
      </w:pPr>
      <w:r w:rsidRPr="00BC7BB5">
        <w:rPr>
          <w:sz w:val="22"/>
          <w:szCs w:val="22"/>
        </w:rPr>
        <w:t>have an irreversible impact on physical cultural resources of an archaeological or historical character;</w:t>
      </w:r>
    </w:p>
    <w:p w14:paraId="61FC5D45" w14:textId="77777777" w:rsidR="00BD32FD" w:rsidRPr="00BC7BB5" w:rsidRDefault="00BD32FD" w:rsidP="00F561E8">
      <w:pPr>
        <w:pStyle w:val="Paranumbering"/>
        <w:numPr>
          <w:ilvl w:val="0"/>
          <w:numId w:val="47"/>
        </w:numPr>
        <w:spacing w:before="0" w:after="0" w:line="240" w:lineRule="auto"/>
        <w:rPr>
          <w:sz w:val="22"/>
          <w:szCs w:val="22"/>
        </w:rPr>
      </w:pPr>
      <w:r w:rsidRPr="00BC7BB5">
        <w:rPr>
          <w:bCs/>
          <w:sz w:val="22"/>
          <w:szCs w:val="22"/>
        </w:rPr>
        <w:t xml:space="preserve">require </w:t>
      </w:r>
      <w:r w:rsidRPr="00BC7BB5">
        <w:rPr>
          <w:sz w:val="22"/>
          <w:szCs w:val="22"/>
        </w:rPr>
        <w:t>significant displacement of persons, involuntary land acquisition, demolition of private houses, or significant restrictions on access to economic resources;</w:t>
      </w:r>
    </w:p>
    <w:p w14:paraId="29930A8B" w14:textId="77777777" w:rsidR="00BD32FD" w:rsidRPr="00BC7BB5" w:rsidRDefault="00BD32FD" w:rsidP="00F561E8">
      <w:pPr>
        <w:pStyle w:val="Paranumbering"/>
        <w:numPr>
          <w:ilvl w:val="0"/>
          <w:numId w:val="47"/>
        </w:numPr>
        <w:spacing w:before="0" w:after="0" w:line="240" w:lineRule="auto"/>
        <w:rPr>
          <w:sz w:val="22"/>
          <w:szCs w:val="22"/>
        </w:rPr>
      </w:pPr>
      <w:r w:rsidRPr="00BC7BB5">
        <w:rPr>
          <w:sz w:val="22"/>
          <w:szCs w:val="22"/>
        </w:rPr>
        <w:t xml:space="preserve">exacerbate social conflicts. </w:t>
      </w:r>
    </w:p>
    <w:p w14:paraId="09082E3F" w14:textId="77777777" w:rsidR="00BD32FD" w:rsidRPr="00BC7BB5" w:rsidRDefault="00BD32FD" w:rsidP="00F561E8">
      <w:pPr>
        <w:widowControl w:val="0"/>
        <w:numPr>
          <w:ilvl w:val="0"/>
          <w:numId w:val="46"/>
        </w:numPr>
        <w:autoSpaceDE w:val="0"/>
        <w:autoSpaceDN w:val="0"/>
        <w:adjustRightInd w:val="0"/>
        <w:spacing w:after="0" w:line="240" w:lineRule="auto"/>
        <w:contextualSpacing/>
        <w:jc w:val="both"/>
        <w:textAlignment w:val="baseline"/>
        <w:rPr>
          <w:rFonts w:ascii="Times New Roman" w:hAnsi="Times New Roman" w:cs="Times New Roman"/>
        </w:rPr>
      </w:pPr>
      <w:r w:rsidRPr="00B52D04">
        <w:rPr>
          <w:rFonts w:ascii="Times New Roman" w:hAnsi="Times New Roman" w:cs="Times New Roman"/>
        </w:rPr>
        <w:t>The limited number of activities identified as capable of generating environmental risks.</w:t>
      </w:r>
    </w:p>
    <w:p w14:paraId="19E2DFC3" w14:textId="77777777" w:rsidR="00BD32FD" w:rsidRPr="00BC7BB5" w:rsidRDefault="00BD32FD" w:rsidP="00F561E8">
      <w:pPr>
        <w:widowControl w:val="0"/>
        <w:numPr>
          <w:ilvl w:val="0"/>
          <w:numId w:val="46"/>
        </w:numPr>
        <w:autoSpaceDE w:val="0"/>
        <w:autoSpaceDN w:val="0"/>
        <w:adjustRightInd w:val="0"/>
        <w:spacing w:after="0" w:line="240" w:lineRule="auto"/>
        <w:contextualSpacing/>
        <w:jc w:val="both"/>
        <w:textAlignment w:val="baseline"/>
        <w:rPr>
          <w:rFonts w:ascii="Times New Roman" w:hAnsi="Times New Roman" w:cs="Times New Roman"/>
        </w:rPr>
      </w:pPr>
      <w:r w:rsidRPr="00B52D04">
        <w:rPr>
          <w:rFonts w:ascii="Times New Roman" w:hAnsi="Times New Roman" w:cs="Times New Roman"/>
        </w:rPr>
        <w:t xml:space="preserve">The nature of the activities of the Program means they are mostly dedicated to strengthening the processes of the different stakeholders in the </w:t>
      </w:r>
      <w:r w:rsidRPr="00BC7BB5">
        <w:rPr>
          <w:rFonts w:ascii="Times New Roman" w:hAnsi="Times New Roman" w:cs="Times New Roman"/>
        </w:rPr>
        <w:t>program—ONSSA, MAPMDREF, ADA, the interprofessions, producers and companies in the</w:t>
      </w:r>
      <w:r w:rsidRPr="00B52D04">
        <w:rPr>
          <w:rFonts w:ascii="Times New Roman" w:hAnsi="Times New Roman" w:cs="Times New Roman"/>
        </w:rPr>
        <w:t xml:space="preserve"> agri-food sector—and should not generate pollution or significant degradation of the environment. </w:t>
      </w:r>
    </w:p>
    <w:p w14:paraId="2FAEEA26" w14:textId="77777777" w:rsidR="00BD32FD" w:rsidRPr="00BC7BB5" w:rsidRDefault="00BD32FD" w:rsidP="00F561E8">
      <w:pPr>
        <w:widowControl w:val="0"/>
        <w:numPr>
          <w:ilvl w:val="0"/>
          <w:numId w:val="46"/>
        </w:numPr>
        <w:autoSpaceDE w:val="0"/>
        <w:autoSpaceDN w:val="0"/>
        <w:adjustRightInd w:val="0"/>
        <w:spacing w:after="0" w:line="240" w:lineRule="auto"/>
        <w:contextualSpacing/>
        <w:jc w:val="both"/>
        <w:textAlignment w:val="baseline"/>
        <w:rPr>
          <w:rFonts w:ascii="Times New Roman" w:hAnsi="Times New Roman" w:cs="Times New Roman"/>
        </w:rPr>
      </w:pPr>
      <w:r w:rsidRPr="00B52D04">
        <w:rPr>
          <w:rFonts w:ascii="Times New Roman" w:hAnsi="Times New Roman" w:cs="Times New Roman"/>
        </w:rPr>
        <w:t xml:space="preserve">Measures recommended for the mitigation and monitoring of impacts, which are known, controllable and effective. </w:t>
      </w:r>
    </w:p>
    <w:p w14:paraId="64597105" w14:textId="77777777" w:rsidR="00BD32FD" w:rsidRPr="00BC7BB5" w:rsidRDefault="00BD32FD" w:rsidP="00F561E8">
      <w:pPr>
        <w:widowControl w:val="0"/>
        <w:numPr>
          <w:ilvl w:val="0"/>
          <w:numId w:val="46"/>
        </w:numPr>
        <w:autoSpaceDE w:val="0"/>
        <w:autoSpaceDN w:val="0"/>
        <w:adjustRightInd w:val="0"/>
        <w:spacing w:after="0" w:line="240" w:lineRule="auto"/>
        <w:contextualSpacing/>
        <w:jc w:val="both"/>
        <w:textAlignment w:val="baseline"/>
        <w:rPr>
          <w:rFonts w:ascii="Times New Roman" w:hAnsi="Times New Roman" w:cs="Times New Roman"/>
        </w:rPr>
      </w:pPr>
      <w:r w:rsidRPr="00B52D04">
        <w:rPr>
          <w:rFonts w:ascii="Times New Roman" w:hAnsi="Times New Roman" w:cs="Times New Roman"/>
        </w:rPr>
        <w:t>The existence of institutions capable of managing the social and environmental aspects of the Program and a clear and complete legal framework.</w:t>
      </w:r>
    </w:p>
    <w:p w14:paraId="5651B604" w14:textId="77777777" w:rsidR="00BD32FD" w:rsidRPr="00BC7BB5" w:rsidRDefault="00BD32FD" w:rsidP="00BD32FD">
      <w:pPr>
        <w:pStyle w:val="Style7"/>
        <w:numPr>
          <w:ilvl w:val="0"/>
          <w:numId w:val="0"/>
        </w:numPr>
        <w:spacing w:line="240" w:lineRule="auto"/>
        <w:rPr>
          <w:rFonts w:ascii="Times New Roman" w:hAnsi="Times New Roman" w:cs="Times New Roman"/>
        </w:rPr>
      </w:pPr>
    </w:p>
    <w:p w14:paraId="17C09232" w14:textId="0D89A678" w:rsidR="00BD32FD" w:rsidRPr="00BC7BB5" w:rsidRDefault="00BD32FD" w:rsidP="003B5755">
      <w:pPr>
        <w:pStyle w:val="Style7"/>
        <w:spacing w:line="240" w:lineRule="auto"/>
        <w:ind w:left="0" w:firstLine="0"/>
        <w:rPr>
          <w:rFonts w:ascii="Times New Roman" w:hAnsi="Times New Roman"/>
        </w:rPr>
      </w:pPr>
      <w:r w:rsidRPr="00BC7BB5">
        <w:rPr>
          <w:rFonts w:ascii="Times New Roman" w:hAnsi="Times New Roman"/>
        </w:rPr>
        <w:t>Overall, the Program will have positive effects on the environment (introduction of sustainable techniques, proper management of agri-food waste, etc.) and the population (improvement of income and living conditions). The negative environmental and social impacts of th</w:t>
      </w:r>
      <w:r w:rsidR="00896ECE">
        <w:rPr>
          <w:rFonts w:ascii="Times New Roman" w:hAnsi="Times New Roman"/>
        </w:rPr>
        <w:t>e Program are limited, of</w:t>
      </w:r>
      <w:r w:rsidRPr="00BC7BB5">
        <w:rPr>
          <w:rFonts w:ascii="Times New Roman" w:hAnsi="Times New Roman"/>
        </w:rPr>
        <w:t xml:space="preserve"> </w:t>
      </w:r>
      <w:r w:rsidR="000D4198">
        <w:rPr>
          <w:rFonts w:ascii="Times New Roman" w:hAnsi="Times New Roman"/>
        </w:rPr>
        <w:t>moderate</w:t>
      </w:r>
      <w:r w:rsidR="000D4198" w:rsidRPr="00BC7BB5">
        <w:rPr>
          <w:rFonts w:ascii="Times New Roman" w:hAnsi="Times New Roman"/>
        </w:rPr>
        <w:t xml:space="preserve"> </w:t>
      </w:r>
      <w:r w:rsidRPr="00BC7BB5">
        <w:rPr>
          <w:rFonts w:ascii="Times New Roman" w:hAnsi="Times New Roman"/>
        </w:rPr>
        <w:t xml:space="preserve">magnitude, harmless, controllable and manageable. However, even if when taken individually the potential effects of the Program appear to be minimal, in the long term the cumulative impact of those negative effects could prove to be moderate. Therefore, environmental and social mitigation measures will be identified in order to reduce any potential negative effect. In addition, a rigorous system of environmental and social control and monitoring should make it possible to minimize those effects. </w:t>
      </w:r>
    </w:p>
    <w:p w14:paraId="51B53A5E" w14:textId="77777777" w:rsidR="00BD32FD" w:rsidRPr="00BC7BB5" w:rsidRDefault="00BD32FD" w:rsidP="00BD32FD">
      <w:pPr>
        <w:pStyle w:val="Style7"/>
        <w:numPr>
          <w:ilvl w:val="0"/>
          <w:numId w:val="0"/>
        </w:numPr>
        <w:spacing w:line="240" w:lineRule="auto"/>
      </w:pPr>
    </w:p>
    <w:p w14:paraId="308CF673" w14:textId="2BE23430" w:rsidR="00BD32FD" w:rsidRPr="00BC7BB5" w:rsidRDefault="00B9010D" w:rsidP="003B5755">
      <w:pPr>
        <w:pStyle w:val="Style7"/>
        <w:spacing w:line="240" w:lineRule="auto"/>
        <w:ind w:left="0" w:firstLine="0"/>
        <w:rPr>
          <w:rFonts w:ascii="Times New Roman" w:hAnsi="Times New Roman" w:cs="Times New Roman"/>
        </w:rPr>
      </w:pPr>
      <w:r w:rsidRPr="00BC7BB5">
        <w:rPr>
          <w:rFonts w:ascii="Times New Roman" w:hAnsi="Times New Roman" w:cs="Times New Roman"/>
        </w:rPr>
        <w:t xml:space="preserve">All activities involving physical displacement will be excluded from the Program, and no involuntary land taking will be allowed. For activities supporting private sector entities, the Program will not result in involuntary resettlement or involuntary land acquisition, as expropriation is excluded under national systems for private sector activities. </w:t>
      </w:r>
      <w:r>
        <w:rPr>
          <w:rFonts w:ascii="Times New Roman" w:hAnsi="Times New Roman" w:cs="Times New Roman"/>
        </w:rPr>
        <w:t>Under the Program, a</w:t>
      </w:r>
      <w:r w:rsidRPr="00BC7BB5">
        <w:rPr>
          <w:rFonts w:ascii="Times New Roman" w:hAnsi="Times New Roman" w:cs="Times New Roman"/>
        </w:rPr>
        <w:t xml:space="preserve">ctivities engendering civil works on private sector sites and financed through the grant mechanism of the FDA will use, if any, land acquired using standard commercial exchanges between </w:t>
      </w:r>
      <w:r>
        <w:rPr>
          <w:rFonts w:ascii="Times New Roman" w:hAnsi="Times New Roman" w:cs="Times New Roman"/>
        </w:rPr>
        <w:t xml:space="preserve">a </w:t>
      </w:r>
      <w:r w:rsidRPr="00BC7BB5">
        <w:rPr>
          <w:rFonts w:ascii="Times New Roman" w:hAnsi="Times New Roman" w:cs="Times New Roman"/>
        </w:rPr>
        <w:t xml:space="preserve">willing buyer and </w:t>
      </w:r>
      <w:r>
        <w:rPr>
          <w:rFonts w:ascii="Times New Roman" w:hAnsi="Times New Roman" w:cs="Times New Roman"/>
        </w:rPr>
        <w:t xml:space="preserve">a </w:t>
      </w:r>
      <w:r w:rsidRPr="00BC7BB5">
        <w:rPr>
          <w:rFonts w:ascii="Times New Roman" w:hAnsi="Times New Roman" w:cs="Times New Roman"/>
        </w:rPr>
        <w:t xml:space="preserve">willing seller.  The Program, through the standard grant request mechanism under the FDA procedures, includes a verification mechanism for </w:t>
      </w:r>
      <w:r w:rsidRPr="00BC7BB5">
        <w:rPr>
          <w:rFonts w:ascii="Times New Roman" w:hAnsi="Times New Roman" w:cs="Times New Roman"/>
        </w:rPr>
        <w:lastRenderedPageBreak/>
        <w:t xml:space="preserve">the status of real estate to be used for the activities. </w:t>
      </w:r>
      <w:r>
        <w:rPr>
          <w:rFonts w:ascii="Times New Roman" w:hAnsi="Times New Roman" w:cs="Times New Roman"/>
        </w:rPr>
        <w:t>Land</w:t>
      </w:r>
      <w:r w:rsidRPr="00BC7BB5">
        <w:rPr>
          <w:rFonts w:ascii="Times New Roman" w:hAnsi="Times New Roman" w:cs="Times New Roman"/>
        </w:rPr>
        <w:t xml:space="preserve"> used </w:t>
      </w:r>
      <w:r w:rsidR="00DB1D06">
        <w:rPr>
          <w:rFonts w:ascii="Times New Roman" w:hAnsi="Times New Roman" w:cs="Times New Roman"/>
        </w:rPr>
        <w:t>for</w:t>
      </w:r>
      <w:r w:rsidRPr="00BC7BB5">
        <w:rPr>
          <w:rFonts w:ascii="Times New Roman" w:hAnsi="Times New Roman" w:cs="Times New Roman"/>
        </w:rPr>
        <w:t xml:space="preserve"> publi</w:t>
      </w:r>
      <w:r>
        <w:rPr>
          <w:rFonts w:ascii="Times New Roman" w:hAnsi="Times New Roman" w:cs="Times New Roman"/>
        </w:rPr>
        <w:t>c sector activities, such as for</w:t>
      </w:r>
      <w:r w:rsidRPr="00BC7BB5">
        <w:rPr>
          <w:rFonts w:ascii="Times New Roman" w:hAnsi="Times New Roman" w:cs="Times New Roman"/>
        </w:rPr>
        <w:t xml:space="preserve"> CIA</w:t>
      </w:r>
      <w:r>
        <w:rPr>
          <w:rFonts w:ascii="Times New Roman" w:hAnsi="Times New Roman" w:cs="Times New Roman"/>
        </w:rPr>
        <w:t>s</w:t>
      </w:r>
      <w:r w:rsidRPr="00BC7BB5">
        <w:rPr>
          <w:rFonts w:ascii="Times New Roman" w:hAnsi="Times New Roman" w:cs="Times New Roman"/>
        </w:rPr>
        <w:t xml:space="preserve"> or the wholesale market, will be in the </w:t>
      </w:r>
      <w:r>
        <w:rPr>
          <w:rFonts w:ascii="Times New Roman" w:hAnsi="Times New Roman" w:cs="Times New Roman"/>
        </w:rPr>
        <w:t>g</w:t>
      </w:r>
      <w:r w:rsidRPr="00BC7BB5">
        <w:rPr>
          <w:rFonts w:ascii="Times New Roman" w:hAnsi="Times New Roman" w:cs="Times New Roman"/>
        </w:rPr>
        <w:t xml:space="preserve">overnment </w:t>
      </w:r>
      <w:r>
        <w:rPr>
          <w:rFonts w:ascii="Times New Roman" w:hAnsi="Times New Roman" w:cs="Times New Roman"/>
        </w:rPr>
        <w:t>d</w:t>
      </w:r>
      <w:r w:rsidRPr="00BC7BB5">
        <w:rPr>
          <w:rFonts w:ascii="Times New Roman" w:hAnsi="Times New Roman" w:cs="Times New Roman"/>
        </w:rPr>
        <w:t xml:space="preserve">omain. </w:t>
      </w:r>
      <w:r w:rsidR="00DB1D06">
        <w:rPr>
          <w:rFonts w:ascii="Times New Roman" w:hAnsi="Times New Roman" w:cs="Times New Roman"/>
        </w:rPr>
        <w:t xml:space="preserve">Land used for public sector activities </w:t>
      </w:r>
      <w:r w:rsidRPr="00BC7BB5">
        <w:rPr>
          <w:rFonts w:ascii="Times New Roman" w:hAnsi="Times New Roman" w:cs="Times New Roman"/>
        </w:rPr>
        <w:t xml:space="preserve">may have been acquired using involuntary land taking under the Moroccan law </w:t>
      </w:r>
      <w:r>
        <w:rPr>
          <w:rFonts w:ascii="Times New Roman" w:hAnsi="Times New Roman" w:cs="Times New Roman"/>
        </w:rPr>
        <w:t xml:space="preserve">7-81 </w:t>
      </w:r>
      <w:r w:rsidRPr="00BC7BB5">
        <w:rPr>
          <w:rFonts w:ascii="Times New Roman" w:hAnsi="Times New Roman" w:cs="Times New Roman"/>
        </w:rPr>
        <w:t>on land expropriation for public util</w:t>
      </w:r>
      <w:r>
        <w:rPr>
          <w:rFonts w:ascii="Times New Roman" w:hAnsi="Times New Roman" w:cs="Times New Roman"/>
        </w:rPr>
        <w:t>ity projects prior to the P</w:t>
      </w:r>
      <w:r w:rsidRPr="00BC7BB5">
        <w:rPr>
          <w:rFonts w:ascii="Times New Roman" w:hAnsi="Times New Roman" w:cs="Times New Roman"/>
        </w:rPr>
        <w:t xml:space="preserve">rogram. The ESSA action plan requires the PMU to review the real estate status and identify any prior involuntary land acquisition. The social </w:t>
      </w:r>
      <w:r>
        <w:rPr>
          <w:rFonts w:ascii="Times New Roman" w:hAnsi="Times New Roman" w:cs="Times New Roman"/>
        </w:rPr>
        <w:t>and environmental specialist</w:t>
      </w:r>
      <w:r w:rsidRPr="00BC7BB5">
        <w:rPr>
          <w:rFonts w:ascii="Times New Roman" w:hAnsi="Times New Roman" w:cs="Times New Roman"/>
        </w:rPr>
        <w:t xml:space="preserve"> </w:t>
      </w:r>
      <w:r>
        <w:rPr>
          <w:rFonts w:ascii="Times New Roman" w:hAnsi="Times New Roman" w:cs="Times New Roman"/>
        </w:rPr>
        <w:t xml:space="preserve">of the PMU </w:t>
      </w:r>
      <w:r w:rsidRPr="00BC7BB5">
        <w:rPr>
          <w:rFonts w:ascii="Times New Roman" w:hAnsi="Times New Roman" w:cs="Times New Roman"/>
        </w:rPr>
        <w:t>will regularly review the files submitted to the one-stop-</w:t>
      </w:r>
      <w:r>
        <w:rPr>
          <w:rFonts w:ascii="Times New Roman" w:hAnsi="Times New Roman" w:cs="Times New Roman"/>
        </w:rPr>
        <w:t>shop</w:t>
      </w:r>
      <w:r w:rsidRPr="00BC7BB5">
        <w:rPr>
          <w:rFonts w:ascii="Times New Roman" w:hAnsi="Times New Roman" w:cs="Times New Roman"/>
        </w:rPr>
        <w:t>s of the FDA (</w:t>
      </w:r>
      <w:r w:rsidRPr="00BC7BB5">
        <w:rPr>
          <w:rFonts w:ascii="Times New Roman" w:hAnsi="Times New Roman" w:cs="Times New Roman"/>
          <w:i/>
        </w:rPr>
        <w:t>guichets uniques</w:t>
      </w:r>
      <w:r w:rsidRPr="00BC7BB5">
        <w:rPr>
          <w:rFonts w:ascii="Times New Roman" w:hAnsi="Times New Roman" w:cs="Times New Roman"/>
        </w:rPr>
        <w:t>)</w:t>
      </w:r>
      <w:r>
        <w:rPr>
          <w:rFonts w:ascii="Times New Roman" w:hAnsi="Times New Roman" w:cs="Times New Roman"/>
        </w:rPr>
        <w:t xml:space="preserve">. </w:t>
      </w:r>
      <w:r w:rsidRPr="00BC7BB5">
        <w:rPr>
          <w:rFonts w:ascii="Times New Roman" w:hAnsi="Times New Roman" w:cs="Times New Roman"/>
        </w:rPr>
        <w:t xml:space="preserve">In case any </w:t>
      </w:r>
      <w:r>
        <w:rPr>
          <w:rFonts w:ascii="Times New Roman" w:hAnsi="Times New Roman" w:cs="Times New Roman"/>
        </w:rPr>
        <w:t xml:space="preserve">prior </w:t>
      </w:r>
      <w:r w:rsidRPr="00BC7BB5">
        <w:rPr>
          <w:rFonts w:ascii="Times New Roman" w:hAnsi="Times New Roman" w:cs="Times New Roman"/>
        </w:rPr>
        <w:t xml:space="preserve">involuntary land takings are identified, the PMU will </w:t>
      </w:r>
      <w:r>
        <w:rPr>
          <w:rFonts w:ascii="Times New Roman" w:hAnsi="Times New Roman" w:cs="Times New Roman"/>
        </w:rPr>
        <w:t>undertake</w:t>
      </w:r>
      <w:r w:rsidRPr="00BC7BB5">
        <w:rPr>
          <w:rFonts w:ascii="Times New Roman" w:hAnsi="Times New Roman" w:cs="Times New Roman"/>
        </w:rPr>
        <w:t xml:space="preserve"> a review and, if need be, </w:t>
      </w:r>
      <w:r>
        <w:rPr>
          <w:rFonts w:ascii="Times New Roman" w:hAnsi="Times New Roman" w:cs="Times New Roman"/>
        </w:rPr>
        <w:t>prepare</w:t>
      </w:r>
      <w:r w:rsidRPr="00BC7BB5">
        <w:rPr>
          <w:rFonts w:ascii="Times New Roman" w:hAnsi="Times New Roman" w:cs="Times New Roman"/>
        </w:rPr>
        <w:t xml:space="preserve"> and implement a mitigation plan</w:t>
      </w:r>
      <w:r>
        <w:rPr>
          <w:rFonts w:ascii="Times New Roman" w:hAnsi="Times New Roman" w:cs="Times New Roman"/>
        </w:rPr>
        <w:t xml:space="preserve"> </w:t>
      </w:r>
      <w:r w:rsidRPr="00BC7BB5">
        <w:rPr>
          <w:rFonts w:ascii="Times New Roman" w:hAnsi="Times New Roman" w:cs="Times New Roman"/>
        </w:rPr>
        <w:t xml:space="preserve">to ensure that the core principles of the </w:t>
      </w:r>
      <w:r>
        <w:rPr>
          <w:rFonts w:ascii="Times New Roman" w:hAnsi="Times New Roman" w:cs="Times New Roman"/>
        </w:rPr>
        <w:t xml:space="preserve">World </w:t>
      </w:r>
      <w:r w:rsidRPr="00BC7BB5">
        <w:rPr>
          <w:rFonts w:ascii="Times New Roman" w:hAnsi="Times New Roman" w:cs="Times New Roman"/>
        </w:rPr>
        <w:t xml:space="preserve">Bank’s Policy </w:t>
      </w:r>
      <w:r>
        <w:rPr>
          <w:rFonts w:ascii="Times New Roman" w:hAnsi="Times New Roman" w:cs="Times New Roman"/>
        </w:rPr>
        <w:t xml:space="preserve">and Directive </w:t>
      </w:r>
      <w:r w:rsidRPr="00BC7BB5">
        <w:rPr>
          <w:rFonts w:ascii="Times New Roman" w:hAnsi="Times New Roman" w:cs="Times New Roman"/>
        </w:rPr>
        <w:t xml:space="preserve">on </w:t>
      </w:r>
      <w:r>
        <w:rPr>
          <w:rFonts w:ascii="Times New Roman" w:hAnsi="Times New Roman" w:cs="Times New Roman"/>
        </w:rPr>
        <w:t>PforR</w:t>
      </w:r>
      <w:r w:rsidRPr="00BC7BB5">
        <w:rPr>
          <w:rFonts w:ascii="Times New Roman" w:hAnsi="Times New Roman" w:cs="Times New Roman"/>
        </w:rPr>
        <w:t xml:space="preserve"> </w:t>
      </w:r>
      <w:r>
        <w:rPr>
          <w:rFonts w:ascii="Times New Roman" w:hAnsi="Times New Roman" w:cs="Times New Roman"/>
        </w:rPr>
        <w:t xml:space="preserve">Financing </w:t>
      </w:r>
      <w:r w:rsidRPr="00BC7BB5">
        <w:rPr>
          <w:rFonts w:ascii="Times New Roman" w:hAnsi="Times New Roman" w:cs="Times New Roman"/>
        </w:rPr>
        <w:t>regarding involuntary land acquisition are met, that proper proceedings under national laws have been followed, and that replacement value has been achieved in compensation.</w:t>
      </w:r>
      <w:r>
        <w:rPr>
          <w:rFonts w:ascii="Times New Roman" w:hAnsi="Times New Roman" w:cs="Times New Roman"/>
        </w:rPr>
        <w:t xml:space="preserve"> </w:t>
      </w:r>
      <w:r w:rsidR="00DD3BFE" w:rsidRPr="00EF5BD3">
        <w:rPr>
          <w:rFonts w:ascii="Times New Roman" w:hAnsi="Times New Roman" w:cs="Times New Roman"/>
        </w:rPr>
        <w:t>The current use of land in the public domain</w:t>
      </w:r>
      <w:r w:rsidR="00DD3BFE">
        <w:rPr>
          <w:rFonts w:ascii="Times New Roman" w:hAnsi="Times New Roman" w:cs="Times New Roman"/>
        </w:rPr>
        <w:t xml:space="preserve"> used for P</w:t>
      </w:r>
      <w:r w:rsidR="00DD3BFE" w:rsidRPr="00EF5BD3">
        <w:rPr>
          <w:rFonts w:ascii="Times New Roman" w:hAnsi="Times New Roman" w:cs="Times New Roman"/>
        </w:rPr>
        <w:t xml:space="preserve">rogram activities will be assessed </w:t>
      </w:r>
      <w:r w:rsidR="00DD3BFE">
        <w:rPr>
          <w:rFonts w:ascii="Times New Roman" w:hAnsi="Times New Roman" w:cs="Times New Roman"/>
        </w:rPr>
        <w:t xml:space="preserve">for identified sites (wholesale market, ceratitis control center) and </w:t>
      </w:r>
      <w:r w:rsidR="00DD3BFE" w:rsidRPr="00EF5BD3">
        <w:rPr>
          <w:rFonts w:ascii="Times New Roman" w:hAnsi="Times New Roman" w:cs="Times New Roman"/>
        </w:rPr>
        <w:t xml:space="preserve">when the </w:t>
      </w:r>
      <w:r w:rsidR="00DD3BFE">
        <w:rPr>
          <w:rFonts w:ascii="Times New Roman" w:hAnsi="Times New Roman" w:cs="Times New Roman"/>
        </w:rPr>
        <w:t xml:space="preserve">other </w:t>
      </w:r>
      <w:r w:rsidR="00DD3BFE" w:rsidRPr="00EF5BD3">
        <w:rPr>
          <w:rFonts w:ascii="Times New Roman" w:hAnsi="Times New Roman" w:cs="Times New Roman"/>
        </w:rPr>
        <w:t>sites are identified</w:t>
      </w:r>
      <w:r w:rsidR="00DD3BFE">
        <w:rPr>
          <w:rFonts w:ascii="Times New Roman" w:hAnsi="Times New Roman" w:cs="Times New Roman"/>
        </w:rPr>
        <w:t xml:space="preserve"> (for CIAs)</w:t>
      </w:r>
      <w:r w:rsidR="00DD3BFE" w:rsidRPr="00EF5BD3">
        <w:rPr>
          <w:rFonts w:ascii="Times New Roman" w:hAnsi="Times New Roman" w:cs="Times New Roman"/>
        </w:rPr>
        <w:t>.</w:t>
      </w:r>
      <w:r w:rsidR="00DD3BFE">
        <w:t xml:space="preserve"> </w:t>
      </w:r>
      <w:r w:rsidR="00DD3BFE">
        <w:rPr>
          <w:rFonts w:ascii="Times New Roman" w:hAnsi="Times New Roman" w:cs="Times New Roman"/>
        </w:rPr>
        <w:t>If current non-titled users are identified who would lose their livelihoods, the Borrower will prepare and implement a social action plan to en</w:t>
      </w:r>
      <w:r w:rsidR="00DD3BFE" w:rsidRPr="00082EFB">
        <w:rPr>
          <w:rFonts w:ascii="Times New Roman" w:hAnsi="Times New Roman" w:cs="Times New Roman"/>
        </w:rPr>
        <w:t>sure</w:t>
      </w:r>
      <w:r w:rsidR="00DD3BFE">
        <w:rPr>
          <w:rFonts w:ascii="Times New Roman" w:hAnsi="Times New Roman" w:cs="Times New Roman"/>
        </w:rPr>
        <w:t xml:space="preserve"> that</w:t>
      </w:r>
      <w:r w:rsidR="00DD3BFE" w:rsidRPr="00082EFB">
        <w:rPr>
          <w:rFonts w:ascii="Times New Roman" w:hAnsi="Times New Roman" w:cs="Times New Roman"/>
        </w:rPr>
        <w:t xml:space="preserve"> people </w:t>
      </w:r>
      <w:r w:rsidR="00DD3BFE">
        <w:rPr>
          <w:rFonts w:ascii="Times New Roman" w:hAnsi="Times New Roman" w:cs="Times New Roman"/>
        </w:rPr>
        <w:t>do receive proper assistance</w:t>
      </w:r>
      <w:r w:rsidR="00DD3BFE" w:rsidRPr="00082EFB">
        <w:rPr>
          <w:rFonts w:ascii="Times New Roman" w:hAnsi="Times New Roman" w:cs="Times New Roman"/>
        </w:rPr>
        <w:t xml:space="preserve"> in finding alternative land or alternative livelihoods</w:t>
      </w:r>
      <w:r w:rsidR="00DD3BFE" w:rsidRPr="00467A7E">
        <w:t xml:space="preserve"> </w:t>
      </w:r>
      <w:r w:rsidR="00DD3BFE" w:rsidRPr="00A050C1">
        <w:rPr>
          <w:rFonts w:ascii="Times New Roman" w:hAnsi="Times New Roman" w:cs="Times New Roman"/>
        </w:rPr>
        <w:t>prior</w:t>
      </w:r>
      <w:r w:rsidR="00DD3BFE">
        <w:t xml:space="preserve"> </w:t>
      </w:r>
      <w:r w:rsidR="00DD3BFE" w:rsidRPr="00EF5BD3">
        <w:rPr>
          <w:rFonts w:ascii="Times New Roman" w:hAnsi="Times New Roman" w:cs="Times New Roman"/>
        </w:rPr>
        <w:t>to the start of the civil works</w:t>
      </w:r>
      <w:r w:rsidR="00DD3BFE">
        <w:rPr>
          <w:rFonts w:ascii="Times New Roman" w:hAnsi="Times New Roman" w:cs="Times New Roman"/>
        </w:rPr>
        <w:t xml:space="preserve">, and prior to the transfer of productive assets/workplace/business in the case of the wholesale market users, </w:t>
      </w:r>
      <w:r w:rsidR="00DD3BFE" w:rsidRPr="00794BE0">
        <w:rPr>
          <w:rFonts w:ascii="Times New Roman" w:hAnsi="Times New Roman" w:cs="Times New Roman"/>
        </w:rPr>
        <w:t>all in a manner acceptable to the Bank and as described in the POM</w:t>
      </w:r>
      <w:r w:rsidR="00DD3BFE" w:rsidRPr="00EF5BD3">
        <w:rPr>
          <w:rFonts w:ascii="Times New Roman" w:hAnsi="Times New Roman" w:cs="Times New Roman"/>
        </w:rPr>
        <w:t>.</w:t>
      </w:r>
      <w:r w:rsidR="00DD3BFE" w:rsidRPr="00082EFB">
        <w:rPr>
          <w:rFonts w:ascii="Times New Roman" w:hAnsi="Times New Roman" w:cs="Times New Roman"/>
        </w:rPr>
        <w:t xml:space="preserve"> Details </w:t>
      </w:r>
      <w:r w:rsidR="00DD3BFE">
        <w:rPr>
          <w:rFonts w:ascii="Times New Roman" w:hAnsi="Times New Roman" w:cs="Times New Roman"/>
        </w:rPr>
        <w:t>will be</w:t>
      </w:r>
      <w:r w:rsidR="00DD3BFE" w:rsidRPr="00082EFB">
        <w:rPr>
          <w:rFonts w:ascii="Times New Roman" w:hAnsi="Times New Roman" w:cs="Times New Roman"/>
        </w:rPr>
        <w:t xml:space="preserve"> </w:t>
      </w:r>
      <w:r w:rsidR="00DD3BFE" w:rsidRPr="000A1436">
        <w:rPr>
          <w:rFonts w:ascii="Times New Roman" w:hAnsi="Times New Roman" w:cs="Times New Roman"/>
        </w:rPr>
        <w:t>provided in the Environmental and Social Technical Manual</w:t>
      </w:r>
      <w:r w:rsidR="00DD3BFE">
        <w:rPr>
          <w:rFonts w:ascii="Times New Roman" w:hAnsi="Times New Roman" w:cs="Times New Roman"/>
        </w:rPr>
        <w:t xml:space="preserve">, which will be developed by the Borrower and approved by the Bank within </w:t>
      </w:r>
      <w:r w:rsidR="00DD3BFE" w:rsidRPr="00DB1D06">
        <w:rPr>
          <w:rFonts w:ascii="Times New Roman" w:hAnsi="Times New Roman" w:cs="Times New Roman"/>
        </w:rPr>
        <w:t>the first six months</w:t>
      </w:r>
      <w:r w:rsidR="00DD3BFE">
        <w:rPr>
          <w:rFonts w:ascii="Times New Roman" w:hAnsi="Times New Roman" w:cs="Times New Roman"/>
        </w:rPr>
        <w:t xml:space="preserve"> of Program implementation and included in the POM</w:t>
      </w:r>
      <w:r w:rsidR="00114D55">
        <w:rPr>
          <w:rFonts w:ascii="Times New Roman" w:hAnsi="Times New Roman" w:cs="Times New Roman"/>
        </w:rPr>
        <w:t>.</w:t>
      </w:r>
    </w:p>
    <w:p w14:paraId="7CED84A3" w14:textId="77777777" w:rsidR="00B52D04" w:rsidRPr="00B52D04" w:rsidRDefault="00B52D04" w:rsidP="00B52D04">
      <w:pPr>
        <w:pStyle w:val="Style7"/>
        <w:numPr>
          <w:ilvl w:val="0"/>
          <w:numId w:val="0"/>
        </w:numPr>
        <w:spacing w:line="240" w:lineRule="auto"/>
      </w:pPr>
    </w:p>
    <w:p w14:paraId="256A325C" w14:textId="48298C05" w:rsidR="00BD32FD" w:rsidRPr="00BC7BB5" w:rsidRDefault="00BD32FD" w:rsidP="003B5755">
      <w:pPr>
        <w:pStyle w:val="Style7"/>
        <w:spacing w:line="240" w:lineRule="auto"/>
        <w:ind w:left="0" w:firstLine="0"/>
      </w:pPr>
      <w:r w:rsidRPr="00BC7BB5">
        <w:rPr>
          <w:rFonts w:ascii="Times New Roman" w:hAnsi="Times New Roman"/>
          <w:color w:val="000000"/>
        </w:rPr>
        <w:t>The positive effects of the Program are many and should remain in place in the long term with regard</w:t>
      </w:r>
      <w:r w:rsidR="006801EA" w:rsidRPr="00BC7BB5">
        <w:rPr>
          <w:rFonts w:ascii="Times New Roman" w:hAnsi="Times New Roman"/>
          <w:color w:val="000000"/>
        </w:rPr>
        <w:t>s</w:t>
      </w:r>
      <w:r w:rsidRPr="00BC7BB5">
        <w:rPr>
          <w:rFonts w:ascii="Times New Roman" w:hAnsi="Times New Roman"/>
          <w:color w:val="000000"/>
        </w:rPr>
        <w:t xml:space="preserve"> to the following aspects:</w:t>
      </w:r>
    </w:p>
    <w:p w14:paraId="761AAE50" w14:textId="77777777" w:rsidR="00BD32FD" w:rsidRPr="00BC7BB5" w:rsidRDefault="00BD32FD" w:rsidP="006801EA">
      <w:pPr>
        <w:spacing w:after="0" w:line="240" w:lineRule="auto"/>
        <w:ind w:left="1066"/>
        <w:rPr>
          <w:rFonts w:eastAsia="ヒラギノ角ゴ Pro W3"/>
          <w:color w:val="000000"/>
        </w:rPr>
      </w:pPr>
    </w:p>
    <w:p w14:paraId="789E2A6C" w14:textId="77777777" w:rsidR="00BD32FD" w:rsidRPr="00BC7BB5" w:rsidRDefault="00BD32FD" w:rsidP="00F561E8">
      <w:pPr>
        <w:widowControl w:val="0"/>
        <w:numPr>
          <w:ilvl w:val="0"/>
          <w:numId w:val="48"/>
        </w:numPr>
        <w:adjustRightInd w:val="0"/>
        <w:spacing w:after="0" w:line="240" w:lineRule="auto"/>
        <w:jc w:val="both"/>
        <w:textAlignment w:val="baseline"/>
        <w:rPr>
          <w:rFonts w:ascii="Times New Roman" w:eastAsia="ヒラギノ角ゴ Pro W3" w:hAnsi="Times New Roman" w:cs="Times New Roman"/>
          <w:color w:val="000000"/>
        </w:rPr>
      </w:pPr>
      <w:r w:rsidRPr="00BC7BB5">
        <w:rPr>
          <w:rFonts w:ascii="Times New Roman" w:hAnsi="Times New Roman" w:cs="Times New Roman"/>
          <w:color w:val="000000"/>
        </w:rPr>
        <w:t xml:space="preserve">The type of facilities and infrastructures, which are small in size, generally well located and with a relatively limited spatial extent. </w:t>
      </w:r>
    </w:p>
    <w:p w14:paraId="66CE58B5" w14:textId="77777777" w:rsidR="00BD32FD" w:rsidRPr="00BC7BB5" w:rsidRDefault="00BD32FD" w:rsidP="00F561E8">
      <w:pPr>
        <w:widowControl w:val="0"/>
        <w:numPr>
          <w:ilvl w:val="0"/>
          <w:numId w:val="48"/>
        </w:numPr>
        <w:adjustRightInd w:val="0"/>
        <w:spacing w:after="0" w:line="240" w:lineRule="auto"/>
        <w:jc w:val="both"/>
        <w:textAlignment w:val="baseline"/>
        <w:rPr>
          <w:rFonts w:ascii="Times New Roman" w:eastAsia="ヒラギノ角ゴ Pro W3" w:hAnsi="Times New Roman" w:cs="Times New Roman"/>
          <w:color w:val="000000"/>
        </w:rPr>
      </w:pPr>
      <w:r w:rsidRPr="00BC7BB5">
        <w:rPr>
          <w:rFonts w:ascii="Times New Roman" w:hAnsi="Times New Roman" w:cs="Times New Roman"/>
          <w:color w:val="000000"/>
        </w:rPr>
        <w:t xml:space="preserve">The nature of the works and installations, which should not generate significant air or noise pollution or significant degradation of the environment. </w:t>
      </w:r>
    </w:p>
    <w:p w14:paraId="152E121D" w14:textId="77777777" w:rsidR="00BD32FD" w:rsidRPr="00BC7BB5" w:rsidRDefault="00BD32FD" w:rsidP="00F561E8">
      <w:pPr>
        <w:widowControl w:val="0"/>
        <w:numPr>
          <w:ilvl w:val="0"/>
          <w:numId w:val="48"/>
        </w:numPr>
        <w:adjustRightInd w:val="0"/>
        <w:spacing w:after="0" w:line="240" w:lineRule="auto"/>
        <w:jc w:val="both"/>
        <w:textAlignment w:val="baseline"/>
        <w:rPr>
          <w:rFonts w:ascii="Times New Roman" w:eastAsia="ヒラギノ角ゴ Pro W3" w:hAnsi="Times New Roman" w:cs="Times New Roman"/>
          <w:color w:val="000000"/>
        </w:rPr>
      </w:pPr>
      <w:r w:rsidRPr="00BC7BB5">
        <w:rPr>
          <w:rFonts w:ascii="Times New Roman" w:hAnsi="Times New Roman" w:cs="Times New Roman"/>
          <w:color w:val="000000"/>
        </w:rPr>
        <w:t>The feasibility, effectiveness and rationality of the planned activities, on the basis of the results of the prerequisite diagnostic studies, based on specific social, economic and environmental parameters.</w:t>
      </w:r>
    </w:p>
    <w:p w14:paraId="2379ADC4" w14:textId="77777777" w:rsidR="00BD32FD" w:rsidRPr="00BC7BB5" w:rsidRDefault="00BD32FD" w:rsidP="00F561E8">
      <w:pPr>
        <w:widowControl w:val="0"/>
        <w:numPr>
          <w:ilvl w:val="0"/>
          <w:numId w:val="48"/>
        </w:numPr>
        <w:adjustRightInd w:val="0"/>
        <w:spacing w:after="0" w:line="240" w:lineRule="auto"/>
        <w:jc w:val="both"/>
        <w:textAlignment w:val="baseline"/>
        <w:rPr>
          <w:rFonts w:ascii="Times New Roman" w:eastAsia="ヒラギノ角ゴ Pro W3" w:hAnsi="Times New Roman" w:cs="Times New Roman"/>
          <w:color w:val="000000"/>
        </w:rPr>
      </w:pPr>
      <w:r w:rsidRPr="00BC7BB5">
        <w:rPr>
          <w:rFonts w:ascii="Times New Roman" w:hAnsi="Times New Roman" w:cs="Times New Roman"/>
          <w:color w:val="000000"/>
        </w:rPr>
        <w:t>The existence of a range of manageable and effective measures to mitigate the potential risks and monitor any impact, both during the construction phase and during operation.</w:t>
      </w:r>
    </w:p>
    <w:p w14:paraId="0E0BF9C5" w14:textId="77777777" w:rsidR="00BD32FD" w:rsidRPr="00BC7BB5" w:rsidRDefault="00BD32FD" w:rsidP="00F561E8">
      <w:pPr>
        <w:widowControl w:val="0"/>
        <w:numPr>
          <w:ilvl w:val="0"/>
          <w:numId w:val="48"/>
        </w:numPr>
        <w:adjustRightInd w:val="0"/>
        <w:spacing w:after="0" w:line="240" w:lineRule="auto"/>
        <w:jc w:val="both"/>
        <w:textAlignment w:val="baseline"/>
        <w:rPr>
          <w:rFonts w:ascii="Times New Roman" w:eastAsia="ヒラギノ角ゴ Pro W3" w:hAnsi="Times New Roman" w:cs="Times New Roman"/>
          <w:color w:val="000000"/>
        </w:rPr>
      </w:pPr>
      <w:r w:rsidRPr="00BC7BB5">
        <w:rPr>
          <w:rFonts w:ascii="Times New Roman" w:hAnsi="Times New Roman" w:cs="Times New Roman"/>
          <w:color w:val="000000"/>
        </w:rPr>
        <w:t>The existence of specialized agencies that are able to manage most of the environmental and social aspects of the program.</w:t>
      </w:r>
    </w:p>
    <w:p w14:paraId="7C79AB91" w14:textId="77777777" w:rsidR="00BD32FD" w:rsidRPr="00BC7BB5" w:rsidRDefault="00BD32FD" w:rsidP="00F561E8">
      <w:pPr>
        <w:pStyle w:val="Paranumbering"/>
        <w:numPr>
          <w:ilvl w:val="0"/>
          <w:numId w:val="48"/>
        </w:numPr>
        <w:spacing w:before="0" w:after="0" w:line="240" w:lineRule="auto"/>
      </w:pPr>
      <w:r w:rsidRPr="00BC7BB5">
        <w:rPr>
          <w:sz w:val="22"/>
          <w:szCs w:val="22"/>
        </w:rPr>
        <w:t>The existence of a “Strategic vision for the integration of women in the development of the agricultural sector</w:t>
      </w:r>
      <w:r w:rsidRPr="00BC7BB5">
        <w:rPr>
          <w:color w:val="auto"/>
          <w:sz w:val="22"/>
          <w:szCs w:val="22"/>
        </w:rPr>
        <w:t>,” based on a number of national instruments intended to advance gender equality.</w:t>
      </w:r>
    </w:p>
    <w:p w14:paraId="62B7D1EF" w14:textId="77777777" w:rsidR="00BD32FD" w:rsidRPr="00BC7BB5" w:rsidRDefault="00BD32FD" w:rsidP="00F561E8">
      <w:pPr>
        <w:pStyle w:val="Paranumbering"/>
        <w:numPr>
          <w:ilvl w:val="0"/>
          <w:numId w:val="48"/>
        </w:numPr>
        <w:spacing w:before="0" w:after="0" w:line="240" w:lineRule="auto"/>
      </w:pPr>
      <w:r w:rsidRPr="00BC7BB5">
        <w:rPr>
          <w:color w:val="auto"/>
          <w:sz w:val="22"/>
          <w:szCs w:val="22"/>
        </w:rPr>
        <w:t>The existence of an appropriate legal framework making it possible to effectively manage all aspects of the environmental and social management of the Program.</w:t>
      </w:r>
      <w:r w:rsidRPr="00BC7BB5">
        <w:rPr>
          <w:sz w:val="22"/>
          <w:szCs w:val="22"/>
        </w:rPr>
        <w:t xml:space="preserve">  </w:t>
      </w:r>
    </w:p>
    <w:p w14:paraId="0305E958" w14:textId="77777777" w:rsidR="00B52D04" w:rsidRPr="00B52D04" w:rsidRDefault="00B52D04" w:rsidP="00B52D04">
      <w:pPr>
        <w:pStyle w:val="Style7"/>
        <w:numPr>
          <w:ilvl w:val="0"/>
          <w:numId w:val="0"/>
        </w:numPr>
        <w:spacing w:line="240" w:lineRule="auto"/>
        <w:rPr>
          <w:rFonts w:ascii="Times New Roman" w:hAnsi="Times New Roman" w:cs="Times New Roman"/>
        </w:rPr>
      </w:pPr>
    </w:p>
    <w:p w14:paraId="5EC3C2FE" w14:textId="6BC52854" w:rsidR="00BD32FD" w:rsidRPr="00BC7BB5" w:rsidRDefault="00BD32FD" w:rsidP="003B5755">
      <w:pPr>
        <w:pStyle w:val="Style7"/>
        <w:spacing w:line="240" w:lineRule="auto"/>
        <w:ind w:left="0" w:firstLine="0"/>
        <w:rPr>
          <w:rFonts w:ascii="Times New Roman" w:hAnsi="Times New Roman" w:cs="Times New Roman"/>
        </w:rPr>
      </w:pPr>
      <w:r w:rsidRPr="00BC7BB5">
        <w:rPr>
          <w:rFonts w:ascii="Times New Roman" w:hAnsi="Times New Roman"/>
          <w:i/>
        </w:rPr>
        <w:t xml:space="preserve">During </w:t>
      </w:r>
      <w:r w:rsidRPr="00BC7BB5">
        <w:rPr>
          <w:rFonts w:ascii="Times New Roman" w:hAnsi="Times New Roman"/>
          <w:bCs/>
          <w:i/>
        </w:rPr>
        <w:t>the preparation phase</w:t>
      </w:r>
      <w:r w:rsidR="00B9010D">
        <w:rPr>
          <w:rFonts w:ascii="Times New Roman" w:hAnsi="Times New Roman"/>
          <w:bCs/>
          <w:i/>
        </w:rPr>
        <w:t xml:space="preserve"> (design of specific investments under the Program)</w:t>
      </w:r>
      <w:r w:rsidRPr="00BC7BB5">
        <w:rPr>
          <w:rFonts w:ascii="Times New Roman" w:hAnsi="Times New Roman"/>
        </w:rPr>
        <w:t xml:space="preserve">, the risk consists in the low level of consideration of environmental and social aspects in the </w:t>
      </w:r>
      <w:r w:rsidRPr="00BC7BB5">
        <w:rPr>
          <w:rFonts w:ascii="Times New Roman" w:hAnsi="Times New Roman"/>
          <w:color w:val="000000"/>
        </w:rPr>
        <w:t>implementation</w:t>
      </w:r>
      <w:r w:rsidRPr="00BC7BB5">
        <w:rPr>
          <w:rFonts w:ascii="Times New Roman" w:hAnsi="Times New Roman"/>
        </w:rPr>
        <w:t xml:space="preserve"> of technical studies and/or the preparation of unsatisfactory environmental and social studies, as well as ignoring those in the preparation of tender documents. The main social risks are potentially associated with infrastructure works, which may exceptionally require the temporary use of private lands. The Program will not support activities requiring involuntary land acquisition and causing the physical or economic displacement of people, loss of habitat, homes, or land, or the creation of restrictions in terms of access to productive land. In some exceptional cases that could require the use of private land, amicable settlements will be reached with the legitimate landowners, including compensation, among other elements. Another risk is related to the activity of modernization of market infrastructure, which may lead to restructuring of existing markets and transfer of activities to new sites, and may need social actions to ensure the existing users are not </w:t>
      </w:r>
      <w:r w:rsidRPr="00BC7BB5">
        <w:rPr>
          <w:rFonts w:ascii="Times New Roman" w:hAnsi="Times New Roman"/>
        </w:rPr>
        <w:lastRenderedPageBreak/>
        <w:t>negatively affected.</w:t>
      </w:r>
    </w:p>
    <w:p w14:paraId="171C7965" w14:textId="77777777" w:rsidR="00BD32FD" w:rsidRPr="00BC7BB5" w:rsidRDefault="00BD32FD" w:rsidP="00BD32FD">
      <w:pPr>
        <w:pStyle w:val="Style7"/>
        <w:numPr>
          <w:ilvl w:val="0"/>
          <w:numId w:val="0"/>
        </w:numPr>
        <w:spacing w:line="240" w:lineRule="auto"/>
        <w:rPr>
          <w:rFonts w:ascii="Times New Roman" w:hAnsi="Times New Roman" w:cs="Times New Roman"/>
        </w:rPr>
      </w:pPr>
      <w:r w:rsidRPr="00BC7BB5">
        <w:rPr>
          <w:rFonts w:ascii="Times New Roman" w:hAnsi="Times New Roman"/>
        </w:rPr>
        <w:t xml:space="preserve"> </w:t>
      </w:r>
    </w:p>
    <w:p w14:paraId="3A69D97B" w14:textId="070D4A31" w:rsidR="00BD32FD" w:rsidRPr="00BC7BB5" w:rsidRDefault="00BD32FD" w:rsidP="003B5755">
      <w:pPr>
        <w:pStyle w:val="Style7"/>
        <w:spacing w:line="240" w:lineRule="auto"/>
        <w:ind w:left="0" w:firstLine="0"/>
        <w:rPr>
          <w:rFonts w:ascii="Times New Roman" w:hAnsi="Times New Roman" w:cs="Times New Roman"/>
        </w:rPr>
      </w:pPr>
      <w:r w:rsidRPr="00BC7BB5">
        <w:rPr>
          <w:rFonts w:ascii="Times New Roman" w:hAnsi="Times New Roman"/>
        </w:rPr>
        <w:t xml:space="preserve">The </w:t>
      </w:r>
      <w:r w:rsidR="006D4589">
        <w:rPr>
          <w:rFonts w:ascii="Times New Roman" w:hAnsi="Times New Roman"/>
        </w:rPr>
        <w:t xml:space="preserve">following </w:t>
      </w:r>
      <w:r w:rsidR="006D4589">
        <w:rPr>
          <w:rFonts w:ascii="Times New Roman" w:hAnsi="Times New Roman"/>
          <w:color w:val="000000"/>
        </w:rPr>
        <w:t>key</w:t>
      </w:r>
      <w:r w:rsidR="006D4589" w:rsidRPr="00BC7BB5">
        <w:rPr>
          <w:rFonts w:ascii="Times New Roman" w:hAnsi="Times New Roman"/>
        </w:rPr>
        <w:t xml:space="preserve"> </w:t>
      </w:r>
      <w:r w:rsidRPr="00BC7BB5">
        <w:rPr>
          <w:rFonts w:ascii="Times New Roman" w:hAnsi="Times New Roman"/>
        </w:rPr>
        <w:t xml:space="preserve">mitigation measures </w:t>
      </w:r>
      <w:r w:rsidR="00C74CCA">
        <w:rPr>
          <w:rFonts w:ascii="Times New Roman" w:hAnsi="Times New Roman"/>
        </w:rPr>
        <w:t>have been identified</w:t>
      </w:r>
      <w:r w:rsidRPr="00BC7BB5">
        <w:rPr>
          <w:rFonts w:ascii="Times New Roman" w:hAnsi="Times New Roman"/>
        </w:rPr>
        <w:t xml:space="preserve">: </w:t>
      </w:r>
    </w:p>
    <w:p w14:paraId="09C90998" w14:textId="77777777" w:rsidR="00BD32FD" w:rsidRPr="00BC7BB5" w:rsidRDefault="00BD32FD" w:rsidP="00BD32FD">
      <w:pPr>
        <w:pStyle w:val="Style7"/>
        <w:numPr>
          <w:ilvl w:val="0"/>
          <w:numId w:val="0"/>
        </w:numPr>
        <w:spacing w:line="240" w:lineRule="auto"/>
        <w:ind w:left="360" w:firstLine="348"/>
        <w:rPr>
          <w:rFonts w:ascii="Times New Roman" w:hAnsi="Times New Roman"/>
        </w:rPr>
      </w:pPr>
    </w:p>
    <w:p w14:paraId="0081D1C2" w14:textId="30BEB2C9" w:rsidR="00BD32FD" w:rsidRPr="00BC7BB5" w:rsidRDefault="00BD32FD" w:rsidP="00F561E8">
      <w:pPr>
        <w:pStyle w:val="Style7"/>
        <w:numPr>
          <w:ilvl w:val="0"/>
          <w:numId w:val="55"/>
        </w:numPr>
        <w:spacing w:line="240" w:lineRule="auto"/>
        <w:rPr>
          <w:rFonts w:asciiTheme="majorBidi" w:hAnsiTheme="majorBidi"/>
        </w:rPr>
      </w:pPr>
      <w:r w:rsidRPr="00BC7BB5">
        <w:rPr>
          <w:rFonts w:ascii="Times New Roman" w:hAnsi="Times New Roman"/>
        </w:rPr>
        <w:t xml:space="preserve">Carrying out an environmental impact assessment in accordance with the procedure established under Morocco’s Law 12-03 for the following activities: wholesale markets, center for the </w:t>
      </w:r>
      <w:r w:rsidR="00604A44">
        <w:rPr>
          <w:rFonts w:ascii="Times New Roman" w:hAnsi="Times New Roman"/>
        </w:rPr>
        <w:t xml:space="preserve">production of sterile </w:t>
      </w:r>
      <w:r w:rsidR="00604A44" w:rsidRPr="00604A44">
        <w:rPr>
          <w:rFonts w:ascii="Times New Roman" w:hAnsi="Times New Roman"/>
          <w:i/>
        </w:rPr>
        <w:t>ceratitis</w:t>
      </w:r>
      <w:r w:rsidR="00604A44">
        <w:rPr>
          <w:rFonts w:ascii="Times New Roman" w:hAnsi="Times New Roman"/>
        </w:rPr>
        <w:t xml:space="preserve"> males (Mediterranean fruit fly)</w:t>
      </w:r>
      <w:r w:rsidRPr="00BC7BB5">
        <w:rPr>
          <w:rFonts w:ascii="Times New Roman" w:hAnsi="Times New Roman"/>
        </w:rPr>
        <w:t>, collective poo</w:t>
      </w:r>
      <w:r w:rsidRPr="00BC7BB5">
        <w:rPr>
          <w:rFonts w:asciiTheme="majorBidi" w:hAnsiTheme="majorBidi"/>
        </w:rPr>
        <w:t xml:space="preserve">ls for drying liquid residues of olive processing, and olive mills. </w:t>
      </w:r>
    </w:p>
    <w:p w14:paraId="0F58A22C" w14:textId="0357F639" w:rsidR="00BD32FD" w:rsidRPr="00BC7BB5" w:rsidRDefault="00BD32FD" w:rsidP="00F561E8">
      <w:pPr>
        <w:pStyle w:val="Style7"/>
        <w:numPr>
          <w:ilvl w:val="0"/>
          <w:numId w:val="55"/>
        </w:numPr>
        <w:spacing w:line="240" w:lineRule="auto"/>
        <w:rPr>
          <w:rFonts w:asciiTheme="majorBidi" w:hAnsiTheme="majorBidi"/>
        </w:rPr>
      </w:pPr>
      <w:r w:rsidRPr="00BC7BB5">
        <w:rPr>
          <w:rFonts w:asciiTheme="majorBidi" w:hAnsiTheme="majorBidi"/>
        </w:rPr>
        <w:t xml:space="preserve">For </w:t>
      </w:r>
      <w:r w:rsidR="002B2E1A">
        <w:rPr>
          <w:rFonts w:asciiTheme="majorBidi" w:hAnsiTheme="majorBidi"/>
        </w:rPr>
        <w:t xml:space="preserve">all </w:t>
      </w:r>
      <w:r w:rsidRPr="00BC7BB5">
        <w:rPr>
          <w:rFonts w:asciiTheme="majorBidi" w:hAnsiTheme="majorBidi"/>
        </w:rPr>
        <w:t>activities</w:t>
      </w:r>
      <w:r w:rsidR="002B2E1A">
        <w:rPr>
          <w:rFonts w:asciiTheme="majorBidi" w:hAnsiTheme="majorBidi"/>
        </w:rPr>
        <w:t xml:space="preserve"> supported by FDA, including those</w:t>
      </w:r>
      <w:r w:rsidRPr="00BC7BB5">
        <w:rPr>
          <w:rFonts w:asciiTheme="majorBidi" w:hAnsiTheme="majorBidi"/>
        </w:rPr>
        <w:t xml:space="preserve"> with low environmental risks </w:t>
      </w:r>
      <w:r w:rsidR="002B2E1A">
        <w:rPr>
          <w:rFonts w:asciiTheme="majorBidi" w:hAnsiTheme="majorBidi"/>
        </w:rPr>
        <w:t>(</w:t>
      </w:r>
      <w:r w:rsidRPr="00BC7BB5">
        <w:rPr>
          <w:rFonts w:asciiTheme="majorBidi" w:hAnsiTheme="majorBidi"/>
        </w:rPr>
        <w:t>refrigeration and conditioning unit activities</w:t>
      </w:r>
      <w:r w:rsidR="002B2E1A">
        <w:rPr>
          <w:rFonts w:asciiTheme="majorBidi" w:hAnsiTheme="majorBidi"/>
        </w:rPr>
        <w:t>)</w:t>
      </w:r>
      <w:r w:rsidRPr="00BC7BB5">
        <w:rPr>
          <w:rFonts w:asciiTheme="majorBidi" w:hAnsiTheme="majorBidi"/>
        </w:rPr>
        <w:t xml:space="preserve"> – including in the authorization files submitted to the one-stop-windows during the application for incentives a letter of commitment from the project proponent that specifies its commitment to apply and comply with the national laws and regulations that apply to its activity.</w:t>
      </w:r>
      <w:r w:rsidR="00B52D04">
        <w:rPr>
          <w:rFonts w:asciiTheme="majorBidi" w:hAnsiTheme="majorBidi"/>
        </w:rPr>
        <w:t xml:space="preserve"> </w:t>
      </w:r>
      <w:r w:rsidRPr="00BC7BB5">
        <w:rPr>
          <w:rFonts w:asciiTheme="majorBidi" w:hAnsiTheme="majorBidi"/>
        </w:rPr>
        <w:t>These laws and regulations are:</w:t>
      </w:r>
    </w:p>
    <w:p w14:paraId="56522948" w14:textId="48B0965B" w:rsidR="00BD32FD" w:rsidRPr="00BC7BB5" w:rsidRDefault="00BD32FD" w:rsidP="00F561E8">
      <w:pPr>
        <w:pStyle w:val="Style7"/>
        <w:numPr>
          <w:ilvl w:val="0"/>
          <w:numId w:val="56"/>
        </w:numPr>
        <w:spacing w:line="240" w:lineRule="auto"/>
        <w:rPr>
          <w:rFonts w:asciiTheme="majorBidi" w:hAnsiTheme="majorBidi"/>
        </w:rPr>
      </w:pPr>
      <w:r w:rsidRPr="00BC7BB5">
        <w:rPr>
          <w:rFonts w:asciiTheme="majorBidi" w:hAnsiTheme="majorBidi"/>
        </w:rPr>
        <w:t>Law No. 11-03 on the protection and enhancement of the environment;</w:t>
      </w:r>
    </w:p>
    <w:p w14:paraId="29069672" w14:textId="3984FF18" w:rsidR="00BD32FD" w:rsidRPr="00BC7BB5" w:rsidRDefault="00BD32FD" w:rsidP="00F561E8">
      <w:pPr>
        <w:pStyle w:val="Style7"/>
        <w:numPr>
          <w:ilvl w:val="0"/>
          <w:numId w:val="56"/>
        </w:numPr>
        <w:spacing w:line="240" w:lineRule="auto"/>
        <w:rPr>
          <w:rFonts w:asciiTheme="majorBidi" w:hAnsiTheme="majorBidi"/>
        </w:rPr>
      </w:pPr>
      <w:r w:rsidRPr="00BC7BB5">
        <w:rPr>
          <w:rFonts w:asciiTheme="majorBidi" w:hAnsiTheme="majorBidi"/>
        </w:rPr>
        <w:t>Decree 6199 of 28/19/2013 which sets the general limit values ​​for rejection; and</w:t>
      </w:r>
    </w:p>
    <w:p w14:paraId="7CC66921" w14:textId="3E3B13FC" w:rsidR="00BD32FD" w:rsidRPr="00BC7BB5" w:rsidRDefault="00BD32FD" w:rsidP="00F561E8">
      <w:pPr>
        <w:pStyle w:val="Style7"/>
        <w:numPr>
          <w:ilvl w:val="0"/>
          <w:numId w:val="56"/>
        </w:numPr>
        <w:spacing w:line="240" w:lineRule="auto"/>
        <w:rPr>
          <w:rFonts w:asciiTheme="majorBidi" w:hAnsiTheme="majorBidi"/>
        </w:rPr>
      </w:pPr>
      <w:r w:rsidRPr="00BC7BB5">
        <w:rPr>
          <w:rFonts w:asciiTheme="majorBidi" w:hAnsiTheme="majorBidi"/>
        </w:rPr>
        <w:t>Law 28-00 on Waste Management and Disposal.</w:t>
      </w:r>
    </w:p>
    <w:p w14:paraId="62BC0F65" w14:textId="04547A28" w:rsidR="00BD32FD" w:rsidRPr="00A6265D" w:rsidRDefault="00BD32FD" w:rsidP="00F561E8">
      <w:pPr>
        <w:pStyle w:val="Style7"/>
        <w:numPr>
          <w:ilvl w:val="0"/>
          <w:numId w:val="55"/>
        </w:numPr>
        <w:spacing w:line="240" w:lineRule="auto"/>
        <w:rPr>
          <w:rFonts w:ascii="Times New Roman" w:hAnsi="Times New Roman"/>
        </w:rPr>
      </w:pPr>
      <w:r w:rsidRPr="00A6265D">
        <w:rPr>
          <w:rFonts w:ascii="Times New Roman" w:hAnsi="Times New Roman"/>
        </w:rPr>
        <w:t>The monitoring and supervision of the implementation of these regulations is the responsibility of the municipalities in accordance with Law 113-14 relating to municipalities. In addition, upon notification of the request f</w:t>
      </w:r>
      <w:r w:rsidR="00E517E0">
        <w:rPr>
          <w:rFonts w:ascii="Times New Roman" w:hAnsi="Times New Roman"/>
        </w:rPr>
        <w:t xml:space="preserve">or prior authorization, the DF will inform the PMU (the focal point for safeguards), who </w:t>
      </w:r>
      <w:r w:rsidRPr="00A6265D">
        <w:rPr>
          <w:rFonts w:ascii="Times New Roman" w:hAnsi="Times New Roman"/>
        </w:rPr>
        <w:t xml:space="preserve">will send a letter to the president of the municipality which houses the activity inviting him to monitor and control the aspects relating to the safety of the construction site, the application of environmental regulations and the sharing of monitoring and control reports with the Program’s focal point for social and environmental </w:t>
      </w:r>
      <w:r w:rsidR="00106D44">
        <w:rPr>
          <w:rFonts w:ascii="Times New Roman" w:hAnsi="Times New Roman"/>
        </w:rPr>
        <w:t>aspects</w:t>
      </w:r>
      <w:r w:rsidRPr="00A6265D">
        <w:rPr>
          <w:rFonts w:ascii="Times New Roman" w:hAnsi="Times New Roman"/>
        </w:rPr>
        <w:t>.</w:t>
      </w:r>
    </w:p>
    <w:p w14:paraId="63A791FF" w14:textId="07F79325" w:rsidR="00BD32FD" w:rsidRPr="00BC7BB5" w:rsidRDefault="00BD32FD" w:rsidP="00F561E8">
      <w:pPr>
        <w:pStyle w:val="Style7"/>
        <w:numPr>
          <w:ilvl w:val="0"/>
          <w:numId w:val="55"/>
        </w:numPr>
        <w:spacing w:line="240" w:lineRule="auto"/>
        <w:rPr>
          <w:rFonts w:ascii="Times New Roman" w:hAnsi="Times New Roman"/>
        </w:rPr>
      </w:pPr>
      <w:r w:rsidRPr="00BC7BB5">
        <w:rPr>
          <w:rFonts w:ascii="Times New Roman" w:hAnsi="Times New Roman"/>
        </w:rPr>
        <w:t xml:space="preserve">Include a section on respect of environmental clauses and the safety of work sites in the specifications of bidding documents. </w:t>
      </w:r>
    </w:p>
    <w:p w14:paraId="2E98CA97" w14:textId="49AC5719" w:rsidR="00BD32FD" w:rsidRPr="00A6265D" w:rsidRDefault="00BD32FD" w:rsidP="00F561E8">
      <w:pPr>
        <w:pStyle w:val="Style7"/>
        <w:numPr>
          <w:ilvl w:val="0"/>
          <w:numId w:val="55"/>
        </w:numPr>
        <w:spacing w:line="240" w:lineRule="auto"/>
        <w:rPr>
          <w:rFonts w:ascii="Times New Roman" w:hAnsi="Times New Roman"/>
        </w:rPr>
      </w:pPr>
      <w:r w:rsidRPr="00BC7BB5">
        <w:rPr>
          <w:rFonts w:ascii="Times New Roman" w:hAnsi="Times New Roman"/>
        </w:rPr>
        <w:t xml:space="preserve">With regard to the wholesale market, the Wilaya of Rabat-Salé-Kénitra will ensure, through </w:t>
      </w:r>
      <w:r w:rsidR="00E517E0">
        <w:rPr>
          <w:rFonts w:ascii="Times New Roman" w:hAnsi="Times New Roman"/>
        </w:rPr>
        <w:t>the convention</w:t>
      </w:r>
      <w:r w:rsidRPr="00BC7BB5">
        <w:rPr>
          <w:rFonts w:ascii="Times New Roman" w:hAnsi="Times New Roman"/>
        </w:rPr>
        <w:t xml:space="preserve"> signed between th</w:t>
      </w:r>
      <w:r w:rsidR="00E517E0">
        <w:rPr>
          <w:rFonts w:ascii="Times New Roman" w:hAnsi="Times New Roman"/>
        </w:rPr>
        <w:t>e territorial entities involved</w:t>
      </w:r>
      <w:r w:rsidRPr="00BC7BB5">
        <w:rPr>
          <w:rFonts w:ascii="Times New Roman" w:hAnsi="Times New Roman"/>
        </w:rPr>
        <w:t xml:space="preserve"> and Rabat Région Aménagement that any transfer of activities from markets will be carried out with the aim of avoiding exacerbating social conflicts</w:t>
      </w:r>
      <w:r w:rsidR="00896ECE">
        <w:rPr>
          <w:rFonts w:ascii="Times New Roman" w:hAnsi="Times New Roman"/>
        </w:rPr>
        <w:t>, including through the preparation of the social action plan</w:t>
      </w:r>
      <w:r w:rsidRPr="00BC7BB5">
        <w:rPr>
          <w:rFonts w:ascii="Times New Roman" w:hAnsi="Times New Roman"/>
        </w:rPr>
        <w:t>.</w:t>
      </w:r>
    </w:p>
    <w:p w14:paraId="36A0CC5C" w14:textId="77777777" w:rsidR="00BD32FD" w:rsidRPr="00BC7BB5" w:rsidRDefault="00BD32FD" w:rsidP="00BD32FD">
      <w:pPr>
        <w:pStyle w:val="Style7"/>
        <w:numPr>
          <w:ilvl w:val="0"/>
          <w:numId w:val="0"/>
        </w:numPr>
        <w:spacing w:line="240" w:lineRule="auto"/>
        <w:ind w:left="720"/>
      </w:pPr>
    </w:p>
    <w:p w14:paraId="51CCC687" w14:textId="65D6D615" w:rsidR="00BD32FD" w:rsidRPr="005C38A5" w:rsidRDefault="00BD32FD" w:rsidP="003B5755">
      <w:pPr>
        <w:pStyle w:val="Style7"/>
        <w:spacing w:line="240" w:lineRule="auto"/>
        <w:ind w:left="0" w:firstLine="0"/>
        <w:rPr>
          <w:rFonts w:ascii="Times New Roman" w:eastAsia="Calibri" w:hAnsi="Times New Roman" w:cs="Times New Roman"/>
        </w:rPr>
      </w:pPr>
      <w:r w:rsidRPr="00BC7BB5">
        <w:rPr>
          <w:rFonts w:ascii="Times New Roman" w:hAnsi="Times New Roman"/>
          <w:i/>
        </w:rPr>
        <w:t xml:space="preserve">During the construction phase, </w:t>
      </w:r>
      <w:r w:rsidRPr="00BC7BB5">
        <w:rPr>
          <w:rFonts w:ascii="Times New Roman" w:hAnsi="Times New Roman"/>
        </w:rPr>
        <w:t>the creation of building sites and agri-food production units could generate solid waste and give rise to nuisances associated with vehicles and machinery, entail environmental risks to natural habitats, the quality of surface waters and groundwater as well as to cultural heritage, generate temporary disturbances to economic activities, result in losses or temporary restrictions on access to revenues and temporary difficulties of access of residents to their homes, stores and other public institutions (schools, health clinics, etc.). In addition, another risk is related to the possible employment of children under 15 years of age.</w:t>
      </w:r>
      <w:r w:rsidRPr="00BC7BB5">
        <w:rPr>
          <w:rFonts w:ascii="Times New Roman" w:hAnsi="Times New Roman"/>
          <w:i/>
        </w:rPr>
        <w:t xml:space="preserve"> </w:t>
      </w:r>
      <w:r w:rsidR="005C38A5" w:rsidRPr="005C38A5">
        <w:rPr>
          <w:rFonts w:ascii="Times New Roman" w:hAnsi="Times New Roman"/>
        </w:rPr>
        <w:t>The integration of mitigation measures identified in the EIAs for activities subject to Law 12-03 into the specifications of construction companies is the main mitigation measure during the construction phase.</w:t>
      </w:r>
    </w:p>
    <w:p w14:paraId="37E91278" w14:textId="77777777" w:rsidR="00BD32FD" w:rsidRPr="00BC7BB5" w:rsidRDefault="00BD32FD" w:rsidP="003B5755">
      <w:pPr>
        <w:pStyle w:val="ListParagraph"/>
        <w:spacing w:after="0" w:line="240" w:lineRule="auto"/>
        <w:rPr>
          <w:rFonts w:ascii="Times New Roman" w:hAnsi="Times New Roman"/>
        </w:rPr>
      </w:pPr>
    </w:p>
    <w:p w14:paraId="03764EE1" w14:textId="77777777" w:rsidR="00BD32FD" w:rsidRPr="00BC7BB5" w:rsidRDefault="00BD32FD" w:rsidP="003B5755">
      <w:pPr>
        <w:pStyle w:val="Style7"/>
        <w:spacing w:line="240" w:lineRule="auto"/>
        <w:ind w:left="0" w:firstLine="0"/>
        <w:rPr>
          <w:rFonts w:ascii="Times New Roman" w:eastAsia="Calibri" w:hAnsi="Times New Roman" w:cs="Times New Roman"/>
        </w:rPr>
      </w:pPr>
      <w:r w:rsidRPr="00BC7BB5">
        <w:rPr>
          <w:rFonts w:ascii="Times New Roman" w:hAnsi="Times New Roman"/>
          <w:i/>
        </w:rPr>
        <w:t>During the operational phase,</w:t>
      </w:r>
      <w:r w:rsidRPr="00BC7BB5">
        <w:rPr>
          <w:rFonts w:ascii="Times New Roman" w:hAnsi="Times New Roman"/>
          <w:color w:val="000000" w:themeColor="text1"/>
        </w:rPr>
        <w:t xml:space="preserve"> negative environmental and </w:t>
      </w:r>
      <w:r w:rsidRPr="00BC7BB5">
        <w:rPr>
          <w:rFonts w:ascii="Times New Roman" w:hAnsi="Times New Roman"/>
        </w:rPr>
        <w:t xml:space="preserve">social </w:t>
      </w:r>
      <w:r w:rsidRPr="00BC7BB5">
        <w:rPr>
          <w:rFonts w:ascii="Times New Roman" w:hAnsi="Times New Roman"/>
          <w:color w:val="000000" w:themeColor="text1"/>
        </w:rPr>
        <w:t>impacts may arise from inadequate design, lack of awareness raising among populations, lack of maintenance,</w:t>
      </w:r>
      <w:r w:rsidRPr="00BC7BB5">
        <w:rPr>
          <w:rFonts w:ascii="Times New Roman" w:hAnsi="Times New Roman"/>
        </w:rPr>
        <w:t xml:space="preserve"> the inappropriate use or degradation of infrastructure</w:t>
      </w:r>
      <w:r w:rsidRPr="00BC7BB5">
        <w:rPr>
          <w:rFonts w:ascii="Times New Roman" w:hAnsi="Times New Roman"/>
          <w:color w:val="000000" w:themeColor="text1"/>
        </w:rPr>
        <w:t>, or an inadequate application of security measures.</w:t>
      </w:r>
    </w:p>
    <w:p w14:paraId="6CBCB393" w14:textId="77777777" w:rsidR="00BD32FD" w:rsidRPr="00BC7BB5" w:rsidRDefault="00BD32FD" w:rsidP="00BD32FD">
      <w:pPr>
        <w:pStyle w:val="Style7"/>
        <w:numPr>
          <w:ilvl w:val="0"/>
          <w:numId w:val="0"/>
        </w:numPr>
        <w:spacing w:line="240" w:lineRule="auto"/>
        <w:ind w:left="360"/>
        <w:rPr>
          <w:b/>
          <w:bCs/>
        </w:rPr>
      </w:pPr>
    </w:p>
    <w:p w14:paraId="1E420431" w14:textId="2813DE8F" w:rsidR="00BD32FD" w:rsidRPr="00BC7BB5" w:rsidRDefault="00BD32FD" w:rsidP="003B5755">
      <w:pPr>
        <w:pStyle w:val="Style7"/>
        <w:spacing w:line="240" w:lineRule="auto"/>
        <w:ind w:left="0" w:firstLine="0"/>
        <w:rPr>
          <w:rFonts w:ascii="Times New Roman" w:hAnsi="Times New Roman" w:cs="Times New Roman"/>
        </w:rPr>
      </w:pPr>
      <w:r w:rsidRPr="00BC7BB5">
        <w:rPr>
          <w:rFonts w:ascii="Times New Roman" w:hAnsi="Times New Roman"/>
        </w:rPr>
        <w:t xml:space="preserve">All activities funded under the Program have been classified and evaluated during the ESSA preparation to define the levels of environmental and social risks and impacts of each type of activity, as well as the type of management instrument required. This categorization made it possible to identify those activities that require an </w:t>
      </w:r>
      <w:r w:rsidRPr="00BC7BB5">
        <w:rPr>
          <w:rFonts w:ascii="Times New Roman" w:hAnsi="Times New Roman"/>
          <w:i/>
        </w:rPr>
        <w:t>Environment and Social Impact Assessment Study</w:t>
      </w:r>
      <w:r w:rsidRPr="00BC7BB5">
        <w:rPr>
          <w:rFonts w:ascii="Times New Roman" w:hAnsi="Times New Roman"/>
        </w:rPr>
        <w:t xml:space="preserve"> (ESIAS), according to the Moroccan’s regulatory framework. </w:t>
      </w:r>
      <w:r w:rsidR="00831679">
        <w:rPr>
          <w:rFonts w:ascii="Times New Roman" w:hAnsi="Times New Roman"/>
        </w:rPr>
        <w:t>Some of tho</w:t>
      </w:r>
      <w:r w:rsidR="00831679" w:rsidRPr="00443CCD">
        <w:rPr>
          <w:rFonts w:ascii="Times New Roman" w:hAnsi="Times New Roman"/>
        </w:rPr>
        <w:t xml:space="preserve">se activities will be monitored and controlled directly by the entities responsible for their implementation, namely the wholesale market and the </w:t>
      </w:r>
      <w:r w:rsidR="00831679">
        <w:rPr>
          <w:rFonts w:ascii="Times New Roman" w:hAnsi="Times New Roman"/>
        </w:rPr>
        <w:t>center</w:t>
      </w:r>
      <w:r w:rsidR="00E517E0">
        <w:rPr>
          <w:rFonts w:ascii="Times New Roman" w:hAnsi="Times New Roman"/>
        </w:rPr>
        <w:t xml:space="preserve"> for the production of sterile </w:t>
      </w:r>
      <w:r w:rsidR="00E517E0" w:rsidRPr="00E517E0">
        <w:rPr>
          <w:rFonts w:ascii="Times New Roman" w:hAnsi="Times New Roman"/>
          <w:i/>
        </w:rPr>
        <w:t>ceratitis</w:t>
      </w:r>
      <w:r w:rsidR="00E517E0">
        <w:rPr>
          <w:rFonts w:ascii="Times New Roman" w:hAnsi="Times New Roman"/>
        </w:rPr>
        <w:t xml:space="preserve"> males</w:t>
      </w:r>
      <w:r w:rsidR="00831679" w:rsidRPr="00443CCD">
        <w:rPr>
          <w:rFonts w:ascii="Times New Roman" w:hAnsi="Times New Roman"/>
        </w:rPr>
        <w:t xml:space="preserve">. The other activities subject to Law 12-03 on impact studies will be </w:t>
      </w:r>
      <w:r w:rsidR="00831679" w:rsidRPr="00443CCD">
        <w:rPr>
          <w:rFonts w:ascii="Times New Roman" w:hAnsi="Times New Roman"/>
        </w:rPr>
        <w:lastRenderedPageBreak/>
        <w:t xml:space="preserve">operationalized by private entities, i. e. olive </w:t>
      </w:r>
      <w:r w:rsidR="00831679">
        <w:rPr>
          <w:rFonts w:ascii="Times New Roman" w:hAnsi="Times New Roman"/>
        </w:rPr>
        <w:t>oil mills. Tho</w:t>
      </w:r>
      <w:r w:rsidR="00831679" w:rsidRPr="00443CCD">
        <w:rPr>
          <w:rFonts w:ascii="Times New Roman" w:hAnsi="Times New Roman"/>
        </w:rPr>
        <w:t>se will be monitored during their operation by the State Secretariat for Sustainable Development</w:t>
      </w:r>
      <w:r w:rsidR="00312192">
        <w:rPr>
          <w:rFonts w:ascii="Times New Roman" w:hAnsi="Times New Roman"/>
        </w:rPr>
        <w:t>, which agreed to put in place a control plan targeting the units that will be supported by the Program</w:t>
      </w:r>
      <w:r w:rsidR="00831679" w:rsidRPr="00443CCD">
        <w:rPr>
          <w:rFonts w:ascii="Times New Roman" w:hAnsi="Times New Roman"/>
        </w:rPr>
        <w:t xml:space="preserve"> The details of this control will be specified in the Environmental and Social Technical Manual. Monitoring and control of all activities submitted to the EIA wi</w:t>
      </w:r>
      <w:r w:rsidR="00831679">
        <w:rPr>
          <w:rFonts w:ascii="Times New Roman" w:hAnsi="Times New Roman"/>
        </w:rPr>
        <w:t>ll be coordinated by the PMU environmental and social</w:t>
      </w:r>
      <w:r w:rsidR="00831679" w:rsidRPr="00443CCD">
        <w:rPr>
          <w:rFonts w:ascii="Times New Roman" w:hAnsi="Times New Roman"/>
        </w:rPr>
        <w:t xml:space="preserve"> </w:t>
      </w:r>
      <w:r w:rsidR="006D4589">
        <w:rPr>
          <w:rFonts w:ascii="Times New Roman" w:hAnsi="Times New Roman"/>
        </w:rPr>
        <w:t>specialist</w:t>
      </w:r>
      <w:r w:rsidR="00831679" w:rsidRPr="00443CCD">
        <w:rPr>
          <w:rFonts w:ascii="Times New Roman" w:hAnsi="Times New Roman"/>
        </w:rPr>
        <w:t xml:space="preserve"> with the support of technical assistance</w:t>
      </w:r>
      <w:r w:rsidR="00831679">
        <w:rPr>
          <w:rFonts w:ascii="Times New Roman" w:hAnsi="Times New Roman"/>
        </w:rPr>
        <w:t>.</w:t>
      </w:r>
    </w:p>
    <w:p w14:paraId="65A793F4" w14:textId="77777777" w:rsidR="00BD32FD" w:rsidRPr="00BC7BB5" w:rsidRDefault="00BD32FD" w:rsidP="00BD32FD">
      <w:pPr>
        <w:pStyle w:val="Style7"/>
        <w:numPr>
          <w:ilvl w:val="0"/>
          <w:numId w:val="0"/>
        </w:numPr>
        <w:spacing w:line="240" w:lineRule="auto"/>
        <w:rPr>
          <w:rFonts w:ascii="Times New Roman" w:hAnsi="Times New Roman" w:cs="Times New Roman"/>
        </w:rPr>
      </w:pPr>
    </w:p>
    <w:p w14:paraId="68E3F4C5" w14:textId="77777777" w:rsidR="00BD32FD" w:rsidRPr="00BC7BB5" w:rsidRDefault="00BD32FD" w:rsidP="003B5755">
      <w:pPr>
        <w:pStyle w:val="Style7"/>
        <w:spacing w:line="240" w:lineRule="auto"/>
        <w:ind w:left="0" w:firstLine="0"/>
        <w:rPr>
          <w:rFonts w:ascii="Times New Roman" w:hAnsi="Times New Roman" w:cs="Times New Roman"/>
        </w:rPr>
      </w:pPr>
      <w:r w:rsidRPr="00BC7BB5">
        <w:rPr>
          <w:rFonts w:ascii="Times New Roman" w:hAnsi="Times New Roman"/>
        </w:rPr>
        <w:t>Based on the Program phases, each type of risk will have a corresponding specific risk level as well as appropriate mitigation measures (including the strengthening of existing regulations), making it possible to reduce, or even eradicate, the risk.</w:t>
      </w:r>
    </w:p>
    <w:p w14:paraId="0C321072" w14:textId="77777777" w:rsidR="00BD32FD" w:rsidRPr="00BC7BB5" w:rsidRDefault="00BD32FD" w:rsidP="00BD32FD">
      <w:pPr>
        <w:spacing w:line="240" w:lineRule="auto"/>
        <w:rPr>
          <w:rFonts w:ascii="Times New Roman" w:hAnsi="Times New Roman" w:cs="Times New Roman"/>
        </w:rPr>
      </w:pPr>
    </w:p>
    <w:p w14:paraId="77ADA7F3" w14:textId="0C30FB83" w:rsidR="00BD32FD" w:rsidRPr="009B52EA" w:rsidRDefault="009B52EA" w:rsidP="009B52EA">
      <w:pPr>
        <w:spacing w:line="240" w:lineRule="auto"/>
        <w:rPr>
          <w:rFonts w:ascii="Times New Roman" w:hAnsi="Times New Roman" w:cs="Times New Roman"/>
          <w:b/>
          <w:bCs/>
          <w:i/>
        </w:rPr>
      </w:pPr>
      <w:r w:rsidRPr="009B52EA">
        <w:rPr>
          <w:rFonts w:ascii="Times New Roman" w:hAnsi="Times New Roman" w:cs="Times New Roman"/>
          <w:b/>
          <w:bCs/>
          <w:i/>
        </w:rPr>
        <w:t>Evaluation of the applicable systems</w:t>
      </w:r>
    </w:p>
    <w:p w14:paraId="12670FFE" w14:textId="6A7B2EE9" w:rsidR="00BD32FD" w:rsidRPr="00BC7BB5" w:rsidRDefault="00BD32FD" w:rsidP="00EE0015">
      <w:pPr>
        <w:rPr>
          <w:b/>
          <w:bCs/>
        </w:rPr>
      </w:pPr>
      <w:r w:rsidRPr="00BC7BB5">
        <w:rPr>
          <w:rFonts w:ascii="Times New Roman" w:hAnsi="Times New Roman" w:cs="Times New Roman"/>
          <w:b/>
          <w:bCs/>
        </w:rPr>
        <w:t>Environmental Management System</w:t>
      </w:r>
    </w:p>
    <w:p w14:paraId="3EA15FE6" w14:textId="5227BBB0" w:rsidR="00BD32FD" w:rsidRPr="00BC7BB5" w:rsidRDefault="00BD32FD" w:rsidP="003B5755">
      <w:pPr>
        <w:pStyle w:val="Style7"/>
        <w:spacing w:line="240" w:lineRule="auto"/>
        <w:ind w:left="0" w:firstLine="0"/>
        <w:rPr>
          <w:rFonts w:ascii="Times New Roman" w:eastAsia="ヒラギノ角ゴ Pro W3" w:hAnsi="Times New Roman" w:cs="Times New Roman"/>
        </w:rPr>
      </w:pPr>
      <w:r w:rsidRPr="00BC7BB5">
        <w:rPr>
          <w:rFonts w:ascii="Times New Roman" w:hAnsi="Times New Roman"/>
        </w:rPr>
        <w:t>The national framework for the protection of the environment has been enshrined in article 31 of the Moroccan Constitution, adopted in 2011, which stipulates that: “</w:t>
      </w:r>
      <w:r w:rsidRPr="00BC7BB5">
        <w:rPr>
          <w:rFonts w:ascii="Times New Roman" w:hAnsi="Times New Roman"/>
          <w:bCs/>
          <w:i/>
          <w:iCs/>
        </w:rPr>
        <w:t>The State, public institutions and local authorities must work to mobilize all the means in their possession in order to facilitate the access of citizens to conditions that enable them to enjoy their rights, including the right of access to water, to a healthy environment and to sustainable development</w:t>
      </w:r>
      <w:r w:rsidRPr="00BC7BB5">
        <w:rPr>
          <w:rFonts w:ascii="Times New Roman" w:hAnsi="Times New Roman"/>
        </w:rPr>
        <w:t>.”</w:t>
      </w:r>
    </w:p>
    <w:p w14:paraId="7E92B056" w14:textId="77777777" w:rsidR="009B52EA" w:rsidRPr="009B52EA" w:rsidRDefault="009B52EA" w:rsidP="009B52EA">
      <w:pPr>
        <w:pStyle w:val="Style7"/>
        <w:numPr>
          <w:ilvl w:val="0"/>
          <w:numId w:val="0"/>
        </w:numPr>
        <w:spacing w:line="240" w:lineRule="auto"/>
        <w:rPr>
          <w:rFonts w:ascii="Times New Roman" w:eastAsia="Arial Unicode MS" w:hAnsi="Times New Roman" w:cs="Times New Roman"/>
        </w:rPr>
      </w:pPr>
    </w:p>
    <w:p w14:paraId="305FECED" w14:textId="59582C4C" w:rsidR="00BD32FD" w:rsidRPr="00A6265D" w:rsidRDefault="00BD32FD" w:rsidP="003B5755">
      <w:pPr>
        <w:pStyle w:val="Style7"/>
        <w:spacing w:line="240" w:lineRule="auto"/>
        <w:ind w:left="0" w:firstLine="0"/>
        <w:rPr>
          <w:rFonts w:ascii="Times New Roman" w:eastAsia="Arial Unicode MS" w:hAnsi="Times New Roman" w:cs="Times New Roman"/>
        </w:rPr>
      </w:pPr>
      <w:r w:rsidRPr="00BC7BB5">
        <w:rPr>
          <w:rFonts w:ascii="Times New Roman" w:hAnsi="Times New Roman"/>
        </w:rPr>
        <w:t xml:space="preserve">The fundamental aims of actions taken by the </w:t>
      </w:r>
      <w:r w:rsidR="006D4589">
        <w:rPr>
          <w:rFonts w:ascii="Times New Roman" w:hAnsi="Times New Roman"/>
        </w:rPr>
        <w:t>s</w:t>
      </w:r>
      <w:r w:rsidRPr="00BC7BB5">
        <w:rPr>
          <w:rFonts w:ascii="Times New Roman" w:hAnsi="Times New Roman"/>
        </w:rPr>
        <w:t>tate in terms of environmental protection are set out in Act 99-12, on the National Charter for the Environment and Sustainable Development. This Act, which brings sustainable development within the scope of regulation, includes among its objectives “strengthening of the protection and preservation of natural resources, the environment, biodiversity and cultural heritage, and of the fight against pollution and contamination.” This law further stipulates the development of a National Strategy for Sustainable Development (SNDD), which was adopted in June 2017. The Program responds to seven of the 31 strategic pillars defined by the SNDD.</w:t>
      </w:r>
    </w:p>
    <w:p w14:paraId="00076A1E" w14:textId="77777777" w:rsidR="00A6265D" w:rsidRPr="00A6265D" w:rsidRDefault="00A6265D" w:rsidP="00A6265D">
      <w:pPr>
        <w:pStyle w:val="Style7"/>
        <w:numPr>
          <w:ilvl w:val="0"/>
          <w:numId w:val="0"/>
        </w:numPr>
        <w:spacing w:line="240" w:lineRule="auto"/>
        <w:rPr>
          <w:rFonts w:ascii="Times New Roman" w:hAnsi="Times New Roman" w:cs="Times New Roman"/>
        </w:rPr>
      </w:pPr>
    </w:p>
    <w:p w14:paraId="764E8832" w14:textId="60DFAD47" w:rsidR="003B5755" w:rsidRPr="00BC7BB5" w:rsidRDefault="00F35C18" w:rsidP="003B5755">
      <w:pPr>
        <w:pStyle w:val="Style7"/>
        <w:spacing w:line="240" w:lineRule="auto"/>
        <w:ind w:left="0" w:firstLine="0"/>
        <w:rPr>
          <w:rFonts w:ascii="Times New Roman" w:hAnsi="Times New Roman" w:cs="Times New Roman"/>
        </w:rPr>
      </w:pPr>
      <w:r w:rsidRPr="00BC7BB5">
        <w:rPr>
          <w:rFonts w:ascii="Times New Roman" w:hAnsi="Times New Roman"/>
        </w:rPr>
        <w:t>The national system of environmental impact assessments (EIAs) has been in place since 1991 and has been the subject of several actions to strengthen it over the last twenty years. It is currently well-adjusted, integrated into the decision-making process and helps to ensure that the environmental impacts of new projects subject to EIAs are dealt with correctly. In this regard, the system allows detailed analysis of impacts on the environment and the identification of measures to be implemented to remove, mitigate or compensate for those negative impacts, to acceptable levels. An Environmental Monitoring and Surveillance Plan (PSSE) is systematically required to control and monitor the compliance of approved projects during the construction and operational phases</w:t>
      </w:r>
      <w:r w:rsidR="003B5755" w:rsidRPr="00BC7BB5">
        <w:rPr>
          <w:rFonts w:ascii="Times New Roman" w:hAnsi="Times New Roman"/>
        </w:rPr>
        <w:t>.</w:t>
      </w:r>
    </w:p>
    <w:p w14:paraId="3DCBD91B" w14:textId="77777777" w:rsidR="003B5755" w:rsidRPr="00BC7BB5" w:rsidRDefault="003B5755" w:rsidP="003B5755">
      <w:pPr>
        <w:pStyle w:val="Style7"/>
        <w:numPr>
          <w:ilvl w:val="0"/>
          <w:numId w:val="0"/>
        </w:numPr>
        <w:spacing w:line="240" w:lineRule="auto"/>
        <w:rPr>
          <w:rFonts w:ascii="Times New Roman" w:hAnsi="Times New Roman" w:cs="Times New Roman"/>
        </w:rPr>
      </w:pPr>
    </w:p>
    <w:p w14:paraId="3099B392" w14:textId="77777777" w:rsidR="003B5755" w:rsidRPr="00BC7BB5" w:rsidRDefault="003B5755" w:rsidP="00583309">
      <w:pPr>
        <w:pStyle w:val="Style7"/>
        <w:spacing w:line="240" w:lineRule="auto"/>
        <w:ind w:left="0" w:firstLine="0"/>
        <w:rPr>
          <w:rFonts w:ascii="Times New Roman" w:eastAsia="ヒラギノ角ゴ Pro W3" w:hAnsi="Times New Roman" w:cs="Times New Roman"/>
        </w:rPr>
      </w:pPr>
      <w:r w:rsidRPr="00BC7BB5">
        <w:rPr>
          <w:rFonts w:ascii="Times New Roman" w:hAnsi="Times New Roman"/>
        </w:rPr>
        <w:t>The main shortcomings of the national EIA system relate to the absence of regulatory provisions and procedures specific to: (i) assessment of social impacts; (ii) evaluation of the no-project option; (iii) establishment of mechanisms for complaint management; (iv) publication of EIA reports; and (v) environmental and social monitoring of projects after construction.</w:t>
      </w:r>
    </w:p>
    <w:p w14:paraId="138AA722" w14:textId="77777777" w:rsidR="003B5755" w:rsidRPr="00BC7BB5" w:rsidRDefault="003B5755" w:rsidP="00583309">
      <w:pPr>
        <w:tabs>
          <w:tab w:val="left" w:pos="0"/>
        </w:tabs>
        <w:spacing w:after="0" w:line="240" w:lineRule="auto"/>
        <w:rPr>
          <w:rFonts w:eastAsia="ヒラギノ角ゴ Pro W3"/>
          <w:color w:val="000000"/>
        </w:rPr>
      </w:pPr>
    </w:p>
    <w:p w14:paraId="493A7494" w14:textId="397814EB" w:rsidR="003B5755" w:rsidRPr="00BC7BB5" w:rsidRDefault="003B5755" w:rsidP="00583309">
      <w:pPr>
        <w:pStyle w:val="Style7"/>
        <w:spacing w:line="240" w:lineRule="auto"/>
        <w:ind w:left="0" w:firstLine="0"/>
        <w:rPr>
          <w:rFonts w:ascii="Times New Roman" w:eastAsia="ヒラギノ角ゴ Pro W3" w:hAnsi="Times New Roman" w:cs="Times New Roman"/>
        </w:rPr>
      </w:pPr>
      <w:r w:rsidRPr="00BC7BB5">
        <w:rPr>
          <w:rFonts w:ascii="Times New Roman" w:hAnsi="Times New Roman"/>
        </w:rPr>
        <w:t xml:space="preserve">These gaps have been considered during the preparation of the </w:t>
      </w:r>
      <w:r w:rsidR="006D4589">
        <w:rPr>
          <w:rFonts w:ascii="Times New Roman" w:hAnsi="Times New Roman"/>
        </w:rPr>
        <w:t>operations</w:t>
      </w:r>
      <w:r w:rsidR="006D4589" w:rsidRPr="00BC7BB5">
        <w:rPr>
          <w:rFonts w:ascii="Times New Roman" w:hAnsi="Times New Roman"/>
        </w:rPr>
        <w:t xml:space="preserve"> </w:t>
      </w:r>
      <w:r w:rsidRPr="00BC7BB5">
        <w:rPr>
          <w:rFonts w:ascii="Times New Roman" w:hAnsi="Times New Roman"/>
        </w:rPr>
        <w:t xml:space="preserve">financed by the </w:t>
      </w:r>
      <w:r w:rsidR="006D4589">
        <w:rPr>
          <w:rFonts w:ascii="Times New Roman" w:hAnsi="Times New Roman"/>
        </w:rPr>
        <w:t xml:space="preserve">World </w:t>
      </w:r>
      <w:r w:rsidRPr="00BC7BB5">
        <w:rPr>
          <w:rFonts w:ascii="Times New Roman" w:hAnsi="Times New Roman"/>
        </w:rPr>
        <w:t>Bank</w:t>
      </w:r>
      <w:r w:rsidRPr="00BC7BB5">
        <w:rPr>
          <w:rFonts w:ascii="Times New Roman" w:eastAsia="ヒラギノ角ゴ Pro W3" w:hAnsi="Times New Roman" w:cs="Times New Roman"/>
          <w:vertAlign w:val="superscript"/>
        </w:rPr>
        <w:footnoteReference w:id="69"/>
      </w:r>
      <w:r w:rsidRPr="00BC7BB5">
        <w:rPr>
          <w:rFonts w:ascii="Times New Roman" w:hAnsi="Times New Roman"/>
        </w:rPr>
        <w:t xml:space="preserve"> and specific measures (see </w:t>
      </w:r>
      <w:r w:rsidR="006D4589">
        <w:rPr>
          <w:rFonts w:ascii="Times New Roman" w:hAnsi="Times New Roman"/>
        </w:rPr>
        <w:t>B</w:t>
      </w:r>
      <w:r w:rsidR="006D4589" w:rsidRPr="00BC7BB5">
        <w:rPr>
          <w:rFonts w:ascii="Times New Roman" w:hAnsi="Times New Roman"/>
        </w:rPr>
        <w:t>ox</w:t>
      </w:r>
      <w:r w:rsidR="006D4589">
        <w:rPr>
          <w:rFonts w:ascii="Times New Roman" w:hAnsi="Times New Roman"/>
        </w:rPr>
        <w:t xml:space="preserve"> below</w:t>
      </w:r>
      <w:r w:rsidRPr="00BC7BB5">
        <w:rPr>
          <w:rFonts w:ascii="Times New Roman" w:hAnsi="Times New Roman"/>
        </w:rPr>
        <w:t xml:space="preserve">) have been </w:t>
      </w:r>
      <w:r w:rsidR="00C74CCA">
        <w:rPr>
          <w:rFonts w:ascii="Times New Roman" w:hAnsi="Times New Roman"/>
        </w:rPr>
        <w:t>required</w:t>
      </w:r>
      <w:r w:rsidRPr="00BC7BB5">
        <w:rPr>
          <w:rFonts w:ascii="Times New Roman" w:hAnsi="Times New Roman"/>
        </w:rPr>
        <w:t xml:space="preserve"> to cover them and to make sure the national system complies with the environmental and social policies of the World Bank. Th</w:t>
      </w:r>
      <w:r w:rsidR="00C74CCA">
        <w:rPr>
          <w:rFonts w:ascii="Times New Roman" w:hAnsi="Times New Roman"/>
        </w:rPr>
        <w:t>e</w:t>
      </w:r>
      <w:r w:rsidRPr="00BC7BB5">
        <w:rPr>
          <w:rFonts w:ascii="Times New Roman" w:hAnsi="Times New Roman"/>
        </w:rPr>
        <w:t>se gaps can be covered without resorting to a change in the laws and regulations in force in Morocco.</w:t>
      </w:r>
    </w:p>
    <w:p w14:paraId="62973891" w14:textId="77777777" w:rsidR="003B5755" w:rsidRPr="00BC7BB5" w:rsidRDefault="003B5755" w:rsidP="003B5755">
      <w:pPr>
        <w:pStyle w:val="Style7"/>
        <w:numPr>
          <w:ilvl w:val="0"/>
          <w:numId w:val="0"/>
        </w:numPr>
        <w:spacing w:line="240" w:lineRule="auto"/>
        <w:rPr>
          <w:rFonts w:ascii="Times New Roman" w:eastAsia="ヒラギノ角ゴ Pro W3" w:hAnsi="Times New Roman" w:cs="Times New Roman"/>
        </w:rPr>
      </w:pPr>
    </w:p>
    <w:p w14:paraId="175085B5" w14:textId="5A99C598" w:rsidR="00583309" w:rsidRPr="009B52EA" w:rsidRDefault="00583309" w:rsidP="00583309">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0"/>
        </w:tabs>
        <w:spacing w:line="240" w:lineRule="auto"/>
        <w:ind w:left="360" w:right="119"/>
        <w:jc w:val="center"/>
        <w:rPr>
          <w:rFonts w:ascii="Times New Roman" w:eastAsia="ヒラギノ角ゴ Pro W3" w:hAnsi="Times New Roman" w:cs="Times New Roman"/>
          <w:b/>
          <w:i/>
        </w:rPr>
      </w:pPr>
      <w:r w:rsidRPr="009B52EA">
        <w:rPr>
          <w:rFonts w:ascii="Times New Roman" w:hAnsi="Times New Roman" w:cs="Times New Roman"/>
          <w:b/>
          <w:bCs/>
          <w:i/>
        </w:rPr>
        <w:lastRenderedPageBreak/>
        <w:t>Specific measures necessary to cover the gaps between the national system and the environmental and social protection policies of the World Bank</w:t>
      </w:r>
    </w:p>
    <w:p w14:paraId="3A55CBC9" w14:textId="0F724D73" w:rsidR="00F75879" w:rsidRPr="00BC7BB5" w:rsidRDefault="00F75879" w:rsidP="00F561E8">
      <w:pPr>
        <w:pStyle w:val="ListParagraph"/>
        <w:numPr>
          <w:ilvl w:val="0"/>
          <w:numId w:val="42"/>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0"/>
        </w:tabs>
        <w:spacing w:after="0" w:line="240" w:lineRule="auto"/>
        <w:ind w:left="720" w:right="119"/>
        <w:jc w:val="both"/>
        <w:textAlignment w:val="baseline"/>
        <w:rPr>
          <w:rFonts w:ascii="Times New Roman" w:eastAsia="ヒラギノ角ゴ Pro W3" w:hAnsi="Times New Roman"/>
        </w:rPr>
      </w:pPr>
      <w:r w:rsidRPr="00BC7BB5">
        <w:rPr>
          <w:rFonts w:ascii="Times New Roman" w:hAnsi="Times New Roman"/>
        </w:rPr>
        <w:t>Systematic consideration of project alternatives including the no-project option.</w:t>
      </w:r>
    </w:p>
    <w:p w14:paraId="579DE78E" w14:textId="4A0F1FE5" w:rsidR="00583309" w:rsidRPr="00BC7BB5" w:rsidRDefault="00F75879" w:rsidP="00F561E8">
      <w:pPr>
        <w:pStyle w:val="ListParagraph"/>
        <w:numPr>
          <w:ilvl w:val="0"/>
          <w:numId w:val="42"/>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0"/>
        </w:tabs>
        <w:spacing w:after="0" w:line="240" w:lineRule="auto"/>
        <w:ind w:left="720" w:right="119"/>
        <w:jc w:val="both"/>
        <w:textAlignment w:val="baseline"/>
        <w:rPr>
          <w:rFonts w:ascii="Times New Roman" w:eastAsia="ヒラギノ角ゴ Pro W3" w:hAnsi="Times New Roman"/>
        </w:rPr>
      </w:pPr>
      <w:r w:rsidRPr="00BC7BB5">
        <w:rPr>
          <w:rFonts w:ascii="Times New Roman" w:hAnsi="Times New Roman"/>
        </w:rPr>
        <w:t>Pro</w:t>
      </w:r>
      <w:r w:rsidR="00583309" w:rsidRPr="00BC7BB5">
        <w:rPr>
          <w:rFonts w:ascii="Times New Roman" w:hAnsi="Times New Roman"/>
        </w:rPr>
        <w:t>posing concrete measures for mitigating the negative impacts of the project, assigning responsibilities for implementation and a budget estimate for each proposed measure. Documents on potential sub-projects must contain details on the management, control and monitoring plan including contractual clauses applicable during the realization of potential sub-projects.</w:t>
      </w:r>
    </w:p>
    <w:p w14:paraId="5FC909CD" w14:textId="77777777" w:rsidR="00583309" w:rsidRPr="00BC7BB5" w:rsidRDefault="00583309" w:rsidP="00F561E8">
      <w:pPr>
        <w:pStyle w:val="ListParagraph"/>
        <w:numPr>
          <w:ilvl w:val="0"/>
          <w:numId w:val="42"/>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0"/>
        </w:tabs>
        <w:spacing w:after="0" w:line="240" w:lineRule="auto"/>
        <w:ind w:left="720" w:right="119"/>
        <w:jc w:val="both"/>
        <w:textAlignment w:val="baseline"/>
        <w:rPr>
          <w:rFonts w:ascii="Times New Roman" w:eastAsia="ヒラギノ角ゴ Pro W3" w:hAnsi="Times New Roman"/>
        </w:rPr>
      </w:pPr>
      <w:r w:rsidRPr="00BC7BB5">
        <w:rPr>
          <w:rFonts w:ascii="Times New Roman" w:hAnsi="Times New Roman"/>
        </w:rPr>
        <w:t>Development of a detailed monitoring and surveillance plan assigning responsibilities for implementation and a budget estimate for each proposed measure.</w:t>
      </w:r>
    </w:p>
    <w:p w14:paraId="3E89E7CC" w14:textId="77777777" w:rsidR="00583309" w:rsidRPr="00BC7BB5" w:rsidRDefault="00583309" w:rsidP="00F561E8">
      <w:pPr>
        <w:pStyle w:val="ListParagraph"/>
        <w:numPr>
          <w:ilvl w:val="0"/>
          <w:numId w:val="42"/>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0"/>
        </w:tabs>
        <w:spacing w:after="0" w:line="240" w:lineRule="auto"/>
        <w:ind w:left="720" w:right="119"/>
        <w:jc w:val="both"/>
        <w:textAlignment w:val="baseline"/>
        <w:rPr>
          <w:rFonts w:ascii="Times New Roman" w:eastAsia="ヒラギノ角ゴ Pro W3" w:hAnsi="Times New Roman"/>
        </w:rPr>
      </w:pPr>
      <w:r w:rsidRPr="00BC7BB5">
        <w:rPr>
          <w:rFonts w:ascii="Times New Roman" w:hAnsi="Times New Roman"/>
        </w:rPr>
        <w:t>Identification of needs and capacity-building activities recommended.</w:t>
      </w:r>
    </w:p>
    <w:p w14:paraId="4B8E4D48" w14:textId="77777777" w:rsidR="00583309" w:rsidRPr="00BC7BB5" w:rsidRDefault="00583309" w:rsidP="00F561E8">
      <w:pPr>
        <w:pStyle w:val="ListParagraph"/>
        <w:numPr>
          <w:ilvl w:val="0"/>
          <w:numId w:val="42"/>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0"/>
        </w:tabs>
        <w:spacing w:after="0" w:line="240" w:lineRule="auto"/>
        <w:ind w:left="720" w:right="119"/>
        <w:jc w:val="both"/>
        <w:textAlignment w:val="baseline"/>
        <w:rPr>
          <w:rFonts w:ascii="Times New Roman" w:eastAsia="ヒラギノ角ゴ Pro W3" w:hAnsi="Times New Roman"/>
        </w:rPr>
      </w:pPr>
      <w:r w:rsidRPr="00BC7BB5">
        <w:rPr>
          <w:rFonts w:ascii="Times New Roman" w:hAnsi="Times New Roman"/>
        </w:rPr>
        <w:t>Separation of the EIA from the technical studies of the activities financed in the framework of the program: it is recommended to preserve the independence of EIAs by ensuring they are carried out by entities other than those who perform the project technical studies.</w:t>
      </w:r>
    </w:p>
    <w:p w14:paraId="2D37AAA2" w14:textId="77777777" w:rsidR="00583309" w:rsidRPr="00BC7BB5" w:rsidRDefault="00583309" w:rsidP="00F561E8">
      <w:pPr>
        <w:pStyle w:val="ListParagraph"/>
        <w:numPr>
          <w:ilvl w:val="0"/>
          <w:numId w:val="42"/>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0"/>
        </w:tabs>
        <w:spacing w:after="0" w:line="240" w:lineRule="auto"/>
        <w:ind w:left="720" w:right="119"/>
        <w:jc w:val="both"/>
        <w:textAlignment w:val="baseline"/>
        <w:rPr>
          <w:rFonts w:ascii="Times New Roman" w:eastAsia="ヒラギノ角ゴ Pro W3" w:hAnsi="Times New Roman"/>
        </w:rPr>
      </w:pPr>
      <w:r w:rsidRPr="00BC7BB5">
        <w:rPr>
          <w:rFonts w:ascii="Times New Roman" w:hAnsi="Times New Roman"/>
        </w:rPr>
        <w:t>Public consultations and stakeholder information: public consultations will be organized for each of the projects. They will be intended to inform the population and the actors involved about the activities of the project, the alternatives considered, the principal results of the EIA, as well as the measures recommended to reduce the environmental impact of the project. The questions and the comments of the stakeholders in the project will be recorded in minutes together with the replies of the government officials concerned. The minutes of the public consultation will be annexed to the EIA report on the projects.</w:t>
      </w:r>
    </w:p>
    <w:p w14:paraId="4B99DCC5" w14:textId="30363E0B" w:rsidR="00583309" w:rsidRPr="00BC7BB5" w:rsidRDefault="00583309" w:rsidP="00F561E8">
      <w:pPr>
        <w:pStyle w:val="ListParagraph"/>
        <w:numPr>
          <w:ilvl w:val="0"/>
          <w:numId w:val="42"/>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0"/>
        </w:tabs>
        <w:spacing w:after="0" w:line="240" w:lineRule="auto"/>
        <w:ind w:left="720" w:right="119"/>
        <w:jc w:val="both"/>
        <w:textAlignment w:val="baseline"/>
        <w:rPr>
          <w:rFonts w:ascii="Times New Roman" w:eastAsia="ヒラギノ角ゴ Pro W3" w:hAnsi="Times New Roman"/>
        </w:rPr>
      </w:pPr>
      <w:r w:rsidRPr="00BC7BB5">
        <w:rPr>
          <w:rFonts w:ascii="Times New Roman" w:hAnsi="Times New Roman"/>
        </w:rPr>
        <w:t>Publication of the results of the project EIA: The EIA reports will be published and the comments received will be recorded in the register of the environmental monitoring of the project activities.</w:t>
      </w:r>
    </w:p>
    <w:p w14:paraId="1E5212C6" w14:textId="489068DE" w:rsidR="003B5755" w:rsidRPr="00BC7BB5" w:rsidRDefault="003B5755" w:rsidP="003B5755">
      <w:pPr>
        <w:spacing w:line="240" w:lineRule="auto"/>
      </w:pPr>
    </w:p>
    <w:p w14:paraId="4DA6E73B" w14:textId="0E5AF9AB" w:rsidR="003B5755" w:rsidRPr="00BC7BB5" w:rsidRDefault="003B5755" w:rsidP="00583309">
      <w:pPr>
        <w:pStyle w:val="Style7"/>
        <w:spacing w:line="240" w:lineRule="auto"/>
        <w:ind w:left="0" w:firstLine="0"/>
        <w:rPr>
          <w:rFonts w:ascii="Times New Roman" w:hAnsi="Times New Roman" w:cs="Times New Roman"/>
        </w:rPr>
      </w:pPr>
      <w:r w:rsidRPr="00BC7BB5">
        <w:rPr>
          <w:rFonts w:ascii="Times New Roman" w:hAnsi="Times New Roman"/>
        </w:rPr>
        <w:t>With regard to the health and safety at work plan, Act 65-99 of the Labor Code places particular emphasis on the field of health and safety at work. However, it has become clear that the existing legal framework is unable to guarantee adequate and effective protection against occupational risks, given the lack of consistency and disparate character of the legislative texts. To this effect, an inter-ministerial commission has been established, on High Royal Instruction. This commission has been charged with proposing the measures required to strengthen workplace safety by emphasizing the need to implement an integrated policy for the prevention of occupational risks, to promote a culture of prevention in the area of health and safety at work, and to prepare an overall legal framework in which the various preventive actions will be developed, consistent with international labor standards. In this regard, the Ministry of Employment and Social Affairs (MEAS</w:t>
      </w:r>
      <w:r w:rsidR="009B52EA">
        <w:rPr>
          <w:rFonts w:ascii="Times New Roman" w:hAnsi="Times New Roman"/>
        </w:rPr>
        <w:fldChar w:fldCharType="begin"/>
      </w:r>
      <w:r w:rsidR="009B52EA">
        <w:instrText xml:space="preserve"> XE "</w:instrText>
      </w:r>
      <w:r w:rsidR="009B52EA" w:rsidRPr="002F1BC7">
        <w:rPr>
          <w:rFonts w:ascii="Times New Roman" w:hAnsi="Times New Roman"/>
        </w:rPr>
        <w:instrText>MEAS:</w:instrText>
      </w:r>
      <w:r w:rsidR="009B52EA" w:rsidRPr="002F1BC7">
        <w:instrText>Ministry of Employment and Social Affairs</w:instrText>
      </w:r>
      <w:r w:rsidR="009B52EA">
        <w:instrText xml:space="preserve">" </w:instrText>
      </w:r>
      <w:r w:rsidR="009B52EA">
        <w:rPr>
          <w:rFonts w:ascii="Times New Roman" w:hAnsi="Times New Roman"/>
        </w:rPr>
        <w:fldChar w:fldCharType="end"/>
      </w:r>
      <w:r w:rsidRPr="00BC7BB5">
        <w:rPr>
          <w:rFonts w:ascii="Times New Roman" w:hAnsi="Times New Roman"/>
        </w:rPr>
        <w:t>) has developed a draft law on health and safety at work in both the private and public sectors.</w:t>
      </w:r>
    </w:p>
    <w:p w14:paraId="1701B035" w14:textId="77777777" w:rsidR="003B5755" w:rsidRPr="00BC7BB5" w:rsidRDefault="003B5755" w:rsidP="00583309">
      <w:pPr>
        <w:spacing w:after="0" w:line="240" w:lineRule="auto"/>
      </w:pPr>
    </w:p>
    <w:p w14:paraId="36D198B4" w14:textId="2C46D8BE" w:rsidR="003B5755" w:rsidRPr="00BC7BB5" w:rsidRDefault="003B5755" w:rsidP="00583309">
      <w:pPr>
        <w:pStyle w:val="Style7"/>
        <w:spacing w:line="240" w:lineRule="auto"/>
        <w:ind w:left="0" w:firstLine="0"/>
        <w:rPr>
          <w:rFonts w:ascii="Times New Roman" w:hAnsi="Times New Roman" w:cs="Times New Roman"/>
        </w:rPr>
      </w:pPr>
      <w:r w:rsidRPr="00BC7BB5">
        <w:rPr>
          <w:rFonts w:ascii="Times New Roman" w:hAnsi="Times New Roman"/>
        </w:rPr>
        <w:t xml:space="preserve">These improvements are expected to cover the gaps in the current system of waste management. The existing Act 28-00 has laid the groundwork for proper management and disposal of waste; however, the texts of application of this law are not complete. The decree currently being prepared by MAPMDREF and the State Secretariat for Sustainable Development </w:t>
      </w:r>
      <w:r w:rsidR="006D4589">
        <w:rPr>
          <w:rFonts w:ascii="Times New Roman" w:hAnsi="Times New Roman"/>
        </w:rPr>
        <w:t>will</w:t>
      </w:r>
      <w:r w:rsidR="006D4589" w:rsidRPr="00BC7BB5">
        <w:rPr>
          <w:rFonts w:ascii="Times New Roman" w:hAnsi="Times New Roman"/>
        </w:rPr>
        <w:t xml:space="preserve"> </w:t>
      </w:r>
      <w:r w:rsidRPr="00BC7BB5">
        <w:rPr>
          <w:rFonts w:ascii="Times New Roman" w:hAnsi="Times New Roman"/>
        </w:rPr>
        <w:t>establish the modalities of spreading liquid residues from olive mills on agricultural land. It submits for authorization the operations of collection, transportation, storage and spreading of these residues. The application for authorization will be reviewed by regional commissions chaired by the Regional Department of Agriculture of the region concerned.</w:t>
      </w:r>
    </w:p>
    <w:p w14:paraId="21DBF4C1" w14:textId="77777777" w:rsidR="003B5755" w:rsidRPr="00BC7BB5" w:rsidRDefault="003B5755" w:rsidP="00583309">
      <w:pPr>
        <w:spacing w:after="0" w:line="240" w:lineRule="auto"/>
      </w:pPr>
    </w:p>
    <w:p w14:paraId="0E494EE8" w14:textId="021B0972" w:rsidR="003B5755" w:rsidRPr="00BC7BB5" w:rsidRDefault="003B5755" w:rsidP="00583309">
      <w:pPr>
        <w:pStyle w:val="Style7"/>
        <w:spacing w:line="240" w:lineRule="auto"/>
        <w:ind w:left="0" w:firstLine="0"/>
        <w:rPr>
          <w:rFonts w:ascii="Times New Roman" w:hAnsi="Times New Roman" w:cs="Times New Roman"/>
        </w:rPr>
      </w:pPr>
      <w:r w:rsidRPr="00BC7BB5">
        <w:rPr>
          <w:rFonts w:ascii="Times New Roman" w:hAnsi="Times New Roman"/>
        </w:rPr>
        <w:t>A joint draft decree is also in preparation</w:t>
      </w:r>
      <w:r w:rsidR="000D4198">
        <w:rPr>
          <w:rFonts w:ascii="Times New Roman" w:hAnsi="Times New Roman"/>
        </w:rPr>
        <w:t xml:space="preserve"> and it is expected to enter into force before the end of calendar year 2020</w:t>
      </w:r>
      <w:r w:rsidRPr="00BC7BB5">
        <w:rPr>
          <w:rFonts w:ascii="Times New Roman" w:hAnsi="Times New Roman"/>
        </w:rPr>
        <w:t xml:space="preserve">. This </w:t>
      </w:r>
      <w:r w:rsidR="000D4198">
        <w:rPr>
          <w:rFonts w:ascii="Times New Roman" w:hAnsi="Times New Roman"/>
        </w:rPr>
        <w:t xml:space="preserve">decree </w:t>
      </w:r>
      <w:r w:rsidRPr="00BC7BB5">
        <w:rPr>
          <w:rFonts w:ascii="Times New Roman" w:hAnsi="Times New Roman"/>
        </w:rPr>
        <w:t xml:space="preserve">involves MAPMDREF, the Ministry of Equipment, Transport, Logistics and Water as well as the Ministry of Energy, Mines and Sustainable Development. This draft decree lays down the conditions and modalities for spreading the residues from olive mills on agricultural land: quantities per hectare, the quality of residues before spreading, periods of spreading, accountability of the </w:t>
      </w:r>
      <w:r w:rsidRPr="00BC7BB5">
        <w:rPr>
          <w:rFonts w:ascii="Times New Roman" w:hAnsi="Times New Roman"/>
        </w:rPr>
        <w:lastRenderedPageBreak/>
        <w:t>MAPMDREF in monitoring the spreading operation, monitoring indicators, etc. Those terms, once defined and approved by the stakeholders, will help to establish a sustainable mechanism for the management of by-products of olive oil processing.</w:t>
      </w:r>
    </w:p>
    <w:p w14:paraId="2D64D600" w14:textId="77777777" w:rsidR="003B5755" w:rsidRPr="00BC7BB5" w:rsidRDefault="003B5755" w:rsidP="00583309">
      <w:pPr>
        <w:pStyle w:val="ListParagraph"/>
        <w:spacing w:after="0" w:line="240" w:lineRule="auto"/>
        <w:ind w:left="0"/>
        <w:contextualSpacing w:val="0"/>
        <w:rPr>
          <w:rFonts w:ascii="Times New Roman" w:hAnsi="Times New Roman" w:cs="Times New Roman"/>
        </w:rPr>
      </w:pPr>
    </w:p>
    <w:p w14:paraId="10728EED" w14:textId="77777777" w:rsidR="003B5755" w:rsidRPr="00BC7BB5" w:rsidRDefault="003B5755" w:rsidP="00583309">
      <w:pPr>
        <w:pStyle w:val="Style7"/>
        <w:spacing w:line="240" w:lineRule="auto"/>
        <w:ind w:left="0" w:firstLine="0"/>
        <w:rPr>
          <w:rFonts w:ascii="Times New Roman" w:hAnsi="Times New Roman" w:cs="Times New Roman"/>
        </w:rPr>
      </w:pPr>
      <w:r w:rsidRPr="00BC7BB5">
        <w:rPr>
          <w:rFonts w:ascii="Times New Roman" w:hAnsi="Times New Roman" w:cs="Times New Roman"/>
        </w:rPr>
        <w:t>T</w:t>
      </w:r>
      <w:r w:rsidRPr="00BC7BB5">
        <w:rPr>
          <w:rFonts w:asciiTheme="majorBidi" w:hAnsiTheme="majorBidi"/>
        </w:rPr>
        <w:t>he IAEA, which is providing the irradiator for the control of Mediterranean fruit flies (sterile male technique), will be in charge of the management of radioactive sources (transport, installation and commissioning). Law 142-45 stipulates in Article 55 that radiation sources becoming obsolete must be taken over by their suppliers. The Moroccan agency (</w:t>
      </w:r>
      <w:r w:rsidRPr="00BC7BB5">
        <w:rPr>
          <w:rFonts w:asciiTheme="majorBidi" w:hAnsiTheme="majorBidi"/>
          <w:i/>
        </w:rPr>
        <w:t>Agence marocaine de sûreté et de sécurité nucléaires et radioactives</w:t>
      </w:r>
      <w:r w:rsidRPr="00BC7BB5">
        <w:rPr>
          <w:rFonts w:asciiTheme="majorBidi" w:hAnsiTheme="majorBidi"/>
        </w:rPr>
        <w:t>) is in charge of the implementation of the Law 142-45. The agreement that will be signed between MAPMDREF and IAEA will clarify their roles and responsibilities.</w:t>
      </w:r>
      <w:r w:rsidRPr="00BC7BB5">
        <w:rPr>
          <w:rFonts w:asciiTheme="majorBidi" w:hAnsiTheme="majorBidi"/>
          <w:highlight w:val="yellow"/>
        </w:rPr>
        <w:t xml:space="preserve"> </w:t>
      </w:r>
    </w:p>
    <w:p w14:paraId="15E1D42C" w14:textId="77777777" w:rsidR="003B5755" w:rsidRPr="00BC7BB5" w:rsidRDefault="003B5755" w:rsidP="00511F96">
      <w:pPr>
        <w:spacing w:after="0" w:line="240" w:lineRule="auto"/>
      </w:pPr>
    </w:p>
    <w:p w14:paraId="139546B2" w14:textId="77777777" w:rsidR="003B5755" w:rsidRPr="00BC7BB5" w:rsidRDefault="003B5755" w:rsidP="00583309">
      <w:pPr>
        <w:pStyle w:val="Style7"/>
        <w:spacing w:line="240" w:lineRule="auto"/>
        <w:ind w:left="0" w:firstLine="0"/>
        <w:rPr>
          <w:rFonts w:ascii="Times New Roman" w:hAnsi="Times New Roman" w:cs="Times New Roman"/>
        </w:rPr>
      </w:pPr>
      <w:r w:rsidRPr="00BC7BB5">
        <w:rPr>
          <w:rFonts w:ascii="Times New Roman" w:hAnsi="Times New Roman"/>
        </w:rPr>
        <w:t>In order to support the different stakeholders in the strengthening of the environmental management system, it is required that the DDFP develops a technical manual for environmental and social management. This manual will present the expected impacts of the Program, the related mitigation measures that have been budgeted for, and the tools for monitoring their implementation. It will also clarify the role of the stakeholders involved.</w:t>
      </w:r>
    </w:p>
    <w:p w14:paraId="60C5E2AB" w14:textId="77777777" w:rsidR="003B5755" w:rsidRPr="00BC7BB5" w:rsidRDefault="003B5755" w:rsidP="003B5755">
      <w:pPr>
        <w:pStyle w:val="Style7"/>
        <w:numPr>
          <w:ilvl w:val="0"/>
          <w:numId w:val="0"/>
        </w:numPr>
        <w:spacing w:line="240" w:lineRule="auto"/>
        <w:rPr>
          <w:rFonts w:ascii="Times New Roman" w:hAnsi="Times New Roman" w:cs="Times New Roman"/>
        </w:rPr>
      </w:pPr>
    </w:p>
    <w:p w14:paraId="2295A951" w14:textId="77777777" w:rsidR="003B5755" w:rsidRPr="00BC7BB5" w:rsidRDefault="003B5755" w:rsidP="00583309">
      <w:pPr>
        <w:pStyle w:val="Style7"/>
        <w:spacing w:line="240" w:lineRule="auto"/>
        <w:ind w:left="0" w:firstLine="0"/>
        <w:rPr>
          <w:rFonts w:ascii="Times New Roman" w:hAnsi="Times New Roman" w:cs="Times New Roman"/>
        </w:rPr>
      </w:pPr>
      <w:r w:rsidRPr="00BC7BB5">
        <w:rPr>
          <w:rFonts w:ascii="Times New Roman" w:hAnsi="Times New Roman"/>
        </w:rPr>
        <w:t>At the institutional level, the approach of the different stakeholders to environmental management is poorly integrated. Indeed, none of the stakeholders has staff working on this component in order to identify the impacts of activities at the planning stage, define mitigation measures and ensure the monitoring of their implementation during the construction and operation phases.</w:t>
      </w:r>
    </w:p>
    <w:p w14:paraId="628D512E" w14:textId="77777777" w:rsidR="003B5755" w:rsidRPr="00BC7BB5" w:rsidRDefault="003B5755" w:rsidP="003B5755">
      <w:pPr>
        <w:pStyle w:val="Style7"/>
        <w:numPr>
          <w:ilvl w:val="0"/>
          <w:numId w:val="0"/>
        </w:numPr>
        <w:spacing w:line="240" w:lineRule="auto"/>
        <w:rPr>
          <w:rFonts w:ascii="Times New Roman" w:hAnsi="Times New Roman" w:cs="Times New Roman"/>
        </w:rPr>
      </w:pPr>
    </w:p>
    <w:p w14:paraId="627039DC" w14:textId="77777777" w:rsidR="003B5755" w:rsidRPr="00BC7BB5" w:rsidRDefault="003B5755" w:rsidP="00583309">
      <w:pPr>
        <w:pStyle w:val="Style7"/>
        <w:spacing w:line="240" w:lineRule="auto"/>
        <w:ind w:left="0" w:firstLine="0"/>
        <w:rPr>
          <w:rFonts w:ascii="Times New Roman" w:hAnsi="Times New Roman" w:cs="Times New Roman"/>
        </w:rPr>
      </w:pPr>
      <w:r w:rsidRPr="00BC7BB5">
        <w:rPr>
          <w:rFonts w:ascii="Times New Roman" w:hAnsi="Times New Roman"/>
        </w:rPr>
        <w:t xml:space="preserve">In order to deal with this lack of human resources at the level of the DDFP, the latter has decided to contract technical assistance for the monitoring activities for the implementation of the Program. In this context, the DDFP intends to entrust the monitoring component of the implementation of the mitigation measures identified in the ESSA to that technical assistance.  </w:t>
      </w:r>
    </w:p>
    <w:p w14:paraId="06689932" w14:textId="77777777" w:rsidR="003B5755" w:rsidRPr="00BC7BB5" w:rsidRDefault="003B5755" w:rsidP="003B5755">
      <w:pPr>
        <w:pStyle w:val="Style7"/>
        <w:numPr>
          <w:ilvl w:val="0"/>
          <w:numId w:val="0"/>
        </w:numPr>
        <w:spacing w:line="240" w:lineRule="auto"/>
        <w:rPr>
          <w:rFonts w:ascii="Times New Roman" w:hAnsi="Times New Roman" w:cs="Times New Roman"/>
        </w:rPr>
      </w:pPr>
    </w:p>
    <w:p w14:paraId="75C9D8B2" w14:textId="77777777" w:rsidR="003B5755" w:rsidRPr="00BC7BB5" w:rsidRDefault="003B5755" w:rsidP="00583309">
      <w:pPr>
        <w:pStyle w:val="Style7"/>
        <w:spacing w:line="240" w:lineRule="auto"/>
        <w:ind w:left="0" w:firstLine="0"/>
        <w:rPr>
          <w:rFonts w:ascii="Times New Roman" w:hAnsi="Times New Roman" w:cs="Times New Roman"/>
        </w:rPr>
      </w:pPr>
      <w:r w:rsidRPr="00BC7BB5">
        <w:rPr>
          <w:rFonts w:ascii="Times New Roman" w:hAnsi="Times New Roman"/>
        </w:rPr>
        <w:t xml:space="preserve">Institutional arrangements for monitoring the implementation of mitigation measures for identified risks together with a plan for capacity building in environmental management (based on the technical manual for environmental and social management) are presented in the ESSA. </w:t>
      </w:r>
    </w:p>
    <w:p w14:paraId="5B8B1415" w14:textId="77777777" w:rsidR="003B5755" w:rsidRPr="00BC7BB5" w:rsidRDefault="003B5755" w:rsidP="003B5755">
      <w:pPr>
        <w:pStyle w:val="Style7"/>
        <w:numPr>
          <w:ilvl w:val="0"/>
          <w:numId w:val="0"/>
        </w:numPr>
        <w:spacing w:line="240" w:lineRule="auto"/>
        <w:rPr>
          <w:rFonts w:ascii="Times New Roman" w:hAnsi="Times New Roman" w:cs="Times New Roman"/>
        </w:rPr>
      </w:pPr>
    </w:p>
    <w:p w14:paraId="4A549D8A" w14:textId="77777777" w:rsidR="003B5755" w:rsidRPr="00BC7BB5" w:rsidRDefault="003B5755" w:rsidP="003B5755">
      <w:pPr>
        <w:spacing w:line="240" w:lineRule="auto"/>
        <w:rPr>
          <w:rFonts w:ascii="Times New Roman" w:hAnsi="Times New Roman" w:cs="Times New Roman"/>
          <w:b/>
          <w:bCs/>
        </w:rPr>
      </w:pPr>
      <w:r w:rsidRPr="00BC7BB5">
        <w:rPr>
          <w:rFonts w:ascii="Times New Roman" w:hAnsi="Times New Roman" w:cs="Times New Roman"/>
          <w:b/>
          <w:bCs/>
        </w:rPr>
        <w:t>Social Management System</w:t>
      </w:r>
    </w:p>
    <w:p w14:paraId="6A12A2F3" w14:textId="77777777" w:rsidR="003B5755" w:rsidRPr="00BC7BB5" w:rsidRDefault="003B5755" w:rsidP="00583309">
      <w:pPr>
        <w:pStyle w:val="Style7"/>
        <w:spacing w:line="240" w:lineRule="auto"/>
        <w:ind w:left="0" w:firstLine="0"/>
        <w:rPr>
          <w:rFonts w:ascii="Times New Roman" w:hAnsi="Times New Roman" w:cs="Times New Roman"/>
        </w:rPr>
      </w:pPr>
      <w:r w:rsidRPr="00BC7BB5">
        <w:rPr>
          <w:rFonts w:ascii="Times New Roman" w:hAnsi="Times New Roman"/>
        </w:rPr>
        <w:t>With regard to the management of social safeguards, Morocco possesses a comprehensive legal framework. The Constitution of 2011 and the organic law on management of local governments recently adopted in the framework of the decentralization process in Morocco include provisions requiring public consultation and participation of citizens, including women, in the development and monitoring of policies, the presentation of petitions, access to information and mechanisms for the management of complaints. In addition, the recognition of Amazigh as an official language is enshrined in the Constitution. In addition to the possibility of administrative and judicial appeal, several independent constitutional mechanisms of complaint are easily accessible to the population, such as the National Council of Human Rights, the Institution of the Ombudsman, and the National Authority for Probity and the Fight against Corruption.</w:t>
      </w:r>
    </w:p>
    <w:p w14:paraId="68023711" w14:textId="77777777" w:rsidR="003B5755" w:rsidRPr="00BC7BB5" w:rsidRDefault="003B5755" w:rsidP="003B5755">
      <w:pPr>
        <w:pStyle w:val="Style7"/>
        <w:numPr>
          <w:ilvl w:val="0"/>
          <w:numId w:val="0"/>
        </w:numPr>
        <w:spacing w:line="240" w:lineRule="auto"/>
        <w:rPr>
          <w:rFonts w:ascii="Times New Roman" w:hAnsi="Times New Roman" w:cs="Times New Roman"/>
        </w:rPr>
      </w:pPr>
    </w:p>
    <w:p w14:paraId="38076B81" w14:textId="5BED125B" w:rsidR="003B5755" w:rsidRPr="00BC7BB5" w:rsidRDefault="003B5755" w:rsidP="00583309">
      <w:pPr>
        <w:pStyle w:val="Style7"/>
        <w:spacing w:line="240" w:lineRule="auto"/>
        <w:ind w:left="0" w:firstLine="0"/>
        <w:rPr>
          <w:rFonts w:asciiTheme="majorBidi" w:hAnsiTheme="majorBidi"/>
        </w:rPr>
      </w:pPr>
      <w:r w:rsidRPr="00BC7BB5">
        <w:rPr>
          <w:rFonts w:asciiTheme="majorBidi" w:hAnsiTheme="majorBidi"/>
        </w:rPr>
        <w:t xml:space="preserve">Respect for property is a fundamental principle of Moroccan law, enshrined in article 35 of the Constitution of 2011. National legislation on expropriation includes provisions on compensation for landowners. The acquisition of land by the </w:t>
      </w:r>
      <w:r w:rsidR="006D4589">
        <w:rPr>
          <w:rFonts w:asciiTheme="majorBidi" w:hAnsiTheme="majorBidi"/>
        </w:rPr>
        <w:t>s</w:t>
      </w:r>
      <w:r w:rsidRPr="00BC7BB5">
        <w:rPr>
          <w:rFonts w:asciiTheme="majorBidi" w:hAnsiTheme="majorBidi"/>
        </w:rPr>
        <w:t xml:space="preserve">tate on the basis of public interest is governed by special rules and procedures and places numerous restrictions on the authorities seeking expropriation. Voluntary appropriations and temporary occupation are carried out by the local authorities in accordance with formal and legalized procedures (agreements, permissions or contracts of purchase). The law permits recourse to the courts to challenge expropriation, and to challenge the level of compensation if the expropriation considers that compensation does not allow the acquisition of land or property of equal value. However, </w:t>
      </w:r>
      <w:r w:rsidRPr="00BC7BB5">
        <w:rPr>
          <w:rFonts w:asciiTheme="majorBidi" w:hAnsiTheme="majorBidi"/>
        </w:rPr>
        <w:lastRenderedPageBreak/>
        <w:t>the legislation on expropriation does not include specific procedures: (i) applicable to persons affected who are not in possession of an official, recognized title or a title to the land that they occupy, or provisions for loss of income or potential gains; (ii) with regard to social assessment, public consultation and the monitoring and evaluation of social impacts beyond the construction phase. Those gaps, including those related to public consultation and compensation for land attachments and loss of income for non-titled users, have been addressed in the practices of many ministries and institutions which have recourse to the expropriation of land, thanks to the implementation of social support procedures.</w:t>
      </w:r>
      <w:r w:rsidR="00534B90">
        <w:rPr>
          <w:rFonts w:asciiTheme="majorBidi" w:hAnsiTheme="majorBidi"/>
        </w:rPr>
        <w:t xml:space="preserve"> Th</w:t>
      </w:r>
      <w:r w:rsidR="00C74CCA">
        <w:rPr>
          <w:rFonts w:asciiTheme="majorBidi" w:hAnsiTheme="majorBidi"/>
        </w:rPr>
        <w:t>e</w:t>
      </w:r>
      <w:r w:rsidR="00534B90">
        <w:rPr>
          <w:rFonts w:asciiTheme="majorBidi" w:hAnsiTheme="majorBidi"/>
        </w:rPr>
        <w:t>se gaps will also be addressed by the social action plan prepared under the Program</w:t>
      </w:r>
      <w:r w:rsidR="00BF1873">
        <w:rPr>
          <w:rFonts w:asciiTheme="majorBidi" w:hAnsiTheme="majorBidi"/>
        </w:rPr>
        <w:t xml:space="preserve"> as necessary</w:t>
      </w:r>
      <w:r w:rsidR="00534B90">
        <w:rPr>
          <w:rFonts w:asciiTheme="majorBidi" w:hAnsiTheme="majorBidi"/>
        </w:rPr>
        <w:t>.</w:t>
      </w:r>
    </w:p>
    <w:p w14:paraId="4CD4F164" w14:textId="77777777" w:rsidR="009B52EA" w:rsidRPr="009B52EA" w:rsidRDefault="009B52EA" w:rsidP="009B52EA">
      <w:pPr>
        <w:pStyle w:val="Style7"/>
        <w:numPr>
          <w:ilvl w:val="0"/>
          <w:numId w:val="0"/>
        </w:numPr>
        <w:spacing w:line="240" w:lineRule="auto"/>
        <w:rPr>
          <w:rFonts w:ascii="Times New Roman" w:hAnsi="Times New Roman" w:cs="Times New Roman"/>
        </w:rPr>
      </w:pPr>
    </w:p>
    <w:p w14:paraId="0ABD95B6" w14:textId="58C30649" w:rsidR="003B5755" w:rsidRPr="00BC7BB5" w:rsidRDefault="003B5755" w:rsidP="00583309">
      <w:pPr>
        <w:pStyle w:val="Style7"/>
        <w:spacing w:line="240" w:lineRule="auto"/>
        <w:ind w:left="0" w:firstLine="0"/>
        <w:rPr>
          <w:rFonts w:ascii="Times New Roman" w:hAnsi="Times New Roman" w:cs="Times New Roman"/>
        </w:rPr>
      </w:pPr>
      <w:r w:rsidRPr="00BC7BB5">
        <w:rPr>
          <w:rFonts w:ascii="Times New Roman" w:hAnsi="Times New Roman"/>
        </w:rPr>
        <w:t>Environment and Social Impact Assessment Studies (ESIASs) and Environmental and Social Management Plans</w:t>
      </w:r>
      <w:r w:rsidRPr="00BC7BB5">
        <w:rPr>
          <w:rFonts w:ascii="Times New Roman" w:hAnsi="Times New Roman"/>
          <w:i/>
        </w:rPr>
        <w:t xml:space="preserve"> </w:t>
      </w:r>
      <w:r w:rsidRPr="00BC7BB5">
        <w:rPr>
          <w:rFonts w:ascii="Times New Roman" w:hAnsi="Times New Roman"/>
        </w:rPr>
        <w:t>(ESMPs) are systematically carried out for projects with social and environmental impact in accordance with Law 12-03. The contractual requirements of the construction companies contain specific clauses relating to the implementation of measures to prevent and mitigate the impact of the works.</w:t>
      </w:r>
    </w:p>
    <w:p w14:paraId="39768630" w14:textId="77777777" w:rsidR="009B52EA" w:rsidRDefault="009B52EA" w:rsidP="009B52EA">
      <w:pPr>
        <w:pStyle w:val="Style7"/>
        <w:numPr>
          <w:ilvl w:val="0"/>
          <w:numId w:val="0"/>
        </w:numPr>
        <w:spacing w:line="240" w:lineRule="auto"/>
        <w:rPr>
          <w:rFonts w:ascii="Times New Roman" w:hAnsi="Times New Roman" w:cs="Times New Roman"/>
        </w:rPr>
      </w:pPr>
    </w:p>
    <w:p w14:paraId="78D8E69F" w14:textId="3CEBCB3B" w:rsidR="003B5755" w:rsidRPr="00BC7BB5" w:rsidRDefault="003B5755" w:rsidP="00583309">
      <w:pPr>
        <w:pStyle w:val="Style7"/>
        <w:spacing w:line="240" w:lineRule="auto"/>
        <w:ind w:left="0" w:firstLine="0"/>
        <w:rPr>
          <w:rFonts w:ascii="Times New Roman" w:hAnsi="Times New Roman" w:cs="Times New Roman"/>
        </w:rPr>
      </w:pPr>
      <w:r w:rsidRPr="00BC7BB5">
        <w:rPr>
          <w:rFonts w:ascii="Times New Roman" w:hAnsi="Times New Roman" w:cs="Times New Roman"/>
        </w:rPr>
        <w:t>With regard to working conditions, Morocco has a framework of regulations based on the Labor Code, codified in Dahir No. 1-03-194 of 14 Rajab 1424 (September 11,</w:t>
      </w:r>
      <w:r w:rsidR="00512BCA">
        <w:rPr>
          <w:rFonts w:ascii="Times New Roman" w:hAnsi="Times New Roman" w:cs="Times New Roman"/>
        </w:rPr>
        <w:t xml:space="preserve"> </w:t>
      </w:r>
      <w:r w:rsidRPr="00BC7BB5">
        <w:rPr>
          <w:rFonts w:ascii="Times New Roman" w:hAnsi="Times New Roman" w:cs="Times New Roman"/>
        </w:rPr>
        <w:t xml:space="preserve">2003) on the Labor Code Law </w:t>
      </w:r>
      <w:r w:rsidR="00512BCA">
        <w:rPr>
          <w:rFonts w:ascii="Times New Roman" w:hAnsi="Times New Roman" w:cs="Times New Roman"/>
        </w:rPr>
        <w:t>n</w:t>
      </w:r>
      <w:r w:rsidRPr="00BC7BB5">
        <w:rPr>
          <w:rFonts w:ascii="Times New Roman" w:hAnsi="Times New Roman" w:cs="Times New Roman"/>
        </w:rPr>
        <w:t xml:space="preserve">o. 65-99, which includes regulations on employment, working conditions, trade union representation, intermediation and conflict management, and monitoring responsibilities. Morocco has a compulsory social security system since 1959, which has been extended to workers in the agricultural sector by Dahir No. 1-81-178 of 3 joumada Il 1402 (08-04-1981) promulgating Law No. 26-79 extending the social security system to employers and workers on farms, forests and their dependencies. With regard to child labor, Morocco has an adequate legal arsenal, which sets, among other things, the age of admission to work at 15 years of age, lists the work prohibited to children between 15 and 18 years of age, and punishes any employer who hires a minor employee under 15 with a fine of </w:t>
      </w:r>
      <w:r w:rsidR="00512BCA">
        <w:rPr>
          <w:rFonts w:ascii="Times New Roman" w:hAnsi="Times New Roman" w:cs="Times New Roman"/>
        </w:rPr>
        <w:t xml:space="preserve">MAD </w:t>
      </w:r>
      <w:r w:rsidRPr="00BC7BB5">
        <w:rPr>
          <w:rFonts w:ascii="Times New Roman" w:hAnsi="Times New Roman" w:cs="Times New Roman"/>
        </w:rPr>
        <w:t>25,000 to 30,000. The ILO has two fundamental conventions relating to child labor: Convention No. 138 on Minimum Age, adopted in 1973, and Convention No. 182 on the Worst Forms of Child Labor, adopted in 1999. Both conventions were ratified by Morocco in 2000 and 2001</w:t>
      </w:r>
      <w:r w:rsidR="00512BCA">
        <w:rPr>
          <w:rFonts w:ascii="Times New Roman" w:hAnsi="Times New Roman" w:cs="Times New Roman"/>
        </w:rPr>
        <w:t>,</w:t>
      </w:r>
      <w:r w:rsidRPr="00BC7BB5">
        <w:rPr>
          <w:rFonts w:ascii="Times New Roman" w:hAnsi="Times New Roman" w:cs="Times New Roman"/>
        </w:rPr>
        <w:t xml:space="preserve"> respectively.</w:t>
      </w:r>
    </w:p>
    <w:p w14:paraId="34144C9C" w14:textId="77777777" w:rsidR="003B5755" w:rsidRPr="00BC7BB5" w:rsidRDefault="003B5755" w:rsidP="003B5755">
      <w:pPr>
        <w:pStyle w:val="ListParagraph"/>
        <w:rPr>
          <w:rFonts w:ascii="Times New Roman" w:hAnsi="Times New Roman" w:cs="Times New Roman"/>
        </w:rPr>
      </w:pPr>
    </w:p>
    <w:p w14:paraId="09CBD76A" w14:textId="16C9526C" w:rsidR="003B5755" w:rsidRPr="009B52EA" w:rsidRDefault="009B52EA" w:rsidP="003B5755">
      <w:pPr>
        <w:spacing w:line="240" w:lineRule="auto"/>
        <w:rPr>
          <w:rFonts w:ascii="Times New Roman" w:hAnsi="Times New Roman" w:cs="Times New Roman"/>
          <w:b/>
          <w:bCs/>
          <w:i/>
        </w:rPr>
      </w:pPr>
      <w:r w:rsidRPr="009B52EA">
        <w:rPr>
          <w:rFonts w:ascii="Times New Roman" w:hAnsi="Times New Roman" w:cs="Times New Roman"/>
          <w:b/>
          <w:bCs/>
          <w:i/>
        </w:rPr>
        <w:t>Elem</w:t>
      </w:r>
      <w:r w:rsidR="001A1E97">
        <w:rPr>
          <w:rFonts w:ascii="Times New Roman" w:hAnsi="Times New Roman" w:cs="Times New Roman"/>
          <w:b/>
          <w:bCs/>
          <w:i/>
        </w:rPr>
        <w:t>ents to be integrated into the Program Action P</w:t>
      </w:r>
      <w:r w:rsidRPr="009B52EA">
        <w:rPr>
          <w:rFonts w:ascii="Times New Roman" w:hAnsi="Times New Roman" w:cs="Times New Roman"/>
          <w:b/>
          <w:bCs/>
          <w:i/>
        </w:rPr>
        <w:t>lan</w:t>
      </w:r>
    </w:p>
    <w:p w14:paraId="4A48A76B" w14:textId="1AC65C70" w:rsidR="003B5755" w:rsidRPr="00BC7BB5" w:rsidRDefault="003B5755" w:rsidP="00583309">
      <w:pPr>
        <w:pStyle w:val="Style7"/>
        <w:spacing w:line="240" w:lineRule="auto"/>
        <w:ind w:left="0" w:firstLine="0"/>
        <w:rPr>
          <w:rFonts w:ascii="Times New Roman" w:eastAsia="ヒラギノ角ゴ Pro W3" w:hAnsi="Times New Roman" w:cs="Times New Roman"/>
        </w:rPr>
      </w:pPr>
      <w:r w:rsidRPr="00BC7BB5">
        <w:rPr>
          <w:rFonts w:ascii="Times New Roman" w:hAnsi="Times New Roman"/>
        </w:rPr>
        <w:t xml:space="preserve">Although the environmental and social impacts of most of the activities arising from the Program are characterized as low to moderate and as substantial for only a few particular activities, the </w:t>
      </w:r>
      <w:r w:rsidR="00512BCA">
        <w:rPr>
          <w:rFonts w:ascii="Times New Roman" w:hAnsi="Times New Roman"/>
        </w:rPr>
        <w:t>P</w:t>
      </w:r>
      <w:r w:rsidR="00512BCA" w:rsidRPr="00BC7BB5">
        <w:rPr>
          <w:rFonts w:ascii="Times New Roman" w:hAnsi="Times New Roman"/>
        </w:rPr>
        <w:t xml:space="preserve">rogram </w:t>
      </w:r>
      <w:r w:rsidRPr="00BC7BB5">
        <w:rPr>
          <w:rFonts w:ascii="Times New Roman" w:hAnsi="Times New Roman"/>
        </w:rPr>
        <w:t xml:space="preserve">offers an opportunity to cover the gaps noted above, and to strengthen the whole environmental and social management system of the DDFP and of the stakeholders in the Program. To achieve this, the Program will support specific measures aimed at strengthening: </w:t>
      </w:r>
    </w:p>
    <w:p w14:paraId="604B86AA" w14:textId="77777777" w:rsidR="003B5755" w:rsidRPr="00BC7BB5" w:rsidRDefault="003B5755" w:rsidP="00F561E8">
      <w:pPr>
        <w:widowControl w:val="0"/>
        <w:numPr>
          <w:ilvl w:val="0"/>
          <w:numId w:val="49"/>
        </w:numPr>
        <w:adjustRightInd w:val="0"/>
        <w:spacing w:after="0" w:line="240" w:lineRule="auto"/>
        <w:jc w:val="both"/>
        <w:textAlignment w:val="baseline"/>
        <w:rPr>
          <w:rFonts w:ascii="Times New Roman" w:eastAsia="Calibri" w:hAnsi="Times New Roman" w:cs="Times New Roman"/>
        </w:rPr>
      </w:pPr>
      <w:r w:rsidRPr="00BC7BB5">
        <w:rPr>
          <w:rFonts w:ascii="Times New Roman" w:hAnsi="Times New Roman" w:cs="Times New Roman"/>
        </w:rPr>
        <w:t xml:space="preserve">The system of environmental and social management; </w:t>
      </w:r>
    </w:p>
    <w:p w14:paraId="4C7A1CF2" w14:textId="77777777" w:rsidR="003B5755" w:rsidRPr="00BC7BB5" w:rsidRDefault="003B5755" w:rsidP="00F561E8">
      <w:pPr>
        <w:widowControl w:val="0"/>
        <w:numPr>
          <w:ilvl w:val="0"/>
          <w:numId w:val="49"/>
        </w:numPr>
        <w:adjustRightInd w:val="0"/>
        <w:spacing w:after="0" w:line="240" w:lineRule="auto"/>
        <w:jc w:val="both"/>
        <w:textAlignment w:val="baseline"/>
        <w:rPr>
          <w:rFonts w:ascii="Times New Roman" w:eastAsia="Calibri" w:hAnsi="Times New Roman" w:cs="Times New Roman"/>
        </w:rPr>
      </w:pPr>
      <w:r w:rsidRPr="00BC7BB5">
        <w:rPr>
          <w:rFonts w:ascii="Times New Roman" w:hAnsi="Times New Roman" w:cs="Times New Roman"/>
        </w:rPr>
        <w:t xml:space="preserve">The implementation and monitoring of the system; and </w:t>
      </w:r>
    </w:p>
    <w:p w14:paraId="03B54D0E" w14:textId="77777777" w:rsidR="003B5755" w:rsidRPr="00BC7BB5" w:rsidRDefault="003B5755" w:rsidP="00F561E8">
      <w:pPr>
        <w:widowControl w:val="0"/>
        <w:numPr>
          <w:ilvl w:val="0"/>
          <w:numId w:val="49"/>
        </w:numPr>
        <w:adjustRightInd w:val="0"/>
        <w:spacing w:after="0" w:line="240" w:lineRule="auto"/>
        <w:jc w:val="both"/>
        <w:textAlignment w:val="baseline"/>
        <w:rPr>
          <w:rFonts w:ascii="Times New Roman" w:eastAsia="Calibri" w:hAnsi="Times New Roman" w:cs="Times New Roman"/>
        </w:rPr>
      </w:pPr>
      <w:r w:rsidRPr="00BC7BB5">
        <w:rPr>
          <w:rFonts w:ascii="Times New Roman" w:hAnsi="Times New Roman" w:cs="Times New Roman"/>
        </w:rPr>
        <w:t>Environmental and social management capacities.</w:t>
      </w:r>
    </w:p>
    <w:p w14:paraId="5D59BD18" w14:textId="77777777" w:rsidR="003B5755" w:rsidRPr="00BC7BB5" w:rsidRDefault="003B5755" w:rsidP="00583309">
      <w:pPr>
        <w:spacing w:after="0" w:line="240" w:lineRule="auto"/>
        <w:rPr>
          <w:rFonts w:ascii="Times New Roman" w:eastAsia="Calibri" w:hAnsi="Times New Roman" w:cs="Times New Roman"/>
        </w:rPr>
      </w:pPr>
    </w:p>
    <w:p w14:paraId="56B82599" w14:textId="04D66D60" w:rsidR="003B5755" w:rsidRPr="00BC7BB5" w:rsidRDefault="003B5755" w:rsidP="00583309">
      <w:pPr>
        <w:pStyle w:val="Style7"/>
        <w:spacing w:line="240" w:lineRule="auto"/>
        <w:ind w:left="0" w:firstLine="0"/>
        <w:rPr>
          <w:rFonts w:ascii="Times New Roman" w:eastAsia="ヒラギノ角ゴ Pro W3" w:hAnsi="Times New Roman" w:cs="Times New Roman"/>
        </w:rPr>
      </w:pPr>
      <w:r w:rsidRPr="00BC7BB5">
        <w:rPr>
          <w:rFonts w:ascii="Times New Roman" w:hAnsi="Times New Roman"/>
        </w:rPr>
        <w:t>All of those measures are recorded in the ESSA Action Plan, which guides the overall Program</w:t>
      </w:r>
      <w:r w:rsidR="00512BCA">
        <w:rPr>
          <w:rFonts w:ascii="Times New Roman" w:hAnsi="Times New Roman"/>
        </w:rPr>
        <w:t xml:space="preserve"> implementation</w:t>
      </w:r>
      <w:r w:rsidRPr="00BC7BB5">
        <w:rPr>
          <w:rFonts w:ascii="Times New Roman" w:hAnsi="Times New Roman"/>
        </w:rPr>
        <w:t>. The application of environmental and social procedures by the Program Management Unit (PMU) as summarized in the report, will be subject to monitoring during the implementation of the Program. The implementation of some of those measures will be reinforced by their inclusion in the Program Action Plan (PAP).</w:t>
      </w:r>
    </w:p>
    <w:p w14:paraId="7DF1A34A" w14:textId="77777777" w:rsidR="009B52EA" w:rsidRPr="009B52EA" w:rsidRDefault="009B52EA" w:rsidP="009B52EA">
      <w:pPr>
        <w:pStyle w:val="Style7"/>
        <w:numPr>
          <w:ilvl w:val="0"/>
          <w:numId w:val="0"/>
        </w:numPr>
        <w:spacing w:line="240" w:lineRule="auto"/>
        <w:rPr>
          <w:rFonts w:ascii="Times New Roman" w:hAnsi="Times New Roman" w:cs="Times New Roman"/>
        </w:rPr>
      </w:pPr>
    </w:p>
    <w:p w14:paraId="6C47307F" w14:textId="2EEE103C" w:rsidR="003B5755" w:rsidRPr="00BC7BB5" w:rsidRDefault="003B5755" w:rsidP="00583309">
      <w:pPr>
        <w:pStyle w:val="Style7"/>
        <w:spacing w:line="240" w:lineRule="auto"/>
        <w:ind w:left="0" w:firstLine="0"/>
        <w:rPr>
          <w:rFonts w:ascii="Times New Roman" w:hAnsi="Times New Roman" w:cs="Times New Roman"/>
        </w:rPr>
      </w:pPr>
      <w:r w:rsidRPr="00BC7BB5">
        <w:rPr>
          <w:rFonts w:ascii="Times New Roman" w:hAnsi="Times New Roman"/>
        </w:rPr>
        <w:t>The proposed Action Plan to support the Program is summarized as follows:</w:t>
      </w:r>
    </w:p>
    <w:p w14:paraId="194CF2D6" w14:textId="2F6454BD" w:rsidR="003B5755" w:rsidRDefault="003B5755" w:rsidP="00A6265D">
      <w:pPr>
        <w:spacing w:after="0"/>
        <w:rPr>
          <w:rFonts w:asciiTheme="majorBidi" w:hAnsiTheme="majorBidi" w:cstheme="majorBidi"/>
          <w:sz w:val="18"/>
        </w:rPr>
      </w:pPr>
    </w:p>
    <w:p w14:paraId="371398F9" w14:textId="5DFA5104" w:rsidR="00CE6DD0" w:rsidRDefault="00CE6DD0" w:rsidP="00A6265D">
      <w:pPr>
        <w:spacing w:after="0"/>
        <w:rPr>
          <w:rFonts w:asciiTheme="majorBidi" w:hAnsiTheme="majorBidi" w:cstheme="majorBidi"/>
          <w:sz w:val="18"/>
        </w:rPr>
      </w:pPr>
    </w:p>
    <w:p w14:paraId="6702FD10" w14:textId="2E6ACCB4" w:rsidR="00CE6DD0" w:rsidRDefault="00CE6DD0" w:rsidP="00A6265D">
      <w:pPr>
        <w:spacing w:after="0"/>
        <w:rPr>
          <w:rFonts w:asciiTheme="majorBidi" w:hAnsiTheme="majorBidi" w:cstheme="majorBidi"/>
          <w:sz w:val="18"/>
        </w:rPr>
      </w:pPr>
    </w:p>
    <w:p w14:paraId="523BDFF2" w14:textId="77777777" w:rsidR="00CE6DD0" w:rsidRPr="00A6265D" w:rsidRDefault="00CE6DD0" w:rsidP="00A6265D">
      <w:pPr>
        <w:spacing w:after="0"/>
        <w:rPr>
          <w:rFonts w:asciiTheme="majorBidi" w:hAnsiTheme="majorBidi" w:cstheme="majorBidi"/>
          <w:sz w:val="18"/>
        </w:rPr>
      </w:pPr>
    </w:p>
    <w:tbl>
      <w:tblPr>
        <w:tblStyle w:val="Grilledutableau42"/>
        <w:tblW w:w="5000" w:type="pct"/>
        <w:tblLook w:val="04A0" w:firstRow="1" w:lastRow="0" w:firstColumn="1" w:lastColumn="0" w:noHBand="0" w:noVBand="1"/>
      </w:tblPr>
      <w:tblGrid>
        <w:gridCol w:w="1782"/>
        <w:gridCol w:w="3054"/>
        <w:gridCol w:w="1792"/>
        <w:gridCol w:w="1346"/>
        <w:gridCol w:w="1376"/>
      </w:tblGrid>
      <w:tr w:rsidR="003B5755" w:rsidRPr="00BC7BB5" w14:paraId="041E9FAD" w14:textId="77777777" w:rsidTr="00511F96">
        <w:trPr>
          <w:trHeight w:val="376"/>
        </w:trPr>
        <w:tc>
          <w:tcPr>
            <w:tcW w:w="917" w:type="pct"/>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14:paraId="380CCB9E" w14:textId="77777777" w:rsidR="003B5755" w:rsidRPr="00BC7BB5" w:rsidRDefault="003B5755" w:rsidP="003B5755">
            <w:pPr>
              <w:spacing w:line="276" w:lineRule="auto"/>
              <w:rPr>
                <w:rFonts w:ascii="Times New Roman" w:hAnsi="Times New Roman"/>
                <w:b/>
                <w:color w:val="000000" w:themeColor="text1"/>
                <w:sz w:val="18"/>
                <w:szCs w:val="18"/>
              </w:rPr>
            </w:pPr>
            <w:r w:rsidRPr="00BC7BB5">
              <w:rPr>
                <w:rFonts w:ascii="Times New Roman" w:hAnsi="Times New Roman"/>
                <w:b/>
                <w:color w:val="000000" w:themeColor="text1"/>
                <w:sz w:val="18"/>
                <w:szCs w:val="18"/>
              </w:rPr>
              <w:lastRenderedPageBreak/>
              <w:t>Action</w:t>
            </w:r>
          </w:p>
        </w:tc>
        <w:tc>
          <w:tcPr>
            <w:tcW w:w="1598" w:type="pct"/>
            <w:tcBorders>
              <w:top w:val="single" w:sz="4" w:space="0" w:color="auto"/>
              <w:left w:val="single" w:sz="4" w:space="0" w:color="auto"/>
              <w:bottom w:val="single" w:sz="4" w:space="0" w:color="auto"/>
              <w:right w:val="single" w:sz="4" w:space="0" w:color="auto"/>
            </w:tcBorders>
            <w:shd w:val="clear" w:color="auto" w:fill="DDD9C3" w:themeFill="background2" w:themeFillShade="E6"/>
          </w:tcPr>
          <w:p w14:paraId="5DEC4F01" w14:textId="77777777" w:rsidR="003B5755" w:rsidRPr="00BC7BB5" w:rsidRDefault="003B5755" w:rsidP="003B5755">
            <w:pPr>
              <w:spacing w:line="276" w:lineRule="auto"/>
              <w:rPr>
                <w:rFonts w:ascii="Times New Roman" w:hAnsi="Times New Roman"/>
                <w:b/>
                <w:color w:val="000000" w:themeColor="text1"/>
                <w:sz w:val="18"/>
                <w:szCs w:val="18"/>
              </w:rPr>
            </w:pPr>
            <w:r w:rsidRPr="00BC7BB5">
              <w:rPr>
                <w:rFonts w:ascii="Times New Roman" w:hAnsi="Times New Roman"/>
                <w:b/>
                <w:color w:val="000000" w:themeColor="text1"/>
                <w:sz w:val="18"/>
                <w:szCs w:val="18"/>
              </w:rPr>
              <w:t xml:space="preserve">Activities </w:t>
            </w:r>
          </w:p>
        </w:tc>
        <w:tc>
          <w:tcPr>
            <w:tcW w:w="992" w:type="pct"/>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14:paraId="4D9FB4B3" w14:textId="77777777" w:rsidR="003B5755" w:rsidRPr="00BC7BB5" w:rsidRDefault="003B5755" w:rsidP="003B5755">
            <w:pPr>
              <w:spacing w:line="276" w:lineRule="auto"/>
              <w:rPr>
                <w:rFonts w:ascii="Times New Roman" w:hAnsi="Times New Roman"/>
                <w:b/>
                <w:color w:val="000000" w:themeColor="text1"/>
                <w:sz w:val="18"/>
                <w:szCs w:val="18"/>
              </w:rPr>
            </w:pPr>
            <w:r w:rsidRPr="00BC7BB5">
              <w:rPr>
                <w:rFonts w:ascii="Times New Roman" w:hAnsi="Times New Roman"/>
                <w:b/>
                <w:color w:val="000000" w:themeColor="text1"/>
                <w:sz w:val="18"/>
                <w:szCs w:val="18"/>
              </w:rPr>
              <w:t>Agency responsible</w:t>
            </w:r>
          </w:p>
        </w:tc>
        <w:tc>
          <w:tcPr>
            <w:tcW w:w="660" w:type="pct"/>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14:paraId="02E420FB" w14:textId="77777777" w:rsidR="003B5755" w:rsidRPr="00BC7BB5" w:rsidRDefault="003B5755" w:rsidP="003B5755">
            <w:pPr>
              <w:spacing w:line="276" w:lineRule="auto"/>
              <w:rPr>
                <w:rFonts w:ascii="Times New Roman" w:hAnsi="Times New Roman"/>
                <w:b/>
                <w:color w:val="000000" w:themeColor="text1"/>
                <w:sz w:val="18"/>
                <w:szCs w:val="18"/>
              </w:rPr>
            </w:pPr>
            <w:r w:rsidRPr="00BC7BB5">
              <w:rPr>
                <w:rFonts w:ascii="Times New Roman" w:hAnsi="Times New Roman"/>
                <w:b/>
                <w:color w:val="000000" w:themeColor="text1"/>
                <w:sz w:val="18"/>
                <w:szCs w:val="18"/>
              </w:rPr>
              <w:t>Deadline</w:t>
            </w:r>
          </w:p>
        </w:tc>
        <w:tc>
          <w:tcPr>
            <w:tcW w:w="833" w:type="pct"/>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14:paraId="04D1EA85" w14:textId="77777777" w:rsidR="003B5755" w:rsidRPr="00BC7BB5" w:rsidRDefault="003B5755" w:rsidP="003B5755">
            <w:pPr>
              <w:spacing w:line="276" w:lineRule="auto"/>
              <w:rPr>
                <w:rFonts w:ascii="Times New Roman" w:hAnsi="Times New Roman"/>
                <w:b/>
                <w:color w:val="000000" w:themeColor="text1"/>
                <w:sz w:val="18"/>
                <w:szCs w:val="18"/>
              </w:rPr>
            </w:pPr>
            <w:r w:rsidRPr="00BC7BB5">
              <w:rPr>
                <w:rFonts w:ascii="Times New Roman" w:hAnsi="Times New Roman"/>
                <w:b/>
                <w:color w:val="000000" w:themeColor="text1"/>
                <w:sz w:val="18"/>
                <w:szCs w:val="18"/>
              </w:rPr>
              <w:t>Measures</w:t>
            </w:r>
          </w:p>
        </w:tc>
      </w:tr>
      <w:tr w:rsidR="003B5755" w:rsidRPr="00BC7BB5" w14:paraId="2E966297" w14:textId="77777777" w:rsidTr="00511F96">
        <w:tc>
          <w:tcPr>
            <w:tcW w:w="5000" w:type="pct"/>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5E07287" w14:textId="77777777" w:rsidR="003B5755" w:rsidRPr="00BC7BB5" w:rsidRDefault="003B5755" w:rsidP="003B5755">
            <w:pPr>
              <w:spacing w:line="276" w:lineRule="auto"/>
              <w:rPr>
                <w:rFonts w:ascii="Times New Roman" w:hAnsi="Times New Roman"/>
                <w:b/>
                <w:color w:val="000000" w:themeColor="text1"/>
                <w:sz w:val="18"/>
                <w:szCs w:val="18"/>
              </w:rPr>
            </w:pPr>
            <w:r w:rsidRPr="00BC7BB5">
              <w:rPr>
                <w:rFonts w:ascii="Times New Roman" w:hAnsi="Times New Roman"/>
                <w:b/>
                <w:color w:val="000000" w:themeColor="text1"/>
                <w:sz w:val="18"/>
                <w:szCs w:val="18"/>
              </w:rPr>
              <w:t xml:space="preserve">Capacity-building actions to strengthen the environmental and social management system </w:t>
            </w:r>
          </w:p>
        </w:tc>
      </w:tr>
      <w:tr w:rsidR="003B5755" w:rsidRPr="00BC7BB5" w14:paraId="336FEA4D" w14:textId="77777777" w:rsidTr="003B5755">
        <w:tc>
          <w:tcPr>
            <w:tcW w:w="987" w:type="pct"/>
            <w:vMerge w:val="restart"/>
            <w:tcBorders>
              <w:top w:val="single" w:sz="4" w:space="0" w:color="auto"/>
              <w:left w:val="single" w:sz="4" w:space="0" w:color="auto"/>
              <w:right w:val="single" w:sz="4" w:space="0" w:color="auto"/>
            </w:tcBorders>
            <w:vAlign w:val="center"/>
          </w:tcPr>
          <w:p w14:paraId="5A50FA9E" w14:textId="77777777" w:rsidR="003B5755" w:rsidRPr="00BC7BB5" w:rsidRDefault="003B5755" w:rsidP="003B5755">
            <w:pPr>
              <w:spacing w:line="276" w:lineRule="auto"/>
              <w:rPr>
                <w:rFonts w:ascii="Times New Roman" w:hAnsi="Times New Roman"/>
                <w:b/>
                <w:color w:val="000000" w:themeColor="text1"/>
                <w:sz w:val="18"/>
                <w:szCs w:val="18"/>
              </w:rPr>
            </w:pPr>
            <w:r w:rsidRPr="00BC7BB5">
              <w:rPr>
                <w:rFonts w:ascii="Times New Roman" w:hAnsi="Times New Roman"/>
                <w:sz w:val="18"/>
                <w:szCs w:val="18"/>
              </w:rPr>
              <w:t>Technical Manual</w:t>
            </w:r>
          </w:p>
          <w:p w14:paraId="6FAB6F57" w14:textId="77777777" w:rsidR="003B5755" w:rsidRPr="00BC7BB5" w:rsidRDefault="003B5755" w:rsidP="003B5755">
            <w:pPr>
              <w:spacing w:line="276" w:lineRule="auto"/>
              <w:rPr>
                <w:rFonts w:ascii="Times New Roman" w:hAnsi="Times New Roman"/>
                <w:b/>
                <w:color w:val="000000" w:themeColor="text1"/>
                <w:sz w:val="18"/>
                <w:szCs w:val="18"/>
              </w:rPr>
            </w:pPr>
            <w:r w:rsidRPr="00BC7BB5">
              <w:rPr>
                <w:rFonts w:ascii="Times New Roman" w:hAnsi="Times New Roman"/>
                <w:sz w:val="18"/>
                <w:szCs w:val="18"/>
              </w:rPr>
              <w:t xml:space="preserve">(Manual of good environmental and social management practices) </w:t>
            </w:r>
          </w:p>
        </w:tc>
        <w:tc>
          <w:tcPr>
            <w:tcW w:w="1667" w:type="pct"/>
            <w:tcBorders>
              <w:top w:val="single" w:sz="4" w:space="0" w:color="auto"/>
              <w:left w:val="single" w:sz="4" w:space="0" w:color="auto"/>
              <w:bottom w:val="single" w:sz="4" w:space="0" w:color="auto"/>
              <w:right w:val="single" w:sz="4" w:space="0" w:color="auto"/>
            </w:tcBorders>
          </w:tcPr>
          <w:p w14:paraId="1EDB44AF" w14:textId="77777777" w:rsidR="003B5755" w:rsidRPr="00BC7BB5" w:rsidRDefault="003B5755" w:rsidP="003B5755">
            <w:pPr>
              <w:spacing w:line="276" w:lineRule="auto"/>
              <w:rPr>
                <w:rFonts w:ascii="Times New Roman" w:hAnsi="Times New Roman"/>
                <w:color w:val="000000"/>
                <w:sz w:val="18"/>
                <w:szCs w:val="18"/>
              </w:rPr>
            </w:pPr>
            <w:r w:rsidRPr="00BC7BB5">
              <w:rPr>
                <w:rFonts w:ascii="Times New Roman" w:hAnsi="Times New Roman"/>
                <w:color w:val="000000" w:themeColor="text1"/>
                <w:sz w:val="18"/>
                <w:szCs w:val="18"/>
              </w:rPr>
              <w:t>Collaborative development of Technical Manual</w:t>
            </w:r>
            <w:r w:rsidRPr="00BC7BB5">
              <w:rPr>
                <w:rFonts w:ascii="Times New Roman" w:hAnsi="Times New Roman"/>
                <w:color w:val="000000"/>
                <w:sz w:val="18"/>
                <w:szCs w:val="18"/>
              </w:rPr>
              <w:t xml:space="preserve"> </w:t>
            </w:r>
          </w:p>
          <w:p w14:paraId="5CE6AC96" w14:textId="77777777" w:rsidR="003B5755" w:rsidRPr="00BC7BB5" w:rsidRDefault="003B5755" w:rsidP="003B5755">
            <w:pPr>
              <w:spacing w:line="276" w:lineRule="auto"/>
              <w:rPr>
                <w:rFonts w:ascii="Times New Roman" w:hAnsi="Times New Roman"/>
                <w:color w:val="000000"/>
                <w:sz w:val="18"/>
                <w:szCs w:val="18"/>
              </w:rPr>
            </w:pPr>
          </w:p>
          <w:p w14:paraId="1877ED7B" w14:textId="77777777" w:rsidR="003B5755" w:rsidRPr="00BC7BB5" w:rsidRDefault="003B5755" w:rsidP="003B5755">
            <w:pPr>
              <w:spacing w:line="276" w:lineRule="auto"/>
              <w:rPr>
                <w:rFonts w:ascii="Times New Roman" w:hAnsi="Times New Roman"/>
                <w:b/>
                <w:color w:val="000000" w:themeColor="text1"/>
                <w:sz w:val="18"/>
                <w:szCs w:val="18"/>
              </w:rPr>
            </w:pPr>
            <w:r w:rsidRPr="00BC7BB5">
              <w:rPr>
                <w:rFonts w:ascii="Times New Roman" w:hAnsi="Times New Roman"/>
                <w:color w:val="000000"/>
                <w:sz w:val="18"/>
                <w:szCs w:val="18"/>
              </w:rPr>
              <w:t>Tools for the strengthening of environmental and social systems, to be included in the Manual</w:t>
            </w:r>
          </w:p>
        </w:tc>
        <w:tc>
          <w:tcPr>
            <w:tcW w:w="817" w:type="pct"/>
            <w:tcBorders>
              <w:top w:val="single" w:sz="4" w:space="0" w:color="auto"/>
              <w:left w:val="single" w:sz="4" w:space="0" w:color="auto"/>
              <w:bottom w:val="single" w:sz="4" w:space="0" w:color="auto"/>
              <w:right w:val="single" w:sz="4" w:space="0" w:color="auto"/>
            </w:tcBorders>
            <w:vAlign w:val="center"/>
          </w:tcPr>
          <w:p w14:paraId="4BDE4C3E" w14:textId="77777777" w:rsidR="003B5755" w:rsidRPr="00BC7BB5" w:rsidRDefault="003B5755" w:rsidP="003B5755">
            <w:pPr>
              <w:spacing w:line="276" w:lineRule="auto"/>
              <w:rPr>
                <w:rFonts w:ascii="Times New Roman" w:hAnsi="Times New Roman"/>
                <w:b/>
                <w:color w:val="000000" w:themeColor="text1"/>
                <w:sz w:val="18"/>
                <w:szCs w:val="18"/>
              </w:rPr>
            </w:pPr>
            <w:r w:rsidRPr="00BC7BB5">
              <w:rPr>
                <w:rFonts w:ascii="Times New Roman" w:hAnsi="Times New Roman"/>
                <w:b/>
                <w:color w:val="000000" w:themeColor="text1"/>
                <w:sz w:val="18"/>
                <w:szCs w:val="18"/>
              </w:rPr>
              <w:t>DDFP/PMU</w:t>
            </w:r>
          </w:p>
        </w:tc>
        <w:tc>
          <w:tcPr>
            <w:tcW w:w="730" w:type="pct"/>
            <w:vMerge w:val="restart"/>
            <w:tcBorders>
              <w:top w:val="single" w:sz="4" w:space="0" w:color="auto"/>
              <w:left w:val="single" w:sz="4" w:space="0" w:color="auto"/>
              <w:right w:val="single" w:sz="4" w:space="0" w:color="auto"/>
            </w:tcBorders>
            <w:vAlign w:val="center"/>
          </w:tcPr>
          <w:p w14:paraId="2A1FC815" w14:textId="4B05F3B2" w:rsidR="003B5755" w:rsidRPr="00BC7BB5" w:rsidRDefault="003B5755" w:rsidP="003B5755">
            <w:pPr>
              <w:spacing w:line="276" w:lineRule="auto"/>
              <w:rPr>
                <w:rFonts w:ascii="Times New Roman" w:hAnsi="Times New Roman"/>
                <w:bCs/>
                <w:color w:val="000000" w:themeColor="text1"/>
                <w:sz w:val="18"/>
                <w:szCs w:val="18"/>
              </w:rPr>
            </w:pPr>
            <w:r w:rsidRPr="00DB1D06">
              <w:rPr>
                <w:rFonts w:ascii="Times New Roman" w:hAnsi="Times New Roman"/>
                <w:bCs/>
                <w:color w:val="000000" w:themeColor="text1"/>
                <w:sz w:val="18"/>
                <w:szCs w:val="18"/>
              </w:rPr>
              <w:t xml:space="preserve">During the first </w:t>
            </w:r>
            <w:r w:rsidR="00DB1D06" w:rsidRPr="00DB1D06">
              <w:rPr>
                <w:rFonts w:ascii="Times New Roman" w:hAnsi="Times New Roman"/>
                <w:bCs/>
                <w:color w:val="000000" w:themeColor="text1"/>
                <w:sz w:val="18"/>
                <w:szCs w:val="18"/>
              </w:rPr>
              <w:t>six</w:t>
            </w:r>
            <w:r w:rsidRPr="00DB1D06">
              <w:rPr>
                <w:rFonts w:ascii="Times New Roman" w:hAnsi="Times New Roman"/>
                <w:bCs/>
                <w:color w:val="000000" w:themeColor="text1"/>
                <w:sz w:val="18"/>
                <w:szCs w:val="18"/>
              </w:rPr>
              <w:t xml:space="preserve"> months of Program implementation</w:t>
            </w:r>
            <w:r w:rsidRPr="00BC7BB5">
              <w:rPr>
                <w:rFonts w:ascii="Times New Roman" w:hAnsi="Times New Roman"/>
                <w:bCs/>
                <w:color w:val="000000" w:themeColor="text1"/>
                <w:sz w:val="18"/>
                <w:szCs w:val="18"/>
              </w:rPr>
              <w:t xml:space="preserve">  </w:t>
            </w:r>
          </w:p>
          <w:p w14:paraId="204B9424" w14:textId="77777777" w:rsidR="003B5755" w:rsidRPr="00BC7BB5" w:rsidRDefault="003B5755" w:rsidP="003B5755">
            <w:pPr>
              <w:spacing w:line="276" w:lineRule="auto"/>
              <w:rPr>
                <w:rFonts w:ascii="Times New Roman" w:hAnsi="Times New Roman"/>
                <w:bCs/>
                <w:color w:val="000000" w:themeColor="text1"/>
                <w:sz w:val="18"/>
                <w:szCs w:val="18"/>
              </w:rPr>
            </w:pPr>
          </w:p>
        </w:tc>
        <w:tc>
          <w:tcPr>
            <w:tcW w:w="799" w:type="pct"/>
            <w:tcBorders>
              <w:top w:val="single" w:sz="4" w:space="0" w:color="auto"/>
              <w:left w:val="single" w:sz="4" w:space="0" w:color="auto"/>
              <w:bottom w:val="single" w:sz="4" w:space="0" w:color="auto"/>
              <w:right w:val="single" w:sz="4" w:space="0" w:color="auto"/>
            </w:tcBorders>
          </w:tcPr>
          <w:p w14:paraId="0E7ED9A3" w14:textId="77777777" w:rsidR="003B5755" w:rsidRPr="00BC7BB5" w:rsidRDefault="003B5755" w:rsidP="003B5755">
            <w:pPr>
              <w:spacing w:line="276" w:lineRule="auto"/>
              <w:rPr>
                <w:rFonts w:ascii="Times New Roman" w:hAnsi="Times New Roman"/>
                <w:bCs/>
                <w:color w:val="000000" w:themeColor="text1"/>
                <w:sz w:val="18"/>
                <w:szCs w:val="18"/>
              </w:rPr>
            </w:pPr>
            <w:r w:rsidRPr="00BC7BB5">
              <w:rPr>
                <w:rFonts w:ascii="Times New Roman" w:hAnsi="Times New Roman"/>
                <w:bCs/>
                <w:color w:val="000000" w:themeColor="text1"/>
                <w:sz w:val="18"/>
                <w:szCs w:val="18"/>
              </w:rPr>
              <w:t xml:space="preserve">Technical Manual submitted and approved by the World Bank </w:t>
            </w:r>
          </w:p>
        </w:tc>
      </w:tr>
      <w:tr w:rsidR="003B5755" w:rsidRPr="00BC7BB5" w14:paraId="3F22479D" w14:textId="77777777" w:rsidTr="004E4456">
        <w:trPr>
          <w:trHeight w:val="710"/>
        </w:trPr>
        <w:tc>
          <w:tcPr>
            <w:tcW w:w="987" w:type="pct"/>
            <w:vMerge/>
            <w:tcBorders>
              <w:left w:val="single" w:sz="4" w:space="0" w:color="auto"/>
              <w:right w:val="single" w:sz="4" w:space="0" w:color="auto"/>
            </w:tcBorders>
            <w:vAlign w:val="center"/>
            <w:hideMark/>
          </w:tcPr>
          <w:p w14:paraId="677C6CA1" w14:textId="77777777" w:rsidR="003B5755" w:rsidRPr="00BC7BB5" w:rsidRDefault="003B5755" w:rsidP="003B5755">
            <w:pPr>
              <w:spacing w:line="276" w:lineRule="auto"/>
              <w:rPr>
                <w:rFonts w:ascii="Times New Roman" w:eastAsia="ヒラギノ角ゴ Pro W3" w:hAnsi="Times New Roman"/>
                <w:color w:val="000000" w:themeColor="text1"/>
                <w:sz w:val="18"/>
                <w:szCs w:val="18"/>
              </w:rPr>
            </w:pPr>
          </w:p>
        </w:tc>
        <w:tc>
          <w:tcPr>
            <w:tcW w:w="1667" w:type="pct"/>
            <w:tcBorders>
              <w:top w:val="single" w:sz="4" w:space="0" w:color="auto"/>
              <w:left w:val="single" w:sz="4" w:space="0" w:color="auto"/>
              <w:right w:val="single" w:sz="4" w:space="0" w:color="auto"/>
            </w:tcBorders>
          </w:tcPr>
          <w:p w14:paraId="2B604278" w14:textId="77777777" w:rsidR="003B5755" w:rsidRPr="00BC7BB5" w:rsidRDefault="003B5755" w:rsidP="003B5755">
            <w:pPr>
              <w:spacing w:line="276" w:lineRule="auto"/>
              <w:rPr>
                <w:rFonts w:ascii="Times New Roman" w:hAnsi="Times New Roman"/>
                <w:color w:val="000000" w:themeColor="text1"/>
                <w:sz w:val="18"/>
                <w:szCs w:val="18"/>
              </w:rPr>
            </w:pPr>
          </w:p>
          <w:p w14:paraId="26E2B13D" w14:textId="77777777" w:rsidR="003B5755" w:rsidRPr="00BC7BB5" w:rsidRDefault="003B5755" w:rsidP="003B5755">
            <w:pPr>
              <w:spacing w:line="276" w:lineRule="auto"/>
              <w:rPr>
                <w:rFonts w:ascii="Times New Roman" w:hAnsi="Times New Roman"/>
                <w:color w:val="000000" w:themeColor="text1"/>
                <w:sz w:val="18"/>
                <w:szCs w:val="18"/>
              </w:rPr>
            </w:pPr>
            <w:r w:rsidRPr="00BC7BB5">
              <w:rPr>
                <w:rFonts w:ascii="Times New Roman" w:hAnsi="Times New Roman"/>
                <w:color w:val="000000" w:themeColor="text1"/>
                <w:sz w:val="18"/>
                <w:szCs w:val="18"/>
              </w:rPr>
              <w:t xml:space="preserve">Dissemination of the Manual </w:t>
            </w:r>
          </w:p>
        </w:tc>
        <w:tc>
          <w:tcPr>
            <w:tcW w:w="817" w:type="pct"/>
            <w:tcBorders>
              <w:top w:val="single" w:sz="4" w:space="0" w:color="auto"/>
              <w:left w:val="single" w:sz="4" w:space="0" w:color="auto"/>
              <w:right w:val="single" w:sz="4" w:space="0" w:color="auto"/>
            </w:tcBorders>
            <w:vAlign w:val="center"/>
            <w:hideMark/>
          </w:tcPr>
          <w:p w14:paraId="61B63B1D" w14:textId="77777777" w:rsidR="003B5755" w:rsidRPr="00BC7BB5" w:rsidRDefault="003B5755" w:rsidP="003B5755">
            <w:pPr>
              <w:spacing w:line="276" w:lineRule="auto"/>
              <w:rPr>
                <w:rFonts w:ascii="Times New Roman" w:hAnsi="Times New Roman"/>
                <w:b/>
                <w:bCs/>
                <w:color w:val="000000" w:themeColor="text1"/>
                <w:sz w:val="18"/>
                <w:szCs w:val="18"/>
              </w:rPr>
            </w:pPr>
            <w:r w:rsidRPr="00BC7BB5">
              <w:rPr>
                <w:rFonts w:ascii="Times New Roman" w:hAnsi="Times New Roman"/>
                <w:b/>
                <w:bCs/>
                <w:color w:val="000000" w:themeColor="text1"/>
                <w:sz w:val="18"/>
                <w:szCs w:val="18"/>
              </w:rPr>
              <w:t>PMU</w:t>
            </w:r>
          </w:p>
        </w:tc>
        <w:tc>
          <w:tcPr>
            <w:tcW w:w="730" w:type="pct"/>
            <w:vMerge/>
            <w:tcBorders>
              <w:left w:val="single" w:sz="4" w:space="0" w:color="auto"/>
              <w:right w:val="single" w:sz="4" w:space="0" w:color="auto"/>
            </w:tcBorders>
            <w:vAlign w:val="center"/>
          </w:tcPr>
          <w:p w14:paraId="2706AC17" w14:textId="77777777" w:rsidR="003B5755" w:rsidRPr="00BC7BB5" w:rsidRDefault="003B5755" w:rsidP="003B5755">
            <w:pPr>
              <w:spacing w:line="276" w:lineRule="auto"/>
              <w:rPr>
                <w:rFonts w:ascii="Times New Roman" w:hAnsi="Times New Roman"/>
                <w:color w:val="000000" w:themeColor="text1"/>
                <w:sz w:val="18"/>
                <w:szCs w:val="18"/>
              </w:rPr>
            </w:pPr>
          </w:p>
        </w:tc>
        <w:tc>
          <w:tcPr>
            <w:tcW w:w="799" w:type="pct"/>
            <w:tcBorders>
              <w:top w:val="single" w:sz="4" w:space="0" w:color="auto"/>
              <w:left w:val="single" w:sz="4" w:space="0" w:color="auto"/>
              <w:right w:val="single" w:sz="4" w:space="0" w:color="auto"/>
            </w:tcBorders>
          </w:tcPr>
          <w:p w14:paraId="4604BF0E" w14:textId="77777777" w:rsidR="003B5755" w:rsidRPr="00BC7BB5" w:rsidRDefault="003B5755" w:rsidP="003B5755">
            <w:pPr>
              <w:spacing w:line="276" w:lineRule="auto"/>
              <w:rPr>
                <w:rFonts w:ascii="Times New Roman" w:hAnsi="Times New Roman"/>
                <w:color w:val="000000" w:themeColor="text1"/>
                <w:sz w:val="18"/>
                <w:szCs w:val="18"/>
              </w:rPr>
            </w:pPr>
            <w:r w:rsidRPr="00BC7BB5">
              <w:rPr>
                <w:rFonts w:ascii="Times New Roman" w:hAnsi="Times New Roman"/>
                <w:color w:val="000000" w:themeColor="text1"/>
                <w:sz w:val="18"/>
                <w:szCs w:val="18"/>
              </w:rPr>
              <w:t xml:space="preserve">Dissemination plan </w:t>
            </w:r>
          </w:p>
        </w:tc>
      </w:tr>
      <w:tr w:rsidR="003B5755" w:rsidRPr="00BC7BB5" w14:paraId="0F24C2CD" w14:textId="77777777" w:rsidTr="003B5755">
        <w:trPr>
          <w:trHeight w:val="559"/>
        </w:trPr>
        <w:tc>
          <w:tcPr>
            <w:tcW w:w="987" w:type="pct"/>
            <w:vMerge w:val="restart"/>
            <w:tcBorders>
              <w:top w:val="single" w:sz="4" w:space="0" w:color="auto"/>
              <w:left w:val="single" w:sz="4" w:space="0" w:color="auto"/>
              <w:right w:val="single" w:sz="4" w:space="0" w:color="auto"/>
            </w:tcBorders>
            <w:vAlign w:val="center"/>
            <w:hideMark/>
          </w:tcPr>
          <w:p w14:paraId="21222F79" w14:textId="77777777" w:rsidR="003B5755" w:rsidRPr="00BC7BB5" w:rsidRDefault="003B5755" w:rsidP="003B5755">
            <w:pPr>
              <w:spacing w:line="276" w:lineRule="auto"/>
              <w:rPr>
                <w:rFonts w:ascii="Times New Roman" w:eastAsia="ヒラギノ角ゴ Pro W3" w:hAnsi="Times New Roman"/>
                <w:color w:val="000000" w:themeColor="text1"/>
                <w:sz w:val="18"/>
                <w:szCs w:val="18"/>
              </w:rPr>
            </w:pPr>
            <w:r w:rsidRPr="00BC7BB5">
              <w:rPr>
                <w:rFonts w:ascii="Times New Roman" w:hAnsi="Times New Roman"/>
                <w:color w:val="000000" w:themeColor="text1"/>
                <w:sz w:val="18"/>
                <w:szCs w:val="18"/>
              </w:rPr>
              <w:t>Environmental and Social Focal Point (E&amp;S)</w:t>
            </w:r>
          </w:p>
        </w:tc>
        <w:tc>
          <w:tcPr>
            <w:tcW w:w="1667" w:type="pct"/>
            <w:tcBorders>
              <w:top w:val="single" w:sz="4" w:space="0" w:color="auto"/>
              <w:left w:val="single" w:sz="4" w:space="0" w:color="auto"/>
              <w:right w:val="single" w:sz="4" w:space="0" w:color="auto"/>
            </w:tcBorders>
          </w:tcPr>
          <w:p w14:paraId="3783FBD7" w14:textId="77777777" w:rsidR="003B5755" w:rsidRPr="00BC7BB5" w:rsidRDefault="003B5755" w:rsidP="003B5755">
            <w:pPr>
              <w:spacing w:line="276" w:lineRule="auto"/>
              <w:rPr>
                <w:rFonts w:ascii="Times New Roman" w:hAnsi="Times New Roman"/>
                <w:color w:val="000000" w:themeColor="text1"/>
                <w:sz w:val="18"/>
                <w:szCs w:val="18"/>
              </w:rPr>
            </w:pPr>
            <w:r w:rsidRPr="00BC7BB5">
              <w:rPr>
                <w:rFonts w:ascii="Times New Roman" w:hAnsi="Times New Roman"/>
                <w:color w:val="000000" w:themeColor="text1"/>
                <w:sz w:val="18"/>
                <w:szCs w:val="18"/>
              </w:rPr>
              <w:t xml:space="preserve">Terms of Reference </w:t>
            </w:r>
          </w:p>
          <w:p w14:paraId="5D613A80" w14:textId="77777777" w:rsidR="003B5755" w:rsidRPr="00BC7BB5" w:rsidRDefault="003B5755" w:rsidP="003B5755">
            <w:pPr>
              <w:spacing w:after="200" w:line="276" w:lineRule="auto"/>
              <w:rPr>
                <w:rFonts w:ascii="Times New Roman" w:hAnsi="Times New Roman"/>
                <w:color w:val="000000" w:themeColor="text1"/>
                <w:sz w:val="18"/>
                <w:szCs w:val="18"/>
              </w:rPr>
            </w:pPr>
          </w:p>
        </w:tc>
        <w:tc>
          <w:tcPr>
            <w:tcW w:w="817" w:type="pct"/>
            <w:vMerge w:val="restart"/>
            <w:tcBorders>
              <w:top w:val="single" w:sz="4" w:space="0" w:color="auto"/>
              <w:left w:val="single" w:sz="4" w:space="0" w:color="auto"/>
              <w:right w:val="single" w:sz="4" w:space="0" w:color="auto"/>
            </w:tcBorders>
            <w:vAlign w:val="center"/>
            <w:hideMark/>
          </w:tcPr>
          <w:p w14:paraId="760E20B4" w14:textId="77777777" w:rsidR="003B5755" w:rsidRPr="00BC7BB5" w:rsidRDefault="003B5755" w:rsidP="003B5755">
            <w:pPr>
              <w:spacing w:line="276" w:lineRule="auto"/>
              <w:rPr>
                <w:rFonts w:ascii="Times New Roman" w:hAnsi="Times New Roman"/>
                <w:b/>
                <w:bCs/>
                <w:color w:val="000000" w:themeColor="text1"/>
                <w:sz w:val="18"/>
                <w:szCs w:val="18"/>
              </w:rPr>
            </w:pPr>
            <w:r w:rsidRPr="00BC7BB5">
              <w:rPr>
                <w:rFonts w:ascii="Times New Roman" w:hAnsi="Times New Roman"/>
                <w:b/>
                <w:bCs/>
                <w:sz w:val="18"/>
                <w:szCs w:val="18"/>
              </w:rPr>
              <w:t>PMU</w:t>
            </w:r>
          </w:p>
          <w:p w14:paraId="1709A24A" w14:textId="77777777" w:rsidR="003B5755" w:rsidRPr="00BC7BB5" w:rsidRDefault="003B5755" w:rsidP="003B5755">
            <w:pPr>
              <w:spacing w:line="276" w:lineRule="auto"/>
              <w:rPr>
                <w:rFonts w:ascii="Times New Roman" w:hAnsi="Times New Roman"/>
                <w:b/>
                <w:bCs/>
                <w:color w:val="000000" w:themeColor="text1"/>
                <w:sz w:val="18"/>
                <w:szCs w:val="18"/>
              </w:rPr>
            </w:pPr>
          </w:p>
        </w:tc>
        <w:tc>
          <w:tcPr>
            <w:tcW w:w="730" w:type="pct"/>
            <w:vMerge/>
            <w:tcBorders>
              <w:left w:val="single" w:sz="4" w:space="0" w:color="auto"/>
              <w:right w:val="single" w:sz="4" w:space="0" w:color="auto"/>
            </w:tcBorders>
          </w:tcPr>
          <w:p w14:paraId="67A39EF6" w14:textId="77777777" w:rsidR="003B5755" w:rsidRPr="00BC7BB5" w:rsidRDefault="003B5755" w:rsidP="003B5755">
            <w:pPr>
              <w:spacing w:line="276" w:lineRule="auto"/>
              <w:rPr>
                <w:rFonts w:ascii="Times New Roman" w:hAnsi="Times New Roman"/>
                <w:color w:val="000000" w:themeColor="text1"/>
                <w:sz w:val="18"/>
                <w:szCs w:val="18"/>
              </w:rPr>
            </w:pPr>
          </w:p>
        </w:tc>
        <w:tc>
          <w:tcPr>
            <w:tcW w:w="799" w:type="pct"/>
            <w:vMerge w:val="restart"/>
            <w:tcBorders>
              <w:top w:val="single" w:sz="4" w:space="0" w:color="auto"/>
              <w:left w:val="single" w:sz="4" w:space="0" w:color="auto"/>
              <w:right w:val="single" w:sz="4" w:space="0" w:color="auto"/>
            </w:tcBorders>
            <w:vAlign w:val="center"/>
            <w:hideMark/>
          </w:tcPr>
          <w:p w14:paraId="0B163869" w14:textId="77777777" w:rsidR="003B5755" w:rsidRPr="00BC7BB5" w:rsidRDefault="003B5755" w:rsidP="003B5755">
            <w:pPr>
              <w:spacing w:line="276" w:lineRule="auto"/>
              <w:rPr>
                <w:rFonts w:ascii="Times New Roman" w:hAnsi="Times New Roman"/>
                <w:color w:val="000000" w:themeColor="text1"/>
                <w:sz w:val="18"/>
                <w:szCs w:val="18"/>
              </w:rPr>
            </w:pPr>
            <w:r w:rsidRPr="00BC7BB5">
              <w:rPr>
                <w:rFonts w:ascii="Times New Roman" w:hAnsi="Times New Roman"/>
                <w:color w:val="000000" w:themeColor="text1"/>
                <w:sz w:val="18"/>
                <w:szCs w:val="18"/>
              </w:rPr>
              <w:t>Mission statement</w:t>
            </w:r>
          </w:p>
          <w:p w14:paraId="6E7EBCFA" w14:textId="77777777" w:rsidR="003B5755" w:rsidRPr="00BC7BB5" w:rsidRDefault="003B5755" w:rsidP="003B5755">
            <w:pPr>
              <w:spacing w:line="276" w:lineRule="auto"/>
              <w:rPr>
                <w:rFonts w:ascii="Times New Roman" w:hAnsi="Times New Roman"/>
                <w:color w:val="000000" w:themeColor="text1"/>
                <w:sz w:val="18"/>
                <w:szCs w:val="18"/>
              </w:rPr>
            </w:pPr>
          </w:p>
        </w:tc>
      </w:tr>
      <w:tr w:rsidR="003B5755" w:rsidRPr="00BC7BB5" w14:paraId="2DBEB35F" w14:textId="77777777" w:rsidTr="003B5755">
        <w:trPr>
          <w:trHeight w:val="504"/>
        </w:trPr>
        <w:tc>
          <w:tcPr>
            <w:tcW w:w="987" w:type="pct"/>
            <w:vMerge/>
            <w:tcBorders>
              <w:left w:val="single" w:sz="4" w:space="0" w:color="auto"/>
              <w:right w:val="single" w:sz="4" w:space="0" w:color="auto"/>
            </w:tcBorders>
            <w:vAlign w:val="center"/>
          </w:tcPr>
          <w:p w14:paraId="1051EF3E" w14:textId="77777777" w:rsidR="003B5755" w:rsidRPr="00BC7BB5" w:rsidRDefault="003B5755" w:rsidP="003B5755">
            <w:pPr>
              <w:spacing w:line="276" w:lineRule="auto"/>
              <w:rPr>
                <w:rFonts w:ascii="Times New Roman" w:eastAsia="ヒラギノ角ゴ Pro W3" w:hAnsi="Times New Roman"/>
                <w:color w:val="000000" w:themeColor="text1"/>
                <w:sz w:val="18"/>
                <w:szCs w:val="18"/>
              </w:rPr>
            </w:pPr>
          </w:p>
        </w:tc>
        <w:tc>
          <w:tcPr>
            <w:tcW w:w="1667" w:type="pct"/>
            <w:tcBorders>
              <w:top w:val="single" w:sz="4" w:space="0" w:color="auto"/>
              <w:left w:val="single" w:sz="4" w:space="0" w:color="auto"/>
              <w:right w:val="single" w:sz="4" w:space="0" w:color="auto"/>
            </w:tcBorders>
          </w:tcPr>
          <w:p w14:paraId="3253DCEA" w14:textId="77777777" w:rsidR="003B5755" w:rsidRPr="00BC7BB5" w:rsidRDefault="003B5755" w:rsidP="003B5755">
            <w:pPr>
              <w:spacing w:line="276" w:lineRule="auto"/>
              <w:rPr>
                <w:rFonts w:ascii="Times New Roman" w:hAnsi="Times New Roman"/>
                <w:color w:val="000000" w:themeColor="text1"/>
                <w:sz w:val="18"/>
                <w:szCs w:val="18"/>
              </w:rPr>
            </w:pPr>
            <w:r w:rsidRPr="00BC7BB5">
              <w:rPr>
                <w:rFonts w:ascii="Times New Roman" w:hAnsi="Times New Roman"/>
                <w:color w:val="000000" w:themeColor="text1"/>
                <w:sz w:val="18"/>
                <w:szCs w:val="18"/>
              </w:rPr>
              <w:t>Designation</w:t>
            </w:r>
          </w:p>
        </w:tc>
        <w:tc>
          <w:tcPr>
            <w:tcW w:w="817" w:type="pct"/>
            <w:vMerge/>
            <w:tcBorders>
              <w:left w:val="single" w:sz="4" w:space="0" w:color="auto"/>
              <w:right w:val="single" w:sz="4" w:space="0" w:color="auto"/>
            </w:tcBorders>
            <w:vAlign w:val="center"/>
          </w:tcPr>
          <w:p w14:paraId="564ECA1C" w14:textId="77777777" w:rsidR="003B5755" w:rsidRPr="00BC7BB5" w:rsidRDefault="003B5755" w:rsidP="003B5755">
            <w:pPr>
              <w:spacing w:line="276" w:lineRule="auto"/>
              <w:rPr>
                <w:rFonts w:ascii="Times New Roman" w:hAnsi="Times New Roman"/>
                <w:b/>
                <w:bCs/>
                <w:color w:val="000000" w:themeColor="text1"/>
                <w:sz w:val="18"/>
                <w:szCs w:val="18"/>
              </w:rPr>
            </w:pPr>
          </w:p>
        </w:tc>
        <w:tc>
          <w:tcPr>
            <w:tcW w:w="730" w:type="pct"/>
            <w:vMerge/>
            <w:tcBorders>
              <w:left w:val="single" w:sz="4" w:space="0" w:color="auto"/>
              <w:right w:val="single" w:sz="4" w:space="0" w:color="auto"/>
            </w:tcBorders>
          </w:tcPr>
          <w:p w14:paraId="27AC6A7E" w14:textId="77777777" w:rsidR="003B5755" w:rsidRPr="00BC7BB5" w:rsidRDefault="003B5755" w:rsidP="003B5755">
            <w:pPr>
              <w:spacing w:line="276" w:lineRule="auto"/>
              <w:rPr>
                <w:rFonts w:ascii="Times New Roman" w:hAnsi="Times New Roman"/>
                <w:color w:val="000000" w:themeColor="text1"/>
                <w:sz w:val="18"/>
                <w:szCs w:val="18"/>
              </w:rPr>
            </w:pPr>
          </w:p>
        </w:tc>
        <w:tc>
          <w:tcPr>
            <w:tcW w:w="799" w:type="pct"/>
            <w:vMerge/>
            <w:tcBorders>
              <w:left w:val="single" w:sz="4" w:space="0" w:color="auto"/>
              <w:right w:val="single" w:sz="4" w:space="0" w:color="auto"/>
            </w:tcBorders>
          </w:tcPr>
          <w:p w14:paraId="1C7E20D8" w14:textId="77777777" w:rsidR="003B5755" w:rsidRPr="00BC7BB5" w:rsidRDefault="003B5755" w:rsidP="003B5755">
            <w:pPr>
              <w:spacing w:line="276" w:lineRule="auto"/>
              <w:rPr>
                <w:rFonts w:ascii="Times New Roman" w:hAnsi="Times New Roman"/>
                <w:color w:val="000000" w:themeColor="text1"/>
                <w:sz w:val="18"/>
                <w:szCs w:val="18"/>
              </w:rPr>
            </w:pPr>
          </w:p>
        </w:tc>
      </w:tr>
      <w:tr w:rsidR="003B5755" w:rsidRPr="00BC7BB5" w14:paraId="19BC8C30" w14:textId="77777777" w:rsidTr="003B5755">
        <w:trPr>
          <w:trHeight w:val="1286"/>
        </w:trPr>
        <w:tc>
          <w:tcPr>
            <w:tcW w:w="987" w:type="pct"/>
            <w:tcBorders>
              <w:left w:val="single" w:sz="4" w:space="0" w:color="auto"/>
              <w:right w:val="single" w:sz="4" w:space="0" w:color="auto"/>
            </w:tcBorders>
          </w:tcPr>
          <w:p w14:paraId="07F40022" w14:textId="77777777" w:rsidR="003B5755" w:rsidRPr="00BC7BB5" w:rsidRDefault="003B5755" w:rsidP="003B5755">
            <w:pPr>
              <w:spacing w:after="200" w:line="276" w:lineRule="auto"/>
              <w:rPr>
                <w:rFonts w:ascii="Times New Roman" w:hAnsi="Times New Roman"/>
                <w:color w:val="000000" w:themeColor="text1"/>
                <w:sz w:val="18"/>
                <w:szCs w:val="18"/>
                <w:highlight w:val="yellow"/>
              </w:rPr>
            </w:pPr>
            <w:r w:rsidRPr="00BC7BB5">
              <w:rPr>
                <w:rFonts w:ascii="Times New Roman" w:hAnsi="Times New Roman"/>
                <w:color w:val="000000" w:themeColor="text1"/>
                <w:sz w:val="18"/>
                <w:szCs w:val="18"/>
              </w:rPr>
              <w:t>Training about the Technical Manual</w:t>
            </w:r>
          </w:p>
        </w:tc>
        <w:tc>
          <w:tcPr>
            <w:tcW w:w="1667" w:type="pct"/>
            <w:tcBorders>
              <w:top w:val="single" w:sz="4" w:space="0" w:color="auto"/>
              <w:left w:val="single" w:sz="4" w:space="0" w:color="auto"/>
              <w:right w:val="single" w:sz="4" w:space="0" w:color="auto"/>
            </w:tcBorders>
          </w:tcPr>
          <w:p w14:paraId="36B5C9CE" w14:textId="77777777" w:rsidR="003B5755" w:rsidRPr="00BC7BB5" w:rsidRDefault="003B5755" w:rsidP="004E4456">
            <w:pPr>
              <w:spacing w:line="276" w:lineRule="auto"/>
              <w:rPr>
                <w:rFonts w:ascii="Times New Roman" w:hAnsi="Times New Roman"/>
                <w:color w:val="000000" w:themeColor="text1"/>
                <w:sz w:val="18"/>
                <w:szCs w:val="18"/>
              </w:rPr>
            </w:pPr>
            <w:r w:rsidRPr="00BC7BB5">
              <w:rPr>
                <w:rFonts w:ascii="Times New Roman" w:hAnsi="Times New Roman"/>
                <w:color w:val="000000" w:themeColor="text1"/>
                <w:sz w:val="18"/>
                <w:szCs w:val="18"/>
              </w:rPr>
              <w:t xml:space="preserve">Training of key personnel from program stakeholders (DDFP, DF, ONSSA, ADA, DPAs, </w:t>
            </w:r>
            <w:r w:rsidRPr="00BC7BB5">
              <w:rPr>
                <w:rFonts w:ascii="Times New Roman" w:hAnsi="Times New Roman"/>
                <w:sz w:val="18"/>
                <w:szCs w:val="18"/>
              </w:rPr>
              <w:t>one-stop windows</w:t>
            </w:r>
            <w:r w:rsidRPr="00BC7BB5">
              <w:rPr>
                <w:rFonts w:ascii="Times New Roman" w:hAnsi="Times New Roman"/>
                <w:color w:val="000000" w:themeColor="text1"/>
                <w:sz w:val="18"/>
                <w:szCs w:val="18"/>
              </w:rPr>
              <w:t xml:space="preserve">, etc.) </w:t>
            </w:r>
          </w:p>
        </w:tc>
        <w:tc>
          <w:tcPr>
            <w:tcW w:w="817" w:type="pct"/>
            <w:vMerge/>
            <w:tcBorders>
              <w:left w:val="single" w:sz="4" w:space="0" w:color="auto"/>
              <w:right w:val="single" w:sz="4" w:space="0" w:color="auto"/>
            </w:tcBorders>
          </w:tcPr>
          <w:p w14:paraId="770BB92D" w14:textId="77777777" w:rsidR="003B5755" w:rsidRPr="00BC7BB5" w:rsidRDefault="003B5755" w:rsidP="003B5755">
            <w:pPr>
              <w:spacing w:after="200" w:line="276" w:lineRule="auto"/>
              <w:rPr>
                <w:rFonts w:ascii="Times New Roman" w:hAnsi="Times New Roman"/>
                <w:color w:val="000000" w:themeColor="text1"/>
                <w:sz w:val="18"/>
                <w:szCs w:val="18"/>
                <w:highlight w:val="yellow"/>
              </w:rPr>
            </w:pPr>
          </w:p>
        </w:tc>
        <w:tc>
          <w:tcPr>
            <w:tcW w:w="730" w:type="pct"/>
            <w:tcBorders>
              <w:left w:val="single" w:sz="4" w:space="0" w:color="auto"/>
              <w:right w:val="single" w:sz="4" w:space="0" w:color="auto"/>
            </w:tcBorders>
          </w:tcPr>
          <w:p w14:paraId="17CBEF48" w14:textId="77777777" w:rsidR="003B5755" w:rsidRPr="00BC7BB5" w:rsidRDefault="003B5755" w:rsidP="004E4456">
            <w:pPr>
              <w:spacing w:line="276" w:lineRule="auto"/>
              <w:rPr>
                <w:rFonts w:ascii="Times New Roman" w:hAnsi="Times New Roman"/>
                <w:color w:val="000000" w:themeColor="text1"/>
                <w:sz w:val="18"/>
                <w:szCs w:val="18"/>
              </w:rPr>
            </w:pPr>
          </w:p>
          <w:p w14:paraId="05A7616B" w14:textId="77777777" w:rsidR="003B5755" w:rsidRPr="00BC7BB5" w:rsidRDefault="003B5755" w:rsidP="004E4456">
            <w:pPr>
              <w:spacing w:line="276" w:lineRule="auto"/>
              <w:rPr>
                <w:rFonts w:ascii="Times New Roman" w:hAnsi="Times New Roman"/>
                <w:color w:val="000000" w:themeColor="text1"/>
                <w:sz w:val="18"/>
                <w:szCs w:val="18"/>
              </w:rPr>
            </w:pPr>
            <w:r w:rsidRPr="00BC7BB5">
              <w:rPr>
                <w:rFonts w:ascii="Times New Roman" w:hAnsi="Times New Roman"/>
                <w:color w:val="000000" w:themeColor="text1"/>
                <w:sz w:val="18"/>
                <w:szCs w:val="18"/>
              </w:rPr>
              <w:t>Before the end of the 1</w:t>
            </w:r>
            <w:r w:rsidRPr="00BC7BB5">
              <w:rPr>
                <w:rFonts w:ascii="Times New Roman" w:hAnsi="Times New Roman"/>
                <w:color w:val="000000" w:themeColor="text1"/>
                <w:sz w:val="18"/>
                <w:szCs w:val="18"/>
                <w:vertAlign w:val="superscript"/>
              </w:rPr>
              <w:t>st</w:t>
            </w:r>
            <w:r w:rsidRPr="00BC7BB5">
              <w:rPr>
                <w:rFonts w:ascii="Times New Roman" w:hAnsi="Times New Roman"/>
                <w:color w:val="000000" w:themeColor="text1"/>
                <w:sz w:val="18"/>
                <w:szCs w:val="18"/>
              </w:rPr>
              <w:t xml:space="preserve"> year</w:t>
            </w:r>
          </w:p>
        </w:tc>
        <w:tc>
          <w:tcPr>
            <w:tcW w:w="799" w:type="pct"/>
            <w:tcBorders>
              <w:left w:val="single" w:sz="4" w:space="0" w:color="auto"/>
              <w:right w:val="single" w:sz="4" w:space="0" w:color="auto"/>
            </w:tcBorders>
            <w:shd w:val="clear" w:color="auto" w:fill="auto"/>
          </w:tcPr>
          <w:p w14:paraId="01510B8F" w14:textId="77777777" w:rsidR="003B5755" w:rsidRPr="00BC7BB5" w:rsidRDefault="003B5755" w:rsidP="004E4456">
            <w:pPr>
              <w:spacing w:line="276" w:lineRule="auto"/>
              <w:rPr>
                <w:rFonts w:ascii="Times New Roman" w:hAnsi="Times New Roman"/>
                <w:color w:val="000000" w:themeColor="text1"/>
                <w:sz w:val="18"/>
                <w:szCs w:val="18"/>
              </w:rPr>
            </w:pPr>
          </w:p>
          <w:p w14:paraId="1D351D95" w14:textId="77777777" w:rsidR="003B5755" w:rsidRPr="00BC7BB5" w:rsidRDefault="003B5755" w:rsidP="004E4456">
            <w:pPr>
              <w:spacing w:line="276" w:lineRule="auto"/>
              <w:rPr>
                <w:rFonts w:ascii="Times New Roman" w:hAnsi="Times New Roman"/>
                <w:color w:val="000000" w:themeColor="text1"/>
                <w:sz w:val="18"/>
                <w:szCs w:val="18"/>
              </w:rPr>
            </w:pPr>
            <w:r w:rsidRPr="00BC7BB5">
              <w:rPr>
                <w:rFonts w:ascii="Times New Roman" w:hAnsi="Times New Roman"/>
                <w:color w:val="000000" w:themeColor="text1"/>
                <w:sz w:val="18"/>
                <w:szCs w:val="18"/>
              </w:rPr>
              <w:t>Number of key personnel trained</w:t>
            </w:r>
          </w:p>
        </w:tc>
      </w:tr>
      <w:tr w:rsidR="003B5755" w:rsidRPr="00BC7BB5" w14:paraId="43C85A2C" w14:textId="77777777" w:rsidTr="00511F96">
        <w:trPr>
          <w:trHeight w:val="354"/>
        </w:trPr>
        <w:tc>
          <w:tcPr>
            <w:tcW w:w="5000" w:type="pct"/>
            <w:gridSpan w:val="5"/>
            <w:tcBorders>
              <w:left w:val="single" w:sz="4" w:space="0" w:color="auto"/>
              <w:right w:val="single" w:sz="4" w:space="0" w:color="auto"/>
            </w:tcBorders>
            <w:shd w:val="clear" w:color="auto" w:fill="F2F2F2" w:themeFill="background1" w:themeFillShade="F2"/>
          </w:tcPr>
          <w:p w14:paraId="715ACF1C" w14:textId="77777777" w:rsidR="003B5755" w:rsidRPr="00BC7BB5" w:rsidRDefault="003B5755" w:rsidP="003B5755">
            <w:pPr>
              <w:rPr>
                <w:rFonts w:ascii="Times New Roman" w:hAnsi="Times New Roman"/>
                <w:b/>
                <w:bCs/>
                <w:sz w:val="18"/>
                <w:szCs w:val="18"/>
              </w:rPr>
            </w:pPr>
            <w:r w:rsidRPr="00BC7BB5">
              <w:rPr>
                <w:rFonts w:ascii="Times New Roman" w:hAnsi="Times New Roman"/>
                <w:b/>
                <w:bCs/>
                <w:sz w:val="18"/>
                <w:szCs w:val="18"/>
              </w:rPr>
              <w:t xml:space="preserve">Measures to strengthen the implementation and monitoring of the environmental and social management system </w:t>
            </w:r>
          </w:p>
        </w:tc>
      </w:tr>
      <w:tr w:rsidR="003B5755" w:rsidRPr="00BC7BB5" w14:paraId="732099B1" w14:textId="77777777" w:rsidTr="003B5755">
        <w:trPr>
          <w:trHeight w:val="1158"/>
        </w:trPr>
        <w:tc>
          <w:tcPr>
            <w:tcW w:w="987" w:type="pct"/>
            <w:tcBorders>
              <w:left w:val="single" w:sz="4" w:space="0" w:color="auto"/>
              <w:right w:val="single" w:sz="4" w:space="0" w:color="auto"/>
            </w:tcBorders>
          </w:tcPr>
          <w:p w14:paraId="783828EA" w14:textId="77777777" w:rsidR="003B5755" w:rsidRPr="00BC7BB5" w:rsidRDefault="003B5755" w:rsidP="003B5755">
            <w:pPr>
              <w:spacing w:line="276" w:lineRule="auto"/>
              <w:rPr>
                <w:rFonts w:ascii="Times New Roman" w:hAnsi="Times New Roman"/>
                <w:sz w:val="18"/>
                <w:szCs w:val="18"/>
              </w:rPr>
            </w:pPr>
            <w:r w:rsidRPr="00BC7BB5">
              <w:rPr>
                <w:rFonts w:ascii="Times New Roman" w:hAnsi="Times New Roman"/>
                <w:sz w:val="18"/>
                <w:szCs w:val="18"/>
              </w:rPr>
              <w:t xml:space="preserve">Procedures of environmental and social management </w:t>
            </w:r>
          </w:p>
        </w:tc>
        <w:tc>
          <w:tcPr>
            <w:tcW w:w="1667" w:type="pct"/>
            <w:tcBorders>
              <w:top w:val="single" w:sz="4" w:space="0" w:color="auto"/>
              <w:left w:val="single" w:sz="4" w:space="0" w:color="auto"/>
              <w:bottom w:val="single" w:sz="4" w:space="0" w:color="auto"/>
              <w:right w:val="single" w:sz="4" w:space="0" w:color="auto"/>
            </w:tcBorders>
          </w:tcPr>
          <w:p w14:paraId="1D869E88" w14:textId="5130CC24" w:rsidR="003B5755" w:rsidRPr="00BC7BB5" w:rsidRDefault="003B5755" w:rsidP="003B5755">
            <w:pPr>
              <w:spacing w:line="276" w:lineRule="auto"/>
              <w:rPr>
                <w:rFonts w:ascii="Times New Roman" w:hAnsi="Times New Roman"/>
                <w:color w:val="000000" w:themeColor="text1"/>
                <w:sz w:val="18"/>
                <w:szCs w:val="18"/>
              </w:rPr>
            </w:pPr>
            <w:r w:rsidRPr="00BC7BB5">
              <w:rPr>
                <w:rFonts w:ascii="Times New Roman" w:hAnsi="Times New Roman"/>
                <w:color w:val="000000" w:themeColor="text1"/>
                <w:sz w:val="18"/>
                <w:szCs w:val="18"/>
              </w:rPr>
              <w:t>Implementation of all procedures and tools set out in the Technical Manual;</w:t>
            </w:r>
          </w:p>
          <w:p w14:paraId="507C9542" w14:textId="77777777" w:rsidR="003B5755" w:rsidRPr="00BC7BB5" w:rsidRDefault="003B5755" w:rsidP="003B5755">
            <w:pPr>
              <w:spacing w:line="276" w:lineRule="auto"/>
              <w:rPr>
                <w:rFonts w:ascii="Times New Roman" w:hAnsi="Times New Roman"/>
                <w:sz w:val="18"/>
                <w:szCs w:val="18"/>
              </w:rPr>
            </w:pPr>
            <w:r w:rsidRPr="00BC7BB5">
              <w:rPr>
                <w:rFonts w:ascii="Times New Roman" w:hAnsi="Times New Roman"/>
                <w:color w:val="000000" w:themeColor="text1"/>
                <w:sz w:val="18"/>
                <w:szCs w:val="18"/>
              </w:rPr>
              <w:t>Signature of agreement with the International Atomic Energy Agency</w:t>
            </w:r>
          </w:p>
        </w:tc>
        <w:tc>
          <w:tcPr>
            <w:tcW w:w="817" w:type="pct"/>
            <w:vMerge w:val="restart"/>
            <w:tcBorders>
              <w:left w:val="single" w:sz="4" w:space="0" w:color="auto"/>
              <w:right w:val="single" w:sz="4" w:space="0" w:color="auto"/>
            </w:tcBorders>
            <w:vAlign w:val="center"/>
          </w:tcPr>
          <w:p w14:paraId="5676D440" w14:textId="77777777" w:rsidR="003B5755" w:rsidRPr="00BC7BB5" w:rsidRDefault="003B5755" w:rsidP="003B5755">
            <w:pPr>
              <w:spacing w:line="276" w:lineRule="auto"/>
              <w:rPr>
                <w:rFonts w:ascii="Times New Roman" w:hAnsi="Times New Roman"/>
                <w:b/>
                <w:bCs/>
                <w:sz w:val="18"/>
                <w:szCs w:val="18"/>
              </w:rPr>
            </w:pPr>
            <w:r w:rsidRPr="00BC7BB5">
              <w:rPr>
                <w:rFonts w:ascii="Times New Roman" w:hAnsi="Times New Roman"/>
                <w:b/>
                <w:bCs/>
                <w:sz w:val="18"/>
                <w:szCs w:val="18"/>
              </w:rPr>
              <w:t>PMU/Focal Point (E&amp;S)</w:t>
            </w:r>
          </w:p>
        </w:tc>
        <w:tc>
          <w:tcPr>
            <w:tcW w:w="730" w:type="pct"/>
            <w:tcBorders>
              <w:left w:val="single" w:sz="4" w:space="0" w:color="auto"/>
              <w:right w:val="single" w:sz="4" w:space="0" w:color="auto"/>
            </w:tcBorders>
          </w:tcPr>
          <w:p w14:paraId="27B97BD6" w14:textId="77777777" w:rsidR="003B5755" w:rsidRPr="00BC7BB5" w:rsidRDefault="003B5755" w:rsidP="003B5755">
            <w:pPr>
              <w:spacing w:line="276" w:lineRule="auto"/>
              <w:rPr>
                <w:rFonts w:ascii="Times New Roman" w:hAnsi="Times New Roman"/>
                <w:sz w:val="18"/>
                <w:szCs w:val="18"/>
              </w:rPr>
            </w:pPr>
            <w:r w:rsidRPr="00BC7BB5">
              <w:rPr>
                <w:rFonts w:ascii="Times New Roman" w:hAnsi="Times New Roman"/>
                <w:sz w:val="18"/>
                <w:szCs w:val="18"/>
              </w:rPr>
              <w:t>Before the end of the 1</w:t>
            </w:r>
            <w:r w:rsidRPr="00BC7BB5">
              <w:rPr>
                <w:rFonts w:ascii="Times New Roman" w:hAnsi="Times New Roman"/>
                <w:sz w:val="18"/>
                <w:szCs w:val="18"/>
                <w:vertAlign w:val="superscript"/>
              </w:rPr>
              <w:t>st</w:t>
            </w:r>
            <w:r w:rsidRPr="00BC7BB5">
              <w:rPr>
                <w:rFonts w:ascii="Times New Roman" w:hAnsi="Times New Roman"/>
                <w:sz w:val="18"/>
                <w:szCs w:val="18"/>
              </w:rPr>
              <w:t xml:space="preserve"> year</w:t>
            </w:r>
          </w:p>
          <w:p w14:paraId="11D07964" w14:textId="77777777" w:rsidR="003B5755" w:rsidRPr="00BC7BB5" w:rsidRDefault="003B5755" w:rsidP="003B5755">
            <w:pPr>
              <w:spacing w:line="276" w:lineRule="auto"/>
              <w:rPr>
                <w:rFonts w:ascii="Times New Roman" w:hAnsi="Times New Roman"/>
                <w:sz w:val="18"/>
                <w:szCs w:val="18"/>
              </w:rPr>
            </w:pPr>
          </w:p>
          <w:p w14:paraId="05CDB119" w14:textId="77777777" w:rsidR="003B5755" w:rsidRPr="00BC7BB5" w:rsidRDefault="003B5755" w:rsidP="003B5755">
            <w:pPr>
              <w:spacing w:line="276" w:lineRule="auto"/>
              <w:rPr>
                <w:rFonts w:ascii="Times New Roman" w:hAnsi="Times New Roman"/>
                <w:sz w:val="18"/>
                <w:szCs w:val="18"/>
              </w:rPr>
            </w:pPr>
          </w:p>
        </w:tc>
        <w:tc>
          <w:tcPr>
            <w:tcW w:w="799" w:type="pct"/>
            <w:vMerge w:val="restart"/>
            <w:tcBorders>
              <w:left w:val="single" w:sz="4" w:space="0" w:color="auto"/>
              <w:right w:val="single" w:sz="4" w:space="0" w:color="auto"/>
            </w:tcBorders>
          </w:tcPr>
          <w:p w14:paraId="3F0FAF4C" w14:textId="77777777" w:rsidR="003B5755" w:rsidRPr="00BC7BB5" w:rsidRDefault="003B5755" w:rsidP="003B5755">
            <w:pPr>
              <w:spacing w:line="276" w:lineRule="auto"/>
              <w:rPr>
                <w:rFonts w:ascii="Times New Roman" w:hAnsi="Times New Roman"/>
                <w:sz w:val="18"/>
                <w:szCs w:val="18"/>
              </w:rPr>
            </w:pPr>
            <w:r w:rsidRPr="00BC7BB5">
              <w:rPr>
                <w:rFonts w:ascii="Times New Roman" w:hAnsi="Times New Roman"/>
                <w:sz w:val="18"/>
                <w:szCs w:val="18"/>
              </w:rPr>
              <w:t xml:space="preserve">Monitoring reports submitted by the Focal Point </w:t>
            </w:r>
          </w:p>
          <w:p w14:paraId="57C4DEAF" w14:textId="77777777" w:rsidR="003B5755" w:rsidRPr="00BC7BB5" w:rsidRDefault="003B5755" w:rsidP="003B5755">
            <w:pPr>
              <w:spacing w:line="276" w:lineRule="auto"/>
              <w:rPr>
                <w:rFonts w:ascii="Times New Roman" w:hAnsi="Times New Roman"/>
                <w:sz w:val="18"/>
                <w:szCs w:val="18"/>
              </w:rPr>
            </w:pPr>
          </w:p>
          <w:p w14:paraId="369FC4E1" w14:textId="77777777" w:rsidR="003B5755" w:rsidRPr="00BC7BB5" w:rsidRDefault="003B5755" w:rsidP="003B5755">
            <w:pPr>
              <w:spacing w:line="276" w:lineRule="auto"/>
              <w:rPr>
                <w:rFonts w:ascii="Times New Roman" w:hAnsi="Times New Roman"/>
                <w:sz w:val="18"/>
                <w:szCs w:val="18"/>
              </w:rPr>
            </w:pPr>
            <w:r w:rsidRPr="00BC7BB5">
              <w:rPr>
                <w:rFonts w:ascii="Times New Roman" w:hAnsi="Times New Roman"/>
                <w:sz w:val="18"/>
                <w:szCs w:val="18"/>
              </w:rPr>
              <w:t>Agreement signed</w:t>
            </w:r>
          </w:p>
          <w:p w14:paraId="2A50B565" w14:textId="77777777" w:rsidR="003B5755" w:rsidRPr="00BC7BB5" w:rsidRDefault="003B5755" w:rsidP="003B5755">
            <w:pPr>
              <w:spacing w:line="276" w:lineRule="auto"/>
              <w:rPr>
                <w:rFonts w:ascii="Times New Roman" w:hAnsi="Times New Roman"/>
                <w:sz w:val="18"/>
                <w:szCs w:val="18"/>
              </w:rPr>
            </w:pPr>
          </w:p>
          <w:p w14:paraId="754BAC5E" w14:textId="77777777" w:rsidR="003B5755" w:rsidRPr="00BC7BB5" w:rsidRDefault="003B5755" w:rsidP="003B5755">
            <w:pPr>
              <w:spacing w:line="276" w:lineRule="auto"/>
              <w:rPr>
                <w:rFonts w:ascii="Times New Roman" w:hAnsi="Times New Roman"/>
                <w:sz w:val="18"/>
                <w:szCs w:val="18"/>
              </w:rPr>
            </w:pPr>
            <w:r w:rsidRPr="00BC7BB5">
              <w:rPr>
                <w:rFonts w:ascii="Times New Roman" w:hAnsi="Times New Roman"/>
                <w:sz w:val="18"/>
                <w:szCs w:val="18"/>
              </w:rPr>
              <w:t xml:space="preserve">Information System  </w:t>
            </w:r>
          </w:p>
        </w:tc>
      </w:tr>
      <w:tr w:rsidR="003B5755" w:rsidRPr="00BC7BB5" w14:paraId="3204042A" w14:textId="77777777" w:rsidTr="003B5755">
        <w:trPr>
          <w:trHeight w:val="1234"/>
        </w:trPr>
        <w:tc>
          <w:tcPr>
            <w:tcW w:w="987" w:type="pct"/>
            <w:tcBorders>
              <w:left w:val="single" w:sz="4" w:space="0" w:color="auto"/>
              <w:right w:val="single" w:sz="4" w:space="0" w:color="auto"/>
            </w:tcBorders>
            <w:vAlign w:val="center"/>
          </w:tcPr>
          <w:p w14:paraId="44B50BC5" w14:textId="77777777" w:rsidR="003B5755" w:rsidRPr="00BC7BB5" w:rsidRDefault="003B5755" w:rsidP="003B5755">
            <w:pPr>
              <w:spacing w:line="276" w:lineRule="auto"/>
              <w:rPr>
                <w:rFonts w:ascii="Times New Roman" w:eastAsia="ヒラギノ角ゴ Pro W3" w:hAnsi="Times New Roman"/>
                <w:color w:val="000000"/>
                <w:sz w:val="18"/>
                <w:szCs w:val="18"/>
              </w:rPr>
            </w:pPr>
            <w:r w:rsidRPr="00BC7BB5">
              <w:rPr>
                <w:rFonts w:ascii="Times New Roman" w:hAnsi="Times New Roman"/>
                <w:sz w:val="18"/>
                <w:szCs w:val="18"/>
              </w:rPr>
              <w:t xml:space="preserve">Environmental and social monitoring procedures  </w:t>
            </w:r>
          </w:p>
        </w:tc>
        <w:tc>
          <w:tcPr>
            <w:tcW w:w="1667" w:type="pct"/>
            <w:tcBorders>
              <w:top w:val="single" w:sz="4" w:space="0" w:color="auto"/>
              <w:left w:val="single" w:sz="4" w:space="0" w:color="auto"/>
              <w:right w:val="single" w:sz="4" w:space="0" w:color="auto"/>
            </w:tcBorders>
          </w:tcPr>
          <w:p w14:paraId="709150C4" w14:textId="77777777" w:rsidR="003B5755" w:rsidRPr="00BC7BB5" w:rsidRDefault="003B5755" w:rsidP="003B5755">
            <w:pPr>
              <w:spacing w:line="276" w:lineRule="auto"/>
              <w:rPr>
                <w:rFonts w:ascii="Times New Roman" w:hAnsi="Times New Roman"/>
                <w:color w:val="000000" w:themeColor="text1"/>
                <w:sz w:val="18"/>
                <w:szCs w:val="18"/>
              </w:rPr>
            </w:pPr>
            <w:r w:rsidRPr="00BC7BB5">
              <w:rPr>
                <w:rFonts w:ascii="Times New Roman" w:hAnsi="Times New Roman"/>
                <w:color w:val="000000" w:themeColor="text1"/>
                <w:sz w:val="18"/>
                <w:szCs w:val="18"/>
              </w:rPr>
              <w:t xml:space="preserve">Regular collection of monitoring sheets/reports </w:t>
            </w:r>
          </w:p>
          <w:p w14:paraId="11D464FE" w14:textId="77777777" w:rsidR="003B5755" w:rsidRPr="00BC7BB5" w:rsidRDefault="003B5755" w:rsidP="003B5755">
            <w:pPr>
              <w:spacing w:line="276" w:lineRule="auto"/>
              <w:rPr>
                <w:rFonts w:ascii="Times New Roman" w:hAnsi="Times New Roman"/>
                <w:color w:val="000000" w:themeColor="text1"/>
                <w:sz w:val="18"/>
                <w:szCs w:val="18"/>
              </w:rPr>
            </w:pPr>
            <w:r w:rsidRPr="00BC7BB5">
              <w:rPr>
                <w:rFonts w:ascii="Times New Roman" w:hAnsi="Times New Roman"/>
                <w:color w:val="000000" w:themeColor="text1"/>
                <w:sz w:val="18"/>
                <w:szCs w:val="18"/>
              </w:rPr>
              <w:t xml:space="preserve"> </w:t>
            </w:r>
          </w:p>
        </w:tc>
        <w:tc>
          <w:tcPr>
            <w:tcW w:w="817" w:type="pct"/>
            <w:vMerge/>
            <w:tcBorders>
              <w:left w:val="single" w:sz="4" w:space="0" w:color="auto"/>
              <w:right w:val="single" w:sz="4" w:space="0" w:color="auto"/>
            </w:tcBorders>
          </w:tcPr>
          <w:p w14:paraId="1C332C6F" w14:textId="77777777" w:rsidR="003B5755" w:rsidRPr="00BC7BB5" w:rsidRDefault="003B5755" w:rsidP="003B5755">
            <w:pPr>
              <w:spacing w:line="276" w:lineRule="auto"/>
              <w:rPr>
                <w:rFonts w:ascii="Times New Roman" w:hAnsi="Times New Roman"/>
                <w:sz w:val="18"/>
                <w:szCs w:val="18"/>
              </w:rPr>
            </w:pPr>
          </w:p>
        </w:tc>
        <w:tc>
          <w:tcPr>
            <w:tcW w:w="730" w:type="pct"/>
            <w:tcBorders>
              <w:left w:val="single" w:sz="4" w:space="0" w:color="auto"/>
              <w:right w:val="single" w:sz="4" w:space="0" w:color="auto"/>
            </w:tcBorders>
          </w:tcPr>
          <w:p w14:paraId="723C4EBA" w14:textId="77777777" w:rsidR="003B5755" w:rsidRPr="00BC7BB5" w:rsidRDefault="003B5755" w:rsidP="003B5755">
            <w:pPr>
              <w:spacing w:line="276" w:lineRule="auto"/>
              <w:rPr>
                <w:rFonts w:ascii="Times New Roman" w:hAnsi="Times New Roman"/>
                <w:sz w:val="18"/>
                <w:szCs w:val="18"/>
              </w:rPr>
            </w:pPr>
          </w:p>
          <w:p w14:paraId="0EA51C73" w14:textId="255DA630" w:rsidR="003B5755" w:rsidRPr="00BC7BB5" w:rsidRDefault="003B5755" w:rsidP="003B5755">
            <w:pPr>
              <w:spacing w:line="276" w:lineRule="auto"/>
              <w:rPr>
                <w:rFonts w:ascii="Times New Roman" w:hAnsi="Times New Roman"/>
                <w:sz w:val="18"/>
                <w:szCs w:val="18"/>
              </w:rPr>
            </w:pPr>
            <w:r w:rsidRPr="00BC7BB5">
              <w:rPr>
                <w:rFonts w:ascii="Times New Roman" w:hAnsi="Times New Roman"/>
                <w:sz w:val="18"/>
                <w:szCs w:val="18"/>
              </w:rPr>
              <w:t xml:space="preserve">For the duration of the </w:t>
            </w:r>
            <w:r w:rsidR="00512BCA">
              <w:rPr>
                <w:rFonts w:ascii="Times New Roman" w:hAnsi="Times New Roman"/>
                <w:sz w:val="18"/>
                <w:szCs w:val="18"/>
              </w:rPr>
              <w:t>P</w:t>
            </w:r>
            <w:r w:rsidRPr="00BC7BB5">
              <w:rPr>
                <w:rFonts w:ascii="Times New Roman" w:hAnsi="Times New Roman"/>
                <w:sz w:val="18"/>
                <w:szCs w:val="18"/>
              </w:rPr>
              <w:t>rogram</w:t>
            </w:r>
          </w:p>
        </w:tc>
        <w:tc>
          <w:tcPr>
            <w:tcW w:w="799" w:type="pct"/>
            <w:vMerge/>
            <w:tcBorders>
              <w:left w:val="single" w:sz="4" w:space="0" w:color="auto"/>
              <w:right w:val="single" w:sz="4" w:space="0" w:color="auto"/>
            </w:tcBorders>
          </w:tcPr>
          <w:p w14:paraId="6F412A63" w14:textId="77777777" w:rsidR="003B5755" w:rsidRPr="00BC7BB5" w:rsidRDefault="003B5755" w:rsidP="003B5755">
            <w:pPr>
              <w:spacing w:line="276" w:lineRule="auto"/>
              <w:rPr>
                <w:rFonts w:ascii="Times New Roman" w:hAnsi="Times New Roman"/>
                <w:sz w:val="18"/>
                <w:szCs w:val="18"/>
              </w:rPr>
            </w:pPr>
          </w:p>
        </w:tc>
      </w:tr>
      <w:tr w:rsidR="003B5755" w:rsidRPr="00BC7BB5" w14:paraId="43D56C19" w14:textId="77777777" w:rsidTr="003B5755">
        <w:tblPrEx>
          <w:jc w:val="center"/>
        </w:tblPrEx>
        <w:trPr>
          <w:trHeight w:val="448"/>
          <w:jc w:val="center"/>
        </w:trPr>
        <w:tc>
          <w:tcPr>
            <w:tcW w:w="917" w:type="pct"/>
            <w:vMerge w:val="restart"/>
            <w:tcBorders>
              <w:left w:val="single" w:sz="4" w:space="0" w:color="auto"/>
              <w:right w:val="single" w:sz="4" w:space="0" w:color="auto"/>
            </w:tcBorders>
            <w:vAlign w:val="center"/>
          </w:tcPr>
          <w:p w14:paraId="5F207DD2" w14:textId="77777777" w:rsidR="003B5755" w:rsidRPr="00BC7BB5" w:rsidRDefault="003B5755" w:rsidP="003B5755">
            <w:pPr>
              <w:spacing w:line="276" w:lineRule="auto"/>
              <w:rPr>
                <w:rFonts w:ascii="Times New Roman" w:eastAsia="ヒラギノ角ゴ Pro W3" w:hAnsi="Times New Roman"/>
                <w:color w:val="000000"/>
                <w:sz w:val="18"/>
                <w:szCs w:val="18"/>
              </w:rPr>
            </w:pPr>
            <w:r w:rsidRPr="00BC7BB5">
              <w:rPr>
                <w:rFonts w:ascii="Times New Roman" w:hAnsi="Times New Roman"/>
                <w:color w:val="000000"/>
                <w:sz w:val="18"/>
                <w:szCs w:val="18"/>
              </w:rPr>
              <w:t xml:space="preserve">Strengthening of regulations </w:t>
            </w:r>
          </w:p>
        </w:tc>
        <w:tc>
          <w:tcPr>
            <w:tcW w:w="1598" w:type="pct"/>
            <w:tcBorders>
              <w:top w:val="single" w:sz="4" w:space="0" w:color="auto"/>
              <w:left w:val="single" w:sz="4" w:space="0" w:color="auto"/>
              <w:bottom w:val="single" w:sz="4" w:space="0" w:color="auto"/>
              <w:right w:val="single" w:sz="4" w:space="0" w:color="auto"/>
            </w:tcBorders>
          </w:tcPr>
          <w:p w14:paraId="7C87D4D3" w14:textId="77777777" w:rsidR="003B5755" w:rsidRPr="00BC7BB5" w:rsidRDefault="003B5755" w:rsidP="003B5755">
            <w:pPr>
              <w:spacing w:line="276" w:lineRule="auto"/>
              <w:rPr>
                <w:rFonts w:ascii="Times New Roman" w:hAnsi="Times New Roman"/>
                <w:color w:val="000000" w:themeColor="text1"/>
                <w:sz w:val="18"/>
                <w:szCs w:val="18"/>
              </w:rPr>
            </w:pPr>
            <w:r w:rsidRPr="00BC7BB5">
              <w:rPr>
                <w:rFonts w:ascii="Times New Roman" w:hAnsi="Times New Roman"/>
                <w:color w:val="000000" w:themeColor="text1"/>
                <w:sz w:val="18"/>
                <w:szCs w:val="18"/>
              </w:rPr>
              <w:t>Signature of the partnership agreement relating to projects for the collection, processing and/or recovery of waste from the olive sector</w:t>
            </w:r>
          </w:p>
        </w:tc>
        <w:tc>
          <w:tcPr>
            <w:tcW w:w="992" w:type="pct"/>
            <w:vMerge/>
            <w:tcBorders>
              <w:left w:val="single" w:sz="4" w:space="0" w:color="auto"/>
              <w:right w:val="single" w:sz="4" w:space="0" w:color="auto"/>
            </w:tcBorders>
          </w:tcPr>
          <w:p w14:paraId="01FCA64E" w14:textId="77777777" w:rsidR="003B5755" w:rsidRPr="00BC7BB5" w:rsidRDefault="003B5755" w:rsidP="003B5755">
            <w:pPr>
              <w:spacing w:line="276" w:lineRule="auto"/>
              <w:rPr>
                <w:rFonts w:ascii="Times New Roman" w:hAnsi="Times New Roman"/>
                <w:sz w:val="18"/>
                <w:szCs w:val="18"/>
              </w:rPr>
            </w:pPr>
          </w:p>
        </w:tc>
        <w:tc>
          <w:tcPr>
            <w:tcW w:w="660" w:type="pct"/>
            <w:tcBorders>
              <w:left w:val="single" w:sz="4" w:space="0" w:color="auto"/>
              <w:right w:val="single" w:sz="4" w:space="0" w:color="auto"/>
            </w:tcBorders>
          </w:tcPr>
          <w:p w14:paraId="5484B75B" w14:textId="77777777" w:rsidR="003B5755" w:rsidRPr="00BC7BB5" w:rsidRDefault="003B5755" w:rsidP="003B5755">
            <w:pPr>
              <w:spacing w:line="276" w:lineRule="auto"/>
              <w:rPr>
                <w:rFonts w:ascii="Times New Roman" w:hAnsi="Times New Roman"/>
                <w:sz w:val="18"/>
                <w:szCs w:val="18"/>
              </w:rPr>
            </w:pPr>
            <w:r w:rsidRPr="00BC7BB5">
              <w:rPr>
                <w:rFonts w:ascii="Times New Roman" w:hAnsi="Times New Roman"/>
                <w:sz w:val="18"/>
                <w:szCs w:val="18"/>
              </w:rPr>
              <w:t>Before the end of the 2</w:t>
            </w:r>
            <w:r w:rsidRPr="00BC7BB5">
              <w:rPr>
                <w:rFonts w:ascii="Times New Roman" w:hAnsi="Times New Roman"/>
                <w:sz w:val="18"/>
                <w:szCs w:val="18"/>
                <w:vertAlign w:val="superscript"/>
              </w:rPr>
              <w:t>nd</w:t>
            </w:r>
            <w:r w:rsidRPr="00BC7BB5">
              <w:rPr>
                <w:rFonts w:ascii="Times New Roman" w:hAnsi="Times New Roman"/>
                <w:sz w:val="18"/>
                <w:szCs w:val="18"/>
              </w:rPr>
              <w:t xml:space="preserve"> year</w:t>
            </w:r>
          </w:p>
        </w:tc>
        <w:tc>
          <w:tcPr>
            <w:tcW w:w="833" w:type="pct"/>
            <w:tcBorders>
              <w:left w:val="single" w:sz="4" w:space="0" w:color="auto"/>
              <w:right w:val="single" w:sz="4" w:space="0" w:color="auto"/>
            </w:tcBorders>
          </w:tcPr>
          <w:p w14:paraId="027B00AC" w14:textId="77777777" w:rsidR="003B5755" w:rsidRPr="00BC7BB5" w:rsidRDefault="003B5755" w:rsidP="003B5755">
            <w:pPr>
              <w:spacing w:line="276" w:lineRule="auto"/>
              <w:rPr>
                <w:rFonts w:ascii="Times New Roman" w:hAnsi="Times New Roman"/>
                <w:sz w:val="18"/>
                <w:szCs w:val="18"/>
              </w:rPr>
            </w:pPr>
            <w:r w:rsidRPr="00BC7BB5">
              <w:rPr>
                <w:rFonts w:ascii="Times New Roman" w:hAnsi="Times New Roman"/>
                <w:sz w:val="18"/>
                <w:szCs w:val="18"/>
              </w:rPr>
              <w:t>Agreement signed</w:t>
            </w:r>
          </w:p>
        </w:tc>
      </w:tr>
      <w:tr w:rsidR="003B5755" w:rsidRPr="00BC7BB5" w14:paraId="27C18B2E" w14:textId="77777777" w:rsidTr="003B5755">
        <w:tblPrEx>
          <w:jc w:val="center"/>
        </w:tblPrEx>
        <w:trPr>
          <w:trHeight w:val="448"/>
          <w:jc w:val="center"/>
        </w:trPr>
        <w:tc>
          <w:tcPr>
            <w:tcW w:w="917" w:type="pct"/>
            <w:vMerge/>
            <w:tcBorders>
              <w:left w:val="single" w:sz="4" w:space="0" w:color="auto"/>
              <w:right w:val="single" w:sz="4" w:space="0" w:color="auto"/>
            </w:tcBorders>
            <w:vAlign w:val="center"/>
          </w:tcPr>
          <w:p w14:paraId="6DA0DBF7" w14:textId="77777777" w:rsidR="003B5755" w:rsidRPr="00BC7BB5" w:rsidRDefault="003B5755" w:rsidP="003B5755">
            <w:pPr>
              <w:spacing w:line="276" w:lineRule="auto"/>
              <w:rPr>
                <w:rFonts w:ascii="Times New Roman" w:eastAsia="ヒラギノ角ゴ Pro W3" w:hAnsi="Times New Roman"/>
                <w:color w:val="000000"/>
                <w:sz w:val="18"/>
                <w:szCs w:val="18"/>
              </w:rPr>
            </w:pPr>
          </w:p>
        </w:tc>
        <w:tc>
          <w:tcPr>
            <w:tcW w:w="1598" w:type="pct"/>
            <w:tcBorders>
              <w:top w:val="single" w:sz="4" w:space="0" w:color="auto"/>
              <w:left w:val="single" w:sz="4" w:space="0" w:color="auto"/>
              <w:bottom w:val="single" w:sz="4" w:space="0" w:color="auto"/>
              <w:right w:val="single" w:sz="4" w:space="0" w:color="auto"/>
            </w:tcBorders>
          </w:tcPr>
          <w:p w14:paraId="4F237E41" w14:textId="77777777" w:rsidR="003B5755" w:rsidRPr="00BC7BB5" w:rsidRDefault="003B5755" w:rsidP="003B5755">
            <w:pPr>
              <w:spacing w:line="276" w:lineRule="auto"/>
              <w:rPr>
                <w:rFonts w:ascii="Times New Roman" w:hAnsi="Times New Roman"/>
                <w:color w:val="000000" w:themeColor="text1"/>
                <w:sz w:val="18"/>
                <w:szCs w:val="18"/>
              </w:rPr>
            </w:pPr>
            <w:r w:rsidRPr="00BC7BB5">
              <w:rPr>
                <w:rFonts w:ascii="Times New Roman" w:hAnsi="Times New Roman"/>
                <w:color w:val="000000" w:themeColor="text1"/>
                <w:sz w:val="18"/>
                <w:szCs w:val="18"/>
              </w:rPr>
              <w:t xml:space="preserve">Exclusion of involuntary land acquisition under the Program, ensure prior land acquisitions complies with national regulations and Bank policy core principles </w:t>
            </w:r>
          </w:p>
        </w:tc>
        <w:tc>
          <w:tcPr>
            <w:tcW w:w="992" w:type="pct"/>
            <w:vMerge/>
            <w:tcBorders>
              <w:left w:val="single" w:sz="4" w:space="0" w:color="auto"/>
              <w:right w:val="single" w:sz="4" w:space="0" w:color="auto"/>
            </w:tcBorders>
          </w:tcPr>
          <w:p w14:paraId="1FAF5044" w14:textId="77777777" w:rsidR="003B5755" w:rsidRPr="00BC7BB5" w:rsidRDefault="003B5755" w:rsidP="003B5755">
            <w:pPr>
              <w:spacing w:line="276" w:lineRule="auto"/>
              <w:rPr>
                <w:rFonts w:ascii="Times New Roman" w:hAnsi="Times New Roman"/>
                <w:sz w:val="18"/>
                <w:szCs w:val="18"/>
              </w:rPr>
            </w:pPr>
          </w:p>
        </w:tc>
        <w:tc>
          <w:tcPr>
            <w:tcW w:w="660" w:type="pct"/>
            <w:tcBorders>
              <w:left w:val="single" w:sz="4" w:space="0" w:color="auto"/>
              <w:right w:val="single" w:sz="4" w:space="0" w:color="auto"/>
            </w:tcBorders>
          </w:tcPr>
          <w:p w14:paraId="23A71393" w14:textId="77777777" w:rsidR="003B5755" w:rsidRPr="00BC7BB5" w:rsidRDefault="003B5755" w:rsidP="003B5755">
            <w:pPr>
              <w:spacing w:line="276" w:lineRule="auto"/>
              <w:rPr>
                <w:rFonts w:ascii="Times New Roman" w:hAnsi="Times New Roman"/>
                <w:sz w:val="18"/>
                <w:szCs w:val="18"/>
              </w:rPr>
            </w:pPr>
            <w:r w:rsidRPr="00BC7BB5">
              <w:rPr>
                <w:rFonts w:ascii="Times New Roman" w:hAnsi="Times New Roman"/>
                <w:sz w:val="18"/>
                <w:szCs w:val="18"/>
              </w:rPr>
              <w:t xml:space="preserve">Before the start of works </w:t>
            </w:r>
          </w:p>
        </w:tc>
        <w:tc>
          <w:tcPr>
            <w:tcW w:w="833" w:type="pct"/>
            <w:tcBorders>
              <w:left w:val="single" w:sz="4" w:space="0" w:color="auto"/>
              <w:right w:val="single" w:sz="4" w:space="0" w:color="auto"/>
            </w:tcBorders>
          </w:tcPr>
          <w:p w14:paraId="5BA6C432" w14:textId="77777777" w:rsidR="003B5755" w:rsidRPr="00BC7BB5" w:rsidRDefault="003B5755" w:rsidP="003B5755">
            <w:pPr>
              <w:spacing w:line="276" w:lineRule="auto"/>
              <w:rPr>
                <w:rFonts w:ascii="Times New Roman" w:hAnsi="Times New Roman"/>
                <w:sz w:val="18"/>
                <w:szCs w:val="18"/>
              </w:rPr>
            </w:pPr>
            <w:r w:rsidRPr="00BC7BB5">
              <w:rPr>
                <w:rFonts w:ascii="Times New Roman" w:hAnsi="Times New Roman"/>
                <w:sz w:val="18"/>
                <w:szCs w:val="18"/>
              </w:rPr>
              <w:t>Impact assessment and action plan to implement any mitigation necessary</w:t>
            </w:r>
          </w:p>
        </w:tc>
      </w:tr>
      <w:tr w:rsidR="003B5755" w:rsidRPr="00BC7BB5" w14:paraId="0E1B42A6" w14:textId="77777777" w:rsidTr="003B5755">
        <w:tblPrEx>
          <w:jc w:val="center"/>
        </w:tblPrEx>
        <w:trPr>
          <w:trHeight w:val="448"/>
          <w:jc w:val="center"/>
        </w:trPr>
        <w:tc>
          <w:tcPr>
            <w:tcW w:w="917" w:type="pct"/>
            <w:vMerge/>
            <w:tcBorders>
              <w:left w:val="single" w:sz="4" w:space="0" w:color="auto"/>
              <w:right w:val="single" w:sz="4" w:space="0" w:color="auto"/>
            </w:tcBorders>
            <w:vAlign w:val="center"/>
          </w:tcPr>
          <w:p w14:paraId="47053575" w14:textId="77777777" w:rsidR="003B5755" w:rsidRPr="00BC7BB5" w:rsidRDefault="003B5755" w:rsidP="003B5755">
            <w:pPr>
              <w:spacing w:line="276" w:lineRule="auto"/>
              <w:rPr>
                <w:rFonts w:ascii="Times New Roman" w:eastAsia="ヒラギノ角ゴ Pro W3" w:hAnsi="Times New Roman"/>
                <w:color w:val="000000"/>
                <w:sz w:val="18"/>
                <w:szCs w:val="18"/>
              </w:rPr>
            </w:pPr>
          </w:p>
        </w:tc>
        <w:tc>
          <w:tcPr>
            <w:tcW w:w="1598" w:type="pct"/>
            <w:tcBorders>
              <w:top w:val="single" w:sz="4" w:space="0" w:color="auto"/>
              <w:left w:val="single" w:sz="4" w:space="0" w:color="auto"/>
              <w:bottom w:val="single" w:sz="4" w:space="0" w:color="auto"/>
              <w:right w:val="single" w:sz="4" w:space="0" w:color="auto"/>
            </w:tcBorders>
          </w:tcPr>
          <w:p w14:paraId="2DE0A9DD" w14:textId="414AED24" w:rsidR="003B5755" w:rsidRPr="00BC7BB5" w:rsidRDefault="003B5755" w:rsidP="003B5755">
            <w:pPr>
              <w:spacing w:line="276" w:lineRule="auto"/>
              <w:rPr>
                <w:rFonts w:ascii="Times New Roman" w:hAnsi="Times New Roman"/>
                <w:color w:val="000000" w:themeColor="text1"/>
                <w:sz w:val="18"/>
                <w:szCs w:val="18"/>
              </w:rPr>
            </w:pPr>
            <w:r w:rsidRPr="00BC7BB5">
              <w:rPr>
                <w:rFonts w:ascii="Times New Roman" w:hAnsi="Times New Roman"/>
                <w:color w:val="000000" w:themeColor="text1"/>
                <w:sz w:val="18"/>
                <w:szCs w:val="18"/>
              </w:rPr>
              <w:t xml:space="preserve">Improvement in targeted agricultural production and processing sectors regarding compliance with existing </w:t>
            </w:r>
            <w:r w:rsidR="00554BF1">
              <w:rPr>
                <w:rFonts w:ascii="Times New Roman" w:hAnsi="Times New Roman"/>
                <w:color w:val="000000" w:themeColor="text1"/>
                <w:sz w:val="18"/>
                <w:szCs w:val="18"/>
              </w:rPr>
              <w:t xml:space="preserve">environmental and </w:t>
            </w:r>
            <w:r w:rsidRPr="00BC7BB5">
              <w:rPr>
                <w:rFonts w:ascii="Times New Roman" w:hAnsi="Times New Roman"/>
                <w:color w:val="000000" w:themeColor="text1"/>
                <w:sz w:val="18"/>
                <w:szCs w:val="18"/>
              </w:rPr>
              <w:t>labor laws and regulations, including child labor and social security</w:t>
            </w:r>
          </w:p>
        </w:tc>
        <w:tc>
          <w:tcPr>
            <w:tcW w:w="992" w:type="pct"/>
            <w:vMerge/>
            <w:tcBorders>
              <w:left w:val="single" w:sz="4" w:space="0" w:color="auto"/>
              <w:right w:val="single" w:sz="4" w:space="0" w:color="auto"/>
            </w:tcBorders>
          </w:tcPr>
          <w:p w14:paraId="1EE14D64" w14:textId="77777777" w:rsidR="003B5755" w:rsidRPr="00BC7BB5" w:rsidRDefault="003B5755" w:rsidP="003B5755">
            <w:pPr>
              <w:spacing w:line="276" w:lineRule="auto"/>
              <w:rPr>
                <w:rFonts w:ascii="Times New Roman" w:hAnsi="Times New Roman"/>
                <w:sz w:val="18"/>
                <w:szCs w:val="18"/>
              </w:rPr>
            </w:pPr>
          </w:p>
        </w:tc>
        <w:tc>
          <w:tcPr>
            <w:tcW w:w="660" w:type="pct"/>
            <w:tcBorders>
              <w:left w:val="single" w:sz="4" w:space="0" w:color="auto"/>
              <w:right w:val="single" w:sz="4" w:space="0" w:color="auto"/>
            </w:tcBorders>
          </w:tcPr>
          <w:p w14:paraId="4462C175" w14:textId="77777777" w:rsidR="003B5755" w:rsidRPr="00BC7BB5" w:rsidRDefault="003B5755" w:rsidP="003B5755">
            <w:pPr>
              <w:spacing w:line="276" w:lineRule="auto"/>
              <w:rPr>
                <w:rFonts w:ascii="Times New Roman" w:hAnsi="Times New Roman"/>
                <w:sz w:val="18"/>
                <w:szCs w:val="18"/>
              </w:rPr>
            </w:pPr>
            <w:r w:rsidRPr="00BC7BB5">
              <w:rPr>
                <w:rFonts w:ascii="Times New Roman" w:hAnsi="Times New Roman"/>
                <w:sz w:val="18"/>
                <w:szCs w:val="18"/>
              </w:rPr>
              <w:t>First year</w:t>
            </w:r>
          </w:p>
        </w:tc>
        <w:tc>
          <w:tcPr>
            <w:tcW w:w="833" w:type="pct"/>
            <w:tcBorders>
              <w:left w:val="single" w:sz="4" w:space="0" w:color="auto"/>
              <w:right w:val="single" w:sz="4" w:space="0" w:color="auto"/>
            </w:tcBorders>
          </w:tcPr>
          <w:p w14:paraId="1BA46DF6" w14:textId="77777777" w:rsidR="003B5755" w:rsidRPr="00BC7BB5" w:rsidRDefault="003B5755" w:rsidP="003B5755">
            <w:pPr>
              <w:spacing w:line="276" w:lineRule="auto"/>
              <w:rPr>
                <w:rFonts w:ascii="Times New Roman" w:hAnsi="Times New Roman"/>
                <w:sz w:val="18"/>
                <w:szCs w:val="18"/>
              </w:rPr>
            </w:pPr>
            <w:r w:rsidRPr="00BC7BB5">
              <w:rPr>
                <w:rFonts w:ascii="Times New Roman" w:hAnsi="Times New Roman"/>
                <w:sz w:val="18"/>
                <w:szCs w:val="18"/>
              </w:rPr>
              <w:t>Interprofessions will set up awareness-raising campaigns on these subjects.</w:t>
            </w:r>
          </w:p>
        </w:tc>
      </w:tr>
      <w:tr w:rsidR="003B5755" w:rsidRPr="00BC7BB5" w14:paraId="0DCC7B5C" w14:textId="77777777" w:rsidTr="003B5755">
        <w:tblPrEx>
          <w:jc w:val="center"/>
        </w:tblPrEx>
        <w:trPr>
          <w:trHeight w:val="448"/>
          <w:jc w:val="center"/>
        </w:trPr>
        <w:tc>
          <w:tcPr>
            <w:tcW w:w="917" w:type="pct"/>
            <w:vMerge/>
            <w:tcBorders>
              <w:left w:val="single" w:sz="4" w:space="0" w:color="auto"/>
              <w:right w:val="single" w:sz="4" w:space="0" w:color="auto"/>
            </w:tcBorders>
            <w:vAlign w:val="center"/>
          </w:tcPr>
          <w:p w14:paraId="46D88A55" w14:textId="77777777" w:rsidR="003B5755" w:rsidRPr="00BC7BB5" w:rsidRDefault="003B5755" w:rsidP="003B5755">
            <w:pPr>
              <w:spacing w:line="276" w:lineRule="auto"/>
              <w:rPr>
                <w:rFonts w:ascii="Times New Roman" w:eastAsia="ヒラギノ角ゴ Pro W3" w:hAnsi="Times New Roman"/>
                <w:color w:val="000000"/>
                <w:sz w:val="18"/>
                <w:szCs w:val="18"/>
              </w:rPr>
            </w:pPr>
          </w:p>
        </w:tc>
        <w:tc>
          <w:tcPr>
            <w:tcW w:w="1598" w:type="pct"/>
            <w:tcBorders>
              <w:top w:val="single" w:sz="4" w:space="0" w:color="auto"/>
              <w:left w:val="single" w:sz="4" w:space="0" w:color="auto"/>
              <w:bottom w:val="single" w:sz="4" w:space="0" w:color="auto"/>
              <w:right w:val="single" w:sz="4" w:space="0" w:color="auto"/>
            </w:tcBorders>
          </w:tcPr>
          <w:p w14:paraId="7C3FC946" w14:textId="30CC3716" w:rsidR="003B5755" w:rsidRPr="00BC7BB5" w:rsidRDefault="003B5755" w:rsidP="003B5755">
            <w:pPr>
              <w:spacing w:line="276" w:lineRule="auto"/>
              <w:rPr>
                <w:rFonts w:ascii="Times New Roman" w:hAnsi="Times New Roman"/>
                <w:color w:val="000000" w:themeColor="text1"/>
                <w:sz w:val="18"/>
                <w:szCs w:val="18"/>
              </w:rPr>
            </w:pPr>
            <w:r w:rsidRPr="00BC7BB5">
              <w:rPr>
                <w:rFonts w:ascii="Times New Roman" w:hAnsi="Times New Roman"/>
                <w:color w:val="000000" w:themeColor="text1"/>
                <w:sz w:val="18"/>
                <w:szCs w:val="18"/>
              </w:rPr>
              <w:t xml:space="preserve">Consultations with stakeholders on the issue of the wholesale markets to be transferred, in order to </w:t>
            </w:r>
            <w:r w:rsidR="00B45EAA">
              <w:rPr>
                <w:rFonts w:ascii="Times New Roman" w:hAnsi="Times New Roman"/>
                <w:color w:val="000000" w:themeColor="text1"/>
                <w:sz w:val="18"/>
                <w:szCs w:val="18"/>
              </w:rPr>
              <w:t xml:space="preserve">ensure social </w:t>
            </w:r>
            <w:r w:rsidR="00B45EAA">
              <w:rPr>
                <w:rFonts w:ascii="Times New Roman" w:hAnsi="Times New Roman"/>
                <w:color w:val="000000" w:themeColor="text1"/>
                <w:sz w:val="18"/>
                <w:szCs w:val="18"/>
              </w:rPr>
              <w:lastRenderedPageBreak/>
              <w:t>sustainability through a</w:t>
            </w:r>
            <w:r w:rsidRPr="00BC7BB5">
              <w:rPr>
                <w:rFonts w:ascii="Times New Roman" w:hAnsi="Times New Roman"/>
                <w:color w:val="000000" w:themeColor="text1"/>
                <w:sz w:val="18"/>
                <w:szCs w:val="18"/>
              </w:rPr>
              <w:t xml:space="preserve"> social </w:t>
            </w:r>
            <w:r w:rsidR="00220D55">
              <w:rPr>
                <w:rFonts w:ascii="Times New Roman" w:hAnsi="Times New Roman"/>
                <w:color w:val="000000" w:themeColor="text1"/>
                <w:sz w:val="18"/>
                <w:szCs w:val="18"/>
              </w:rPr>
              <w:t xml:space="preserve">action </w:t>
            </w:r>
            <w:r w:rsidRPr="00BC7BB5">
              <w:rPr>
                <w:rFonts w:ascii="Times New Roman" w:hAnsi="Times New Roman"/>
                <w:color w:val="000000" w:themeColor="text1"/>
                <w:sz w:val="18"/>
                <w:szCs w:val="18"/>
              </w:rPr>
              <w:t xml:space="preserve">plan </w:t>
            </w:r>
          </w:p>
        </w:tc>
        <w:tc>
          <w:tcPr>
            <w:tcW w:w="992" w:type="pct"/>
            <w:vMerge/>
            <w:tcBorders>
              <w:left w:val="single" w:sz="4" w:space="0" w:color="auto"/>
              <w:right w:val="single" w:sz="4" w:space="0" w:color="auto"/>
            </w:tcBorders>
          </w:tcPr>
          <w:p w14:paraId="36197FEF" w14:textId="77777777" w:rsidR="003B5755" w:rsidRPr="00BC7BB5" w:rsidRDefault="003B5755" w:rsidP="003B5755">
            <w:pPr>
              <w:spacing w:line="276" w:lineRule="auto"/>
              <w:rPr>
                <w:rFonts w:ascii="Times New Roman" w:hAnsi="Times New Roman"/>
                <w:sz w:val="18"/>
                <w:szCs w:val="18"/>
              </w:rPr>
            </w:pPr>
          </w:p>
        </w:tc>
        <w:tc>
          <w:tcPr>
            <w:tcW w:w="660" w:type="pct"/>
            <w:tcBorders>
              <w:left w:val="single" w:sz="4" w:space="0" w:color="auto"/>
              <w:right w:val="single" w:sz="4" w:space="0" w:color="auto"/>
            </w:tcBorders>
          </w:tcPr>
          <w:p w14:paraId="0B4DD742" w14:textId="77777777" w:rsidR="003B5755" w:rsidRPr="00BC7BB5" w:rsidRDefault="003B5755" w:rsidP="003B5755">
            <w:pPr>
              <w:spacing w:line="276" w:lineRule="auto"/>
              <w:rPr>
                <w:rFonts w:ascii="Times New Roman" w:hAnsi="Times New Roman"/>
                <w:sz w:val="18"/>
                <w:szCs w:val="18"/>
              </w:rPr>
            </w:pPr>
            <w:r w:rsidRPr="00BC7BB5">
              <w:rPr>
                <w:rFonts w:ascii="Times New Roman" w:hAnsi="Times New Roman"/>
                <w:sz w:val="18"/>
                <w:szCs w:val="18"/>
              </w:rPr>
              <w:t>First year</w:t>
            </w:r>
          </w:p>
        </w:tc>
        <w:tc>
          <w:tcPr>
            <w:tcW w:w="833" w:type="pct"/>
            <w:tcBorders>
              <w:left w:val="single" w:sz="4" w:space="0" w:color="auto"/>
              <w:right w:val="single" w:sz="4" w:space="0" w:color="auto"/>
            </w:tcBorders>
          </w:tcPr>
          <w:p w14:paraId="4447B3E0" w14:textId="77777777" w:rsidR="003B5755" w:rsidRPr="00BC7BB5" w:rsidRDefault="003B5755" w:rsidP="003B5755">
            <w:pPr>
              <w:spacing w:line="276" w:lineRule="auto"/>
              <w:rPr>
                <w:rFonts w:ascii="Times New Roman" w:hAnsi="Times New Roman"/>
                <w:sz w:val="18"/>
                <w:szCs w:val="18"/>
              </w:rPr>
            </w:pPr>
            <w:r w:rsidRPr="00BC7BB5">
              <w:rPr>
                <w:rFonts w:ascii="Times New Roman" w:hAnsi="Times New Roman"/>
                <w:sz w:val="18"/>
                <w:szCs w:val="18"/>
              </w:rPr>
              <w:t xml:space="preserve">Social plan for stakeholders </w:t>
            </w:r>
          </w:p>
        </w:tc>
      </w:tr>
      <w:tr w:rsidR="003B5755" w:rsidRPr="00BC7BB5" w14:paraId="65A02C8D" w14:textId="77777777" w:rsidTr="003B5755">
        <w:tblPrEx>
          <w:jc w:val="center"/>
        </w:tblPrEx>
        <w:trPr>
          <w:trHeight w:val="695"/>
          <w:jc w:val="center"/>
        </w:trPr>
        <w:tc>
          <w:tcPr>
            <w:tcW w:w="917" w:type="pct"/>
            <w:vMerge/>
            <w:tcBorders>
              <w:left w:val="single" w:sz="4" w:space="0" w:color="auto"/>
              <w:right w:val="single" w:sz="4" w:space="0" w:color="auto"/>
            </w:tcBorders>
          </w:tcPr>
          <w:p w14:paraId="78A529DF" w14:textId="77777777" w:rsidR="003B5755" w:rsidRPr="00BC7BB5" w:rsidRDefault="003B5755" w:rsidP="003B5755">
            <w:pPr>
              <w:spacing w:line="276" w:lineRule="auto"/>
              <w:rPr>
                <w:rFonts w:ascii="Times New Roman" w:eastAsia="ヒラギノ角ゴ Pro W3" w:hAnsi="Times New Roman"/>
                <w:color w:val="000000"/>
                <w:sz w:val="18"/>
                <w:szCs w:val="18"/>
              </w:rPr>
            </w:pPr>
          </w:p>
        </w:tc>
        <w:tc>
          <w:tcPr>
            <w:tcW w:w="1598" w:type="pct"/>
            <w:tcBorders>
              <w:top w:val="single" w:sz="4" w:space="0" w:color="auto"/>
              <w:left w:val="single" w:sz="4" w:space="0" w:color="auto"/>
              <w:bottom w:val="single" w:sz="4" w:space="0" w:color="auto"/>
              <w:right w:val="single" w:sz="4" w:space="0" w:color="auto"/>
            </w:tcBorders>
          </w:tcPr>
          <w:p w14:paraId="73444BB7" w14:textId="77777777" w:rsidR="003B5755" w:rsidRPr="00BC7BB5" w:rsidRDefault="003B5755" w:rsidP="003B5755">
            <w:pPr>
              <w:spacing w:line="276" w:lineRule="auto"/>
              <w:rPr>
                <w:rFonts w:ascii="Times New Roman" w:hAnsi="Times New Roman"/>
                <w:color w:val="000000" w:themeColor="text1"/>
                <w:sz w:val="18"/>
                <w:szCs w:val="18"/>
              </w:rPr>
            </w:pPr>
            <w:r w:rsidRPr="00BC7BB5">
              <w:rPr>
                <w:rFonts w:ascii="Times New Roman" w:hAnsi="Times New Roman"/>
                <w:color w:val="000000" w:themeColor="text1"/>
                <w:sz w:val="18"/>
                <w:szCs w:val="18"/>
              </w:rPr>
              <w:t>Decree on regulating the spreading of residues from olive mills on agricultural land</w:t>
            </w:r>
          </w:p>
        </w:tc>
        <w:tc>
          <w:tcPr>
            <w:tcW w:w="992" w:type="pct"/>
            <w:vMerge/>
            <w:tcBorders>
              <w:left w:val="single" w:sz="4" w:space="0" w:color="auto"/>
              <w:right w:val="single" w:sz="4" w:space="0" w:color="auto"/>
            </w:tcBorders>
          </w:tcPr>
          <w:p w14:paraId="1E19A77D" w14:textId="77777777" w:rsidR="003B5755" w:rsidRPr="00BC7BB5" w:rsidRDefault="003B5755" w:rsidP="003B5755">
            <w:pPr>
              <w:spacing w:line="276" w:lineRule="auto"/>
              <w:rPr>
                <w:rFonts w:ascii="Times New Roman" w:hAnsi="Times New Roman"/>
                <w:sz w:val="18"/>
                <w:szCs w:val="18"/>
              </w:rPr>
            </w:pPr>
          </w:p>
        </w:tc>
        <w:tc>
          <w:tcPr>
            <w:tcW w:w="660" w:type="pct"/>
            <w:tcBorders>
              <w:left w:val="single" w:sz="4" w:space="0" w:color="auto"/>
              <w:right w:val="single" w:sz="4" w:space="0" w:color="auto"/>
            </w:tcBorders>
          </w:tcPr>
          <w:p w14:paraId="593B3190" w14:textId="77777777" w:rsidR="003B5755" w:rsidRPr="00BC7BB5" w:rsidRDefault="003B5755" w:rsidP="003B5755">
            <w:pPr>
              <w:spacing w:line="276" w:lineRule="auto"/>
              <w:rPr>
                <w:rFonts w:ascii="Times New Roman" w:hAnsi="Times New Roman"/>
                <w:sz w:val="18"/>
                <w:szCs w:val="18"/>
              </w:rPr>
            </w:pPr>
            <w:r w:rsidRPr="00BC7BB5">
              <w:rPr>
                <w:rFonts w:ascii="Times New Roman" w:hAnsi="Times New Roman"/>
                <w:sz w:val="18"/>
                <w:szCs w:val="18"/>
              </w:rPr>
              <w:t>Before the end of the 2</w:t>
            </w:r>
            <w:r w:rsidRPr="00BC7BB5">
              <w:rPr>
                <w:rFonts w:ascii="Times New Roman" w:hAnsi="Times New Roman"/>
                <w:sz w:val="18"/>
                <w:szCs w:val="18"/>
                <w:vertAlign w:val="superscript"/>
              </w:rPr>
              <w:t>nd</w:t>
            </w:r>
            <w:r w:rsidRPr="00BC7BB5">
              <w:rPr>
                <w:rFonts w:ascii="Times New Roman" w:hAnsi="Times New Roman"/>
                <w:sz w:val="18"/>
                <w:szCs w:val="18"/>
              </w:rPr>
              <w:t xml:space="preserve"> year</w:t>
            </w:r>
          </w:p>
        </w:tc>
        <w:tc>
          <w:tcPr>
            <w:tcW w:w="833" w:type="pct"/>
            <w:tcBorders>
              <w:left w:val="single" w:sz="4" w:space="0" w:color="auto"/>
              <w:right w:val="single" w:sz="4" w:space="0" w:color="auto"/>
            </w:tcBorders>
          </w:tcPr>
          <w:p w14:paraId="4EE94245" w14:textId="77777777" w:rsidR="003B5755" w:rsidRPr="00BC7BB5" w:rsidRDefault="003B5755" w:rsidP="003B5755">
            <w:pPr>
              <w:spacing w:line="276" w:lineRule="auto"/>
              <w:rPr>
                <w:rFonts w:ascii="Times New Roman" w:hAnsi="Times New Roman"/>
                <w:sz w:val="18"/>
                <w:szCs w:val="18"/>
              </w:rPr>
            </w:pPr>
            <w:r w:rsidRPr="00BC7BB5">
              <w:rPr>
                <w:rFonts w:ascii="Times New Roman" w:hAnsi="Times New Roman"/>
                <w:sz w:val="18"/>
                <w:szCs w:val="18"/>
              </w:rPr>
              <w:t>Decree published in the Official Gazette</w:t>
            </w:r>
          </w:p>
        </w:tc>
      </w:tr>
      <w:tr w:rsidR="003B5755" w:rsidRPr="00BC7BB5" w14:paraId="79A71C2B" w14:textId="77777777" w:rsidTr="003B5755">
        <w:tblPrEx>
          <w:jc w:val="center"/>
        </w:tblPrEx>
        <w:trPr>
          <w:trHeight w:val="416"/>
          <w:jc w:val="center"/>
        </w:trPr>
        <w:tc>
          <w:tcPr>
            <w:tcW w:w="917" w:type="pct"/>
            <w:vMerge/>
            <w:tcBorders>
              <w:left w:val="single" w:sz="4" w:space="0" w:color="auto"/>
              <w:bottom w:val="single" w:sz="4" w:space="0" w:color="auto"/>
              <w:right w:val="single" w:sz="4" w:space="0" w:color="auto"/>
            </w:tcBorders>
          </w:tcPr>
          <w:p w14:paraId="4CDA151C" w14:textId="77777777" w:rsidR="003B5755" w:rsidRPr="00BC7BB5" w:rsidRDefault="003B5755" w:rsidP="003B5755">
            <w:pPr>
              <w:spacing w:line="276" w:lineRule="auto"/>
              <w:rPr>
                <w:rFonts w:ascii="Times New Roman" w:eastAsia="ヒラギノ角ゴ Pro W3" w:hAnsi="Times New Roman"/>
                <w:color w:val="000000"/>
                <w:sz w:val="18"/>
                <w:szCs w:val="18"/>
              </w:rPr>
            </w:pPr>
          </w:p>
        </w:tc>
        <w:tc>
          <w:tcPr>
            <w:tcW w:w="1598" w:type="pct"/>
            <w:tcBorders>
              <w:top w:val="single" w:sz="4" w:space="0" w:color="auto"/>
              <w:left w:val="single" w:sz="4" w:space="0" w:color="auto"/>
              <w:bottom w:val="single" w:sz="4" w:space="0" w:color="auto"/>
              <w:right w:val="single" w:sz="4" w:space="0" w:color="auto"/>
            </w:tcBorders>
          </w:tcPr>
          <w:p w14:paraId="65689E9F" w14:textId="77777777" w:rsidR="003B5755" w:rsidRPr="00BC7BB5" w:rsidRDefault="003B5755" w:rsidP="003B5755">
            <w:pPr>
              <w:spacing w:line="276" w:lineRule="auto"/>
              <w:rPr>
                <w:rFonts w:ascii="Times New Roman" w:hAnsi="Times New Roman"/>
                <w:color w:val="000000" w:themeColor="text1"/>
                <w:sz w:val="18"/>
                <w:szCs w:val="18"/>
              </w:rPr>
            </w:pPr>
            <w:r w:rsidRPr="00BC7BB5">
              <w:rPr>
                <w:rFonts w:ascii="Times New Roman" w:hAnsi="Times New Roman"/>
                <w:color w:val="000000" w:themeColor="text1"/>
                <w:sz w:val="18"/>
                <w:szCs w:val="18"/>
              </w:rPr>
              <w:t>Joint decree setting out the conditions and modalities for spreading the residues from olive mills on agricultural land</w:t>
            </w:r>
          </w:p>
        </w:tc>
        <w:tc>
          <w:tcPr>
            <w:tcW w:w="992" w:type="pct"/>
            <w:vMerge/>
            <w:tcBorders>
              <w:left w:val="single" w:sz="4" w:space="0" w:color="auto"/>
              <w:bottom w:val="single" w:sz="4" w:space="0" w:color="auto"/>
              <w:right w:val="single" w:sz="4" w:space="0" w:color="auto"/>
            </w:tcBorders>
          </w:tcPr>
          <w:p w14:paraId="799A3697" w14:textId="77777777" w:rsidR="003B5755" w:rsidRPr="00BC7BB5" w:rsidRDefault="003B5755" w:rsidP="003B5755">
            <w:pPr>
              <w:spacing w:line="276" w:lineRule="auto"/>
              <w:rPr>
                <w:rFonts w:ascii="Times New Roman" w:hAnsi="Times New Roman"/>
                <w:sz w:val="18"/>
                <w:szCs w:val="18"/>
              </w:rPr>
            </w:pPr>
          </w:p>
        </w:tc>
        <w:tc>
          <w:tcPr>
            <w:tcW w:w="660" w:type="pct"/>
            <w:tcBorders>
              <w:left w:val="single" w:sz="4" w:space="0" w:color="auto"/>
              <w:bottom w:val="single" w:sz="4" w:space="0" w:color="auto"/>
              <w:right w:val="single" w:sz="4" w:space="0" w:color="auto"/>
            </w:tcBorders>
          </w:tcPr>
          <w:p w14:paraId="2C2D3039" w14:textId="77777777" w:rsidR="003B5755" w:rsidRPr="00BC7BB5" w:rsidRDefault="003B5755" w:rsidP="003B5755">
            <w:pPr>
              <w:spacing w:line="276" w:lineRule="auto"/>
              <w:rPr>
                <w:rFonts w:ascii="Times New Roman" w:hAnsi="Times New Roman"/>
                <w:sz w:val="18"/>
                <w:szCs w:val="18"/>
              </w:rPr>
            </w:pPr>
            <w:r w:rsidRPr="00BC7BB5">
              <w:rPr>
                <w:rFonts w:ascii="Times New Roman" w:hAnsi="Times New Roman"/>
                <w:sz w:val="18"/>
                <w:szCs w:val="18"/>
              </w:rPr>
              <w:t>Before the end of the 3</w:t>
            </w:r>
            <w:r w:rsidRPr="00BC7BB5">
              <w:rPr>
                <w:rFonts w:ascii="Times New Roman" w:hAnsi="Times New Roman"/>
                <w:sz w:val="18"/>
                <w:szCs w:val="18"/>
                <w:vertAlign w:val="superscript"/>
              </w:rPr>
              <w:t>rd</w:t>
            </w:r>
            <w:r w:rsidRPr="00BC7BB5">
              <w:rPr>
                <w:rFonts w:ascii="Times New Roman" w:hAnsi="Times New Roman"/>
                <w:sz w:val="18"/>
                <w:szCs w:val="18"/>
              </w:rPr>
              <w:t xml:space="preserve"> year</w:t>
            </w:r>
          </w:p>
        </w:tc>
        <w:tc>
          <w:tcPr>
            <w:tcW w:w="833" w:type="pct"/>
            <w:tcBorders>
              <w:left w:val="single" w:sz="4" w:space="0" w:color="auto"/>
              <w:bottom w:val="single" w:sz="4" w:space="0" w:color="auto"/>
              <w:right w:val="single" w:sz="4" w:space="0" w:color="auto"/>
            </w:tcBorders>
          </w:tcPr>
          <w:p w14:paraId="5C9FCDCD" w14:textId="77777777" w:rsidR="003B5755" w:rsidRPr="00BC7BB5" w:rsidRDefault="003B5755" w:rsidP="003B5755">
            <w:pPr>
              <w:spacing w:line="276" w:lineRule="auto"/>
              <w:rPr>
                <w:rFonts w:ascii="Times New Roman" w:hAnsi="Times New Roman"/>
                <w:sz w:val="18"/>
                <w:szCs w:val="18"/>
              </w:rPr>
            </w:pPr>
            <w:r w:rsidRPr="00BC7BB5">
              <w:rPr>
                <w:rFonts w:ascii="Times New Roman" w:hAnsi="Times New Roman"/>
                <w:sz w:val="18"/>
                <w:szCs w:val="18"/>
              </w:rPr>
              <w:t>Joint decree published</w:t>
            </w:r>
          </w:p>
        </w:tc>
      </w:tr>
    </w:tbl>
    <w:p w14:paraId="1AF090A3" w14:textId="77777777" w:rsidR="003B5755" w:rsidRPr="00BC7BB5" w:rsidRDefault="003B5755" w:rsidP="003B5755">
      <w:pPr>
        <w:rPr>
          <w:rFonts w:ascii="Times New Roman" w:hAnsi="Times New Roman" w:cs="Times New Roman"/>
          <w:sz w:val="18"/>
          <w:szCs w:val="18"/>
        </w:rPr>
      </w:pPr>
    </w:p>
    <w:p w14:paraId="53B2A3E6" w14:textId="74921328" w:rsidR="008F697A" w:rsidRPr="00BC7BB5" w:rsidRDefault="008F697A" w:rsidP="00F561E8">
      <w:pPr>
        <w:pStyle w:val="ListParagraph"/>
        <w:numPr>
          <w:ilvl w:val="0"/>
          <w:numId w:val="24"/>
        </w:numPr>
        <w:spacing w:after="0" w:line="240" w:lineRule="auto"/>
        <w:ind w:left="0" w:firstLine="0"/>
        <w:jc w:val="both"/>
        <w:rPr>
          <w:rFonts w:ascii="Times New Roman" w:hAnsi="Times New Roman" w:cs="Times New Roman"/>
        </w:rPr>
      </w:pPr>
      <w:r w:rsidRPr="00BC7BB5">
        <w:rPr>
          <w:rFonts w:ascii="Times New Roman" w:hAnsi="Times New Roman" w:cs="Times New Roman"/>
        </w:rPr>
        <w:br w:type="page"/>
      </w:r>
    </w:p>
    <w:p w14:paraId="6F6E17A1" w14:textId="77777777" w:rsidR="005D30EF" w:rsidRPr="00BC7BB5" w:rsidRDefault="005D30EF" w:rsidP="005D30EF">
      <w:pPr>
        <w:pStyle w:val="ListParagraph"/>
        <w:ind w:left="0"/>
        <w:jc w:val="center"/>
        <w:outlineLvl w:val="0"/>
        <w:rPr>
          <w:rFonts w:ascii="Times New Roman" w:hAnsi="Times New Roman" w:cs="Times New Roman"/>
          <w:b/>
        </w:rPr>
      </w:pPr>
      <w:bookmarkStart w:id="33" w:name="_Toc499113417"/>
      <w:r w:rsidRPr="00BC7BB5">
        <w:rPr>
          <w:rFonts w:ascii="Times New Roman" w:hAnsi="Times New Roman" w:cs="Times New Roman"/>
          <w:b/>
        </w:rPr>
        <w:lastRenderedPageBreak/>
        <w:t>Annex 7: Systematic Operations Risk Rating (SORT)</w:t>
      </w:r>
      <w:bookmarkEnd w:id="33"/>
      <w:r w:rsidRPr="00BC7BB5">
        <w:rPr>
          <w:rFonts w:ascii="Times New Roman" w:hAnsi="Times New Roman" w:cs="Times New Roman"/>
          <w:b/>
        </w:rPr>
        <w:t xml:space="preserve"> </w:t>
      </w:r>
    </w:p>
    <w:p w14:paraId="6584A16E" w14:textId="77777777" w:rsidR="005D30EF" w:rsidRPr="00BC7BB5" w:rsidRDefault="005D30EF" w:rsidP="005D30EF">
      <w:pPr>
        <w:pStyle w:val="NoSpacing"/>
        <w:jc w:val="center"/>
        <w:rPr>
          <w:rFonts w:ascii="Times New Roman" w:hAnsi="Times New Roman" w:cs="Times New Roman"/>
          <w:b/>
          <w:szCs w:val="20"/>
        </w:rPr>
      </w:pPr>
    </w:p>
    <w:p w14:paraId="409B35DC" w14:textId="77777777" w:rsidR="005D30EF" w:rsidRPr="00BC7BB5" w:rsidRDefault="005D30EF" w:rsidP="00587AB1">
      <w:pPr>
        <w:pStyle w:val="NoSpacing"/>
        <w:rPr>
          <w:rFonts w:ascii="Times New Roman" w:hAnsi="Times New Roman" w:cs="Times New Roman"/>
          <w:b/>
          <w:sz w:val="20"/>
          <w:szCs w:val="20"/>
        </w:rPr>
      </w:pPr>
    </w:p>
    <w:tbl>
      <w:tblPr>
        <w:tblW w:w="9677"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50" w:type="dxa"/>
          <w:right w:w="50" w:type="dxa"/>
        </w:tblCellMar>
        <w:tblLook w:val="0000" w:firstRow="0" w:lastRow="0" w:firstColumn="0" w:lastColumn="0" w:noHBand="0" w:noVBand="0"/>
      </w:tblPr>
      <w:tblGrid>
        <w:gridCol w:w="6705"/>
        <w:gridCol w:w="2972"/>
      </w:tblGrid>
      <w:tr w:rsidR="003A108C" w:rsidRPr="00BC7BB5" w14:paraId="7F694C2F" w14:textId="77777777" w:rsidTr="007F1142">
        <w:trPr>
          <w:jc w:val="center"/>
        </w:trPr>
        <w:tc>
          <w:tcPr>
            <w:tcW w:w="6705"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7A4C98FC" w14:textId="77777777" w:rsidR="003A108C" w:rsidRPr="00BC7BB5" w:rsidRDefault="003A108C" w:rsidP="00C37270">
            <w:pPr>
              <w:spacing w:after="120"/>
              <w:rPr>
                <w:rFonts w:ascii="Times New Roman" w:hAnsi="Times New Roman" w:cs="Times New Roman"/>
                <w:b/>
                <w:bCs/>
              </w:rPr>
            </w:pPr>
            <w:r w:rsidRPr="00BC7BB5">
              <w:rPr>
                <w:rFonts w:ascii="Times New Roman" w:hAnsi="Times New Roman" w:cs="Times New Roman"/>
                <w:b/>
                <w:bCs/>
              </w:rPr>
              <w:t>Risk Category</w:t>
            </w:r>
          </w:p>
        </w:tc>
        <w:tc>
          <w:tcPr>
            <w:tcW w:w="2972" w:type="dxa"/>
          </w:tcPr>
          <w:p w14:paraId="6795F873" w14:textId="77777777" w:rsidR="003A108C" w:rsidRPr="00BC7BB5" w:rsidRDefault="003A108C" w:rsidP="00C37270">
            <w:pPr>
              <w:spacing w:after="120"/>
              <w:rPr>
                <w:rFonts w:ascii="Times New Roman" w:hAnsi="Times New Roman" w:cs="Times New Roman"/>
                <w:b/>
              </w:rPr>
            </w:pPr>
            <w:r w:rsidRPr="00BC7BB5">
              <w:rPr>
                <w:rFonts w:ascii="Times New Roman" w:hAnsi="Times New Roman" w:cs="Times New Roman"/>
                <w:b/>
              </w:rPr>
              <w:t>Rating (H, S, M, L)</w:t>
            </w:r>
          </w:p>
        </w:tc>
      </w:tr>
      <w:tr w:rsidR="003A108C" w:rsidRPr="00BC7BB5" w14:paraId="41BE2228" w14:textId="77777777" w:rsidTr="007F1142">
        <w:trPr>
          <w:jc w:val="center"/>
        </w:trPr>
        <w:tc>
          <w:tcPr>
            <w:tcW w:w="6705"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059CA34F" w14:textId="77777777" w:rsidR="003A108C" w:rsidRPr="00BC7BB5" w:rsidRDefault="003A108C" w:rsidP="00C37270">
            <w:pPr>
              <w:pStyle w:val="ListParagraph"/>
              <w:numPr>
                <w:ilvl w:val="0"/>
                <w:numId w:val="6"/>
              </w:numPr>
              <w:spacing w:after="120" w:line="240" w:lineRule="auto"/>
              <w:rPr>
                <w:rFonts w:ascii="Times New Roman" w:hAnsi="Times New Roman" w:cs="Times New Roman"/>
                <w:bCs/>
              </w:rPr>
            </w:pPr>
            <w:r w:rsidRPr="00BC7BB5">
              <w:rPr>
                <w:rFonts w:ascii="Times New Roman" w:hAnsi="Times New Roman" w:cs="Times New Roman"/>
                <w:bCs/>
              </w:rPr>
              <w:t>Political and Governance</w:t>
            </w:r>
          </w:p>
        </w:tc>
        <w:tc>
          <w:tcPr>
            <w:tcW w:w="2972" w:type="dxa"/>
          </w:tcPr>
          <w:p w14:paraId="6531C778" w14:textId="3695693B" w:rsidR="003A108C" w:rsidRPr="00BC7BB5" w:rsidRDefault="00353E01" w:rsidP="00C37270">
            <w:pPr>
              <w:spacing w:after="120"/>
              <w:rPr>
                <w:rFonts w:ascii="Times New Roman" w:hAnsi="Times New Roman" w:cs="Times New Roman"/>
              </w:rPr>
            </w:pPr>
            <w:r w:rsidRPr="00BC7BB5">
              <w:rPr>
                <w:rFonts w:ascii="Times New Roman" w:hAnsi="Times New Roman" w:cs="Times New Roman"/>
              </w:rPr>
              <w:t>M</w:t>
            </w:r>
          </w:p>
        </w:tc>
      </w:tr>
      <w:tr w:rsidR="003A108C" w:rsidRPr="00BC7BB5" w14:paraId="6392CA6E" w14:textId="77777777" w:rsidTr="007F1142">
        <w:trPr>
          <w:jc w:val="center"/>
        </w:trPr>
        <w:tc>
          <w:tcPr>
            <w:tcW w:w="6705"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36313106" w14:textId="77777777" w:rsidR="003A108C" w:rsidRPr="00BC7BB5" w:rsidRDefault="003A108C" w:rsidP="00C37270">
            <w:pPr>
              <w:pStyle w:val="ListParagraph"/>
              <w:numPr>
                <w:ilvl w:val="0"/>
                <w:numId w:val="6"/>
              </w:numPr>
              <w:spacing w:after="120" w:line="240" w:lineRule="auto"/>
              <w:rPr>
                <w:rFonts w:ascii="Times New Roman" w:hAnsi="Times New Roman" w:cs="Times New Roman"/>
                <w:bCs/>
              </w:rPr>
            </w:pPr>
            <w:r w:rsidRPr="00BC7BB5">
              <w:rPr>
                <w:rFonts w:ascii="Times New Roman" w:hAnsi="Times New Roman" w:cs="Times New Roman"/>
                <w:bCs/>
              </w:rPr>
              <w:t>Macroeconomic</w:t>
            </w:r>
          </w:p>
        </w:tc>
        <w:tc>
          <w:tcPr>
            <w:tcW w:w="2972" w:type="dxa"/>
          </w:tcPr>
          <w:p w14:paraId="18327A84" w14:textId="750717DB" w:rsidR="003A108C" w:rsidRPr="00BC7BB5" w:rsidRDefault="00353E01" w:rsidP="00C37270">
            <w:pPr>
              <w:spacing w:after="120"/>
              <w:rPr>
                <w:rFonts w:ascii="Times New Roman" w:hAnsi="Times New Roman" w:cs="Times New Roman"/>
              </w:rPr>
            </w:pPr>
            <w:r w:rsidRPr="00BC7BB5">
              <w:rPr>
                <w:rFonts w:ascii="Times New Roman" w:hAnsi="Times New Roman" w:cs="Times New Roman"/>
              </w:rPr>
              <w:t>M</w:t>
            </w:r>
          </w:p>
        </w:tc>
      </w:tr>
      <w:tr w:rsidR="003A108C" w:rsidRPr="00BC7BB5" w14:paraId="6E46A6A3" w14:textId="77777777" w:rsidTr="007F1142">
        <w:trPr>
          <w:jc w:val="center"/>
        </w:trPr>
        <w:tc>
          <w:tcPr>
            <w:tcW w:w="6705"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116CCBCF" w14:textId="77777777" w:rsidR="003A108C" w:rsidRPr="00BC7BB5" w:rsidRDefault="003A108C" w:rsidP="00C37270">
            <w:pPr>
              <w:pStyle w:val="ListParagraph"/>
              <w:numPr>
                <w:ilvl w:val="0"/>
                <w:numId w:val="6"/>
              </w:numPr>
              <w:spacing w:after="120" w:line="240" w:lineRule="auto"/>
              <w:rPr>
                <w:rFonts w:ascii="Times New Roman" w:hAnsi="Times New Roman" w:cs="Times New Roman"/>
                <w:bCs/>
              </w:rPr>
            </w:pPr>
            <w:r w:rsidRPr="00BC7BB5">
              <w:rPr>
                <w:rFonts w:ascii="Times New Roman" w:hAnsi="Times New Roman" w:cs="Times New Roman"/>
                <w:bCs/>
              </w:rPr>
              <w:t>Sector Strategies and Policies</w:t>
            </w:r>
          </w:p>
        </w:tc>
        <w:tc>
          <w:tcPr>
            <w:tcW w:w="2972" w:type="dxa"/>
          </w:tcPr>
          <w:p w14:paraId="15D3829E" w14:textId="70345736" w:rsidR="003A108C" w:rsidRPr="00BC7BB5" w:rsidRDefault="00C27FE9" w:rsidP="00C37270">
            <w:pPr>
              <w:spacing w:after="120"/>
              <w:rPr>
                <w:rFonts w:ascii="Times New Roman" w:hAnsi="Times New Roman" w:cs="Times New Roman"/>
              </w:rPr>
            </w:pPr>
            <w:r w:rsidRPr="00BC7BB5">
              <w:rPr>
                <w:rFonts w:ascii="Times New Roman" w:hAnsi="Times New Roman" w:cs="Times New Roman"/>
              </w:rPr>
              <w:t>L</w:t>
            </w:r>
          </w:p>
        </w:tc>
      </w:tr>
      <w:tr w:rsidR="003A108C" w:rsidRPr="00BC7BB5" w14:paraId="52FD51AE" w14:textId="77777777" w:rsidTr="007F1142">
        <w:trPr>
          <w:jc w:val="center"/>
        </w:trPr>
        <w:tc>
          <w:tcPr>
            <w:tcW w:w="6705"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2773A0BF" w14:textId="60A19E70" w:rsidR="003A108C" w:rsidRPr="00BC7BB5" w:rsidRDefault="003A108C" w:rsidP="00C37270">
            <w:pPr>
              <w:pStyle w:val="ListParagraph"/>
              <w:numPr>
                <w:ilvl w:val="0"/>
                <w:numId w:val="6"/>
              </w:numPr>
              <w:spacing w:after="120" w:line="240" w:lineRule="auto"/>
              <w:rPr>
                <w:rFonts w:ascii="Times New Roman" w:hAnsi="Times New Roman" w:cs="Times New Roman"/>
                <w:bCs/>
              </w:rPr>
            </w:pPr>
            <w:r w:rsidRPr="00BC7BB5">
              <w:rPr>
                <w:rFonts w:ascii="Times New Roman" w:hAnsi="Times New Roman" w:cs="Times New Roman"/>
                <w:bCs/>
              </w:rPr>
              <w:t>Technical Design of Program</w:t>
            </w:r>
          </w:p>
        </w:tc>
        <w:tc>
          <w:tcPr>
            <w:tcW w:w="2972" w:type="dxa"/>
          </w:tcPr>
          <w:p w14:paraId="19EA77A9" w14:textId="2B9C8D26" w:rsidR="003A108C" w:rsidRPr="00BC7BB5" w:rsidRDefault="009E6786" w:rsidP="00C37270">
            <w:pPr>
              <w:spacing w:after="120"/>
              <w:rPr>
                <w:rFonts w:ascii="Times New Roman" w:hAnsi="Times New Roman" w:cs="Times New Roman"/>
              </w:rPr>
            </w:pPr>
            <w:r w:rsidRPr="00BC7BB5">
              <w:rPr>
                <w:rFonts w:ascii="Times New Roman" w:hAnsi="Times New Roman" w:cs="Times New Roman"/>
              </w:rPr>
              <w:t>S</w:t>
            </w:r>
          </w:p>
        </w:tc>
      </w:tr>
      <w:tr w:rsidR="003A108C" w:rsidRPr="00BC7BB5" w14:paraId="4748D7BD" w14:textId="77777777" w:rsidTr="007F1142">
        <w:trPr>
          <w:jc w:val="center"/>
        </w:trPr>
        <w:tc>
          <w:tcPr>
            <w:tcW w:w="6705"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5B335E65" w14:textId="77777777" w:rsidR="003A108C" w:rsidRPr="00BC7BB5" w:rsidRDefault="003A108C" w:rsidP="00C37270">
            <w:pPr>
              <w:pStyle w:val="ListParagraph"/>
              <w:numPr>
                <w:ilvl w:val="0"/>
                <w:numId w:val="6"/>
              </w:numPr>
              <w:spacing w:after="120" w:line="240" w:lineRule="auto"/>
              <w:rPr>
                <w:rFonts w:ascii="Times New Roman" w:hAnsi="Times New Roman" w:cs="Times New Roman"/>
                <w:bCs/>
              </w:rPr>
            </w:pPr>
            <w:r w:rsidRPr="00BC7BB5">
              <w:rPr>
                <w:rFonts w:ascii="Times New Roman" w:hAnsi="Times New Roman" w:cs="Times New Roman"/>
                <w:bCs/>
              </w:rPr>
              <w:t>Institutional Capacity for Implementation and Sustainability</w:t>
            </w:r>
          </w:p>
        </w:tc>
        <w:tc>
          <w:tcPr>
            <w:tcW w:w="2972" w:type="dxa"/>
          </w:tcPr>
          <w:p w14:paraId="5CB92EE4" w14:textId="2FDFAE8B" w:rsidR="003A108C" w:rsidRPr="00BC7BB5" w:rsidRDefault="009E6786" w:rsidP="00C37270">
            <w:pPr>
              <w:spacing w:after="120"/>
              <w:rPr>
                <w:rFonts w:ascii="Times New Roman" w:hAnsi="Times New Roman" w:cs="Times New Roman"/>
              </w:rPr>
            </w:pPr>
            <w:r w:rsidRPr="00BC7BB5">
              <w:rPr>
                <w:rFonts w:ascii="Times New Roman" w:hAnsi="Times New Roman" w:cs="Times New Roman"/>
              </w:rPr>
              <w:t>S</w:t>
            </w:r>
          </w:p>
        </w:tc>
      </w:tr>
      <w:tr w:rsidR="003A108C" w:rsidRPr="00BC7BB5" w14:paraId="6B09079C" w14:textId="77777777" w:rsidTr="007F1142">
        <w:trPr>
          <w:jc w:val="center"/>
        </w:trPr>
        <w:tc>
          <w:tcPr>
            <w:tcW w:w="6705"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5089519D" w14:textId="77777777" w:rsidR="003A108C" w:rsidRPr="00BC7BB5" w:rsidRDefault="003A108C" w:rsidP="00C37270">
            <w:pPr>
              <w:pStyle w:val="ListParagraph"/>
              <w:numPr>
                <w:ilvl w:val="0"/>
                <w:numId w:val="6"/>
              </w:numPr>
              <w:spacing w:after="120" w:line="240" w:lineRule="auto"/>
              <w:rPr>
                <w:rFonts w:ascii="Times New Roman" w:hAnsi="Times New Roman" w:cs="Times New Roman"/>
                <w:bCs/>
              </w:rPr>
            </w:pPr>
            <w:r w:rsidRPr="00BC7BB5">
              <w:rPr>
                <w:rFonts w:ascii="Times New Roman" w:hAnsi="Times New Roman" w:cs="Times New Roman"/>
                <w:bCs/>
              </w:rPr>
              <w:t>Fiduciary</w:t>
            </w:r>
          </w:p>
        </w:tc>
        <w:tc>
          <w:tcPr>
            <w:tcW w:w="2972" w:type="dxa"/>
          </w:tcPr>
          <w:p w14:paraId="3F0CD9B7" w14:textId="69A10853" w:rsidR="003A108C" w:rsidRPr="00BC7BB5" w:rsidRDefault="00FF142A" w:rsidP="00C37270">
            <w:pPr>
              <w:spacing w:after="120"/>
              <w:rPr>
                <w:rFonts w:ascii="Times New Roman" w:hAnsi="Times New Roman" w:cs="Times New Roman"/>
              </w:rPr>
            </w:pPr>
            <w:r w:rsidRPr="00BC7BB5">
              <w:rPr>
                <w:rFonts w:ascii="Times New Roman" w:hAnsi="Times New Roman" w:cs="Times New Roman"/>
              </w:rPr>
              <w:t>S</w:t>
            </w:r>
          </w:p>
        </w:tc>
      </w:tr>
      <w:tr w:rsidR="003A108C" w:rsidRPr="00BC7BB5" w14:paraId="03E54EC0" w14:textId="77777777" w:rsidTr="007F1142">
        <w:trPr>
          <w:jc w:val="center"/>
        </w:trPr>
        <w:tc>
          <w:tcPr>
            <w:tcW w:w="6705"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5475EC79" w14:textId="77777777" w:rsidR="003A108C" w:rsidRPr="00BC7BB5" w:rsidRDefault="003A108C" w:rsidP="00C37270">
            <w:pPr>
              <w:pStyle w:val="ListParagraph"/>
              <w:numPr>
                <w:ilvl w:val="0"/>
                <w:numId w:val="6"/>
              </w:numPr>
              <w:spacing w:after="120" w:line="240" w:lineRule="auto"/>
              <w:rPr>
                <w:rFonts w:ascii="Times New Roman" w:hAnsi="Times New Roman" w:cs="Times New Roman"/>
                <w:bCs/>
              </w:rPr>
            </w:pPr>
            <w:r w:rsidRPr="00BC7BB5">
              <w:rPr>
                <w:rFonts w:ascii="Times New Roman" w:hAnsi="Times New Roman" w:cs="Times New Roman"/>
                <w:bCs/>
              </w:rPr>
              <w:t>Environment and Social</w:t>
            </w:r>
          </w:p>
        </w:tc>
        <w:tc>
          <w:tcPr>
            <w:tcW w:w="2972" w:type="dxa"/>
          </w:tcPr>
          <w:p w14:paraId="4AFDC116" w14:textId="64269087" w:rsidR="003A108C" w:rsidRPr="00BC7BB5" w:rsidRDefault="00287FB6" w:rsidP="00C37270">
            <w:pPr>
              <w:spacing w:after="120"/>
              <w:rPr>
                <w:rFonts w:ascii="Times New Roman" w:hAnsi="Times New Roman" w:cs="Times New Roman"/>
              </w:rPr>
            </w:pPr>
            <w:r w:rsidRPr="00BC7BB5">
              <w:rPr>
                <w:rFonts w:ascii="Times New Roman" w:hAnsi="Times New Roman" w:cs="Times New Roman"/>
              </w:rPr>
              <w:t>S</w:t>
            </w:r>
          </w:p>
        </w:tc>
      </w:tr>
      <w:tr w:rsidR="003A108C" w:rsidRPr="00BC7BB5" w14:paraId="23D2C201" w14:textId="77777777" w:rsidTr="007F1142">
        <w:trPr>
          <w:jc w:val="center"/>
        </w:trPr>
        <w:tc>
          <w:tcPr>
            <w:tcW w:w="6705"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0F0AC27E" w14:textId="77777777" w:rsidR="003A108C" w:rsidRPr="00BC7BB5" w:rsidRDefault="003A108C" w:rsidP="00C37270">
            <w:pPr>
              <w:pStyle w:val="ListParagraph"/>
              <w:numPr>
                <w:ilvl w:val="0"/>
                <w:numId w:val="6"/>
              </w:numPr>
              <w:spacing w:after="120" w:line="240" w:lineRule="auto"/>
              <w:rPr>
                <w:rFonts w:ascii="Times New Roman" w:hAnsi="Times New Roman" w:cs="Times New Roman"/>
                <w:bCs/>
              </w:rPr>
            </w:pPr>
            <w:r w:rsidRPr="00BC7BB5">
              <w:rPr>
                <w:rFonts w:ascii="Times New Roman" w:hAnsi="Times New Roman" w:cs="Times New Roman"/>
                <w:bCs/>
              </w:rPr>
              <w:t>Stakeholders</w:t>
            </w:r>
          </w:p>
        </w:tc>
        <w:tc>
          <w:tcPr>
            <w:tcW w:w="2972" w:type="dxa"/>
          </w:tcPr>
          <w:p w14:paraId="2AD40BBB" w14:textId="321275A1" w:rsidR="003A108C" w:rsidRPr="00BC7BB5" w:rsidRDefault="00FF142A" w:rsidP="00C37270">
            <w:pPr>
              <w:spacing w:after="120"/>
              <w:rPr>
                <w:rFonts w:ascii="Times New Roman" w:hAnsi="Times New Roman" w:cs="Times New Roman"/>
              </w:rPr>
            </w:pPr>
            <w:r w:rsidRPr="00BC7BB5">
              <w:rPr>
                <w:rFonts w:ascii="Times New Roman" w:hAnsi="Times New Roman" w:cs="Times New Roman"/>
              </w:rPr>
              <w:t>M</w:t>
            </w:r>
          </w:p>
        </w:tc>
      </w:tr>
      <w:tr w:rsidR="003A108C" w:rsidRPr="00BC7BB5" w14:paraId="3A0FF79B" w14:textId="77777777" w:rsidTr="007F1142">
        <w:trPr>
          <w:jc w:val="center"/>
        </w:trPr>
        <w:tc>
          <w:tcPr>
            <w:tcW w:w="6705"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67695543" w14:textId="77777777" w:rsidR="003A108C" w:rsidRPr="00BC7BB5" w:rsidRDefault="003A108C" w:rsidP="00C37270">
            <w:pPr>
              <w:pStyle w:val="ListParagraph"/>
              <w:numPr>
                <w:ilvl w:val="0"/>
                <w:numId w:val="6"/>
              </w:numPr>
              <w:spacing w:after="120" w:line="240" w:lineRule="auto"/>
              <w:rPr>
                <w:rFonts w:ascii="Times New Roman" w:hAnsi="Times New Roman" w:cs="Times New Roman"/>
                <w:bCs/>
              </w:rPr>
            </w:pPr>
            <w:r w:rsidRPr="00BC7BB5">
              <w:rPr>
                <w:rFonts w:ascii="Times New Roman" w:hAnsi="Times New Roman" w:cs="Times New Roman"/>
                <w:bCs/>
              </w:rPr>
              <w:t>Other</w:t>
            </w:r>
          </w:p>
        </w:tc>
        <w:tc>
          <w:tcPr>
            <w:tcW w:w="2972" w:type="dxa"/>
          </w:tcPr>
          <w:p w14:paraId="4EF8CE52" w14:textId="488146B3" w:rsidR="003A108C" w:rsidRPr="00BC7BB5" w:rsidRDefault="00854863" w:rsidP="00C37270">
            <w:pPr>
              <w:spacing w:after="120"/>
              <w:rPr>
                <w:rFonts w:ascii="Times New Roman" w:hAnsi="Times New Roman" w:cs="Times New Roman"/>
              </w:rPr>
            </w:pPr>
            <w:r w:rsidRPr="00BC7BB5">
              <w:rPr>
                <w:rFonts w:ascii="Times New Roman" w:hAnsi="Times New Roman" w:cs="Times New Roman"/>
              </w:rPr>
              <w:t>L</w:t>
            </w:r>
          </w:p>
        </w:tc>
      </w:tr>
      <w:tr w:rsidR="003A108C" w:rsidRPr="00BC7BB5" w14:paraId="66296E45" w14:textId="77777777" w:rsidTr="00C37270">
        <w:trPr>
          <w:trHeight w:val="408"/>
          <w:jc w:val="center"/>
        </w:trPr>
        <w:tc>
          <w:tcPr>
            <w:tcW w:w="6705"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119ACAA8" w14:textId="77777777" w:rsidR="003A108C" w:rsidRPr="00BC7BB5" w:rsidRDefault="003A108C" w:rsidP="00C37270">
            <w:pPr>
              <w:spacing w:after="120"/>
              <w:rPr>
                <w:rFonts w:ascii="Times New Roman" w:hAnsi="Times New Roman" w:cs="Times New Roman"/>
                <w:b/>
                <w:bCs/>
              </w:rPr>
            </w:pPr>
            <w:r w:rsidRPr="00BC7BB5">
              <w:rPr>
                <w:rFonts w:ascii="Times New Roman" w:hAnsi="Times New Roman" w:cs="Times New Roman"/>
                <w:b/>
                <w:bCs/>
              </w:rPr>
              <w:t>OVERALL</w:t>
            </w:r>
          </w:p>
        </w:tc>
        <w:tc>
          <w:tcPr>
            <w:tcW w:w="2972" w:type="dxa"/>
          </w:tcPr>
          <w:p w14:paraId="7A5D3E3C" w14:textId="6131EA0D" w:rsidR="003A108C" w:rsidRPr="00BC7BB5" w:rsidRDefault="00287FB6" w:rsidP="00C37270">
            <w:pPr>
              <w:spacing w:after="120"/>
              <w:rPr>
                <w:rFonts w:ascii="Times New Roman" w:hAnsi="Times New Roman" w:cs="Times New Roman"/>
                <w:b/>
              </w:rPr>
            </w:pPr>
            <w:r w:rsidRPr="00BC7BB5">
              <w:rPr>
                <w:rFonts w:ascii="Times New Roman" w:hAnsi="Times New Roman" w:cs="Times New Roman"/>
                <w:b/>
              </w:rPr>
              <w:t>S</w:t>
            </w:r>
          </w:p>
        </w:tc>
      </w:tr>
    </w:tbl>
    <w:p w14:paraId="6D8922B1" w14:textId="4CBC486E" w:rsidR="003A108C" w:rsidRPr="00BC7BB5" w:rsidRDefault="003A108C" w:rsidP="00587AB1">
      <w:pPr>
        <w:pStyle w:val="NoSpacing"/>
        <w:rPr>
          <w:rFonts w:ascii="Times New Roman" w:hAnsi="Times New Roman" w:cs="Times New Roman"/>
          <w:b/>
          <w:sz w:val="20"/>
          <w:szCs w:val="20"/>
        </w:rPr>
      </w:pPr>
    </w:p>
    <w:p w14:paraId="62BD55D3" w14:textId="77777777" w:rsidR="00534B90" w:rsidRDefault="00534B90" w:rsidP="00534B90">
      <w:pPr>
        <w:pStyle w:val="NoSpacing"/>
        <w:jc w:val="both"/>
        <w:rPr>
          <w:rFonts w:asciiTheme="majorBidi" w:hAnsiTheme="majorBidi" w:cstheme="majorBidi"/>
          <w:iCs/>
        </w:rPr>
        <w:sectPr w:rsidR="00534B90" w:rsidSect="001D1FDF">
          <w:pgSz w:w="12240" w:h="15840"/>
          <w:pgMar w:top="1440" w:right="1440" w:bottom="1440" w:left="1440" w:header="720" w:footer="720" w:gutter="0"/>
          <w:pgNumType w:chapStyle="1"/>
          <w:cols w:space="720"/>
          <w:titlePg/>
          <w:docGrid w:linePitch="360"/>
        </w:sectPr>
      </w:pPr>
    </w:p>
    <w:p w14:paraId="6B744AEC" w14:textId="59A25A3E" w:rsidR="00534B90" w:rsidRDefault="00534B90" w:rsidP="00534B90">
      <w:pPr>
        <w:pStyle w:val="NoSpacing"/>
        <w:jc w:val="both"/>
        <w:rPr>
          <w:rFonts w:asciiTheme="majorBidi" w:hAnsiTheme="majorBidi" w:cstheme="majorBidi"/>
          <w:iCs/>
        </w:rPr>
      </w:pPr>
      <w:r>
        <w:rPr>
          <w:rFonts w:asciiTheme="majorBidi" w:hAnsiTheme="majorBidi" w:cstheme="majorBidi"/>
          <w:iCs/>
        </w:rPr>
        <w:lastRenderedPageBreak/>
        <w:t xml:space="preserve"> </w:t>
      </w:r>
    </w:p>
    <w:p w14:paraId="53B2A45E" w14:textId="1AD4E8CB" w:rsidR="004D6C0B" w:rsidRPr="00BC7BB5" w:rsidRDefault="004D6C0B" w:rsidP="005D30EF">
      <w:pPr>
        <w:pStyle w:val="ListParagraph"/>
        <w:ind w:left="0"/>
        <w:jc w:val="center"/>
        <w:outlineLvl w:val="0"/>
        <w:rPr>
          <w:rFonts w:ascii="Times New Roman" w:hAnsi="Times New Roman" w:cs="Times New Roman"/>
          <w:b/>
        </w:rPr>
      </w:pPr>
      <w:bookmarkStart w:id="34" w:name="_Toc499113418"/>
      <w:r w:rsidRPr="00BC7BB5">
        <w:rPr>
          <w:rFonts w:ascii="Times New Roman" w:hAnsi="Times New Roman" w:cs="Times New Roman"/>
          <w:b/>
        </w:rPr>
        <w:t>Annex</w:t>
      </w:r>
      <w:r w:rsidR="00F62F5B" w:rsidRPr="00BC7BB5">
        <w:rPr>
          <w:rFonts w:ascii="Times New Roman" w:hAnsi="Times New Roman" w:cs="Times New Roman"/>
          <w:b/>
        </w:rPr>
        <w:t xml:space="preserve"> 8: Program Action Plan</w:t>
      </w:r>
      <w:bookmarkEnd w:id="34"/>
    </w:p>
    <w:p w14:paraId="53B2A461" w14:textId="77777777" w:rsidR="004D6C0B" w:rsidRPr="00BC7BB5" w:rsidRDefault="004D6C0B" w:rsidP="004D6C0B">
      <w:pPr>
        <w:pStyle w:val="NoSpacing"/>
        <w:ind w:left="360"/>
        <w:rPr>
          <w:rFonts w:ascii="Times New Roman" w:hAnsi="Times New Roman" w:cs="Times New Roman"/>
        </w:rPr>
      </w:pPr>
    </w:p>
    <w:tbl>
      <w:tblPr>
        <w:tblStyle w:val="TableGrid"/>
        <w:tblW w:w="5347" w:type="pct"/>
        <w:tblLayout w:type="fixed"/>
        <w:tblLook w:val="04A0" w:firstRow="1" w:lastRow="0" w:firstColumn="1" w:lastColumn="0" w:noHBand="0" w:noVBand="1"/>
      </w:tblPr>
      <w:tblGrid>
        <w:gridCol w:w="629"/>
        <w:gridCol w:w="4238"/>
        <w:gridCol w:w="1997"/>
        <w:gridCol w:w="2221"/>
        <w:gridCol w:w="8"/>
        <w:gridCol w:w="2518"/>
        <w:gridCol w:w="986"/>
        <w:gridCol w:w="22"/>
        <w:gridCol w:w="1219"/>
        <w:gridCol w:w="11"/>
      </w:tblGrid>
      <w:tr w:rsidR="00AC14E1" w:rsidRPr="00BC7BB5" w14:paraId="72B30C99" w14:textId="77777777" w:rsidTr="003146C9">
        <w:trPr>
          <w:gridAfter w:val="1"/>
          <w:wAfter w:w="4" w:type="pct"/>
        </w:trPr>
        <w:tc>
          <w:tcPr>
            <w:tcW w:w="227" w:type="pct"/>
          </w:tcPr>
          <w:p w14:paraId="114654EF" w14:textId="4973F290" w:rsidR="00AC14E1" w:rsidRPr="00BC7BB5" w:rsidRDefault="00AC14E1" w:rsidP="0054579B">
            <w:pPr>
              <w:jc w:val="center"/>
              <w:rPr>
                <w:rFonts w:ascii="Times New Roman" w:hAnsi="Times New Roman"/>
                <w:b/>
              </w:rPr>
            </w:pPr>
            <w:r w:rsidRPr="00BC7BB5">
              <w:rPr>
                <w:rFonts w:ascii="Times New Roman" w:hAnsi="Times New Roman"/>
                <w:b/>
              </w:rPr>
              <w:t>No.</w:t>
            </w:r>
          </w:p>
        </w:tc>
        <w:tc>
          <w:tcPr>
            <w:tcW w:w="1530" w:type="pct"/>
          </w:tcPr>
          <w:p w14:paraId="53FDF9DD" w14:textId="043C1D8D" w:rsidR="00AC14E1" w:rsidRPr="00BC7BB5" w:rsidRDefault="00AC14E1" w:rsidP="0054579B">
            <w:pPr>
              <w:jc w:val="center"/>
              <w:rPr>
                <w:rFonts w:ascii="Times New Roman" w:hAnsi="Times New Roman"/>
                <w:b/>
              </w:rPr>
            </w:pPr>
            <w:r w:rsidRPr="00BC7BB5">
              <w:rPr>
                <w:rFonts w:ascii="Times New Roman" w:hAnsi="Times New Roman"/>
                <w:b/>
              </w:rPr>
              <w:t>Action Description</w:t>
            </w:r>
          </w:p>
        </w:tc>
        <w:tc>
          <w:tcPr>
            <w:tcW w:w="721" w:type="pct"/>
          </w:tcPr>
          <w:p w14:paraId="51677AC3" w14:textId="77777777" w:rsidR="00AC14E1" w:rsidRPr="00BC7BB5" w:rsidRDefault="00AC14E1" w:rsidP="0054579B">
            <w:pPr>
              <w:jc w:val="center"/>
              <w:rPr>
                <w:rFonts w:ascii="Times New Roman" w:hAnsi="Times New Roman"/>
                <w:b/>
              </w:rPr>
            </w:pPr>
            <w:r w:rsidRPr="00BC7BB5">
              <w:rPr>
                <w:rFonts w:ascii="Times New Roman" w:hAnsi="Times New Roman"/>
                <w:b/>
              </w:rPr>
              <w:t>Due Date</w:t>
            </w:r>
          </w:p>
        </w:tc>
        <w:tc>
          <w:tcPr>
            <w:tcW w:w="802" w:type="pct"/>
          </w:tcPr>
          <w:p w14:paraId="09DD5EC3" w14:textId="77777777" w:rsidR="00AC14E1" w:rsidRPr="00BC7BB5" w:rsidRDefault="00AC14E1" w:rsidP="0054579B">
            <w:pPr>
              <w:jc w:val="center"/>
              <w:rPr>
                <w:rFonts w:ascii="Times New Roman" w:hAnsi="Times New Roman"/>
                <w:b/>
              </w:rPr>
            </w:pPr>
            <w:r w:rsidRPr="00BC7BB5">
              <w:rPr>
                <w:rFonts w:ascii="Times New Roman" w:hAnsi="Times New Roman"/>
                <w:b/>
              </w:rPr>
              <w:t>Responsible Party</w:t>
            </w:r>
          </w:p>
        </w:tc>
        <w:tc>
          <w:tcPr>
            <w:tcW w:w="912" w:type="pct"/>
            <w:gridSpan w:val="2"/>
          </w:tcPr>
          <w:p w14:paraId="0C89231A" w14:textId="77777777" w:rsidR="00AC14E1" w:rsidRPr="00BC7BB5" w:rsidRDefault="00AC14E1" w:rsidP="0054579B">
            <w:pPr>
              <w:jc w:val="center"/>
              <w:rPr>
                <w:rFonts w:ascii="Times New Roman" w:hAnsi="Times New Roman"/>
                <w:b/>
              </w:rPr>
            </w:pPr>
            <w:r w:rsidRPr="00BC7BB5">
              <w:rPr>
                <w:rFonts w:ascii="Times New Roman" w:hAnsi="Times New Roman"/>
                <w:b/>
              </w:rPr>
              <w:t>Completion Measurement</w:t>
            </w:r>
          </w:p>
        </w:tc>
        <w:tc>
          <w:tcPr>
            <w:tcW w:w="356" w:type="pct"/>
            <w:shd w:val="clear" w:color="auto" w:fill="D9D9D9" w:themeFill="background1" w:themeFillShade="D9"/>
          </w:tcPr>
          <w:p w14:paraId="04146222" w14:textId="77777777" w:rsidR="00AC14E1" w:rsidRPr="00BC7BB5" w:rsidRDefault="00AC14E1" w:rsidP="0054579B">
            <w:pPr>
              <w:jc w:val="center"/>
              <w:rPr>
                <w:rFonts w:ascii="Times New Roman" w:hAnsi="Times New Roman"/>
                <w:b/>
              </w:rPr>
            </w:pPr>
            <w:r w:rsidRPr="00BC7BB5">
              <w:rPr>
                <w:rFonts w:ascii="Times New Roman" w:hAnsi="Times New Roman"/>
                <w:b/>
              </w:rPr>
              <w:t>DLI*</w:t>
            </w:r>
          </w:p>
        </w:tc>
        <w:tc>
          <w:tcPr>
            <w:tcW w:w="448" w:type="pct"/>
            <w:gridSpan w:val="2"/>
            <w:shd w:val="clear" w:color="auto" w:fill="D9D9D9" w:themeFill="background1" w:themeFillShade="D9"/>
          </w:tcPr>
          <w:p w14:paraId="1D0562FC" w14:textId="77777777" w:rsidR="00AC14E1" w:rsidRPr="00BC7BB5" w:rsidRDefault="00AC14E1" w:rsidP="0054579B">
            <w:pPr>
              <w:jc w:val="center"/>
              <w:rPr>
                <w:rFonts w:ascii="Times New Roman" w:hAnsi="Times New Roman"/>
                <w:b/>
              </w:rPr>
            </w:pPr>
            <w:r w:rsidRPr="00BC7BB5">
              <w:rPr>
                <w:rFonts w:ascii="Times New Roman" w:hAnsi="Times New Roman"/>
                <w:b/>
              </w:rPr>
              <w:t>Covenant*</w:t>
            </w:r>
          </w:p>
        </w:tc>
      </w:tr>
      <w:tr w:rsidR="00AC14E1" w:rsidRPr="00554BF1" w14:paraId="6B5365DD" w14:textId="77777777" w:rsidTr="00FF1F7A">
        <w:tc>
          <w:tcPr>
            <w:tcW w:w="227" w:type="pct"/>
            <w:shd w:val="clear" w:color="auto" w:fill="D9D9D9" w:themeFill="background1" w:themeFillShade="D9"/>
          </w:tcPr>
          <w:p w14:paraId="5A9FE035" w14:textId="77777777" w:rsidR="00AC14E1" w:rsidRPr="00BC7BB5" w:rsidRDefault="00AC14E1" w:rsidP="0054579B">
            <w:pPr>
              <w:rPr>
                <w:rFonts w:ascii="Times New Roman" w:hAnsi="Times New Roman"/>
              </w:rPr>
            </w:pPr>
          </w:p>
        </w:tc>
        <w:tc>
          <w:tcPr>
            <w:tcW w:w="3965" w:type="pct"/>
            <w:gridSpan w:val="5"/>
            <w:shd w:val="clear" w:color="auto" w:fill="D9D9D9" w:themeFill="background1" w:themeFillShade="D9"/>
          </w:tcPr>
          <w:p w14:paraId="59F74C7B" w14:textId="52351CD4" w:rsidR="00AC14E1" w:rsidRPr="003146C9" w:rsidRDefault="00AC14E1" w:rsidP="0054579B">
            <w:pPr>
              <w:rPr>
                <w:rFonts w:ascii="Times New Roman" w:hAnsi="Times New Roman" w:cs="Times New Roman"/>
                <w:sz w:val="20"/>
                <w:szCs w:val="20"/>
              </w:rPr>
            </w:pPr>
            <w:r w:rsidRPr="003146C9">
              <w:rPr>
                <w:rFonts w:ascii="Times New Roman" w:hAnsi="Times New Roman" w:cs="Times New Roman"/>
                <w:sz w:val="20"/>
                <w:szCs w:val="20"/>
              </w:rPr>
              <w:t xml:space="preserve">Program management </w:t>
            </w:r>
          </w:p>
        </w:tc>
        <w:tc>
          <w:tcPr>
            <w:tcW w:w="364" w:type="pct"/>
            <w:gridSpan w:val="2"/>
            <w:shd w:val="clear" w:color="auto" w:fill="D9D9D9" w:themeFill="background1" w:themeFillShade="D9"/>
          </w:tcPr>
          <w:p w14:paraId="7F3DF11B" w14:textId="77777777" w:rsidR="00AC14E1" w:rsidRPr="003146C9" w:rsidRDefault="00AC14E1" w:rsidP="0054579B">
            <w:pPr>
              <w:rPr>
                <w:rFonts w:ascii="Times New Roman" w:hAnsi="Times New Roman" w:cs="Times New Roman"/>
                <w:sz w:val="20"/>
                <w:szCs w:val="20"/>
              </w:rPr>
            </w:pPr>
          </w:p>
        </w:tc>
        <w:tc>
          <w:tcPr>
            <w:tcW w:w="444" w:type="pct"/>
            <w:gridSpan w:val="2"/>
            <w:shd w:val="clear" w:color="auto" w:fill="D9D9D9" w:themeFill="background1" w:themeFillShade="D9"/>
          </w:tcPr>
          <w:p w14:paraId="0657A4A1" w14:textId="77777777" w:rsidR="00AC14E1" w:rsidRPr="003146C9" w:rsidRDefault="00AC14E1" w:rsidP="0054579B">
            <w:pPr>
              <w:rPr>
                <w:rFonts w:ascii="Times New Roman" w:hAnsi="Times New Roman" w:cs="Times New Roman"/>
                <w:sz w:val="20"/>
                <w:szCs w:val="20"/>
              </w:rPr>
            </w:pPr>
          </w:p>
        </w:tc>
      </w:tr>
      <w:tr w:rsidR="00AC14E1" w:rsidRPr="00554BF1" w14:paraId="1572A398" w14:textId="77777777" w:rsidTr="003146C9">
        <w:trPr>
          <w:gridAfter w:val="1"/>
          <w:wAfter w:w="4" w:type="pct"/>
        </w:trPr>
        <w:tc>
          <w:tcPr>
            <w:tcW w:w="227" w:type="pct"/>
          </w:tcPr>
          <w:p w14:paraId="1956CCA8" w14:textId="18E70F5E" w:rsidR="00AC14E1" w:rsidRPr="00BC7BB5" w:rsidRDefault="00C9477C" w:rsidP="0054579B">
            <w:pPr>
              <w:rPr>
                <w:rFonts w:ascii="Times New Roman" w:hAnsi="Times New Roman"/>
              </w:rPr>
            </w:pPr>
            <w:r w:rsidRPr="00BC7BB5">
              <w:rPr>
                <w:rFonts w:ascii="Times New Roman" w:hAnsi="Times New Roman"/>
              </w:rPr>
              <w:t>1</w:t>
            </w:r>
          </w:p>
        </w:tc>
        <w:tc>
          <w:tcPr>
            <w:tcW w:w="1530" w:type="pct"/>
          </w:tcPr>
          <w:p w14:paraId="5D7DD398" w14:textId="143D93AB" w:rsidR="00AC14E1" w:rsidRPr="003146C9" w:rsidRDefault="00AC14E1" w:rsidP="0054579B">
            <w:pPr>
              <w:rPr>
                <w:rFonts w:ascii="Times New Roman" w:hAnsi="Times New Roman" w:cs="Times New Roman"/>
                <w:sz w:val="20"/>
                <w:szCs w:val="20"/>
              </w:rPr>
            </w:pPr>
            <w:r w:rsidRPr="003146C9">
              <w:rPr>
                <w:rFonts w:ascii="Times New Roman" w:hAnsi="Times New Roman" w:cs="Times New Roman"/>
                <w:sz w:val="20"/>
                <w:szCs w:val="20"/>
              </w:rPr>
              <w:t>Recruitment of TA to strengthen PMU capacities</w:t>
            </w:r>
          </w:p>
        </w:tc>
        <w:tc>
          <w:tcPr>
            <w:tcW w:w="721" w:type="pct"/>
          </w:tcPr>
          <w:p w14:paraId="3F2B5F70" w14:textId="45F95D74" w:rsidR="00AC14E1" w:rsidRPr="003146C9" w:rsidRDefault="00765DA6" w:rsidP="0054579B">
            <w:pPr>
              <w:rPr>
                <w:rFonts w:ascii="Times New Roman" w:hAnsi="Times New Roman" w:cs="Times New Roman"/>
                <w:sz w:val="20"/>
                <w:szCs w:val="20"/>
              </w:rPr>
            </w:pPr>
            <w:r w:rsidRPr="003146C9">
              <w:rPr>
                <w:rFonts w:ascii="Times New Roman" w:hAnsi="Times New Roman" w:cs="Times New Roman"/>
                <w:sz w:val="20"/>
                <w:szCs w:val="20"/>
              </w:rPr>
              <w:t>A</w:t>
            </w:r>
            <w:r w:rsidR="00B27FC6">
              <w:rPr>
                <w:rFonts w:ascii="Times New Roman" w:hAnsi="Times New Roman" w:cs="Times New Roman"/>
                <w:sz w:val="20"/>
                <w:szCs w:val="20"/>
              </w:rPr>
              <w:t>p</w:t>
            </w:r>
            <w:r w:rsidRPr="003146C9">
              <w:rPr>
                <w:rFonts w:ascii="Times New Roman" w:hAnsi="Times New Roman" w:cs="Times New Roman"/>
                <w:sz w:val="20"/>
                <w:szCs w:val="20"/>
              </w:rPr>
              <w:t>ril</w:t>
            </w:r>
            <w:r w:rsidR="00AC14E1" w:rsidRPr="003146C9">
              <w:rPr>
                <w:rFonts w:ascii="Times New Roman" w:hAnsi="Times New Roman" w:cs="Times New Roman"/>
                <w:sz w:val="20"/>
                <w:szCs w:val="20"/>
              </w:rPr>
              <w:t xml:space="preserve"> 2018</w:t>
            </w:r>
          </w:p>
        </w:tc>
        <w:tc>
          <w:tcPr>
            <w:tcW w:w="802" w:type="pct"/>
          </w:tcPr>
          <w:p w14:paraId="7DF910C5" w14:textId="12C1DFB6" w:rsidR="00AC14E1" w:rsidRPr="003146C9" w:rsidRDefault="000E761F" w:rsidP="0054579B">
            <w:pPr>
              <w:rPr>
                <w:rFonts w:ascii="Times New Roman" w:hAnsi="Times New Roman" w:cs="Times New Roman"/>
                <w:sz w:val="20"/>
                <w:szCs w:val="20"/>
              </w:rPr>
            </w:pPr>
            <w:r w:rsidRPr="003146C9">
              <w:rPr>
                <w:rFonts w:ascii="Times New Roman" w:hAnsi="Times New Roman" w:cs="Times New Roman"/>
                <w:sz w:val="20"/>
                <w:szCs w:val="20"/>
              </w:rPr>
              <w:t>MAMPDREF</w:t>
            </w:r>
          </w:p>
        </w:tc>
        <w:tc>
          <w:tcPr>
            <w:tcW w:w="912" w:type="pct"/>
            <w:gridSpan w:val="2"/>
          </w:tcPr>
          <w:p w14:paraId="57054189" w14:textId="77777777" w:rsidR="00AC14E1" w:rsidRPr="003146C9" w:rsidRDefault="00AC14E1" w:rsidP="0054579B">
            <w:pPr>
              <w:rPr>
                <w:rFonts w:ascii="Times New Roman" w:hAnsi="Times New Roman" w:cs="Times New Roman"/>
                <w:sz w:val="20"/>
                <w:szCs w:val="20"/>
              </w:rPr>
            </w:pPr>
            <w:r w:rsidRPr="003146C9">
              <w:rPr>
                <w:rFonts w:ascii="Times New Roman" w:hAnsi="Times New Roman" w:cs="Times New Roman"/>
                <w:sz w:val="20"/>
                <w:szCs w:val="20"/>
              </w:rPr>
              <w:t xml:space="preserve">TA recruitment contract signed </w:t>
            </w:r>
          </w:p>
        </w:tc>
        <w:tc>
          <w:tcPr>
            <w:tcW w:w="356" w:type="pct"/>
            <w:shd w:val="clear" w:color="auto" w:fill="D9D9D9" w:themeFill="background1" w:themeFillShade="D9"/>
          </w:tcPr>
          <w:p w14:paraId="7FB01B3A" w14:textId="77777777" w:rsidR="00AC14E1" w:rsidRPr="003146C9" w:rsidRDefault="00AC14E1" w:rsidP="0054579B">
            <w:pPr>
              <w:rPr>
                <w:rFonts w:ascii="Times New Roman" w:hAnsi="Times New Roman" w:cs="Times New Roman"/>
                <w:sz w:val="20"/>
                <w:szCs w:val="20"/>
              </w:rPr>
            </w:pPr>
            <w:r w:rsidRPr="003146C9">
              <w:rPr>
                <w:rFonts w:ascii="Times New Roman" w:hAnsi="Times New Roman" w:cs="Times New Roman"/>
                <w:sz w:val="20"/>
                <w:szCs w:val="20"/>
              </w:rPr>
              <w:fldChar w:fldCharType="begin">
                <w:ffData>
                  <w:name w:val="Check1"/>
                  <w:enabled/>
                  <w:calcOnExit w:val="0"/>
                  <w:checkBox>
                    <w:sizeAuto/>
                    <w:default w:val="0"/>
                  </w:checkBox>
                </w:ffData>
              </w:fldChar>
            </w:r>
            <w:r w:rsidRPr="003146C9">
              <w:rPr>
                <w:rFonts w:ascii="Times New Roman" w:hAnsi="Times New Roman" w:cs="Times New Roman"/>
                <w:sz w:val="20"/>
                <w:szCs w:val="20"/>
              </w:rPr>
              <w:instrText xml:space="preserve"> FORMCHECKBOX </w:instrText>
            </w:r>
            <w:r w:rsidR="00F8126C">
              <w:rPr>
                <w:rFonts w:ascii="Times New Roman" w:hAnsi="Times New Roman" w:cs="Times New Roman"/>
                <w:sz w:val="20"/>
                <w:szCs w:val="20"/>
              </w:rPr>
            </w:r>
            <w:r w:rsidR="00F8126C">
              <w:rPr>
                <w:rFonts w:ascii="Times New Roman" w:hAnsi="Times New Roman" w:cs="Times New Roman"/>
                <w:sz w:val="20"/>
                <w:szCs w:val="20"/>
              </w:rPr>
              <w:fldChar w:fldCharType="separate"/>
            </w:r>
            <w:r w:rsidRPr="003146C9">
              <w:rPr>
                <w:rFonts w:ascii="Times New Roman" w:hAnsi="Times New Roman" w:cs="Times New Roman"/>
                <w:sz w:val="20"/>
                <w:szCs w:val="20"/>
              </w:rPr>
              <w:fldChar w:fldCharType="end"/>
            </w:r>
          </w:p>
        </w:tc>
        <w:tc>
          <w:tcPr>
            <w:tcW w:w="448" w:type="pct"/>
            <w:gridSpan w:val="2"/>
            <w:shd w:val="clear" w:color="auto" w:fill="D9D9D9" w:themeFill="background1" w:themeFillShade="D9"/>
          </w:tcPr>
          <w:p w14:paraId="221186F2" w14:textId="77777777" w:rsidR="00AC14E1" w:rsidRPr="003146C9" w:rsidRDefault="00AC14E1" w:rsidP="0054579B">
            <w:pPr>
              <w:rPr>
                <w:rFonts w:ascii="Times New Roman" w:hAnsi="Times New Roman" w:cs="Times New Roman"/>
                <w:sz w:val="20"/>
                <w:szCs w:val="20"/>
              </w:rPr>
            </w:pPr>
            <w:r w:rsidRPr="003146C9">
              <w:rPr>
                <w:rFonts w:ascii="Times New Roman" w:hAnsi="Times New Roman" w:cs="Times New Roman"/>
                <w:sz w:val="20"/>
                <w:szCs w:val="20"/>
              </w:rPr>
              <w:fldChar w:fldCharType="begin">
                <w:ffData>
                  <w:name w:val=""/>
                  <w:enabled/>
                  <w:calcOnExit w:val="0"/>
                  <w:checkBox>
                    <w:sizeAuto/>
                    <w:default w:val="0"/>
                  </w:checkBox>
                </w:ffData>
              </w:fldChar>
            </w:r>
            <w:r w:rsidRPr="003146C9">
              <w:rPr>
                <w:rFonts w:ascii="Times New Roman" w:hAnsi="Times New Roman" w:cs="Times New Roman"/>
                <w:sz w:val="20"/>
                <w:szCs w:val="20"/>
              </w:rPr>
              <w:instrText xml:space="preserve"> FORMCHECKBOX </w:instrText>
            </w:r>
            <w:r w:rsidR="00F8126C">
              <w:rPr>
                <w:rFonts w:ascii="Times New Roman" w:hAnsi="Times New Roman" w:cs="Times New Roman"/>
                <w:sz w:val="20"/>
                <w:szCs w:val="20"/>
              </w:rPr>
            </w:r>
            <w:r w:rsidR="00F8126C">
              <w:rPr>
                <w:rFonts w:ascii="Times New Roman" w:hAnsi="Times New Roman" w:cs="Times New Roman"/>
                <w:sz w:val="20"/>
                <w:szCs w:val="20"/>
              </w:rPr>
              <w:fldChar w:fldCharType="separate"/>
            </w:r>
            <w:r w:rsidRPr="003146C9">
              <w:rPr>
                <w:rFonts w:ascii="Times New Roman" w:hAnsi="Times New Roman" w:cs="Times New Roman"/>
                <w:sz w:val="20"/>
                <w:szCs w:val="20"/>
              </w:rPr>
              <w:fldChar w:fldCharType="end"/>
            </w:r>
          </w:p>
        </w:tc>
      </w:tr>
      <w:tr w:rsidR="00AC14E1" w:rsidRPr="00554BF1" w14:paraId="29E96488" w14:textId="77777777" w:rsidTr="003146C9">
        <w:trPr>
          <w:gridAfter w:val="1"/>
          <w:wAfter w:w="4" w:type="pct"/>
        </w:trPr>
        <w:tc>
          <w:tcPr>
            <w:tcW w:w="227" w:type="pct"/>
          </w:tcPr>
          <w:p w14:paraId="4820B3A7" w14:textId="559D58F3" w:rsidR="00AC14E1" w:rsidRPr="00BC7BB5" w:rsidRDefault="00C9477C" w:rsidP="0054579B">
            <w:pPr>
              <w:rPr>
                <w:rFonts w:ascii="Times New Roman" w:hAnsi="Times New Roman"/>
                <w:iCs/>
              </w:rPr>
            </w:pPr>
            <w:r w:rsidRPr="00BC7BB5">
              <w:rPr>
                <w:rFonts w:ascii="Times New Roman" w:hAnsi="Times New Roman"/>
                <w:iCs/>
              </w:rPr>
              <w:t>2</w:t>
            </w:r>
          </w:p>
        </w:tc>
        <w:tc>
          <w:tcPr>
            <w:tcW w:w="1530" w:type="pct"/>
          </w:tcPr>
          <w:p w14:paraId="69FAC21A" w14:textId="6FEFDD14" w:rsidR="00AC14E1" w:rsidRPr="003146C9" w:rsidRDefault="00512BCA" w:rsidP="0054579B">
            <w:pPr>
              <w:rPr>
                <w:rFonts w:ascii="Times New Roman" w:hAnsi="Times New Roman" w:cs="Times New Roman"/>
                <w:sz w:val="20"/>
                <w:szCs w:val="20"/>
              </w:rPr>
            </w:pPr>
            <w:r>
              <w:rPr>
                <w:rFonts w:ascii="Times New Roman" w:hAnsi="Times New Roman" w:cs="Times New Roman"/>
                <w:sz w:val="20"/>
                <w:szCs w:val="20"/>
              </w:rPr>
              <w:t xml:space="preserve">(i) </w:t>
            </w:r>
            <w:r w:rsidR="00C9477C" w:rsidRPr="003146C9">
              <w:rPr>
                <w:rFonts w:ascii="Times New Roman" w:hAnsi="Times New Roman" w:cs="Times New Roman"/>
                <w:sz w:val="20"/>
                <w:szCs w:val="20"/>
              </w:rPr>
              <w:t>Program Operational M</w:t>
            </w:r>
            <w:r w:rsidR="00AC14E1" w:rsidRPr="003146C9">
              <w:rPr>
                <w:rFonts w:ascii="Times New Roman" w:hAnsi="Times New Roman" w:cs="Times New Roman"/>
                <w:sz w:val="20"/>
                <w:szCs w:val="20"/>
              </w:rPr>
              <w:t>anual</w:t>
            </w:r>
            <w:r w:rsidR="00497DDC" w:rsidRPr="003146C9">
              <w:rPr>
                <w:rFonts w:ascii="Times New Roman" w:hAnsi="Times New Roman" w:cs="Times New Roman"/>
                <w:sz w:val="20"/>
                <w:szCs w:val="20"/>
              </w:rPr>
              <w:t xml:space="preserve"> </w:t>
            </w:r>
            <w:r w:rsidR="00AC226A" w:rsidRPr="003146C9">
              <w:rPr>
                <w:rFonts w:ascii="Times New Roman" w:hAnsi="Times New Roman" w:cs="Times New Roman"/>
                <w:sz w:val="20"/>
                <w:szCs w:val="20"/>
              </w:rPr>
              <w:t xml:space="preserve">(POM) </w:t>
            </w:r>
            <w:r w:rsidR="00497DDC" w:rsidRPr="003146C9">
              <w:rPr>
                <w:rFonts w:ascii="Times New Roman" w:hAnsi="Times New Roman" w:cs="Times New Roman"/>
                <w:sz w:val="20"/>
                <w:szCs w:val="20"/>
              </w:rPr>
              <w:t xml:space="preserve">approved by the Bank, and </w:t>
            </w:r>
            <w:r>
              <w:rPr>
                <w:rFonts w:ascii="Times New Roman" w:hAnsi="Times New Roman" w:cs="Times New Roman"/>
                <w:sz w:val="20"/>
                <w:szCs w:val="20"/>
              </w:rPr>
              <w:t xml:space="preserve">(ii) </w:t>
            </w:r>
            <w:r w:rsidR="00497DDC" w:rsidRPr="003146C9">
              <w:rPr>
                <w:rFonts w:ascii="Times New Roman" w:hAnsi="Times New Roman" w:cs="Times New Roman"/>
                <w:sz w:val="20"/>
                <w:szCs w:val="20"/>
              </w:rPr>
              <w:t>instructions iss</w:t>
            </w:r>
            <w:r w:rsidR="002D3D87" w:rsidRPr="003146C9">
              <w:rPr>
                <w:rFonts w:ascii="Times New Roman" w:hAnsi="Times New Roman" w:cs="Times New Roman"/>
                <w:sz w:val="20"/>
                <w:szCs w:val="20"/>
              </w:rPr>
              <w:t>ued for its use by Program impleme</w:t>
            </w:r>
            <w:r w:rsidR="00497DDC" w:rsidRPr="003146C9">
              <w:rPr>
                <w:rFonts w:ascii="Times New Roman" w:hAnsi="Times New Roman" w:cs="Times New Roman"/>
                <w:sz w:val="20"/>
                <w:szCs w:val="20"/>
              </w:rPr>
              <w:t>nting entities</w:t>
            </w:r>
          </w:p>
        </w:tc>
        <w:tc>
          <w:tcPr>
            <w:tcW w:w="721" w:type="pct"/>
          </w:tcPr>
          <w:p w14:paraId="739B7982" w14:textId="4257BABF" w:rsidR="00AC14E1" w:rsidRPr="003146C9" w:rsidRDefault="00052343" w:rsidP="0054579B">
            <w:pPr>
              <w:rPr>
                <w:rFonts w:ascii="Times New Roman" w:hAnsi="Times New Roman" w:cs="Times New Roman"/>
                <w:sz w:val="20"/>
                <w:szCs w:val="20"/>
              </w:rPr>
            </w:pPr>
            <w:r w:rsidRPr="003146C9">
              <w:rPr>
                <w:rFonts w:ascii="Times New Roman" w:hAnsi="Times New Roman" w:cs="Times New Roman"/>
                <w:sz w:val="20"/>
                <w:szCs w:val="20"/>
              </w:rPr>
              <w:t>(i</w:t>
            </w:r>
            <w:r w:rsidR="00497DDC" w:rsidRPr="003146C9">
              <w:rPr>
                <w:rFonts w:ascii="Times New Roman" w:hAnsi="Times New Roman" w:cs="Times New Roman"/>
                <w:sz w:val="20"/>
                <w:szCs w:val="20"/>
              </w:rPr>
              <w:t>)</w:t>
            </w:r>
            <w:r w:rsidR="000E761F" w:rsidRPr="003146C9">
              <w:rPr>
                <w:rFonts w:ascii="Times New Roman" w:hAnsi="Times New Roman" w:cs="Times New Roman"/>
                <w:sz w:val="20"/>
                <w:szCs w:val="20"/>
              </w:rPr>
              <w:t>Effectiveness</w:t>
            </w:r>
          </w:p>
          <w:p w14:paraId="53F54F03" w14:textId="7A573684" w:rsidR="00497DDC" w:rsidRPr="003146C9" w:rsidRDefault="00052343" w:rsidP="0054579B">
            <w:pPr>
              <w:rPr>
                <w:rFonts w:ascii="Times New Roman" w:hAnsi="Times New Roman" w:cs="Times New Roman"/>
                <w:sz w:val="20"/>
                <w:szCs w:val="20"/>
              </w:rPr>
            </w:pPr>
            <w:r w:rsidRPr="003146C9">
              <w:rPr>
                <w:rFonts w:ascii="Times New Roman" w:hAnsi="Times New Roman" w:cs="Times New Roman"/>
                <w:sz w:val="20"/>
                <w:szCs w:val="20"/>
              </w:rPr>
              <w:t>(ii</w:t>
            </w:r>
            <w:r w:rsidR="00497DDC" w:rsidRPr="003146C9">
              <w:rPr>
                <w:rFonts w:ascii="Times New Roman" w:hAnsi="Times New Roman" w:cs="Times New Roman"/>
                <w:sz w:val="20"/>
                <w:szCs w:val="20"/>
              </w:rPr>
              <w:t>) March 2018</w:t>
            </w:r>
          </w:p>
        </w:tc>
        <w:tc>
          <w:tcPr>
            <w:tcW w:w="802" w:type="pct"/>
          </w:tcPr>
          <w:p w14:paraId="04E511B1" w14:textId="42241C46" w:rsidR="00AC14E1" w:rsidRPr="003146C9" w:rsidRDefault="000E761F" w:rsidP="0054579B">
            <w:pPr>
              <w:rPr>
                <w:rFonts w:ascii="Times New Roman" w:hAnsi="Times New Roman" w:cs="Times New Roman"/>
                <w:sz w:val="20"/>
                <w:szCs w:val="20"/>
              </w:rPr>
            </w:pPr>
            <w:r w:rsidRPr="003146C9">
              <w:rPr>
                <w:rFonts w:ascii="Times New Roman" w:hAnsi="Times New Roman" w:cs="Times New Roman"/>
                <w:sz w:val="20"/>
                <w:szCs w:val="20"/>
              </w:rPr>
              <w:t>MAMPDREF, ADA, ONSSA</w:t>
            </w:r>
          </w:p>
        </w:tc>
        <w:tc>
          <w:tcPr>
            <w:tcW w:w="912" w:type="pct"/>
            <w:gridSpan w:val="2"/>
          </w:tcPr>
          <w:p w14:paraId="62E4607B" w14:textId="7B99FBD4" w:rsidR="00AC14E1" w:rsidRPr="003146C9" w:rsidRDefault="00AC226A" w:rsidP="0054579B">
            <w:pPr>
              <w:rPr>
                <w:rFonts w:ascii="Times New Roman" w:hAnsi="Times New Roman" w:cs="Times New Roman"/>
                <w:sz w:val="20"/>
                <w:szCs w:val="20"/>
              </w:rPr>
            </w:pPr>
            <w:r w:rsidRPr="003146C9">
              <w:rPr>
                <w:rFonts w:ascii="Times New Roman" w:hAnsi="Times New Roman" w:cs="Times New Roman"/>
                <w:sz w:val="20"/>
                <w:szCs w:val="20"/>
              </w:rPr>
              <w:t>POM</w:t>
            </w:r>
            <w:r w:rsidR="00AC14E1" w:rsidRPr="003146C9">
              <w:rPr>
                <w:rFonts w:ascii="Times New Roman" w:hAnsi="Times New Roman" w:cs="Times New Roman"/>
                <w:sz w:val="20"/>
                <w:szCs w:val="20"/>
              </w:rPr>
              <w:t xml:space="preserve"> </w:t>
            </w:r>
            <w:r w:rsidR="00497DDC" w:rsidRPr="003146C9">
              <w:rPr>
                <w:rFonts w:ascii="Times New Roman" w:hAnsi="Times New Roman" w:cs="Times New Roman"/>
                <w:sz w:val="20"/>
                <w:szCs w:val="20"/>
              </w:rPr>
              <w:t xml:space="preserve">approved </w:t>
            </w:r>
            <w:r w:rsidR="00F3650B" w:rsidRPr="003146C9">
              <w:rPr>
                <w:rFonts w:ascii="Times New Roman" w:hAnsi="Times New Roman" w:cs="Times New Roman"/>
                <w:sz w:val="20"/>
                <w:szCs w:val="20"/>
              </w:rPr>
              <w:t>and instructions issued</w:t>
            </w:r>
          </w:p>
        </w:tc>
        <w:tc>
          <w:tcPr>
            <w:tcW w:w="356" w:type="pct"/>
            <w:shd w:val="clear" w:color="auto" w:fill="D9D9D9" w:themeFill="background1" w:themeFillShade="D9"/>
          </w:tcPr>
          <w:p w14:paraId="6E563CD3" w14:textId="77777777" w:rsidR="00AC14E1" w:rsidRPr="003146C9" w:rsidRDefault="00AC14E1" w:rsidP="0054579B">
            <w:pPr>
              <w:rPr>
                <w:rFonts w:ascii="Times New Roman" w:hAnsi="Times New Roman" w:cs="Times New Roman"/>
                <w:sz w:val="20"/>
                <w:szCs w:val="20"/>
              </w:rPr>
            </w:pPr>
            <w:r w:rsidRPr="003146C9">
              <w:rPr>
                <w:rFonts w:ascii="Times New Roman" w:hAnsi="Times New Roman" w:cs="Times New Roman"/>
                <w:sz w:val="20"/>
                <w:szCs w:val="20"/>
              </w:rPr>
              <w:fldChar w:fldCharType="begin">
                <w:ffData>
                  <w:name w:val="Check1"/>
                  <w:enabled/>
                  <w:calcOnExit w:val="0"/>
                  <w:checkBox>
                    <w:sizeAuto/>
                    <w:default w:val="0"/>
                  </w:checkBox>
                </w:ffData>
              </w:fldChar>
            </w:r>
            <w:r w:rsidRPr="003146C9">
              <w:rPr>
                <w:rFonts w:ascii="Times New Roman" w:hAnsi="Times New Roman" w:cs="Times New Roman"/>
                <w:sz w:val="20"/>
                <w:szCs w:val="20"/>
              </w:rPr>
              <w:instrText xml:space="preserve"> FORMCHECKBOX </w:instrText>
            </w:r>
            <w:r w:rsidR="00F8126C">
              <w:rPr>
                <w:rFonts w:ascii="Times New Roman" w:hAnsi="Times New Roman" w:cs="Times New Roman"/>
                <w:sz w:val="20"/>
                <w:szCs w:val="20"/>
              </w:rPr>
            </w:r>
            <w:r w:rsidR="00F8126C">
              <w:rPr>
                <w:rFonts w:ascii="Times New Roman" w:hAnsi="Times New Roman" w:cs="Times New Roman"/>
                <w:sz w:val="20"/>
                <w:szCs w:val="20"/>
              </w:rPr>
              <w:fldChar w:fldCharType="separate"/>
            </w:r>
            <w:r w:rsidRPr="003146C9">
              <w:rPr>
                <w:rFonts w:ascii="Times New Roman" w:hAnsi="Times New Roman" w:cs="Times New Roman"/>
                <w:sz w:val="20"/>
                <w:szCs w:val="20"/>
              </w:rPr>
              <w:fldChar w:fldCharType="end"/>
            </w:r>
          </w:p>
        </w:tc>
        <w:tc>
          <w:tcPr>
            <w:tcW w:w="448" w:type="pct"/>
            <w:gridSpan w:val="2"/>
            <w:shd w:val="clear" w:color="auto" w:fill="D9D9D9" w:themeFill="background1" w:themeFillShade="D9"/>
          </w:tcPr>
          <w:p w14:paraId="7D686B4D" w14:textId="7A3924BF" w:rsidR="00AC14E1" w:rsidRPr="003146C9" w:rsidRDefault="00C12704" w:rsidP="0054579B">
            <w:pPr>
              <w:rPr>
                <w:rFonts w:ascii="Times New Roman" w:hAnsi="Times New Roman" w:cs="Times New Roman"/>
                <w:sz w:val="20"/>
                <w:szCs w:val="20"/>
              </w:rPr>
            </w:pPr>
            <w:r>
              <w:rPr>
                <w:rFonts w:ascii="Times New Roman" w:hAnsi="Times New Roman" w:cs="Times New Roman"/>
                <w:sz w:val="20"/>
                <w:szCs w:val="20"/>
              </w:rPr>
              <w:fldChar w:fldCharType="begin">
                <w:ffData>
                  <w:name w:val=""/>
                  <w:enabled/>
                  <w:calcOnExit w:val="0"/>
                  <w:checkBox>
                    <w:sizeAuto/>
                    <w:default w:val="0"/>
                  </w:checkBox>
                </w:ffData>
              </w:fldChar>
            </w:r>
            <w:r>
              <w:rPr>
                <w:rFonts w:ascii="Times New Roman" w:hAnsi="Times New Roman" w:cs="Times New Roman"/>
                <w:sz w:val="20"/>
                <w:szCs w:val="20"/>
              </w:rPr>
              <w:instrText xml:space="preserve"> FORMCHECKBOX </w:instrText>
            </w:r>
            <w:r w:rsidR="00F8126C">
              <w:rPr>
                <w:rFonts w:ascii="Times New Roman" w:hAnsi="Times New Roman" w:cs="Times New Roman"/>
                <w:sz w:val="20"/>
                <w:szCs w:val="20"/>
              </w:rPr>
            </w:r>
            <w:r w:rsidR="00F8126C">
              <w:rPr>
                <w:rFonts w:ascii="Times New Roman" w:hAnsi="Times New Roman" w:cs="Times New Roman"/>
                <w:sz w:val="20"/>
                <w:szCs w:val="20"/>
              </w:rPr>
              <w:fldChar w:fldCharType="separate"/>
            </w:r>
            <w:r>
              <w:rPr>
                <w:rFonts w:ascii="Times New Roman" w:hAnsi="Times New Roman" w:cs="Times New Roman"/>
                <w:sz w:val="20"/>
                <w:szCs w:val="20"/>
              </w:rPr>
              <w:fldChar w:fldCharType="end"/>
            </w:r>
          </w:p>
        </w:tc>
      </w:tr>
      <w:tr w:rsidR="005D1E7E" w:rsidRPr="00554BF1" w14:paraId="07C8C42C" w14:textId="77777777" w:rsidTr="00572FDE">
        <w:tc>
          <w:tcPr>
            <w:tcW w:w="227" w:type="pct"/>
            <w:shd w:val="clear" w:color="auto" w:fill="D9D9D9" w:themeFill="background1" w:themeFillShade="D9"/>
          </w:tcPr>
          <w:p w14:paraId="5FE6353A" w14:textId="77777777" w:rsidR="005D1E7E" w:rsidRPr="00BC7BB5" w:rsidRDefault="005D1E7E" w:rsidP="00572FDE">
            <w:pPr>
              <w:rPr>
                <w:rFonts w:ascii="Times New Roman" w:hAnsi="Times New Roman"/>
              </w:rPr>
            </w:pPr>
          </w:p>
        </w:tc>
        <w:tc>
          <w:tcPr>
            <w:tcW w:w="3965" w:type="pct"/>
            <w:gridSpan w:val="5"/>
            <w:shd w:val="clear" w:color="auto" w:fill="D9D9D9" w:themeFill="background1" w:themeFillShade="D9"/>
          </w:tcPr>
          <w:p w14:paraId="1D94E563" w14:textId="77777777" w:rsidR="005D1E7E" w:rsidRPr="003146C9" w:rsidRDefault="005D1E7E" w:rsidP="00572FDE">
            <w:pPr>
              <w:rPr>
                <w:rFonts w:ascii="Times New Roman" w:hAnsi="Times New Roman" w:cs="Times New Roman"/>
                <w:sz w:val="20"/>
                <w:szCs w:val="20"/>
              </w:rPr>
            </w:pPr>
            <w:r w:rsidRPr="003146C9">
              <w:rPr>
                <w:rFonts w:ascii="Times New Roman" w:hAnsi="Times New Roman" w:cs="Times New Roman"/>
                <w:sz w:val="20"/>
                <w:szCs w:val="20"/>
              </w:rPr>
              <w:t>Fiduciary systems</w:t>
            </w:r>
          </w:p>
        </w:tc>
        <w:tc>
          <w:tcPr>
            <w:tcW w:w="364" w:type="pct"/>
            <w:gridSpan w:val="2"/>
            <w:shd w:val="clear" w:color="auto" w:fill="D9D9D9" w:themeFill="background1" w:themeFillShade="D9"/>
          </w:tcPr>
          <w:p w14:paraId="7430CF58" w14:textId="77777777" w:rsidR="005D1E7E" w:rsidRPr="003146C9" w:rsidRDefault="005D1E7E" w:rsidP="00572FDE">
            <w:pPr>
              <w:rPr>
                <w:rFonts w:ascii="Times New Roman" w:hAnsi="Times New Roman" w:cs="Times New Roman"/>
                <w:sz w:val="20"/>
                <w:szCs w:val="20"/>
              </w:rPr>
            </w:pPr>
          </w:p>
        </w:tc>
        <w:tc>
          <w:tcPr>
            <w:tcW w:w="444" w:type="pct"/>
            <w:gridSpan w:val="2"/>
            <w:shd w:val="clear" w:color="auto" w:fill="D9D9D9" w:themeFill="background1" w:themeFillShade="D9"/>
          </w:tcPr>
          <w:p w14:paraId="0F8F4EA5" w14:textId="77777777" w:rsidR="005D1E7E" w:rsidRPr="003146C9" w:rsidRDefault="005D1E7E" w:rsidP="00572FDE">
            <w:pPr>
              <w:rPr>
                <w:rFonts w:ascii="Times New Roman" w:hAnsi="Times New Roman" w:cs="Times New Roman"/>
                <w:sz w:val="20"/>
                <w:szCs w:val="20"/>
              </w:rPr>
            </w:pPr>
          </w:p>
        </w:tc>
      </w:tr>
      <w:tr w:rsidR="005D1E7E" w:rsidRPr="00554BF1" w14:paraId="1103ECB3" w14:textId="77777777" w:rsidTr="003146C9">
        <w:trPr>
          <w:gridAfter w:val="1"/>
          <w:wAfter w:w="4" w:type="pct"/>
        </w:trPr>
        <w:tc>
          <w:tcPr>
            <w:tcW w:w="227" w:type="pct"/>
          </w:tcPr>
          <w:p w14:paraId="3C1A7040" w14:textId="4004802D" w:rsidR="005D1E7E" w:rsidRPr="00BC7BB5" w:rsidRDefault="005D1E7E" w:rsidP="00572FDE">
            <w:pPr>
              <w:rPr>
                <w:rFonts w:asciiTheme="majorBidi" w:hAnsiTheme="majorBidi" w:cstheme="majorBidi"/>
                <w:iCs/>
              </w:rPr>
            </w:pPr>
            <w:r w:rsidRPr="00BC7BB5">
              <w:rPr>
                <w:rFonts w:asciiTheme="majorBidi" w:hAnsiTheme="majorBidi" w:cstheme="majorBidi"/>
                <w:iCs/>
              </w:rPr>
              <w:t>3</w:t>
            </w:r>
          </w:p>
        </w:tc>
        <w:tc>
          <w:tcPr>
            <w:tcW w:w="1530" w:type="pct"/>
          </w:tcPr>
          <w:p w14:paraId="5D511DCA" w14:textId="33EE2D2A" w:rsidR="005D1E7E" w:rsidRPr="003146C9" w:rsidRDefault="005D1E7E" w:rsidP="00572FDE">
            <w:pPr>
              <w:rPr>
                <w:rFonts w:ascii="Times New Roman" w:hAnsi="Times New Roman" w:cs="Times New Roman"/>
                <w:iCs/>
                <w:sz w:val="20"/>
                <w:szCs w:val="20"/>
              </w:rPr>
            </w:pPr>
            <w:r w:rsidRPr="003146C9">
              <w:rPr>
                <w:rFonts w:ascii="Times New Roman" w:hAnsi="Times New Roman" w:cs="Times New Roman"/>
                <w:iCs/>
                <w:sz w:val="20"/>
                <w:szCs w:val="20"/>
              </w:rPr>
              <w:t>Deployment of the integrated financial management system</w:t>
            </w:r>
          </w:p>
        </w:tc>
        <w:tc>
          <w:tcPr>
            <w:tcW w:w="721" w:type="pct"/>
          </w:tcPr>
          <w:p w14:paraId="0BF0C6B9" w14:textId="184C0D80" w:rsidR="005D1E7E" w:rsidRPr="003146C9" w:rsidRDefault="000B25B1" w:rsidP="00572FDE">
            <w:pPr>
              <w:rPr>
                <w:rFonts w:ascii="Times New Roman" w:hAnsi="Times New Roman" w:cs="Times New Roman"/>
                <w:iCs/>
                <w:sz w:val="20"/>
                <w:szCs w:val="20"/>
              </w:rPr>
            </w:pPr>
            <w:r w:rsidRPr="003146C9">
              <w:rPr>
                <w:rFonts w:ascii="Times New Roman" w:hAnsi="Times New Roman" w:cs="Times New Roman"/>
                <w:iCs/>
                <w:sz w:val="20"/>
                <w:szCs w:val="20"/>
              </w:rPr>
              <w:t>December</w:t>
            </w:r>
            <w:r w:rsidR="005D1E7E" w:rsidRPr="003146C9">
              <w:rPr>
                <w:rFonts w:ascii="Times New Roman" w:hAnsi="Times New Roman" w:cs="Times New Roman"/>
                <w:iCs/>
                <w:sz w:val="20"/>
                <w:szCs w:val="20"/>
              </w:rPr>
              <w:t xml:space="preserve"> 2019</w:t>
            </w:r>
          </w:p>
        </w:tc>
        <w:tc>
          <w:tcPr>
            <w:tcW w:w="802" w:type="pct"/>
          </w:tcPr>
          <w:p w14:paraId="2F044FBF" w14:textId="77777777" w:rsidR="005D1E7E" w:rsidRPr="003146C9" w:rsidRDefault="005D1E7E" w:rsidP="00572FDE">
            <w:pPr>
              <w:rPr>
                <w:rFonts w:ascii="Times New Roman" w:hAnsi="Times New Roman" w:cs="Times New Roman"/>
                <w:iCs/>
                <w:sz w:val="20"/>
                <w:szCs w:val="20"/>
              </w:rPr>
            </w:pPr>
            <w:r w:rsidRPr="003146C9">
              <w:rPr>
                <w:rFonts w:ascii="Times New Roman" w:hAnsi="Times New Roman" w:cs="Times New Roman"/>
                <w:iCs/>
                <w:sz w:val="20"/>
                <w:szCs w:val="20"/>
              </w:rPr>
              <w:t xml:space="preserve">DF </w:t>
            </w:r>
          </w:p>
        </w:tc>
        <w:tc>
          <w:tcPr>
            <w:tcW w:w="912" w:type="pct"/>
            <w:gridSpan w:val="2"/>
          </w:tcPr>
          <w:p w14:paraId="53741020" w14:textId="77777777" w:rsidR="005D1E7E" w:rsidRPr="003146C9" w:rsidRDefault="005D1E7E" w:rsidP="00572FDE">
            <w:pPr>
              <w:rPr>
                <w:rFonts w:ascii="Times New Roman" w:hAnsi="Times New Roman" w:cs="Times New Roman"/>
                <w:iCs/>
                <w:sz w:val="20"/>
                <w:szCs w:val="20"/>
              </w:rPr>
            </w:pPr>
            <w:r w:rsidRPr="003146C9">
              <w:rPr>
                <w:rFonts w:ascii="Times New Roman" w:hAnsi="Times New Roman" w:cs="Times New Roman"/>
                <w:iCs/>
                <w:sz w:val="20"/>
                <w:szCs w:val="20"/>
              </w:rPr>
              <w:t xml:space="preserve">Information system deployed and operational </w:t>
            </w:r>
          </w:p>
        </w:tc>
        <w:tc>
          <w:tcPr>
            <w:tcW w:w="356" w:type="pct"/>
            <w:shd w:val="clear" w:color="auto" w:fill="D9D9D9" w:themeFill="background1" w:themeFillShade="D9"/>
          </w:tcPr>
          <w:p w14:paraId="269B8F3E" w14:textId="69E75D36" w:rsidR="005D1E7E" w:rsidRPr="003146C9" w:rsidRDefault="00555A2F" w:rsidP="00572FDE">
            <w:pPr>
              <w:rPr>
                <w:rFonts w:ascii="Times New Roman" w:hAnsi="Times New Roman" w:cs="Times New Roman"/>
                <w:iCs/>
                <w:sz w:val="20"/>
                <w:szCs w:val="20"/>
              </w:rPr>
            </w:pPr>
            <w:r w:rsidRPr="003146C9">
              <w:rPr>
                <w:rFonts w:ascii="Times New Roman" w:hAnsi="Times New Roman" w:cs="Times New Roman"/>
                <w:sz w:val="20"/>
                <w:szCs w:val="20"/>
              </w:rPr>
              <w:fldChar w:fldCharType="begin">
                <w:ffData>
                  <w:name w:val="Check1"/>
                  <w:enabled/>
                  <w:calcOnExit w:val="0"/>
                  <w:checkBox>
                    <w:sizeAuto/>
                    <w:default w:val="1"/>
                  </w:checkBox>
                </w:ffData>
              </w:fldChar>
            </w:r>
            <w:r w:rsidRPr="003146C9">
              <w:rPr>
                <w:rFonts w:ascii="Times New Roman" w:hAnsi="Times New Roman" w:cs="Times New Roman"/>
                <w:sz w:val="20"/>
                <w:szCs w:val="20"/>
              </w:rPr>
              <w:instrText xml:space="preserve"> </w:instrText>
            </w:r>
            <w:bookmarkStart w:id="35" w:name="Check1"/>
            <w:r w:rsidRPr="003146C9">
              <w:rPr>
                <w:rFonts w:ascii="Times New Roman" w:hAnsi="Times New Roman" w:cs="Times New Roman"/>
                <w:sz w:val="20"/>
                <w:szCs w:val="20"/>
              </w:rPr>
              <w:instrText xml:space="preserve">FORMCHECKBOX </w:instrText>
            </w:r>
            <w:r w:rsidR="00F8126C">
              <w:rPr>
                <w:rFonts w:ascii="Times New Roman" w:hAnsi="Times New Roman" w:cs="Times New Roman"/>
                <w:sz w:val="20"/>
                <w:szCs w:val="20"/>
              </w:rPr>
            </w:r>
            <w:r w:rsidR="00F8126C">
              <w:rPr>
                <w:rFonts w:ascii="Times New Roman" w:hAnsi="Times New Roman" w:cs="Times New Roman"/>
                <w:sz w:val="20"/>
                <w:szCs w:val="20"/>
              </w:rPr>
              <w:fldChar w:fldCharType="separate"/>
            </w:r>
            <w:r w:rsidRPr="003146C9">
              <w:rPr>
                <w:rFonts w:ascii="Times New Roman" w:hAnsi="Times New Roman" w:cs="Times New Roman"/>
                <w:sz w:val="20"/>
                <w:szCs w:val="20"/>
              </w:rPr>
              <w:fldChar w:fldCharType="end"/>
            </w:r>
            <w:bookmarkEnd w:id="35"/>
          </w:p>
        </w:tc>
        <w:tc>
          <w:tcPr>
            <w:tcW w:w="448" w:type="pct"/>
            <w:gridSpan w:val="2"/>
            <w:shd w:val="clear" w:color="auto" w:fill="D9D9D9" w:themeFill="background1" w:themeFillShade="D9"/>
          </w:tcPr>
          <w:p w14:paraId="38D2FB6A" w14:textId="77777777" w:rsidR="005D1E7E" w:rsidRPr="003146C9" w:rsidRDefault="005D1E7E" w:rsidP="00572FDE">
            <w:pPr>
              <w:rPr>
                <w:rFonts w:ascii="Times New Roman" w:hAnsi="Times New Roman" w:cs="Times New Roman"/>
                <w:iCs/>
                <w:sz w:val="20"/>
                <w:szCs w:val="20"/>
              </w:rPr>
            </w:pPr>
            <w:r w:rsidRPr="003146C9">
              <w:rPr>
                <w:rFonts w:ascii="Times New Roman" w:hAnsi="Times New Roman" w:cs="Times New Roman"/>
                <w:sz w:val="20"/>
                <w:szCs w:val="20"/>
              </w:rPr>
              <w:fldChar w:fldCharType="begin">
                <w:ffData>
                  <w:name w:val="Check1"/>
                  <w:enabled/>
                  <w:calcOnExit w:val="0"/>
                  <w:checkBox>
                    <w:sizeAuto/>
                    <w:default w:val="0"/>
                  </w:checkBox>
                </w:ffData>
              </w:fldChar>
            </w:r>
            <w:r w:rsidRPr="003146C9">
              <w:rPr>
                <w:rFonts w:ascii="Times New Roman" w:hAnsi="Times New Roman" w:cs="Times New Roman"/>
                <w:sz w:val="20"/>
                <w:szCs w:val="20"/>
              </w:rPr>
              <w:instrText xml:space="preserve"> FORMCHECKBOX </w:instrText>
            </w:r>
            <w:r w:rsidR="00F8126C">
              <w:rPr>
                <w:rFonts w:ascii="Times New Roman" w:hAnsi="Times New Roman" w:cs="Times New Roman"/>
                <w:sz w:val="20"/>
                <w:szCs w:val="20"/>
              </w:rPr>
            </w:r>
            <w:r w:rsidR="00F8126C">
              <w:rPr>
                <w:rFonts w:ascii="Times New Roman" w:hAnsi="Times New Roman" w:cs="Times New Roman"/>
                <w:sz w:val="20"/>
                <w:szCs w:val="20"/>
              </w:rPr>
              <w:fldChar w:fldCharType="separate"/>
            </w:r>
            <w:r w:rsidRPr="003146C9">
              <w:rPr>
                <w:rFonts w:ascii="Times New Roman" w:hAnsi="Times New Roman" w:cs="Times New Roman"/>
                <w:sz w:val="20"/>
                <w:szCs w:val="20"/>
              </w:rPr>
              <w:fldChar w:fldCharType="end"/>
            </w:r>
          </w:p>
        </w:tc>
      </w:tr>
      <w:tr w:rsidR="00C52FA1" w:rsidRPr="00554BF1" w14:paraId="21393C59" w14:textId="77777777" w:rsidTr="003146C9">
        <w:trPr>
          <w:gridAfter w:val="1"/>
          <w:wAfter w:w="4" w:type="pct"/>
        </w:trPr>
        <w:tc>
          <w:tcPr>
            <w:tcW w:w="227" w:type="pct"/>
          </w:tcPr>
          <w:p w14:paraId="35F5386F" w14:textId="02B732D7" w:rsidR="00C52FA1" w:rsidRDefault="00294BE0" w:rsidP="00572FDE">
            <w:pPr>
              <w:rPr>
                <w:rFonts w:asciiTheme="majorBidi" w:hAnsiTheme="majorBidi" w:cstheme="majorBidi"/>
                <w:iCs/>
              </w:rPr>
            </w:pPr>
            <w:r>
              <w:rPr>
                <w:rFonts w:asciiTheme="majorBidi" w:hAnsiTheme="majorBidi" w:cstheme="majorBidi"/>
                <w:iCs/>
              </w:rPr>
              <w:t>4</w:t>
            </w:r>
          </w:p>
        </w:tc>
        <w:tc>
          <w:tcPr>
            <w:tcW w:w="1530" w:type="pct"/>
          </w:tcPr>
          <w:p w14:paraId="1B82C46E" w14:textId="0EE251C7" w:rsidR="00C52FA1" w:rsidRPr="003146C9" w:rsidRDefault="00C52FA1" w:rsidP="00572FDE">
            <w:pPr>
              <w:rPr>
                <w:rFonts w:ascii="Times New Roman" w:hAnsi="Times New Roman" w:cs="Times New Roman"/>
                <w:iCs/>
                <w:sz w:val="20"/>
                <w:szCs w:val="20"/>
              </w:rPr>
            </w:pPr>
            <w:r w:rsidRPr="002B2E1A">
              <w:rPr>
                <w:rFonts w:ascii="Times New Roman" w:hAnsi="Times New Roman" w:cs="Times New Roman"/>
                <w:color w:val="000000" w:themeColor="text1"/>
                <w:sz w:val="20"/>
                <w:szCs w:val="20"/>
              </w:rPr>
              <w:t>Strengthen technical staff with dedicated technician, for managing the construction of the wholesale market</w:t>
            </w:r>
          </w:p>
        </w:tc>
        <w:tc>
          <w:tcPr>
            <w:tcW w:w="721" w:type="pct"/>
          </w:tcPr>
          <w:p w14:paraId="65A6191A" w14:textId="77777777" w:rsidR="00C52FA1" w:rsidRPr="00312192" w:rsidRDefault="00C52FA1" w:rsidP="00C52FA1">
            <w:pPr>
              <w:rPr>
                <w:rFonts w:ascii="Times New Roman" w:hAnsi="Times New Roman" w:cs="Times New Roman"/>
                <w:color w:val="000000" w:themeColor="text1"/>
                <w:sz w:val="20"/>
                <w:szCs w:val="20"/>
              </w:rPr>
            </w:pPr>
            <w:r w:rsidRPr="002B2E1A">
              <w:rPr>
                <w:rFonts w:ascii="Times New Roman" w:hAnsi="Times New Roman" w:cs="Times New Roman"/>
                <w:color w:val="000000" w:themeColor="text1"/>
                <w:sz w:val="20"/>
                <w:szCs w:val="20"/>
              </w:rPr>
              <w:t>Before the launch of the call for tenders</w:t>
            </w:r>
          </w:p>
          <w:p w14:paraId="02B67C18" w14:textId="77777777" w:rsidR="00C52FA1" w:rsidRPr="003146C9" w:rsidRDefault="00C52FA1" w:rsidP="00572FDE">
            <w:pPr>
              <w:rPr>
                <w:rFonts w:ascii="Times New Roman" w:hAnsi="Times New Roman" w:cs="Times New Roman"/>
                <w:iCs/>
                <w:sz w:val="20"/>
                <w:szCs w:val="20"/>
              </w:rPr>
            </w:pPr>
          </w:p>
        </w:tc>
        <w:tc>
          <w:tcPr>
            <w:tcW w:w="802" w:type="pct"/>
          </w:tcPr>
          <w:p w14:paraId="2DC346D0" w14:textId="05E68BEF" w:rsidR="00C52FA1" w:rsidRPr="003146C9" w:rsidRDefault="003C38C3" w:rsidP="00572FDE">
            <w:pPr>
              <w:rPr>
                <w:rFonts w:ascii="Times New Roman" w:hAnsi="Times New Roman" w:cs="Times New Roman"/>
                <w:iCs/>
                <w:sz w:val="20"/>
                <w:szCs w:val="20"/>
              </w:rPr>
            </w:pPr>
            <w:r w:rsidRPr="003146C9">
              <w:rPr>
                <w:rFonts w:ascii="Times New Roman" w:hAnsi="Times New Roman" w:cs="Times New Roman"/>
                <w:iCs/>
                <w:sz w:val="20"/>
                <w:szCs w:val="20"/>
              </w:rPr>
              <w:t>RRA</w:t>
            </w:r>
          </w:p>
        </w:tc>
        <w:tc>
          <w:tcPr>
            <w:tcW w:w="912" w:type="pct"/>
            <w:gridSpan w:val="2"/>
          </w:tcPr>
          <w:p w14:paraId="378065D8" w14:textId="2485BD34" w:rsidR="00C52FA1" w:rsidRPr="003146C9" w:rsidRDefault="00C52FA1" w:rsidP="00572FDE">
            <w:pPr>
              <w:rPr>
                <w:rFonts w:ascii="Times New Roman" w:hAnsi="Times New Roman" w:cs="Times New Roman"/>
                <w:iCs/>
                <w:sz w:val="20"/>
                <w:szCs w:val="20"/>
              </w:rPr>
            </w:pPr>
            <w:r w:rsidRPr="003146C9">
              <w:rPr>
                <w:rFonts w:ascii="Times New Roman" w:hAnsi="Times New Roman" w:cs="Times New Roman"/>
                <w:iCs/>
                <w:sz w:val="20"/>
                <w:szCs w:val="20"/>
              </w:rPr>
              <w:t>Staff redeployed (dedicated to the management of the wholesale market)</w:t>
            </w:r>
          </w:p>
        </w:tc>
        <w:tc>
          <w:tcPr>
            <w:tcW w:w="356" w:type="pct"/>
            <w:shd w:val="clear" w:color="auto" w:fill="D9D9D9" w:themeFill="background1" w:themeFillShade="D9"/>
          </w:tcPr>
          <w:p w14:paraId="53CFD680" w14:textId="63A331D2" w:rsidR="00C52FA1" w:rsidRPr="003146C9" w:rsidRDefault="00AA35CF" w:rsidP="00572FDE">
            <w:pPr>
              <w:rPr>
                <w:rFonts w:ascii="Times New Roman" w:hAnsi="Times New Roman" w:cs="Times New Roman"/>
                <w:sz w:val="20"/>
                <w:szCs w:val="20"/>
              </w:rPr>
            </w:pPr>
            <w:r w:rsidRPr="003146C9">
              <w:rPr>
                <w:rFonts w:ascii="Times New Roman" w:hAnsi="Times New Roman" w:cs="Times New Roman"/>
                <w:sz w:val="20"/>
                <w:szCs w:val="20"/>
              </w:rPr>
              <w:fldChar w:fldCharType="begin">
                <w:ffData>
                  <w:name w:val="Check1"/>
                  <w:enabled/>
                  <w:calcOnExit w:val="0"/>
                  <w:checkBox>
                    <w:sizeAuto/>
                    <w:default w:val="0"/>
                  </w:checkBox>
                </w:ffData>
              </w:fldChar>
            </w:r>
            <w:r w:rsidRPr="003146C9">
              <w:rPr>
                <w:rFonts w:ascii="Times New Roman" w:hAnsi="Times New Roman" w:cs="Times New Roman"/>
                <w:sz w:val="20"/>
                <w:szCs w:val="20"/>
              </w:rPr>
              <w:instrText xml:space="preserve"> FORMCHECKBOX </w:instrText>
            </w:r>
            <w:r w:rsidR="00F8126C">
              <w:rPr>
                <w:rFonts w:ascii="Times New Roman" w:hAnsi="Times New Roman" w:cs="Times New Roman"/>
                <w:sz w:val="20"/>
                <w:szCs w:val="20"/>
              </w:rPr>
            </w:r>
            <w:r w:rsidR="00F8126C">
              <w:rPr>
                <w:rFonts w:ascii="Times New Roman" w:hAnsi="Times New Roman" w:cs="Times New Roman"/>
                <w:sz w:val="20"/>
                <w:szCs w:val="20"/>
              </w:rPr>
              <w:fldChar w:fldCharType="separate"/>
            </w:r>
            <w:r w:rsidRPr="003146C9">
              <w:rPr>
                <w:rFonts w:ascii="Times New Roman" w:hAnsi="Times New Roman" w:cs="Times New Roman"/>
                <w:sz w:val="20"/>
                <w:szCs w:val="20"/>
              </w:rPr>
              <w:fldChar w:fldCharType="end"/>
            </w:r>
          </w:p>
        </w:tc>
        <w:tc>
          <w:tcPr>
            <w:tcW w:w="448" w:type="pct"/>
            <w:gridSpan w:val="2"/>
            <w:shd w:val="clear" w:color="auto" w:fill="D9D9D9" w:themeFill="background1" w:themeFillShade="D9"/>
          </w:tcPr>
          <w:p w14:paraId="6764CDD4" w14:textId="22D253F3" w:rsidR="00C52FA1" w:rsidRPr="003146C9" w:rsidRDefault="00AA35CF" w:rsidP="00572FDE">
            <w:pPr>
              <w:rPr>
                <w:rFonts w:ascii="Times New Roman" w:hAnsi="Times New Roman" w:cs="Times New Roman"/>
                <w:sz w:val="20"/>
                <w:szCs w:val="20"/>
              </w:rPr>
            </w:pPr>
            <w:r w:rsidRPr="003146C9">
              <w:rPr>
                <w:rFonts w:ascii="Times New Roman" w:hAnsi="Times New Roman" w:cs="Times New Roman"/>
                <w:sz w:val="20"/>
                <w:szCs w:val="20"/>
              </w:rPr>
              <w:fldChar w:fldCharType="begin">
                <w:ffData>
                  <w:name w:val="Check1"/>
                  <w:enabled/>
                  <w:calcOnExit w:val="0"/>
                  <w:checkBox>
                    <w:sizeAuto/>
                    <w:default w:val="0"/>
                  </w:checkBox>
                </w:ffData>
              </w:fldChar>
            </w:r>
            <w:r w:rsidRPr="003146C9">
              <w:rPr>
                <w:rFonts w:ascii="Times New Roman" w:hAnsi="Times New Roman" w:cs="Times New Roman"/>
                <w:sz w:val="20"/>
                <w:szCs w:val="20"/>
              </w:rPr>
              <w:instrText xml:space="preserve"> FORMCHECKBOX </w:instrText>
            </w:r>
            <w:r w:rsidR="00F8126C">
              <w:rPr>
                <w:rFonts w:ascii="Times New Roman" w:hAnsi="Times New Roman" w:cs="Times New Roman"/>
                <w:sz w:val="20"/>
                <w:szCs w:val="20"/>
              </w:rPr>
            </w:r>
            <w:r w:rsidR="00F8126C">
              <w:rPr>
                <w:rFonts w:ascii="Times New Roman" w:hAnsi="Times New Roman" w:cs="Times New Roman"/>
                <w:sz w:val="20"/>
                <w:szCs w:val="20"/>
              </w:rPr>
              <w:fldChar w:fldCharType="separate"/>
            </w:r>
            <w:r w:rsidRPr="003146C9">
              <w:rPr>
                <w:rFonts w:ascii="Times New Roman" w:hAnsi="Times New Roman" w:cs="Times New Roman"/>
                <w:sz w:val="20"/>
                <w:szCs w:val="20"/>
              </w:rPr>
              <w:fldChar w:fldCharType="end"/>
            </w:r>
          </w:p>
        </w:tc>
      </w:tr>
      <w:tr w:rsidR="00C52FA1" w:rsidRPr="00554BF1" w14:paraId="2EA3E693" w14:textId="77777777" w:rsidTr="003146C9">
        <w:trPr>
          <w:gridAfter w:val="1"/>
          <w:wAfter w:w="4" w:type="pct"/>
        </w:trPr>
        <w:tc>
          <w:tcPr>
            <w:tcW w:w="227" w:type="pct"/>
          </w:tcPr>
          <w:p w14:paraId="2AFD72BD" w14:textId="587F3A25" w:rsidR="00C52FA1" w:rsidRPr="00BC7BB5" w:rsidRDefault="00294BE0" w:rsidP="00572FDE">
            <w:pPr>
              <w:rPr>
                <w:rFonts w:asciiTheme="majorBidi" w:hAnsiTheme="majorBidi" w:cstheme="majorBidi"/>
                <w:iCs/>
              </w:rPr>
            </w:pPr>
            <w:r>
              <w:rPr>
                <w:rFonts w:asciiTheme="majorBidi" w:hAnsiTheme="majorBidi" w:cstheme="majorBidi"/>
                <w:iCs/>
              </w:rPr>
              <w:t>5</w:t>
            </w:r>
          </w:p>
        </w:tc>
        <w:tc>
          <w:tcPr>
            <w:tcW w:w="1530" w:type="pct"/>
          </w:tcPr>
          <w:p w14:paraId="6ADA39CC" w14:textId="131B8BC8" w:rsidR="00C52FA1" w:rsidRPr="00312192" w:rsidRDefault="00C52FA1" w:rsidP="00C52FA1">
            <w:pPr>
              <w:rPr>
                <w:rFonts w:ascii="Times New Roman" w:hAnsi="Times New Roman" w:cs="Times New Roman"/>
                <w:color w:val="000000" w:themeColor="text1"/>
                <w:sz w:val="20"/>
                <w:szCs w:val="20"/>
              </w:rPr>
            </w:pPr>
            <w:r w:rsidRPr="002B2E1A">
              <w:rPr>
                <w:rFonts w:ascii="Times New Roman" w:hAnsi="Times New Roman" w:cs="Times New Roman"/>
                <w:color w:val="000000" w:themeColor="text1"/>
                <w:sz w:val="20"/>
                <w:szCs w:val="20"/>
              </w:rPr>
              <w:t>Periodic reporting on the construction of the wholesale market (physical and financial progress)</w:t>
            </w:r>
            <w:r w:rsidR="00BF1873">
              <w:rPr>
                <w:rFonts w:ascii="Times New Roman" w:hAnsi="Times New Roman" w:cs="Times New Roman"/>
                <w:color w:val="000000" w:themeColor="text1"/>
                <w:sz w:val="20"/>
                <w:szCs w:val="20"/>
              </w:rPr>
              <w:t>,</w:t>
            </w:r>
            <w:r w:rsidRPr="002B2E1A">
              <w:rPr>
                <w:rFonts w:ascii="Times New Roman" w:hAnsi="Times New Roman" w:cs="Times New Roman"/>
                <w:color w:val="000000" w:themeColor="text1"/>
                <w:sz w:val="20"/>
                <w:szCs w:val="20"/>
              </w:rPr>
              <w:t xml:space="preserve"> including technical and fiduciary performance aspects</w:t>
            </w:r>
          </w:p>
          <w:p w14:paraId="582784D1" w14:textId="77777777" w:rsidR="00C52FA1" w:rsidRPr="003146C9" w:rsidRDefault="00C52FA1" w:rsidP="00572FDE">
            <w:pPr>
              <w:rPr>
                <w:rFonts w:ascii="Times New Roman" w:hAnsi="Times New Roman" w:cs="Times New Roman"/>
                <w:iCs/>
                <w:sz w:val="20"/>
                <w:szCs w:val="20"/>
              </w:rPr>
            </w:pPr>
          </w:p>
        </w:tc>
        <w:tc>
          <w:tcPr>
            <w:tcW w:w="721" w:type="pct"/>
          </w:tcPr>
          <w:p w14:paraId="7076BC69" w14:textId="77777777" w:rsidR="00C52FA1" w:rsidRPr="00312192" w:rsidRDefault="00C52FA1" w:rsidP="00C52FA1">
            <w:pPr>
              <w:pStyle w:val="ListParagraph"/>
              <w:ind w:left="0"/>
              <w:rPr>
                <w:rFonts w:ascii="Times New Roman" w:hAnsi="Times New Roman" w:cs="Times New Roman"/>
                <w:color w:val="000000" w:themeColor="text1"/>
                <w:sz w:val="20"/>
                <w:szCs w:val="20"/>
              </w:rPr>
            </w:pPr>
            <w:r w:rsidRPr="002B2E1A">
              <w:rPr>
                <w:rFonts w:ascii="Times New Roman" w:hAnsi="Times New Roman" w:cs="Times New Roman"/>
                <w:color w:val="000000" w:themeColor="text1"/>
                <w:sz w:val="20"/>
                <w:szCs w:val="20"/>
              </w:rPr>
              <w:t>Same as due date of program implementation report</w:t>
            </w:r>
          </w:p>
          <w:p w14:paraId="7F1F1CB0" w14:textId="77777777" w:rsidR="00C52FA1" w:rsidRPr="003146C9" w:rsidRDefault="00C52FA1" w:rsidP="00572FDE">
            <w:pPr>
              <w:rPr>
                <w:rFonts w:ascii="Times New Roman" w:hAnsi="Times New Roman" w:cs="Times New Roman"/>
                <w:iCs/>
                <w:sz w:val="20"/>
                <w:szCs w:val="20"/>
              </w:rPr>
            </w:pPr>
          </w:p>
        </w:tc>
        <w:tc>
          <w:tcPr>
            <w:tcW w:w="802" w:type="pct"/>
          </w:tcPr>
          <w:p w14:paraId="679C992D" w14:textId="428987C4" w:rsidR="00C52FA1" w:rsidRPr="003146C9" w:rsidRDefault="003C38C3" w:rsidP="00572FDE">
            <w:pPr>
              <w:rPr>
                <w:rFonts w:ascii="Times New Roman" w:hAnsi="Times New Roman" w:cs="Times New Roman"/>
                <w:iCs/>
                <w:sz w:val="20"/>
                <w:szCs w:val="20"/>
              </w:rPr>
            </w:pPr>
            <w:r w:rsidRPr="003146C9">
              <w:rPr>
                <w:rFonts w:ascii="Times New Roman" w:hAnsi="Times New Roman" w:cs="Times New Roman"/>
                <w:iCs/>
                <w:sz w:val="20"/>
                <w:szCs w:val="20"/>
              </w:rPr>
              <w:t>RRA</w:t>
            </w:r>
          </w:p>
        </w:tc>
        <w:tc>
          <w:tcPr>
            <w:tcW w:w="912" w:type="pct"/>
            <w:gridSpan w:val="2"/>
          </w:tcPr>
          <w:p w14:paraId="7DAD3C52" w14:textId="0965E0AD" w:rsidR="00C52FA1" w:rsidRPr="003146C9" w:rsidRDefault="00C52FA1" w:rsidP="00572FDE">
            <w:pPr>
              <w:rPr>
                <w:rFonts w:ascii="Times New Roman" w:hAnsi="Times New Roman" w:cs="Times New Roman"/>
                <w:iCs/>
                <w:sz w:val="20"/>
                <w:szCs w:val="20"/>
              </w:rPr>
            </w:pPr>
            <w:r w:rsidRPr="003146C9">
              <w:rPr>
                <w:rFonts w:ascii="Times New Roman" w:hAnsi="Times New Roman" w:cs="Times New Roman"/>
                <w:iCs/>
                <w:sz w:val="20"/>
                <w:szCs w:val="20"/>
              </w:rPr>
              <w:t>Reports submitted by MAPMDREF</w:t>
            </w:r>
          </w:p>
        </w:tc>
        <w:tc>
          <w:tcPr>
            <w:tcW w:w="356" w:type="pct"/>
            <w:shd w:val="clear" w:color="auto" w:fill="D9D9D9" w:themeFill="background1" w:themeFillShade="D9"/>
          </w:tcPr>
          <w:p w14:paraId="79F001FB" w14:textId="163891DF" w:rsidR="00C52FA1" w:rsidRPr="003146C9" w:rsidRDefault="00AA35CF" w:rsidP="00572FDE">
            <w:pPr>
              <w:rPr>
                <w:rFonts w:ascii="Times New Roman" w:hAnsi="Times New Roman" w:cs="Times New Roman"/>
                <w:sz w:val="20"/>
                <w:szCs w:val="20"/>
              </w:rPr>
            </w:pPr>
            <w:r w:rsidRPr="003146C9">
              <w:rPr>
                <w:rFonts w:ascii="Times New Roman" w:hAnsi="Times New Roman" w:cs="Times New Roman"/>
                <w:sz w:val="20"/>
                <w:szCs w:val="20"/>
              </w:rPr>
              <w:fldChar w:fldCharType="begin">
                <w:ffData>
                  <w:name w:val="Check1"/>
                  <w:enabled/>
                  <w:calcOnExit w:val="0"/>
                  <w:checkBox>
                    <w:sizeAuto/>
                    <w:default w:val="0"/>
                  </w:checkBox>
                </w:ffData>
              </w:fldChar>
            </w:r>
            <w:r w:rsidRPr="003146C9">
              <w:rPr>
                <w:rFonts w:ascii="Times New Roman" w:hAnsi="Times New Roman" w:cs="Times New Roman"/>
                <w:sz w:val="20"/>
                <w:szCs w:val="20"/>
              </w:rPr>
              <w:instrText xml:space="preserve"> FORMCHECKBOX </w:instrText>
            </w:r>
            <w:r w:rsidR="00F8126C">
              <w:rPr>
                <w:rFonts w:ascii="Times New Roman" w:hAnsi="Times New Roman" w:cs="Times New Roman"/>
                <w:sz w:val="20"/>
                <w:szCs w:val="20"/>
              </w:rPr>
            </w:r>
            <w:r w:rsidR="00F8126C">
              <w:rPr>
                <w:rFonts w:ascii="Times New Roman" w:hAnsi="Times New Roman" w:cs="Times New Roman"/>
                <w:sz w:val="20"/>
                <w:szCs w:val="20"/>
              </w:rPr>
              <w:fldChar w:fldCharType="separate"/>
            </w:r>
            <w:r w:rsidRPr="003146C9">
              <w:rPr>
                <w:rFonts w:ascii="Times New Roman" w:hAnsi="Times New Roman" w:cs="Times New Roman"/>
                <w:sz w:val="20"/>
                <w:szCs w:val="20"/>
              </w:rPr>
              <w:fldChar w:fldCharType="end"/>
            </w:r>
          </w:p>
        </w:tc>
        <w:tc>
          <w:tcPr>
            <w:tcW w:w="448" w:type="pct"/>
            <w:gridSpan w:val="2"/>
            <w:shd w:val="clear" w:color="auto" w:fill="D9D9D9" w:themeFill="background1" w:themeFillShade="D9"/>
          </w:tcPr>
          <w:p w14:paraId="0789057B" w14:textId="268C9804" w:rsidR="00C52FA1" w:rsidRPr="003146C9" w:rsidRDefault="00AA35CF" w:rsidP="00572FDE">
            <w:pPr>
              <w:rPr>
                <w:rFonts w:ascii="Times New Roman" w:hAnsi="Times New Roman" w:cs="Times New Roman"/>
                <w:sz w:val="20"/>
                <w:szCs w:val="20"/>
              </w:rPr>
            </w:pPr>
            <w:r w:rsidRPr="003146C9">
              <w:rPr>
                <w:rFonts w:ascii="Times New Roman" w:hAnsi="Times New Roman" w:cs="Times New Roman"/>
                <w:sz w:val="20"/>
                <w:szCs w:val="20"/>
              </w:rPr>
              <w:fldChar w:fldCharType="begin">
                <w:ffData>
                  <w:name w:val="Check1"/>
                  <w:enabled/>
                  <w:calcOnExit w:val="0"/>
                  <w:checkBox>
                    <w:sizeAuto/>
                    <w:default w:val="0"/>
                  </w:checkBox>
                </w:ffData>
              </w:fldChar>
            </w:r>
            <w:r w:rsidRPr="003146C9">
              <w:rPr>
                <w:rFonts w:ascii="Times New Roman" w:hAnsi="Times New Roman" w:cs="Times New Roman"/>
                <w:sz w:val="20"/>
                <w:szCs w:val="20"/>
              </w:rPr>
              <w:instrText xml:space="preserve"> FORMCHECKBOX </w:instrText>
            </w:r>
            <w:r w:rsidR="00F8126C">
              <w:rPr>
                <w:rFonts w:ascii="Times New Roman" w:hAnsi="Times New Roman" w:cs="Times New Roman"/>
                <w:sz w:val="20"/>
                <w:szCs w:val="20"/>
              </w:rPr>
            </w:r>
            <w:r w:rsidR="00F8126C">
              <w:rPr>
                <w:rFonts w:ascii="Times New Roman" w:hAnsi="Times New Roman" w:cs="Times New Roman"/>
                <w:sz w:val="20"/>
                <w:szCs w:val="20"/>
              </w:rPr>
              <w:fldChar w:fldCharType="separate"/>
            </w:r>
            <w:r w:rsidRPr="003146C9">
              <w:rPr>
                <w:rFonts w:ascii="Times New Roman" w:hAnsi="Times New Roman" w:cs="Times New Roman"/>
                <w:sz w:val="20"/>
                <w:szCs w:val="20"/>
              </w:rPr>
              <w:fldChar w:fldCharType="end"/>
            </w:r>
          </w:p>
        </w:tc>
      </w:tr>
      <w:tr w:rsidR="005D1E7E" w:rsidRPr="00554BF1" w14:paraId="2D188F74" w14:textId="77777777" w:rsidTr="003146C9">
        <w:trPr>
          <w:gridAfter w:val="1"/>
          <w:wAfter w:w="4" w:type="pct"/>
        </w:trPr>
        <w:tc>
          <w:tcPr>
            <w:tcW w:w="227" w:type="pct"/>
          </w:tcPr>
          <w:p w14:paraId="5E9C44AD" w14:textId="1D5673B3" w:rsidR="005D1E7E" w:rsidRPr="00BC7BB5" w:rsidRDefault="00294BE0" w:rsidP="00572FDE">
            <w:pPr>
              <w:rPr>
                <w:rFonts w:asciiTheme="majorBidi" w:hAnsiTheme="majorBidi" w:cstheme="majorBidi"/>
                <w:iCs/>
              </w:rPr>
            </w:pPr>
            <w:r>
              <w:rPr>
                <w:rFonts w:asciiTheme="majorBidi" w:hAnsiTheme="majorBidi" w:cstheme="majorBidi"/>
                <w:iCs/>
              </w:rPr>
              <w:t>6</w:t>
            </w:r>
          </w:p>
        </w:tc>
        <w:tc>
          <w:tcPr>
            <w:tcW w:w="1530" w:type="pct"/>
          </w:tcPr>
          <w:p w14:paraId="2C037CC9" w14:textId="77777777" w:rsidR="005D1E7E" w:rsidRPr="003146C9" w:rsidRDefault="005D1E7E" w:rsidP="00572FDE">
            <w:pPr>
              <w:rPr>
                <w:rFonts w:ascii="Times New Roman" w:hAnsi="Times New Roman" w:cs="Times New Roman"/>
                <w:iCs/>
                <w:sz w:val="20"/>
                <w:szCs w:val="20"/>
              </w:rPr>
            </w:pPr>
            <w:r w:rsidRPr="003146C9">
              <w:rPr>
                <w:rFonts w:ascii="Times New Roman" w:hAnsi="Times New Roman" w:cs="Times New Roman"/>
                <w:iCs/>
                <w:sz w:val="20"/>
                <w:szCs w:val="20"/>
              </w:rPr>
              <w:t>Prepare consolidated periodic reports on contract execution with a performance analysis</w:t>
            </w:r>
          </w:p>
        </w:tc>
        <w:tc>
          <w:tcPr>
            <w:tcW w:w="721" w:type="pct"/>
          </w:tcPr>
          <w:p w14:paraId="1CD6FFFE" w14:textId="77777777" w:rsidR="005D1E7E" w:rsidRPr="003146C9" w:rsidRDefault="005D1E7E" w:rsidP="00572FDE">
            <w:pPr>
              <w:rPr>
                <w:rFonts w:ascii="Times New Roman" w:hAnsi="Times New Roman" w:cs="Times New Roman"/>
                <w:iCs/>
                <w:sz w:val="20"/>
                <w:szCs w:val="20"/>
              </w:rPr>
            </w:pPr>
            <w:r w:rsidRPr="003146C9">
              <w:rPr>
                <w:rFonts w:ascii="Times New Roman" w:hAnsi="Times New Roman" w:cs="Times New Roman"/>
                <w:iCs/>
                <w:sz w:val="20"/>
                <w:szCs w:val="20"/>
              </w:rPr>
              <w:t>Recurrent</w:t>
            </w:r>
          </w:p>
        </w:tc>
        <w:tc>
          <w:tcPr>
            <w:tcW w:w="802" w:type="pct"/>
          </w:tcPr>
          <w:p w14:paraId="7F2765FF" w14:textId="77777777" w:rsidR="005D1E7E" w:rsidRPr="003146C9" w:rsidRDefault="005D1E7E" w:rsidP="00572FDE">
            <w:pPr>
              <w:rPr>
                <w:rFonts w:ascii="Times New Roman" w:hAnsi="Times New Roman" w:cs="Times New Roman"/>
                <w:iCs/>
                <w:sz w:val="20"/>
                <w:szCs w:val="20"/>
              </w:rPr>
            </w:pPr>
            <w:r w:rsidRPr="003146C9">
              <w:rPr>
                <w:rFonts w:ascii="Times New Roman" w:hAnsi="Times New Roman" w:cs="Times New Roman"/>
                <w:iCs/>
                <w:sz w:val="20"/>
                <w:szCs w:val="20"/>
              </w:rPr>
              <w:t>MAPMDREF/</w:t>
            </w:r>
          </w:p>
          <w:p w14:paraId="2580E6B8" w14:textId="45536B4B" w:rsidR="005D1E7E" w:rsidRPr="003146C9" w:rsidRDefault="005D1E7E" w:rsidP="00572FDE">
            <w:pPr>
              <w:rPr>
                <w:rFonts w:ascii="Times New Roman" w:hAnsi="Times New Roman" w:cs="Times New Roman"/>
                <w:iCs/>
                <w:sz w:val="20"/>
                <w:szCs w:val="20"/>
              </w:rPr>
            </w:pPr>
            <w:r w:rsidRPr="003146C9">
              <w:rPr>
                <w:rFonts w:ascii="Times New Roman" w:hAnsi="Times New Roman" w:cs="Times New Roman"/>
                <w:iCs/>
                <w:sz w:val="20"/>
                <w:szCs w:val="20"/>
              </w:rPr>
              <w:t>ONSSA/</w:t>
            </w:r>
            <w:r w:rsidR="003C38C3" w:rsidRPr="003146C9">
              <w:rPr>
                <w:rFonts w:ascii="Times New Roman" w:hAnsi="Times New Roman" w:cs="Times New Roman"/>
                <w:iCs/>
                <w:sz w:val="20"/>
                <w:szCs w:val="20"/>
              </w:rPr>
              <w:t>RRA</w:t>
            </w:r>
          </w:p>
          <w:p w14:paraId="5D1FD6B7" w14:textId="7FC8184A" w:rsidR="005D1E7E" w:rsidRPr="003146C9" w:rsidRDefault="005D1E7E" w:rsidP="00572FDE">
            <w:pPr>
              <w:rPr>
                <w:rFonts w:ascii="Times New Roman" w:hAnsi="Times New Roman" w:cs="Times New Roman"/>
                <w:iCs/>
                <w:sz w:val="20"/>
                <w:szCs w:val="20"/>
              </w:rPr>
            </w:pPr>
          </w:p>
        </w:tc>
        <w:tc>
          <w:tcPr>
            <w:tcW w:w="912" w:type="pct"/>
            <w:gridSpan w:val="2"/>
          </w:tcPr>
          <w:p w14:paraId="297D1B53" w14:textId="77777777" w:rsidR="005D1E7E" w:rsidRPr="003146C9" w:rsidRDefault="005D1E7E" w:rsidP="00572FDE">
            <w:pPr>
              <w:rPr>
                <w:rFonts w:ascii="Times New Roman" w:hAnsi="Times New Roman" w:cs="Times New Roman"/>
                <w:iCs/>
                <w:sz w:val="20"/>
                <w:szCs w:val="20"/>
              </w:rPr>
            </w:pPr>
            <w:r w:rsidRPr="003146C9">
              <w:rPr>
                <w:rFonts w:ascii="Times New Roman" w:hAnsi="Times New Roman" w:cs="Times New Roman"/>
                <w:iCs/>
                <w:sz w:val="20"/>
                <w:szCs w:val="20"/>
              </w:rPr>
              <w:t>Reports submitted by MAPMDREF</w:t>
            </w:r>
          </w:p>
        </w:tc>
        <w:tc>
          <w:tcPr>
            <w:tcW w:w="356" w:type="pct"/>
            <w:shd w:val="clear" w:color="auto" w:fill="D9D9D9" w:themeFill="background1" w:themeFillShade="D9"/>
          </w:tcPr>
          <w:p w14:paraId="3F8E07C2" w14:textId="77777777" w:rsidR="005D1E7E" w:rsidRPr="003146C9" w:rsidRDefault="005D1E7E" w:rsidP="00572FDE">
            <w:pPr>
              <w:rPr>
                <w:rFonts w:ascii="Times New Roman" w:hAnsi="Times New Roman" w:cs="Times New Roman"/>
                <w:iCs/>
                <w:sz w:val="20"/>
                <w:szCs w:val="20"/>
              </w:rPr>
            </w:pPr>
            <w:r w:rsidRPr="003146C9">
              <w:rPr>
                <w:rFonts w:ascii="Times New Roman" w:hAnsi="Times New Roman" w:cs="Times New Roman"/>
                <w:sz w:val="20"/>
                <w:szCs w:val="20"/>
              </w:rPr>
              <w:fldChar w:fldCharType="begin">
                <w:ffData>
                  <w:name w:val="Check1"/>
                  <w:enabled/>
                  <w:calcOnExit w:val="0"/>
                  <w:checkBox>
                    <w:sizeAuto/>
                    <w:default w:val="0"/>
                  </w:checkBox>
                </w:ffData>
              </w:fldChar>
            </w:r>
            <w:r w:rsidRPr="003146C9">
              <w:rPr>
                <w:rFonts w:ascii="Times New Roman" w:hAnsi="Times New Roman" w:cs="Times New Roman"/>
                <w:sz w:val="20"/>
                <w:szCs w:val="20"/>
              </w:rPr>
              <w:instrText xml:space="preserve"> FORMCHECKBOX </w:instrText>
            </w:r>
            <w:r w:rsidR="00F8126C">
              <w:rPr>
                <w:rFonts w:ascii="Times New Roman" w:hAnsi="Times New Roman" w:cs="Times New Roman"/>
                <w:sz w:val="20"/>
                <w:szCs w:val="20"/>
              </w:rPr>
            </w:r>
            <w:r w:rsidR="00F8126C">
              <w:rPr>
                <w:rFonts w:ascii="Times New Roman" w:hAnsi="Times New Roman" w:cs="Times New Roman"/>
                <w:sz w:val="20"/>
                <w:szCs w:val="20"/>
              </w:rPr>
              <w:fldChar w:fldCharType="separate"/>
            </w:r>
            <w:r w:rsidRPr="003146C9">
              <w:rPr>
                <w:rFonts w:ascii="Times New Roman" w:hAnsi="Times New Roman" w:cs="Times New Roman"/>
                <w:sz w:val="20"/>
                <w:szCs w:val="20"/>
              </w:rPr>
              <w:fldChar w:fldCharType="end"/>
            </w:r>
          </w:p>
        </w:tc>
        <w:tc>
          <w:tcPr>
            <w:tcW w:w="448" w:type="pct"/>
            <w:gridSpan w:val="2"/>
            <w:shd w:val="clear" w:color="auto" w:fill="D9D9D9" w:themeFill="background1" w:themeFillShade="D9"/>
          </w:tcPr>
          <w:p w14:paraId="46CC77B1" w14:textId="77777777" w:rsidR="005D1E7E" w:rsidRPr="003146C9" w:rsidRDefault="005D1E7E" w:rsidP="00572FDE">
            <w:pPr>
              <w:rPr>
                <w:rFonts w:ascii="Times New Roman" w:hAnsi="Times New Roman" w:cs="Times New Roman"/>
                <w:iCs/>
                <w:sz w:val="20"/>
                <w:szCs w:val="20"/>
              </w:rPr>
            </w:pPr>
            <w:r w:rsidRPr="003146C9">
              <w:rPr>
                <w:rFonts w:ascii="Times New Roman" w:hAnsi="Times New Roman" w:cs="Times New Roman"/>
                <w:sz w:val="20"/>
                <w:szCs w:val="20"/>
              </w:rPr>
              <w:fldChar w:fldCharType="begin">
                <w:ffData>
                  <w:name w:val="Check1"/>
                  <w:enabled/>
                  <w:calcOnExit w:val="0"/>
                  <w:checkBox>
                    <w:sizeAuto/>
                    <w:default w:val="0"/>
                  </w:checkBox>
                </w:ffData>
              </w:fldChar>
            </w:r>
            <w:r w:rsidRPr="003146C9">
              <w:rPr>
                <w:rFonts w:ascii="Times New Roman" w:hAnsi="Times New Roman" w:cs="Times New Roman"/>
                <w:sz w:val="20"/>
                <w:szCs w:val="20"/>
              </w:rPr>
              <w:instrText xml:space="preserve"> FORMCHECKBOX </w:instrText>
            </w:r>
            <w:r w:rsidR="00F8126C">
              <w:rPr>
                <w:rFonts w:ascii="Times New Roman" w:hAnsi="Times New Roman" w:cs="Times New Roman"/>
                <w:sz w:val="20"/>
                <w:szCs w:val="20"/>
              </w:rPr>
            </w:r>
            <w:r w:rsidR="00F8126C">
              <w:rPr>
                <w:rFonts w:ascii="Times New Roman" w:hAnsi="Times New Roman" w:cs="Times New Roman"/>
                <w:sz w:val="20"/>
                <w:szCs w:val="20"/>
              </w:rPr>
              <w:fldChar w:fldCharType="separate"/>
            </w:r>
            <w:r w:rsidRPr="003146C9">
              <w:rPr>
                <w:rFonts w:ascii="Times New Roman" w:hAnsi="Times New Roman" w:cs="Times New Roman"/>
                <w:sz w:val="20"/>
                <w:szCs w:val="20"/>
              </w:rPr>
              <w:fldChar w:fldCharType="end"/>
            </w:r>
          </w:p>
        </w:tc>
      </w:tr>
      <w:tr w:rsidR="00AC14E1" w:rsidRPr="00554BF1" w14:paraId="1DAC6EC3" w14:textId="77777777" w:rsidTr="00FF1F7A">
        <w:tc>
          <w:tcPr>
            <w:tcW w:w="227" w:type="pct"/>
            <w:shd w:val="clear" w:color="auto" w:fill="D9D9D9" w:themeFill="background1" w:themeFillShade="D9"/>
          </w:tcPr>
          <w:p w14:paraId="6A40F489" w14:textId="77777777" w:rsidR="00AC14E1" w:rsidRPr="00BC7BB5" w:rsidRDefault="00AC14E1" w:rsidP="0054579B">
            <w:pPr>
              <w:rPr>
                <w:rFonts w:ascii="Times New Roman" w:hAnsi="Times New Roman"/>
              </w:rPr>
            </w:pPr>
          </w:p>
        </w:tc>
        <w:tc>
          <w:tcPr>
            <w:tcW w:w="3965" w:type="pct"/>
            <w:gridSpan w:val="5"/>
            <w:shd w:val="clear" w:color="auto" w:fill="D9D9D9" w:themeFill="background1" w:themeFillShade="D9"/>
          </w:tcPr>
          <w:p w14:paraId="79C27D1C" w14:textId="0DAFFE1C" w:rsidR="00AC14E1" w:rsidRPr="003146C9" w:rsidRDefault="00AC14E1" w:rsidP="0054579B">
            <w:pPr>
              <w:rPr>
                <w:rFonts w:ascii="Times New Roman" w:hAnsi="Times New Roman" w:cs="Times New Roman"/>
                <w:sz w:val="20"/>
                <w:szCs w:val="20"/>
              </w:rPr>
            </w:pPr>
            <w:r w:rsidRPr="003146C9">
              <w:rPr>
                <w:rFonts w:ascii="Times New Roman" w:hAnsi="Times New Roman" w:cs="Times New Roman"/>
                <w:sz w:val="20"/>
                <w:szCs w:val="20"/>
              </w:rPr>
              <w:t>Environmental and social management system</w:t>
            </w:r>
            <w:r w:rsidR="00495026" w:rsidRPr="003146C9">
              <w:rPr>
                <w:rFonts w:ascii="Times New Roman" w:hAnsi="Times New Roman" w:cs="Times New Roman"/>
                <w:sz w:val="20"/>
                <w:szCs w:val="20"/>
              </w:rPr>
              <w:t>s</w:t>
            </w:r>
          </w:p>
        </w:tc>
        <w:tc>
          <w:tcPr>
            <w:tcW w:w="364" w:type="pct"/>
            <w:gridSpan w:val="2"/>
            <w:shd w:val="clear" w:color="auto" w:fill="D9D9D9" w:themeFill="background1" w:themeFillShade="D9"/>
          </w:tcPr>
          <w:p w14:paraId="354694DB" w14:textId="77777777" w:rsidR="00AC14E1" w:rsidRPr="003146C9" w:rsidRDefault="00AC14E1" w:rsidP="0054579B">
            <w:pPr>
              <w:rPr>
                <w:rFonts w:ascii="Times New Roman" w:hAnsi="Times New Roman" w:cs="Times New Roman"/>
                <w:sz w:val="20"/>
                <w:szCs w:val="20"/>
              </w:rPr>
            </w:pPr>
          </w:p>
        </w:tc>
        <w:tc>
          <w:tcPr>
            <w:tcW w:w="444" w:type="pct"/>
            <w:gridSpan w:val="2"/>
            <w:shd w:val="clear" w:color="auto" w:fill="D9D9D9" w:themeFill="background1" w:themeFillShade="D9"/>
          </w:tcPr>
          <w:p w14:paraId="6FC96ECC" w14:textId="77777777" w:rsidR="00AC14E1" w:rsidRPr="003146C9" w:rsidRDefault="00AC14E1" w:rsidP="0054579B">
            <w:pPr>
              <w:rPr>
                <w:rFonts w:ascii="Times New Roman" w:hAnsi="Times New Roman" w:cs="Times New Roman"/>
                <w:sz w:val="20"/>
                <w:szCs w:val="20"/>
              </w:rPr>
            </w:pPr>
          </w:p>
        </w:tc>
      </w:tr>
      <w:tr w:rsidR="005D1E7E" w:rsidRPr="00554BF1" w14:paraId="7C09CAC1" w14:textId="77777777" w:rsidTr="00572FDE">
        <w:trPr>
          <w:gridAfter w:val="1"/>
          <w:wAfter w:w="4" w:type="pct"/>
        </w:trPr>
        <w:tc>
          <w:tcPr>
            <w:tcW w:w="227" w:type="pct"/>
          </w:tcPr>
          <w:p w14:paraId="5E3F69D0" w14:textId="037C4BDD" w:rsidR="005D1E7E" w:rsidRPr="00BC7BB5" w:rsidRDefault="00294BE0" w:rsidP="00572FDE">
            <w:pPr>
              <w:rPr>
                <w:rFonts w:asciiTheme="majorBidi" w:hAnsiTheme="majorBidi" w:cstheme="majorBidi"/>
                <w:iCs/>
              </w:rPr>
            </w:pPr>
            <w:r>
              <w:rPr>
                <w:rFonts w:asciiTheme="majorBidi" w:hAnsiTheme="majorBidi" w:cstheme="majorBidi"/>
                <w:iCs/>
              </w:rPr>
              <w:t>7</w:t>
            </w:r>
          </w:p>
        </w:tc>
        <w:tc>
          <w:tcPr>
            <w:tcW w:w="1530" w:type="pct"/>
          </w:tcPr>
          <w:p w14:paraId="41CB460D" w14:textId="77777777" w:rsidR="005D1E7E" w:rsidRPr="000619E4" w:rsidRDefault="005D1E7E" w:rsidP="00572FDE">
            <w:pPr>
              <w:rPr>
                <w:rFonts w:ascii="Times New Roman" w:hAnsi="Times New Roman" w:cs="Times New Roman"/>
                <w:iCs/>
                <w:sz w:val="20"/>
                <w:szCs w:val="20"/>
              </w:rPr>
            </w:pPr>
            <w:r w:rsidRPr="000619E4">
              <w:rPr>
                <w:rFonts w:ascii="Times New Roman" w:hAnsi="Times New Roman" w:cs="Times New Roman"/>
                <w:iCs/>
                <w:sz w:val="20"/>
                <w:szCs w:val="20"/>
              </w:rPr>
              <w:t xml:space="preserve">Preparation of a technical guide and tools for environmental and social management practices and </w:t>
            </w:r>
          </w:p>
          <w:p w14:paraId="2E4B335F" w14:textId="77777777" w:rsidR="005D1E7E" w:rsidRPr="000619E4" w:rsidRDefault="005D1E7E" w:rsidP="00572FDE">
            <w:pPr>
              <w:rPr>
                <w:rFonts w:ascii="Times New Roman" w:hAnsi="Times New Roman" w:cs="Times New Roman"/>
                <w:iCs/>
                <w:sz w:val="20"/>
                <w:szCs w:val="20"/>
              </w:rPr>
            </w:pPr>
          </w:p>
          <w:p w14:paraId="602A226E" w14:textId="5487B829" w:rsidR="005D1E7E" w:rsidRPr="000619E4" w:rsidRDefault="005D1E7E" w:rsidP="005D1E7E">
            <w:pPr>
              <w:rPr>
                <w:rFonts w:ascii="Times New Roman" w:hAnsi="Times New Roman" w:cs="Times New Roman"/>
                <w:i/>
                <w:iCs/>
                <w:sz w:val="20"/>
                <w:szCs w:val="20"/>
              </w:rPr>
            </w:pPr>
            <w:r w:rsidRPr="000619E4">
              <w:rPr>
                <w:rFonts w:ascii="Times New Roman" w:hAnsi="Times New Roman" w:cs="Times New Roman"/>
                <w:iCs/>
                <w:sz w:val="20"/>
                <w:szCs w:val="20"/>
              </w:rPr>
              <w:t xml:space="preserve">Dissemination/training of all parties involved in Program implementation </w:t>
            </w:r>
          </w:p>
        </w:tc>
        <w:tc>
          <w:tcPr>
            <w:tcW w:w="721" w:type="pct"/>
          </w:tcPr>
          <w:p w14:paraId="4B77CCF2" w14:textId="1B970290" w:rsidR="005D1E7E" w:rsidRPr="000619E4" w:rsidRDefault="00B27FC6" w:rsidP="00572FDE">
            <w:pPr>
              <w:rPr>
                <w:rFonts w:ascii="Times New Roman" w:hAnsi="Times New Roman" w:cs="Times New Roman"/>
                <w:sz w:val="20"/>
                <w:szCs w:val="20"/>
              </w:rPr>
            </w:pPr>
            <w:r>
              <w:rPr>
                <w:rFonts w:ascii="Times New Roman" w:hAnsi="Times New Roman" w:cs="Times New Roman"/>
                <w:sz w:val="20"/>
                <w:szCs w:val="20"/>
              </w:rPr>
              <w:t>June</w:t>
            </w:r>
            <w:r w:rsidR="005D1E7E" w:rsidRPr="000619E4">
              <w:rPr>
                <w:rFonts w:ascii="Times New Roman" w:hAnsi="Times New Roman" w:cs="Times New Roman"/>
                <w:sz w:val="20"/>
                <w:szCs w:val="20"/>
              </w:rPr>
              <w:t xml:space="preserve"> 2018</w:t>
            </w:r>
          </w:p>
          <w:p w14:paraId="4DFE4AD6" w14:textId="77777777" w:rsidR="005D1E7E" w:rsidRPr="000619E4" w:rsidRDefault="005D1E7E" w:rsidP="00572FDE">
            <w:pPr>
              <w:rPr>
                <w:rFonts w:ascii="Times New Roman" w:hAnsi="Times New Roman" w:cs="Times New Roman"/>
                <w:sz w:val="20"/>
                <w:szCs w:val="20"/>
              </w:rPr>
            </w:pPr>
          </w:p>
          <w:p w14:paraId="2F89D54D" w14:textId="77777777" w:rsidR="005D1E7E" w:rsidRPr="000619E4" w:rsidRDefault="005D1E7E" w:rsidP="00572FDE">
            <w:pPr>
              <w:rPr>
                <w:rFonts w:ascii="Times New Roman" w:hAnsi="Times New Roman" w:cs="Times New Roman"/>
                <w:sz w:val="20"/>
                <w:szCs w:val="20"/>
              </w:rPr>
            </w:pPr>
          </w:p>
          <w:p w14:paraId="55C8B17B" w14:textId="77777777" w:rsidR="005D1E7E" w:rsidRPr="000619E4" w:rsidRDefault="005D1E7E" w:rsidP="00572FDE">
            <w:pPr>
              <w:rPr>
                <w:rFonts w:ascii="Times New Roman" w:hAnsi="Times New Roman" w:cs="Times New Roman"/>
                <w:sz w:val="20"/>
                <w:szCs w:val="20"/>
              </w:rPr>
            </w:pPr>
          </w:p>
          <w:p w14:paraId="2DFDEC66" w14:textId="77777777" w:rsidR="005D1E7E" w:rsidRPr="000619E4" w:rsidRDefault="005D1E7E" w:rsidP="00572FDE">
            <w:pPr>
              <w:rPr>
                <w:rFonts w:ascii="Times New Roman" w:hAnsi="Times New Roman" w:cs="Times New Roman"/>
                <w:sz w:val="20"/>
                <w:szCs w:val="20"/>
              </w:rPr>
            </w:pPr>
            <w:r w:rsidRPr="000619E4">
              <w:rPr>
                <w:rFonts w:ascii="Times New Roman" w:hAnsi="Times New Roman" w:cs="Times New Roman"/>
                <w:sz w:val="20"/>
                <w:szCs w:val="20"/>
              </w:rPr>
              <w:t>December 2018</w:t>
            </w:r>
          </w:p>
        </w:tc>
        <w:tc>
          <w:tcPr>
            <w:tcW w:w="805" w:type="pct"/>
            <w:gridSpan w:val="2"/>
          </w:tcPr>
          <w:p w14:paraId="0162BF5A" w14:textId="09BC0781" w:rsidR="005D1E7E" w:rsidRPr="000619E4" w:rsidRDefault="005D1E7E" w:rsidP="00572FDE">
            <w:pPr>
              <w:rPr>
                <w:rFonts w:ascii="Times New Roman" w:hAnsi="Times New Roman" w:cs="Times New Roman"/>
                <w:sz w:val="20"/>
                <w:szCs w:val="20"/>
              </w:rPr>
            </w:pPr>
            <w:r w:rsidRPr="000619E4">
              <w:rPr>
                <w:rFonts w:ascii="Times New Roman" w:hAnsi="Times New Roman" w:cs="Times New Roman"/>
                <w:sz w:val="20"/>
                <w:szCs w:val="20"/>
              </w:rPr>
              <w:t>MAMPDREF</w:t>
            </w:r>
          </w:p>
        </w:tc>
        <w:tc>
          <w:tcPr>
            <w:tcW w:w="909" w:type="pct"/>
          </w:tcPr>
          <w:p w14:paraId="44539F4F" w14:textId="4EB3D983" w:rsidR="005D1E7E" w:rsidRPr="000619E4" w:rsidRDefault="005D1E7E" w:rsidP="00572FDE">
            <w:pPr>
              <w:rPr>
                <w:rFonts w:ascii="Times New Roman" w:hAnsi="Times New Roman" w:cs="Times New Roman"/>
                <w:iCs/>
                <w:sz w:val="20"/>
                <w:szCs w:val="20"/>
              </w:rPr>
            </w:pPr>
            <w:r w:rsidRPr="000619E4">
              <w:rPr>
                <w:rFonts w:ascii="Times New Roman" w:hAnsi="Times New Roman" w:cs="Times New Roman"/>
                <w:iCs/>
                <w:sz w:val="20"/>
                <w:szCs w:val="20"/>
              </w:rPr>
              <w:t>Guide and tools approved by W</w:t>
            </w:r>
            <w:r w:rsidR="000619E4">
              <w:rPr>
                <w:rFonts w:ascii="Times New Roman" w:hAnsi="Times New Roman" w:cs="Times New Roman"/>
                <w:iCs/>
                <w:sz w:val="20"/>
                <w:szCs w:val="20"/>
              </w:rPr>
              <w:t xml:space="preserve">orld </w:t>
            </w:r>
            <w:r w:rsidRPr="000619E4">
              <w:rPr>
                <w:rFonts w:ascii="Times New Roman" w:hAnsi="Times New Roman" w:cs="Times New Roman"/>
                <w:iCs/>
                <w:sz w:val="20"/>
                <w:szCs w:val="20"/>
              </w:rPr>
              <w:t>B</w:t>
            </w:r>
            <w:r w:rsidR="000619E4">
              <w:rPr>
                <w:rFonts w:ascii="Times New Roman" w:hAnsi="Times New Roman" w:cs="Times New Roman"/>
                <w:iCs/>
                <w:sz w:val="20"/>
                <w:szCs w:val="20"/>
              </w:rPr>
              <w:t>ank</w:t>
            </w:r>
            <w:r w:rsidRPr="000619E4">
              <w:rPr>
                <w:rFonts w:ascii="Times New Roman" w:hAnsi="Times New Roman" w:cs="Times New Roman"/>
                <w:iCs/>
                <w:sz w:val="20"/>
                <w:szCs w:val="20"/>
              </w:rPr>
              <w:t xml:space="preserve"> and dissemination plan prepared </w:t>
            </w:r>
          </w:p>
          <w:p w14:paraId="57137BB5" w14:textId="77777777" w:rsidR="005D1E7E" w:rsidRPr="000619E4" w:rsidRDefault="005D1E7E" w:rsidP="00572FDE">
            <w:pPr>
              <w:rPr>
                <w:rFonts w:ascii="Times New Roman" w:hAnsi="Times New Roman" w:cs="Times New Roman"/>
                <w:iCs/>
                <w:sz w:val="20"/>
                <w:szCs w:val="20"/>
              </w:rPr>
            </w:pPr>
          </w:p>
          <w:p w14:paraId="217DA42D" w14:textId="77777777" w:rsidR="005D1E7E" w:rsidRPr="000619E4" w:rsidRDefault="005D1E7E" w:rsidP="00572FDE">
            <w:pPr>
              <w:rPr>
                <w:rFonts w:ascii="Times New Roman" w:hAnsi="Times New Roman" w:cs="Times New Roman"/>
                <w:sz w:val="20"/>
                <w:szCs w:val="20"/>
              </w:rPr>
            </w:pPr>
            <w:r w:rsidRPr="000619E4">
              <w:rPr>
                <w:rFonts w:ascii="Times New Roman" w:hAnsi="Times New Roman" w:cs="Times New Roman"/>
                <w:iCs/>
                <w:sz w:val="20"/>
                <w:szCs w:val="20"/>
              </w:rPr>
              <w:t>All parties involved trained</w:t>
            </w:r>
          </w:p>
        </w:tc>
        <w:tc>
          <w:tcPr>
            <w:tcW w:w="356" w:type="pct"/>
            <w:shd w:val="clear" w:color="auto" w:fill="D9D9D9" w:themeFill="background1" w:themeFillShade="D9"/>
          </w:tcPr>
          <w:p w14:paraId="6C100885" w14:textId="77777777" w:rsidR="005D1E7E" w:rsidRPr="000619E4" w:rsidRDefault="005D1E7E" w:rsidP="00572FDE">
            <w:pPr>
              <w:rPr>
                <w:rFonts w:ascii="Times New Roman" w:hAnsi="Times New Roman" w:cs="Times New Roman"/>
                <w:sz w:val="20"/>
                <w:szCs w:val="20"/>
              </w:rPr>
            </w:pPr>
            <w:r w:rsidRPr="000619E4">
              <w:rPr>
                <w:rFonts w:ascii="Times New Roman" w:hAnsi="Times New Roman" w:cs="Times New Roman"/>
                <w:sz w:val="20"/>
                <w:szCs w:val="20"/>
              </w:rPr>
              <w:fldChar w:fldCharType="begin">
                <w:ffData>
                  <w:name w:val="Check1"/>
                  <w:enabled/>
                  <w:calcOnExit w:val="0"/>
                  <w:checkBox>
                    <w:sizeAuto/>
                    <w:default w:val="0"/>
                  </w:checkBox>
                </w:ffData>
              </w:fldChar>
            </w:r>
            <w:r w:rsidRPr="000619E4">
              <w:rPr>
                <w:rFonts w:ascii="Times New Roman" w:hAnsi="Times New Roman" w:cs="Times New Roman"/>
                <w:sz w:val="20"/>
                <w:szCs w:val="20"/>
              </w:rPr>
              <w:instrText xml:space="preserve"> FORMCHECKBOX </w:instrText>
            </w:r>
            <w:r w:rsidR="00F8126C">
              <w:rPr>
                <w:rFonts w:ascii="Times New Roman" w:hAnsi="Times New Roman" w:cs="Times New Roman"/>
                <w:sz w:val="20"/>
                <w:szCs w:val="20"/>
              </w:rPr>
            </w:r>
            <w:r w:rsidR="00F8126C">
              <w:rPr>
                <w:rFonts w:ascii="Times New Roman" w:hAnsi="Times New Roman" w:cs="Times New Roman"/>
                <w:sz w:val="20"/>
                <w:szCs w:val="20"/>
              </w:rPr>
              <w:fldChar w:fldCharType="separate"/>
            </w:r>
            <w:r w:rsidRPr="000619E4">
              <w:rPr>
                <w:rFonts w:ascii="Times New Roman" w:hAnsi="Times New Roman" w:cs="Times New Roman"/>
                <w:sz w:val="20"/>
                <w:szCs w:val="20"/>
              </w:rPr>
              <w:fldChar w:fldCharType="end"/>
            </w:r>
          </w:p>
        </w:tc>
        <w:tc>
          <w:tcPr>
            <w:tcW w:w="448" w:type="pct"/>
            <w:gridSpan w:val="2"/>
            <w:shd w:val="clear" w:color="auto" w:fill="D9D9D9" w:themeFill="background1" w:themeFillShade="D9"/>
          </w:tcPr>
          <w:p w14:paraId="3E23BCAB" w14:textId="77777777" w:rsidR="005D1E7E" w:rsidRPr="000619E4" w:rsidRDefault="005D1E7E" w:rsidP="00572FDE">
            <w:pPr>
              <w:rPr>
                <w:rFonts w:ascii="Times New Roman" w:hAnsi="Times New Roman" w:cs="Times New Roman"/>
                <w:sz w:val="20"/>
                <w:szCs w:val="20"/>
              </w:rPr>
            </w:pPr>
            <w:r w:rsidRPr="000619E4">
              <w:rPr>
                <w:rFonts w:ascii="Times New Roman" w:hAnsi="Times New Roman" w:cs="Times New Roman"/>
                <w:sz w:val="20"/>
                <w:szCs w:val="20"/>
              </w:rPr>
              <w:fldChar w:fldCharType="begin">
                <w:ffData>
                  <w:name w:val="Check1"/>
                  <w:enabled/>
                  <w:calcOnExit w:val="0"/>
                  <w:checkBox>
                    <w:sizeAuto/>
                    <w:default w:val="0"/>
                  </w:checkBox>
                </w:ffData>
              </w:fldChar>
            </w:r>
            <w:r w:rsidRPr="000619E4">
              <w:rPr>
                <w:rFonts w:ascii="Times New Roman" w:hAnsi="Times New Roman" w:cs="Times New Roman"/>
                <w:sz w:val="20"/>
                <w:szCs w:val="20"/>
              </w:rPr>
              <w:instrText xml:space="preserve"> FORMCHECKBOX </w:instrText>
            </w:r>
            <w:r w:rsidR="00F8126C">
              <w:rPr>
                <w:rFonts w:ascii="Times New Roman" w:hAnsi="Times New Roman" w:cs="Times New Roman"/>
                <w:sz w:val="20"/>
                <w:szCs w:val="20"/>
              </w:rPr>
            </w:r>
            <w:r w:rsidR="00F8126C">
              <w:rPr>
                <w:rFonts w:ascii="Times New Roman" w:hAnsi="Times New Roman" w:cs="Times New Roman"/>
                <w:sz w:val="20"/>
                <w:szCs w:val="20"/>
              </w:rPr>
              <w:fldChar w:fldCharType="separate"/>
            </w:r>
            <w:r w:rsidRPr="000619E4">
              <w:rPr>
                <w:rFonts w:ascii="Times New Roman" w:hAnsi="Times New Roman" w:cs="Times New Roman"/>
                <w:sz w:val="20"/>
                <w:szCs w:val="20"/>
              </w:rPr>
              <w:fldChar w:fldCharType="end"/>
            </w:r>
          </w:p>
        </w:tc>
      </w:tr>
      <w:tr w:rsidR="005D1E7E" w:rsidRPr="00554BF1" w14:paraId="4FE744B8" w14:textId="77777777" w:rsidTr="00572FDE">
        <w:trPr>
          <w:gridAfter w:val="1"/>
          <w:wAfter w:w="4" w:type="pct"/>
        </w:trPr>
        <w:tc>
          <w:tcPr>
            <w:tcW w:w="227" w:type="pct"/>
          </w:tcPr>
          <w:p w14:paraId="1EB437C4" w14:textId="2F52430A" w:rsidR="005D1E7E" w:rsidRPr="00BC7BB5" w:rsidRDefault="00294BE0" w:rsidP="00572FDE">
            <w:pPr>
              <w:rPr>
                <w:rFonts w:asciiTheme="majorBidi" w:hAnsiTheme="majorBidi" w:cstheme="majorBidi"/>
                <w:iCs/>
              </w:rPr>
            </w:pPr>
            <w:r>
              <w:rPr>
                <w:rFonts w:asciiTheme="majorBidi" w:hAnsiTheme="majorBidi" w:cstheme="majorBidi"/>
                <w:iCs/>
              </w:rPr>
              <w:t>8</w:t>
            </w:r>
          </w:p>
        </w:tc>
        <w:tc>
          <w:tcPr>
            <w:tcW w:w="1530" w:type="pct"/>
          </w:tcPr>
          <w:p w14:paraId="69E2161F" w14:textId="0DB6B60C" w:rsidR="005D1E7E" w:rsidRPr="000619E4" w:rsidRDefault="005D1E7E" w:rsidP="005D1E7E">
            <w:pPr>
              <w:rPr>
                <w:rFonts w:ascii="Times New Roman" w:hAnsi="Times New Roman" w:cs="Times New Roman"/>
                <w:i/>
                <w:iCs/>
                <w:sz w:val="20"/>
                <w:szCs w:val="20"/>
              </w:rPr>
            </w:pPr>
            <w:r w:rsidRPr="000619E4">
              <w:rPr>
                <w:rFonts w:ascii="Times New Roman" w:hAnsi="Times New Roman" w:cs="Times New Roman"/>
                <w:iCs/>
                <w:sz w:val="20"/>
                <w:szCs w:val="20"/>
              </w:rPr>
              <w:t>Recruitment of Environmental and Social Focal Points (E&amp;S</w:t>
            </w:r>
            <w:r w:rsidR="00512BCA">
              <w:rPr>
                <w:rFonts w:ascii="Times New Roman" w:hAnsi="Times New Roman" w:cs="Times New Roman"/>
                <w:iCs/>
                <w:sz w:val="20"/>
                <w:szCs w:val="20"/>
              </w:rPr>
              <w:t xml:space="preserve"> specialists</w:t>
            </w:r>
            <w:r w:rsidRPr="000619E4">
              <w:rPr>
                <w:rFonts w:ascii="Times New Roman" w:hAnsi="Times New Roman" w:cs="Times New Roman"/>
                <w:iCs/>
                <w:sz w:val="20"/>
                <w:szCs w:val="20"/>
              </w:rPr>
              <w:t>) within PMU</w:t>
            </w:r>
          </w:p>
        </w:tc>
        <w:tc>
          <w:tcPr>
            <w:tcW w:w="721" w:type="pct"/>
          </w:tcPr>
          <w:p w14:paraId="217791EF" w14:textId="4B39B694" w:rsidR="005D1E7E" w:rsidRPr="000619E4" w:rsidRDefault="008B4088" w:rsidP="00572FDE">
            <w:pPr>
              <w:rPr>
                <w:rFonts w:ascii="Times New Roman" w:hAnsi="Times New Roman" w:cs="Times New Roman"/>
                <w:sz w:val="20"/>
                <w:szCs w:val="20"/>
              </w:rPr>
            </w:pPr>
            <w:r>
              <w:rPr>
                <w:rFonts w:ascii="Times New Roman" w:hAnsi="Times New Roman" w:cs="Times New Roman"/>
                <w:sz w:val="20"/>
                <w:szCs w:val="20"/>
              </w:rPr>
              <w:t>A</w:t>
            </w:r>
            <w:r w:rsidR="00512BCA">
              <w:rPr>
                <w:rFonts w:ascii="Times New Roman" w:hAnsi="Times New Roman" w:cs="Times New Roman"/>
                <w:sz w:val="20"/>
                <w:szCs w:val="20"/>
              </w:rPr>
              <w:t>p</w:t>
            </w:r>
            <w:r>
              <w:rPr>
                <w:rFonts w:ascii="Times New Roman" w:hAnsi="Times New Roman" w:cs="Times New Roman"/>
                <w:sz w:val="20"/>
                <w:szCs w:val="20"/>
              </w:rPr>
              <w:t>ril</w:t>
            </w:r>
            <w:r w:rsidR="005D1E7E" w:rsidRPr="000619E4">
              <w:rPr>
                <w:rFonts w:ascii="Times New Roman" w:hAnsi="Times New Roman" w:cs="Times New Roman"/>
                <w:sz w:val="20"/>
                <w:szCs w:val="20"/>
              </w:rPr>
              <w:t xml:space="preserve"> 2018</w:t>
            </w:r>
          </w:p>
        </w:tc>
        <w:tc>
          <w:tcPr>
            <w:tcW w:w="805" w:type="pct"/>
            <w:gridSpan w:val="2"/>
          </w:tcPr>
          <w:p w14:paraId="0326532C" w14:textId="77777777" w:rsidR="005D1E7E" w:rsidRPr="000619E4" w:rsidRDefault="005D1E7E" w:rsidP="00572FDE">
            <w:pPr>
              <w:rPr>
                <w:rFonts w:ascii="Times New Roman" w:hAnsi="Times New Roman" w:cs="Times New Roman"/>
                <w:sz w:val="20"/>
                <w:szCs w:val="20"/>
              </w:rPr>
            </w:pPr>
            <w:r w:rsidRPr="000619E4">
              <w:rPr>
                <w:rFonts w:ascii="Times New Roman" w:hAnsi="Times New Roman" w:cs="Times New Roman"/>
                <w:sz w:val="20"/>
                <w:szCs w:val="20"/>
              </w:rPr>
              <w:t>MAMPDREF</w:t>
            </w:r>
          </w:p>
        </w:tc>
        <w:tc>
          <w:tcPr>
            <w:tcW w:w="909" w:type="pct"/>
          </w:tcPr>
          <w:p w14:paraId="70516E30" w14:textId="17ED414A" w:rsidR="005D1E7E" w:rsidRPr="000619E4" w:rsidRDefault="000203D3" w:rsidP="00572FDE">
            <w:pPr>
              <w:rPr>
                <w:rFonts w:ascii="Times New Roman" w:hAnsi="Times New Roman" w:cs="Times New Roman"/>
                <w:sz w:val="20"/>
                <w:szCs w:val="20"/>
              </w:rPr>
            </w:pPr>
            <w:r>
              <w:rPr>
                <w:rFonts w:ascii="Times New Roman" w:hAnsi="Times New Roman" w:cs="Times New Roman"/>
                <w:sz w:val="20"/>
                <w:szCs w:val="20"/>
              </w:rPr>
              <w:t>TA h</w:t>
            </w:r>
            <w:r w:rsidR="005D1E7E" w:rsidRPr="000619E4">
              <w:rPr>
                <w:rFonts w:ascii="Times New Roman" w:hAnsi="Times New Roman" w:cs="Times New Roman"/>
                <w:sz w:val="20"/>
                <w:szCs w:val="20"/>
              </w:rPr>
              <w:t>iring contract signed</w:t>
            </w:r>
          </w:p>
        </w:tc>
        <w:tc>
          <w:tcPr>
            <w:tcW w:w="356" w:type="pct"/>
            <w:shd w:val="clear" w:color="auto" w:fill="D9D9D9" w:themeFill="background1" w:themeFillShade="D9"/>
          </w:tcPr>
          <w:p w14:paraId="7EFD11E9" w14:textId="77777777" w:rsidR="005D1E7E" w:rsidRPr="000619E4" w:rsidRDefault="005D1E7E" w:rsidP="00572FDE">
            <w:pPr>
              <w:rPr>
                <w:rFonts w:ascii="Times New Roman" w:hAnsi="Times New Roman" w:cs="Times New Roman"/>
                <w:sz w:val="20"/>
                <w:szCs w:val="20"/>
              </w:rPr>
            </w:pPr>
            <w:r w:rsidRPr="000619E4">
              <w:rPr>
                <w:rFonts w:ascii="Times New Roman" w:hAnsi="Times New Roman" w:cs="Times New Roman"/>
                <w:sz w:val="20"/>
                <w:szCs w:val="20"/>
              </w:rPr>
              <w:fldChar w:fldCharType="begin">
                <w:ffData>
                  <w:name w:val="Check1"/>
                  <w:enabled/>
                  <w:calcOnExit w:val="0"/>
                  <w:checkBox>
                    <w:sizeAuto/>
                    <w:default w:val="0"/>
                  </w:checkBox>
                </w:ffData>
              </w:fldChar>
            </w:r>
            <w:r w:rsidRPr="000619E4">
              <w:rPr>
                <w:rFonts w:ascii="Times New Roman" w:hAnsi="Times New Roman" w:cs="Times New Roman"/>
                <w:sz w:val="20"/>
                <w:szCs w:val="20"/>
              </w:rPr>
              <w:instrText xml:space="preserve"> FORMCHECKBOX </w:instrText>
            </w:r>
            <w:r w:rsidR="00F8126C">
              <w:rPr>
                <w:rFonts w:ascii="Times New Roman" w:hAnsi="Times New Roman" w:cs="Times New Roman"/>
                <w:sz w:val="20"/>
                <w:szCs w:val="20"/>
              </w:rPr>
            </w:r>
            <w:r w:rsidR="00F8126C">
              <w:rPr>
                <w:rFonts w:ascii="Times New Roman" w:hAnsi="Times New Roman" w:cs="Times New Roman"/>
                <w:sz w:val="20"/>
                <w:szCs w:val="20"/>
              </w:rPr>
              <w:fldChar w:fldCharType="separate"/>
            </w:r>
            <w:r w:rsidRPr="000619E4">
              <w:rPr>
                <w:rFonts w:ascii="Times New Roman" w:hAnsi="Times New Roman" w:cs="Times New Roman"/>
                <w:sz w:val="20"/>
                <w:szCs w:val="20"/>
              </w:rPr>
              <w:fldChar w:fldCharType="end"/>
            </w:r>
          </w:p>
        </w:tc>
        <w:tc>
          <w:tcPr>
            <w:tcW w:w="448" w:type="pct"/>
            <w:gridSpan w:val="2"/>
            <w:shd w:val="clear" w:color="auto" w:fill="D9D9D9" w:themeFill="background1" w:themeFillShade="D9"/>
          </w:tcPr>
          <w:p w14:paraId="4DA50CC2" w14:textId="77777777" w:rsidR="005D1E7E" w:rsidRPr="000619E4" w:rsidRDefault="005D1E7E" w:rsidP="00572FDE">
            <w:pPr>
              <w:rPr>
                <w:rFonts w:ascii="Times New Roman" w:hAnsi="Times New Roman" w:cs="Times New Roman"/>
                <w:sz w:val="20"/>
                <w:szCs w:val="20"/>
              </w:rPr>
            </w:pPr>
            <w:r w:rsidRPr="000619E4">
              <w:rPr>
                <w:rFonts w:ascii="Times New Roman" w:hAnsi="Times New Roman" w:cs="Times New Roman"/>
                <w:sz w:val="20"/>
                <w:szCs w:val="20"/>
              </w:rPr>
              <w:fldChar w:fldCharType="begin">
                <w:ffData>
                  <w:name w:val="Check1"/>
                  <w:enabled/>
                  <w:calcOnExit w:val="0"/>
                  <w:checkBox>
                    <w:sizeAuto/>
                    <w:default w:val="0"/>
                  </w:checkBox>
                </w:ffData>
              </w:fldChar>
            </w:r>
            <w:r w:rsidRPr="000619E4">
              <w:rPr>
                <w:rFonts w:ascii="Times New Roman" w:hAnsi="Times New Roman" w:cs="Times New Roman"/>
                <w:sz w:val="20"/>
                <w:szCs w:val="20"/>
              </w:rPr>
              <w:instrText xml:space="preserve"> FORMCHECKBOX </w:instrText>
            </w:r>
            <w:r w:rsidR="00F8126C">
              <w:rPr>
                <w:rFonts w:ascii="Times New Roman" w:hAnsi="Times New Roman" w:cs="Times New Roman"/>
                <w:sz w:val="20"/>
                <w:szCs w:val="20"/>
              </w:rPr>
            </w:r>
            <w:r w:rsidR="00F8126C">
              <w:rPr>
                <w:rFonts w:ascii="Times New Roman" w:hAnsi="Times New Roman" w:cs="Times New Roman"/>
                <w:sz w:val="20"/>
                <w:szCs w:val="20"/>
              </w:rPr>
              <w:fldChar w:fldCharType="separate"/>
            </w:r>
            <w:r w:rsidRPr="000619E4">
              <w:rPr>
                <w:rFonts w:ascii="Times New Roman" w:hAnsi="Times New Roman" w:cs="Times New Roman"/>
                <w:sz w:val="20"/>
                <w:szCs w:val="20"/>
              </w:rPr>
              <w:fldChar w:fldCharType="end"/>
            </w:r>
          </w:p>
        </w:tc>
      </w:tr>
      <w:tr w:rsidR="00F95A3D" w:rsidRPr="00554BF1" w14:paraId="6BEE2E04" w14:textId="77777777" w:rsidTr="00572FDE">
        <w:trPr>
          <w:gridAfter w:val="1"/>
          <w:wAfter w:w="4" w:type="pct"/>
        </w:trPr>
        <w:tc>
          <w:tcPr>
            <w:tcW w:w="227" w:type="pct"/>
            <w:shd w:val="clear" w:color="auto" w:fill="auto"/>
          </w:tcPr>
          <w:p w14:paraId="7644234D" w14:textId="01E296DA" w:rsidR="00F95A3D" w:rsidRPr="00BC7BB5" w:rsidRDefault="00294BE0" w:rsidP="00F95A3D">
            <w:pPr>
              <w:rPr>
                <w:rFonts w:ascii="Times New Roman" w:hAnsi="Times New Roman"/>
                <w:iCs/>
              </w:rPr>
            </w:pPr>
            <w:r>
              <w:rPr>
                <w:rFonts w:ascii="Times New Roman" w:hAnsi="Times New Roman"/>
                <w:iCs/>
              </w:rPr>
              <w:t>9</w:t>
            </w:r>
          </w:p>
        </w:tc>
        <w:tc>
          <w:tcPr>
            <w:tcW w:w="1530" w:type="pct"/>
            <w:shd w:val="clear" w:color="auto" w:fill="auto"/>
          </w:tcPr>
          <w:p w14:paraId="2F0B46B9" w14:textId="77777777" w:rsidR="00F95A3D" w:rsidRPr="000619E4" w:rsidRDefault="00F95A3D" w:rsidP="00F95A3D">
            <w:pPr>
              <w:rPr>
                <w:rFonts w:ascii="Times New Roman" w:hAnsi="Times New Roman" w:cs="Times New Roman"/>
                <w:iCs/>
                <w:sz w:val="20"/>
                <w:szCs w:val="20"/>
              </w:rPr>
            </w:pPr>
            <w:r w:rsidRPr="000619E4">
              <w:rPr>
                <w:rFonts w:ascii="Times New Roman" w:hAnsi="Times New Roman" w:cs="Times New Roman"/>
                <w:iCs/>
                <w:sz w:val="20"/>
                <w:szCs w:val="20"/>
              </w:rPr>
              <w:t>Implementation of all procedures and tools defined in the technical manual including M&amp;E</w:t>
            </w:r>
          </w:p>
        </w:tc>
        <w:tc>
          <w:tcPr>
            <w:tcW w:w="721" w:type="pct"/>
            <w:shd w:val="clear" w:color="auto" w:fill="auto"/>
          </w:tcPr>
          <w:p w14:paraId="5EA4E386" w14:textId="77777777" w:rsidR="00F95A3D" w:rsidRPr="000619E4" w:rsidRDefault="00F95A3D" w:rsidP="00F95A3D">
            <w:pPr>
              <w:rPr>
                <w:rFonts w:ascii="Times New Roman" w:hAnsi="Times New Roman" w:cs="Times New Roman"/>
                <w:iCs/>
                <w:sz w:val="20"/>
                <w:szCs w:val="20"/>
              </w:rPr>
            </w:pPr>
            <w:r w:rsidRPr="000619E4">
              <w:rPr>
                <w:rFonts w:ascii="Times New Roman" w:hAnsi="Times New Roman" w:cs="Times New Roman"/>
                <w:iCs/>
                <w:sz w:val="20"/>
                <w:szCs w:val="20"/>
              </w:rPr>
              <w:t>December 2018</w:t>
            </w:r>
          </w:p>
        </w:tc>
        <w:tc>
          <w:tcPr>
            <w:tcW w:w="805" w:type="pct"/>
            <w:gridSpan w:val="2"/>
            <w:shd w:val="clear" w:color="auto" w:fill="auto"/>
          </w:tcPr>
          <w:p w14:paraId="76B96DFC" w14:textId="78E758B2" w:rsidR="00F95A3D" w:rsidRPr="000619E4" w:rsidRDefault="00F95A3D" w:rsidP="00F95A3D">
            <w:pPr>
              <w:rPr>
                <w:rFonts w:ascii="Times New Roman" w:hAnsi="Times New Roman" w:cs="Times New Roman"/>
                <w:sz w:val="20"/>
                <w:szCs w:val="20"/>
                <w:lang w:val="fr-FR"/>
              </w:rPr>
            </w:pPr>
            <w:r w:rsidRPr="000619E4">
              <w:rPr>
                <w:rFonts w:ascii="Times New Roman" w:hAnsi="Times New Roman" w:cs="Times New Roman"/>
                <w:sz w:val="20"/>
                <w:szCs w:val="20"/>
                <w:lang w:val="fr-FR"/>
              </w:rPr>
              <w:t xml:space="preserve">PMU/ </w:t>
            </w:r>
            <w:r w:rsidRPr="000619E4">
              <w:rPr>
                <w:rFonts w:ascii="Times New Roman" w:hAnsi="Times New Roman" w:cs="Times New Roman"/>
                <w:iCs/>
                <w:sz w:val="20"/>
                <w:szCs w:val="20"/>
                <w:lang w:val="fr-FR"/>
              </w:rPr>
              <w:t>E</w:t>
            </w:r>
            <w:r w:rsidR="000619E4" w:rsidRPr="000619E4">
              <w:rPr>
                <w:rFonts w:ascii="Times New Roman" w:hAnsi="Times New Roman" w:cs="Times New Roman"/>
                <w:iCs/>
                <w:sz w:val="20"/>
                <w:szCs w:val="20"/>
                <w:lang w:val="fr-FR"/>
              </w:rPr>
              <w:t xml:space="preserve">nvironment </w:t>
            </w:r>
            <w:r w:rsidRPr="000619E4">
              <w:rPr>
                <w:rFonts w:ascii="Times New Roman" w:hAnsi="Times New Roman" w:cs="Times New Roman"/>
                <w:iCs/>
                <w:sz w:val="20"/>
                <w:szCs w:val="20"/>
                <w:lang w:val="fr-FR"/>
              </w:rPr>
              <w:t>&amp;</w:t>
            </w:r>
            <w:r w:rsidR="00BF1873">
              <w:rPr>
                <w:rFonts w:ascii="Times New Roman" w:hAnsi="Times New Roman" w:cs="Times New Roman"/>
                <w:iCs/>
                <w:sz w:val="20"/>
                <w:szCs w:val="20"/>
                <w:lang w:val="fr-FR"/>
              </w:rPr>
              <w:t xml:space="preserve"> </w:t>
            </w:r>
            <w:r w:rsidRPr="000619E4">
              <w:rPr>
                <w:rFonts w:ascii="Times New Roman" w:hAnsi="Times New Roman" w:cs="Times New Roman"/>
                <w:iCs/>
                <w:sz w:val="20"/>
                <w:szCs w:val="20"/>
                <w:lang w:val="fr-FR"/>
              </w:rPr>
              <w:t>S</w:t>
            </w:r>
            <w:r w:rsidR="000619E4" w:rsidRPr="000619E4">
              <w:rPr>
                <w:rFonts w:ascii="Times New Roman" w:hAnsi="Times New Roman" w:cs="Times New Roman"/>
                <w:iCs/>
                <w:sz w:val="20"/>
                <w:szCs w:val="20"/>
                <w:lang w:val="fr-FR"/>
              </w:rPr>
              <w:t>ocial</w:t>
            </w:r>
            <w:r w:rsidRPr="000619E4">
              <w:rPr>
                <w:rFonts w:ascii="Times New Roman" w:hAnsi="Times New Roman" w:cs="Times New Roman"/>
                <w:iCs/>
                <w:sz w:val="20"/>
                <w:szCs w:val="20"/>
                <w:lang w:val="fr-FR"/>
              </w:rPr>
              <w:t xml:space="preserve"> </w:t>
            </w:r>
            <w:r w:rsidR="00BF1873">
              <w:rPr>
                <w:rFonts w:ascii="Times New Roman" w:hAnsi="Times New Roman" w:cs="Times New Roman"/>
                <w:iCs/>
                <w:sz w:val="20"/>
                <w:szCs w:val="20"/>
                <w:lang w:val="fr-FR"/>
              </w:rPr>
              <w:t>specialist</w:t>
            </w:r>
          </w:p>
        </w:tc>
        <w:tc>
          <w:tcPr>
            <w:tcW w:w="909" w:type="pct"/>
            <w:shd w:val="clear" w:color="auto" w:fill="auto"/>
          </w:tcPr>
          <w:p w14:paraId="42BD4260" w14:textId="77777777" w:rsidR="00F95A3D" w:rsidRPr="000619E4" w:rsidRDefault="00F95A3D" w:rsidP="00F95A3D">
            <w:pPr>
              <w:rPr>
                <w:rFonts w:ascii="Times New Roman" w:hAnsi="Times New Roman" w:cs="Times New Roman"/>
                <w:iCs/>
                <w:sz w:val="20"/>
                <w:szCs w:val="20"/>
              </w:rPr>
            </w:pPr>
            <w:r w:rsidRPr="000619E4">
              <w:rPr>
                <w:rFonts w:ascii="Times New Roman" w:hAnsi="Times New Roman" w:cs="Times New Roman"/>
                <w:iCs/>
                <w:sz w:val="20"/>
                <w:szCs w:val="20"/>
              </w:rPr>
              <w:t>Follow-up reports submitted by the focal point and information system updated</w:t>
            </w:r>
          </w:p>
        </w:tc>
        <w:tc>
          <w:tcPr>
            <w:tcW w:w="356" w:type="pct"/>
            <w:shd w:val="clear" w:color="auto" w:fill="D9D9D9" w:themeFill="background1" w:themeFillShade="D9"/>
          </w:tcPr>
          <w:p w14:paraId="71A83104" w14:textId="50819FDB" w:rsidR="00F95A3D" w:rsidRPr="000619E4" w:rsidRDefault="00F95A3D" w:rsidP="00F95A3D">
            <w:pPr>
              <w:rPr>
                <w:rFonts w:ascii="Times New Roman" w:hAnsi="Times New Roman" w:cs="Times New Roman"/>
                <w:sz w:val="20"/>
                <w:szCs w:val="20"/>
              </w:rPr>
            </w:pPr>
            <w:r w:rsidRPr="000619E4">
              <w:rPr>
                <w:rFonts w:ascii="Times New Roman" w:hAnsi="Times New Roman" w:cs="Times New Roman"/>
                <w:sz w:val="20"/>
                <w:szCs w:val="20"/>
              </w:rPr>
              <w:fldChar w:fldCharType="begin">
                <w:ffData>
                  <w:name w:val="Check1"/>
                  <w:enabled/>
                  <w:calcOnExit w:val="0"/>
                  <w:checkBox>
                    <w:sizeAuto/>
                    <w:default w:val="0"/>
                  </w:checkBox>
                </w:ffData>
              </w:fldChar>
            </w:r>
            <w:r w:rsidRPr="000619E4">
              <w:rPr>
                <w:rFonts w:ascii="Times New Roman" w:hAnsi="Times New Roman" w:cs="Times New Roman"/>
                <w:sz w:val="20"/>
                <w:szCs w:val="20"/>
              </w:rPr>
              <w:instrText xml:space="preserve"> FORMCHECKBOX </w:instrText>
            </w:r>
            <w:r w:rsidR="00F8126C">
              <w:rPr>
                <w:rFonts w:ascii="Times New Roman" w:hAnsi="Times New Roman" w:cs="Times New Roman"/>
                <w:sz w:val="20"/>
                <w:szCs w:val="20"/>
              </w:rPr>
            </w:r>
            <w:r w:rsidR="00F8126C">
              <w:rPr>
                <w:rFonts w:ascii="Times New Roman" w:hAnsi="Times New Roman" w:cs="Times New Roman"/>
                <w:sz w:val="20"/>
                <w:szCs w:val="20"/>
              </w:rPr>
              <w:fldChar w:fldCharType="separate"/>
            </w:r>
            <w:r w:rsidRPr="000619E4">
              <w:rPr>
                <w:rFonts w:ascii="Times New Roman" w:hAnsi="Times New Roman" w:cs="Times New Roman"/>
                <w:sz w:val="20"/>
                <w:szCs w:val="20"/>
              </w:rPr>
              <w:fldChar w:fldCharType="end"/>
            </w:r>
          </w:p>
        </w:tc>
        <w:tc>
          <w:tcPr>
            <w:tcW w:w="448" w:type="pct"/>
            <w:gridSpan w:val="2"/>
            <w:shd w:val="clear" w:color="auto" w:fill="D9D9D9" w:themeFill="background1" w:themeFillShade="D9"/>
          </w:tcPr>
          <w:p w14:paraId="5C6D65FB" w14:textId="17DE742B" w:rsidR="00F95A3D" w:rsidRPr="000619E4" w:rsidRDefault="00F95A3D" w:rsidP="00F95A3D">
            <w:pPr>
              <w:rPr>
                <w:rFonts w:ascii="Times New Roman" w:hAnsi="Times New Roman" w:cs="Times New Roman"/>
                <w:sz w:val="20"/>
                <w:szCs w:val="20"/>
              </w:rPr>
            </w:pPr>
            <w:r w:rsidRPr="000619E4">
              <w:rPr>
                <w:rFonts w:ascii="Times New Roman" w:hAnsi="Times New Roman" w:cs="Times New Roman"/>
                <w:sz w:val="20"/>
                <w:szCs w:val="20"/>
              </w:rPr>
              <w:fldChar w:fldCharType="begin">
                <w:ffData>
                  <w:name w:val=""/>
                  <w:enabled/>
                  <w:calcOnExit w:val="0"/>
                  <w:checkBox>
                    <w:sizeAuto/>
                    <w:default w:val="0"/>
                  </w:checkBox>
                </w:ffData>
              </w:fldChar>
            </w:r>
            <w:r w:rsidRPr="000619E4">
              <w:rPr>
                <w:rFonts w:ascii="Times New Roman" w:hAnsi="Times New Roman" w:cs="Times New Roman"/>
                <w:sz w:val="20"/>
                <w:szCs w:val="20"/>
              </w:rPr>
              <w:instrText xml:space="preserve"> FORMCHECKBOX </w:instrText>
            </w:r>
            <w:r w:rsidR="00F8126C">
              <w:rPr>
                <w:rFonts w:ascii="Times New Roman" w:hAnsi="Times New Roman" w:cs="Times New Roman"/>
                <w:sz w:val="20"/>
                <w:szCs w:val="20"/>
              </w:rPr>
            </w:r>
            <w:r w:rsidR="00F8126C">
              <w:rPr>
                <w:rFonts w:ascii="Times New Roman" w:hAnsi="Times New Roman" w:cs="Times New Roman"/>
                <w:sz w:val="20"/>
                <w:szCs w:val="20"/>
              </w:rPr>
              <w:fldChar w:fldCharType="separate"/>
            </w:r>
            <w:r w:rsidRPr="000619E4">
              <w:rPr>
                <w:rFonts w:ascii="Times New Roman" w:hAnsi="Times New Roman" w:cs="Times New Roman"/>
                <w:sz w:val="20"/>
                <w:szCs w:val="20"/>
              </w:rPr>
              <w:fldChar w:fldCharType="end"/>
            </w:r>
          </w:p>
        </w:tc>
      </w:tr>
      <w:tr w:rsidR="003C38C3" w:rsidRPr="00554BF1" w14:paraId="26BCAF7D" w14:textId="77777777" w:rsidTr="00572FDE">
        <w:trPr>
          <w:gridAfter w:val="1"/>
          <w:wAfter w:w="4" w:type="pct"/>
        </w:trPr>
        <w:tc>
          <w:tcPr>
            <w:tcW w:w="227" w:type="pct"/>
            <w:shd w:val="clear" w:color="auto" w:fill="auto"/>
          </w:tcPr>
          <w:p w14:paraId="2B683582" w14:textId="497F4D39" w:rsidR="003C38C3" w:rsidRPr="00BC7BB5" w:rsidRDefault="003C38C3" w:rsidP="003C38C3">
            <w:pPr>
              <w:rPr>
                <w:rFonts w:ascii="Times New Roman" w:hAnsi="Times New Roman"/>
                <w:iCs/>
              </w:rPr>
            </w:pPr>
            <w:r>
              <w:rPr>
                <w:rFonts w:ascii="Times New Roman" w:hAnsi="Times New Roman"/>
                <w:iCs/>
              </w:rPr>
              <w:lastRenderedPageBreak/>
              <w:t>10</w:t>
            </w:r>
          </w:p>
        </w:tc>
        <w:tc>
          <w:tcPr>
            <w:tcW w:w="1530" w:type="pct"/>
            <w:shd w:val="clear" w:color="auto" w:fill="auto"/>
            <w:vAlign w:val="center"/>
          </w:tcPr>
          <w:p w14:paraId="4DE983AE" w14:textId="5DCC9FDC" w:rsidR="003C38C3" w:rsidRPr="000D4E73" w:rsidRDefault="003C38C3" w:rsidP="003C38C3">
            <w:pPr>
              <w:rPr>
                <w:rFonts w:ascii="Times New Roman" w:hAnsi="Times New Roman" w:cs="Times New Roman"/>
                <w:iCs/>
                <w:sz w:val="20"/>
                <w:szCs w:val="20"/>
              </w:rPr>
            </w:pPr>
            <w:r w:rsidRPr="000D4E73">
              <w:rPr>
                <w:rFonts w:ascii="Times New Roman" w:hAnsi="Times New Roman" w:cs="Times New Roman"/>
                <w:color w:val="000000"/>
                <w:sz w:val="20"/>
                <w:szCs w:val="20"/>
              </w:rPr>
              <w:t xml:space="preserve">Exclusion of involuntary land acquisition under the </w:t>
            </w:r>
            <w:r w:rsidR="000619E4">
              <w:rPr>
                <w:rFonts w:ascii="Times New Roman" w:hAnsi="Times New Roman" w:cs="Times New Roman"/>
                <w:color w:val="000000"/>
                <w:sz w:val="20"/>
                <w:szCs w:val="20"/>
              </w:rPr>
              <w:t>P</w:t>
            </w:r>
            <w:r w:rsidRPr="000D4E73">
              <w:rPr>
                <w:rFonts w:ascii="Times New Roman" w:hAnsi="Times New Roman" w:cs="Times New Roman"/>
                <w:color w:val="000000"/>
                <w:sz w:val="20"/>
                <w:szCs w:val="20"/>
              </w:rPr>
              <w:t>rogram, ensure prior land acquisitions complies with national regulations and WB policy core principles</w:t>
            </w:r>
          </w:p>
        </w:tc>
        <w:tc>
          <w:tcPr>
            <w:tcW w:w="721" w:type="pct"/>
            <w:shd w:val="clear" w:color="auto" w:fill="auto"/>
          </w:tcPr>
          <w:p w14:paraId="126D86E6" w14:textId="7FEE5C80" w:rsidR="003C38C3" w:rsidRPr="000D4E73" w:rsidRDefault="003C38C3" w:rsidP="003C38C3">
            <w:pPr>
              <w:rPr>
                <w:rFonts w:ascii="Times New Roman" w:hAnsi="Times New Roman" w:cs="Times New Roman"/>
                <w:iCs/>
                <w:sz w:val="20"/>
                <w:szCs w:val="20"/>
              </w:rPr>
            </w:pPr>
            <w:r w:rsidRPr="000D4E73">
              <w:rPr>
                <w:rFonts w:ascii="Times New Roman" w:hAnsi="Times New Roman" w:cs="Times New Roman"/>
                <w:sz w:val="20"/>
                <w:szCs w:val="20"/>
              </w:rPr>
              <w:t xml:space="preserve">Before start of </w:t>
            </w:r>
            <w:r w:rsidR="00423D2E">
              <w:rPr>
                <w:rFonts w:ascii="Times New Roman" w:hAnsi="Times New Roman" w:cs="Times New Roman"/>
                <w:sz w:val="20"/>
                <w:szCs w:val="20"/>
              </w:rPr>
              <w:t>civil works</w:t>
            </w:r>
          </w:p>
        </w:tc>
        <w:tc>
          <w:tcPr>
            <w:tcW w:w="805" w:type="pct"/>
            <w:gridSpan w:val="2"/>
            <w:shd w:val="clear" w:color="auto" w:fill="auto"/>
          </w:tcPr>
          <w:p w14:paraId="0EDCF37C" w14:textId="13D1DDCB" w:rsidR="003C38C3" w:rsidRPr="000D4E73" w:rsidRDefault="004B3EAE" w:rsidP="003C38C3">
            <w:pPr>
              <w:rPr>
                <w:rFonts w:ascii="Times New Roman" w:hAnsi="Times New Roman" w:cs="Times New Roman"/>
                <w:sz w:val="20"/>
                <w:szCs w:val="20"/>
              </w:rPr>
            </w:pPr>
            <w:r>
              <w:rPr>
                <w:rFonts w:ascii="Times New Roman" w:hAnsi="Times New Roman" w:cs="Times New Roman"/>
                <w:sz w:val="20"/>
                <w:szCs w:val="20"/>
              </w:rPr>
              <w:t>MI</w:t>
            </w:r>
            <w:r w:rsidR="003C38C3" w:rsidRPr="000D4E73">
              <w:rPr>
                <w:rFonts w:ascii="Times New Roman" w:hAnsi="Times New Roman" w:cs="Times New Roman"/>
                <w:sz w:val="20"/>
                <w:szCs w:val="20"/>
              </w:rPr>
              <w:t>/ Wilaya</w:t>
            </w:r>
            <w:r w:rsidR="00B0062C">
              <w:rPr>
                <w:rFonts w:ascii="Times New Roman" w:hAnsi="Times New Roman" w:cs="Times New Roman"/>
                <w:sz w:val="20"/>
                <w:szCs w:val="20"/>
              </w:rPr>
              <w:t>/RRA</w:t>
            </w:r>
            <w:r>
              <w:rPr>
                <w:rFonts w:ascii="Times New Roman" w:hAnsi="Times New Roman" w:cs="Times New Roman"/>
                <w:sz w:val="20"/>
                <w:szCs w:val="20"/>
              </w:rPr>
              <w:t>/communes</w:t>
            </w:r>
          </w:p>
        </w:tc>
        <w:tc>
          <w:tcPr>
            <w:tcW w:w="909" w:type="pct"/>
            <w:shd w:val="clear" w:color="auto" w:fill="auto"/>
          </w:tcPr>
          <w:p w14:paraId="4D758BED" w14:textId="1F9B238E" w:rsidR="003C38C3" w:rsidRPr="000D4E73" w:rsidRDefault="00423D2E" w:rsidP="003C38C3">
            <w:pPr>
              <w:rPr>
                <w:rFonts w:ascii="Times New Roman" w:hAnsi="Times New Roman" w:cs="Times New Roman"/>
                <w:iCs/>
                <w:sz w:val="20"/>
                <w:szCs w:val="20"/>
              </w:rPr>
            </w:pPr>
            <w:r>
              <w:rPr>
                <w:rFonts w:ascii="Times New Roman" w:hAnsi="Times New Roman" w:cs="Times New Roman"/>
                <w:sz w:val="20"/>
                <w:szCs w:val="20"/>
              </w:rPr>
              <w:t xml:space="preserve">Impact assessment </w:t>
            </w:r>
            <w:r w:rsidRPr="00423D2E">
              <w:rPr>
                <w:rFonts w:ascii="Times New Roman" w:hAnsi="Times New Roman" w:cs="Times New Roman"/>
                <w:sz w:val="20"/>
                <w:szCs w:val="20"/>
              </w:rPr>
              <w:t>undertaken and a social action plan acceptable to the Bank to implement any mitigation necessary for prior land acquisition, adopted and implemented</w:t>
            </w:r>
          </w:p>
        </w:tc>
        <w:tc>
          <w:tcPr>
            <w:tcW w:w="356" w:type="pct"/>
            <w:shd w:val="clear" w:color="auto" w:fill="D9D9D9" w:themeFill="background1" w:themeFillShade="D9"/>
          </w:tcPr>
          <w:p w14:paraId="3185DF8F" w14:textId="51C2F1BA" w:rsidR="003C38C3" w:rsidRPr="000D4E73" w:rsidRDefault="003C38C3" w:rsidP="003C38C3">
            <w:pPr>
              <w:rPr>
                <w:rFonts w:ascii="Times New Roman" w:hAnsi="Times New Roman" w:cs="Times New Roman"/>
                <w:sz w:val="20"/>
                <w:szCs w:val="20"/>
              </w:rPr>
            </w:pPr>
            <w:r w:rsidRPr="000D4E73">
              <w:rPr>
                <w:rFonts w:ascii="Times New Roman" w:hAnsi="Times New Roman" w:cs="Times New Roman"/>
                <w:sz w:val="20"/>
                <w:szCs w:val="20"/>
              </w:rPr>
              <w:fldChar w:fldCharType="begin">
                <w:ffData>
                  <w:name w:val="Check1"/>
                  <w:enabled/>
                  <w:calcOnExit w:val="0"/>
                  <w:checkBox>
                    <w:sizeAuto/>
                    <w:default w:val="0"/>
                  </w:checkBox>
                </w:ffData>
              </w:fldChar>
            </w:r>
            <w:r w:rsidRPr="000D4E73">
              <w:rPr>
                <w:rFonts w:ascii="Times New Roman" w:hAnsi="Times New Roman" w:cs="Times New Roman"/>
                <w:sz w:val="20"/>
                <w:szCs w:val="20"/>
              </w:rPr>
              <w:instrText xml:space="preserve"> FORMCHECKBOX </w:instrText>
            </w:r>
            <w:r w:rsidR="00F8126C">
              <w:rPr>
                <w:rFonts w:ascii="Times New Roman" w:hAnsi="Times New Roman" w:cs="Times New Roman"/>
                <w:sz w:val="20"/>
                <w:szCs w:val="20"/>
              </w:rPr>
            </w:r>
            <w:r w:rsidR="00F8126C">
              <w:rPr>
                <w:rFonts w:ascii="Times New Roman" w:hAnsi="Times New Roman" w:cs="Times New Roman"/>
                <w:sz w:val="20"/>
                <w:szCs w:val="20"/>
              </w:rPr>
              <w:fldChar w:fldCharType="separate"/>
            </w:r>
            <w:r w:rsidRPr="000D4E73">
              <w:rPr>
                <w:rFonts w:ascii="Times New Roman" w:hAnsi="Times New Roman" w:cs="Times New Roman"/>
                <w:sz w:val="20"/>
                <w:szCs w:val="20"/>
              </w:rPr>
              <w:fldChar w:fldCharType="end"/>
            </w:r>
          </w:p>
        </w:tc>
        <w:tc>
          <w:tcPr>
            <w:tcW w:w="448" w:type="pct"/>
            <w:gridSpan w:val="2"/>
            <w:shd w:val="clear" w:color="auto" w:fill="D9D9D9" w:themeFill="background1" w:themeFillShade="D9"/>
          </w:tcPr>
          <w:p w14:paraId="77DE5054" w14:textId="3EC04716" w:rsidR="003C38C3" w:rsidRPr="000D4E73" w:rsidRDefault="003C38C3" w:rsidP="003C38C3">
            <w:pPr>
              <w:rPr>
                <w:rFonts w:ascii="Times New Roman" w:hAnsi="Times New Roman" w:cs="Times New Roman"/>
                <w:sz w:val="20"/>
                <w:szCs w:val="20"/>
              </w:rPr>
            </w:pPr>
            <w:r w:rsidRPr="000D4E73">
              <w:rPr>
                <w:rFonts w:ascii="Times New Roman" w:hAnsi="Times New Roman" w:cs="Times New Roman"/>
                <w:sz w:val="20"/>
                <w:szCs w:val="20"/>
              </w:rPr>
              <w:fldChar w:fldCharType="begin">
                <w:ffData>
                  <w:name w:val=""/>
                  <w:enabled/>
                  <w:calcOnExit w:val="0"/>
                  <w:checkBox>
                    <w:sizeAuto/>
                    <w:default w:val="0"/>
                  </w:checkBox>
                </w:ffData>
              </w:fldChar>
            </w:r>
            <w:r w:rsidRPr="000D4E73">
              <w:rPr>
                <w:rFonts w:ascii="Times New Roman" w:hAnsi="Times New Roman" w:cs="Times New Roman"/>
                <w:sz w:val="20"/>
                <w:szCs w:val="20"/>
              </w:rPr>
              <w:instrText xml:space="preserve"> FORMCHECKBOX </w:instrText>
            </w:r>
            <w:r w:rsidR="00F8126C">
              <w:rPr>
                <w:rFonts w:ascii="Times New Roman" w:hAnsi="Times New Roman" w:cs="Times New Roman"/>
                <w:sz w:val="20"/>
                <w:szCs w:val="20"/>
              </w:rPr>
            </w:r>
            <w:r w:rsidR="00F8126C">
              <w:rPr>
                <w:rFonts w:ascii="Times New Roman" w:hAnsi="Times New Roman" w:cs="Times New Roman"/>
                <w:sz w:val="20"/>
                <w:szCs w:val="20"/>
              </w:rPr>
              <w:fldChar w:fldCharType="separate"/>
            </w:r>
            <w:r w:rsidRPr="000D4E73">
              <w:rPr>
                <w:rFonts w:ascii="Times New Roman" w:hAnsi="Times New Roman" w:cs="Times New Roman"/>
                <w:sz w:val="20"/>
                <w:szCs w:val="20"/>
              </w:rPr>
              <w:fldChar w:fldCharType="end"/>
            </w:r>
          </w:p>
        </w:tc>
      </w:tr>
      <w:tr w:rsidR="003C38C3" w:rsidRPr="00554BF1" w14:paraId="57C7E47D" w14:textId="77777777" w:rsidTr="002064CF">
        <w:trPr>
          <w:gridAfter w:val="1"/>
          <w:wAfter w:w="4" w:type="pct"/>
        </w:trPr>
        <w:tc>
          <w:tcPr>
            <w:tcW w:w="227" w:type="pct"/>
            <w:shd w:val="clear" w:color="auto" w:fill="auto"/>
          </w:tcPr>
          <w:p w14:paraId="2FA50363" w14:textId="4B0BC5BD" w:rsidR="003C38C3" w:rsidRPr="00BC7BB5" w:rsidRDefault="003C38C3" w:rsidP="003C38C3">
            <w:pPr>
              <w:rPr>
                <w:rFonts w:ascii="Times New Roman" w:hAnsi="Times New Roman"/>
                <w:iCs/>
              </w:rPr>
            </w:pPr>
            <w:r>
              <w:rPr>
                <w:rFonts w:ascii="Times New Roman" w:hAnsi="Times New Roman"/>
                <w:iCs/>
              </w:rPr>
              <w:t>11</w:t>
            </w:r>
          </w:p>
        </w:tc>
        <w:tc>
          <w:tcPr>
            <w:tcW w:w="1530" w:type="pct"/>
            <w:shd w:val="clear" w:color="auto" w:fill="auto"/>
            <w:vAlign w:val="center"/>
          </w:tcPr>
          <w:p w14:paraId="687FB08C" w14:textId="1DADCD9C" w:rsidR="003C38C3" w:rsidRPr="000D4E73" w:rsidRDefault="003C38C3" w:rsidP="003C38C3">
            <w:pPr>
              <w:rPr>
                <w:rFonts w:ascii="Times New Roman" w:hAnsi="Times New Roman" w:cs="Times New Roman"/>
                <w:iCs/>
                <w:sz w:val="20"/>
                <w:szCs w:val="20"/>
              </w:rPr>
            </w:pPr>
            <w:r w:rsidRPr="000D4E73">
              <w:rPr>
                <w:rFonts w:ascii="Times New Roman" w:hAnsi="Times New Roman" w:cs="Times New Roman"/>
                <w:color w:val="000000"/>
                <w:sz w:val="20"/>
                <w:szCs w:val="20"/>
              </w:rPr>
              <w:t>Improvement in targeted agricultural production and processing sectors regarding compliance with existing</w:t>
            </w:r>
            <w:r w:rsidR="00554BF1">
              <w:rPr>
                <w:rFonts w:ascii="Times New Roman" w:hAnsi="Times New Roman" w:cs="Times New Roman"/>
                <w:color w:val="000000"/>
                <w:sz w:val="20"/>
                <w:szCs w:val="20"/>
              </w:rPr>
              <w:t xml:space="preserve"> environment and</w:t>
            </w:r>
            <w:r w:rsidRPr="000D4E73">
              <w:rPr>
                <w:rFonts w:ascii="Times New Roman" w:hAnsi="Times New Roman" w:cs="Times New Roman"/>
                <w:color w:val="000000"/>
                <w:sz w:val="20"/>
                <w:szCs w:val="20"/>
              </w:rPr>
              <w:t xml:space="preserve"> labor laws and regulations, including child labor and social security</w:t>
            </w:r>
          </w:p>
        </w:tc>
        <w:tc>
          <w:tcPr>
            <w:tcW w:w="721" w:type="pct"/>
            <w:shd w:val="clear" w:color="auto" w:fill="auto"/>
          </w:tcPr>
          <w:p w14:paraId="05A4E4EC" w14:textId="2FB5AD5E" w:rsidR="003C38C3" w:rsidRPr="000D4E73" w:rsidRDefault="003C38C3" w:rsidP="003C38C3">
            <w:pPr>
              <w:rPr>
                <w:rFonts w:ascii="Times New Roman" w:hAnsi="Times New Roman" w:cs="Times New Roman"/>
                <w:b/>
                <w:iCs/>
                <w:sz w:val="20"/>
                <w:szCs w:val="20"/>
              </w:rPr>
            </w:pPr>
            <w:r w:rsidRPr="000D4E73">
              <w:rPr>
                <w:rFonts w:ascii="Times New Roman" w:hAnsi="Times New Roman" w:cs="Times New Roman"/>
                <w:sz w:val="20"/>
                <w:szCs w:val="20"/>
              </w:rPr>
              <w:t>December 2018</w:t>
            </w:r>
          </w:p>
        </w:tc>
        <w:tc>
          <w:tcPr>
            <w:tcW w:w="805" w:type="pct"/>
            <w:gridSpan w:val="2"/>
            <w:shd w:val="clear" w:color="auto" w:fill="auto"/>
          </w:tcPr>
          <w:p w14:paraId="21EEE117" w14:textId="64BAAE4E" w:rsidR="003C38C3" w:rsidRPr="000619E4" w:rsidRDefault="003C38C3" w:rsidP="003C38C3">
            <w:pPr>
              <w:rPr>
                <w:rFonts w:ascii="Times New Roman" w:hAnsi="Times New Roman" w:cs="Times New Roman"/>
                <w:sz w:val="20"/>
                <w:szCs w:val="20"/>
                <w:lang w:val="fr-FR"/>
              </w:rPr>
            </w:pPr>
            <w:r w:rsidRPr="000619E4">
              <w:rPr>
                <w:rFonts w:ascii="Times New Roman" w:hAnsi="Times New Roman" w:cs="Times New Roman"/>
                <w:sz w:val="20"/>
                <w:szCs w:val="20"/>
                <w:lang w:val="fr-FR"/>
              </w:rPr>
              <w:t>PMU/ E</w:t>
            </w:r>
            <w:r w:rsidR="000619E4" w:rsidRPr="000619E4">
              <w:rPr>
                <w:rFonts w:ascii="Times New Roman" w:hAnsi="Times New Roman" w:cs="Times New Roman"/>
                <w:sz w:val="20"/>
                <w:szCs w:val="20"/>
                <w:lang w:val="fr-FR"/>
              </w:rPr>
              <w:t xml:space="preserve">nvironment </w:t>
            </w:r>
            <w:r w:rsidRPr="000619E4">
              <w:rPr>
                <w:rFonts w:ascii="Times New Roman" w:hAnsi="Times New Roman" w:cs="Times New Roman"/>
                <w:sz w:val="20"/>
                <w:szCs w:val="20"/>
                <w:lang w:val="fr-FR"/>
              </w:rPr>
              <w:t>&amp;</w:t>
            </w:r>
            <w:r w:rsidR="00423D2E">
              <w:rPr>
                <w:rFonts w:ascii="Times New Roman" w:hAnsi="Times New Roman" w:cs="Times New Roman"/>
                <w:sz w:val="20"/>
                <w:szCs w:val="20"/>
                <w:lang w:val="fr-FR"/>
              </w:rPr>
              <w:t xml:space="preserve"> </w:t>
            </w:r>
            <w:r w:rsidRPr="000619E4">
              <w:rPr>
                <w:rFonts w:ascii="Times New Roman" w:hAnsi="Times New Roman" w:cs="Times New Roman"/>
                <w:sz w:val="20"/>
                <w:szCs w:val="20"/>
                <w:lang w:val="fr-FR"/>
              </w:rPr>
              <w:t>S</w:t>
            </w:r>
            <w:r w:rsidR="000619E4" w:rsidRPr="000619E4">
              <w:rPr>
                <w:rFonts w:ascii="Times New Roman" w:hAnsi="Times New Roman" w:cs="Times New Roman"/>
                <w:sz w:val="20"/>
                <w:szCs w:val="20"/>
                <w:lang w:val="fr-FR"/>
              </w:rPr>
              <w:t>ocial</w:t>
            </w:r>
            <w:r w:rsidRPr="000619E4">
              <w:rPr>
                <w:rFonts w:ascii="Times New Roman" w:hAnsi="Times New Roman" w:cs="Times New Roman"/>
                <w:sz w:val="20"/>
                <w:szCs w:val="20"/>
                <w:lang w:val="fr-FR"/>
              </w:rPr>
              <w:t xml:space="preserve"> </w:t>
            </w:r>
            <w:r w:rsidR="00BF1873">
              <w:rPr>
                <w:rFonts w:ascii="Times New Roman" w:hAnsi="Times New Roman" w:cs="Times New Roman"/>
                <w:sz w:val="20"/>
                <w:szCs w:val="20"/>
                <w:lang w:val="fr-FR"/>
              </w:rPr>
              <w:t>specialist</w:t>
            </w:r>
            <w:r w:rsidRPr="000619E4">
              <w:rPr>
                <w:rFonts w:ascii="Times New Roman" w:hAnsi="Times New Roman" w:cs="Times New Roman"/>
                <w:sz w:val="20"/>
                <w:szCs w:val="20"/>
                <w:lang w:val="fr-FR"/>
              </w:rPr>
              <w:t>/</w:t>
            </w:r>
            <w:r w:rsidR="00BF1873">
              <w:rPr>
                <w:rFonts w:ascii="Times New Roman" w:hAnsi="Times New Roman" w:cs="Times New Roman"/>
                <w:sz w:val="20"/>
                <w:szCs w:val="20"/>
                <w:lang w:val="fr-FR"/>
              </w:rPr>
              <w:t xml:space="preserve"> </w:t>
            </w:r>
            <w:r w:rsidRPr="000619E4">
              <w:rPr>
                <w:rFonts w:ascii="Times New Roman" w:hAnsi="Times New Roman" w:cs="Times New Roman"/>
                <w:sz w:val="20"/>
                <w:szCs w:val="20"/>
                <w:lang w:val="fr-FR"/>
              </w:rPr>
              <w:t xml:space="preserve">Interprofessions </w:t>
            </w:r>
          </w:p>
        </w:tc>
        <w:tc>
          <w:tcPr>
            <w:tcW w:w="909" w:type="pct"/>
            <w:shd w:val="clear" w:color="auto" w:fill="auto"/>
          </w:tcPr>
          <w:p w14:paraId="643E0166" w14:textId="1C354AB3" w:rsidR="003C38C3" w:rsidRPr="000D4E73" w:rsidRDefault="003C38C3" w:rsidP="003C38C3">
            <w:pPr>
              <w:rPr>
                <w:rFonts w:ascii="Times New Roman" w:hAnsi="Times New Roman" w:cs="Times New Roman"/>
                <w:iCs/>
                <w:sz w:val="20"/>
                <w:szCs w:val="20"/>
              </w:rPr>
            </w:pPr>
            <w:r w:rsidRPr="000D4E73">
              <w:rPr>
                <w:rFonts w:ascii="Times New Roman" w:hAnsi="Times New Roman" w:cs="Times New Roman"/>
                <w:sz w:val="20"/>
                <w:szCs w:val="20"/>
              </w:rPr>
              <w:t>Awareness-raising campaigns conducted</w:t>
            </w:r>
          </w:p>
        </w:tc>
        <w:tc>
          <w:tcPr>
            <w:tcW w:w="356" w:type="pct"/>
            <w:shd w:val="clear" w:color="auto" w:fill="auto"/>
          </w:tcPr>
          <w:p w14:paraId="39C8A249" w14:textId="705398EB" w:rsidR="003C38C3" w:rsidRPr="000D4E73" w:rsidRDefault="003C38C3" w:rsidP="003C38C3">
            <w:pPr>
              <w:rPr>
                <w:rFonts w:ascii="Times New Roman" w:hAnsi="Times New Roman" w:cs="Times New Roman"/>
                <w:sz w:val="20"/>
                <w:szCs w:val="20"/>
              </w:rPr>
            </w:pPr>
            <w:r w:rsidRPr="000D4E73">
              <w:rPr>
                <w:rFonts w:ascii="Times New Roman" w:hAnsi="Times New Roman" w:cs="Times New Roman"/>
                <w:sz w:val="20"/>
                <w:szCs w:val="20"/>
              </w:rPr>
              <w:fldChar w:fldCharType="begin">
                <w:ffData>
                  <w:name w:val="Check1"/>
                  <w:enabled/>
                  <w:calcOnExit w:val="0"/>
                  <w:checkBox>
                    <w:sizeAuto/>
                    <w:default w:val="0"/>
                  </w:checkBox>
                </w:ffData>
              </w:fldChar>
            </w:r>
            <w:r w:rsidRPr="000D4E73">
              <w:rPr>
                <w:rFonts w:ascii="Times New Roman" w:hAnsi="Times New Roman" w:cs="Times New Roman"/>
                <w:sz w:val="20"/>
                <w:szCs w:val="20"/>
              </w:rPr>
              <w:instrText xml:space="preserve"> FORMCHECKBOX </w:instrText>
            </w:r>
            <w:r w:rsidR="00F8126C">
              <w:rPr>
                <w:rFonts w:ascii="Times New Roman" w:hAnsi="Times New Roman" w:cs="Times New Roman"/>
                <w:sz w:val="20"/>
                <w:szCs w:val="20"/>
              </w:rPr>
            </w:r>
            <w:r w:rsidR="00F8126C">
              <w:rPr>
                <w:rFonts w:ascii="Times New Roman" w:hAnsi="Times New Roman" w:cs="Times New Roman"/>
                <w:sz w:val="20"/>
                <w:szCs w:val="20"/>
              </w:rPr>
              <w:fldChar w:fldCharType="separate"/>
            </w:r>
            <w:r w:rsidRPr="000D4E73">
              <w:rPr>
                <w:rFonts w:ascii="Times New Roman" w:hAnsi="Times New Roman" w:cs="Times New Roman"/>
                <w:sz w:val="20"/>
                <w:szCs w:val="20"/>
              </w:rPr>
              <w:fldChar w:fldCharType="end"/>
            </w:r>
          </w:p>
        </w:tc>
        <w:tc>
          <w:tcPr>
            <w:tcW w:w="448" w:type="pct"/>
            <w:gridSpan w:val="2"/>
            <w:shd w:val="clear" w:color="auto" w:fill="auto"/>
          </w:tcPr>
          <w:p w14:paraId="6106AA80" w14:textId="521E6442" w:rsidR="003C38C3" w:rsidRPr="000D4E73" w:rsidRDefault="003C38C3" w:rsidP="003C38C3">
            <w:pPr>
              <w:rPr>
                <w:rFonts w:ascii="Times New Roman" w:hAnsi="Times New Roman" w:cs="Times New Roman"/>
                <w:sz w:val="20"/>
                <w:szCs w:val="20"/>
              </w:rPr>
            </w:pPr>
            <w:r w:rsidRPr="000D4E73">
              <w:rPr>
                <w:rFonts w:ascii="Times New Roman" w:hAnsi="Times New Roman" w:cs="Times New Roman"/>
                <w:sz w:val="20"/>
                <w:szCs w:val="20"/>
              </w:rPr>
              <w:fldChar w:fldCharType="begin">
                <w:ffData>
                  <w:name w:val=""/>
                  <w:enabled/>
                  <w:calcOnExit w:val="0"/>
                  <w:checkBox>
                    <w:sizeAuto/>
                    <w:default w:val="0"/>
                  </w:checkBox>
                </w:ffData>
              </w:fldChar>
            </w:r>
            <w:r w:rsidRPr="000D4E73">
              <w:rPr>
                <w:rFonts w:ascii="Times New Roman" w:hAnsi="Times New Roman" w:cs="Times New Roman"/>
                <w:sz w:val="20"/>
                <w:szCs w:val="20"/>
              </w:rPr>
              <w:instrText xml:space="preserve"> FORMCHECKBOX </w:instrText>
            </w:r>
            <w:r w:rsidR="00F8126C">
              <w:rPr>
                <w:rFonts w:ascii="Times New Roman" w:hAnsi="Times New Roman" w:cs="Times New Roman"/>
                <w:sz w:val="20"/>
                <w:szCs w:val="20"/>
              </w:rPr>
            </w:r>
            <w:r w:rsidR="00F8126C">
              <w:rPr>
                <w:rFonts w:ascii="Times New Roman" w:hAnsi="Times New Roman" w:cs="Times New Roman"/>
                <w:sz w:val="20"/>
                <w:szCs w:val="20"/>
              </w:rPr>
              <w:fldChar w:fldCharType="separate"/>
            </w:r>
            <w:r w:rsidRPr="000D4E73">
              <w:rPr>
                <w:rFonts w:ascii="Times New Roman" w:hAnsi="Times New Roman" w:cs="Times New Roman"/>
                <w:sz w:val="20"/>
                <w:szCs w:val="20"/>
              </w:rPr>
              <w:fldChar w:fldCharType="end"/>
            </w:r>
          </w:p>
        </w:tc>
      </w:tr>
      <w:tr w:rsidR="00F95A3D" w:rsidRPr="00554BF1" w14:paraId="5F728B13" w14:textId="77777777" w:rsidTr="00572FDE">
        <w:trPr>
          <w:gridAfter w:val="1"/>
          <w:wAfter w:w="4" w:type="pct"/>
        </w:trPr>
        <w:tc>
          <w:tcPr>
            <w:tcW w:w="227" w:type="pct"/>
          </w:tcPr>
          <w:p w14:paraId="2A957025" w14:textId="437F6488" w:rsidR="00F95A3D" w:rsidRPr="00BC7BB5" w:rsidRDefault="00294BE0" w:rsidP="00F95A3D">
            <w:pPr>
              <w:rPr>
                <w:rFonts w:ascii="Times New Roman" w:hAnsi="Times New Roman"/>
                <w:iCs/>
              </w:rPr>
            </w:pPr>
            <w:r>
              <w:rPr>
                <w:rFonts w:ascii="Times New Roman" w:hAnsi="Times New Roman"/>
                <w:iCs/>
              </w:rPr>
              <w:t>12</w:t>
            </w:r>
          </w:p>
        </w:tc>
        <w:tc>
          <w:tcPr>
            <w:tcW w:w="1530" w:type="pct"/>
            <w:shd w:val="clear" w:color="auto" w:fill="auto"/>
            <w:vAlign w:val="center"/>
          </w:tcPr>
          <w:p w14:paraId="7BE67E10" w14:textId="131599AD" w:rsidR="00F95A3D" w:rsidRPr="000D4E73" w:rsidRDefault="00423D2E" w:rsidP="00F95A3D">
            <w:pPr>
              <w:rPr>
                <w:rFonts w:ascii="Times New Roman" w:hAnsi="Times New Roman" w:cs="Times New Roman"/>
                <w:iCs/>
                <w:sz w:val="20"/>
                <w:szCs w:val="20"/>
              </w:rPr>
            </w:pPr>
            <w:r w:rsidRPr="00423D2E">
              <w:rPr>
                <w:rFonts w:ascii="Times New Roman" w:hAnsi="Times New Roman" w:cs="Times New Roman"/>
                <w:sz w:val="20"/>
                <w:szCs w:val="20"/>
              </w:rPr>
              <w:t>Consultations undertaken with stakeholders of the existing wholesale market and current land users to ensure that the transfer of wholesale market activities is undertaken in a socially sustainable manner and loss of livelihood is mitigated</w:t>
            </w:r>
          </w:p>
        </w:tc>
        <w:tc>
          <w:tcPr>
            <w:tcW w:w="721" w:type="pct"/>
            <w:shd w:val="clear" w:color="auto" w:fill="auto"/>
          </w:tcPr>
          <w:p w14:paraId="547F1C81" w14:textId="4D377A62" w:rsidR="00F95A3D" w:rsidRPr="000D4E73" w:rsidRDefault="00423D2E" w:rsidP="00F95A3D">
            <w:pPr>
              <w:rPr>
                <w:rFonts w:ascii="Times New Roman" w:hAnsi="Times New Roman" w:cs="Times New Roman"/>
                <w:iCs/>
                <w:sz w:val="20"/>
                <w:szCs w:val="20"/>
              </w:rPr>
            </w:pPr>
            <w:r w:rsidRPr="00423D2E">
              <w:rPr>
                <w:rFonts w:ascii="Times New Roman" w:hAnsi="Times New Roman" w:cs="Times New Roman"/>
                <w:sz w:val="20"/>
                <w:szCs w:val="20"/>
              </w:rPr>
              <w:t>Before transfer of productive assets, work place, business</w:t>
            </w:r>
          </w:p>
        </w:tc>
        <w:tc>
          <w:tcPr>
            <w:tcW w:w="805" w:type="pct"/>
            <w:gridSpan w:val="2"/>
            <w:shd w:val="clear" w:color="auto" w:fill="auto"/>
          </w:tcPr>
          <w:p w14:paraId="72DC8E5C" w14:textId="7FAB788F" w:rsidR="00B0062C" w:rsidRDefault="00F95A3D" w:rsidP="00F95A3D">
            <w:pPr>
              <w:rPr>
                <w:rFonts w:ascii="Times New Roman" w:hAnsi="Times New Roman" w:cs="Times New Roman"/>
                <w:sz w:val="20"/>
                <w:szCs w:val="20"/>
              </w:rPr>
            </w:pPr>
            <w:r w:rsidRPr="000D4E73">
              <w:rPr>
                <w:rFonts w:ascii="Times New Roman" w:hAnsi="Times New Roman" w:cs="Times New Roman"/>
                <w:sz w:val="20"/>
                <w:szCs w:val="20"/>
              </w:rPr>
              <w:t>Wilaya</w:t>
            </w:r>
            <w:r w:rsidR="00B0062C">
              <w:rPr>
                <w:rFonts w:ascii="Times New Roman" w:hAnsi="Times New Roman" w:cs="Times New Roman"/>
                <w:sz w:val="20"/>
                <w:szCs w:val="20"/>
              </w:rPr>
              <w:t>/</w:t>
            </w:r>
            <w:r w:rsidR="008226EF">
              <w:rPr>
                <w:rFonts w:ascii="Times New Roman" w:hAnsi="Times New Roman" w:cs="Times New Roman"/>
                <w:sz w:val="20"/>
                <w:szCs w:val="20"/>
              </w:rPr>
              <w:t>communes/MI/</w:t>
            </w:r>
          </w:p>
          <w:p w14:paraId="2B7561E6" w14:textId="4883CD2D" w:rsidR="00F95A3D" w:rsidRPr="000D4E73" w:rsidRDefault="00B0062C" w:rsidP="00F95A3D">
            <w:pPr>
              <w:rPr>
                <w:rFonts w:ascii="Times New Roman" w:hAnsi="Times New Roman" w:cs="Times New Roman"/>
                <w:sz w:val="20"/>
                <w:szCs w:val="20"/>
              </w:rPr>
            </w:pPr>
            <w:r>
              <w:rPr>
                <w:rFonts w:ascii="Times New Roman" w:hAnsi="Times New Roman" w:cs="Times New Roman"/>
                <w:sz w:val="20"/>
                <w:szCs w:val="20"/>
              </w:rPr>
              <w:t>RRA</w:t>
            </w:r>
            <w:r w:rsidR="008226EF">
              <w:rPr>
                <w:rFonts w:ascii="Times New Roman" w:hAnsi="Times New Roman" w:cs="Times New Roman"/>
                <w:sz w:val="20"/>
                <w:szCs w:val="20"/>
              </w:rPr>
              <w:t>/SDL or SDR</w:t>
            </w:r>
          </w:p>
        </w:tc>
        <w:tc>
          <w:tcPr>
            <w:tcW w:w="909" w:type="pct"/>
            <w:shd w:val="clear" w:color="auto" w:fill="auto"/>
          </w:tcPr>
          <w:p w14:paraId="513970A5" w14:textId="34FD95F6" w:rsidR="00F95A3D" w:rsidRPr="000D4E73" w:rsidRDefault="00423D2E" w:rsidP="00F95A3D">
            <w:pPr>
              <w:rPr>
                <w:rFonts w:ascii="Times New Roman" w:hAnsi="Times New Roman" w:cs="Times New Roman"/>
                <w:sz w:val="20"/>
                <w:szCs w:val="20"/>
              </w:rPr>
            </w:pPr>
            <w:r w:rsidRPr="00423D2E">
              <w:rPr>
                <w:rFonts w:ascii="Times New Roman" w:hAnsi="Times New Roman" w:cs="Times New Roman"/>
                <w:sz w:val="20"/>
                <w:szCs w:val="20"/>
              </w:rPr>
              <w:t>A social action plan  (including mitigation measures) acceptable to the Bank adopted and implemented</w:t>
            </w:r>
          </w:p>
        </w:tc>
        <w:tc>
          <w:tcPr>
            <w:tcW w:w="356" w:type="pct"/>
            <w:shd w:val="clear" w:color="auto" w:fill="D9D9D9" w:themeFill="background1" w:themeFillShade="D9"/>
          </w:tcPr>
          <w:p w14:paraId="23A35DB5" w14:textId="1C1A17EA" w:rsidR="00F95A3D" w:rsidRPr="000D4E73" w:rsidRDefault="00F95A3D" w:rsidP="00F95A3D">
            <w:pPr>
              <w:rPr>
                <w:rFonts w:ascii="Times New Roman" w:hAnsi="Times New Roman" w:cs="Times New Roman"/>
                <w:sz w:val="20"/>
                <w:szCs w:val="20"/>
              </w:rPr>
            </w:pPr>
            <w:r w:rsidRPr="000D4E73">
              <w:rPr>
                <w:rFonts w:ascii="Times New Roman" w:hAnsi="Times New Roman" w:cs="Times New Roman"/>
                <w:sz w:val="20"/>
                <w:szCs w:val="20"/>
              </w:rPr>
              <w:fldChar w:fldCharType="begin">
                <w:ffData>
                  <w:name w:val="Check1"/>
                  <w:enabled/>
                  <w:calcOnExit w:val="0"/>
                  <w:checkBox>
                    <w:sizeAuto/>
                    <w:default w:val="0"/>
                  </w:checkBox>
                </w:ffData>
              </w:fldChar>
            </w:r>
            <w:r w:rsidRPr="000D4E73">
              <w:rPr>
                <w:rFonts w:ascii="Times New Roman" w:hAnsi="Times New Roman" w:cs="Times New Roman"/>
                <w:sz w:val="20"/>
                <w:szCs w:val="20"/>
              </w:rPr>
              <w:instrText xml:space="preserve"> FORMCHECKBOX </w:instrText>
            </w:r>
            <w:r w:rsidR="00F8126C">
              <w:rPr>
                <w:rFonts w:ascii="Times New Roman" w:hAnsi="Times New Roman" w:cs="Times New Roman"/>
                <w:sz w:val="20"/>
                <w:szCs w:val="20"/>
              </w:rPr>
            </w:r>
            <w:r w:rsidR="00F8126C">
              <w:rPr>
                <w:rFonts w:ascii="Times New Roman" w:hAnsi="Times New Roman" w:cs="Times New Roman"/>
                <w:sz w:val="20"/>
                <w:szCs w:val="20"/>
              </w:rPr>
              <w:fldChar w:fldCharType="separate"/>
            </w:r>
            <w:r w:rsidRPr="000D4E73">
              <w:rPr>
                <w:rFonts w:ascii="Times New Roman" w:hAnsi="Times New Roman" w:cs="Times New Roman"/>
                <w:sz w:val="20"/>
                <w:szCs w:val="20"/>
              </w:rPr>
              <w:fldChar w:fldCharType="end"/>
            </w:r>
          </w:p>
        </w:tc>
        <w:tc>
          <w:tcPr>
            <w:tcW w:w="448" w:type="pct"/>
            <w:gridSpan w:val="2"/>
            <w:shd w:val="clear" w:color="auto" w:fill="D9D9D9" w:themeFill="background1" w:themeFillShade="D9"/>
          </w:tcPr>
          <w:p w14:paraId="4D4EB495" w14:textId="301432AB" w:rsidR="00F95A3D" w:rsidRPr="000D4E73" w:rsidRDefault="00F95A3D" w:rsidP="00F95A3D">
            <w:pPr>
              <w:rPr>
                <w:rFonts w:ascii="Times New Roman" w:hAnsi="Times New Roman" w:cs="Times New Roman"/>
                <w:sz w:val="20"/>
                <w:szCs w:val="20"/>
              </w:rPr>
            </w:pPr>
            <w:r w:rsidRPr="000D4E73">
              <w:rPr>
                <w:rFonts w:ascii="Times New Roman" w:hAnsi="Times New Roman" w:cs="Times New Roman"/>
                <w:sz w:val="20"/>
                <w:szCs w:val="20"/>
              </w:rPr>
              <w:fldChar w:fldCharType="begin">
                <w:ffData>
                  <w:name w:val=""/>
                  <w:enabled/>
                  <w:calcOnExit w:val="0"/>
                  <w:checkBox>
                    <w:sizeAuto/>
                    <w:default w:val="0"/>
                  </w:checkBox>
                </w:ffData>
              </w:fldChar>
            </w:r>
            <w:r w:rsidRPr="000D4E73">
              <w:rPr>
                <w:rFonts w:ascii="Times New Roman" w:hAnsi="Times New Roman" w:cs="Times New Roman"/>
                <w:sz w:val="20"/>
                <w:szCs w:val="20"/>
              </w:rPr>
              <w:instrText xml:space="preserve"> FORMCHECKBOX </w:instrText>
            </w:r>
            <w:r w:rsidR="00F8126C">
              <w:rPr>
                <w:rFonts w:ascii="Times New Roman" w:hAnsi="Times New Roman" w:cs="Times New Roman"/>
                <w:sz w:val="20"/>
                <w:szCs w:val="20"/>
              </w:rPr>
            </w:r>
            <w:r w:rsidR="00F8126C">
              <w:rPr>
                <w:rFonts w:ascii="Times New Roman" w:hAnsi="Times New Roman" w:cs="Times New Roman"/>
                <w:sz w:val="20"/>
                <w:szCs w:val="20"/>
              </w:rPr>
              <w:fldChar w:fldCharType="separate"/>
            </w:r>
            <w:r w:rsidRPr="000D4E73">
              <w:rPr>
                <w:rFonts w:ascii="Times New Roman" w:hAnsi="Times New Roman" w:cs="Times New Roman"/>
                <w:sz w:val="20"/>
                <w:szCs w:val="20"/>
              </w:rPr>
              <w:fldChar w:fldCharType="end"/>
            </w:r>
          </w:p>
        </w:tc>
      </w:tr>
      <w:tr w:rsidR="00F95A3D" w:rsidRPr="00554BF1" w14:paraId="6B063666" w14:textId="77777777" w:rsidTr="00572FDE">
        <w:trPr>
          <w:gridAfter w:val="1"/>
          <w:wAfter w:w="4" w:type="pct"/>
        </w:trPr>
        <w:tc>
          <w:tcPr>
            <w:tcW w:w="227" w:type="pct"/>
          </w:tcPr>
          <w:p w14:paraId="484E34AA" w14:textId="30D57360" w:rsidR="00F95A3D" w:rsidRPr="00BC7BB5" w:rsidRDefault="00294BE0" w:rsidP="00F95A3D">
            <w:pPr>
              <w:rPr>
                <w:rFonts w:ascii="Times New Roman" w:hAnsi="Times New Roman"/>
                <w:iCs/>
              </w:rPr>
            </w:pPr>
            <w:r>
              <w:rPr>
                <w:rFonts w:ascii="Times New Roman" w:hAnsi="Times New Roman"/>
                <w:iCs/>
              </w:rPr>
              <w:t>13</w:t>
            </w:r>
          </w:p>
        </w:tc>
        <w:tc>
          <w:tcPr>
            <w:tcW w:w="1530" w:type="pct"/>
            <w:vAlign w:val="center"/>
          </w:tcPr>
          <w:p w14:paraId="756F02C9" w14:textId="0C4223A2" w:rsidR="00F95A3D" w:rsidRPr="000D4E73" w:rsidRDefault="00E517E0" w:rsidP="00F95A3D">
            <w:pPr>
              <w:rPr>
                <w:rFonts w:ascii="Times New Roman" w:hAnsi="Times New Roman" w:cs="Times New Roman"/>
                <w:iCs/>
                <w:sz w:val="20"/>
                <w:szCs w:val="20"/>
              </w:rPr>
            </w:pPr>
            <w:r>
              <w:rPr>
                <w:rFonts w:ascii="Times New Roman" w:hAnsi="Times New Roman" w:cs="Times New Roman"/>
                <w:iCs/>
                <w:sz w:val="20"/>
                <w:szCs w:val="20"/>
              </w:rPr>
              <w:t>A</w:t>
            </w:r>
            <w:r w:rsidR="00F95A3D" w:rsidRPr="000D4E73">
              <w:rPr>
                <w:rFonts w:ascii="Times New Roman" w:hAnsi="Times New Roman" w:cs="Times New Roman"/>
                <w:iCs/>
                <w:sz w:val="20"/>
                <w:szCs w:val="20"/>
              </w:rPr>
              <w:t xml:space="preserve">greement </w:t>
            </w:r>
            <w:r>
              <w:rPr>
                <w:rFonts w:ascii="Times New Roman" w:hAnsi="Times New Roman" w:cs="Times New Roman"/>
                <w:iCs/>
                <w:sz w:val="20"/>
                <w:szCs w:val="20"/>
              </w:rPr>
              <w:t>between the Borrower and IAEA duly signed for the provision of equipment and relevant traini</w:t>
            </w:r>
            <w:r w:rsidR="00512BCA">
              <w:rPr>
                <w:rFonts w:ascii="Times New Roman" w:hAnsi="Times New Roman" w:cs="Times New Roman"/>
                <w:iCs/>
                <w:sz w:val="20"/>
                <w:szCs w:val="20"/>
              </w:rPr>
              <w:t>n</w:t>
            </w:r>
            <w:r>
              <w:rPr>
                <w:rFonts w:ascii="Times New Roman" w:hAnsi="Times New Roman" w:cs="Times New Roman"/>
                <w:iCs/>
                <w:sz w:val="20"/>
                <w:szCs w:val="20"/>
              </w:rPr>
              <w:t xml:space="preserve">g for </w:t>
            </w:r>
            <w:r w:rsidR="00F95A3D" w:rsidRPr="000D4E73">
              <w:rPr>
                <w:rFonts w:ascii="Times New Roman" w:hAnsi="Times New Roman" w:cs="Times New Roman"/>
                <w:iCs/>
                <w:sz w:val="20"/>
                <w:szCs w:val="20"/>
              </w:rPr>
              <w:t>the</w:t>
            </w:r>
            <w:r>
              <w:rPr>
                <w:rFonts w:ascii="Times New Roman" w:hAnsi="Times New Roman" w:cs="Times New Roman"/>
                <w:iCs/>
                <w:sz w:val="20"/>
                <w:szCs w:val="20"/>
              </w:rPr>
              <w:t xml:space="preserve"> center for the production of sterile </w:t>
            </w:r>
            <w:r w:rsidR="00512BCA">
              <w:rPr>
                <w:rFonts w:ascii="Times New Roman" w:hAnsi="Times New Roman" w:cs="Times New Roman"/>
                <w:i/>
                <w:iCs/>
                <w:sz w:val="20"/>
                <w:szCs w:val="20"/>
              </w:rPr>
              <w:t>c</w:t>
            </w:r>
            <w:r w:rsidR="00F95A3D" w:rsidRPr="000D4E73">
              <w:rPr>
                <w:rFonts w:ascii="Times New Roman" w:hAnsi="Times New Roman" w:cs="Times New Roman"/>
                <w:i/>
                <w:iCs/>
                <w:sz w:val="20"/>
                <w:szCs w:val="20"/>
              </w:rPr>
              <w:t>eratitis</w:t>
            </w:r>
            <w:r>
              <w:rPr>
                <w:rFonts w:ascii="Times New Roman" w:hAnsi="Times New Roman" w:cs="Times New Roman"/>
                <w:iCs/>
                <w:sz w:val="20"/>
                <w:szCs w:val="20"/>
              </w:rPr>
              <w:t xml:space="preserve"> males, under terms and conditions set in the POM</w:t>
            </w:r>
          </w:p>
        </w:tc>
        <w:tc>
          <w:tcPr>
            <w:tcW w:w="721" w:type="pct"/>
          </w:tcPr>
          <w:p w14:paraId="3ECADC38" w14:textId="77777777" w:rsidR="00F95A3D" w:rsidRPr="000D4E73" w:rsidRDefault="00F95A3D" w:rsidP="00F95A3D">
            <w:pPr>
              <w:rPr>
                <w:rFonts w:ascii="Times New Roman" w:hAnsi="Times New Roman" w:cs="Times New Roman"/>
                <w:iCs/>
                <w:sz w:val="20"/>
                <w:szCs w:val="20"/>
              </w:rPr>
            </w:pPr>
            <w:r w:rsidRPr="000D4E73">
              <w:rPr>
                <w:rFonts w:ascii="Times New Roman" w:hAnsi="Times New Roman" w:cs="Times New Roman"/>
                <w:iCs/>
                <w:sz w:val="20"/>
                <w:szCs w:val="20"/>
              </w:rPr>
              <w:t>December 2019</w:t>
            </w:r>
          </w:p>
        </w:tc>
        <w:tc>
          <w:tcPr>
            <w:tcW w:w="805" w:type="pct"/>
            <w:gridSpan w:val="2"/>
          </w:tcPr>
          <w:p w14:paraId="076F2C49" w14:textId="711E98EC" w:rsidR="00F95A3D" w:rsidRPr="0002334A" w:rsidRDefault="0014133C" w:rsidP="00F95A3D">
            <w:pPr>
              <w:rPr>
                <w:rFonts w:ascii="Times New Roman" w:hAnsi="Times New Roman" w:cs="Times New Roman"/>
                <w:sz w:val="20"/>
                <w:szCs w:val="20"/>
                <w:lang w:val="fr-FR"/>
              </w:rPr>
            </w:pPr>
            <w:r w:rsidRPr="0002334A">
              <w:rPr>
                <w:rFonts w:ascii="Times New Roman" w:hAnsi="Times New Roman" w:cs="Times New Roman"/>
                <w:sz w:val="20"/>
                <w:szCs w:val="20"/>
                <w:lang w:val="fr-FR"/>
              </w:rPr>
              <w:t>ONSSA/DRA de Souss Massa</w:t>
            </w:r>
          </w:p>
        </w:tc>
        <w:tc>
          <w:tcPr>
            <w:tcW w:w="909" w:type="pct"/>
          </w:tcPr>
          <w:p w14:paraId="4F029B20" w14:textId="77777777" w:rsidR="00F95A3D" w:rsidRPr="000D4E73" w:rsidRDefault="00F95A3D" w:rsidP="00F95A3D">
            <w:pPr>
              <w:rPr>
                <w:rFonts w:ascii="Times New Roman" w:hAnsi="Times New Roman" w:cs="Times New Roman"/>
                <w:sz w:val="20"/>
                <w:szCs w:val="20"/>
              </w:rPr>
            </w:pPr>
            <w:r w:rsidRPr="000D4E73">
              <w:rPr>
                <w:rFonts w:ascii="Times New Roman" w:hAnsi="Times New Roman" w:cs="Times New Roman"/>
                <w:sz w:val="20"/>
                <w:szCs w:val="20"/>
              </w:rPr>
              <w:t>Agreement signed</w:t>
            </w:r>
          </w:p>
        </w:tc>
        <w:tc>
          <w:tcPr>
            <w:tcW w:w="356" w:type="pct"/>
            <w:shd w:val="clear" w:color="auto" w:fill="D9D9D9" w:themeFill="background1" w:themeFillShade="D9"/>
          </w:tcPr>
          <w:p w14:paraId="3205F3B7" w14:textId="53762088" w:rsidR="00F95A3D" w:rsidRPr="000D4E73" w:rsidRDefault="00E517E0" w:rsidP="00F95A3D">
            <w:pPr>
              <w:rPr>
                <w:rFonts w:ascii="Times New Roman" w:hAnsi="Times New Roman" w:cs="Times New Roman"/>
                <w:sz w:val="20"/>
                <w:szCs w:val="20"/>
              </w:rPr>
            </w:pPr>
            <w:r>
              <w:rPr>
                <w:rFonts w:ascii="Times New Roman" w:hAnsi="Times New Roman" w:cs="Times New Roman"/>
                <w:sz w:val="20"/>
                <w:szCs w:val="20"/>
              </w:rPr>
              <w:fldChar w:fldCharType="begin">
                <w:ffData>
                  <w:name w:val=""/>
                  <w:enabled/>
                  <w:calcOnExit w:val="0"/>
                  <w:checkBox>
                    <w:sizeAuto/>
                    <w:default w:val="1"/>
                  </w:checkBox>
                </w:ffData>
              </w:fldChar>
            </w:r>
            <w:r>
              <w:rPr>
                <w:rFonts w:ascii="Times New Roman" w:hAnsi="Times New Roman" w:cs="Times New Roman"/>
                <w:sz w:val="20"/>
                <w:szCs w:val="20"/>
              </w:rPr>
              <w:instrText xml:space="preserve"> FORMCHECKBOX </w:instrText>
            </w:r>
            <w:r w:rsidR="00F8126C">
              <w:rPr>
                <w:rFonts w:ascii="Times New Roman" w:hAnsi="Times New Roman" w:cs="Times New Roman"/>
                <w:sz w:val="20"/>
                <w:szCs w:val="20"/>
              </w:rPr>
            </w:r>
            <w:r w:rsidR="00F8126C">
              <w:rPr>
                <w:rFonts w:ascii="Times New Roman" w:hAnsi="Times New Roman" w:cs="Times New Roman"/>
                <w:sz w:val="20"/>
                <w:szCs w:val="20"/>
              </w:rPr>
              <w:fldChar w:fldCharType="separate"/>
            </w:r>
            <w:r>
              <w:rPr>
                <w:rFonts w:ascii="Times New Roman" w:hAnsi="Times New Roman" w:cs="Times New Roman"/>
                <w:sz w:val="20"/>
                <w:szCs w:val="20"/>
              </w:rPr>
              <w:fldChar w:fldCharType="end"/>
            </w:r>
          </w:p>
        </w:tc>
        <w:tc>
          <w:tcPr>
            <w:tcW w:w="448" w:type="pct"/>
            <w:gridSpan w:val="2"/>
            <w:shd w:val="clear" w:color="auto" w:fill="D9D9D9" w:themeFill="background1" w:themeFillShade="D9"/>
          </w:tcPr>
          <w:p w14:paraId="29638C33" w14:textId="7144E435" w:rsidR="00F95A3D" w:rsidRPr="000D4E73" w:rsidRDefault="00F95A3D" w:rsidP="00F95A3D">
            <w:pPr>
              <w:rPr>
                <w:rFonts w:ascii="Times New Roman" w:hAnsi="Times New Roman" w:cs="Times New Roman"/>
                <w:sz w:val="20"/>
                <w:szCs w:val="20"/>
              </w:rPr>
            </w:pPr>
            <w:r w:rsidRPr="000D4E73">
              <w:rPr>
                <w:rFonts w:ascii="Times New Roman" w:hAnsi="Times New Roman" w:cs="Times New Roman"/>
                <w:sz w:val="20"/>
                <w:szCs w:val="20"/>
              </w:rPr>
              <w:fldChar w:fldCharType="begin">
                <w:ffData>
                  <w:name w:val=""/>
                  <w:enabled/>
                  <w:calcOnExit w:val="0"/>
                  <w:checkBox>
                    <w:sizeAuto/>
                    <w:default w:val="0"/>
                  </w:checkBox>
                </w:ffData>
              </w:fldChar>
            </w:r>
            <w:r w:rsidRPr="000D4E73">
              <w:rPr>
                <w:rFonts w:ascii="Times New Roman" w:hAnsi="Times New Roman" w:cs="Times New Roman"/>
                <w:sz w:val="20"/>
                <w:szCs w:val="20"/>
              </w:rPr>
              <w:instrText xml:space="preserve"> FORMCHECKBOX </w:instrText>
            </w:r>
            <w:r w:rsidR="00F8126C">
              <w:rPr>
                <w:rFonts w:ascii="Times New Roman" w:hAnsi="Times New Roman" w:cs="Times New Roman"/>
                <w:sz w:val="20"/>
                <w:szCs w:val="20"/>
              </w:rPr>
            </w:r>
            <w:r w:rsidR="00F8126C">
              <w:rPr>
                <w:rFonts w:ascii="Times New Roman" w:hAnsi="Times New Roman" w:cs="Times New Roman"/>
                <w:sz w:val="20"/>
                <w:szCs w:val="20"/>
              </w:rPr>
              <w:fldChar w:fldCharType="separate"/>
            </w:r>
            <w:r w:rsidRPr="000D4E73">
              <w:rPr>
                <w:rFonts w:ascii="Times New Roman" w:hAnsi="Times New Roman" w:cs="Times New Roman"/>
                <w:sz w:val="20"/>
                <w:szCs w:val="20"/>
              </w:rPr>
              <w:fldChar w:fldCharType="end"/>
            </w:r>
          </w:p>
        </w:tc>
      </w:tr>
      <w:tr w:rsidR="00F95A3D" w:rsidRPr="00554BF1" w14:paraId="266A3A3A" w14:textId="77777777" w:rsidTr="00572FDE">
        <w:trPr>
          <w:gridAfter w:val="1"/>
          <w:wAfter w:w="4" w:type="pct"/>
        </w:trPr>
        <w:tc>
          <w:tcPr>
            <w:tcW w:w="227" w:type="pct"/>
          </w:tcPr>
          <w:p w14:paraId="6861D7E5" w14:textId="07B7F076" w:rsidR="00F95A3D" w:rsidRPr="00BC7BB5" w:rsidRDefault="00294BE0" w:rsidP="00F95A3D">
            <w:pPr>
              <w:rPr>
                <w:rFonts w:ascii="Times New Roman" w:hAnsi="Times New Roman"/>
                <w:iCs/>
              </w:rPr>
            </w:pPr>
            <w:r>
              <w:rPr>
                <w:rFonts w:ascii="Times New Roman" w:hAnsi="Times New Roman"/>
                <w:iCs/>
              </w:rPr>
              <w:t>14</w:t>
            </w:r>
          </w:p>
        </w:tc>
        <w:tc>
          <w:tcPr>
            <w:tcW w:w="1530" w:type="pct"/>
          </w:tcPr>
          <w:p w14:paraId="184FCDDA" w14:textId="6E250259" w:rsidR="00F95A3D" w:rsidRPr="000D4E73" w:rsidRDefault="00F95A3D" w:rsidP="00F95A3D">
            <w:pPr>
              <w:rPr>
                <w:rFonts w:ascii="Times New Roman" w:hAnsi="Times New Roman" w:cs="Times New Roman"/>
                <w:i/>
                <w:iCs/>
                <w:sz w:val="20"/>
                <w:szCs w:val="20"/>
              </w:rPr>
            </w:pPr>
            <w:r w:rsidRPr="000D4E73">
              <w:rPr>
                <w:rFonts w:ascii="Times New Roman" w:hAnsi="Times New Roman" w:cs="Times New Roman"/>
                <w:iCs/>
                <w:sz w:val="20"/>
                <w:szCs w:val="20"/>
              </w:rPr>
              <w:t>Signature of</w:t>
            </w:r>
            <w:r w:rsidR="003C38C3" w:rsidRPr="000D4E73">
              <w:rPr>
                <w:rFonts w:ascii="Times New Roman" w:hAnsi="Times New Roman" w:cs="Times New Roman"/>
                <w:iCs/>
                <w:sz w:val="20"/>
                <w:szCs w:val="20"/>
              </w:rPr>
              <w:t xml:space="preserve"> partnership</w:t>
            </w:r>
            <w:r w:rsidRPr="000D4E73">
              <w:rPr>
                <w:rFonts w:ascii="Times New Roman" w:hAnsi="Times New Roman" w:cs="Times New Roman"/>
                <w:iCs/>
                <w:sz w:val="20"/>
                <w:szCs w:val="20"/>
              </w:rPr>
              <w:t xml:space="preserve"> agreement and preparation of legal framework and implementation decrees relative to the conditions and modalities of spreading of liquid residues from the crushing units of olives on agricultural land</w:t>
            </w:r>
          </w:p>
        </w:tc>
        <w:tc>
          <w:tcPr>
            <w:tcW w:w="721" w:type="pct"/>
          </w:tcPr>
          <w:p w14:paraId="4898EA1A" w14:textId="77777777" w:rsidR="00F95A3D" w:rsidRPr="000D4E73" w:rsidRDefault="00F95A3D" w:rsidP="00F95A3D">
            <w:pPr>
              <w:rPr>
                <w:rFonts w:ascii="Times New Roman" w:hAnsi="Times New Roman" w:cs="Times New Roman"/>
                <w:sz w:val="20"/>
                <w:szCs w:val="20"/>
              </w:rPr>
            </w:pPr>
            <w:r w:rsidRPr="000D4E73">
              <w:rPr>
                <w:rFonts w:ascii="Times New Roman" w:hAnsi="Times New Roman" w:cs="Times New Roman"/>
                <w:sz w:val="20"/>
                <w:szCs w:val="20"/>
              </w:rPr>
              <w:t>December 2020</w:t>
            </w:r>
          </w:p>
        </w:tc>
        <w:tc>
          <w:tcPr>
            <w:tcW w:w="805" w:type="pct"/>
            <w:gridSpan w:val="2"/>
          </w:tcPr>
          <w:p w14:paraId="011C9330" w14:textId="77777777" w:rsidR="00F95A3D" w:rsidRPr="000D4E73" w:rsidRDefault="00F95A3D" w:rsidP="00F95A3D">
            <w:pPr>
              <w:rPr>
                <w:rFonts w:ascii="Times New Roman" w:hAnsi="Times New Roman" w:cs="Times New Roman"/>
                <w:sz w:val="20"/>
                <w:szCs w:val="20"/>
              </w:rPr>
            </w:pPr>
            <w:r w:rsidRPr="000D4E73">
              <w:rPr>
                <w:rFonts w:ascii="Times New Roman" w:hAnsi="Times New Roman" w:cs="Times New Roman"/>
                <w:sz w:val="20"/>
                <w:szCs w:val="20"/>
              </w:rPr>
              <w:t>MAPMDREF/</w:t>
            </w:r>
          </w:p>
          <w:p w14:paraId="2D59D358" w14:textId="00D13C11" w:rsidR="00F95A3D" w:rsidRPr="000D4E73" w:rsidRDefault="00F95A3D" w:rsidP="00F95A3D">
            <w:pPr>
              <w:rPr>
                <w:rFonts w:ascii="Times New Roman" w:hAnsi="Times New Roman" w:cs="Times New Roman"/>
                <w:sz w:val="20"/>
                <w:szCs w:val="20"/>
              </w:rPr>
            </w:pPr>
            <w:r w:rsidRPr="000D4E73">
              <w:rPr>
                <w:rFonts w:ascii="Times New Roman" w:hAnsi="Times New Roman" w:cs="Times New Roman"/>
                <w:sz w:val="20"/>
                <w:szCs w:val="20"/>
              </w:rPr>
              <w:t>Ministry of Environment</w:t>
            </w:r>
            <w:r w:rsidR="003C38C3" w:rsidRPr="000D4E73">
              <w:rPr>
                <w:rFonts w:ascii="Times New Roman" w:hAnsi="Times New Roman" w:cs="Times New Roman"/>
                <w:sz w:val="20"/>
                <w:szCs w:val="20"/>
              </w:rPr>
              <w:t>/ E&amp;S Focal point</w:t>
            </w:r>
          </w:p>
        </w:tc>
        <w:tc>
          <w:tcPr>
            <w:tcW w:w="909" w:type="pct"/>
          </w:tcPr>
          <w:p w14:paraId="6A0DA006" w14:textId="77777777" w:rsidR="00F95A3D" w:rsidRPr="000D4E73" w:rsidRDefault="00F95A3D" w:rsidP="00F95A3D">
            <w:pPr>
              <w:rPr>
                <w:rFonts w:ascii="Times New Roman" w:hAnsi="Times New Roman" w:cs="Times New Roman"/>
                <w:sz w:val="20"/>
                <w:szCs w:val="20"/>
              </w:rPr>
            </w:pPr>
            <w:r w:rsidRPr="000D4E73">
              <w:rPr>
                <w:rFonts w:ascii="Times New Roman" w:hAnsi="Times New Roman" w:cs="Times New Roman"/>
                <w:sz w:val="20"/>
                <w:szCs w:val="20"/>
              </w:rPr>
              <w:t>Application decree published</w:t>
            </w:r>
          </w:p>
        </w:tc>
        <w:tc>
          <w:tcPr>
            <w:tcW w:w="356" w:type="pct"/>
            <w:shd w:val="clear" w:color="auto" w:fill="D9D9D9" w:themeFill="background1" w:themeFillShade="D9"/>
          </w:tcPr>
          <w:p w14:paraId="27C0E3D8" w14:textId="33A56845" w:rsidR="00F95A3D" w:rsidRPr="000D4E73" w:rsidRDefault="00F95A3D" w:rsidP="00F95A3D">
            <w:pPr>
              <w:rPr>
                <w:rFonts w:ascii="Times New Roman" w:hAnsi="Times New Roman" w:cs="Times New Roman"/>
                <w:sz w:val="20"/>
                <w:szCs w:val="20"/>
              </w:rPr>
            </w:pPr>
            <w:r w:rsidRPr="000D4E73">
              <w:rPr>
                <w:rFonts w:ascii="Times New Roman" w:hAnsi="Times New Roman" w:cs="Times New Roman"/>
                <w:sz w:val="20"/>
                <w:szCs w:val="20"/>
              </w:rPr>
              <w:fldChar w:fldCharType="begin">
                <w:ffData>
                  <w:name w:val="Check1"/>
                  <w:enabled/>
                  <w:calcOnExit w:val="0"/>
                  <w:checkBox>
                    <w:sizeAuto/>
                    <w:default w:val="0"/>
                  </w:checkBox>
                </w:ffData>
              </w:fldChar>
            </w:r>
            <w:r w:rsidRPr="000D4E73">
              <w:rPr>
                <w:rFonts w:ascii="Times New Roman" w:hAnsi="Times New Roman" w:cs="Times New Roman"/>
                <w:sz w:val="20"/>
                <w:szCs w:val="20"/>
              </w:rPr>
              <w:instrText xml:space="preserve"> FORMCHECKBOX </w:instrText>
            </w:r>
            <w:r w:rsidR="00F8126C">
              <w:rPr>
                <w:rFonts w:ascii="Times New Roman" w:hAnsi="Times New Roman" w:cs="Times New Roman"/>
                <w:sz w:val="20"/>
                <w:szCs w:val="20"/>
              </w:rPr>
            </w:r>
            <w:r w:rsidR="00F8126C">
              <w:rPr>
                <w:rFonts w:ascii="Times New Roman" w:hAnsi="Times New Roman" w:cs="Times New Roman"/>
                <w:sz w:val="20"/>
                <w:szCs w:val="20"/>
              </w:rPr>
              <w:fldChar w:fldCharType="separate"/>
            </w:r>
            <w:r w:rsidRPr="000D4E73">
              <w:rPr>
                <w:rFonts w:ascii="Times New Roman" w:hAnsi="Times New Roman" w:cs="Times New Roman"/>
                <w:sz w:val="20"/>
                <w:szCs w:val="20"/>
              </w:rPr>
              <w:fldChar w:fldCharType="end"/>
            </w:r>
          </w:p>
        </w:tc>
        <w:tc>
          <w:tcPr>
            <w:tcW w:w="448" w:type="pct"/>
            <w:gridSpan w:val="2"/>
            <w:shd w:val="clear" w:color="auto" w:fill="D9D9D9" w:themeFill="background1" w:themeFillShade="D9"/>
          </w:tcPr>
          <w:p w14:paraId="2DF18AE5" w14:textId="6B9DE1D3" w:rsidR="00F95A3D" w:rsidRPr="000D4E73" w:rsidRDefault="00F95A3D" w:rsidP="00F95A3D">
            <w:pPr>
              <w:rPr>
                <w:rFonts w:ascii="Times New Roman" w:hAnsi="Times New Roman" w:cs="Times New Roman"/>
                <w:sz w:val="20"/>
                <w:szCs w:val="20"/>
              </w:rPr>
            </w:pPr>
            <w:r w:rsidRPr="000D4E73">
              <w:rPr>
                <w:rFonts w:ascii="Times New Roman" w:hAnsi="Times New Roman" w:cs="Times New Roman"/>
                <w:sz w:val="20"/>
                <w:szCs w:val="20"/>
              </w:rPr>
              <w:fldChar w:fldCharType="begin">
                <w:ffData>
                  <w:name w:val=""/>
                  <w:enabled/>
                  <w:calcOnExit w:val="0"/>
                  <w:checkBox>
                    <w:sizeAuto/>
                    <w:default w:val="0"/>
                  </w:checkBox>
                </w:ffData>
              </w:fldChar>
            </w:r>
            <w:r w:rsidRPr="000D4E73">
              <w:rPr>
                <w:rFonts w:ascii="Times New Roman" w:hAnsi="Times New Roman" w:cs="Times New Roman"/>
                <w:sz w:val="20"/>
                <w:szCs w:val="20"/>
              </w:rPr>
              <w:instrText xml:space="preserve"> FORMCHECKBOX </w:instrText>
            </w:r>
            <w:r w:rsidR="00F8126C">
              <w:rPr>
                <w:rFonts w:ascii="Times New Roman" w:hAnsi="Times New Roman" w:cs="Times New Roman"/>
                <w:sz w:val="20"/>
                <w:szCs w:val="20"/>
              </w:rPr>
            </w:r>
            <w:r w:rsidR="00F8126C">
              <w:rPr>
                <w:rFonts w:ascii="Times New Roman" w:hAnsi="Times New Roman" w:cs="Times New Roman"/>
                <w:sz w:val="20"/>
                <w:szCs w:val="20"/>
              </w:rPr>
              <w:fldChar w:fldCharType="separate"/>
            </w:r>
            <w:r w:rsidRPr="000D4E73">
              <w:rPr>
                <w:rFonts w:ascii="Times New Roman" w:hAnsi="Times New Roman" w:cs="Times New Roman"/>
                <w:sz w:val="20"/>
                <w:szCs w:val="20"/>
              </w:rPr>
              <w:fldChar w:fldCharType="end"/>
            </w:r>
          </w:p>
        </w:tc>
      </w:tr>
      <w:tr w:rsidR="00F95A3D" w:rsidRPr="00554BF1" w14:paraId="1CC8012B" w14:textId="77777777" w:rsidTr="00FF1F7A">
        <w:tc>
          <w:tcPr>
            <w:tcW w:w="227" w:type="pct"/>
            <w:shd w:val="clear" w:color="auto" w:fill="D9D9D9" w:themeFill="background1" w:themeFillShade="D9"/>
          </w:tcPr>
          <w:p w14:paraId="345448D1" w14:textId="77777777" w:rsidR="00F95A3D" w:rsidRPr="00BC7BB5" w:rsidRDefault="00F95A3D" w:rsidP="00F95A3D">
            <w:pPr>
              <w:rPr>
                <w:rFonts w:asciiTheme="majorBidi" w:hAnsiTheme="majorBidi" w:cstheme="majorBidi"/>
                <w:iCs/>
              </w:rPr>
            </w:pPr>
          </w:p>
        </w:tc>
        <w:tc>
          <w:tcPr>
            <w:tcW w:w="3965" w:type="pct"/>
            <w:gridSpan w:val="5"/>
            <w:shd w:val="clear" w:color="auto" w:fill="D9D9D9" w:themeFill="background1" w:themeFillShade="D9"/>
          </w:tcPr>
          <w:p w14:paraId="5D8152EC" w14:textId="2215AB2B" w:rsidR="00F95A3D" w:rsidRPr="000D4E73" w:rsidRDefault="00F95A3D" w:rsidP="00F95A3D">
            <w:pPr>
              <w:rPr>
                <w:rFonts w:ascii="Times New Roman" w:hAnsi="Times New Roman" w:cs="Times New Roman"/>
                <w:iCs/>
                <w:sz w:val="20"/>
                <w:szCs w:val="20"/>
              </w:rPr>
            </w:pPr>
            <w:r w:rsidRPr="000D4E73">
              <w:rPr>
                <w:rFonts w:ascii="Times New Roman" w:hAnsi="Times New Roman" w:cs="Times New Roman"/>
                <w:iCs/>
                <w:sz w:val="20"/>
                <w:szCs w:val="20"/>
              </w:rPr>
              <w:t>Monitoring and evaluation capacities</w:t>
            </w:r>
          </w:p>
        </w:tc>
        <w:tc>
          <w:tcPr>
            <w:tcW w:w="364" w:type="pct"/>
            <w:gridSpan w:val="2"/>
            <w:shd w:val="clear" w:color="auto" w:fill="D9D9D9" w:themeFill="background1" w:themeFillShade="D9"/>
          </w:tcPr>
          <w:p w14:paraId="455700F9" w14:textId="77777777" w:rsidR="00F95A3D" w:rsidRPr="000D4E73" w:rsidRDefault="00F95A3D" w:rsidP="00F95A3D">
            <w:pPr>
              <w:rPr>
                <w:rFonts w:ascii="Times New Roman" w:hAnsi="Times New Roman" w:cs="Times New Roman"/>
                <w:iCs/>
                <w:sz w:val="20"/>
                <w:szCs w:val="20"/>
              </w:rPr>
            </w:pPr>
          </w:p>
        </w:tc>
        <w:tc>
          <w:tcPr>
            <w:tcW w:w="444" w:type="pct"/>
            <w:gridSpan w:val="2"/>
            <w:shd w:val="clear" w:color="auto" w:fill="D9D9D9" w:themeFill="background1" w:themeFillShade="D9"/>
          </w:tcPr>
          <w:p w14:paraId="35CD371C" w14:textId="77777777" w:rsidR="00F95A3D" w:rsidRPr="000D4E73" w:rsidRDefault="00F95A3D" w:rsidP="00F95A3D">
            <w:pPr>
              <w:rPr>
                <w:rFonts w:ascii="Times New Roman" w:hAnsi="Times New Roman" w:cs="Times New Roman"/>
                <w:iCs/>
                <w:sz w:val="20"/>
                <w:szCs w:val="20"/>
              </w:rPr>
            </w:pPr>
          </w:p>
        </w:tc>
      </w:tr>
      <w:tr w:rsidR="00F95A3D" w:rsidRPr="00554BF1" w14:paraId="0E3BFDA7" w14:textId="77777777" w:rsidTr="000D4E73">
        <w:trPr>
          <w:gridAfter w:val="1"/>
          <w:wAfter w:w="4" w:type="pct"/>
        </w:trPr>
        <w:tc>
          <w:tcPr>
            <w:tcW w:w="227" w:type="pct"/>
          </w:tcPr>
          <w:p w14:paraId="113F889E" w14:textId="36909664" w:rsidR="00F95A3D" w:rsidRPr="000D4E73" w:rsidRDefault="00294BE0" w:rsidP="00F95A3D">
            <w:pPr>
              <w:rPr>
                <w:rFonts w:asciiTheme="majorBidi" w:hAnsiTheme="majorBidi" w:cstheme="majorBidi"/>
                <w:iCs/>
              </w:rPr>
            </w:pPr>
            <w:r w:rsidRPr="000D4E73">
              <w:rPr>
                <w:rFonts w:asciiTheme="majorBidi" w:hAnsiTheme="majorBidi" w:cstheme="majorBidi"/>
                <w:iCs/>
              </w:rPr>
              <w:t>15</w:t>
            </w:r>
          </w:p>
        </w:tc>
        <w:tc>
          <w:tcPr>
            <w:tcW w:w="1530" w:type="pct"/>
          </w:tcPr>
          <w:p w14:paraId="3FE199D9" w14:textId="6E5865C8" w:rsidR="00F95A3D" w:rsidRPr="000D4E73" w:rsidRDefault="00F95A3D" w:rsidP="00F95A3D">
            <w:pPr>
              <w:rPr>
                <w:rFonts w:ascii="Times New Roman" w:hAnsi="Times New Roman" w:cs="Times New Roman"/>
                <w:iCs/>
                <w:sz w:val="20"/>
                <w:szCs w:val="20"/>
              </w:rPr>
            </w:pPr>
            <w:r w:rsidRPr="000D4E73">
              <w:rPr>
                <w:rFonts w:ascii="Times New Roman" w:hAnsi="Times New Roman" w:cs="Times New Roman"/>
                <w:iCs/>
                <w:sz w:val="20"/>
                <w:szCs w:val="20"/>
              </w:rPr>
              <w:t>Establishment of a</w:t>
            </w:r>
            <w:r w:rsidR="000D4E73" w:rsidRPr="000D4E73">
              <w:rPr>
                <w:rFonts w:ascii="Times New Roman" w:hAnsi="Times New Roman" w:cs="Times New Roman"/>
                <w:iCs/>
                <w:sz w:val="20"/>
                <w:szCs w:val="20"/>
              </w:rPr>
              <w:t xml:space="preserve"> simple</w:t>
            </w:r>
            <w:r w:rsidRPr="000D4E73">
              <w:rPr>
                <w:rFonts w:ascii="Times New Roman" w:hAnsi="Times New Roman" w:cs="Times New Roman"/>
                <w:iCs/>
                <w:sz w:val="20"/>
                <w:szCs w:val="20"/>
              </w:rPr>
              <w:t xml:space="preserve"> integrated </w:t>
            </w:r>
            <w:r w:rsidR="0000427F" w:rsidRPr="000D4E73">
              <w:rPr>
                <w:rFonts w:ascii="Times New Roman" w:hAnsi="Times New Roman" w:cs="Times New Roman"/>
                <w:iCs/>
                <w:sz w:val="20"/>
                <w:szCs w:val="20"/>
              </w:rPr>
              <w:t>M&amp;E</w:t>
            </w:r>
            <w:r w:rsidRPr="000D4E73">
              <w:rPr>
                <w:rFonts w:ascii="Times New Roman" w:hAnsi="Times New Roman" w:cs="Times New Roman"/>
                <w:iCs/>
                <w:sz w:val="20"/>
                <w:szCs w:val="20"/>
              </w:rPr>
              <w:t xml:space="preserve"> system for </w:t>
            </w:r>
            <w:r w:rsidR="000D4E73" w:rsidRPr="000D4E73">
              <w:rPr>
                <w:rFonts w:ascii="Times New Roman" w:hAnsi="Times New Roman" w:cs="Times New Roman"/>
                <w:iCs/>
                <w:sz w:val="20"/>
                <w:szCs w:val="20"/>
              </w:rPr>
              <w:t xml:space="preserve">Program </w:t>
            </w:r>
            <w:r w:rsidRPr="000D4E73">
              <w:rPr>
                <w:rFonts w:ascii="Times New Roman" w:hAnsi="Times New Roman" w:cs="Times New Roman"/>
                <w:iCs/>
                <w:sz w:val="20"/>
                <w:szCs w:val="20"/>
              </w:rPr>
              <w:t>implementation</w:t>
            </w:r>
          </w:p>
        </w:tc>
        <w:tc>
          <w:tcPr>
            <w:tcW w:w="721" w:type="pct"/>
          </w:tcPr>
          <w:p w14:paraId="4CD801C2" w14:textId="176FF936" w:rsidR="00F95A3D" w:rsidRPr="000D4E73" w:rsidRDefault="00F95A3D" w:rsidP="00F95A3D">
            <w:pPr>
              <w:rPr>
                <w:rFonts w:ascii="Times New Roman" w:hAnsi="Times New Roman" w:cs="Times New Roman"/>
                <w:iCs/>
                <w:sz w:val="20"/>
                <w:szCs w:val="20"/>
              </w:rPr>
            </w:pPr>
            <w:r w:rsidRPr="000D4E73">
              <w:rPr>
                <w:rFonts w:ascii="Times New Roman" w:hAnsi="Times New Roman" w:cs="Times New Roman"/>
                <w:iCs/>
                <w:sz w:val="20"/>
                <w:szCs w:val="20"/>
              </w:rPr>
              <w:t>December 2018</w:t>
            </w:r>
          </w:p>
        </w:tc>
        <w:tc>
          <w:tcPr>
            <w:tcW w:w="802" w:type="pct"/>
          </w:tcPr>
          <w:p w14:paraId="15C846D9" w14:textId="77777777" w:rsidR="00F95A3D" w:rsidRPr="000D4E73" w:rsidRDefault="00F95A3D" w:rsidP="00F95A3D">
            <w:pPr>
              <w:rPr>
                <w:rFonts w:ascii="Times New Roman" w:hAnsi="Times New Roman" w:cs="Times New Roman"/>
                <w:iCs/>
                <w:sz w:val="20"/>
                <w:szCs w:val="20"/>
              </w:rPr>
            </w:pPr>
            <w:r w:rsidRPr="000D4E73">
              <w:rPr>
                <w:rFonts w:ascii="Times New Roman" w:hAnsi="Times New Roman" w:cs="Times New Roman"/>
                <w:iCs/>
                <w:sz w:val="20"/>
                <w:szCs w:val="20"/>
              </w:rPr>
              <w:t>DSS, DDFP, ADA, DRAs</w:t>
            </w:r>
          </w:p>
        </w:tc>
        <w:tc>
          <w:tcPr>
            <w:tcW w:w="912" w:type="pct"/>
            <w:gridSpan w:val="2"/>
          </w:tcPr>
          <w:p w14:paraId="3F529E5E" w14:textId="6B73D2EE" w:rsidR="00F95A3D" w:rsidRPr="000D4E73" w:rsidRDefault="0000427F" w:rsidP="00F95A3D">
            <w:pPr>
              <w:rPr>
                <w:rFonts w:ascii="Times New Roman" w:hAnsi="Times New Roman" w:cs="Times New Roman"/>
                <w:iCs/>
                <w:sz w:val="20"/>
                <w:szCs w:val="20"/>
              </w:rPr>
            </w:pPr>
            <w:r w:rsidRPr="000D4E73">
              <w:rPr>
                <w:rFonts w:ascii="Times New Roman" w:hAnsi="Times New Roman" w:cs="Times New Roman"/>
                <w:iCs/>
                <w:sz w:val="20"/>
                <w:szCs w:val="20"/>
              </w:rPr>
              <w:t>M&amp;E</w:t>
            </w:r>
            <w:r w:rsidR="00F95A3D" w:rsidRPr="000D4E73">
              <w:rPr>
                <w:rFonts w:ascii="Times New Roman" w:hAnsi="Times New Roman" w:cs="Times New Roman"/>
                <w:iCs/>
                <w:sz w:val="20"/>
                <w:szCs w:val="20"/>
              </w:rPr>
              <w:t xml:space="preserve"> system deployed and operational</w:t>
            </w:r>
          </w:p>
        </w:tc>
        <w:tc>
          <w:tcPr>
            <w:tcW w:w="356" w:type="pct"/>
            <w:shd w:val="clear" w:color="auto" w:fill="D9D9D9" w:themeFill="background1" w:themeFillShade="D9"/>
          </w:tcPr>
          <w:p w14:paraId="5F924414" w14:textId="5045A00B" w:rsidR="00F95A3D" w:rsidRPr="000D4E73" w:rsidRDefault="000D4E73" w:rsidP="00F95A3D">
            <w:pPr>
              <w:rPr>
                <w:rFonts w:ascii="Times New Roman" w:hAnsi="Times New Roman" w:cs="Times New Roman"/>
                <w:iCs/>
                <w:sz w:val="20"/>
                <w:szCs w:val="20"/>
              </w:rPr>
            </w:pPr>
            <w:r>
              <w:rPr>
                <w:rFonts w:ascii="Times New Roman" w:hAnsi="Times New Roman" w:cs="Times New Roman"/>
                <w:sz w:val="20"/>
                <w:szCs w:val="20"/>
              </w:rPr>
              <w:fldChar w:fldCharType="begin">
                <w:ffData>
                  <w:name w:val=""/>
                  <w:enabled/>
                  <w:calcOnExit w:val="0"/>
                  <w:checkBox>
                    <w:sizeAuto/>
                    <w:default w:val="0"/>
                  </w:checkBox>
                </w:ffData>
              </w:fldChar>
            </w:r>
            <w:r>
              <w:rPr>
                <w:rFonts w:ascii="Times New Roman" w:hAnsi="Times New Roman" w:cs="Times New Roman"/>
                <w:sz w:val="20"/>
                <w:szCs w:val="20"/>
              </w:rPr>
              <w:instrText xml:space="preserve"> FORMCHECKBOX </w:instrText>
            </w:r>
            <w:r w:rsidR="00F8126C">
              <w:rPr>
                <w:rFonts w:ascii="Times New Roman" w:hAnsi="Times New Roman" w:cs="Times New Roman"/>
                <w:sz w:val="20"/>
                <w:szCs w:val="20"/>
              </w:rPr>
            </w:r>
            <w:r w:rsidR="00F8126C">
              <w:rPr>
                <w:rFonts w:ascii="Times New Roman" w:hAnsi="Times New Roman" w:cs="Times New Roman"/>
                <w:sz w:val="20"/>
                <w:szCs w:val="20"/>
              </w:rPr>
              <w:fldChar w:fldCharType="separate"/>
            </w:r>
            <w:r>
              <w:rPr>
                <w:rFonts w:ascii="Times New Roman" w:hAnsi="Times New Roman" w:cs="Times New Roman"/>
                <w:sz w:val="20"/>
                <w:szCs w:val="20"/>
              </w:rPr>
              <w:fldChar w:fldCharType="end"/>
            </w:r>
          </w:p>
        </w:tc>
        <w:tc>
          <w:tcPr>
            <w:tcW w:w="448" w:type="pct"/>
            <w:gridSpan w:val="2"/>
            <w:shd w:val="clear" w:color="auto" w:fill="D9D9D9" w:themeFill="background1" w:themeFillShade="D9"/>
          </w:tcPr>
          <w:p w14:paraId="094A9B7F" w14:textId="6E982E7B" w:rsidR="00F95A3D" w:rsidRPr="000D4E73" w:rsidRDefault="00F95A3D" w:rsidP="00F95A3D">
            <w:pPr>
              <w:rPr>
                <w:rFonts w:ascii="Times New Roman" w:hAnsi="Times New Roman" w:cs="Times New Roman"/>
                <w:iCs/>
                <w:sz w:val="20"/>
                <w:szCs w:val="20"/>
              </w:rPr>
            </w:pPr>
            <w:r w:rsidRPr="000D4E73">
              <w:rPr>
                <w:rFonts w:ascii="Times New Roman" w:hAnsi="Times New Roman" w:cs="Times New Roman"/>
                <w:sz w:val="20"/>
                <w:szCs w:val="20"/>
              </w:rPr>
              <w:fldChar w:fldCharType="begin">
                <w:ffData>
                  <w:name w:val="Check1"/>
                  <w:enabled/>
                  <w:calcOnExit w:val="0"/>
                  <w:checkBox>
                    <w:sizeAuto/>
                    <w:default w:val="0"/>
                  </w:checkBox>
                </w:ffData>
              </w:fldChar>
            </w:r>
            <w:r w:rsidRPr="000D4E73">
              <w:rPr>
                <w:rFonts w:ascii="Times New Roman" w:hAnsi="Times New Roman" w:cs="Times New Roman"/>
                <w:sz w:val="20"/>
                <w:szCs w:val="20"/>
              </w:rPr>
              <w:instrText xml:space="preserve"> FORMCHECKBOX </w:instrText>
            </w:r>
            <w:r w:rsidR="00F8126C">
              <w:rPr>
                <w:rFonts w:ascii="Times New Roman" w:hAnsi="Times New Roman" w:cs="Times New Roman"/>
                <w:sz w:val="20"/>
                <w:szCs w:val="20"/>
              </w:rPr>
            </w:r>
            <w:r w:rsidR="00F8126C">
              <w:rPr>
                <w:rFonts w:ascii="Times New Roman" w:hAnsi="Times New Roman" w:cs="Times New Roman"/>
                <w:sz w:val="20"/>
                <w:szCs w:val="20"/>
              </w:rPr>
              <w:fldChar w:fldCharType="separate"/>
            </w:r>
            <w:r w:rsidRPr="000D4E73">
              <w:rPr>
                <w:rFonts w:ascii="Times New Roman" w:hAnsi="Times New Roman" w:cs="Times New Roman"/>
                <w:sz w:val="20"/>
                <w:szCs w:val="20"/>
              </w:rPr>
              <w:fldChar w:fldCharType="end"/>
            </w:r>
          </w:p>
        </w:tc>
      </w:tr>
      <w:tr w:rsidR="003C38C3" w:rsidRPr="00554BF1" w14:paraId="460BA396" w14:textId="77777777" w:rsidTr="000D4E73">
        <w:trPr>
          <w:gridAfter w:val="1"/>
          <w:wAfter w:w="4" w:type="pct"/>
        </w:trPr>
        <w:tc>
          <w:tcPr>
            <w:tcW w:w="227" w:type="pct"/>
          </w:tcPr>
          <w:p w14:paraId="49BAF65B" w14:textId="63E644A8" w:rsidR="003C38C3" w:rsidRPr="00BC7BB5" w:rsidRDefault="003C38C3" w:rsidP="003C38C3">
            <w:pPr>
              <w:rPr>
                <w:rFonts w:asciiTheme="majorBidi" w:hAnsiTheme="majorBidi" w:cstheme="majorBidi"/>
                <w:iCs/>
              </w:rPr>
            </w:pPr>
            <w:r>
              <w:rPr>
                <w:rFonts w:asciiTheme="majorBidi" w:hAnsiTheme="majorBidi" w:cstheme="majorBidi"/>
                <w:iCs/>
              </w:rPr>
              <w:t>16</w:t>
            </w:r>
          </w:p>
        </w:tc>
        <w:tc>
          <w:tcPr>
            <w:tcW w:w="1530" w:type="pct"/>
          </w:tcPr>
          <w:p w14:paraId="2E7EB115" w14:textId="14F68F60" w:rsidR="003C38C3" w:rsidRPr="000D4E73" w:rsidRDefault="003C38C3" w:rsidP="003C38C3">
            <w:pPr>
              <w:rPr>
                <w:rFonts w:ascii="Times New Roman" w:hAnsi="Times New Roman" w:cs="Times New Roman"/>
                <w:iCs/>
                <w:sz w:val="20"/>
                <w:szCs w:val="20"/>
              </w:rPr>
            </w:pPr>
            <w:r w:rsidRPr="000D4E73">
              <w:rPr>
                <w:rFonts w:ascii="Times New Roman" w:hAnsi="Times New Roman" w:cs="Times New Roman"/>
                <w:iCs/>
                <w:sz w:val="20"/>
                <w:szCs w:val="20"/>
              </w:rPr>
              <w:t>Conduct of mid-term evaluation and end-of-Program implementation evaluation of results and impacts</w:t>
            </w:r>
          </w:p>
        </w:tc>
        <w:tc>
          <w:tcPr>
            <w:tcW w:w="721" w:type="pct"/>
          </w:tcPr>
          <w:p w14:paraId="6086C7A8" w14:textId="77777777" w:rsidR="003C38C3" w:rsidRPr="000D4E73" w:rsidRDefault="003C38C3" w:rsidP="003C38C3">
            <w:pPr>
              <w:rPr>
                <w:rFonts w:ascii="Times New Roman" w:hAnsi="Times New Roman" w:cs="Times New Roman"/>
                <w:iCs/>
                <w:sz w:val="20"/>
                <w:szCs w:val="20"/>
              </w:rPr>
            </w:pPr>
            <w:r w:rsidRPr="000D4E73">
              <w:rPr>
                <w:rFonts w:ascii="Times New Roman" w:hAnsi="Times New Roman" w:cs="Times New Roman"/>
                <w:iCs/>
                <w:sz w:val="20"/>
                <w:szCs w:val="20"/>
              </w:rPr>
              <w:t>June 2020 (mid-term)</w:t>
            </w:r>
          </w:p>
          <w:p w14:paraId="4D5C3C0F" w14:textId="09816A21" w:rsidR="003C38C3" w:rsidRPr="000D4E73" w:rsidRDefault="003C38C3" w:rsidP="003C38C3">
            <w:pPr>
              <w:rPr>
                <w:rFonts w:ascii="Times New Roman" w:hAnsi="Times New Roman" w:cs="Times New Roman"/>
                <w:iCs/>
                <w:sz w:val="20"/>
                <w:szCs w:val="20"/>
              </w:rPr>
            </w:pPr>
            <w:r w:rsidRPr="000D4E73">
              <w:rPr>
                <w:rFonts w:ascii="Times New Roman" w:hAnsi="Times New Roman" w:cs="Times New Roman"/>
                <w:iCs/>
                <w:sz w:val="20"/>
                <w:szCs w:val="20"/>
              </w:rPr>
              <w:t>March 2023 (end-of-Program)</w:t>
            </w:r>
          </w:p>
        </w:tc>
        <w:tc>
          <w:tcPr>
            <w:tcW w:w="802" w:type="pct"/>
          </w:tcPr>
          <w:p w14:paraId="6678E596" w14:textId="64EB2EE1" w:rsidR="003C38C3" w:rsidRPr="000D4E73" w:rsidRDefault="003C38C3" w:rsidP="003C38C3">
            <w:pPr>
              <w:rPr>
                <w:rFonts w:ascii="Times New Roman" w:hAnsi="Times New Roman" w:cs="Times New Roman"/>
                <w:iCs/>
                <w:sz w:val="20"/>
                <w:szCs w:val="20"/>
              </w:rPr>
            </w:pPr>
            <w:r w:rsidRPr="000D4E73">
              <w:rPr>
                <w:rFonts w:ascii="Times New Roman" w:hAnsi="Times New Roman" w:cs="Times New Roman"/>
                <w:iCs/>
                <w:sz w:val="20"/>
                <w:szCs w:val="20"/>
              </w:rPr>
              <w:t>MAPMDREF</w:t>
            </w:r>
          </w:p>
        </w:tc>
        <w:tc>
          <w:tcPr>
            <w:tcW w:w="912" w:type="pct"/>
            <w:gridSpan w:val="2"/>
          </w:tcPr>
          <w:p w14:paraId="470C990A" w14:textId="59D2201B" w:rsidR="003C38C3" w:rsidRPr="000D4E73" w:rsidRDefault="003C38C3" w:rsidP="003C38C3">
            <w:pPr>
              <w:rPr>
                <w:rFonts w:ascii="Times New Roman" w:hAnsi="Times New Roman" w:cs="Times New Roman"/>
                <w:iCs/>
                <w:sz w:val="20"/>
                <w:szCs w:val="20"/>
              </w:rPr>
            </w:pPr>
            <w:r w:rsidRPr="000D4E73">
              <w:rPr>
                <w:rFonts w:ascii="Times New Roman" w:hAnsi="Times New Roman" w:cs="Times New Roman"/>
                <w:iCs/>
                <w:sz w:val="20"/>
                <w:szCs w:val="20"/>
              </w:rPr>
              <w:t>Evaluations completed</w:t>
            </w:r>
          </w:p>
        </w:tc>
        <w:tc>
          <w:tcPr>
            <w:tcW w:w="356" w:type="pct"/>
            <w:shd w:val="clear" w:color="auto" w:fill="D9D9D9" w:themeFill="background1" w:themeFillShade="D9"/>
          </w:tcPr>
          <w:p w14:paraId="4957DD8A" w14:textId="13E4C211" w:rsidR="003C38C3" w:rsidRPr="000D4E73" w:rsidRDefault="003C38C3" w:rsidP="003C38C3">
            <w:pPr>
              <w:rPr>
                <w:rFonts w:ascii="Times New Roman" w:hAnsi="Times New Roman" w:cs="Times New Roman"/>
                <w:iCs/>
                <w:sz w:val="20"/>
                <w:szCs w:val="20"/>
              </w:rPr>
            </w:pPr>
            <w:r w:rsidRPr="000D4E73">
              <w:rPr>
                <w:rFonts w:ascii="Times New Roman" w:hAnsi="Times New Roman" w:cs="Times New Roman"/>
                <w:sz w:val="20"/>
                <w:szCs w:val="20"/>
              </w:rPr>
              <w:fldChar w:fldCharType="begin">
                <w:ffData>
                  <w:name w:val=""/>
                  <w:enabled/>
                  <w:calcOnExit w:val="0"/>
                  <w:checkBox>
                    <w:sizeAuto/>
                    <w:default w:val="0"/>
                  </w:checkBox>
                </w:ffData>
              </w:fldChar>
            </w:r>
            <w:r w:rsidRPr="000D4E73">
              <w:rPr>
                <w:rFonts w:ascii="Times New Roman" w:hAnsi="Times New Roman" w:cs="Times New Roman"/>
                <w:sz w:val="20"/>
                <w:szCs w:val="20"/>
              </w:rPr>
              <w:instrText xml:space="preserve"> FORMCHECKBOX </w:instrText>
            </w:r>
            <w:r w:rsidR="00F8126C">
              <w:rPr>
                <w:rFonts w:ascii="Times New Roman" w:hAnsi="Times New Roman" w:cs="Times New Roman"/>
                <w:sz w:val="20"/>
                <w:szCs w:val="20"/>
              </w:rPr>
            </w:r>
            <w:r w:rsidR="00F8126C">
              <w:rPr>
                <w:rFonts w:ascii="Times New Roman" w:hAnsi="Times New Roman" w:cs="Times New Roman"/>
                <w:sz w:val="20"/>
                <w:szCs w:val="20"/>
              </w:rPr>
              <w:fldChar w:fldCharType="separate"/>
            </w:r>
            <w:r w:rsidRPr="000D4E73">
              <w:rPr>
                <w:rFonts w:ascii="Times New Roman" w:hAnsi="Times New Roman" w:cs="Times New Roman"/>
                <w:sz w:val="20"/>
                <w:szCs w:val="20"/>
              </w:rPr>
              <w:fldChar w:fldCharType="end"/>
            </w:r>
          </w:p>
        </w:tc>
        <w:tc>
          <w:tcPr>
            <w:tcW w:w="448" w:type="pct"/>
            <w:gridSpan w:val="2"/>
            <w:shd w:val="clear" w:color="auto" w:fill="D9D9D9" w:themeFill="background1" w:themeFillShade="D9"/>
          </w:tcPr>
          <w:p w14:paraId="4ADAC6DB" w14:textId="5780D950" w:rsidR="003C38C3" w:rsidRPr="000D4E73" w:rsidRDefault="003C38C3" w:rsidP="003C38C3">
            <w:pPr>
              <w:rPr>
                <w:rFonts w:ascii="Times New Roman" w:hAnsi="Times New Roman" w:cs="Times New Roman"/>
                <w:iCs/>
                <w:sz w:val="20"/>
                <w:szCs w:val="20"/>
              </w:rPr>
            </w:pPr>
            <w:r w:rsidRPr="000D4E73">
              <w:rPr>
                <w:rFonts w:ascii="Times New Roman" w:hAnsi="Times New Roman" w:cs="Times New Roman"/>
                <w:sz w:val="20"/>
                <w:szCs w:val="20"/>
              </w:rPr>
              <w:fldChar w:fldCharType="begin">
                <w:ffData>
                  <w:name w:val="Check1"/>
                  <w:enabled/>
                  <w:calcOnExit w:val="0"/>
                  <w:checkBox>
                    <w:sizeAuto/>
                    <w:default w:val="0"/>
                  </w:checkBox>
                </w:ffData>
              </w:fldChar>
            </w:r>
            <w:r w:rsidRPr="000D4E73">
              <w:rPr>
                <w:rFonts w:ascii="Times New Roman" w:hAnsi="Times New Roman" w:cs="Times New Roman"/>
                <w:sz w:val="20"/>
                <w:szCs w:val="20"/>
              </w:rPr>
              <w:instrText xml:space="preserve"> FORMCHECKBOX </w:instrText>
            </w:r>
            <w:r w:rsidR="00F8126C">
              <w:rPr>
                <w:rFonts w:ascii="Times New Roman" w:hAnsi="Times New Roman" w:cs="Times New Roman"/>
                <w:sz w:val="20"/>
                <w:szCs w:val="20"/>
              </w:rPr>
            </w:r>
            <w:r w:rsidR="00F8126C">
              <w:rPr>
                <w:rFonts w:ascii="Times New Roman" w:hAnsi="Times New Roman" w:cs="Times New Roman"/>
                <w:sz w:val="20"/>
                <w:szCs w:val="20"/>
              </w:rPr>
              <w:fldChar w:fldCharType="separate"/>
            </w:r>
            <w:r w:rsidRPr="000D4E73">
              <w:rPr>
                <w:rFonts w:ascii="Times New Roman" w:hAnsi="Times New Roman" w:cs="Times New Roman"/>
                <w:sz w:val="20"/>
                <w:szCs w:val="20"/>
              </w:rPr>
              <w:fldChar w:fldCharType="end"/>
            </w:r>
          </w:p>
        </w:tc>
      </w:tr>
    </w:tbl>
    <w:p w14:paraId="478F9E23" w14:textId="77777777" w:rsidR="00AC14E1" w:rsidRPr="00BC7BB5" w:rsidRDefault="00AC14E1" w:rsidP="00AC14E1">
      <w:pPr>
        <w:pStyle w:val="NoSpacing"/>
        <w:ind w:left="720"/>
        <w:rPr>
          <w:rFonts w:asciiTheme="majorBidi" w:hAnsiTheme="majorBidi" w:cstheme="majorBidi"/>
          <w:iCs/>
        </w:rPr>
      </w:pPr>
    </w:p>
    <w:p w14:paraId="6BB28D16" w14:textId="77777777" w:rsidR="00AC14E1" w:rsidRPr="00BC7BB5" w:rsidRDefault="00AC14E1" w:rsidP="00AC14E1">
      <w:pPr>
        <w:rPr>
          <w:rFonts w:asciiTheme="majorBidi" w:hAnsiTheme="majorBidi" w:cstheme="majorBidi"/>
          <w:iCs/>
        </w:rPr>
      </w:pPr>
    </w:p>
    <w:p w14:paraId="53B2A493" w14:textId="77777777" w:rsidR="004D6C0B" w:rsidRPr="00BC7BB5" w:rsidRDefault="004D6C0B" w:rsidP="004D6C0B">
      <w:pPr>
        <w:pStyle w:val="NoSpacing"/>
        <w:ind w:left="720"/>
        <w:rPr>
          <w:rFonts w:ascii="Times New Roman" w:hAnsi="Times New Roman" w:cs="Times New Roman"/>
        </w:rPr>
      </w:pPr>
    </w:p>
    <w:p w14:paraId="63B8E06A" w14:textId="77777777" w:rsidR="00F278F9" w:rsidRPr="00BC7BB5" w:rsidRDefault="00F278F9" w:rsidP="004D6C0B">
      <w:pPr>
        <w:pStyle w:val="NoSpacing"/>
        <w:ind w:left="360"/>
        <w:jc w:val="center"/>
        <w:rPr>
          <w:rFonts w:ascii="Times New Roman" w:hAnsi="Times New Roman" w:cs="Times New Roman"/>
          <w:b/>
        </w:rPr>
        <w:sectPr w:rsidR="00F278F9" w:rsidRPr="00BC7BB5" w:rsidSect="00F278F9">
          <w:pgSz w:w="15840" w:h="12240" w:orient="landscape"/>
          <w:pgMar w:top="1440" w:right="1440" w:bottom="1440" w:left="1440" w:header="720" w:footer="720" w:gutter="0"/>
          <w:pgNumType w:chapStyle="1"/>
          <w:cols w:space="720"/>
          <w:titlePg/>
          <w:docGrid w:linePitch="360"/>
        </w:sectPr>
      </w:pPr>
    </w:p>
    <w:p w14:paraId="53B2A499" w14:textId="44DDEFF0" w:rsidR="00AE45E6" w:rsidRPr="00BC7BB5" w:rsidRDefault="001D2940" w:rsidP="005D30EF">
      <w:pPr>
        <w:pStyle w:val="ListParagraph"/>
        <w:ind w:left="0"/>
        <w:jc w:val="center"/>
        <w:outlineLvl w:val="0"/>
        <w:rPr>
          <w:rFonts w:ascii="Times New Roman" w:hAnsi="Times New Roman" w:cs="Times New Roman"/>
          <w:b/>
        </w:rPr>
      </w:pPr>
      <w:bookmarkStart w:id="36" w:name="_Toc499113419"/>
      <w:r w:rsidRPr="00BC7BB5">
        <w:rPr>
          <w:rFonts w:ascii="Times New Roman" w:hAnsi="Times New Roman" w:cs="Times New Roman"/>
          <w:b/>
        </w:rPr>
        <w:lastRenderedPageBreak/>
        <w:t xml:space="preserve">Annex </w:t>
      </w:r>
      <w:r w:rsidR="004D6C0B" w:rsidRPr="00BC7BB5">
        <w:rPr>
          <w:rFonts w:ascii="Times New Roman" w:hAnsi="Times New Roman" w:cs="Times New Roman"/>
          <w:b/>
        </w:rPr>
        <w:t>9</w:t>
      </w:r>
      <w:r w:rsidRPr="00BC7BB5">
        <w:rPr>
          <w:rFonts w:ascii="Times New Roman" w:hAnsi="Times New Roman" w:cs="Times New Roman"/>
          <w:b/>
        </w:rPr>
        <w:t>: Implementation Support Plan</w:t>
      </w:r>
      <w:bookmarkEnd w:id="36"/>
    </w:p>
    <w:p w14:paraId="53B2A49A" w14:textId="37C86104" w:rsidR="00DC6A3C" w:rsidRPr="00BC7BB5" w:rsidRDefault="00DC6A3C" w:rsidP="00CF260B">
      <w:pPr>
        <w:spacing w:after="0" w:line="240" w:lineRule="auto"/>
        <w:jc w:val="center"/>
        <w:rPr>
          <w:rFonts w:ascii="Times New Roman" w:hAnsi="Times New Roman" w:cs="Times New Roman"/>
          <w:b/>
        </w:rPr>
      </w:pPr>
    </w:p>
    <w:p w14:paraId="13EE9454" w14:textId="25629A84" w:rsidR="009B0DAE" w:rsidRPr="00BC7BB5" w:rsidRDefault="009B0DAE" w:rsidP="00F561E8">
      <w:pPr>
        <w:pStyle w:val="ListParagraph"/>
        <w:numPr>
          <w:ilvl w:val="0"/>
          <w:numId w:val="32"/>
        </w:numPr>
        <w:spacing w:after="0" w:line="240" w:lineRule="auto"/>
        <w:ind w:left="0" w:firstLine="0"/>
        <w:jc w:val="both"/>
        <w:rPr>
          <w:rFonts w:ascii="Times New Roman" w:hAnsi="Times New Roman" w:cs="Times New Roman"/>
        </w:rPr>
      </w:pPr>
      <w:r w:rsidRPr="00BC7BB5">
        <w:rPr>
          <w:rFonts w:ascii="Times New Roman" w:hAnsi="Times New Roman" w:cs="Times New Roman"/>
          <w:b/>
        </w:rPr>
        <w:t>The Implementation Support Plan (ISP</w:t>
      </w:r>
      <w:r w:rsidR="006A7513" w:rsidRPr="00BC7BB5">
        <w:rPr>
          <w:rFonts w:ascii="Times New Roman" w:hAnsi="Times New Roman" w:cs="Times New Roman"/>
          <w:b/>
        </w:rPr>
        <w:fldChar w:fldCharType="begin"/>
      </w:r>
      <w:r w:rsidR="006A7513" w:rsidRPr="00BC7BB5">
        <w:instrText xml:space="preserve"> XE "</w:instrText>
      </w:r>
      <w:r w:rsidR="006A7513" w:rsidRPr="00BC7BB5">
        <w:rPr>
          <w:rFonts w:ascii="Times New Roman" w:hAnsi="Times New Roman" w:cs="Times New Roman"/>
          <w:b/>
        </w:rPr>
        <w:instrText>ISP:</w:instrText>
      </w:r>
      <w:r w:rsidR="006A7513" w:rsidRPr="00BC7BB5">
        <w:instrText xml:space="preserve">Implementation Support Plan" </w:instrText>
      </w:r>
      <w:r w:rsidR="006A7513" w:rsidRPr="00BC7BB5">
        <w:rPr>
          <w:rFonts w:ascii="Times New Roman" w:hAnsi="Times New Roman" w:cs="Times New Roman"/>
          <w:b/>
        </w:rPr>
        <w:fldChar w:fldCharType="end"/>
      </w:r>
      <w:r w:rsidRPr="00BC7BB5">
        <w:rPr>
          <w:rFonts w:ascii="Times New Roman" w:hAnsi="Times New Roman" w:cs="Times New Roman"/>
          <w:b/>
        </w:rPr>
        <w:t>) is adapted to the design and risk profile of the Program</w:t>
      </w:r>
      <w:r w:rsidRPr="00BC7BB5">
        <w:rPr>
          <w:rFonts w:ascii="Times New Roman" w:hAnsi="Times New Roman" w:cs="Times New Roman"/>
        </w:rPr>
        <w:t xml:space="preserve">. While the Borrower is responsible for the Program’s overall implementation, including its technical aspects, the basic mandate of Bank implementation support under the Program includes: (i) review implementation progress, including the PAP and the achievement of program results and DLIs; (ii) provide support for resolving emerging Program implementation issues and bottlenecks; (iii) provide technical and institutional capacity building support to the Government for implementation of the PAP, the achievement of DLIs and other results; (iv) monitor the adequacy of systems’ performance (e.g. through monitoring reports, audit reports, and field visits) as well as compliance with legal agreements and, as needed, the Program Action Plan; and (v) support the government in monitoring and managing changes in the various types of risks. </w:t>
      </w:r>
    </w:p>
    <w:p w14:paraId="42BD0440" w14:textId="77777777" w:rsidR="009B0DAE" w:rsidRPr="00BC7BB5" w:rsidRDefault="009B0DAE" w:rsidP="009B0DAE">
      <w:pPr>
        <w:spacing w:after="0" w:line="240" w:lineRule="auto"/>
        <w:jc w:val="both"/>
        <w:rPr>
          <w:rFonts w:ascii="Times New Roman" w:hAnsi="Times New Roman" w:cs="Times New Roman"/>
        </w:rPr>
      </w:pPr>
    </w:p>
    <w:p w14:paraId="6858EBC1" w14:textId="6DC51B28" w:rsidR="009B0DAE" w:rsidRPr="00BC7BB5" w:rsidRDefault="009B0DAE" w:rsidP="00F561E8">
      <w:pPr>
        <w:pStyle w:val="ListParagraph"/>
        <w:numPr>
          <w:ilvl w:val="0"/>
          <w:numId w:val="32"/>
        </w:numPr>
        <w:spacing w:after="0" w:line="240" w:lineRule="auto"/>
        <w:ind w:left="0" w:firstLine="0"/>
        <w:jc w:val="both"/>
        <w:rPr>
          <w:rFonts w:ascii="Times New Roman" w:hAnsi="Times New Roman" w:cs="Times New Roman"/>
        </w:rPr>
      </w:pPr>
      <w:r w:rsidRPr="00BC7BB5">
        <w:rPr>
          <w:rFonts w:ascii="Times New Roman" w:hAnsi="Times New Roman" w:cs="Times New Roman"/>
          <w:b/>
        </w:rPr>
        <w:t>The ISP focuses on actions that the Bank will perform and on associated needs in terms of skills and resources</w:t>
      </w:r>
      <w:r w:rsidRPr="00BC7BB5">
        <w:rPr>
          <w:rFonts w:ascii="Times New Roman" w:hAnsi="Times New Roman" w:cs="Times New Roman"/>
        </w:rPr>
        <w:t>. Successful support and monitoring of Program implementation will require a multidisciplinary set of technical specialists along with fiduciary and environmental and social specialist. The approach is to mobilize the Bank’s global expertise at the outset to help with operationalizing design improvements while relying on a core group of technical specialists to provide regular guidance and implementation support to the agencies involved in Program implementation. While results and DLIs are planned to be ass</w:t>
      </w:r>
      <w:r w:rsidR="00287FB6" w:rsidRPr="00BC7BB5">
        <w:rPr>
          <w:rFonts w:ascii="Times New Roman" w:hAnsi="Times New Roman" w:cs="Times New Roman"/>
        </w:rPr>
        <w:t>essed as completed annually, a four</w:t>
      </w:r>
      <w:r w:rsidRPr="00BC7BB5">
        <w:rPr>
          <w:rFonts w:ascii="Times New Roman" w:hAnsi="Times New Roman" w:cs="Times New Roman"/>
        </w:rPr>
        <w:t>-month approach to implementation support, where a specific one-week implementation support mission would be carried out, will be used during the first year of the Program.</w:t>
      </w:r>
      <w:r w:rsidR="00287FB6" w:rsidRPr="00BC7BB5">
        <w:rPr>
          <w:rFonts w:ascii="Times New Roman" w:hAnsi="Times New Roman" w:cs="Times New Roman"/>
        </w:rPr>
        <w:t xml:space="preserve"> This approach will shift to a six</w:t>
      </w:r>
      <w:r w:rsidRPr="00BC7BB5">
        <w:rPr>
          <w:rFonts w:ascii="Times New Roman" w:hAnsi="Times New Roman" w:cs="Times New Roman"/>
        </w:rPr>
        <w:t>-month approach during the remaining years of the Program. In addition, a number of technical specialists are based in the region and country office, which will allow timely follow-up on specific issues and/or areas of concern if needed.</w:t>
      </w:r>
    </w:p>
    <w:p w14:paraId="36594985" w14:textId="77777777" w:rsidR="009B0DAE" w:rsidRPr="00BC7BB5" w:rsidRDefault="009B0DAE" w:rsidP="009B0DAE">
      <w:pPr>
        <w:pStyle w:val="ListParagraph"/>
        <w:rPr>
          <w:rFonts w:ascii="Times New Roman" w:hAnsi="Times New Roman" w:cs="Times New Roman"/>
        </w:rPr>
      </w:pPr>
    </w:p>
    <w:p w14:paraId="1A663734" w14:textId="4D901A54" w:rsidR="009B0DAE" w:rsidRPr="00BC7BB5" w:rsidRDefault="009B0DAE" w:rsidP="00F561E8">
      <w:pPr>
        <w:pStyle w:val="ListParagraph"/>
        <w:numPr>
          <w:ilvl w:val="0"/>
          <w:numId w:val="32"/>
        </w:numPr>
        <w:spacing w:after="0" w:line="240" w:lineRule="auto"/>
        <w:ind w:left="0" w:firstLine="0"/>
        <w:jc w:val="both"/>
        <w:rPr>
          <w:rFonts w:ascii="Times New Roman" w:hAnsi="Times New Roman" w:cs="Times New Roman"/>
        </w:rPr>
      </w:pPr>
      <w:r w:rsidRPr="00BC7BB5">
        <w:rPr>
          <w:rFonts w:ascii="Times New Roman" w:hAnsi="Times New Roman" w:cs="Times New Roman"/>
          <w:b/>
        </w:rPr>
        <w:t>The proposed Program will require well-coordinated technical support from the World Bank team, particularly during the early stages of implementation</w:t>
      </w:r>
      <w:r w:rsidRPr="00BC7BB5">
        <w:rPr>
          <w:rFonts w:ascii="Times New Roman" w:hAnsi="Times New Roman" w:cs="Times New Roman"/>
        </w:rPr>
        <w:t xml:space="preserve">. Program implementation will involve the combined intervention of various government stakeholders. This includes MAPMDREF departments and agencies (DF, DDFP, DSS, DEFR, ONSSA, ADA, DRAs) as well as other </w:t>
      </w:r>
      <w:r w:rsidR="00512BCA">
        <w:rPr>
          <w:rFonts w:ascii="Times New Roman" w:hAnsi="Times New Roman" w:cs="Times New Roman"/>
        </w:rPr>
        <w:t>m</w:t>
      </w:r>
      <w:r w:rsidRPr="00BC7BB5">
        <w:rPr>
          <w:rFonts w:ascii="Times New Roman" w:hAnsi="Times New Roman" w:cs="Times New Roman"/>
        </w:rPr>
        <w:t>inistries (MEF, MIICEN and MI)</w:t>
      </w:r>
      <w:r w:rsidR="00287FB6" w:rsidRPr="00BC7BB5">
        <w:rPr>
          <w:rFonts w:ascii="Times New Roman" w:hAnsi="Times New Roman" w:cs="Times New Roman"/>
        </w:rPr>
        <w:t xml:space="preserve"> and entities (Wilaya, Rabat Aménagement)</w:t>
      </w:r>
      <w:r w:rsidRPr="00BC7BB5">
        <w:rPr>
          <w:rFonts w:ascii="Times New Roman" w:hAnsi="Times New Roman" w:cs="Times New Roman"/>
        </w:rPr>
        <w:t xml:space="preserve">. In addition, Program implementation will involve public-private partnerships organized on the basis of specific agreements, including the </w:t>
      </w:r>
      <w:r w:rsidRPr="00BC7BB5">
        <w:rPr>
          <w:rFonts w:ascii="Times New Roman" w:hAnsi="Times New Roman" w:cs="Times New Roman"/>
          <w:i/>
        </w:rPr>
        <w:t>contrat-programme</w:t>
      </w:r>
      <w:r w:rsidRPr="00BC7BB5">
        <w:rPr>
          <w:rFonts w:ascii="Times New Roman" w:hAnsi="Times New Roman" w:cs="Times New Roman"/>
        </w:rPr>
        <w:t xml:space="preserve"> for the agri-food sector, </w:t>
      </w:r>
      <w:r w:rsidRPr="00BC7BB5">
        <w:rPr>
          <w:rFonts w:ascii="Times New Roman" w:hAnsi="Times New Roman" w:cs="Times New Roman"/>
          <w:i/>
        </w:rPr>
        <w:t>contrat-programmes</w:t>
      </w:r>
      <w:r w:rsidRPr="00BC7BB5">
        <w:rPr>
          <w:rFonts w:ascii="Times New Roman" w:hAnsi="Times New Roman" w:cs="Times New Roman"/>
        </w:rPr>
        <w:t xml:space="preserve"> for olive and citrus, the Rabat wholesale market convention, and other conventions signed with interprofessions (Interprolive and Maroc Citrus). Considering the DDFP’s limited staff resources and monitoring systems at the central level, the main focus during the first 12 months of the </w:t>
      </w:r>
      <w:r w:rsidR="00512BCA">
        <w:rPr>
          <w:rFonts w:ascii="Times New Roman" w:hAnsi="Times New Roman" w:cs="Times New Roman"/>
        </w:rPr>
        <w:t>P</w:t>
      </w:r>
      <w:r w:rsidRPr="00BC7BB5">
        <w:rPr>
          <w:rFonts w:ascii="Times New Roman" w:hAnsi="Times New Roman" w:cs="Times New Roman"/>
        </w:rPr>
        <w:t xml:space="preserve">rogram will be the timely and targeted delivery of technical assistance aimed at strengthening both the DDFP and the Program’s dedicated management support unit (PMU) in a manner that ensures the operationalization of effective program coordination, management, and monitoring and evaluation systems, as well as the operationalization of systems’ improvement. Thereafter, the focus of implementation support will gradually shift to managing the implementation of the Program.   </w:t>
      </w:r>
    </w:p>
    <w:p w14:paraId="0CB023B9" w14:textId="77777777" w:rsidR="000A2644" w:rsidRPr="00BC7BB5" w:rsidRDefault="000A2644" w:rsidP="009B0DAE">
      <w:pPr>
        <w:jc w:val="center"/>
        <w:rPr>
          <w:rFonts w:ascii="Times New Roman" w:hAnsi="Times New Roman" w:cs="Times New Roman"/>
          <w:b/>
        </w:rPr>
      </w:pPr>
    </w:p>
    <w:p w14:paraId="71CD21DA" w14:textId="77777777" w:rsidR="00D62AC0" w:rsidRPr="00BC7BB5" w:rsidRDefault="00D62AC0" w:rsidP="009B0DAE">
      <w:pPr>
        <w:jc w:val="center"/>
        <w:rPr>
          <w:rFonts w:ascii="Times New Roman" w:hAnsi="Times New Roman" w:cs="Times New Roman"/>
          <w:b/>
        </w:rPr>
      </w:pPr>
      <w:r w:rsidRPr="00BC7BB5">
        <w:rPr>
          <w:rFonts w:ascii="Times New Roman" w:hAnsi="Times New Roman" w:cs="Times New Roman"/>
          <w:b/>
        </w:rPr>
        <w:br w:type="page"/>
      </w:r>
    </w:p>
    <w:p w14:paraId="395E7751" w14:textId="6D264FB7" w:rsidR="009B0DAE" w:rsidRPr="00BC7BB5" w:rsidRDefault="009B0DAE" w:rsidP="009B0DAE">
      <w:pPr>
        <w:jc w:val="center"/>
        <w:rPr>
          <w:rFonts w:ascii="Times New Roman" w:hAnsi="Times New Roman" w:cs="Times New Roman"/>
          <w:b/>
        </w:rPr>
      </w:pPr>
      <w:r w:rsidRPr="00BC7BB5">
        <w:rPr>
          <w:rFonts w:ascii="Times New Roman" w:hAnsi="Times New Roman" w:cs="Times New Roman"/>
          <w:b/>
        </w:rPr>
        <w:lastRenderedPageBreak/>
        <w:t xml:space="preserve">Table </w:t>
      </w:r>
      <w:r w:rsidR="000A2644" w:rsidRPr="00BC7BB5">
        <w:rPr>
          <w:rFonts w:ascii="Times New Roman" w:hAnsi="Times New Roman" w:cs="Times New Roman"/>
          <w:b/>
        </w:rPr>
        <w:t>A</w:t>
      </w:r>
      <w:r w:rsidRPr="00BC7BB5">
        <w:rPr>
          <w:rFonts w:ascii="Times New Roman" w:hAnsi="Times New Roman" w:cs="Times New Roman"/>
          <w:b/>
        </w:rPr>
        <w:t>9.1 Main Focus of Implementation Support</w:t>
      </w:r>
    </w:p>
    <w:tbl>
      <w:tblPr>
        <w:tblStyle w:val="TableGrid"/>
        <w:tblW w:w="9355" w:type="dxa"/>
        <w:tblLook w:val="04A0" w:firstRow="1" w:lastRow="0" w:firstColumn="1" w:lastColumn="0" w:noHBand="0" w:noVBand="1"/>
      </w:tblPr>
      <w:tblGrid>
        <w:gridCol w:w="985"/>
        <w:gridCol w:w="3150"/>
        <w:gridCol w:w="3330"/>
        <w:gridCol w:w="1890"/>
      </w:tblGrid>
      <w:tr w:rsidR="009B0DAE" w:rsidRPr="00BC7BB5" w14:paraId="05BFC301" w14:textId="77777777" w:rsidTr="006F464F">
        <w:tc>
          <w:tcPr>
            <w:tcW w:w="985" w:type="dxa"/>
          </w:tcPr>
          <w:p w14:paraId="781431F8" w14:textId="77777777" w:rsidR="009B0DAE" w:rsidRPr="00BC7BB5" w:rsidRDefault="009B0DAE" w:rsidP="006F464F">
            <w:pPr>
              <w:jc w:val="center"/>
              <w:rPr>
                <w:rFonts w:ascii="Times New Roman" w:hAnsi="Times New Roman" w:cs="Times New Roman"/>
                <w:b/>
                <w:i/>
              </w:rPr>
            </w:pPr>
            <w:r w:rsidRPr="00BC7BB5">
              <w:rPr>
                <w:rFonts w:ascii="Times New Roman" w:hAnsi="Times New Roman" w:cs="Times New Roman"/>
                <w:b/>
                <w:i/>
              </w:rPr>
              <w:t>Time</w:t>
            </w:r>
          </w:p>
        </w:tc>
        <w:tc>
          <w:tcPr>
            <w:tcW w:w="3150" w:type="dxa"/>
          </w:tcPr>
          <w:p w14:paraId="39CDE53D" w14:textId="77777777" w:rsidR="009B0DAE" w:rsidRPr="00BC7BB5" w:rsidRDefault="009B0DAE" w:rsidP="006F464F">
            <w:pPr>
              <w:jc w:val="center"/>
              <w:rPr>
                <w:rFonts w:ascii="Times New Roman" w:hAnsi="Times New Roman" w:cs="Times New Roman"/>
                <w:b/>
                <w:i/>
              </w:rPr>
            </w:pPr>
            <w:r w:rsidRPr="00BC7BB5">
              <w:rPr>
                <w:rFonts w:ascii="Times New Roman" w:hAnsi="Times New Roman" w:cs="Times New Roman"/>
                <w:b/>
                <w:i/>
              </w:rPr>
              <w:t>Focus</w:t>
            </w:r>
          </w:p>
        </w:tc>
        <w:tc>
          <w:tcPr>
            <w:tcW w:w="3330" w:type="dxa"/>
          </w:tcPr>
          <w:p w14:paraId="2AE02F9A" w14:textId="77777777" w:rsidR="009B0DAE" w:rsidRPr="00BC7BB5" w:rsidRDefault="009B0DAE" w:rsidP="006F464F">
            <w:pPr>
              <w:jc w:val="center"/>
              <w:rPr>
                <w:rFonts w:ascii="Times New Roman" w:hAnsi="Times New Roman" w:cs="Times New Roman"/>
                <w:b/>
                <w:i/>
              </w:rPr>
            </w:pPr>
            <w:r w:rsidRPr="00BC7BB5">
              <w:rPr>
                <w:rFonts w:ascii="Times New Roman" w:hAnsi="Times New Roman" w:cs="Times New Roman"/>
                <w:b/>
                <w:i/>
              </w:rPr>
              <w:t>Skills Needed</w:t>
            </w:r>
          </w:p>
        </w:tc>
        <w:tc>
          <w:tcPr>
            <w:tcW w:w="1890" w:type="dxa"/>
          </w:tcPr>
          <w:p w14:paraId="758EE3A2" w14:textId="77777777" w:rsidR="009B0DAE" w:rsidRPr="00BC7BB5" w:rsidRDefault="009B0DAE" w:rsidP="006F464F">
            <w:pPr>
              <w:jc w:val="center"/>
              <w:rPr>
                <w:rFonts w:ascii="Times New Roman" w:hAnsi="Times New Roman" w:cs="Times New Roman"/>
                <w:b/>
                <w:i/>
              </w:rPr>
            </w:pPr>
            <w:r w:rsidRPr="00BC7BB5">
              <w:rPr>
                <w:rFonts w:ascii="Times New Roman" w:hAnsi="Times New Roman" w:cs="Times New Roman"/>
                <w:b/>
                <w:i/>
              </w:rPr>
              <w:t>Resource Estimate</w:t>
            </w:r>
          </w:p>
        </w:tc>
      </w:tr>
      <w:tr w:rsidR="009B0DAE" w:rsidRPr="00BC7BB5" w14:paraId="415EB15A" w14:textId="77777777" w:rsidTr="006F464F">
        <w:tc>
          <w:tcPr>
            <w:tcW w:w="985" w:type="dxa"/>
          </w:tcPr>
          <w:p w14:paraId="28A8A84D" w14:textId="77777777" w:rsidR="009B0DAE" w:rsidRPr="00BC7BB5" w:rsidRDefault="009B0DAE" w:rsidP="006F464F">
            <w:pPr>
              <w:rPr>
                <w:rFonts w:ascii="Times New Roman" w:hAnsi="Times New Roman" w:cs="Times New Roman"/>
                <w:sz w:val="20"/>
                <w:szCs w:val="20"/>
              </w:rPr>
            </w:pPr>
            <w:r w:rsidRPr="00BC7BB5">
              <w:rPr>
                <w:rFonts w:ascii="Times New Roman" w:hAnsi="Times New Roman" w:cs="Times New Roman"/>
                <w:sz w:val="20"/>
                <w:szCs w:val="20"/>
              </w:rPr>
              <w:t>Months:</w:t>
            </w:r>
          </w:p>
          <w:p w14:paraId="694D4885" w14:textId="77777777" w:rsidR="009B0DAE" w:rsidRPr="00BC7BB5" w:rsidRDefault="009B0DAE" w:rsidP="006F464F">
            <w:pPr>
              <w:rPr>
                <w:rFonts w:ascii="Times New Roman" w:hAnsi="Times New Roman" w:cs="Times New Roman"/>
                <w:sz w:val="20"/>
                <w:szCs w:val="20"/>
              </w:rPr>
            </w:pPr>
            <w:r w:rsidRPr="00BC7BB5">
              <w:rPr>
                <w:rFonts w:ascii="Times New Roman" w:hAnsi="Times New Roman" w:cs="Times New Roman"/>
                <w:sz w:val="20"/>
                <w:szCs w:val="20"/>
              </w:rPr>
              <w:t>0-12</w:t>
            </w:r>
          </w:p>
        </w:tc>
        <w:tc>
          <w:tcPr>
            <w:tcW w:w="3150" w:type="dxa"/>
          </w:tcPr>
          <w:p w14:paraId="54E3F925" w14:textId="77777777" w:rsidR="009B0DAE" w:rsidRPr="00BC7BB5" w:rsidRDefault="009B0DAE" w:rsidP="006F464F">
            <w:pPr>
              <w:rPr>
                <w:rFonts w:ascii="Times New Roman" w:hAnsi="Times New Roman" w:cs="Times New Roman"/>
                <w:sz w:val="20"/>
                <w:szCs w:val="20"/>
              </w:rPr>
            </w:pPr>
            <w:r w:rsidRPr="00BC7BB5">
              <w:rPr>
                <w:rFonts w:ascii="Times New Roman" w:hAnsi="Times New Roman" w:cs="Times New Roman"/>
                <w:sz w:val="20"/>
                <w:szCs w:val="20"/>
              </w:rPr>
              <w:t xml:space="preserve">Implementing the PAP; adjusting operational procedures and their communication to implementing entities; establishing arrangements for independent verification of compliance with the DLIs; strengthening the M&amp;E system at various levels.  </w:t>
            </w:r>
          </w:p>
        </w:tc>
        <w:tc>
          <w:tcPr>
            <w:tcW w:w="3330" w:type="dxa"/>
          </w:tcPr>
          <w:p w14:paraId="48D9F0AF" w14:textId="3C2CA0F1" w:rsidR="009B0DAE" w:rsidRPr="00BC7BB5" w:rsidRDefault="009B0DAE" w:rsidP="006F464F">
            <w:pPr>
              <w:rPr>
                <w:rFonts w:ascii="Times New Roman" w:hAnsi="Times New Roman" w:cs="Times New Roman"/>
                <w:sz w:val="20"/>
                <w:szCs w:val="20"/>
              </w:rPr>
            </w:pPr>
            <w:r w:rsidRPr="00BC7BB5">
              <w:rPr>
                <w:rFonts w:ascii="Times New Roman" w:hAnsi="Times New Roman" w:cs="Times New Roman"/>
                <w:sz w:val="20"/>
                <w:szCs w:val="20"/>
              </w:rPr>
              <w:t>Fiduciary; environment and social management; M&amp;E; Technical (Producers’ Organizations; Value Chain Development; Wholesale Market Infrastructure Development; Agricultural Information Systems; Food Safety Standards and Certifications; Quality Standards and Certifications; Agricultural Innovation Ecosystems)</w:t>
            </w:r>
          </w:p>
        </w:tc>
        <w:tc>
          <w:tcPr>
            <w:tcW w:w="1890" w:type="dxa"/>
          </w:tcPr>
          <w:p w14:paraId="5F48EC0B" w14:textId="6BD9E67D" w:rsidR="005E65B9" w:rsidRPr="00BC7BB5" w:rsidRDefault="009B0DAE" w:rsidP="006F464F">
            <w:pPr>
              <w:rPr>
                <w:rFonts w:ascii="Times New Roman" w:hAnsi="Times New Roman" w:cs="Times New Roman"/>
                <w:sz w:val="20"/>
                <w:szCs w:val="20"/>
              </w:rPr>
            </w:pPr>
            <w:r w:rsidRPr="00BC7BB5">
              <w:rPr>
                <w:rFonts w:ascii="Times New Roman" w:hAnsi="Times New Roman" w:cs="Times New Roman"/>
                <w:sz w:val="20"/>
                <w:szCs w:val="20"/>
              </w:rPr>
              <w:t>3 implementation support missions</w:t>
            </w:r>
          </w:p>
          <w:p w14:paraId="6EFDC4B6" w14:textId="77777777" w:rsidR="009B0DAE" w:rsidRPr="00BC7BB5" w:rsidRDefault="009B0DAE" w:rsidP="006F464F">
            <w:pPr>
              <w:rPr>
                <w:rFonts w:ascii="Times New Roman" w:hAnsi="Times New Roman" w:cs="Times New Roman"/>
                <w:sz w:val="20"/>
                <w:szCs w:val="20"/>
              </w:rPr>
            </w:pPr>
          </w:p>
          <w:p w14:paraId="18706BA3" w14:textId="77777777" w:rsidR="009B0DAE" w:rsidRPr="00BC7BB5" w:rsidRDefault="009B0DAE" w:rsidP="006F464F">
            <w:pPr>
              <w:rPr>
                <w:rFonts w:ascii="Times New Roman" w:hAnsi="Times New Roman" w:cs="Times New Roman"/>
                <w:sz w:val="20"/>
                <w:szCs w:val="20"/>
                <w:u w:val="single"/>
              </w:rPr>
            </w:pPr>
            <w:r w:rsidRPr="00BC7BB5">
              <w:rPr>
                <w:rFonts w:ascii="Times New Roman" w:hAnsi="Times New Roman" w:cs="Times New Roman"/>
                <w:sz w:val="20"/>
                <w:szCs w:val="20"/>
                <w:u w:val="single"/>
              </w:rPr>
              <w:t>Total 36 weeks over 12 months</w:t>
            </w:r>
          </w:p>
          <w:p w14:paraId="2BDE06E3" w14:textId="77777777" w:rsidR="009B0DAE" w:rsidRPr="00BC7BB5" w:rsidRDefault="009B0DAE" w:rsidP="006F464F">
            <w:pPr>
              <w:rPr>
                <w:rFonts w:ascii="Times New Roman" w:hAnsi="Times New Roman" w:cs="Times New Roman"/>
                <w:sz w:val="20"/>
                <w:szCs w:val="20"/>
                <w:u w:val="single"/>
              </w:rPr>
            </w:pPr>
          </w:p>
          <w:p w14:paraId="7FBAEE8E" w14:textId="77777777" w:rsidR="009B0DAE" w:rsidRPr="00BC7BB5" w:rsidRDefault="009B0DAE" w:rsidP="006F464F">
            <w:pPr>
              <w:rPr>
                <w:rFonts w:ascii="Times New Roman" w:hAnsi="Times New Roman" w:cs="Times New Roman"/>
                <w:sz w:val="20"/>
                <w:szCs w:val="20"/>
              </w:rPr>
            </w:pPr>
            <w:r w:rsidRPr="00BC7BB5">
              <w:rPr>
                <w:rFonts w:ascii="Times New Roman" w:hAnsi="Times New Roman" w:cs="Times New Roman"/>
                <w:sz w:val="20"/>
                <w:szCs w:val="20"/>
              </w:rPr>
              <w:t>US$220,000 per year</w:t>
            </w:r>
          </w:p>
        </w:tc>
      </w:tr>
      <w:tr w:rsidR="009B0DAE" w:rsidRPr="00BC7BB5" w14:paraId="692601C1" w14:textId="77777777" w:rsidTr="006F464F">
        <w:tc>
          <w:tcPr>
            <w:tcW w:w="985" w:type="dxa"/>
          </w:tcPr>
          <w:p w14:paraId="68C69598" w14:textId="77777777" w:rsidR="009B0DAE" w:rsidRPr="00BC7BB5" w:rsidRDefault="009B0DAE" w:rsidP="006F464F">
            <w:pPr>
              <w:rPr>
                <w:rFonts w:ascii="Times New Roman" w:hAnsi="Times New Roman" w:cs="Times New Roman"/>
                <w:sz w:val="20"/>
                <w:szCs w:val="20"/>
              </w:rPr>
            </w:pPr>
            <w:r w:rsidRPr="00BC7BB5">
              <w:rPr>
                <w:rFonts w:ascii="Times New Roman" w:hAnsi="Times New Roman" w:cs="Times New Roman"/>
                <w:sz w:val="20"/>
                <w:szCs w:val="20"/>
              </w:rPr>
              <w:t>Months:</w:t>
            </w:r>
          </w:p>
          <w:p w14:paraId="2565E87F" w14:textId="0B84F2E7" w:rsidR="009B0DAE" w:rsidRPr="00BC7BB5" w:rsidRDefault="009B0DAE" w:rsidP="006F464F">
            <w:pPr>
              <w:rPr>
                <w:rFonts w:ascii="Times New Roman" w:hAnsi="Times New Roman" w:cs="Times New Roman"/>
                <w:sz w:val="20"/>
                <w:szCs w:val="20"/>
              </w:rPr>
            </w:pPr>
            <w:r w:rsidRPr="00BC7BB5">
              <w:rPr>
                <w:rFonts w:ascii="Times New Roman" w:hAnsi="Times New Roman" w:cs="Times New Roman"/>
                <w:sz w:val="20"/>
                <w:szCs w:val="20"/>
              </w:rPr>
              <w:t>13-</w:t>
            </w:r>
            <w:r w:rsidR="00945A1A" w:rsidRPr="00BC7BB5">
              <w:rPr>
                <w:rFonts w:ascii="Times New Roman" w:hAnsi="Times New Roman" w:cs="Times New Roman"/>
                <w:sz w:val="20"/>
                <w:szCs w:val="20"/>
              </w:rPr>
              <w:t>60</w:t>
            </w:r>
          </w:p>
        </w:tc>
        <w:tc>
          <w:tcPr>
            <w:tcW w:w="3150" w:type="dxa"/>
          </w:tcPr>
          <w:p w14:paraId="519528C7" w14:textId="77777777" w:rsidR="009B0DAE" w:rsidRPr="00BC7BB5" w:rsidRDefault="009B0DAE" w:rsidP="006F464F">
            <w:pPr>
              <w:rPr>
                <w:rFonts w:ascii="Times New Roman" w:hAnsi="Times New Roman" w:cs="Times New Roman"/>
                <w:sz w:val="20"/>
                <w:szCs w:val="20"/>
              </w:rPr>
            </w:pPr>
            <w:r w:rsidRPr="00BC7BB5">
              <w:rPr>
                <w:rFonts w:ascii="Times New Roman" w:hAnsi="Times New Roman" w:cs="Times New Roman"/>
                <w:sz w:val="20"/>
                <w:szCs w:val="20"/>
              </w:rPr>
              <w:t>Reviewing implementation progress; cross-checking linkages between planning, budgeting, and results; providing support in case of disputes relating to DLI verification.</w:t>
            </w:r>
          </w:p>
        </w:tc>
        <w:tc>
          <w:tcPr>
            <w:tcW w:w="3330" w:type="dxa"/>
          </w:tcPr>
          <w:p w14:paraId="624A2F8F" w14:textId="77777777" w:rsidR="009B0DAE" w:rsidRPr="00BC7BB5" w:rsidRDefault="009B0DAE" w:rsidP="006F464F">
            <w:pPr>
              <w:rPr>
                <w:rFonts w:ascii="Times New Roman" w:hAnsi="Times New Roman" w:cs="Times New Roman"/>
                <w:sz w:val="20"/>
                <w:szCs w:val="20"/>
              </w:rPr>
            </w:pPr>
            <w:r w:rsidRPr="00BC7BB5">
              <w:rPr>
                <w:rFonts w:ascii="Times New Roman" w:hAnsi="Times New Roman" w:cs="Times New Roman"/>
                <w:sz w:val="20"/>
                <w:szCs w:val="20"/>
              </w:rPr>
              <w:t>Fiduciary; environment and social management; M&amp;E; Technical (Professional Organizations; Value Chain Development; Wholesale Market Infrastructure Development; Agricultural Information Systems; Food Safety Standards and Certifications; Quality Standards and Certifications; Agricultural Innovation Ecosystems)</w:t>
            </w:r>
          </w:p>
        </w:tc>
        <w:tc>
          <w:tcPr>
            <w:tcW w:w="1890" w:type="dxa"/>
          </w:tcPr>
          <w:p w14:paraId="77F67740" w14:textId="77777777" w:rsidR="00945A1A" w:rsidRPr="00BC7BB5" w:rsidRDefault="009B0DAE" w:rsidP="006F464F">
            <w:pPr>
              <w:rPr>
                <w:rFonts w:ascii="Times New Roman" w:hAnsi="Times New Roman" w:cs="Times New Roman"/>
                <w:sz w:val="20"/>
                <w:szCs w:val="20"/>
              </w:rPr>
            </w:pPr>
            <w:r w:rsidRPr="00BC7BB5">
              <w:rPr>
                <w:rFonts w:ascii="Times New Roman" w:hAnsi="Times New Roman" w:cs="Times New Roman"/>
                <w:sz w:val="20"/>
                <w:szCs w:val="20"/>
              </w:rPr>
              <w:t>2 implementation support missions per years including mid-term review</w:t>
            </w:r>
            <w:r w:rsidR="00945A1A" w:rsidRPr="00BC7BB5">
              <w:rPr>
                <w:rFonts w:ascii="Times New Roman" w:hAnsi="Times New Roman" w:cs="Times New Roman"/>
                <w:sz w:val="20"/>
                <w:szCs w:val="20"/>
              </w:rPr>
              <w:t>:</w:t>
            </w:r>
          </w:p>
          <w:p w14:paraId="530F75E9" w14:textId="445DE0D5" w:rsidR="009B0DAE" w:rsidRPr="00BC7BB5" w:rsidRDefault="009B0DAE" w:rsidP="006F464F">
            <w:pPr>
              <w:rPr>
                <w:rFonts w:ascii="Times New Roman" w:hAnsi="Times New Roman" w:cs="Times New Roman"/>
                <w:sz w:val="20"/>
                <w:szCs w:val="20"/>
              </w:rPr>
            </w:pPr>
          </w:p>
          <w:p w14:paraId="132B5A3E" w14:textId="77777777" w:rsidR="009B0DAE" w:rsidRPr="00BC7BB5" w:rsidRDefault="009B0DAE" w:rsidP="006F464F">
            <w:pPr>
              <w:rPr>
                <w:rFonts w:ascii="Times New Roman" w:hAnsi="Times New Roman" w:cs="Times New Roman"/>
                <w:sz w:val="20"/>
                <w:szCs w:val="20"/>
              </w:rPr>
            </w:pPr>
          </w:p>
          <w:p w14:paraId="0131B3E6" w14:textId="6D92DF5C" w:rsidR="009B0DAE" w:rsidRPr="00BC7BB5" w:rsidRDefault="009B0DAE" w:rsidP="006F464F">
            <w:pPr>
              <w:rPr>
                <w:rFonts w:ascii="Times New Roman" w:hAnsi="Times New Roman" w:cs="Times New Roman"/>
                <w:sz w:val="20"/>
                <w:szCs w:val="20"/>
                <w:u w:val="single"/>
              </w:rPr>
            </w:pPr>
            <w:r w:rsidRPr="00BC7BB5">
              <w:rPr>
                <w:rFonts w:ascii="Times New Roman" w:hAnsi="Times New Roman" w:cs="Times New Roman"/>
                <w:sz w:val="20"/>
                <w:szCs w:val="20"/>
                <w:u w:val="single"/>
              </w:rPr>
              <w:t xml:space="preserve">Total </w:t>
            </w:r>
            <w:r w:rsidR="00945A1A" w:rsidRPr="00BC7BB5">
              <w:rPr>
                <w:rFonts w:ascii="Times New Roman" w:hAnsi="Times New Roman" w:cs="Times New Roman"/>
                <w:sz w:val="20"/>
                <w:szCs w:val="20"/>
                <w:u w:val="single"/>
              </w:rPr>
              <w:t xml:space="preserve">96 </w:t>
            </w:r>
            <w:r w:rsidRPr="00BC7BB5">
              <w:rPr>
                <w:rFonts w:ascii="Times New Roman" w:hAnsi="Times New Roman" w:cs="Times New Roman"/>
                <w:sz w:val="20"/>
                <w:szCs w:val="20"/>
                <w:u w:val="single"/>
              </w:rPr>
              <w:t xml:space="preserve">weeks over </w:t>
            </w:r>
            <w:r w:rsidR="00945A1A" w:rsidRPr="00BC7BB5">
              <w:rPr>
                <w:rFonts w:ascii="Times New Roman" w:hAnsi="Times New Roman" w:cs="Times New Roman"/>
                <w:sz w:val="20"/>
                <w:szCs w:val="20"/>
                <w:u w:val="single"/>
              </w:rPr>
              <w:t xml:space="preserve">48 </w:t>
            </w:r>
            <w:r w:rsidRPr="00BC7BB5">
              <w:rPr>
                <w:rFonts w:ascii="Times New Roman" w:hAnsi="Times New Roman" w:cs="Times New Roman"/>
                <w:sz w:val="20"/>
                <w:szCs w:val="20"/>
                <w:u w:val="single"/>
              </w:rPr>
              <w:t>months</w:t>
            </w:r>
          </w:p>
          <w:p w14:paraId="6ACF3AF2" w14:textId="77777777" w:rsidR="009B0DAE" w:rsidRPr="00BC7BB5" w:rsidRDefault="009B0DAE" w:rsidP="006F464F">
            <w:pPr>
              <w:rPr>
                <w:rFonts w:ascii="Times New Roman" w:hAnsi="Times New Roman" w:cs="Times New Roman"/>
                <w:sz w:val="20"/>
                <w:szCs w:val="20"/>
                <w:u w:val="single"/>
              </w:rPr>
            </w:pPr>
          </w:p>
          <w:p w14:paraId="2B153F31" w14:textId="3D6BC97B" w:rsidR="009B0DAE" w:rsidRPr="00BC7BB5" w:rsidRDefault="009B0DAE" w:rsidP="006F464F">
            <w:pPr>
              <w:rPr>
                <w:rFonts w:ascii="Times New Roman" w:hAnsi="Times New Roman" w:cs="Times New Roman"/>
                <w:sz w:val="20"/>
                <w:szCs w:val="20"/>
              </w:rPr>
            </w:pPr>
            <w:r w:rsidRPr="00BC7BB5">
              <w:rPr>
                <w:rFonts w:ascii="Times New Roman" w:hAnsi="Times New Roman" w:cs="Times New Roman"/>
                <w:sz w:val="20"/>
                <w:szCs w:val="20"/>
              </w:rPr>
              <w:t>US$</w:t>
            </w:r>
            <w:r w:rsidR="009E6786" w:rsidRPr="00BC7BB5">
              <w:rPr>
                <w:rFonts w:ascii="Times New Roman" w:hAnsi="Times New Roman" w:cs="Times New Roman"/>
                <w:sz w:val="20"/>
                <w:szCs w:val="20"/>
              </w:rPr>
              <w:t>160</w:t>
            </w:r>
            <w:r w:rsidRPr="00BC7BB5">
              <w:rPr>
                <w:rFonts w:ascii="Times New Roman" w:hAnsi="Times New Roman" w:cs="Times New Roman"/>
                <w:sz w:val="20"/>
                <w:szCs w:val="20"/>
              </w:rPr>
              <w:t>,000 per year</w:t>
            </w:r>
          </w:p>
        </w:tc>
      </w:tr>
    </w:tbl>
    <w:p w14:paraId="721E49D6" w14:textId="77777777" w:rsidR="009B0DAE" w:rsidRPr="00BC7BB5" w:rsidRDefault="009B0DAE" w:rsidP="009B0DAE">
      <w:pPr>
        <w:rPr>
          <w:rFonts w:ascii="Times New Roman" w:hAnsi="Times New Roman" w:cs="Times New Roman"/>
          <w:b/>
        </w:rPr>
      </w:pPr>
    </w:p>
    <w:p w14:paraId="0F039932" w14:textId="65C92694" w:rsidR="009B0DAE" w:rsidRPr="00BC7BB5" w:rsidRDefault="009B0DAE" w:rsidP="009B0DAE">
      <w:pPr>
        <w:jc w:val="center"/>
        <w:rPr>
          <w:rFonts w:ascii="Times New Roman" w:hAnsi="Times New Roman" w:cs="Times New Roman"/>
          <w:b/>
        </w:rPr>
      </w:pPr>
      <w:r w:rsidRPr="00BC7BB5">
        <w:rPr>
          <w:rFonts w:ascii="Times New Roman" w:hAnsi="Times New Roman" w:cs="Times New Roman"/>
          <w:b/>
        </w:rPr>
        <w:t xml:space="preserve">Table </w:t>
      </w:r>
      <w:r w:rsidR="000A2644" w:rsidRPr="00BC7BB5">
        <w:rPr>
          <w:rFonts w:ascii="Times New Roman" w:hAnsi="Times New Roman" w:cs="Times New Roman"/>
          <w:b/>
        </w:rPr>
        <w:t>A</w:t>
      </w:r>
      <w:r w:rsidRPr="00BC7BB5">
        <w:rPr>
          <w:rFonts w:ascii="Times New Roman" w:hAnsi="Times New Roman" w:cs="Times New Roman"/>
          <w:b/>
        </w:rPr>
        <w:t xml:space="preserve">9.2 Task Team Skills Mix Requirements for Implementation Support (entire </w:t>
      </w:r>
      <w:r w:rsidR="00512BCA">
        <w:rPr>
          <w:rFonts w:ascii="Times New Roman" w:hAnsi="Times New Roman" w:cs="Times New Roman"/>
          <w:b/>
        </w:rPr>
        <w:t>P</w:t>
      </w:r>
      <w:r w:rsidRPr="00BC7BB5">
        <w:rPr>
          <w:rFonts w:ascii="Times New Roman" w:hAnsi="Times New Roman" w:cs="Times New Roman"/>
          <w:b/>
        </w:rPr>
        <w:t>rogram life)</w:t>
      </w:r>
    </w:p>
    <w:tbl>
      <w:tblPr>
        <w:tblStyle w:val="TableGrid"/>
        <w:tblW w:w="9355" w:type="dxa"/>
        <w:tblLook w:val="04A0" w:firstRow="1" w:lastRow="0" w:firstColumn="1" w:lastColumn="0" w:noHBand="0" w:noVBand="1"/>
      </w:tblPr>
      <w:tblGrid>
        <w:gridCol w:w="4135"/>
        <w:gridCol w:w="3330"/>
        <w:gridCol w:w="1890"/>
      </w:tblGrid>
      <w:tr w:rsidR="009B0DAE" w:rsidRPr="00BC7BB5" w14:paraId="2563758B" w14:textId="77777777" w:rsidTr="006F464F">
        <w:tc>
          <w:tcPr>
            <w:tcW w:w="4135" w:type="dxa"/>
          </w:tcPr>
          <w:p w14:paraId="1818CFC9" w14:textId="77777777" w:rsidR="009B0DAE" w:rsidRPr="00BC7BB5" w:rsidRDefault="009B0DAE" w:rsidP="006F464F">
            <w:pPr>
              <w:jc w:val="center"/>
              <w:rPr>
                <w:rFonts w:ascii="Times New Roman" w:hAnsi="Times New Roman" w:cs="Times New Roman"/>
                <w:b/>
                <w:i/>
              </w:rPr>
            </w:pPr>
            <w:r w:rsidRPr="00BC7BB5">
              <w:rPr>
                <w:rFonts w:ascii="Times New Roman" w:hAnsi="Times New Roman" w:cs="Times New Roman"/>
                <w:b/>
                <w:i/>
              </w:rPr>
              <w:t>Skills Needed</w:t>
            </w:r>
          </w:p>
        </w:tc>
        <w:tc>
          <w:tcPr>
            <w:tcW w:w="3330" w:type="dxa"/>
          </w:tcPr>
          <w:p w14:paraId="0AE8037A" w14:textId="77777777" w:rsidR="009B0DAE" w:rsidRPr="00BC7BB5" w:rsidRDefault="009B0DAE" w:rsidP="006F464F">
            <w:pPr>
              <w:jc w:val="center"/>
              <w:rPr>
                <w:rFonts w:ascii="Times New Roman" w:hAnsi="Times New Roman" w:cs="Times New Roman"/>
                <w:b/>
                <w:i/>
              </w:rPr>
            </w:pPr>
            <w:r w:rsidRPr="00BC7BB5">
              <w:rPr>
                <w:rFonts w:ascii="Times New Roman" w:hAnsi="Times New Roman" w:cs="Times New Roman"/>
                <w:b/>
                <w:i/>
              </w:rPr>
              <w:t>Number of Staff Weeks</w:t>
            </w:r>
          </w:p>
        </w:tc>
        <w:tc>
          <w:tcPr>
            <w:tcW w:w="1890" w:type="dxa"/>
          </w:tcPr>
          <w:p w14:paraId="01DA0E4E" w14:textId="77777777" w:rsidR="009B0DAE" w:rsidRPr="00BC7BB5" w:rsidRDefault="009B0DAE" w:rsidP="006F464F">
            <w:pPr>
              <w:jc w:val="center"/>
              <w:rPr>
                <w:rFonts w:ascii="Times New Roman" w:hAnsi="Times New Roman" w:cs="Times New Roman"/>
                <w:b/>
                <w:i/>
              </w:rPr>
            </w:pPr>
            <w:r w:rsidRPr="00BC7BB5">
              <w:rPr>
                <w:rFonts w:ascii="Times New Roman" w:hAnsi="Times New Roman" w:cs="Times New Roman"/>
                <w:b/>
                <w:i/>
              </w:rPr>
              <w:t>Number of Trips</w:t>
            </w:r>
          </w:p>
        </w:tc>
      </w:tr>
      <w:tr w:rsidR="009B0DAE" w:rsidRPr="00BC7BB5" w14:paraId="133159C9" w14:textId="77777777" w:rsidTr="006F464F">
        <w:tc>
          <w:tcPr>
            <w:tcW w:w="4135" w:type="dxa"/>
          </w:tcPr>
          <w:p w14:paraId="73A1199B" w14:textId="77777777" w:rsidR="009B0DAE" w:rsidRPr="00BC7BB5" w:rsidRDefault="009B0DAE" w:rsidP="006F464F">
            <w:pPr>
              <w:rPr>
                <w:rFonts w:ascii="Times New Roman" w:hAnsi="Times New Roman" w:cs="Times New Roman"/>
              </w:rPr>
            </w:pPr>
            <w:r w:rsidRPr="00BC7BB5">
              <w:rPr>
                <w:rFonts w:ascii="Times New Roman" w:hAnsi="Times New Roman" w:cs="Times New Roman"/>
              </w:rPr>
              <w:t>Task Team Management</w:t>
            </w:r>
          </w:p>
        </w:tc>
        <w:tc>
          <w:tcPr>
            <w:tcW w:w="3330" w:type="dxa"/>
          </w:tcPr>
          <w:p w14:paraId="0660446D" w14:textId="7FABABB8" w:rsidR="009B0DAE" w:rsidRPr="00BC7BB5" w:rsidRDefault="00945A1A" w:rsidP="006F464F">
            <w:pPr>
              <w:jc w:val="center"/>
              <w:rPr>
                <w:rFonts w:ascii="Times New Roman" w:hAnsi="Times New Roman" w:cs="Times New Roman"/>
              </w:rPr>
            </w:pPr>
            <w:r w:rsidRPr="00BC7BB5">
              <w:rPr>
                <w:rFonts w:ascii="Times New Roman" w:hAnsi="Times New Roman" w:cs="Times New Roman"/>
              </w:rPr>
              <w:t>30</w:t>
            </w:r>
          </w:p>
        </w:tc>
        <w:tc>
          <w:tcPr>
            <w:tcW w:w="1890" w:type="dxa"/>
          </w:tcPr>
          <w:p w14:paraId="362DB97A" w14:textId="77E79E69" w:rsidR="009B0DAE" w:rsidRPr="00BC7BB5" w:rsidRDefault="00945A1A" w:rsidP="006F464F">
            <w:pPr>
              <w:jc w:val="center"/>
              <w:rPr>
                <w:rFonts w:ascii="Times New Roman" w:hAnsi="Times New Roman" w:cs="Times New Roman"/>
              </w:rPr>
            </w:pPr>
            <w:r w:rsidRPr="00BC7BB5">
              <w:rPr>
                <w:rFonts w:ascii="Times New Roman" w:hAnsi="Times New Roman" w:cs="Times New Roman"/>
              </w:rPr>
              <w:t>11</w:t>
            </w:r>
          </w:p>
        </w:tc>
      </w:tr>
      <w:tr w:rsidR="009B0DAE" w:rsidRPr="00BC7BB5" w14:paraId="5F4B6815" w14:textId="77777777" w:rsidTr="006F464F">
        <w:tc>
          <w:tcPr>
            <w:tcW w:w="4135" w:type="dxa"/>
          </w:tcPr>
          <w:p w14:paraId="674E2D0A" w14:textId="77777777" w:rsidR="009B0DAE" w:rsidRPr="00BC7BB5" w:rsidRDefault="009B0DAE" w:rsidP="006F464F">
            <w:pPr>
              <w:rPr>
                <w:rFonts w:ascii="Times New Roman" w:hAnsi="Times New Roman" w:cs="Times New Roman"/>
              </w:rPr>
            </w:pPr>
            <w:r w:rsidRPr="00BC7BB5">
              <w:rPr>
                <w:rFonts w:ascii="Times New Roman" w:hAnsi="Times New Roman" w:cs="Times New Roman"/>
              </w:rPr>
              <w:t>Producers’ Organizations</w:t>
            </w:r>
          </w:p>
        </w:tc>
        <w:tc>
          <w:tcPr>
            <w:tcW w:w="3330" w:type="dxa"/>
          </w:tcPr>
          <w:p w14:paraId="3D22BB3D" w14:textId="0BB529FE" w:rsidR="009B0DAE" w:rsidRPr="00BC7BB5" w:rsidRDefault="00945A1A" w:rsidP="006F464F">
            <w:pPr>
              <w:jc w:val="center"/>
              <w:rPr>
                <w:rFonts w:ascii="Times New Roman" w:hAnsi="Times New Roman" w:cs="Times New Roman"/>
              </w:rPr>
            </w:pPr>
            <w:r w:rsidRPr="00BC7BB5">
              <w:rPr>
                <w:rFonts w:ascii="Times New Roman" w:hAnsi="Times New Roman" w:cs="Times New Roman"/>
              </w:rPr>
              <w:t>13</w:t>
            </w:r>
          </w:p>
        </w:tc>
        <w:tc>
          <w:tcPr>
            <w:tcW w:w="1890" w:type="dxa"/>
          </w:tcPr>
          <w:p w14:paraId="7875EE7F" w14:textId="4018B4E3" w:rsidR="009B0DAE" w:rsidRPr="00BC7BB5" w:rsidRDefault="00945A1A" w:rsidP="006F464F">
            <w:pPr>
              <w:jc w:val="center"/>
              <w:rPr>
                <w:rFonts w:ascii="Times New Roman" w:hAnsi="Times New Roman" w:cs="Times New Roman"/>
              </w:rPr>
            </w:pPr>
            <w:r w:rsidRPr="00BC7BB5">
              <w:rPr>
                <w:rFonts w:ascii="Times New Roman" w:hAnsi="Times New Roman" w:cs="Times New Roman"/>
              </w:rPr>
              <w:t>11</w:t>
            </w:r>
          </w:p>
        </w:tc>
      </w:tr>
      <w:tr w:rsidR="009B0DAE" w:rsidRPr="00BC7BB5" w14:paraId="412FF848" w14:textId="77777777" w:rsidTr="006F464F">
        <w:tc>
          <w:tcPr>
            <w:tcW w:w="4135" w:type="dxa"/>
          </w:tcPr>
          <w:p w14:paraId="6AE4E7D6" w14:textId="77777777" w:rsidR="009B0DAE" w:rsidRPr="00BC7BB5" w:rsidRDefault="009B0DAE" w:rsidP="006F464F">
            <w:pPr>
              <w:rPr>
                <w:rFonts w:ascii="Times New Roman" w:hAnsi="Times New Roman" w:cs="Times New Roman"/>
              </w:rPr>
            </w:pPr>
            <w:r w:rsidRPr="00BC7BB5">
              <w:rPr>
                <w:rFonts w:ascii="Times New Roman" w:hAnsi="Times New Roman" w:cs="Times New Roman"/>
              </w:rPr>
              <w:t>Value Chain Development</w:t>
            </w:r>
          </w:p>
        </w:tc>
        <w:tc>
          <w:tcPr>
            <w:tcW w:w="3330" w:type="dxa"/>
          </w:tcPr>
          <w:p w14:paraId="6A9EE065" w14:textId="0EE04A79" w:rsidR="009B0DAE" w:rsidRPr="00BC7BB5" w:rsidRDefault="00945A1A" w:rsidP="006F464F">
            <w:pPr>
              <w:jc w:val="center"/>
              <w:rPr>
                <w:rFonts w:ascii="Times New Roman" w:hAnsi="Times New Roman" w:cs="Times New Roman"/>
              </w:rPr>
            </w:pPr>
            <w:r w:rsidRPr="00BC7BB5">
              <w:rPr>
                <w:rFonts w:ascii="Times New Roman" w:hAnsi="Times New Roman" w:cs="Times New Roman"/>
              </w:rPr>
              <w:t>11</w:t>
            </w:r>
          </w:p>
        </w:tc>
        <w:tc>
          <w:tcPr>
            <w:tcW w:w="1890" w:type="dxa"/>
          </w:tcPr>
          <w:p w14:paraId="6C137302" w14:textId="4D95CDE9" w:rsidR="009B0DAE" w:rsidRPr="00BC7BB5" w:rsidRDefault="00945A1A" w:rsidP="006F464F">
            <w:pPr>
              <w:jc w:val="center"/>
              <w:rPr>
                <w:rFonts w:ascii="Times New Roman" w:hAnsi="Times New Roman" w:cs="Times New Roman"/>
              </w:rPr>
            </w:pPr>
            <w:r w:rsidRPr="00BC7BB5">
              <w:rPr>
                <w:rFonts w:ascii="Times New Roman" w:hAnsi="Times New Roman" w:cs="Times New Roman"/>
              </w:rPr>
              <w:t>11</w:t>
            </w:r>
          </w:p>
        </w:tc>
      </w:tr>
      <w:tr w:rsidR="009B0DAE" w:rsidRPr="00BC7BB5" w14:paraId="6E1B873F" w14:textId="77777777" w:rsidTr="006F464F">
        <w:tc>
          <w:tcPr>
            <w:tcW w:w="4135" w:type="dxa"/>
          </w:tcPr>
          <w:p w14:paraId="6854B300" w14:textId="77777777" w:rsidR="009B0DAE" w:rsidRPr="00BC7BB5" w:rsidRDefault="009B0DAE" w:rsidP="006F464F">
            <w:pPr>
              <w:rPr>
                <w:rFonts w:ascii="Times New Roman" w:hAnsi="Times New Roman" w:cs="Times New Roman"/>
              </w:rPr>
            </w:pPr>
            <w:r w:rsidRPr="00BC7BB5">
              <w:rPr>
                <w:rFonts w:ascii="Times New Roman" w:hAnsi="Times New Roman" w:cs="Times New Roman"/>
              </w:rPr>
              <w:t>Wholesale Market Infrastructure Development</w:t>
            </w:r>
          </w:p>
        </w:tc>
        <w:tc>
          <w:tcPr>
            <w:tcW w:w="3330" w:type="dxa"/>
          </w:tcPr>
          <w:p w14:paraId="146406D5" w14:textId="07094834" w:rsidR="009B0DAE" w:rsidRPr="00BC7BB5" w:rsidRDefault="00945A1A" w:rsidP="006F464F">
            <w:pPr>
              <w:jc w:val="center"/>
              <w:rPr>
                <w:rFonts w:ascii="Times New Roman" w:hAnsi="Times New Roman" w:cs="Times New Roman"/>
              </w:rPr>
            </w:pPr>
            <w:r w:rsidRPr="00BC7BB5">
              <w:rPr>
                <w:rFonts w:ascii="Times New Roman" w:hAnsi="Times New Roman" w:cs="Times New Roman"/>
              </w:rPr>
              <w:t>11</w:t>
            </w:r>
          </w:p>
        </w:tc>
        <w:tc>
          <w:tcPr>
            <w:tcW w:w="1890" w:type="dxa"/>
          </w:tcPr>
          <w:p w14:paraId="5C66C835" w14:textId="0A239D3B" w:rsidR="009B0DAE" w:rsidRPr="00BC7BB5" w:rsidRDefault="00945A1A" w:rsidP="006F464F">
            <w:pPr>
              <w:jc w:val="center"/>
              <w:rPr>
                <w:rFonts w:ascii="Times New Roman" w:hAnsi="Times New Roman" w:cs="Times New Roman"/>
              </w:rPr>
            </w:pPr>
            <w:r w:rsidRPr="00BC7BB5">
              <w:rPr>
                <w:rFonts w:ascii="Times New Roman" w:hAnsi="Times New Roman" w:cs="Times New Roman"/>
              </w:rPr>
              <w:t>11</w:t>
            </w:r>
          </w:p>
        </w:tc>
      </w:tr>
      <w:tr w:rsidR="009B0DAE" w:rsidRPr="00BC7BB5" w14:paraId="2454A572" w14:textId="77777777" w:rsidTr="006F464F">
        <w:tc>
          <w:tcPr>
            <w:tcW w:w="4135" w:type="dxa"/>
          </w:tcPr>
          <w:p w14:paraId="31206E9A" w14:textId="77777777" w:rsidR="009B0DAE" w:rsidRPr="00BC7BB5" w:rsidRDefault="009B0DAE" w:rsidP="006F464F">
            <w:pPr>
              <w:rPr>
                <w:rFonts w:ascii="Times New Roman" w:hAnsi="Times New Roman" w:cs="Times New Roman"/>
              </w:rPr>
            </w:pPr>
            <w:r w:rsidRPr="00BC7BB5">
              <w:rPr>
                <w:rFonts w:ascii="Times New Roman" w:hAnsi="Times New Roman" w:cs="Times New Roman"/>
              </w:rPr>
              <w:t>Agriculture Information Systems</w:t>
            </w:r>
          </w:p>
        </w:tc>
        <w:tc>
          <w:tcPr>
            <w:tcW w:w="3330" w:type="dxa"/>
          </w:tcPr>
          <w:p w14:paraId="443FE762" w14:textId="1353859A" w:rsidR="009B0DAE" w:rsidRPr="00BC7BB5" w:rsidRDefault="00945A1A" w:rsidP="006F464F">
            <w:pPr>
              <w:jc w:val="center"/>
              <w:rPr>
                <w:rFonts w:ascii="Times New Roman" w:hAnsi="Times New Roman" w:cs="Times New Roman"/>
              </w:rPr>
            </w:pPr>
            <w:r w:rsidRPr="00BC7BB5">
              <w:rPr>
                <w:rFonts w:ascii="Times New Roman" w:hAnsi="Times New Roman" w:cs="Times New Roman"/>
              </w:rPr>
              <w:t>8</w:t>
            </w:r>
          </w:p>
        </w:tc>
        <w:tc>
          <w:tcPr>
            <w:tcW w:w="1890" w:type="dxa"/>
          </w:tcPr>
          <w:p w14:paraId="629C617B" w14:textId="06391C05" w:rsidR="009B0DAE" w:rsidRPr="00BC7BB5" w:rsidRDefault="00945A1A" w:rsidP="006F464F">
            <w:pPr>
              <w:jc w:val="center"/>
              <w:rPr>
                <w:rFonts w:ascii="Times New Roman" w:hAnsi="Times New Roman" w:cs="Times New Roman"/>
              </w:rPr>
            </w:pPr>
            <w:r w:rsidRPr="00BC7BB5">
              <w:rPr>
                <w:rFonts w:ascii="Times New Roman" w:hAnsi="Times New Roman" w:cs="Times New Roman"/>
              </w:rPr>
              <w:t>7</w:t>
            </w:r>
          </w:p>
        </w:tc>
      </w:tr>
      <w:tr w:rsidR="009B0DAE" w:rsidRPr="00BC7BB5" w14:paraId="56749E4A" w14:textId="77777777" w:rsidTr="006F464F">
        <w:tc>
          <w:tcPr>
            <w:tcW w:w="4135" w:type="dxa"/>
          </w:tcPr>
          <w:p w14:paraId="5E5BC042" w14:textId="77777777" w:rsidR="009B0DAE" w:rsidRPr="00BC7BB5" w:rsidRDefault="009B0DAE" w:rsidP="006F464F">
            <w:pPr>
              <w:rPr>
                <w:rFonts w:ascii="Times New Roman" w:hAnsi="Times New Roman" w:cs="Times New Roman"/>
              </w:rPr>
            </w:pPr>
            <w:r w:rsidRPr="00BC7BB5">
              <w:rPr>
                <w:rFonts w:ascii="Times New Roman" w:hAnsi="Times New Roman" w:cs="Times New Roman"/>
              </w:rPr>
              <w:t>Food Safety Standards and Certifications</w:t>
            </w:r>
          </w:p>
        </w:tc>
        <w:tc>
          <w:tcPr>
            <w:tcW w:w="3330" w:type="dxa"/>
          </w:tcPr>
          <w:p w14:paraId="00EB8683" w14:textId="57F4B2B3" w:rsidR="009B0DAE" w:rsidRPr="00BC7BB5" w:rsidRDefault="00945A1A" w:rsidP="006F464F">
            <w:pPr>
              <w:jc w:val="center"/>
              <w:rPr>
                <w:rFonts w:ascii="Times New Roman" w:hAnsi="Times New Roman" w:cs="Times New Roman"/>
              </w:rPr>
            </w:pPr>
            <w:r w:rsidRPr="00BC7BB5">
              <w:rPr>
                <w:rFonts w:ascii="Times New Roman" w:hAnsi="Times New Roman" w:cs="Times New Roman"/>
              </w:rPr>
              <w:t>11</w:t>
            </w:r>
          </w:p>
        </w:tc>
        <w:tc>
          <w:tcPr>
            <w:tcW w:w="1890" w:type="dxa"/>
          </w:tcPr>
          <w:p w14:paraId="6693FD98" w14:textId="6178506C" w:rsidR="009B0DAE" w:rsidRPr="00BC7BB5" w:rsidRDefault="00945A1A" w:rsidP="006F464F">
            <w:pPr>
              <w:jc w:val="center"/>
              <w:rPr>
                <w:rFonts w:ascii="Times New Roman" w:hAnsi="Times New Roman" w:cs="Times New Roman"/>
              </w:rPr>
            </w:pPr>
            <w:r w:rsidRPr="00BC7BB5">
              <w:rPr>
                <w:rFonts w:ascii="Times New Roman" w:hAnsi="Times New Roman" w:cs="Times New Roman"/>
              </w:rPr>
              <w:t>11</w:t>
            </w:r>
          </w:p>
        </w:tc>
      </w:tr>
      <w:tr w:rsidR="009B0DAE" w:rsidRPr="00BC7BB5" w14:paraId="40A42299" w14:textId="77777777" w:rsidTr="006F464F">
        <w:tc>
          <w:tcPr>
            <w:tcW w:w="4135" w:type="dxa"/>
          </w:tcPr>
          <w:p w14:paraId="52E95BAB" w14:textId="77777777" w:rsidR="009B0DAE" w:rsidRPr="00BC7BB5" w:rsidRDefault="009B0DAE" w:rsidP="006F464F">
            <w:pPr>
              <w:rPr>
                <w:rFonts w:ascii="Times New Roman" w:hAnsi="Times New Roman" w:cs="Times New Roman"/>
              </w:rPr>
            </w:pPr>
            <w:r w:rsidRPr="00BC7BB5">
              <w:rPr>
                <w:rFonts w:ascii="Times New Roman" w:hAnsi="Times New Roman" w:cs="Times New Roman"/>
              </w:rPr>
              <w:t>Quality Standards and Certifications</w:t>
            </w:r>
          </w:p>
        </w:tc>
        <w:tc>
          <w:tcPr>
            <w:tcW w:w="3330" w:type="dxa"/>
          </w:tcPr>
          <w:p w14:paraId="5D6E8058" w14:textId="5FB21F71" w:rsidR="009B0DAE" w:rsidRPr="00BC7BB5" w:rsidRDefault="00945A1A" w:rsidP="006F464F">
            <w:pPr>
              <w:jc w:val="center"/>
              <w:rPr>
                <w:rFonts w:ascii="Times New Roman" w:hAnsi="Times New Roman" w:cs="Times New Roman"/>
              </w:rPr>
            </w:pPr>
            <w:r w:rsidRPr="00BC7BB5">
              <w:rPr>
                <w:rFonts w:ascii="Times New Roman" w:hAnsi="Times New Roman" w:cs="Times New Roman"/>
              </w:rPr>
              <w:t>11</w:t>
            </w:r>
          </w:p>
        </w:tc>
        <w:tc>
          <w:tcPr>
            <w:tcW w:w="1890" w:type="dxa"/>
          </w:tcPr>
          <w:p w14:paraId="733E85E9" w14:textId="4F6D1495" w:rsidR="009B0DAE" w:rsidRPr="00BC7BB5" w:rsidRDefault="00945A1A" w:rsidP="006F464F">
            <w:pPr>
              <w:jc w:val="center"/>
              <w:rPr>
                <w:rFonts w:ascii="Times New Roman" w:hAnsi="Times New Roman" w:cs="Times New Roman"/>
              </w:rPr>
            </w:pPr>
            <w:r w:rsidRPr="00BC7BB5">
              <w:rPr>
                <w:rFonts w:ascii="Times New Roman" w:hAnsi="Times New Roman" w:cs="Times New Roman"/>
              </w:rPr>
              <w:t>11</w:t>
            </w:r>
          </w:p>
        </w:tc>
      </w:tr>
      <w:tr w:rsidR="009B0DAE" w:rsidRPr="00BC7BB5" w14:paraId="070056A8" w14:textId="77777777" w:rsidTr="006F464F">
        <w:tc>
          <w:tcPr>
            <w:tcW w:w="4135" w:type="dxa"/>
          </w:tcPr>
          <w:p w14:paraId="73D0113C" w14:textId="77777777" w:rsidR="009B0DAE" w:rsidRPr="00BC7BB5" w:rsidRDefault="009B0DAE" w:rsidP="006F464F">
            <w:pPr>
              <w:rPr>
                <w:rFonts w:ascii="Times New Roman" w:hAnsi="Times New Roman" w:cs="Times New Roman"/>
              </w:rPr>
            </w:pPr>
            <w:r w:rsidRPr="00BC7BB5">
              <w:rPr>
                <w:rFonts w:ascii="Times New Roman" w:hAnsi="Times New Roman" w:cs="Times New Roman"/>
              </w:rPr>
              <w:t>Agricultural Innovation Ecosystems</w:t>
            </w:r>
          </w:p>
        </w:tc>
        <w:tc>
          <w:tcPr>
            <w:tcW w:w="3330" w:type="dxa"/>
          </w:tcPr>
          <w:p w14:paraId="103219D8" w14:textId="26BB6C80" w:rsidR="009B0DAE" w:rsidRPr="00BC7BB5" w:rsidRDefault="00945A1A" w:rsidP="006F464F">
            <w:pPr>
              <w:jc w:val="center"/>
              <w:rPr>
                <w:rFonts w:ascii="Times New Roman" w:hAnsi="Times New Roman" w:cs="Times New Roman"/>
              </w:rPr>
            </w:pPr>
            <w:r w:rsidRPr="00BC7BB5">
              <w:rPr>
                <w:rFonts w:ascii="Times New Roman" w:hAnsi="Times New Roman" w:cs="Times New Roman"/>
              </w:rPr>
              <w:t>11</w:t>
            </w:r>
          </w:p>
        </w:tc>
        <w:tc>
          <w:tcPr>
            <w:tcW w:w="1890" w:type="dxa"/>
          </w:tcPr>
          <w:p w14:paraId="6D162E6F" w14:textId="7F3E3234" w:rsidR="009B0DAE" w:rsidRPr="00BC7BB5" w:rsidRDefault="00945A1A" w:rsidP="006F464F">
            <w:pPr>
              <w:jc w:val="center"/>
              <w:rPr>
                <w:rFonts w:ascii="Times New Roman" w:hAnsi="Times New Roman" w:cs="Times New Roman"/>
              </w:rPr>
            </w:pPr>
            <w:r w:rsidRPr="00BC7BB5">
              <w:rPr>
                <w:rFonts w:ascii="Times New Roman" w:hAnsi="Times New Roman" w:cs="Times New Roman"/>
              </w:rPr>
              <w:t>11</w:t>
            </w:r>
          </w:p>
        </w:tc>
      </w:tr>
      <w:tr w:rsidR="009B0DAE" w:rsidRPr="00BC7BB5" w14:paraId="587E7E18" w14:textId="77777777" w:rsidTr="006F464F">
        <w:tc>
          <w:tcPr>
            <w:tcW w:w="4135" w:type="dxa"/>
          </w:tcPr>
          <w:p w14:paraId="33092819" w14:textId="77777777" w:rsidR="009B0DAE" w:rsidRPr="00BC7BB5" w:rsidRDefault="009B0DAE" w:rsidP="006F464F">
            <w:pPr>
              <w:rPr>
                <w:rFonts w:ascii="Times New Roman" w:hAnsi="Times New Roman" w:cs="Times New Roman"/>
              </w:rPr>
            </w:pPr>
            <w:r w:rsidRPr="00BC7BB5">
              <w:rPr>
                <w:rFonts w:ascii="Times New Roman" w:hAnsi="Times New Roman" w:cs="Times New Roman"/>
              </w:rPr>
              <w:t xml:space="preserve">M&amp;E </w:t>
            </w:r>
          </w:p>
        </w:tc>
        <w:tc>
          <w:tcPr>
            <w:tcW w:w="3330" w:type="dxa"/>
          </w:tcPr>
          <w:p w14:paraId="01542259" w14:textId="1018EE94" w:rsidR="009B0DAE" w:rsidRPr="00BC7BB5" w:rsidRDefault="00945A1A" w:rsidP="006F464F">
            <w:pPr>
              <w:jc w:val="center"/>
              <w:rPr>
                <w:rFonts w:ascii="Times New Roman" w:hAnsi="Times New Roman" w:cs="Times New Roman"/>
              </w:rPr>
            </w:pPr>
            <w:r w:rsidRPr="00BC7BB5">
              <w:rPr>
                <w:rFonts w:ascii="Times New Roman" w:hAnsi="Times New Roman" w:cs="Times New Roman"/>
              </w:rPr>
              <w:t>11</w:t>
            </w:r>
          </w:p>
        </w:tc>
        <w:tc>
          <w:tcPr>
            <w:tcW w:w="1890" w:type="dxa"/>
          </w:tcPr>
          <w:p w14:paraId="13B66CF4" w14:textId="278556A5" w:rsidR="009B0DAE" w:rsidRPr="00BC7BB5" w:rsidRDefault="00945A1A" w:rsidP="006F464F">
            <w:pPr>
              <w:jc w:val="center"/>
              <w:rPr>
                <w:rFonts w:ascii="Times New Roman" w:hAnsi="Times New Roman" w:cs="Times New Roman"/>
              </w:rPr>
            </w:pPr>
            <w:r w:rsidRPr="00BC7BB5">
              <w:rPr>
                <w:rFonts w:ascii="Times New Roman" w:hAnsi="Times New Roman" w:cs="Times New Roman"/>
              </w:rPr>
              <w:t>5</w:t>
            </w:r>
          </w:p>
        </w:tc>
      </w:tr>
      <w:tr w:rsidR="009B0DAE" w:rsidRPr="00BC7BB5" w14:paraId="66558E4C" w14:textId="77777777" w:rsidTr="006F464F">
        <w:tc>
          <w:tcPr>
            <w:tcW w:w="4135" w:type="dxa"/>
          </w:tcPr>
          <w:p w14:paraId="07B83F91" w14:textId="77777777" w:rsidR="009B0DAE" w:rsidRPr="00BC7BB5" w:rsidRDefault="009B0DAE" w:rsidP="006F464F">
            <w:pPr>
              <w:rPr>
                <w:rFonts w:ascii="Times New Roman" w:hAnsi="Times New Roman" w:cs="Times New Roman"/>
              </w:rPr>
            </w:pPr>
            <w:r w:rsidRPr="00BC7BB5">
              <w:rPr>
                <w:rFonts w:ascii="Times New Roman" w:hAnsi="Times New Roman" w:cs="Times New Roman"/>
              </w:rPr>
              <w:t>Procurement, FM, and Governance</w:t>
            </w:r>
          </w:p>
        </w:tc>
        <w:tc>
          <w:tcPr>
            <w:tcW w:w="3330" w:type="dxa"/>
          </w:tcPr>
          <w:p w14:paraId="426B5B91" w14:textId="4159B83B" w:rsidR="009B0DAE" w:rsidRPr="00BC7BB5" w:rsidRDefault="00945A1A" w:rsidP="006F464F">
            <w:pPr>
              <w:jc w:val="center"/>
              <w:rPr>
                <w:rFonts w:ascii="Times New Roman" w:hAnsi="Times New Roman" w:cs="Times New Roman"/>
              </w:rPr>
            </w:pPr>
            <w:r w:rsidRPr="00BC7BB5">
              <w:rPr>
                <w:rFonts w:ascii="Times New Roman" w:hAnsi="Times New Roman" w:cs="Times New Roman"/>
              </w:rPr>
              <w:t>11</w:t>
            </w:r>
          </w:p>
        </w:tc>
        <w:tc>
          <w:tcPr>
            <w:tcW w:w="1890" w:type="dxa"/>
          </w:tcPr>
          <w:p w14:paraId="2BA4A4DD" w14:textId="77777777" w:rsidR="009B0DAE" w:rsidRPr="00BC7BB5" w:rsidRDefault="009B0DAE" w:rsidP="006F464F">
            <w:pPr>
              <w:jc w:val="center"/>
              <w:rPr>
                <w:rFonts w:ascii="Times New Roman" w:hAnsi="Times New Roman" w:cs="Times New Roman"/>
              </w:rPr>
            </w:pPr>
            <w:r w:rsidRPr="00BC7BB5">
              <w:rPr>
                <w:rFonts w:ascii="Times New Roman" w:hAnsi="Times New Roman" w:cs="Times New Roman"/>
              </w:rPr>
              <w:t>0</w:t>
            </w:r>
          </w:p>
        </w:tc>
      </w:tr>
      <w:tr w:rsidR="009B0DAE" w:rsidRPr="00BC7BB5" w14:paraId="6BCABA44" w14:textId="77777777" w:rsidTr="006F464F">
        <w:tc>
          <w:tcPr>
            <w:tcW w:w="4135" w:type="dxa"/>
          </w:tcPr>
          <w:p w14:paraId="7B40D58B" w14:textId="77777777" w:rsidR="009B0DAE" w:rsidRPr="00BC7BB5" w:rsidRDefault="009B0DAE" w:rsidP="006F464F">
            <w:pPr>
              <w:rPr>
                <w:rFonts w:ascii="Times New Roman" w:hAnsi="Times New Roman" w:cs="Times New Roman"/>
              </w:rPr>
            </w:pPr>
            <w:r w:rsidRPr="00BC7BB5">
              <w:rPr>
                <w:rFonts w:ascii="Times New Roman" w:hAnsi="Times New Roman" w:cs="Times New Roman"/>
              </w:rPr>
              <w:t>Environmental and Social Management</w:t>
            </w:r>
          </w:p>
        </w:tc>
        <w:tc>
          <w:tcPr>
            <w:tcW w:w="3330" w:type="dxa"/>
          </w:tcPr>
          <w:p w14:paraId="014D30D5" w14:textId="29FD836E" w:rsidR="009B0DAE" w:rsidRPr="00BC7BB5" w:rsidRDefault="00945A1A" w:rsidP="006F464F">
            <w:pPr>
              <w:jc w:val="center"/>
              <w:rPr>
                <w:rFonts w:ascii="Times New Roman" w:hAnsi="Times New Roman" w:cs="Times New Roman"/>
              </w:rPr>
            </w:pPr>
            <w:r w:rsidRPr="00BC7BB5">
              <w:rPr>
                <w:rFonts w:ascii="Times New Roman" w:hAnsi="Times New Roman" w:cs="Times New Roman"/>
              </w:rPr>
              <w:t>10</w:t>
            </w:r>
          </w:p>
        </w:tc>
        <w:tc>
          <w:tcPr>
            <w:tcW w:w="1890" w:type="dxa"/>
          </w:tcPr>
          <w:p w14:paraId="09570E42" w14:textId="7DA7DE2F" w:rsidR="009B0DAE" w:rsidRPr="00BC7BB5" w:rsidRDefault="00945A1A" w:rsidP="006F464F">
            <w:pPr>
              <w:jc w:val="center"/>
              <w:rPr>
                <w:rFonts w:ascii="Times New Roman" w:hAnsi="Times New Roman" w:cs="Times New Roman"/>
              </w:rPr>
            </w:pPr>
            <w:r w:rsidRPr="00BC7BB5">
              <w:rPr>
                <w:rFonts w:ascii="Times New Roman" w:hAnsi="Times New Roman" w:cs="Times New Roman"/>
              </w:rPr>
              <w:t>5</w:t>
            </w:r>
          </w:p>
        </w:tc>
      </w:tr>
      <w:tr w:rsidR="009B0DAE" w:rsidRPr="00BC7BB5" w14:paraId="42312876" w14:textId="77777777" w:rsidTr="006F464F">
        <w:tc>
          <w:tcPr>
            <w:tcW w:w="4135" w:type="dxa"/>
          </w:tcPr>
          <w:p w14:paraId="5B58A233" w14:textId="77777777" w:rsidR="009B0DAE" w:rsidRPr="00BC7BB5" w:rsidRDefault="009B0DAE" w:rsidP="006F464F">
            <w:pPr>
              <w:rPr>
                <w:rFonts w:ascii="Times New Roman" w:hAnsi="Times New Roman" w:cs="Times New Roman"/>
              </w:rPr>
            </w:pPr>
            <w:r w:rsidRPr="00BC7BB5">
              <w:rPr>
                <w:rFonts w:ascii="Times New Roman" w:hAnsi="Times New Roman" w:cs="Times New Roman"/>
              </w:rPr>
              <w:t>Legal</w:t>
            </w:r>
          </w:p>
        </w:tc>
        <w:tc>
          <w:tcPr>
            <w:tcW w:w="3330" w:type="dxa"/>
          </w:tcPr>
          <w:p w14:paraId="72535883" w14:textId="50F7AFE1" w:rsidR="009B0DAE" w:rsidRPr="00BC7BB5" w:rsidRDefault="009E6786" w:rsidP="006F464F">
            <w:pPr>
              <w:jc w:val="center"/>
              <w:rPr>
                <w:rFonts w:ascii="Times New Roman" w:hAnsi="Times New Roman" w:cs="Times New Roman"/>
              </w:rPr>
            </w:pPr>
            <w:r w:rsidRPr="00BC7BB5">
              <w:rPr>
                <w:rFonts w:ascii="Times New Roman" w:hAnsi="Times New Roman" w:cs="Times New Roman"/>
              </w:rPr>
              <w:t>1</w:t>
            </w:r>
          </w:p>
        </w:tc>
        <w:tc>
          <w:tcPr>
            <w:tcW w:w="1890" w:type="dxa"/>
          </w:tcPr>
          <w:p w14:paraId="02779F91" w14:textId="77777777" w:rsidR="009B0DAE" w:rsidRPr="00BC7BB5" w:rsidRDefault="009B0DAE" w:rsidP="006F464F">
            <w:pPr>
              <w:jc w:val="center"/>
              <w:rPr>
                <w:rFonts w:ascii="Times New Roman" w:hAnsi="Times New Roman" w:cs="Times New Roman"/>
              </w:rPr>
            </w:pPr>
            <w:r w:rsidRPr="00BC7BB5">
              <w:rPr>
                <w:rFonts w:ascii="Times New Roman" w:hAnsi="Times New Roman" w:cs="Times New Roman"/>
              </w:rPr>
              <w:t>0</w:t>
            </w:r>
          </w:p>
        </w:tc>
      </w:tr>
    </w:tbl>
    <w:p w14:paraId="72EA05D7" w14:textId="77777777" w:rsidR="009B0DAE" w:rsidRPr="00BC7BB5" w:rsidRDefault="009B0DAE" w:rsidP="009B0DAE">
      <w:pPr>
        <w:rPr>
          <w:rFonts w:ascii="Times New Roman" w:hAnsi="Times New Roman" w:cs="Times New Roman"/>
          <w:b/>
        </w:rPr>
      </w:pPr>
    </w:p>
    <w:p w14:paraId="16EF0B2F" w14:textId="70D9EBA2" w:rsidR="009B0DAE" w:rsidRPr="00BC7BB5" w:rsidRDefault="009B0DAE" w:rsidP="00161D90">
      <w:pPr>
        <w:jc w:val="center"/>
        <w:rPr>
          <w:rFonts w:ascii="Times New Roman" w:hAnsi="Times New Roman" w:cs="Times New Roman"/>
          <w:b/>
        </w:rPr>
      </w:pPr>
      <w:r w:rsidRPr="00BC7BB5">
        <w:rPr>
          <w:rFonts w:ascii="Times New Roman" w:hAnsi="Times New Roman" w:cs="Times New Roman"/>
          <w:b/>
        </w:rPr>
        <w:t>Table</w:t>
      </w:r>
      <w:r w:rsidR="000A2644" w:rsidRPr="00BC7BB5">
        <w:rPr>
          <w:rFonts w:ascii="Times New Roman" w:hAnsi="Times New Roman" w:cs="Times New Roman"/>
          <w:b/>
        </w:rPr>
        <w:t xml:space="preserve"> A</w:t>
      </w:r>
      <w:r w:rsidR="00161D90" w:rsidRPr="00BC7BB5">
        <w:rPr>
          <w:rFonts w:ascii="Times New Roman" w:hAnsi="Times New Roman" w:cs="Times New Roman"/>
          <w:b/>
        </w:rPr>
        <w:t>9.3</w:t>
      </w:r>
      <w:r w:rsidRPr="00BC7BB5">
        <w:rPr>
          <w:rFonts w:ascii="Times New Roman" w:hAnsi="Times New Roman" w:cs="Times New Roman"/>
          <w:b/>
        </w:rPr>
        <w:t xml:space="preserve"> Role of Development Partners in Program Implementation</w:t>
      </w:r>
    </w:p>
    <w:tbl>
      <w:tblPr>
        <w:tblStyle w:val="TableGrid"/>
        <w:tblW w:w="0" w:type="auto"/>
        <w:tblLook w:val="04A0" w:firstRow="1" w:lastRow="0" w:firstColumn="1" w:lastColumn="0" w:noHBand="0" w:noVBand="1"/>
      </w:tblPr>
      <w:tblGrid>
        <w:gridCol w:w="3505"/>
        <w:gridCol w:w="5845"/>
      </w:tblGrid>
      <w:tr w:rsidR="009B0DAE" w:rsidRPr="00BC7BB5" w14:paraId="3AAEF75D" w14:textId="77777777" w:rsidTr="002064CF">
        <w:tc>
          <w:tcPr>
            <w:tcW w:w="3505" w:type="dxa"/>
          </w:tcPr>
          <w:p w14:paraId="6B8CCA23" w14:textId="77777777" w:rsidR="009B0DAE" w:rsidRPr="00BC7BB5" w:rsidRDefault="009B0DAE" w:rsidP="006F464F">
            <w:pPr>
              <w:jc w:val="center"/>
              <w:rPr>
                <w:rFonts w:ascii="Times New Roman" w:hAnsi="Times New Roman" w:cs="Times New Roman"/>
                <w:b/>
                <w:i/>
              </w:rPr>
            </w:pPr>
            <w:r w:rsidRPr="00BC7BB5">
              <w:rPr>
                <w:rFonts w:ascii="Times New Roman" w:hAnsi="Times New Roman" w:cs="Times New Roman"/>
                <w:b/>
                <w:i/>
              </w:rPr>
              <w:t>Name</w:t>
            </w:r>
          </w:p>
        </w:tc>
        <w:tc>
          <w:tcPr>
            <w:tcW w:w="5845" w:type="dxa"/>
          </w:tcPr>
          <w:p w14:paraId="1333862C" w14:textId="77777777" w:rsidR="009B0DAE" w:rsidRPr="00BC7BB5" w:rsidRDefault="009B0DAE" w:rsidP="006F464F">
            <w:pPr>
              <w:jc w:val="center"/>
              <w:rPr>
                <w:rFonts w:ascii="Times New Roman" w:hAnsi="Times New Roman" w:cs="Times New Roman"/>
                <w:b/>
                <w:i/>
              </w:rPr>
            </w:pPr>
            <w:r w:rsidRPr="00BC7BB5">
              <w:rPr>
                <w:rFonts w:ascii="Times New Roman" w:hAnsi="Times New Roman" w:cs="Times New Roman"/>
                <w:b/>
                <w:i/>
              </w:rPr>
              <w:t>Role</w:t>
            </w:r>
          </w:p>
        </w:tc>
      </w:tr>
      <w:tr w:rsidR="009B0DAE" w:rsidRPr="00BC7BB5" w14:paraId="76658539" w14:textId="77777777" w:rsidTr="002064CF">
        <w:tc>
          <w:tcPr>
            <w:tcW w:w="3505" w:type="dxa"/>
          </w:tcPr>
          <w:p w14:paraId="65547928" w14:textId="77777777" w:rsidR="009B0DAE" w:rsidRPr="00BC7BB5" w:rsidRDefault="009B0DAE" w:rsidP="006F464F">
            <w:pPr>
              <w:rPr>
                <w:rFonts w:ascii="Times New Roman" w:hAnsi="Times New Roman" w:cs="Times New Roman"/>
              </w:rPr>
            </w:pPr>
            <w:r w:rsidRPr="00BC7BB5">
              <w:rPr>
                <w:rFonts w:ascii="Times New Roman" w:hAnsi="Times New Roman" w:cs="Times New Roman"/>
              </w:rPr>
              <w:t>FAO</w:t>
            </w:r>
          </w:p>
        </w:tc>
        <w:tc>
          <w:tcPr>
            <w:tcW w:w="5845" w:type="dxa"/>
          </w:tcPr>
          <w:p w14:paraId="74B8F395" w14:textId="77777777" w:rsidR="009B0DAE" w:rsidRPr="00BC7BB5" w:rsidRDefault="009B0DAE" w:rsidP="006F464F">
            <w:pPr>
              <w:jc w:val="both"/>
              <w:rPr>
                <w:rFonts w:ascii="Times New Roman" w:hAnsi="Times New Roman" w:cs="Times New Roman"/>
              </w:rPr>
            </w:pPr>
            <w:r w:rsidRPr="00BC7BB5">
              <w:rPr>
                <w:rFonts w:ascii="Times New Roman" w:hAnsi="Times New Roman" w:cs="Times New Roman"/>
              </w:rPr>
              <w:t xml:space="preserve">Mobilize technical specialists through WB-FAO Cooperative Program to participate in implementation support </w:t>
            </w:r>
          </w:p>
        </w:tc>
      </w:tr>
    </w:tbl>
    <w:p w14:paraId="3F94507D" w14:textId="2EBE8A88" w:rsidR="00F73895" w:rsidRDefault="00F73895" w:rsidP="00E27A43">
      <w:pPr>
        <w:pStyle w:val="NoSpacing"/>
        <w:ind w:left="360"/>
        <w:rPr>
          <w:rFonts w:ascii="Times New Roman" w:hAnsi="Times New Roman" w:cs="Times New Roman"/>
        </w:rPr>
      </w:pPr>
    </w:p>
    <w:p w14:paraId="022024AD" w14:textId="0E97C57E" w:rsidR="00DD65B1" w:rsidRPr="00BC7BB5" w:rsidRDefault="00DD65B1" w:rsidP="00E27A43">
      <w:pPr>
        <w:pStyle w:val="NoSpacing"/>
        <w:ind w:left="360"/>
        <w:rPr>
          <w:rFonts w:ascii="Times New Roman" w:hAnsi="Times New Roman" w:cs="Times New Roman"/>
        </w:rPr>
      </w:pPr>
    </w:p>
    <w:sectPr w:rsidR="00DD65B1" w:rsidRPr="00BC7BB5" w:rsidSect="00DD65B1">
      <w:type w:val="continuous"/>
      <w:pgSz w:w="12240" w:h="15840"/>
      <w:pgMar w:top="1440" w:right="1440" w:bottom="1440" w:left="1440" w:header="720" w:footer="720" w:gutter="0"/>
      <w:pgNumType w:chapStyle="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8652DA" w14:textId="77777777" w:rsidR="00F8126C" w:rsidRDefault="00F8126C" w:rsidP="00A7596D">
      <w:pPr>
        <w:spacing w:after="0" w:line="240" w:lineRule="auto"/>
      </w:pPr>
      <w:r>
        <w:separator/>
      </w:r>
    </w:p>
  </w:endnote>
  <w:endnote w:type="continuationSeparator" w:id="0">
    <w:p w14:paraId="3824A91F" w14:textId="77777777" w:rsidR="00F8126C" w:rsidRDefault="00F8126C" w:rsidP="00A759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Bold">
    <w:altName w:val="Times New Roman"/>
    <w:panose1 w:val="02020803070505020304"/>
    <w:charset w:val="00"/>
    <w:family w:val="auto"/>
    <w:pitch w:val="variable"/>
    <w:sig w:usb0="00000000" w:usb1="C0007841"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ヒラギノ角ゴ Pro W3">
    <w:charset w:val="80"/>
    <w:family w:val="auto"/>
    <w:pitch w:val="variable"/>
    <w:sig w:usb0="E00002FF" w:usb1="7AC7FFFF" w:usb2="00000012" w:usb3="00000000" w:csb0="0002000D" w:csb1="00000000"/>
  </w:font>
  <w:font w:name="Minion-Regular">
    <w:altName w:val="Yu Gothic"/>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35523997"/>
      <w:docPartObj>
        <w:docPartGallery w:val="Page Numbers (Bottom of Page)"/>
        <w:docPartUnique/>
      </w:docPartObj>
    </w:sdtPr>
    <w:sdtEndPr/>
    <w:sdtContent>
      <w:p w14:paraId="53B2A4E8" w14:textId="7014D7EF" w:rsidR="00A677A0" w:rsidRDefault="00F8126C">
        <w:pPr>
          <w:pStyle w:val="Footer"/>
          <w:jc w:val="center"/>
        </w:pPr>
      </w:p>
    </w:sdtContent>
  </w:sdt>
  <w:p w14:paraId="53B2A4E9" w14:textId="77777777" w:rsidR="00A677A0" w:rsidRDefault="00A677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rPr>
      <w:id w:val="1336965030"/>
      <w:docPartObj>
        <w:docPartGallery w:val="Page Numbers (Bottom of Page)"/>
        <w:docPartUnique/>
      </w:docPartObj>
    </w:sdtPr>
    <w:sdtEndPr/>
    <w:sdtContent>
      <w:p w14:paraId="2ED7D872" w14:textId="543D0104" w:rsidR="00A677A0" w:rsidRPr="00FE6D62" w:rsidRDefault="00A677A0">
        <w:pPr>
          <w:pStyle w:val="Footer"/>
          <w:jc w:val="center"/>
          <w:rPr>
            <w:rFonts w:ascii="Times New Roman" w:hAnsi="Times New Roman" w:cs="Times New Roman"/>
          </w:rPr>
        </w:pPr>
        <w:r w:rsidRPr="00FE6D62">
          <w:rPr>
            <w:rFonts w:ascii="Times New Roman" w:hAnsi="Times New Roman" w:cs="Times New Roman"/>
          </w:rPr>
          <w:fldChar w:fldCharType="begin"/>
        </w:r>
        <w:r w:rsidRPr="00FE6D62">
          <w:rPr>
            <w:rFonts w:ascii="Times New Roman" w:hAnsi="Times New Roman" w:cs="Times New Roman"/>
          </w:rPr>
          <w:instrText xml:space="preserve"> PAGE   \* MERGEFORMAT </w:instrText>
        </w:r>
        <w:r w:rsidRPr="00FE6D62">
          <w:rPr>
            <w:rFonts w:ascii="Times New Roman" w:hAnsi="Times New Roman" w:cs="Times New Roman"/>
          </w:rPr>
          <w:fldChar w:fldCharType="separate"/>
        </w:r>
        <w:r w:rsidR="00195D56">
          <w:rPr>
            <w:rFonts w:ascii="Times New Roman" w:hAnsi="Times New Roman" w:cs="Times New Roman"/>
            <w:noProof/>
          </w:rPr>
          <w:t>i</w:t>
        </w:r>
        <w:r w:rsidRPr="00FE6D62">
          <w:rPr>
            <w:rFonts w:ascii="Times New Roman" w:hAnsi="Times New Roman" w:cs="Times New Roman"/>
            <w:noProof/>
          </w:rPr>
          <w:fldChar w:fldCharType="end"/>
        </w:r>
      </w:p>
    </w:sdtContent>
  </w:sdt>
  <w:p w14:paraId="29975BCA" w14:textId="77777777" w:rsidR="00A677A0" w:rsidRDefault="00A677A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B2A379" w14:textId="77777777" w:rsidR="00A677A0" w:rsidRDefault="00A677A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15B0C" w14:textId="77777777" w:rsidR="00A677A0" w:rsidRDefault="00A677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DD6F65" w14:textId="77777777" w:rsidR="00F8126C" w:rsidRDefault="00F8126C" w:rsidP="00A7596D">
      <w:pPr>
        <w:spacing w:after="0" w:line="240" w:lineRule="auto"/>
      </w:pPr>
      <w:r>
        <w:separator/>
      </w:r>
    </w:p>
  </w:footnote>
  <w:footnote w:type="continuationSeparator" w:id="0">
    <w:p w14:paraId="54CFA91C" w14:textId="77777777" w:rsidR="00F8126C" w:rsidRDefault="00F8126C" w:rsidP="00A7596D">
      <w:pPr>
        <w:spacing w:after="0" w:line="240" w:lineRule="auto"/>
      </w:pPr>
      <w:r>
        <w:continuationSeparator/>
      </w:r>
    </w:p>
  </w:footnote>
  <w:footnote w:id="1">
    <w:p w14:paraId="097080FD" w14:textId="081B3301" w:rsidR="00A677A0" w:rsidRPr="00B57FB1" w:rsidRDefault="00A677A0" w:rsidP="00B57FB1">
      <w:pPr>
        <w:pStyle w:val="FootnoteText"/>
        <w:jc w:val="both"/>
        <w:rPr>
          <w:rFonts w:cs="Times New Roman"/>
          <w:sz w:val="18"/>
          <w:szCs w:val="18"/>
        </w:rPr>
      </w:pPr>
      <w:r w:rsidRPr="00B57FB1">
        <w:rPr>
          <w:rStyle w:val="FootnoteReference"/>
          <w:rFonts w:cs="Times New Roman"/>
          <w:sz w:val="18"/>
          <w:szCs w:val="18"/>
        </w:rPr>
        <w:footnoteRef/>
      </w:r>
      <w:r w:rsidRPr="00B57FB1">
        <w:rPr>
          <w:rFonts w:cs="Times New Roman"/>
          <w:sz w:val="18"/>
          <w:szCs w:val="18"/>
        </w:rPr>
        <w:t xml:space="preserve"> This compares to 65 percent in Tunisia and Egypt, 70 percent in Greece and 45 percent in Spain.</w:t>
      </w:r>
    </w:p>
  </w:footnote>
  <w:footnote w:id="2">
    <w:p w14:paraId="3C111DB0" w14:textId="2E480B1F" w:rsidR="00A677A0" w:rsidRPr="00B57FB1" w:rsidRDefault="00A677A0" w:rsidP="00B57FB1">
      <w:pPr>
        <w:pStyle w:val="FootnoteText"/>
        <w:jc w:val="both"/>
        <w:rPr>
          <w:rFonts w:cs="Times New Roman"/>
          <w:sz w:val="18"/>
          <w:szCs w:val="18"/>
        </w:rPr>
      </w:pPr>
      <w:r w:rsidRPr="00B57FB1">
        <w:rPr>
          <w:rStyle w:val="FootnoteReference"/>
          <w:rFonts w:cs="Times New Roman"/>
          <w:sz w:val="18"/>
          <w:szCs w:val="18"/>
        </w:rPr>
        <w:footnoteRef/>
      </w:r>
      <w:r w:rsidRPr="00B57FB1">
        <w:rPr>
          <w:rFonts w:cs="Times New Roman"/>
          <w:sz w:val="18"/>
          <w:szCs w:val="18"/>
        </w:rPr>
        <w:t xml:space="preserve"> World Bank</w:t>
      </w:r>
      <w:r>
        <w:rPr>
          <w:rFonts w:cs="Times New Roman"/>
          <w:sz w:val="18"/>
          <w:szCs w:val="18"/>
        </w:rPr>
        <w:t>.</w:t>
      </w:r>
      <w:r w:rsidRPr="00B57FB1">
        <w:rPr>
          <w:rFonts w:cs="Times New Roman"/>
          <w:sz w:val="18"/>
          <w:szCs w:val="18"/>
        </w:rPr>
        <w:t xml:space="preserve"> Inclusive agricultural growth in Morocco – A </w:t>
      </w:r>
      <w:r>
        <w:rPr>
          <w:rFonts w:cs="Times New Roman"/>
          <w:sz w:val="18"/>
          <w:szCs w:val="18"/>
        </w:rPr>
        <w:t>D</w:t>
      </w:r>
      <w:r w:rsidRPr="00B57FB1">
        <w:rPr>
          <w:rFonts w:cs="Times New Roman"/>
          <w:sz w:val="18"/>
          <w:szCs w:val="18"/>
        </w:rPr>
        <w:t xml:space="preserve">eep </w:t>
      </w:r>
      <w:r>
        <w:rPr>
          <w:rFonts w:cs="Times New Roman"/>
          <w:sz w:val="18"/>
          <w:szCs w:val="18"/>
        </w:rPr>
        <w:t>D</w:t>
      </w:r>
      <w:r w:rsidRPr="00B57FB1">
        <w:rPr>
          <w:rFonts w:cs="Times New Roman"/>
          <w:sz w:val="18"/>
          <w:szCs w:val="18"/>
        </w:rPr>
        <w:t xml:space="preserve">ive into the </w:t>
      </w:r>
      <w:r>
        <w:rPr>
          <w:rFonts w:cs="Times New Roman"/>
          <w:sz w:val="18"/>
          <w:szCs w:val="18"/>
        </w:rPr>
        <w:t>C</w:t>
      </w:r>
      <w:r w:rsidRPr="00B57FB1">
        <w:rPr>
          <w:rFonts w:cs="Times New Roman"/>
          <w:sz w:val="18"/>
          <w:szCs w:val="18"/>
        </w:rPr>
        <w:t xml:space="preserve">itrus and </w:t>
      </w:r>
      <w:r>
        <w:rPr>
          <w:rFonts w:cs="Times New Roman"/>
          <w:sz w:val="18"/>
          <w:szCs w:val="18"/>
        </w:rPr>
        <w:t>O</w:t>
      </w:r>
      <w:r w:rsidRPr="00B57FB1">
        <w:rPr>
          <w:rFonts w:cs="Times New Roman"/>
          <w:sz w:val="18"/>
          <w:szCs w:val="18"/>
        </w:rPr>
        <w:t xml:space="preserve">live </w:t>
      </w:r>
      <w:r>
        <w:rPr>
          <w:rFonts w:cs="Times New Roman"/>
          <w:sz w:val="18"/>
          <w:szCs w:val="18"/>
        </w:rPr>
        <w:t>V</w:t>
      </w:r>
      <w:r w:rsidRPr="00B57FB1">
        <w:rPr>
          <w:rFonts w:cs="Times New Roman"/>
          <w:sz w:val="18"/>
          <w:szCs w:val="18"/>
        </w:rPr>
        <w:t>alue-</w:t>
      </w:r>
      <w:r>
        <w:rPr>
          <w:rFonts w:cs="Times New Roman"/>
          <w:sz w:val="18"/>
          <w:szCs w:val="18"/>
        </w:rPr>
        <w:t>C</w:t>
      </w:r>
      <w:r w:rsidRPr="00B57FB1">
        <w:rPr>
          <w:rFonts w:cs="Times New Roman"/>
          <w:sz w:val="18"/>
          <w:szCs w:val="18"/>
        </w:rPr>
        <w:t>hains</w:t>
      </w:r>
      <w:r>
        <w:rPr>
          <w:rFonts w:cs="Times New Roman"/>
          <w:sz w:val="18"/>
          <w:szCs w:val="18"/>
        </w:rPr>
        <w:t>. June 2017.</w:t>
      </w:r>
    </w:p>
  </w:footnote>
  <w:footnote w:id="3">
    <w:p w14:paraId="7308F833" w14:textId="77777777" w:rsidR="00A677A0" w:rsidRPr="00B57FB1" w:rsidRDefault="00A677A0" w:rsidP="00B57FB1">
      <w:pPr>
        <w:pStyle w:val="FootnoteText"/>
        <w:jc w:val="both"/>
        <w:rPr>
          <w:rFonts w:cs="Times New Roman"/>
          <w:sz w:val="18"/>
          <w:szCs w:val="18"/>
        </w:rPr>
      </w:pPr>
      <w:r w:rsidRPr="00B57FB1">
        <w:rPr>
          <w:rStyle w:val="FootnoteReference"/>
          <w:rFonts w:cs="Times New Roman"/>
          <w:sz w:val="18"/>
          <w:szCs w:val="18"/>
        </w:rPr>
        <w:footnoteRef/>
      </w:r>
      <w:r w:rsidRPr="00B57FB1">
        <w:rPr>
          <w:rFonts w:cs="Times New Roman"/>
          <w:sz w:val="18"/>
          <w:szCs w:val="18"/>
        </w:rPr>
        <w:t xml:space="preserve"> For example, the 1994/95 drought caused agricultural GDP to fall by 45 percent and total GDP to fall by 8 percent.</w:t>
      </w:r>
    </w:p>
  </w:footnote>
  <w:footnote w:id="4">
    <w:p w14:paraId="3A26B516" w14:textId="3FC8A9C9" w:rsidR="00A677A0" w:rsidRPr="00C37850" w:rsidRDefault="00A677A0" w:rsidP="00B57FB1">
      <w:pPr>
        <w:pStyle w:val="FootnoteText"/>
        <w:jc w:val="both"/>
        <w:rPr>
          <w:rFonts w:cs="Times New Roman"/>
          <w:sz w:val="18"/>
          <w:szCs w:val="18"/>
          <w:lang w:val="fr-FR"/>
        </w:rPr>
      </w:pPr>
      <w:r w:rsidRPr="00B57FB1">
        <w:rPr>
          <w:rStyle w:val="FootnoteReference"/>
          <w:rFonts w:cs="Times New Roman"/>
          <w:sz w:val="18"/>
          <w:szCs w:val="18"/>
        </w:rPr>
        <w:footnoteRef/>
      </w:r>
      <w:r w:rsidRPr="00B57FB1">
        <w:rPr>
          <w:rFonts w:cs="Times New Roman"/>
          <w:sz w:val="18"/>
          <w:szCs w:val="18"/>
        </w:rPr>
        <w:t xml:space="preserve"> World Bank</w:t>
      </w:r>
      <w:r>
        <w:rPr>
          <w:rFonts w:cs="Times New Roman"/>
          <w:sz w:val="18"/>
          <w:szCs w:val="18"/>
        </w:rPr>
        <w:t>.</w:t>
      </w:r>
      <w:r w:rsidRPr="00B57FB1">
        <w:rPr>
          <w:rFonts w:cs="Times New Roman"/>
          <w:sz w:val="18"/>
          <w:szCs w:val="18"/>
        </w:rPr>
        <w:t xml:space="preserve"> Morocco study on the impact of climate change on the agricultural sector</w:t>
      </w:r>
      <w:r>
        <w:rPr>
          <w:rFonts w:cs="Times New Roman"/>
          <w:sz w:val="18"/>
          <w:szCs w:val="18"/>
        </w:rPr>
        <w:t>.</w:t>
      </w:r>
      <w:r w:rsidRPr="00B57FB1">
        <w:rPr>
          <w:rFonts w:cs="Times New Roman"/>
          <w:sz w:val="18"/>
          <w:szCs w:val="18"/>
        </w:rPr>
        <w:t xml:space="preserve"> </w:t>
      </w:r>
      <w:r w:rsidRPr="00C37850">
        <w:rPr>
          <w:rFonts w:cs="Times New Roman"/>
          <w:sz w:val="18"/>
          <w:szCs w:val="18"/>
          <w:lang w:val="fr-FR"/>
        </w:rPr>
        <w:t>2009.</w:t>
      </w:r>
    </w:p>
  </w:footnote>
  <w:footnote w:id="5">
    <w:p w14:paraId="59D22F15" w14:textId="77777777" w:rsidR="00A677A0" w:rsidRPr="00C37850" w:rsidRDefault="00A677A0" w:rsidP="00B57FB1">
      <w:pPr>
        <w:pStyle w:val="FootnoteText"/>
        <w:jc w:val="both"/>
        <w:rPr>
          <w:rFonts w:cs="Times New Roman"/>
          <w:sz w:val="18"/>
          <w:szCs w:val="18"/>
          <w:lang w:val="fr-FR"/>
        </w:rPr>
      </w:pPr>
      <w:r w:rsidRPr="00B57FB1">
        <w:rPr>
          <w:rStyle w:val="FootnoteReference"/>
          <w:rFonts w:cs="Times New Roman"/>
          <w:sz w:val="18"/>
          <w:szCs w:val="18"/>
        </w:rPr>
        <w:footnoteRef/>
      </w:r>
      <w:r w:rsidRPr="00C37850">
        <w:rPr>
          <w:rFonts w:cs="Times New Roman"/>
          <w:sz w:val="18"/>
          <w:szCs w:val="18"/>
          <w:lang w:val="fr-FR"/>
        </w:rPr>
        <w:t xml:space="preserve"> Ministry of Industry database, 2013</w:t>
      </w:r>
    </w:p>
  </w:footnote>
  <w:footnote w:id="6">
    <w:p w14:paraId="6F650E58" w14:textId="77777777" w:rsidR="00A677A0" w:rsidRPr="00C37850" w:rsidRDefault="00A677A0" w:rsidP="00B57FB1">
      <w:pPr>
        <w:pStyle w:val="FootnoteText"/>
        <w:jc w:val="both"/>
        <w:rPr>
          <w:rFonts w:cs="Times New Roman"/>
          <w:sz w:val="18"/>
          <w:szCs w:val="18"/>
          <w:lang w:val="fr-FR"/>
        </w:rPr>
      </w:pPr>
      <w:r w:rsidRPr="00B57FB1">
        <w:rPr>
          <w:rStyle w:val="FootnoteReference"/>
          <w:rFonts w:cs="Times New Roman"/>
          <w:sz w:val="18"/>
          <w:szCs w:val="18"/>
        </w:rPr>
        <w:footnoteRef/>
      </w:r>
      <w:r w:rsidRPr="00C37850">
        <w:rPr>
          <w:rFonts w:cs="Times New Roman"/>
          <w:sz w:val="18"/>
          <w:szCs w:val="18"/>
          <w:lang w:val="fr-FR"/>
        </w:rPr>
        <w:t xml:space="preserve"> ODCO database, 2015</w:t>
      </w:r>
    </w:p>
  </w:footnote>
  <w:footnote w:id="7">
    <w:p w14:paraId="5A7AC40F" w14:textId="77777777" w:rsidR="00A677A0" w:rsidRPr="00B57FB1" w:rsidRDefault="00A677A0" w:rsidP="00B57FB1">
      <w:pPr>
        <w:pStyle w:val="Default"/>
        <w:jc w:val="both"/>
        <w:rPr>
          <w:sz w:val="18"/>
          <w:szCs w:val="18"/>
          <w:lang w:val="fr-FR"/>
        </w:rPr>
      </w:pPr>
      <w:r w:rsidRPr="00B57FB1">
        <w:rPr>
          <w:rStyle w:val="FootnoteReference"/>
          <w:sz w:val="18"/>
          <w:szCs w:val="18"/>
        </w:rPr>
        <w:footnoteRef/>
      </w:r>
      <w:r w:rsidRPr="00B57FB1">
        <w:rPr>
          <w:sz w:val="18"/>
          <w:szCs w:val="18"/>
          <w:lang w:val="fr-FR"/>
        </w:rPr>
        <w:t xml:space="preserve"> </w:t>
      </w:r>
      <w:r w:rsidRPr="00B57FB1">
        <w:rPr>
          <w:i/>
          <w:sz w:val="18"/>
          <w:szCs w:val="18"/>
          <w:lang w:val="fr-FR"/>
        </w:rPr>
        <w:t>Définition d’une stratégie de développement du secteur des industries agroalimentaires et accompagnement à l’élaboration d’un projet de contrat-programme</w:t>
      </w:r>
      <w:r w:rsidRPr="00B57FB1">
        <w:rPr>
          <w:sz w:val="18"/>
          <w:szCs w:val="18"/>
          <w:lang w:val="fr-FR"/>
        </w:rPr>
        <w:t xml:space="preserve"> Marché N°14/2014, Roland Berger consulting, April 2014.</w:t>
      </w:r>
    </w:p>
  </w:footnote>
  <w:footnote w:id="8">
    <w:p w14:paraId="1238FED7" w14:textId="5EE96C06" w:rsidR="00A677A0" w:rsidRPr="000D4198" w:rsidRDefault="00A677A0" w:rsidP="00B57FB1">
      <w:pPr>
        <w:pStyle w:val="FootnoteText"/>
        <w:jc w:val="both"/>
        <w:rPr>
          <w:rFonts w:cs="Times New Roman"/>
          <w:sz w:val="18"/>
          <w:szCs w:val="18"/>
        </w:rPr>
      </w:pPr>
      <w:r w:rsidRPr="00B57FB1">
        <w:rPr>
          <w:rStyle w:val="FootnoteReference"/>
          <w:rFonts w:cs="Times New Roman"/>
          <w:sz w:val="18"/>
          <w:szCs w:val="18"/>
        </w:rPr>
        <w:footnoteRef/>
      </w:r>
      <w:r w:rsidRPr="000D4198">
        <w:rPr>
          <w:rFonts w:cs="Times New Roman"/>
          <w:sz w:val="18"/>
          <w:szCs w:val="18"/>
        </w:rPr>
        <w:t xml:space="preserve"> Through MAPMDREF’s deconcentrated services (</w:t>
      </w:r>
      <w:r w:rsidRPr="000D4198">
        <w:rPr>
          <w:rFonts w:cs="Times New Roman"/>
          <w:i/>
          <w:sz w:val="18"/>
          <w:szCs w:val="18"/>
        </w:rPr>
        <w:t>Directions Régionales de l’Agriculture</w:t>
      </w:r>
      <w:r w:rsidRPr="000D4198">
        <w:rPr>
          <w:rFonts w:cs="Times New Roman"/>
          <w:sz w:val="18"/>
          <w:szCs w:val="18"/>
        </w:rPr>
        <w:t xml:space="preserve"> </w:t>
      </w:r>
      <w:r w:rsidRPr="000D4198">
        <w:rPr>
          <w:rFonts w:cs="Times New Roman"/>
          <w:i/>
          <w:sz w:val="18"/>
          <w:szCs w:val="18"/>
        </w:rPr>
        <w:t>– DRA</w:t>
      </w:r>
      <w:r w:rsidRPr="00B57FB1">
        <w:rPr>
          <w:rFonts w:cs="Times New Roman"/>
          <w:i/>
          <w:sz w:val="18"/>
          <w:szCs w:val="18"/>
          <w:lang w:val="fr-FR"/>
        </w:rPr>
        <w:fldChar w:fldCharType="begin"/>
      </w:r>
      <w:r w:rsidRPr="000D4198">
        <w:rPr>
          <w:rFonts w:cs="Times New Roman"/>
          <w:sz w:val="18"/>
          <w:szCs w:val="18"/>
        </w:rPr>
        <w:instrText xml:space="preserve"> XE "</w:instrText>
      </w:r>
      <w:r w:rsidRPr="000D4198">
        <w:rPr>
          <w:rFonts w:cs="Times New Roman"/>
          <w:i/>
          <w:sz w:val="18"/>
          <w:szCs w:val="18"/>
        </w:rPr>
        <w:instrText>DRA:</w:instrText>
      </w:r>
      <w:r w:rsidRPr="000D4198">
        <w:rPr>
          <w:rFonts w:cs="Times New Roman"/>
          <w:sz w:val="18"/>
          <w:szCs w:val="18"/>
        </w:rPr>
        <w:instrText xml:space="preserve">Directions Régionales de l’Agriculture" </w:instrText>
      </w:r>
      <w:r w:rsidRPr="00B57FB1">
        <w:rPr>
          <w:rFonts w:cs="Times New Roman"/>
          <w:i/>
          <w:sz w:val="18"/>
          <w:szCs w:val="18"/>
          <w:lang w:val="fr-FR"/>
        </w:rPr>
        <w:fldChar w:fldCharType="end"/>
      </w:r>
      <w:r w:rsidRPr="000D4198">
        <w:rPr>
          <w:rFonts w:cs="Times New Roman"/>
          <w:i/>
          <w:sz w:val="18"/>
          <w:szCs w:val="18"/>
        </w:rPr>
        <w:t>s</w:t>
      </w:r>
      <w:r w:rsidRPr="000D4198">
        <w:rPr>
          <w:rFonts w:cs="Times New Roman"/>
          <w:sz w:val="18"/>
          <w:szCs w:val="18"/>
        </w:rPr>
        <w:t xml:space="preserve"> and </w:t>
      </w:r>
      <w:r w:rsidRPr="000D4198">
        <w:rPr>
          <w:rFonts w:cs="Times New Roman"/>
          <w:i/>
          <w:sz w:val="18"/>
          <w:szCs w:val="18"/>
        </w:rPr>
        <w:t>Directions Provinciales de l’Agriculture - DPA</w:t>
      </w:r>
      <w:r w:rsidRPr="00B57FB1">
        <w:rPr>
          <w:rFonts w:cs="Times New Roman"/>
          <w:i/>
          <w:sz w:val="18"/>
          <w:szCs w:val="18"/>
          <w:lang w:val="fr-FR"/>
        </w:rPr>
        <w:fldChar w:fldCharType="begin"/>
      </w:r>
      <w:r w:rsidRPr="000D4198">
        <w:rPr>
          <w:rFonts w:cs="Times New Roman"/>
          <w:sz w:val="18"/>
          <w:szCs w:val="18"/>
        </w:rPr>
        <w:instrText xml:space="preserve"> XE "</w:instrText>
      </w:r>
      <w:r w:rsidRPr="000D4198">
        <w:rPr>
          <w:rFonts w:cs="Times New Roman"/>
          <w:i/>
          <w:sz w:val="18"/>
          <w:szCs w:val="18"/>
        </w:rPr>
        <w:instrText>DPA:</w:instrText>
      </w:r>
      <w:r w:rsidRPr="000D4198">
        <w:rPr>
          <w:rFonts w:cs="Times New Roman"/>
          <w:sz w:val="18"/>
          <w:szCs w:val="18"/>
        </w:rPr>
        <w:instrText xml:space="preserve">Directions Provinciales de l’Agriculture" </w:instrText>
      </w:r>
      <w:r w:rsidRPr="00B57FB1">
        <w:rPr>
          <w:rFonts w:cs="Times New Roman"/>
          <w:i/>
          <w:sz w:val="18"/>
          <w:szCs w:val="18"/>
          <w:lang w:val="fr-FR"/>
        </w:rPr>
        <w:fldChar w:fldCharType="end"/>
      </w:r>
      <w:r w:rsidRPr="000D4198">
        <w:rPr>
          <w:rFonts w:cs="Times New Roman"/>
          <w:i/>
          <w:sz w:val="18"/>
          <w:szCs w:val="18"/>
        </w:rPr>
        <w:t>s</w:t>
      </w:r>
      <w:r w:rsidRPr="000D4198">
        <w:rPr>
          <w:rFonts w:cs="Times New Roman"/>
          <w:sz w:val="18"/>
          <w:szCs w:val="18"/>
        </w:rPr>
        <w:t>)</w:t>
      </w:r>
    </w:p>
  </w:footnote>
  <w:footnote w:id="9">
    <w:p w14:paraId="50C92736" w14:textId="452B81DB" w:rsidR="00A677A0" w:rsidRDefault="00A677A0">
      <w:pPr>
        <w:pStyle w:val="FootnoteText"/>
      </w:pPr>
      <w:r>
        <w:rPr>
          <w:rStyle w:val="FootnoteReference"/>
        </w:rPr>
        <w:footnoteRef/>
      </w:r>
      <w:r>
        <w:t xml:space="preserve"> </w:t>
      </w:r>
      <w:r w:rsidRPr="0077304D">
        <w:t>The World Bank Group CPS for FY14-17 (Report No. 86518-MA) was discussed by the Board on April 29, 2014. A Performance Learning Review of the CPS (Report No. 105894-MA) was presented to the Board on May 24, 2016.</w:t>
      </w:r>
    </w:p>
  </w:footnote>
  <w:footnote w:id="10">
    <w:p w14:paraId="29B791CD" w14:textId="746908E4" w:rsidR="00A677A0" w:rsidRDefault="00A677A0">
      <w:pPr>
        <w:pStyle w:val="FootnoteText"/>
      </w:pPr>
      <w:r>
        <w:rPr>
          <w:rStyle w:val="FootnoteReference"/>
        </w:rPr>
        <w:footnoteRef/>
      </w:r>
      <w:r>
        <w:t xml:space="preserve"> World Bank. Financial Sector Assessment Program – Financial Inclusion, Technical Note. January 2016.</w:t>
      </w:r>
    </w:p>
  </w:footnote>
  <w:footnote w:id="11">
    <w:p w14:paraId="73FA19BF" w14:textId="109ED361" w:rsidR="00A677A0" w:rsidRDefault="00A677A0">
      <w:pPr>
        <w:pStyle w:val="FootnoteText"/>
      </w:pPr>
      <w:r>
        <w:rPr>
          <w:rStyle w:val="FootnoteReference"/>
        </w:rPr>
        <w:footnoteRef/>
      </w:r>
      <w:r>
        <w:t xml:space="preserve"> World Bank Group. Enabling the Business of Agriculture. 2017.</w:t>
      </w:r>
    </w:p>
  </w:footnote>
  <w:footnote w:id="12">
    <w:p w14:paraId="48189BD3" w14:textId="643F57EF" w:rsidR="00A677A0" w:rsidRPr="00B57FB1" w:rsidRDefault="00A677A0" w:rsidP="00B57FB1">
      <w:pPr>
        <w:pStyle w:val="FootnoteText"/>
        <w:jc w:val="both"/>
        <w:rPr>
          <w:rFonts w:cs="Times New Roman"/>
          <w:sz w:val="18"/>
          <w:szCs w:val="18"/>
        </w:rPr>
      </w:pPr>
      <w:r w:rsidRPr="00B57FB1">
        <w:rPr>
          <w:rStyle w:val="FootnoteReference"/>
          <w:rFonts w:cs="Times New Roman"/>
          <w:sz w:val="18"/>
          <w:szCs w:val="18"/>
        </w:rPr>
        <w:footnoteRef/>
      </w:r>
      <w:r w:rsidRPr="00B57FB1">
        <w:rPr>
          <w:rFonts w:cs="Times New Roman"/>
          <w:sz w:val="18"/>
          <w:szCs w:val="18"/>
        </w:rPr>
        <w:t xml:space="preserve"> </w:t>
      </w:r>
      <w:r>
        <w:rPr>
          <w:rFonts w:cs="Times New Roman"/>
          <w:sz w:val="18"/>
          <w:szCs w:val="18"/>
          <w:lang w:val="en"/>
        </w:rPr>
        <w:t>I</w:t>
      </w:r>
      <w:r w:rsidRPr="00B57FB1">
        <w:rPr>
          <w:rFonts w:cs="Times New Roman"/>
          <w:sz w:val="18"/>
          <w:szCs w:val="18"/>
          <w:lang w:val="en"/>
        </w:rPr>
        <w:t>ncentives rang</w:t>
      </w:r>
      <w:r>
        <w:rPr>
          <w:rFonts w:cs="Times New Roman"/>
          <w:sz w:val="18"/>
          <w:szCs w:val="18"/>
          <w:lang w:val="en"/>
        </w:rPr>
        <w:t>e</w:t>
      </w:r>
      <w:r w:rsidRPr="00B57FB1">
        <w:rPr>
          <w:rFonts w:cs="Times New Roman"/>
          <w:sz w:val="18"/>
          <w:szCs w:val="18"/>
          <w:lang w:val="en"/>
        </w:rPr>
        <w:t xml:space="preserve"> between 10 and 30 percent of total investment, up to defined ceilings</w:t>
      </w:r>
      <w:r>
        <w:rPr>
          <w:rFonts w:cs="Times New Roman"/>
          <w:sz w:val="18"/>
          <w:szCs w:val="18"/>
          <w:lang w:val="en"/>
        </w:rPr>
        <w:t>.</w:t>
      </w:r>
    </w:p>
  </w:footnote>
  <w:footnote w:id="13">
    <w:p w14:paraId="0CE880BE" w14:textId="6724B350" w:rsidR="00A677A0" w:rsidRPr="00B57FB1" w:rsidRDefault="00A677A0" w:rsidP="00B57FB1">
      <w:pPr>
        <w:pStyle w:val="FootnoteText"/>
        <w:jc w:val="both"/>
        <w:rPr>
          <w:rFonts w:cs="Times New Roman"/>
          <w:sz w:val="18"/>
          <w:szCs w:val="18"/>
        </w:rPr>
      </w:pPr>
      <w:r w:rsidRPr="00B57FB1">
        <w:rPr>
          <w:rStyle w:val="FootnoteReference"/>
          <w:rFonts w:cs="Times New Roman"/>
          <w:sz w:val="18"/>
          <w:szCs w:val="18"/>
        </w:rPr>
        <w:footnoteRef/>
      </w:r>
      <w:r w:rsidRPr="00B57FB1">
        <w:rPr>
          <w:rFonts w:cs="Times New Roman"/>
          <w:sz w:val="18"/>
          <w:szCs w:val="18"/>
        </w:rPr>
        <w:t xml:space="preserve"> With regards to water management in agriculture, the PMV is complemented by </w:t>
      </w:r>
      <w:r w:rsidRPr="00B57FB1">
        <w:rPr>
          <w:rFonts w:cs="Times New Roman"/>
          <w:bCs/>
          <w:sz w:val="18"/>
          <w:szCs w:val="18"/>
        </w:rPr>
        <w:t>the National Program for Saving Water in Irrigation (PNEEI)</w:t>
      </w:r>
      <w:r w:rsidRPr="00B57FB1">
        <w:rPr>
          <w:rFonts w:cs="Times New Roman"/>
          <w:b/>
          <w:bCs/>
          <w:sz w:val="18"/>
          <w:szCs w:val="18"/>
        </w:rPr>
        <w:t xml:space="preserve"> </w:t>
      </w:r>
      <w:r w:rsidRPr="00B57FB1">
        <w:rPr>
          <w:rFonts w:cs="Times New Roman"/>
          <w:sz w:val="18"/>
          <w:szCs w:val="18"/>
        </w:rPr>
        <w:t>which promotes more productive water use by improving water service in public irrigation perimeters, introducing more efficient irrigation technologies (mainly drip irrigation) with a target of 555,000 ha by 2020, and promotes higher value crops in irrigated areas.</w:t>
      </w:r>
    </w:p>
  </w:footnote>
  <w:footnote w:id="14">
    <w:p w14:paraId="39927946" w14:textId="2A7F0AE2" w:rsidR="00A677A0" w:rsidRDefault="00A677A0">
      <w:pPr>
        <w:pStyle w:val="FootnoteText"/>
      </w:pPr>
      <w:r>
        <w:rPr>
          <w:rStyle w:val="FootnoteReference"/>
        </w:rPr>
        <w:footnoteRef/>
      </w:r>
      <w:r>
        <w:t xml:space="preserve"> </w:t>
      </w:r>
      <w:r>
        <w:rPr>
          <w:rFonts w:cs="Times New Roman"/>
          <w:sz w:val="18"/>
          <w:szCs w:val="18"/>
        </w:rPr>
        <w:t>Includes the promotion of water recycling in processing units– including in areas covered by PNEEI</w:t>
      </w:r>
    </w:p>
  </w:footnote>
  <w:footnote w:id="15">
    <w:p w14:paraId="47131856" w14:textId="3683001B" w:rsidR="00A677A0" w:rsidRPr="00B57FB1" w:rsidRDefault="00A677A0" w:rsidP="00B57FB1">
      <w:pPr>
        <w:pStyle w:val="FootnoteText"/>
        <w:jc w:val="both"/>
        <w:rPr>
          <w:rFonts w:cs="Times New Roman"/>
          <w:sz w:val="18"/>
          <w:szCs w:val="18"/>
        </w:rPr>
      </w:pPr>
      <w:r w:rsidRPr="00B57FB1">
        <w:rPr>
          <w:rStyle w:val="FootnoteReference"/>
          <w:rFonts w:cs="Times New Roman"/>
          <w:sz w:val="18"/>
          <w:szCs w:val="18"/>
        </w:rPr>
        <w:footnoteRef/>
      </w:r>
      <w:r w:rsidRPr="00B57FB1">
        <w:rPr>
          <w:rFonts w:cs="Times New Roman"/>
          <w:sz w:val="18"/>
          <w:szCs w:val="18"/>
        </w:rPr>
        <w:t xml:space="preserve"> World Bank</w:t>
      </w:r>
      <w:r>
        <w:rPr>
          <w:rFonts w:cs="Times New Roman"/>
          <w:sz w:val="18"/>
          <w:szCs w:val="18"/>
        </w:rPr>
        <w:t>.</w:t>
      </w:r>
      <w:r w:rsidRPr="00B57FB1">
        <w:rPr>
          <w:rFonts w:cs="Times New Roman"/>
          <w:sz w:val="18"/>
          <w:szCs w:val="18"/>
        </w:rPr>
        <w:t xml:space="preserve"> </w:t>
      </w:r>
      <w:r w:rsidRPr="00B57FB1">
        <w:rPr>
          <w:rFonts w:cs="Times New Roman"/>
          <w:i/>
          <w:sz w:val="18"/>
          <w:szCs w:val="18"/>
        </w:rPr>
        <w:t>Inclusive agricultural growth in Morocco: A deep dive into the olive and citrus value-chain</w:t>
      </w:r>
      <w:r>
        <w:rPr>
          <w:rFonts w:cs="Times New Roman"/>
          <w:sz w:val="18"/>
          <w:szCs w:val="18"/>
        </w:rPr>
        <w:t xml:space="preserve">. June 2017; </w:t>
      </w:r>
      <w:r w:rsidRPr="00B57FB1">
        <w:rPr>
          <w:rFonts w:cs="Times New Roman"/>
          <w:sz w:val="18"/>
          <w:szCs w:val="18"/>
        </w:rPr>
        <w:t xml:space="preserve">World Bank, 2017, </w:t>
      </w:r>
      <w:r w:rsidRPr="00B57FB1">
        <w:rPr>
          <w:rFonts w:cs="Times New Roman"/>
          <w:i/>
          <w:sz w:val="18"/>
          <w:szCs w:val="18"/>
        </w:rPr>
        <w:t>Igniting Climate Entrepreneurship in Morocco</w:t>
      </w:r>
      <w:r w:rsidRPr="00B57FB1">
        <w:rPr>
          <w:rFonts w:cs="Times New Roman"/>
          <w:sz w:val="18"/>
          <w:szCs w:val="18"/>
        </w:rPr>
        <w:t xml:space="preserve">; FAO/EBRD, FAO Investment Center, June 2017, </w:t>
      </w:r>
      <w:r w:rsidRPr="00B57FB1">
        <w:rPr>
          <w:rFonts w:cs="Times New Roman"/>
          <w:i/>
          <w:sz w:val="18"/>
          <w:szCs w:val="18"/>
        </w:rPr>
        <w:t>Investing in collective action: Opportunities in the Morocco agri-food sector</w:t>
      </w:r>
      <w:r w:rsidRPr="00B57FB1">
        <w:rPr>
          <w:rFonts w:cs="Times New Roman"/>
          <w:sz w:val="18"/>
          <w:szCs w:val="18"/>
        </w:rPr>
        <w:t>, Final Draft; FAO, 2016, Public-private partnerships for agribusiness development – A review of international experience.</w:t>
      </w:r>
    </w:p>
  </w:footnote>
  <w:footnote w:id="16">
    <w:p w14:paraId="4245F385" w14:textId="76982B1F" w:rsidR="00A677A0" w:rsidRPr="00B57FB1" w:rsidRDefault="00A677A0" w:rsidP="00B57FB1">
      <w:pPr>
        <w:pStyle w:val="FootnoteText"/>
        <w:jc w:val="both"/>
        <w:rPr>
          <w:rFonts w:cs="Times New Roman"/>
          <w:sz w:val="18"/>
          <w:szCs w:val="18"/>
        </w:rPr>
      </w:pPr>
      <w:r w:rsidRPr="00B57FB1">
        <w:rPr>
          <w:rStyle w:val="FootnoteReference"/>
          <w:rFonts w:cs="Times New Roman"/>
          <w:sz w:val="18"/>
          <w:szCs w:val="18"/>
        </w:rPr>
        <w:footnoteRef/>
      </w:r>
      <w:r w:rsidRPr="00B57FB1">
        <w:rPr>
          <w:rFonts w:cs="Times New Roman"/>
          <w:sz w:val="18"/>
          <w:szCs w:val="18"/>
        </w:rPr>
        <w:t xml:space="preserve"> </w:t>
      </w:r>
      <w:r w:rsidRPr="00B57FB1">
        <w:rPr>
          <w:rFonts w:cs="Times New Roman"/>
          <w:color w:val="222222"/>
          <w:sz w:val="18"/>
          <w:szCs w:val="18"/>
          <w:lang w:val="en"/>
        </w:rPr>
        <w:t>Rabat Aménagement S.A.’s contract provides for t</w:t>
      </w:r>
      <w:r>
        <w:rPr>
          <w:rFonts w:cs="Times New Roman"/>
          <w:color w:val="222222"/>
          <w:sz w:val="18"/>
          <w:szCs w:val="18"/>
          <w:lang w:val="en"/>
        </w:rPr>
        <w:t>he payment of a 3 percent</w:t>
      </w:r>
      <w:r w:rsidRPr="00B57FB1">
        <w:rPr>
          <w:rFonts w:cs="Times New Roman"/>
          <w:color w:val="222222"/>
          <w:sz w:val="18"/>
          <w:szCs w:val="18"/>
          <w:lang w:val="en"/>
        </w:rPr>
        <w:t xml:space="preserve"> commission on the amount of the work.</w:t>
      </w:r>
    </w:p>
  </w:footnote>
  <w:footnote w:id="17">
    <w:p w14:paraId="6DE8F559" w14:textId="06D40513" w:rsidR="00A677A0" w:rsidRPr="00B57FB1" w:rsidRDefault="00A677A0" w:rsidP="00B57FB1">
      <w:pPr>
        <w:pStyle w:val="FootnoteText"/>
        <w:jc w:val="both"/>
        <w:rPr>
          <w:rFonts w:cs="Times New Roman"/>
          <w:sz w:val="18"/>
          <w:szCs w:val="18"/>
        </w:rPr>
      </w:pPr>
      <w:r w:rsidRPr="00B57FB1">
        <w:rPr>
          <w:rStyle w:val="FootnoteReference"/>
          <w:rFonts w:cs="Times New Roman"/>
          <w:sz w:val="18"/>
          <w:szCs w:val="18"/>
        </w:rPr>
        <w:footnoteRef/>
      </w:r>
      <w:r w:rsidRPr="00B57FB1">
        <w:rPr>
          <w:rFonts w:cs="Times New Roman"/>
          <w:sz w:val="18"/>
          <w:szCs w:val="18"/>
        </w:rPr>
        <w:t xml:space="preserve"> </w:t>
      </w:r>
      <w:r>
        <w:rPr>
          <w:rFonts w:cs="Times New Roman"/>
          <w:color w:val="000000" w:themeColor="text1"/>
          <w:sz w:val="18"/>
          <w:szCs w:val="18"/>
        </w:rPr>
        <w:t>A</w:t>
      </w:r>
      <w:r w:rsidRPr="00B57FB1">
        <w:rPr>
          <w:rFonts w:cs="Times New Roman"/>
          <w:color w:val="000000" w:themeColor="text1"/>
          <w:sz w:val="18"/>
          <w:szCs w:val="18"/>
        </w:rPr>
        <w:t xml:space="preserve"> financial analysis of the new wholesale market </w:t>
      </w:r>
      <w:r>
        <w:rPr>
          <w:rFonts w:cs="Times New Roman"/>
          <w:color w:val="000000" w:themeColor="text1"/>
          <w:sz w:val="18"/>
          <w:szCs w:val="18"/>
        </w:rPr>
        <w:t>identifies</w:t>
      </w:r>
      <w:r w:rsidRPr="00B57FB1">
        <w:rPr>
          <w:rFonts w:cs="Times New Roman"/>
          <w:color w:val="000000" w:themeColor="text1"/>
          <w:sz w:val="18"/>
          <w:szCs w:val="18"/>
        </w:rPr>
        <w:t xml:space="preserve"> a sound Internal </w:t>
      </w:r>
      <w:r>
        <w:rPr>
          <w:rFonts w:cs="Times New Roman"/>
          <w:color w:val="000000" w:themeColor="text1"/>
          <w:sz w:val="18"/>
          <w:szCs w:val="18"/>
        </w:rPr>
        <w:t>R</w:t>
      </w:r>
      <w:r w:rsidRPr="00B57FB1">
        <w:rPr>
          <w:rFonts w:cs="Times New Roman"/>
          <w:color w:val="000000" w:themeColor="text1"/>
          <w:sz w:val="18"/>
          <w:szCs w:val="18"/>
        </w:rPr>
        <w:t>ate of Return (IRR</w:t>
      </w:r>
      <w:r w:rsidRPr="00B57FB1">
        <w:rPr>
          <w:rFonts w:cs="Times New Roman"/>
          <w:color w:val="000000" w:themeColor="text1"/>
          <w:sz w:val="18"/>
          <w:szCs w:val="18"/>
        </w:rPr>
        <w:fldChar w:fldCharType="begin"/>
      </w:r>
      <w:r w:rsidRPr="00B57FB1">
        <w:rPr>
          <w:rFonts w:cs="Times New Roman"/>
          <w:sz w:val="18"/>
          <w:szCs w:val="18"/>
        </w:rPr>
        <w:instrText xml:space="preserve"> XE "</w:instrText>
      </w:r>
      <w:r w:rsidRPr="00B57FB1">
        <w:rPr>
          <w:rFonts w:cs="Times New Roman"/>
          <w:color w:val="000000" w:themeColor="text1"/>
          <w:sz w:val="18"/>
          <w:szCs w:val="18"/>
        </w:rPr>
        <w:instrText>IRR:</w:instrText>
      </w:r>
      <w:r w:rsidRPr="00B57FB1">
        <w:rPr>
          <w:rFonts w:cs="Times New Roman"/>
          <w:sz w:val="18"/>
          <w:szCs w:val="18"/>
        </w:rPr>
        <w:instrText xml:space="preserve">Internal rate of Return" </w:instrText>
      </w:r>
      <w:r w:rsidRPr="00B57FB1">
        <w:rPr>
          <w:rFonts w:cs="Times New Roman"/>
          <w:color w:val="000000" w:themeColor="text1"/>
          <w:sz w:val="18"/>
          <w:szCs w:val="18"/>
        </w:rPr>
        <w:fldChar w:fldCharType="end"/>
      </w:r>
      <w:r w:rsidRPr="00B57FB1">
        <w:rPr>
          <w:rFonts w:cs="Times New Roman"/>
          <w:color w:val="000000" w:themeColor="text1"/>
          <w:sz w:val="18"/>
          <w:szCs w:val="18"/>
        </w:rPr>
        <w:t>) of 9.83 percent over a 20-year period. A sensitivity analysis leads to similarly robust IRRs of 6.15 percent (in the case of a 20 percent increase in variable costs) and 14 percent (in the case of a 20 percent increase in revenues).</w:t>
      </w:r>
    </w:p>
  </w:footnote>
  <w:footnote w:id="18">
    <w:p w14:paraId="1D194ED9" w14:textId="7E6BFE84" w:rsidR="00A677A0" w:rsidRPr="00B57FB1" w:rsidRDefault="00A677A0" w:rsidP="00B57FB1">
      <w:pPr>
        <w:pStyle w:val="NoSpacing"/>
        <w:jc w:val="both"/>
        <w:rPr>
          <w:rFonts w:ascii="Times New Roman" w:hAnsi="Times New Roman" w:cs="Times New Roman"/>
          <w:sz w:val="18"/>
          <w:szCs w:val="18"/>
        </w:rPr>
      </w:pPr>
      <w:r w:rsidRPr="00B57FB1">
        <w:rPr>
          <w:rStyle w:val="FootnoteReference"/>
          <w:rFonts w:ascii="Times New Roman" w:hAnsi="Times New Roman" w:cs="Times New Roman"/>
          <w:sz w:val="18"/>
          <w:szCs w:val="18"/>
        </w:rPr>
        <w:footnoteRef/>
      </w:r>
      <w:r w:rsidRPr="00B57FB1">
        <w:rPr>
          <w:rFonts w:ascii="Times New Roman" w:hAnsi="Times New Roman" w:cs="Times New Roman"/>
          <w:sz w:val="18"/>
          <w:szCs w:val="18"/>
        </w:rPr>
        <w:t xml:space="preserve"> </w:t>
      </w:r>
      <w:r w:rsidRPr="00B57FB1">
        <w:rPr>
          <w:rFonts w:ascii="Times New Roman" w:hAnsi="Times New Roman" w:cs="Times New Roman"/>
          <w:color w:val="000000" w:themeColor="text1"/>
          <w:sz w:val="18"/>
          <w:szCs w:val="18"/>
        </w:rPr>
        <w:t xml:space="preserve">A financial analysis has been carried out for a model of representative integrated olive oil projects selected under the FDA program. This analysis results in a sound </w:t>
      </w:r>
      <w:r>
        <w:rPr>
          <w:rFonts w:ascii="Times New Roman" w:hAnsi="Times New Roman" w:cs="Times New Roman"/>
          <w:color w:val="000000" w:themeColor="text1"/>
          <w:sz w:val="18"/>
          <w:szCs w:val="18"/>
        </w:rPr>
        <w:t>IRR</w:t>
      </w:r>
      <w:r w:rsidRPr="00B57FB1">
        <w:rPr>
          <w:rFonts w:ascii="Times New Roman" w:hAnsi="Times New Roman" w:cs="Times New Roman"/>
          <w:color w:val="000000" w:themeColor="text1"/>
          <w:sz w:val="18"/>
          <w:szCs w:val="18"/>
        </w:rPr>
        <w:t xml:space="preserve"> of 28.4 percent. A financial analysis was also carried out for pack</w:t>
      </w:r>
      <w:r>
        <w:rPr>
          <w:rFonts w:ascii="Times New Roman" w:hAnsi="Times New Roman" w:cs="Times New Roman"/>
          <w:color w:val="000000" w:themeColor="text1"/>
          <w:sz w:val="18"/>
          <w:szCs w:val="18"/>
        </w:rPr>
        <w:t>ag</w:t>
      </w:r>
      <w:r w:rsidRPr="00B57FB1">
        <w:rPr>
          <w:rFonts w:ascii="Times New Roman" w:hAnsi="Times New Roman" w:cs="Times New Roman"/>
          <w:color w:val="000000" w:themeColor="text1"/>
          <w:sz w:val="18"/>
          <w:szCs w:val="18"/>
        </w:rPr>
        <w:t>ing houses supported under the FDA program. The analysis led to a robust IRR of 28 percent.</w:t>
      </w:r>
    </w:p>
    <w:p w14:paraId="6EF28F0E" w14:textId="77777777" w:rsidR="00A677A0" w:rsidRPr="00B57FB1" w:rsidRDefault="00A677A0" w:rsidP="00B57FB1">
      <w:pPr>
        <w:pStyle w:val="FootnoteText"/>
        <w:jc w:val="both"/>
        <w:rPr>
          <w:rFonts w:cs="Times New Roman"/>
          <w:sz w:val="18"/>
          <w:szCs w:val="18"/>
        </w:rPr>
      </w:pPr>
    </w:p>
  </w:footnote>
  <w:footnote w:id="19">
    <w:p w14:paraId="06CFFABE" w14:textId="77777777" w:rsidR="00A677A0" w:rsidRPr="00B57FB1" w:rsidRDefault="00A677A0" w:rsidP="00B57FB1">
      <w:pPr>
        <w:pStyle w:val="FootnoteText"/>
        <w:jc w:val="both"/>
        <w:rPr>
          <w:rFonts w:cs="Times New Roman"/>
          <w:sz w:val="18"/>
          <w:szCs w:val="18"/>
        </w:rPr>
      </w:pPr>
      <w:r w:rsidRPr="00B57FB1">
        <w:rPr>
          <w:rStyle w:val="FootnoteReference"/>
          <w:rFonts w:cs="Times New Roman"/>
          <w:sz w:val="18"/>
          <w:szCs w:val="18"/>
        </w:rPr>
        <w:footnoteRef/>
      </w:r>
      <w:r w:rsidRPr="00B57FB1">
        <w:rPr>
          <w:rFonts w:cs="Times New Roman"/>
          <w:sz w:val="18"/>
          <w:szCs w:val="18"/>
        </w:rPr>
        <w:t xml:space="preserve"> </w:t>
      </w:r>
      <w:r w:rsidRPr="00B57FB1">
        <w:rPr>
          <w:rFonts w:cs="Times New Roman"/>
          <w:color w:val="000000" w:themeColor="text1"/>
          <w:sz w:val="18"/>
          <w:szCs w:val="18"/>
          <w:lang w:val="en"/>
        </w:rPr>
        <w:t>Incentives are currently limited to partnerships that involve processing, such as the construction of semi-modern oil mills, oil mills with waste management, crushing unit for small fruits, and storage and packaging facilities in the case of citrus</w:t>
      </w:r>
    </w:p>
  </w:footnote>
  <w:footnote w:id="20">
    <w:p w14:paraId="07D39747" w14:textId="0C2A2B1F" w:rsidR="00A677A0" w:rsidRPr="00B57FB1" w:rsidRDefault="00A677A0" w:rsidP="00B57FB1">
      <w:pPr>
        <w:pStyle w:val="FootnoteText"/>
        <w:jc w:val="both"/>
        <w:rPr>
          <w:rFonts w:cs="Times New Roman"/>
          <w:sz w:val="18"/>
          <w:szCs w:val="18"/>
        </w:rPr>
      </w:pPr>
      <w:r w:rsidRPr="00B57FB1">
        <w:rPr>
          <w:rStyle w:val="FootnoteReference"/>
          <w:rFonts w:cs="Times New Roman"/>
          <w:sz w:val="18"/>
          <w:szCs w:val="18"/>
        </w:rPr>
        <w:footnoteRef/>
      </w:r>
      <w:r w:rsidRPr="00B57FB1">
        <w:rPr>
          <w:rFonts w:cs="Times New Roman"/>
          <w:sz w:val="18"/>
          <w:szCs w:val="18"/>
        </w:rPr>
        <w:t xml:space="preserve"> Project sponsors include </w:t>
      </w:r>
      <w:r w:rsidRPr="00B57FB1">
        <w:rPr>
          <w:rFonts w:cs="Times New Roman"/>
          <w:color w:val="222222"/>
          <w:sz w:val="18"/>
          <w:szCs w:val="18"/>
          <w:lang w:val="en"/>
        </w:rPr>
        <w:t>MAPMDREF, MEF, MIICEN, MI, and Rabat-Salé-Kénitra Region, as well as the municipalities of Rabat, Salé, Témara, Ain</w:t>
      </w:r>
      <w:r>
        <w:rPr>
          <w:rFonts w:cs="Times New Roman"/>
          <w:color w:val="222222"/>
          <w:sz w:val="18"/>
          <w:szCs w:val="18"/>
          <w:lang w:val="en"/>
        </w:rPr>
        <w:t xml:space="preserve"> Ain, Kénitra, Ain</w:t>
      </w:r>
      <w:r w:rsidRPr="00B57FB1">
        <w:rPr>
          <w:rFonts w:cs="Times New Roman"/>
          <w:color w:val="222222"/>
          <w:sz w:val="18"/>
          <w:szCs w:val="18"/>
          <w:lang w:val="en"/>
        </w:rPr>
        <w:t xml:space="preserve"> Attig, Skhirat, Ain Aouda, Sidi Yayha des Zaers, El Harhoura, and Sidi Abi El Canadel.</w:t>
      </w:r>
    </w:p>
  </w:footnote>
  <w:footnote w:id="21">
    <w:p w14:paraId="69B58FC1" w14:textId="77777777" w:rsidR="00A677A0" w:rsidRPr="00B57FB1" w:rsidRDefault="00A677A0" w:rsidP="00B57FB1">
      <w:pPr>
        <w:pStyle w:val="FootnoteText"/>
        <w:jc w:val="both"/>
        <w:rPr>
          <w:rFonts w:cs="Times New Roman"/>
          <w:sz w:val="18"/>
          <w:szCs w:val="18"/>
        </w:rPr>
      </w:pPr>
      <w:r w:rsidRPr="00B57FB1">
        <w:rPr>
          <w:rStyle w:val="FootnoteReference"/>
          <w:rFonts w:cs="Times New Roman"/>
          <w:sz w:val="18"/>
          <w:szCs w:val="18"/>
        </w:rPr>
        <w:footnoteRef/>
      </w:r>
      <w:r w:rsidRPr="00B57FB1">
        <w:rPr>
          <w:rFonts w:cs="Times New Roman"/>
          <w:sz w:val="18"/>
          <w:szCs w:val="18"/>
        </w:rPr>
        <w:t xml:space="preserve"> </w:t>
      </w:r>
      <w:r w:rsidRPr="00B57FB1">
        <w:rPr>
          <w:rFonts w:cs="Times New Roman"/>
          <w:bCs/>
          <w:sz w:val="18"/>
          <w:szCs w:val="18"/>
        </w:rPr>
        <w:t xml:space="preserve">Agribusiness SMEs </w:t>
      </w:r>
      <w:r w:rsidRPr="00B57FB1">
        <w:rPr>
          <w:rFonts w:cs="Times New Roman"/>
          <w:sz w:val="18"/>
          <w:szCs w:val="18"/>
        </w:rPr>
        <w:t>encompass the various possible legal forms of production entities such as registered companies, cooperatives, farmers’ groups, etc.</w:t>
      </w:r>
    </w:p>
  </w:footnote>
  <w:footnote w:id="22">
    <w:p w14:paraId="6FD1BECE" w14:textId="1D72B591" w:rsidR="00A677A0" w:rsidRPr="00B57FB1" w:rsidRDefault="00A677A0" w:rsidP="00B57FB1">
      <w:pPr>
        <w:pStyle w:val="FootnoteText"/>
        <w:jc w:val="both"/>
        <w:rPr>
          <w:rFonts w:cs="Times New Roman"/>
          <w:sz w:val="18"/>
          <w:szCs w:val="18"/>
        </w:rPr>
      </w:pPr>
      <w:r w:rsidRPr="00B57FB1">
        <w:rPr>
          <w:rStyle w:val="FootnoteReference"/>
          <w:rFonts w:cs="Times New Roman"/>
          <w:sz w:val="18"/>
          <w:szCs w:val="18"/>
        </w:rPr>
        <w:footnoteRef/>
      </w:r>
      <w:r w:rsidRPr="00B57FB1">
        <w:rPr>
          <w:rFonts w:cs="Times New Roman"/>
          <w:sz w:val="18"/>
          <w:szCs w:val="18"/>
        </w:rPr>
        <w:t xml:space="preserve"> Baselines for PDO indicators 1, 2 and 3 </w:t>
      </w:r>
      <w:r>
        <w:rPr>
          <w:rFonts w:cs="Times New Roman"/>
          <w:sz w:val="18"/>
          <w:szCs w:val="18"/>
        </w:rPr>
        <w:t xml:space="preserve">and for IR Indicator 2.1 </w:t>
      </w:r>
      <w:r w:rsidRPr="00B57FB1">
        <w:rPr>
          <w:rFonts w:cs="Times New Roman"/>
          <w:sz w:val="18"/>
          <w:szCs w:val="18"/>
        </w:rPr>
        <w:t>are for 2016.</w:t>
      </w:r>
    </w:p>
  </w:footnote>
  <w:footnote w:id="23">
    <w:p w14:paraId="4D9F77CD" w14:textId="77777777" w:rsidR="00A677A0" w:rsidRPr="00B57FB1" w:rsidRDefault="00A677A0" w:rsidP="00B57FB1">
      <w:pPr>
        <w:pStyle w:val="FootnoteText"/>
        <w:jc w:val="both"/>
        <w:rPr>
          <w:rFonts w:cs="Times New Roman"/>
          <w:sz w:val="18"/>
          <w:szCs w:val="18"/>
        </w:rPr>
      </w:pPr>
      <w:r w:rsidRPr="00B57FB1">
        <w:rPr>
          <w:rStyle w:val="FootnoteReference"/>
          <w:rFonts w:cs="Times New Roman"/>
          <w:sz w:val="18"/>
          <w:szCs w:val="18"/>
        </w:rPr>
        <w:footnoteRef/>
      </w:r>
      <w:r w:rsidRPr="00B57FB1">
        <w:rPr>
          <w:rFonts w:cs="Times New Roman"/>
          <w:sz w:val="18"/>
          <w:szCs w:val="18"/>
        </w:rPr>
        <w:t xml:space="preserve"> This value is indicative and represents the total volume of olive oil exported in 2016-2017; the actual baseline will be established in February 2018 through a survey. </w:t>
      </w:r>
    </w:p>
  </w:footnote>
  <w:footnote w:id="24">
    <w:p w14:paraId="14CA70EB" w14:textId="599D2A71" w:rsidR="00A677A0" w:rsidRPr="00B57FB1" w:rsidRDefault="00A677A0" w:rsidP="00B57FB1">
      <w:pPr>
        <w:pStyle w:val="FootnoteText"/>
        <w:jc w:val="both"/>
        <w:rPr>
          <w:rFonts w:cs="Times New Roman"/>
          <w:sz w:val="18"/>
          <w:szCs w:val="18"/>
        </w:rPr>
      </w:pPr>
      <w:r w:rsidRPr="00B57FB1">
        <w:rPr>
          <w:rStyle w:val="FootnoteReference"/>
          <w:rFonts w:cs="Times New Roman"/>
          <w:sz w:val="18"/>
          <w:szCs w:val="18"/>
        </w:rPr>
        <w:footnoteRef/>
      </w:r>
      <w:r w:rsidRPr="00B57FB1">
        <w:rPr>
          <w:rFonts w:cs="Times New Roman"/>
          <w:sz w:val="18"/>
          <w:szCs w:val="18"/>
        </w:rPr>
        <w:t xml:space="preserve"> This indicator has not been monitored by gender until now (no baseline) but ONSSA will start monitoring it under the Program for newly authorized operators</w:t>
      </w:r>
    </w:p>
  </w:footnote>
  <w:footnote w:id="25">
    <w:p w14:paraId="79C3C6B7" w14:textId="77777777" w:rsidR="00A677A0" w:rsidRPr="00B57FB1" w:rsidRDefault="00A677A0" w:rsidP="00B57FB1">
      <w:pPr>
        <w:pStyle w:val="FootnoteText"/>
        <w:jc w:val="both"/>
        <w:rPr>
          <w:rFonts w:cs="Times New Roman"/>
          <w:sz w:val="18"/>
          <w:szCs w:val="18"/>
        </w:rPr>
      </w:pPr>
      <w:r w:rsidRPr="00B57FB1">
        <w:rPr>
          <w:rStyle w:val="FootnoteReference"/>
          <w:rFonts w:cs="Times New Roman"/>
          <w:sz w:val="18"/>
          <w:szCs w:val="18"/>
        </w:rPr>
        <w:footnoteRef/>
      </w:r>
      <w:r w:rsidRPr="00B57FB1">
        <w:rPr>
          <w:rFonts w:cs="Times New Roman"/>
          <w:sz w:val="18"/>
          <w:szCs w:val="18"/>
        </w:rPr>
        <w:t xml:space="preserve"> Annual values of indicators are cumulative</w:t>
      </w:r>
    </w:p>
  </w:footnote>
  <w:footnote w:id="26">
    <w:p w14:paraId="551A4412" w14:textId="22A13676" w:rsidR="00A677A0" w:rsidRDefault="00A677A0">
      <w:pPr>
        <w:pStyle w:val="FootnoteText"/>
      </w:pPr>
      <w:r>
        <w:rPr>
          <w:rStyle w:val="FootnoteReference"/>
        </w:rPr>
        <w:footnoteRef/>
      </w:r>
      <w:r>
        <w:t xml:space="preserve"> Calendar year January 1</w:t>
      </w:r>
      <w:r w:rsidRPr="00AF1009">
        <w:rPr>
          <w:vertAlign w:val="superscript"/>
        </w:rPr>
        <w:t>st</w:t>
      </w:r>
      <w:r>
        <w:t xml:space="preserve"> to December 31</w:t>
      </w:r>
      <w:r w:rsidRPr="00AF1009">
        <w:rPr>
          <w:vertAlign w:val="superscript"/>
        </w:rPr>
        <w:t>st</w:t>
      </w:r>
      <w:r>
        <w:t xml:space="preserve"> </w:t>
      </w:r>
    </w:p>
  </w:footnote>
  <w:footnote w:id="27">
    <w:p w14:paraId="66AB531D" w14:textId="77777777" w:rsidR="00A677A0" w:rsidRPr="00B57FB1" w:rsidRDefault="00A677A0" w:rsidP="00B57FB1">
      <w:pPr>
        <w:pStyle w:val="FootnoteText"/>
        <w:jc w:val="both"/>
        <w:rPr>
          <w:rFonts w:cs="Times New Roman"/>
          <w:sz w:val="18"/>
          <w:szCs w:val="18"/>
        </w:rPr>
      </w:pPr>
      <w:r w:rsidRPr="00B57FB1">
        <w:rPr>
          <w:rStyle w:val="FootnoteReference"/>
          <w:rFonts w:cs="Times New Roman"/>
          <w:sz w:val="18"/>
          <w:szCs w:val="18"/>
        </w:rPr>
        <w:footnoteRef/>
      </w:r>
      <w:r w:rsidRPr="00B57FB1">
        <w:rPr>
          <w:rFonts w:cs="Times New Roman"/>
          <w:sz w:val="18"/>
          <w:szCs w:val="18"/>
        </w:rPr>
        <w:t>Values of indicators are cumulative</w:t>
      </w:r>
    </w:p>
  </w:footnote>
  <w:footnote w:id="28">
    <w:p w14:paraId="1202D89A" w14:textId="77777777" w:rsidR="00A677A0" w:rsidRPr="00B57FB1" w:rsidRDefault="00A677A0" w:rsidP="00B57FB1">
      <w:pPr>
        <w:pStyle w:val="FootnoteText"/>
        <w:jc w:val="both"/>
        <w:rPr>
          <w:rFonts w:cs="Times New Roman"/>
          <w:sz w:val="18"/>
          <w:szCs w:val="18"/>
        </w:rPr>
      </w:pPr>
      <w:r w:rsidRPr="00B57FB1">
        <w:rPr>
          <w:rStyle w:val="FootnoteReference"/>
          <w:rFonts w:cs="Times New Roman"/>
          <w:sz w:val="18"/>
          <w:szCs w:val="18"/>
        </w:rPr>
        <w:footnoteRef/>
      </w:r>
      <w:r w:rsidRPr="00B57FB1">
        <w:rPr>
          <w:rFonts w:cs="Times New Roman"/>
          <w:sz w:val="18"/>
          <w:szCs w:val="18"/>
        </w:rPr>
        <w:t xml:space="preserve"> For example, the 1994/95 drought caused agricultural GDP to fall by 45 percent and total GDP to fall by 8 percent.</w:t>
      </w:r>
    </w:p>
  </w:footnote>
  <w:footnote w:id="29">
    <w:p w14:paraId="123C3CE0" w14:textId="32E90BF1" w:rsidR="00A677A0" w:rsidRPr="00B57FB1" w:rsidRDefault="00A677A0" w:rsidP="00B57FB1">
      <w:pPr>
        <w:pStyle w:val="FootnoteText"/>
        <w:jc w:val="both"/>
        <w:rPr>
          <w:rFonts w:cs="Times New Roman"/>
          <w:sz w:val="18"/>
          <w:szCs w:val="18"/>
        </w:rPr>
      </w:pPr>
      <w:r w:rsidRPr="00B57FB1">
        <w:rPr>
          <w:rStyle w:val="FootnoteReference"/>
          <w:rFonts w:cs="Times New Roman"/>
          <w:sz w:val="18"/>
          <w:szCs w:val="18"/>
        </w:rPr>
        <w:footnoteRef/>
      </w:r>
      <w:r w:rsidRPr="00B57FB1">
        <w:rPr>
          <w:rFonts w:cs="Times New Roman"/>
          <w:sz w:val="18"/>
          <w:szCs w:val="18"/>
        </w:rPr>
        <w:t xml:space="preserve"> World Bank</w:t>
      </w:r>
      <w:r>
        <w:rPr>
          <w:rFonts w:cs="Times New Roman"/>
          <w:sz w:val="18"/>
          <w:szCs w:val="18"/>
        </w:rPr>
        <w:t>.</w:t>
      </w:r>
      <w:r w:rsidRPr="00B57FB1">
        <w:rPr>
          <w:rFonts w:cs="Times New Roman"/>
          <w:sz w:val="18"/>
          <w:szCs w:val="18"/>
        </w:rPr>
        <w:t xml:space="preserve"> Morocco study on the impact of climate change on the agricultural sector</w:t>
      </w:r>
      <w:r>
        <w:rPr>
          <w:rFonts w:cs="Times New Roman"/>
          <w:sz w:val="18"/>
          <w:szCs w:val="18"/>
        </w:rPr>
        <w:t>.</w:t>
      </w:r>
      <w:r w:rsidRPr="00B57FB1">
        <w:rPr>
          <w:rFonts w:cs="Times New Roman"/>
          <w:sz w:val="18"/>
          <w:szCs w:val="18"/>
        </w:rPr>
        <w:t xml:space="preserve"> 2009</w:t>
      </w:r>
      <w:r>
        <w:rPr>
          <w:rFonts w:cs="Times New Roman"/>
          <w:sz w:val="18"/>
          <w:szCs w:val="18"/>
        </w:rPr>
        <w:t>.</w:t>
      </w:r>
    </w:p>
  </w:footnote>
  <w:footnote w:id="30">
    <w:p w14:paraId="68138741" w14:textId="77777777" w:rsidR="00A677A0" w:rsidRPr="00B57FB1" w:rsidRDefault="00A677A0" w:rsidP="00B57FB1">
      <w:pPr>
        <w:pStyle w:val="FootnoteText"/>
        <w:jc w:val="both"/>
        <w:rPr>
          <w:rFonts w:cs="Times New Roman"/>
          <w:sz w:val="18"/>
          <w:szCs w:val="18"/>
        </w:rPr>
      </w:pPr>
      <w:r w:rsidRPr="00B57FB1">
        <w:rPr>
          <w:rStyle w:val="FootnoteReference"/>
          <w:rFonts w:cs="Times New Roman"/>
          <w:sz w:val="18"/>
          <w:szCs w:val="18"/>
        </w:rPr>
        <w:footnoteRef/>
      </w:r>
      <w:r w:rsidRPr="00B57FB1">
        <w:rPr>
          <w:rFonts w:cs="Times New Roman"/>
          <w:sz w:val="18"/>
          <w:szCs w:val="18"/>
        </w:rPr>
        <w:t xml:space="preserve"> Ministry of Industry database, 2013</w:t>
      </w:r>
    </w:p>
  </w:footnote>
  <w:footnote w:id="31">
    <w:p w14:paraId="5038A560" w14:textId="77777777" w:rsidR="00A677A0" w:rsidRPr="00B57FB1" w:rsidRDefault="00A677A0" w:rsidP="00B57FB1">
      <w:pPr>
        <w:pStyle w:val="FootnoteText"/>
        <w:jc w:val="both"/>
        <w:rPr>
          <w:rFonts w:cs="Times New Roman"/>
          <w:sz w:val="18"/>
          <w:szCs w:val="18"/>
        </w:rPr>
      </w:pPr>
      <w:r w:rsidRPr="00B57FB1">
        <w:rPr>
          <w:rStyle w:val="FootnoteReference"/>
          <w:rFonts w:cs="Times New Roman"/>
          <w:sz w:val="18"/>
          <w:szCs w:val="18"/>
        </w:rPr>
        <w:footnoteRef/>
      </w:r>
      <w:r w:rsidRPr="00B57FB1">
        <w:rPr>
          <w:rFonts w:cs="Times New Roman"/>
          <w:sz w:val="18"/>
          <w:szCs w:val="18"/>
        </w:rPr>
        <w:t xml:space="preserve"> ODCO database, 2015</w:t>
      </w:r>
    </w:p>
  </w:footnote>
  <w:footnote w:id="32">
    <w:p w14:paraId="2A83AE52" w14:textId="087B8C92" w:rsidR="00A677A0" w:rsidRPr="00B57FB1" w:rsidRDefault="00A677A0" w:rsidP="00B57FB1">
      <w:pPr>
        <w:pStyle w:val="FootnoteText"/>
        <w:jc w:val="both"/>
        <w:rPr>
          <w:rFonts w:cs="Times New Roman"/>
          <w:sz w:val="18"/>
          <w:szCs w:val="18"/>
        </w:rPr>
      </w:pPr>
      <w:r w:rsidRPr="00B57FB1">
        <w:rPr>
          <w:rStyle w:val="FootnoteReference"/>
          <w:rFonts w:cs="Times New Roman"/>
          <w:sz w:val="18"/>
          <w:szCs w:val="18"/>
        </w:rPr>
        <w:footnoteRef/>
      </w:r>
      <w:r w:rsidRPr="00B57FB1">
        <w:rPr>
          <w:rFonts w:cs="Times New Roman"/>
          <w:sz w:val="18"/>
          <w:szCs w:val="18"/>
        </w:rPr>
        <w:t xml:space="preserve"> Morocco’s ranking in the Doing Business Indicators has been improved from 114 in 2011 to 68 in 2017, with significant progress in facilitation of administrative procedures, access to land and protection of investors rights.</w:t>
      </w:r>
    </w:p>
  </w:footnote>
  <w:footnote w:id="33">
    <w:p w14:paraId="282D28C5" w14:textId="77777777" w:rsidR="00A677A0" w:rsidRPr="00B57FB1" w:rsidRDefault="00A677A0" w:rsidP="00B57FB1">
      <w:pPr>
        <w:pStyle w:val="Default"/>
        <w:jc w:val="both"/>
        <w:rPr>
          <w:sz w:val="18"/>
          <w:szCs w:val="18"/>
          <w:lang w:val="fr-FR"/>
        </w:rPr>
      </w:pPr>
      <w:r w:rsidRPr="00B57FB1">
        <w:rPr>
          <w:rStyle w:val="FootnoteReference"/>
          <w:sz w:val="18"/>
          <w:szCs w:val="18"/>
        </w:rPr>
        <w:footnoteRef/>
      </w:r>
      <w:r w:rsidRPr="00B57FB1">
        <w:rPr>
          <w:sz w:val="18"/>
          <w:szCs w:val="18"/>
          <w:lang w:val="fr-FR"/>
        </w:rPr>
        <w:t xml:space="preserve"> Définition d’une stratégie de développement du secteur des industries agroalimentaires et accompagnement à l’élaboration d’un projet de contrat-programme Marché N°14/2014, Roland Berger consulting, April 2014.</w:t>
      </w:r>
    </w:p>
  </w:footnote>
  <w:footnote w:id="34">
    <w:p w14:paraId="6781DFB0" w14:textId="77777777" w:rsidR="00A677A0" w:rsidRPr="00B57FB1" w:rsidRDefault="00A677A0" w:rsidP="00B57FB1">
      <w:pPr>
        <w:pStyle w:val="FootnoteText"/>
        <w:jc w:val="both"/>
        <w:rPr>
          <w:rFonts w:cs="Times New Roman"/>
          <w:sz w:val="18"/>
          <w:szCs w:val="18"/>
        </w:rPr>
      </w:pPr>
      <w:r w:rsidRPr="00B57FB1">
        <w:rPr>
          <w:rStyle w:val="FootnoteReference"/>
          <w:rFonts w:cs="Times New Roman"/>
          <w:sz w:val="18"/>
          <w:szCs w:val="18"/>
        </w:rPr>
        <w:footnoteRef/>
      </w:r>
      <w:r w:rsidRPr="00B57FB1">
        <w:rPr>
          <w:rFonts w:cs="Times New Roman"/>
          <w:sz w:val="18"/>
          <w:szCs w:val="18"/>
        </w:rPr>
        <w:t xml:space="preserve"> An </w:t>
      </w:r>
      <w:r w:rsidRPr="00B57FB1">
        <w:rPr>
          <w:rFonts w:cs="Times New Roman"/>
          <w:b/>
          <w:bCs/>
          <w:sz w:val="18"/>
          <w:szCs w:val="18"/>
        </w:rPr>
        <w:t xml:space="preserve">innovation </w:t>
      </w:r>
      <w:r w:rsidRPr="00B57FB1">
        <w:rPr>
          <w:rFonts w:cs="Times New Roman"/>
          <w:sz w:val="18"/>
          <w:szCs w:val="18"/>
        </w:rPr>
        <w:t>is the implementation of a new or significantly improved product (good or service), or process, a new marketing method, or a new organizational method in business practices, workplace organization or external relations (Oslo Manual, Paragraph 146).  The Oslo manual defines the following 4 main sub-types of innovations: product innovation (to the firm, to the market, to the international market), process innovation, marketing innovation and organizational innovation.</w:t>
      </w:r>
    </w:p>
  </w:footnote>
  <w:footnote w:id="35">
    <w:p w14:paraId="5AFBBBB9" w14:textId="52EFF47A" w:rsidR="00A677A0" w:rsidRPr="00B57FB1" w:rsidRDefault="00A677A0" w:rsidP="00B57FB1">
      <w:pPr>
        <w:pStyle w:val="FootnoteText"/>
        <w:jc w:val="both"/>
        <w:rPr>
          <w:rFonts w:cs="Times New Roman"/>
          <w:sz w:val="18"/>
          <w:szCs w:val="18"/>
        </w:rPr>
      </w:pPr>
      <w:r w:rsidRPr="00B57FB1">
        <w:rPr>
          <w:rStyle w:val="FootnoteReference"/>
          <w:rFonts w:cs="Times New Roman"/>
          <w:sz w:val="18"/>
          <w:szCs w:val="18"/>
        </w:rPr>
        <w:footnoteRef/>
      </w:r>
      <w:r w:rsidRPr="00B57FB1">
        <w:rPr>
          <w:rFonts w:cs="Times New Roman"/>
          <w:sz w:val="18"/>
          <w:szCs w:val="18"/>
        </w:rPr>
        <w:t xml:space="preserve"> In particular, evaluations shared by AFD</w:t>
      </w:r>
      <w:r w:rsidRPr="00B57FB1">
        <w:rPr>
          <w:rFonts w:cs="Times New Roman"/>
          <w:sz w:val="18"/>
          <w:szCs w:val="18"/>
        </w:rPr>
        <w:fldChar w:fldCharType="begin"/>
      </w:r>
      <w:r w:rsidRPr="00B57FB1">
        <w:rPr>
          <w:rFonts w:cs="Times New Roman"/>
          <w:sz w:val="18"/>
          <w:szCs w:val="18"/>
        </w:rPr>
        <w:instrText xml:space="preserve"> XE "AFD" </w:instrText>
      </w:r>
      <w:r w:rsidRPr="00B57FB1">
        <w:rPr>
          <w:rFonts w:cs="Times New Roman"/>
          <w:sz w:val="18"/>
          <w:szCs w:val="18"/>
        </w:rPr>
        <w:fldChar w:fldCharType="end"/>
      </w:r>
      <w:r w:rsidRPr="00B57FB1">
        <w:rPr>
          <w:rFonts w:cs="Times New Roman"/>
          <w:sz w:val="18"/>
          <w:szCs w:val="18"/>
        </w:rPr>
        <w:t xml:space="preserve"> and MCC</w:t>
      </w:r>
      <w:r w:rsidRPr="00B57FB1">
        <w:rPr>
          <w:rFonts w:cs="Times New Roman"/>
          <w:sz w:val="18"/>
          <w:szCs w:val="18"/>
        </w:rPr>
        <w:fldChar w:fldCharType="begin"/>
      </w:r>
      <w:r w:rsidRPr="00B57FB1">
        <w:rPr>
          <w:rFonts w:cs="Times New Roman"/>
          <w:sz w:val="18"/>
          <w:szCs w:val="18"/>
        </w:rPr>
        <w:instrText xml:space="preserve"> XE "MCC" </w:instrText>
      </w:r>
      <w:r w:rsidRPr="00B57FB1">
        <w:rPr>
          <w:rFonts w:cs="Times New Roman"/>
          <w:sz w:val="18"/>
          <w:szCs w:val="18"/>
        </w:rPr>
        <w:fldChar w:fldCharType="end"/>
      </w:r>
      <w:r w:rsidRPr="00B57FB1">
        <w:rPr>
          <w:rFonts w:cs="Times New Roman"/>
          <w:sz w:val="18"/>
          <w:szCs w:val="18"/>
        </w:rPr>
        <w:t>.</w:t>
      </w:r>
    </w:p>
  </w:footnote>
  <w:footnote w:id="36">
    <w:p w14:paraId="776FCD4C" w14:textId="0335A7AA" w:rsidR="00A677A0" w:rsidRPr="00B57FB1" w:rsidRDefault="00A677A0" w:rsidP="00B57FB1">
      <w:pPr>
        <w:pStyle w:val="FootnoteText"/>
        <w:jc w:val="both"/>
        <w:rPr>
          <w:rFonts w:cs="Times New Roman"/>
          <w:sz w:val="18"/>
          <w:szCs w:val="18"/>
        </w:rPr>
      </w:pPr>
      <w:r w:rsidRPr="00B57FB1">
        <w:rPr>
          <w:rStyle w:val="FootnoteReference"/>
          <w:rFonts w:cs="Times New Roman"/>
          <w:sz w:val="18"/>
          <w:szCs w:val="18"/>
        </w:rPr>
        <w:footnoteRef/>
      </w:r>
      <w:r w:rsidRPr="00B57FB1">
        <w:rPr>
          <w:rFonts w:cs="Times New Roman"/>
          <w:sz w:val="18"/>
          <w:szCs w:val="18"/>
        </w:rPr>
        <w:t xml:space="preserve"> </w:t>
      </w:r>
      <w:r>
        <w:rPr>
          <w:rFonts w:cs="Times New Roman"/>
          <w:sz w:val="18"/>
          <w:szCs w:val="18"/>
        </w:rPr>
        <w:t xml:space="preserve">World Bank. </w:t>
      </w:r>
      <w:r w:rsidRPr="00B57FB1">
        <w:rPr>
          <w:rFonts w:cs="Times New Roman"/>
          <w:sz w:val="18"/>
          <w:szCs w:val="18"/>
        </w:rPr>
        <w:t>Inclusive agriculture growth in Morocco: A deep dive into the citrus and olive value-chains</w:t>
      </w:r>
      <w:r>
        <w:rPr>
          <w:rFonts w:cs="Times New Roman"/>
          <w:sz w:val="18"/>
          <w:szCs w:val="18"/>
        </w:rPr>
        <w:t>.</w:t>
      </w:r>
      <w:r w:rsidRPr="00B57FB1">
        <w:rPr>
          <w:rFonts w:cs="Times New Roman"/>
          <w:sz w:val="18"/>
          <w:szCs w:val="18"/>
        </w:rPr>
        <w:t xml:space="preserve"> June 2017.</w:t>
      </w:r>
    </w:p>
  </w:footnote>
  <w:footnote w:id="37">
    <w:p w14:paraId="60A4B8E1" w14:textId="7C9F2205" w:rsidR="00A677A0" w:rsidRPr="00B57FB1" w:rsidRDefault="00A677A0" w:rsidP="00B57FB1">
      <w:pPr>
        <w:pStyle w:val="FootnoteText"/>
        <w:jc w:val="both"/>
        <w:rPr>
          <w:rFonts w:cs="Times New Roman"/>
          <w:sz w:val="18"/>
          <w:szCs w:val="18"/>
        </w:rPr>
      </w:pPr>
      <w:r w:rsidRPr="00B57FB1">
        <w:rPr>
          <w:rStyle w:val="FootnoteReference"/>
          <w:rFonts w:cs="Times New Roman"/>
          <w:sz w:val="18"/>
          <w:szCs w:val="18"/>
        </w:rPr>
        <w:footnoteRef/>
      </w:r>
      <w:r w:rsidRPr="00B57FB1">
        <w:rPr>
          <w:rFonts w:cs="Times New Roman"/>
          <w:sz w:val="18"/>
          <w:szCs w:val="18"/>
        </w:rPr>
        <w:t xml:space="preserve"> Morocco: Investing in collective action – Opportunities in Morocco’s agri-food system, final draft, FAO and EBRD, June 2017.</w:t>
      </w:r>
    </w:p>
  </w:footnote>
  <w:footnote w:id="38">
    <w:p w14:paraId="7BA67955" w14:textId="6D2C599C" w:rsidR="00A677A0" w:rsidRPr="00B57FB1" w:rsidRDefault="00A677A0" w:rsidP="00B57FB1">
      <w:pPr>
        <w:pStyle w:val="FootnoteText"/>
        <w:jc w:val="both"/>
        <w:rPr>
          <w:rFonts w:cs="Times New Roman"/>
          <w:sz w:val="18"/>
          <w:szCs w:val="18"/>
        </w:rPr>
      </w:pPr>
      <w:r w:rsidRPr="00B57FB1">
        <w:rPr>
          <w:rStyle w:val="FootnoteReference"/>
          <w:rFonts w:cs="Times New Roman"/>
          <w:sz w:val="18"/>
          <w:szCs w:val="18"/>
        </w:rPr>
        <w:footnoteRef/>
      </w:r>
      <w:r w:rsidRPr="00B57FB1">
        <w:rPr>
          <w:rFonts w:cs="Times New Roman"/>
          <w:sz w:val="18"/>
          <w:szCs w:val="18"/>
        </w:rPr>
        <w:t xml:space="preserve"> Project sponsors include the </w:t>
      </w:r>
      <w:r w:rsidRPr="00B57FB1">
        <w:rPr>
          <w:rFonts w:cs="Times New Roman"/>
          <w:color w:val="222222"/>
          <w:sz w:val="18"/>
          <w:szCs w:val="18"/>
          <w:lang w:val="en"/>
        </w:rPr>
        <w:t xml:space="preserve">MAPM, MEF, MICEN, MI, and Rabat-Salé-Kénitra Region, as well as the municipalities of Rabat, Salé, </w:t>
      </w:r>
      <w:r>
        <w:rPr>
          <w:rFonts w:cs="Times New Roman"/>
          <w:color w:val="222222"/>
          <w:sz w:val="18"/>
          <w:szCs w:val="18"/>
          <w:lang w:val="en"/>
        </w:rPr>
        <w:t xml:space="preserve">Kénitra, </w:t>
      </w:r>
      <w:r w:rsidRPr="00B57FB1">
        <w:rPr>
          <w:rFonts w:cs="Times New Roman"/>
          <w:color w:val="222222"/>
          <w:sz w:val="18"/>
          <w:szCs w:val="18"/>
          <w:lang w:val="en"/>
        </w:rPr>
        <w:t>Témara, Ain Attig, Skhirat, Ain Aouda, Sidi Yayha des Zaers, El Harhoura, and Sidi Abi El Canadel.</w:t>
      </w:r>
    </w:p>
  </w:footnote>
  <w:footnote w:id="39">
    <w:p w14:paraId="399526F2" w14:textId="3B0DD717" w:rsidR="00A677A0" w:rsidRPr="00B57FB1" w:rsidRDefault="00A677A0" w:rsidP="00B57FB1">
      <w:pPr>
        <w:pStyle w:val="FootnoteText"/>
        <w:jc w:val="both"/>
        <w:rPr>
          <w:rFonts w:cs="Times New Roman"/>
          <w:sz w:val="18"/>
          <w:szCs w:val="18"/>
        </w:rPr>
      </w:pPr>
      <w:r w:rsidRPr="00B57FB1">
        <w:rPr>
          <w:rStyle w:val="FootnoteReference"/>
          <w:rFonts w:cs="Times New Roman"/>
          <w:sz w:val="18"/>
          <w:szCs w:val="18"/>
        </w:rPr>
        <w:footnoteRef/>
      </w:r>
      <w:r w:rsidRPr="00B57FB1">
        <w:rPr>
          <w:rFonts w:cs="Times New Roman"/>
          <w:sz w:val="18"/>
          <w:szCs w:val="18"/>
        </w:rPr>
        <w:t xml:space="preserve"> </w:t>
      </w:r>
      <w:r w:rsidRPr="00B57FB1">
        <w:rPr>
          <w:rFonts w:cs="Times New Roman"/>
          <w:color w:val="222222"/>
          <w:sz w:val="18"/>
          <w:szCs w:val="18"/>
          <w:lang w:val="en"/>
        </w:rPr>
        <w:t>Rabat Aménagement S.A.’s contract provides for the payment of a 3 percent commission on the amount of the work.</w:t>
      </w:r>
    </w:p>
  </w:footnote>
  <w:footnote w:id="40">
    <w:p w14:paraId="512E9D27" w14:textId="77777777" w:rsidR="00A677A0" w:rsidRPr="00B57FB1" w:rsidRDefault="00A677A0" w:rsidP="00B57FB1">
      <w:pPr>
        <w:pStyle w:val="FootnoteText"/>
        <w:jc w:val="both"/>
        <w:rPr>
          <w:rFonts w:cs="Times New Roman"/>
          <w:sz w:val="18"/>
          <w:szCs w:val="18"/>
        </w:rPr>
      </w:pPr>
      <w:r w:rsidRPr="00B57FB1">
        <w:rPr>
          <w:rStyle w:val="FootnoteReference"/>
          <w:rFonts w:cs="Times New Roman"/>
          <w:sz w:val="18"/>
          <w:szCs w:val="18"/>
        </w:rPr>
        <w:footnoteRef/>
      </w:r>
      <w:r w:rsidRPr="00B57FB1">
        <w:rPr>
          <w:rFonts w:cs="Times New Roman"/>
          <w:sz w:val="18"/>
          <w:szCs w:val="18"/>
        </w:rPr>
        <w:t xml:space="preserve"> A PGI </w:t>
      </w:r>
      <w:r w:rsidRPr="00B57FB1">
        <w:rPr>
          <w:rFonts w:cs="Times New Roman"/>
          <w:color w:val="000000"/>
          <w:sz w:val="18"/>
          <w:szCs w:val="18"/>
          <w:lang w:val="en"/>
        </w:rPr>
        <w:t>identifies products whose quality or reputation are linked to the place or region where it is either produced, processed or prepared, although the ingredients used need not necessarily come from that geographical area.</w:t>
      </w:r>
    </w:p>
  </w:footnote>
  <w:footnote w:id="41">
    <w:p w14:paraId="044FB817" w14:textId="183FF327" w:rsidR="00A677A0" w:rsidRPr="00B57FB1" w:rsidRDefault="00A677A0" w:rsidP="00B57FB1">
      <w:pPr>
        <w:pStyle w:val="FootnoteText"/>
        <w:jc w:val="both"/>
        <w:rPr>
          <w:rFonts w:cs="Times New Roman"/>
          <w:sz w:val="18"/>
          <w:szCs w:val="18"/>
        </w:rPr>
      </w:pPr>
      <w:r w:rsidRPr="00B57FB1">
        <w:rPr>
          <w:rStyle w:val="FootnoteReference"/>
          <w:rFonts w:cs="Times New Roman"/>
          <w:sz w:val="18"/>
          <w:szCs w:val="18"/>
        </w:rPr>
        <w:footnoteRef/>
      </w:r>
      <w:r w:rsidRPr="00B57FB1">
        <w:rPr>
          <w:rFonts w:cs="Times New Roman"/>
          <w:sz w:val="18"/>
          <w:szCs w:val="18"/>
        </w:rPr>
        <w:t xml:space="preserve"> A</w:t>
      </w:r>
      <w:r>
        <w:rPr>
          <w:rFonts w:cs="Times New Roman"/>
          <w:sz w:val="18"/>
          <w:szCs w:val="18"/>
        </w:rPr>
        <w:t>n</w:t>
      </w:r>
      <w:r w:rsidRPr="00B57FB1">
        <w:rPr>
          <w:rFonts w:cs="Times New Roman"/>
          <w:sz w:val="18"/>
          <w:szCs w:val="18"/>
        </w:rPr>
        <w:t xml:space="preserve"> </w:t>
      </w:r>
      <w:r>
        <w:rPr>
          <w:rStyle w:val="Strong"/>
          <w:rFonts w:cs="Times New Roman"/>
          <w:b w:val="0"/>
          <w:iCs/>
          <w:color w:val="000000"/>
          <w:sz w:val="18"/>
          <w:szCs w:val="18"/>
          <w:lang w:val="en"/>
        </w:rPr>
        <w:t>A</w:t>
      </w:r>
      <w:r w:rsidRPr="00EC0483">
        <w:rPr>
          <w:rStyle w:val="Strong"/>
          <w:rFonts w:cs="Times New Roman"/>
          <w:b w:val="0"/>
          <w:iCs/>
          <w:color w:val="000000"/>
          <w:sz w:val="18"/>
          <w:szCs w:val="18"/>
          <w:lang w:val="en"/>
        </w:rPr>
        <w:t>O</w:t>
      </w:r>
      <w:r w:rsidRPr="00B57FB1">
        <w:rPr>
          <w:rStyle w:val="Strong"/>
          <w:rFonts w:cs="Times New Roman"/>
          <w:iCs/>
          <w:color w:val="000000"/>
          <w:sz w:val="18"/>
          <w:szCs w:val="18"/>
          <w:lang w:val="en"/>
        </w:rPr>
        <w:t xml:space="preserve"> </w:t>
      </w:r>
      <w:r w:rsidRPr="00B57FB1">
        <w:rPr>
          <w:rFonts w:cs="Times New Roman"/>
          <w:color w:val="000000"/>
          <w:sz w:val="18"/>
          <w:szCs w:val="18"/>
          <w:lang w:val="en"/>
        </w:rPr>
        <w:t xml:space="preserve">identifies products that are both produced, processed </w:t>
      </w:r>
      <w:r w:rsidRPr="00B57FB1">
        <w:rPr>
          <w:rFonts w:cs="Times New Roman"/>
          <w:iCs/>
          <w:color w:val="000000"/>
          <w:sz w:val="18"/>
          <w:szCs w:val="18"/>
          <w:lang w:val="en"/>
        </w:rPr>
        <w:t>and</w:t>
      </w:r>
      <w:r w:rsidRPr="00B57FB1">
        <w:rPr>
          <w:rFonts w:cs="Times New Roman"/>
          <w:i/>
          <w:iCs/>
          <w:color w:val="000000"/>
          <w:sz w:val="18"/>
          <w:szCs w:val="18"/>
          <w:lang w:val="en"/>
        </w:rPr>
        <w:t xml:space="preserve"> </w:t>
      </w:r>
      <w:r w:rsidRPr="00B57FB1">
        <w:rPr>
          <w:rFonts w:cs="Times New Roman"/>
          <w:color w:val="000000"/>
          <w:sz w:val="18"/>
          <w:szCs w:val="18"/>
          <w:lang w:val="en"/>
        </w:rPr>
        <w:t xml:space="preserve">prepared in a specific geographical area, using the recognized know-how of local producers and ingredients from the region concerned. </w:t>
      </w:r>
    </w:p>
  </w:footnote>
  <w:footnote w:id="42">
    <w:p w14:paraId="0155F272" w14:textId="77777777" w:rsidR="00A677A0" w:rsidRPr="00B57FB1" w:rsidRDefault="00A677A0" w:rsidP="00B57FB1">
      <w:pPr>
        <w:pStyle w:val="FootnoteText"/>
        <w:jc w:val="both"/>
        <w:rPr>
          <w:rFonts w:cs="Times New Roman"/>
          <w:sz w:val="18"/>
          <w:szCs w:val="18"/>
        </w:rPr>
      </w:pPr>
      <w:r w:rsidRPr="00B57FB1">
        <w:rPr>
          <w:rStyle w:val="FootnoteReference"/>
          <w:rFonts w:cs="Times New Roman"/>
          <w:sz w:val="18"/>
          <w:szCs w:val="18"/>
        </w:rPr>
        <w:footnoteRef/>
      </w:r>
      <w:r w:rsidRPr="00B57FB1">
        <w:rPr>
          <w:rFonts w:cs="Times New Roman"/>
          <w:sz w:val="18"/>
          <w:szCs w:val="18"/>
        </w:rPr>
        <w:t xml:space="preserve"> An agricultural trademark recognizes the specific quality of a product emanating from the manner in which it was produced, processed, or the geographic area from which it originated.</w:t>
      </w:r>
    </w:p>
  </w:footnote>
  <w:footnote w:id="43">
    <w:p w14:paraId="5942B9B5" w14:textId="7BD714EE" w:rsidR="00A677A0" w:rsidRPr="00B57FB1" w:rsidRDefault="00A677A0" w:rsidP="00B57FB1">
      <w:pPr>
        <w:pStyle w:val="FootnoteText"/>
        <w:jc w:val="both"/>
        <w:rPr>
          <w:rFonts w:cs="Times New Roman"/>
          <w:sz w:val="18"/>
          <w:szCs w:val="18"/>
        </w:rPr>
      </w:pPr>
      <w:r w:rsidRPr="00B57FB1">
        <w:rPr>
          <w:rStyle w:val="FootnoteReference"/>
          <w:rFonts w:cs="Times New Roman"/>
          <w:sz w:val="18"/>
          <w:szCs w:val="18"/>
        </w:rPr>
        <w:footnoteRef/>
      </w:r>
      <w:r w:rsidRPr="00B57FB1">
        <w:rPr>
          <w:rFonts w:cs="Times New Roman"/>
          <w:sz w:val="18"/>
          <w:szCs w:val="18"/>
        </w:rPr>
        <w:t xml:space="preserve"> Specific quality schemes are based on</w:t>
      </w:r>
      <w:r>
        <w:rPr>
          <w:rFonts w:cs="Times New Roman"/>
          <w:sz w:val="18"/>
          <w:szCs w:val="18"/>
        </w:rPr>
        <w:t>:</w:t>
      </w:r>
      <w:r w:rsidRPr="00B57FB1">
        <w:rPr>
          <w:rFonts w:cs="Times New Roman"/>
          <w:sz w:val="18"/>
          <w:szCs w:val="18"/>
        </w:rPr>
        <w:t xml:space="preserve"> (i) a voluntary approach to address a specific target (niche); (ii) a specification, code of practice related to specific characteristics (social, environmental, culture etc.); (iii) a guarantee system (verification, certification); (iv) and information (labeling).</w:t>
      </w:r>
    </w:p>
  </w:footnote>
  <w:footnote w:id="44">
    <w:p w14:paraId="6FDB3ABB" w14:textId="77777777" w:rsidR="00A677A0" w:rsidRPr="00B57FB1" w:rsidRDefault="00A677A0" w:rsidP="00B57FB1">
      <w:pPr>
        <w:pStyle w:val="FootnoteText"/>
        <w:jc w:val="both"/>
        <w:rPr>
          <w:rFonts w:cs="Times New Roman"/>
          <w:sz w:val="18"/>
          <w:szCs w:val="18"/>
        </w:rPr>
      </w:pPr>
      <w:r w:rsidRPr="00B57FB1">
        <w:rPr>
          <w:rStyle w:val="FootnoteReference"/>
          <w:rFonts w:cs="Times New Roman"/>
          <w:sz w:val="18"/>
          <w:szCs w:val="18"/>
        </w:rPr>
        <w:footnoteRef/>
      </w:r>
      <w:r w:rsidRPr="00B57FB1">
        <w:rPr>
          <w:rFonts w:cs="Times New Roman"/>
          <w:sz w:val="18"/>
          <w:szCs w:val="18"/>
        </w:rPr>
        <w:t xml:space="preserve"> Lernoud, J. et al (2017) </w:t>
      </w:r>
      <w:r w:rsidRPr="00B57FB1">
        <w:rPr>
          <w:rFonts w:cs="Times New Roman"/>
          <w:i/>
          <w:sz w:val="18"/>
          <w:szCs w:val="18"/>
        </w:rPr>
        <w:t>The State of Sustainable Markets – Statistics and Emerging Trends</w:t>
      </w:r>
      <w:r w:rsidRPr="00B57FB1">
        <w:rPr>
          <w:rFonts w:cs="Times New Roman"/>
          <w:sz w:val="18"/>
          <w:szCs w:val="18"/>
        </w:rPr>
        <w:t>. ITC, Geneva</w:t>
      </w:r>
    </w:p>
  </w:footnote>
  <w:footnote w:id="45">
    <w:p w14:paraId="48690567" w14:textId="429A12BD" w:rsidR="00A677A0" w:rsidRPr="00B57FB1" w:rsidRDefault="00A677A0" w:rsidP="00B57FB1">
      <w:pPr>
        <w:pStyle w:val="FootnoteText"/>
        <w:jc w:val="both"/>
        <w:rPr>
          <w:rFonts w:cs="Times New Roman"/>
          <w:sz w:val="18"/>
          <w:szCs w:val="18"/>
        </w:rPr>
      </w:pPr>
      <w:r w:rsidRPr="00B57FB1">
        <w:rPr>
          <w:rStyle w:val="FootnoteReference"/>
          <w:rFonts w:cs="Times New Roman"/>
          <w:sz w:val="18"/>
          <w:szCs w:val="18"/>
        </w:rPr>
        <w:footnoteRef/>
      </w:r>
      <w:r w:rsidRPr="00B57FB1">
        <w:rPr>
          <w:rFonts w:cs="Times New Roman"/>
          <w:sz w:val="18"/>
          <w:szCs w:val="18"/>
        </w:rPr>
        <w:t xml:space="preserve"> Organic products with a total value of almost USD 82 billion were sold globally in 2015. Organic retail sales in the EU </w:t>
      </w:r>
      <w:r w:rsidRPr="00B57FB1">
        <w:rPr>
          <w:rFonts w:cs="Times New Roman"/>
          <w:bCs/>
          <w:sz w:val="18"/>
          <w:szCs w:val="18"/>
          <w:lang w:val="en-GB"/>
        </w:rPr>
        <w:t>grew by an average annual rate above 15 percent between 2004 and 2015 compared to an average annual growth rate in grocery retail markets of around 2 to 3</w:t>
      </w:r>
      <w:r>
        <w:rPr>
          <w:rFonts w:cs="Times New Roman"/>
          <w:bCs/>
          <w:sz w:val="18"/>
          <w:szCs w:val="18"/>
          <w:lang w:val="en-GB"/>
        </w:rPr>
        <w:t xml:space="preserve"> percent</w:t>
      </w:r>
      <w:r w:rsidRPr="00B57FB1">
        <w:rPr>
          <w:rFonts w:cs="Times New Roman"/>
          <w:bCs/>
          <w:sz w:val="18"/>
          <w:szCs w:val="18"/>
          <w:lang w:val="en-GB"/>
        </w:rPr>
        <w:t xml:space="preserve"> in the period 2006-2012</w:t>
      </w:r>
      <w:r>
        <w:rPr>
          <w:rFonts w:cs="Times New Roman"/>
          <w:bCs/>
          <w:sz w:val="18"/>
          <w:szCs w:val="18"/>
          <w:lang w:val="en-GB"/>
        </w:rPr>
        <w:t>.</w:t>
      </w:r>
    </w:p>
  </w:footnote>
  <w:footnote w:id="46">
    <w:p w14:paraId="000128CC" w14:textId="2BCDB680" w:rsidR="00A677A0" w:rsidRPr="00B57FB1" w:rsidRDefault="00A677A0" w:rsidP="00B57FB1">
      <w:pPr>
        <w:pStyle w:val="FootnoteText"/>
        <w:jc w:val="both"/>
        <w:rPr>
          <w:rFonts w:cs="Times New Roman"/>
          <w:sz w:val="18"/>
          <w:szCs w:val="18"/>
        </w:rPr>
      </w:pPr>
      <w:r w:rsidRPr="00B57FB1">
        <w:rPr>
          <w:rStyle w:val="FootnoteReference"/>
          <w:rFonts w:cs="Times New Roman"/>
          <w:sz w:val="18"/>
          <w:szCs w:val="18"/>
        </w:rPr>
        <w:footnoteRef/>
      </w:r>
      <w:r w:rsidRPr="00B57FB1">
        <w:rPr>
          <w:rFonts w:cs="Times New Roman"/>
          <w:sz w:val="18"/>
          <w:szCs w:val="18"/>
        </w:rPr>
        <w:t xml:space="preserve"> The number of registered GIs in Europe grew at an average annual rate of 12.7</w:t>
      </w:r>
      <w:r>
        <w:rPr>
          <w:rFonts w:cs="Times New Roman"/>
          <w:sz w:val="18"/>
          <w:szCs w:val="18"/>
        </w:rPr>
        <w:t xml:space="preserve"> percent</w:t>
      </w:r>
      <w:r w:rsidRPr="00B57FB1">
        <w:rPr>
          <w:rFonts w:cs="Times New Roman"/>
          <w:sz w:val="18"/>
          <w:szCs w:val="18"/>
        </w:rPr>
        <w:t xml:space="preserve"> between 2007 and 2017.</w:t>
      </w:r>
    </w:p>
  </w:footnote>
  <w:footnote w:id="47">
    <w:p w14:paraId="4786CE8F" w14:textId="43955760" w:rsidR="00A677A0" w:rsidRPr="00B57FB1" w:rsidRDefault="00A677A0" w:rsidP="00B57FB1">
      <w:pPr>
        <w:pStyle w:val="FootnoteText"/>
        <w:jc w:val="both"/>
        <w:rPr>
          <w:rFonts w:cs="Times New Roman"/>
          <w:sz w:val="18"/>
          <w:szCs w:val="18"/>
        </w:rPr>
      </w:pPr>
      <w:r w:rsidRPr="00B57FB1">
        <w:rPr>
          <w:rStyle w:val="FootnoteReference"/>
          <w:rFonts w:cs="Times New Roman"/>
          <w:sz w:val="18"/>
          <w:szCs w:val="18"/>
        </w:rPr>
        <w:footnoteRef/>
      </w:r>
      <w:r w:rsidRPr="00B57FB1">
        <w:rPr>
          <w:rFonts w:cs="Times New Roman"/>
          <w:sz w:val="18"/>
          <w:szCs w:val="18"/>
        </w:rPr>
        <w:t xml:space="preserve"> A recent meta-analysis of studies from North America, Europe, and India concluded that organic was more profitable than conventional as lower input costs and higher price premiums compensated for lower yields and higher labor cost. While data on organic consumer prices in Europe are not available, a recent USDA study</w:t>
      </w:r>
      <w:r w:rsidRPr="00B57FB1">
        <w:rPr>
          <w:rFonts w:cs="Times New Roman"/>
          <w:sz w:val="18"/>
          <w:szCs w:val="18"/>
          <w:lang w:val="en"/>
        </w:rPr>
        <w:t xml:space="preserve"> estimating the retail price difference between 17 organic products and their nonorganic counterparts from 2004 to 2010 found that the premium, while fluctuating, was above 20 percent for all but spinach.</w:t>
      </w:r>
      <w:r w:rsidRPr="00B57FB1">
        <w:rPr>
          <w:rFonts w:cs="Times New Roman"/>
          <w:sz w:val="18"/>
          <w:szCs w:val="18"/>
        </w:rPr>
        <w:t xml:space="preserve"> A recent meta-analysis of </w:t>
      </w:r>
      <w:r>
        <w:rPr>
          <w:rFonts w:cs="Times New Roman"/>
          <w:sz w:val="18"/>
          <w:szCs w:val="18"/>
        </w:rPr>
        <w:t>g</w:t>
      </w:r>
      <w:r w:rsidRPr="00B57FB1">
        <w:rPr>
          <w:rFonts w:cs="Times New Roman"/>
          <w:sz w:val="18"/>
          <w:szCs w:val="18"/>
        </w:rPr>
        <w:t xml:space="preserve">eographical </w:t>
      </w:r>
      <w:r>
        <w:rPr>
          <w:rFonts w:cs="Times New Roman"/>
          <w:sz w:val="18"/>
          <w:szCs w:val="18"/>
        </w:rPr>
        <w:t>i</w:t>
      </w:r>
      <w:r w:rsidRPr="00B57FB1">
        <w:rPr>
          <w:rFonts w:cs="Times New Roman"/>
          <w:sz w:val="18"/>
          <w:szCs w:val="18"/>
        </w:rPr>
        <w:t>ndications (GIs), for its part, concluded that the average percentage premium for GIs in 15.1% with the highest percentage premium in markets for products with short supply chains that are minimally processed and differentiated by product variety cultivar.</w:t>
      </w:r>
    </w:p>
  </w:footnote>
  <w:footnote w:id="48">
    <w:p w14:paraId="19AF237D" w14:textId="07D3E982" w:rsidR="00A677A0" w:rsidRPr="00B57FB1" w:rsidRDefault="00A677A0" w:rsidP="00B57FB1">
      <w:pPr>
        <w:pStyle w:val="FootnoteText"/>
        <w:jc w:val="both"/>
        <w:rPr>
          <w:rFonts w:cs="Times New Roman"/>
          <w:sz w:val="18"/>
          <w:szCs w:val="18"/>
        </w:rPr>
      </w:pPr>
      <w:r w:rsidRPr="00B57FB1">
        <w:rPr>
          <w:rStyle w:val="FootnoteReference"/>
          <w:rFonts w:cs="Times New Roman"/>
          <w:sz w:val="18"/>
          <w:szCs w:val="18"/>
        </w:rPr>
        <w:footnoteRef/>
      </w:r>
      <w:r w:rsidRPr="00B57FB1">
        <w:rPr>
          <w:rFonts w:cs="Times New Roman"/>
          <w:sz w:val="18"/>
          <w:szCs w:val="18"/>
        </w:rPr>
        <w:t xml:space="preserve"> A comprehensive field survey of organic farming in the U.K. and Ireland found higher labor intensity per organic farm (i.e. 97</w:t>
      </w:r>
      <w:r>
        <w:rPr>
          <w:rFonts w:cs="Times New Roman"/>
          <w:sz w:val="18"/>
          <w:szCs w:val="18"/>
        </w:rPr>
        <w:t xml:space="preserve"> percent</w:t>
      </w:r>
      <w:r w:rsidRPr="00B57FB1">
        <w:rPr>
          <w:rFonts w:cs="Times New Roman"/>
          <w:sz w:val="18"/>
          <w:szCs w:val="18"/>
        </w:rPr>
        <w:t xml:space="preserve"> and 27</w:t>
      </w:r>
      <w:r>
        <w:rPr>
          <w:rFonts w:cs="Times New Roman"/>
          <w:sz w:val="18"/>
          <w:szCs w:val="18"/>
        </w:rPr>
        <w:t>percent,</w:t>
      </w:r>
      <w:r w:rsidRPr="00B57FB1">
        <w:rPr>
          <w:rFonts w:cs="Times New Roman"/>
          <w:sz w:val="18"/>
          <w:szCs w:val="18"/>
        </w:rPr>
        <w:t xml:space="preserve"> respectively) relative to conventional farms. The U.K. Soil Association analyzed the survey data and found that on a weighted basis, organic farms averaged 32</w:t>
      </w:r>
      <w:r>
        <w:rPr>
          <w:rFonts w:cs="Times New Roman"/>
          <w:sz w:val="18"/>
          <w:szCs w:val="18"/>
        </w:rPr>
        <w:t xml:space="preserve"> percent</w:t>
      </w:r>
      <w:r w:rsidRPr="00B57FB1">
        <w:rPr>
          <w:rFonts w:cs="Times New Roman"/>
          <w:sz w:val="18"/>
          <w:szCs w:val="18"/>
        </w:rPr>
        <w:t xml:space="preserve"> higher labor requirements than comparable non-organic farms. On-farm employment gains included in particular casual and employed part-time labor inputs.</w:t>
      </w:r>
    </w:p>
  </w:footnote>
  <w:footnote w:id="49">
    <w:p w14:paraId="1BC08AD8" w14:textId="77777777" w:rsidR="00A677A0" w:rsidRPr="00B57FB1" w:rsidRDefault="00A677A0" w:rsidP="00B57FB1">
      <w:pPr>
        <w:pStyle w:val="FootnoteText"/>
        <w:jc w:val="both"/>
        <w:rPr>
          <w:rFonts w:cs="Times New Roman"/>
          <w:sz w:val="18"/>
          <w:szCs w:val="18"/>
        </w:rPr>
      </w:pPr>
      <w:r w:rsidRPr="00B57FB1">
        <w:rPr>
          <w:rStyle w:val="FootnoteReference"/>
          <w:rFonts w:cs="Times New Roman"/>
          <w:sz w:val="18"/>
          <w:szCs w:val="18"/>
        </w:rPr>
        <w:footnoteRef/>
      </w:r>
      <w:r w:rsidRPr="00B57FB1">
        <w:rPr>
          <w:rFonts w:cs="Times New Roman"/>
          <w:sz w:val="18"/>
          <w:szCs w:val="18"/>
        </w:rPr>
        <w:t xml:space="preserve"> </w:t>
      </w:r>
      <w:r w:rsidRPr="00B57FB1">
        <w:rPr>
          <w:rFonts w:cs="Times New Roman"/>
          <w:sz w:val="18"/>
          <w:szCs w:val="18"/>
          <w:lang w:val="en"/>
        </w:rPr>
        <w:t xml:space="preserve">Under their Association Agreement which entered into force in March 2000, the EU and Morocco established a Free Trade Area liberalizing two-way trade in goods. They have subsequently developed the FTA further through an agreement on trade in agricultural, agri-food and fisheries products and a protocol establishing a bilateral </w:t>
      </w:r>
      <w:hyperlink r:id="rId1" w:tgtFrame="new" w:history="1">
        <w:r w:rsidRPr="00B57FB1">
          <w:rPr>
            <w:rStyle w:val="Hyperlink"/>
            <w:rFonts w:cs="Times New Roman"/>
            <w:sz w:val="18"/>
            <w:szCs w:val="18"/>
            <w:lang w:val="en"/>
          </w:rPr>
          <w:t>dispute settlement mechanism</w:t>
        </w:r>
      </w:hyperlink>
      <w:r w:rsidRPr="00B57FB1">
        <w:rPr>
          <w:rFonts w:cs="Times New Roman"/>
          <w:sz w:val="18"/>
          <w:szCs w:val="18"/>
          <w:lang w:val="en"/>
        </w:rPr>
        <w:t xml:space="preserve"> both of which entered into force in 2012.</w:t>
      </w:r>
    </w:p>
  </w:footnote>
  <w:footnote w:id="50">
    <w:p w14:paraId="449B52AA" w14:textId="77777777" w:rsidR="00A677A0" w:rsidRPr="00B57FB1" w:rsidRDefault="00A677A0" w:rsidP="00B57FB1">
      <w:pPr>
        <w:pStyle w:val="FootnoteText"/>
        <w:jc w:val="both"/>
        <w:rPr>
          <w:rFonts w:cs="Times New Roman"/>
          <w:sz w:val="18"/>
          <w:szCs w:val="18"/>
        </w:rPr>
      </w:pPr>
      <w:r w:rsidRPr="00B57FB1">
        <w:rPr>
          <w:rStyle w:val="FootnoteReference"/>
          <w:rFonts w:cs="Times New Roman"/>
          <w:sz w:val="18"/>
          <w:szCs w:val="18"/>
        </w:rPr>
        <w:footnoteRef/>
      </w:r>
      <w:r w:rsidRPr="00B57FB1">
        <w:rPr>
          <w:rFonts w:cs="Times New Roman"/>
          <w:sz w:val="18"/>
          <w:szCs w:val="18"/>
        </w:rPr>
        <w:t xml:space="preserve"> On February 21, 2013, Morocco established its legal framework for organic products and published the law 39-12 in the Official Bulletin 6128. The law 39-12 regulates the production, processing, marketing, and labeling of organic products. The implementing Decrees and </w:t>
      </w:r>
      <w:r w:rsidRPr="00B57FB1">
        <w:rPr>
          <w:rFonts w:cs="Times New Roman"/>
          <w:i/>
          <w:sz w:val="18"/>
          <w:szCs w:val="18"/>
        </w:rPr>
        <w:t xml:space="preserve">Arrêtés </w:t>
      </w:r>
      <w:r w:rsidRPr="00B57FB1">
        <w:rPr>
          <w:rFonts w:cs="Times New Roman"/>
          <w:sz w:val="18"/>
          <w:szCs w:val="18"/>
        </w:rPr>
        <w:t>have been developed and are awaiting publication in the Official Bulletin. Currently, organic products in Morocco are certified in line with international organic standards and certification requirements. The certification bodies currently operating in Morocco that have been accredited in line with international accreditation requirements include Ecocert, CCPB, Lacon, Bioagricert, Bureau Veritas, and Ceres Certification.</w:t>
      </w:r>
    </w:p>
  </w:footnote>
  <w:footnote w:id="51">
    <w:p w14:paraId="6AA3D41F" w14:textId="7684EC6F" w:rsidR="00A677A0" w:rsidRPr="00B57FB1" w:rsidRDefault="00A677A0" w:rsidP="00B57FB1">
      <w:pPr>
        <w:pStyle w:val="FootnoteText"/>
        <w:jc w:val="both"/>
        <w:rPr>
          <w:rFonts w:cs="Times New Roman"/>
          <w:sz w:val="18"/>
          <w:szCs w:val="18"/>
        </w:rPr>
      </w:pPr>
      <w:r w:rsidRPr="00B57FB1">
        <w:rPr>
          <w:rStyle w:val="FootnoteReference"/>
          <w:rFonts w:cs="Times New Roman"/>
          <w:sz w:val="18"/>
          <w:szCs w:val="18"/>
        </w:rPr>
        <w:footnoteRef/>
      </w:r>
      <w:r w:rsidRPr="00B57FB1">
        <w:rPr>
          <w:rFonts w:cs="Times New Roman"/>
          <w:sz w:val="18"/>
          <w:szCs w:val="18"/>
        </w:rPr>
        <w:t xml:space="preserve"> Law 25-06, which was published in the Official Bulletin 5640 on June 19, 2008, regulates specific origin and quality labels (SDOQs) in Morocco, including geographic indications (GI), appellations of origin (AO), and agricultural labels (AL). The implementing Decree 2-08-403 of December 28, 2008 outlines the conditions and process for recognizing national as well as international origin products, establishes the accreditation requirements for SDOQ certification bodies, and presents the official labels for certified products. Detailed procedures for recognizing and certifying specific origin and quality products have been further specified by the Ministry of Agriculture in </w:t>
      </w:r>
      <w:r w:rsidRPr="00B57FB1">
        <w:rPr>
          <w:rFonts w:cs="Times New Roman"/>
          <w:i/>
          <w:sz w:val="18"/>
          <w:szCs w:val="18"/>
        </w:rPr>
        <w:t>Arrêtés</w:t>
      </w:r>
      <w:r w:rsidRPr="00B57FB1">
        <w:rPr>
          <w:rFonts w:cs="Times New Roman"/>
          <w:sz w:val="18"/>
          <w:szCs w:val="18"/>
        </w:rPr>
        <w:t xml:space="preserve"> 83-09 and 82-09 of January 5, 2009</w:t>
      </w:r>
      <w:r>
        <w:rPr>
          <w:rFonts w:cs="Times New Roman"/>
          <w:sz w:val="18"/>
          <w:szCs w:val="18"/>
        </w:rPr>
        <w:t>,</w:t>
      </w:r>
      <w:r w:rsidRPr="00B57FB1">
        <w:rPr>
          <w:rFonts w:cs="Times New Roman"/>
          <w:sz w:val="18"/>
          <w:szCs w:val="18"/>
        </w:rPr>
        <w:t xml:space="preserve"> respectively. The Law 25-06 provides for the establishment of a National Commission to act as the central coordinating and advisory body for SDOQs. The National Commission was created for this purpose by implementing Decree 2-08-404 of December 28, 2008, which defines both the composition and the functioning of the Commission. The National Commission’s internal procedures have been further specified by the Ministry of Agriculture in </w:t>
      </w:r>
      <w:r w:rsidRPr="00B57FB1">
        <w:rPr>
          <w:rFonts w:cs="Times New Roman"/>
          <w:i/>
          <w:sz w:val="18"/>
          <w:szCs w:val="18"/>
        </w:rPr>
        <w:t>Arrêté</w:t>
      </w:r>
      <w:r w:rsidRPr="00B57FB1">
        <w:rPr>
          <w:rFonts w:cs="Times New Roman"/>
          <w:sz w:val="18"/>
          <w:szCs w:val="18"/>
        </w:rPr>
        <w:t xml:space="preserve"> 81-09 of January 5, 2009. Following the recommendation of the National Commission, the MAPM has accredited the private companies Normacert, Bureau Veritas, and CCPB as certification bodies for the SDOQ systems.</w:t>
      </w:r>
    </w:p>
  </w:footnote>
  <w:footnote w:id="52">
    <w:p w14:paraId="6AB7F47B" w14:textId="2169422A" w:rsidR="00A677A0" w:rsidRPr="00B57FB1" w:rsidRDefault="00A677A0" w:rsidP="00B57FB1">
      <w:pPr>
        <w:autoSpaceDE w:val="0"/>
        <w:autoSpaceDN w:val="0"/>
        <w:adjustRightInd w:val="0"/>
        <w:spacing w:after="0" w:line="240" w:lineRule="auto"/>
        <w:jc w:val="both"/>
        <w:rPr>
          <w:rFonts w:ascii="Times New Roman" w:hAnsi="Times New Roman" w:cs="Times New Roman"/>
          <w:sz w:val="18"/>
          <w:szCs w:val="18"/>
        </w:rPr>
      </w:pPr>
      <w:r w:rsidRPr="00B57FB1">
        <w:rPr>
          <w:rStyle w:val="FootnoteReference"/>
          <w:rFonts w:ascii="Times New Roman" w:hAnsi="Times New Roman" w:cs="Times New Roman"/>
          <w:sz w:val="18"/>
          <w:szCs w:val="18"/>
        </w:rPr>
        <w:footnoteRef/>
      </w:r>
      <w:r w:rsidRPr="00B57FB1">
        <w:rPr>
          <w:rFonts w:ascii="Times New Roman" w:hAnsi="Times New Roman" w:cs="Times New Roman"/>
          <w:sz w:val="18"/>
          <w:szCs w:val="18"/>
        </w:rPr>
        <w:t xml:space="preserve"> Public–private partnerships for agribusiness development, A review of international experiences, FAO 2016</w:t>
      </w:r>
      <w:r>
        <w:rPr>
          <w:rFonts w:ascii="Times New Roman" w:hAnsi="Times New Roman" w:cs="Times New Roman"/>
          <w:sz w:val="18"/>
          <w:szCs w:val="18"/>
        </w:rPr>
        <w:t>.</w:t>
      </w:r>
    </w:p>
  </w:footnote>
  <w:footnote w:id="53">
    <w:p w14:paraId="0AF38E6C" w14:textId="36460DDB" w:rsidR="00A677A0" w:rsidRPr="00B57FB1" w:rsidRDefault="00A677A0" w:rsidP="00B57FB1">
      <w:pPr>
        <w:pStyle w:val="FootnoteText"/>
        <w:jc w:val="both"/>
        <w:rPr>
          <w:rFonts w:cs="Times New Roman"/>
          <w:sz w:val="18"/>
          <w:szCs w:val="18"/>
        </w:rPr>
      </w:pPr>
      <w:r w:rsidRPr="00B57FB1">
        <w:rPr>
          <w:rStyle w:val="FootnoteReference"/>
          <w:rFonts w:cs="Times New Roman"/>
          <w:sz w:val="18"/>
          <w:szCs w:val="18"/>
        </w:rPr>
        <w:footnoteRef/>
      </w:r>
      <w:r w:rsidRPr="00B57FB1">
        <w:rPr>
          <w:rFonts w:cs="Times New Roman"/>
          <w:sz w:val="18"/>
          <w:szCs w:val="18"/>
        </w:rPr>
        <w:t xml:space="preserve"> Morocco: Opportunities in the agri-food system, FAO, 2017</w:t>
      </w:r>
      <w:r>
        <w:rPr>
          <w:rFonts w:cs="Times New Roman"/>
          <w:sz w:val="18"/>
          <w:szCs w:val="18"/>
        </w:rPr>
        <w:t>.</w:t>
      </w:r>
    </w:p>
  </w:footnote>
  <w:footnote w:id="54">
    <w:p w14:paraId="327D4892" w14:textId="77777777" w:rsidR="00A677A0" w:rsidRPr="00B57FB1" w:rsidRDefault="00A677A0" w:rsidP="00B57FB1">
      <w:pPr>
        <w:pStyle w:val="FootnoteText"/>
        <w:jc w:val="both"/>
        <w:rPr>
          <w:rFonts w:cs="Times New Roman"/>
          <w:sz w:val="18"/>
          <w:szCs w:val="18"/>
        </w:rPr>
      </w:pPr>
      <w:r w:rsidRPr="00B57FB1">
        <w:rPr>
          <w:rStyle w:val="FootnoteReference"/>
          <w:rFonts w:cs="Times New Roman"/>
          <w:sz w:val="18"/>
          <w:szCs w:val="18"/>
        </w:rPr>
        <w:footnoteRef/>
      </w:r>
      <w:r w:rsidRPr="00B57FB1">
        <w:rPr>
          <w:rFonts w:cs="Times New Roman"/>
          <w:sz w:val="18"/>
          <w:szCs w:val="18"/>
        </w:rPr>
        <w:t xml:space="preserve"> </w:t>
      </w:r>
      <w:r w:rsidRPr="00B57FB1">
        <w:rPr>
          <w:rFonts w:cs="Times New Roman"/>
          <w:bCs/>
          <w:sz w:val="18"/>
          <w:szCs w:val="18"/>
        </w:rPr>
        <w:t xml:space="preserve">Agribusiness SMEs </w:t>
      </w:r>
      <w:r w:rsidRPr="00B57FB1">
        <w:rPr>
          <w:rFonts w:cs="Times New Roman"/>
          <w:sz w:val="18"/>
          <w:szCs w:val="18"/>
        </w:rPr>
        <w:t>encompass the various possible legal forms of production entities such as registered companies, cooperatives, farmers’ groups, etc.</w:t>
      </w:r>
    </w:p>
  </w:footnote>
  <w:footnote w:id="55">
    <w:p w14:paraId="00A6A182" w14:textId="77777777" w:rsidR="00A677A0" w:rsidRPr="00B57FB1" w:rsidRDefault="00A677A0" w:rsidP="00B57FB1">
      <w:pPr>
        <w:pStyle w:val="FootnoteText"/>
        <w:jc w:val="both"/>
        <w:rPr>
          <w:rFonts w:cs="Times New Roman"/>
          <w:sz w:val="18"/>
          <w:szCs w:val="18"/>
        </w:rPr>
      </w:pPr>
      <w:r w:rsidRPr="00B57FB1">
        <w:rPr>
          <w:rStyle w:val="FootnoteReference"/>
          <w:rFonts w:cs="Times New Roman"/>
          <w:sz w:val="18"/>
          <w:szCs w:val="18"/>
        </w:rPr>
        <w:footnoteRef/>
      </w:r>
      <w:r w:rsidRPr="00B57FB1">
        <w:rPr>
          <w:rFonts w:cs="Times New Roman"/>
          <w:sz w:val="18"/>
          <w:szCs w:val="18"/>
        </w:rPr>
        <w:t xml:space="preserve"> Public–private partnerships for agribusiness development, A review of international experiences, FAO 2016</w:t>
      </w:r>
    </w:p>
  </w:footnote>
  <w:footnote w:id="56">
    <w:p w14:paraId="53FEA053" w14:textId="12B99F3B" w:rsidR="00A677A0" w:rsidRPr="00B57FB1" w:rsidRDefault="00A677A0" w:rsidP="00B57FB1">
      <w:pPr>
        <w:autoSpaceDE w:val="0"/>
        <w:autoSpaceDN w:val="0"/>
        <w:adjustRightInd w:val="0"/>
        <w:spacing w:after="0" w:line="240" w:lineRule="auto"/>
        <w:jc w:val="both"/>
        <w:rPr>
          <w:rFonts w:ascii="Times New Roman" w:hAnsi="Times New Roman" w:cs="Times New Roman"/>
          <w:sz w:val="18"/>
          <w:szCs w:val="18"/>
        </w:rPr>
      </w:pPr>
      <w:r w:rsidRPr="00B57FB1">
        <w:rPr>
          <w:rStyle w:val="FootnoteReference"/>
          <w:rFonts w:ascii="Times New Roman" w:hAnsi="Times New Roman" w:cs="Times New Roman"/>
          <w:sz w:val="18"/>
          <w:szCs w:val="18"/>
        </w:rPr>
        <w:footnoteRef/>
      </w:r>
      <w:r w:rsidRPr="00B57FB1">
        <w:rPr>
          <w:rFonts w:ascii="Times New Roman" w:hAnsi="Times New Roman" w:cs="Times New Roman"/>
          <w:sz w:val="18"/>
          <w:szCs w:val="18"/>
        </w:rPr>
        <w:t xml:space="preserve"> Designing and implementing agricultural innovation funds: Lessons from Competitive Research and Matching Grants, World Bank 2010</w:t>
      </w:r>
      <w:r>
        <w:rPr>
          <w:rFonts w:ascii="Times New Roman" w:hAnsi="Times New Roman" w:cs="Times New Roman"/>
          <w:sz w:val="18"/>
          <w:szCs w:val="18"/>
        </w:rPr>
        <w:t>.</w:t>
      </w:r>
    </w:p>
  </w:footnote>
  <w:footnote w:id="57">
    <w:p w14:paraId="24FAF50D" w14:textId="48B091F4" w:rsidR="00A677A0" w:rsidRPr="00B57FB1" w:rsidRDefault="00A677A0" w:rsidP="00A6265D">
      <w:pPr>
        <w:spacing w:after="0" w:line="240" w:lineRule="auto"/>
        <w:jc w:val="both"/>
        <w:rPr>
          <w:rFonts w:cs="Times New Roman"/>
          <w:sz w:val="18"/>
          <w:szCs w:val="18"/>
        </w:rPr>
      </w:pPr>
      <w:r w:rsidRPr="00B57FB1">
        <w:rPr>
          <w:rStyle w:val="FootnoteReference"/>
          <w:rFonts w:ascii="Times New Roman" w:hAnsi="Times New Roman" w:cs="Times New Roman"/>
          <w:sz w:val="18"/>
          <w:szCs w:val="18"/>
        </w:rPr>
        <w:footnoteRef/>
      </w:r>
      <w:r w:rsidRPr="00B57FB1">
        <w:rPr>
          <w:rFonts w:ascii="Times New Roman" w:hAnsi="Times New Roman" w:cs="Times New Roman"/>
          <w:sz w:val="18"/>
          <w:szCs w:val="18"/>
        </w:rPr>
        <w:t xml:space="preserve"> </w:t>
      </w:r>
      <w:r w:rsidRPr="00B57FB1">
        <w:rPr>
          <w:rFonts w:ascii="Times New Roman" w:hAnsi="Times New Roman" w:cs="Times New Roman"/>
          <w:color w:val="000000" w:themeColor="text1"/>
          <w:sz w:val="18"/>
          <w:szCs w:val="18"/>
        </w:rPr>
        <w:t>Given the nature of the benefits brought about by the Program— i.e. the correction of market failures in different value chains and across the whole agri-food sector— their precise economic evaluation is difficult. For instance, USAID (2011) assessed more than 200 projects in agriculture and value chain development and noted that only 10 projects reported their IRRs which ranged from 5</w:t>
      </w:r>
      <w:r>
        <w:rPr>
          <w:rFonts w:ascii="Times New Roman" w:hAnsi="Times New Roman" w:cs="Times New Roman"/>
          <w:color w:val="000000" w:themeColor="text1"/>
          <w:sz w:val="18"/>
          <w:szCs w:val="18"/>
        </w:rPr>
        <w:t xml:space="preserve"> percent</w:t>
      </w:r>
      <w:r w:rsidRPr="00B57FB1">
        <w:rPr>
          <w:rFonts w:ascii="Times New Roman" w:hAnsi="Times New Roman" w:cs="Times New Roman"/>
          <w:color w:val="000000" w:themeColor="text1"/>
          <w:sz w:val="18"/>
          <w:szCs w:val="18"/>
        </w:rPr>
        <w:t xml:space="preserve"> to 566</w:t>
      </w:r>
      <w:r>
        <w:rPr>
          <w:rFonts w:ascii="Times New Roman" w:hAnsi="Times New Roman" w:cs="Times New Roman"/>
          <w:color w:val="000000" w:themeColor="text1"/>
          <w:sz w:val="18"/>
          <w:szCs w:val="18"/>
        </w:rPr>
        <w:t xml:space="preserve"> percent</w:t>
      </w:r>
      <w:r w:rsidRPr="00B57FB1">
        <w:rPr>
          <w:rFonts w:ascii="Times New Roman" w:hAnsi="Times New Roman" w:cs="Times New Roman"/>
          <w:color w:val="000000" w:themeColor="text1"/>
          <w:sz w:val="18"/>
          <w:szCs w:val="18"/>
        </w:rPr>
        <w:t xml:space="preserve"> —</w:t>
      </w:r>
      <w:r>
        <w:rPr>
          <w:rFonts w:ascii="Times New Roman" w:hAnsi="Times New Roman" w:cs="Times New Roman"/>
          <w:color w:val="000000" w:themeColor="text1"/>
          <w:sz w:val="18"/>
          <w:szCs w:val="18"/>
        </w:rPr>
        <w:t xml:space="preserve"> </w:t>
      </w:r>
      <w:r w:rsidRPr="00B57FB1">
        <w:rPr>
          <w:rFonts w:ascii="Times New Roman" w:hAnsi="Times New Roman" w:cs="Times New Roman"/>
          <w:color w:val="000000" w:themeColor="text1"/>
          <w:sz w:val="18"/>
          <w:szCs w:val="18"/>
        </w:rPr>
        <w:t>the details of the calculations were not provided. The most detailed information available on IRRs are from Productive Alliances projects financed by the World Bank.</w:t>
      </w:r>
      <w:r w:rsidRPr="00B57FB1">
        <w:rPr>
          <w:rFonts w:ascii="Times New Roman" w:hAnsi="Times New Roman" w:cs="Times New Roman"/>
          <w:b/>
          <w:color w:val="000000" w:themeColor="text1"/>
          <w:sz w:val="18"/>
          <w:szCs w:val="18"/>
        </w:rPr>
        <w:t xml:space="preserve"> </w:t>
      </w:r>
    </w:p>
  </w:footnote>
  <w:footnote w:id="58">
    <w:p w14:paraId="4A97AD44" w14:textId="024F66B7" w:rsidR="00A677A0" w:rsidRPr="00B57FB1" w:rsidRDefault="00A677A0" w:rsidP="00B57FB1">
      <w:pPr>
        <w:pStyle w:val="FootnoteText"/>
        <w:jc w:val="both"/>
        <w:rPr>
          <w:rFonts w:cs="Times New Roman"/>
          <w:sz w:val="18"/>
          <w:szCs w:val="18"/>
        </w:rPr>
      </w:pPr>
      <w:r w:rsidRPr="00B57FB1">
        <w:rPr>
          <w:rStyle w:val="FootnoteReference"/>
          <w:rFonts w:cs="Times New Roman"/>
          <w:sz w:val="18"/>
          <w:szCs w:val="18"/>
        </w:rPr>
        <w:footnoteRef/>
      </w:r>
      <w:r w:rsidRPr="00B57FB1">
        <w:rPr>
          <w:rFonts w:cs="Times New Roman"/>
          <w:sz w:val="18"/>
          <w:szCs w:val="18"/>
        </w:rPr>
        <w:t xml:space="preserve"> African Development Bank, 2017. Egypt-Rural Income </w:t>
      </w:r>
      <w:r>
        <w:rPr>
          <w:rFonts w:cs="Times New Roman"/>
          <w:sz w:val="18"/>
          <w:szCs w:val="18"/>
        </w:rPr>
        <w:t>a</w:t>
      </w:r>
      <w:r w:rsidRPr="00B57FB1">
        <w:rPr>
          <w:rFonts w:cs="Times New Roman"/>
          <w:sz w:val="18"/>
          <w:szCs w:val="18"/>
        </w:rPr>
        <w:t>nd Economic Enhancement Project - Project Completion Report. AHHD Department.</w:t>
      </w:r>
    </w:p>
  </w:footnote>
  <w:footnote w:id="59">
    <w:p w14:paraId="33317ECF" w14:textId="77777777" w:rsidR="00A677A0" w:rsidRPr="00B57FB1" w:rsidRDefault="00A677A0" w:rsidP="00B57FB1">
      <w:pPr>
        <w:pStyle w:val="FootnoteText"/>
        <w:jc w:val="both"/>
        <w:rPr>
          <w:rFonts w:cs="Times New Roman"/>
          <w:sz w:val="18"/>
          <w:szCs w:val="18"/>
        </w:rPr>
      </w:pPr>
      <w:r w:rsidRPr="00B57FB1">
        <w:rPr>
          <w:rStyle w:val="FootnoteReference"/>
          <w:rFonts w:cs="Times New Roman"/>
          <w:sz w:val="18"/>
          <w:szCs w:val="18"/>
        </w:rPr>
        <w:footnoteRef/>
      </w:r>
      <w:r w:rsidRPr="00B57FB1">
        <w:rPr>
          <w:rFonts w:cs="Times New Roman"/>
          <w:sz w:val="18"/>
          <w:szCs w:val="18"/>
        </w:rPr>
        <w:t xml:space="preserve"> For example, the 1994/95 drought caused agricultural GDP to fall by 45 percent and total GDP to fall by 8 percent.</w:t>
      </w:r>
    </w:p>
  </w:footnote>
  <w:footnote w:id="60">
    <w:p w14:paraId="0CDAAA10" w14:textId="15031A26" w:rsidR="00A677A0" w:rsidRPr="00B57FB1" w:rsidRDefault="00A677A0" w:rsidP="00B57FB1">
      <w:pPr>
        <w:pStyle w:val="FootnoteText"/>
        <w:jc w:val="both"/>
        <w:rPr>
          <w:rFonts w:cs="Times New Roman"/>
          <w:sz w:val="18"/>
          <w:szCs w:val="18"/>
        </w:rPr>
      </w:pPr>
      <w:r w:rsidRPr="00B57FB1">
        <w:rPr>
          <w:rStyle w:val="FootnoteReference"/>
          <w:rFonts w:cs="Times New Roman"/>
          <w:sz w:val="18"/>
          <w:szCs w:val="18"/>
        </w:rPr>
        <w:footnoteRef/>
      </w:r>
      <w:r w:rsidRPr="00B57FB1">
        <w:rPr>
          <w:rFonts w:cs="Times New Roman"/>
          <w:sz w:val="18"/>
          <w:szCs w:val="18"/>
        </w:rPr>
        <w:t xml:space="preserve"> World Bank</w:t>
      </w:r>
      <w:r>
        <w:rPr>
          <w:rFonts w:cs="Times New Roman"/>
          <w:sz w:val="18"/>
          <w:szCs w:val="18"/>
        </w:rPr>
        <w:t>.</w:t>
      </w:r>
      <w:r w:rsidRPr="00B57FB1">
        <w:rPr>
          <w:rFonts w:cs="Times New Roman"/>
          <w:sz w:val="18"/>
          <w:szCs w:val="18"/>
        </w:rPr>
        <w:t xml:space="preserve"> Morocco study on the impact of climate change on the agricultural sector</w:t>
      </w:r>
      <w:r>
        <w:rPr>
          <w:rFonts w:cs="Times New Roman"/>
          <w:sz w:val="18"/>
          <w:szCs w:val="18"/>
        </w:rPr>
        <w:t>.</w:t>
      </w:r>
      <w:r w:rsidRPr="00B57FB1">
        <w:rPr>
          <w:rFonts w:cs="Times New Roman"/>
          <w:sz w:val="18"/>
          <w:szCs w:val="18"/>
        </w:rPr>
        <w:t xml:space="preserve"> 2009</w:t>
      </w:r>
      <w:r>
        <w:rPr>
          <w:rFonts w:cs="Times New Roman"/>
          <w:sz w:val="18"/>
          <w:szCs w:val="18"/>
        </w:rPr>
        <w:t>.</w:t>
      </w:r>
    </w:p>
  </w:footnote>
  <w:footnote w:id="61">
    <w:p w14:paraId="135544AF" w14:textId="77777777" w:rsidR="00A677A0" w:rsidRPr="00B57FB1" w:rsidRDefault="00A677A0" w:rsidP="00B57FB1">
      <w:pPr>
        <w:pStyle w:val="FootnoteText"/>
        <w:jc w:val="both"/>
        <w:rPr>
          <w:rFonts w:cs="Times New Roman"/>
          <w:sz w:val="18"/>
          <w:szCs w:val="18"/>
        </w:rPr>
      </w:pPr>
      <w:r w:rsidRPr="00B57FB1">
        <w:rPr>
          <w:rStyle w:val="FootnoteReference"/>
          <w:rFonts w:cs="Times New Roman"/>
          <w:sz w:val="18"/>
          <w:szCs w:val="18"/>
        </w:rPr>
        <w:footnoteRef/>
      </w:r>
      <w:r w:rsidRPr="00B57FB1">
        <w:rPr>
          <w:rFonts w:cs="Times New Roman"/>
          <w:sz w:val="18"/>
          <w:szCs w:val="18"/>
        </w:rPr>
        <w:t xml:space="preserve"> The Act is considered as a key entry point for the improvement of the performance of the public sector and the service delivery. It emerges as another Government cross cutting priority.</w:t>
      </w:r>
    </w:p>
  </w:footnote>
  <w:footnote w:id="62">
    <w:p w14:paraId="4938BC06" w14:textId="58E4C489" w:rsidR="00A677A0" w:rsidRPr="00B57FB1" w:rsidRDefault="00A677A0" w:rsidP="00B57FB1">
      <w:pPr>
        <w:pStyle w:val="FootnoteText"/>
        <w:jc w:val="both"/>
        <w:rPr>
          <w:rFonts w:cs="Times New Roman"/>
          <w:sz w:val="18"/>
          <w:szCs w:val="18"/>
        </w:rPr>
      </w:pPr>
      <w:r w:rsidRPr="00B57FB1">
        <w:rPr>
          <w:rStyle w:val="FootnoteReference"/>
          <w:rFonts w:cs="Times New Roman"/>
          <w:sz w:val="18"/>
          <w:szCs w:val="18"/>
        </w:rPr>
        <w:footnoteRef/>
      </w:r>
      <w:r w:rsidRPr="00B57FB1">
        <w:rPr>
          <w:rFonts w:cs="Times New Roman"/>
          <w:sz w:val="18"/>
          <w:szCs w:val="18"/>
        </w:rPr>
        <w:t xml:space="preserve"> The procedures for the construction/equipment of the processing units is well embedded and mastered by MAPMDREF. The development of the integrated financial statement is advanced with the bidding documents developed and ready to be published. A steering committee comprising all the key players has been put in place as to build a coalition at early stage. The deployment of this system is included in the Program Action Plan.</w:t>
      </w:r>
    </w:p>
  </w:footnote>
  <w:footnote w:id="63">
    <w:p w14:paraId="209212D7" w14:textId="62CDA301" w:rsidR="00A677A0" w:rsidRPr="00B57FB1" w:rsidRDefault="00A677A0" w:rsidP="00B57FB1">
      <w:pPr>
        <w:pStyle w:val="FootnoteText"/>
        <w:jc w:val="both"/>
        <w:rPr>
          <w:rFonts w:cs="Times New Roman"/>
          <w:sz w:val="18"/>
          <w:szCs w:val="18"/>
        </w:rPr>
      </w:pPr>
      <w:r w:rsidRPr="00B57FB1">
        <w:rPr>
          <w:rStyle w:val="FootnoteReference"/>
          <w:rFonts w:cs="Times New Roman"/>
          <w:sz w:val="18"/>
          <w:szCs w:val="18"/>
        </w:rPr>
        <w:footnoteRef/>
      </w:r>
      <w:r w:rsidRPr="00B57FB1">
        <w:rPr>
          <w:rFonts w:cs="Times New Roman"/>
          <w:sz w:val="18"/>
          <w:szCs w:val="18"/>
        </w:rPr>
        <w:t xml:space="preserve"> </w:t>
      </w:r>
      <w:r>
        <w:rPr>
          <w:rFonts w:cs="Times New Roman"/>
          <w:sz w:val="18"/>
          <w:szCs w:val="18"/>
        </w:rPr>
        <w:t>“</w:t>
      </w:r>
      <w:r w:rsidRPr="00B57FB1">
        <w:rPr>
          <w:rFonts w:cs="Times New Roman"/>
          <w:sz w:val="18"/>
          <w:szCs w:val="18"/>
        </w:rPr>
        <w:t>A</w:t>
      </w:r>
      <w:r>
        <w:rPr>
          <w:rFonts w:cs="Times New Roman"/>
          <w:sz w:val="18"/>
          <w:szCs w:val="18"/>
        </w:rPr>
        <w:t>”</w:t>
      </w:r>
      <w:r w:rsidRPr="00B57FB1">
        <w:rPr>
          <w:rFonts w:cs="Times New Roman"/>
          <w:sz w:val="18"/>
          <w:szCs w:val="18"/>
        </w:rPr>
        <w:t xml:space="preserve"> being the highest score.</w:t>
      </w:r>
    </w:p>
  </w:footnote>
  <w:footnote w:id="64">
    <w:p w14:paraId="1EE981B9" w14:textId="77777777" w:rsidR="00A677A0" w:rsidRPr="00B57FB1" w:rsidRDefault="00A677A0" w:rsidP="00B57FB1">
      <w:pPr>
        <w:pStyle w:val="FootnoteText"/>
        <w:jc w:val="both"/>
        <w:rPr>
          <w:rFonts w:cs="Times New Roman"/>
          <w:sz w:val="18"/>
          <w:szCs w:val="18"/>
        </w:rPr>
      </w:pPr>
      <w:r w:rsidRPr="00B57FB1">
        <w:rPr>
          <w:rStyle w:val="FootnoteReference"/>
          <w:rFonts w:cs="Times New Roman"/>
          <w:sz w:val="18"/>
          <w:szCs w:val="18"/>
        </w:rPr>
        <w:footnoteRef/>
      </w:r>
      <w:r w:rsidRPr="00B57FB1">
        <w:rPr>
          <w:rFonts w:cs="Times New Roman"/>
          <w:sz w:val="18"/>
          <w:szCs w:val="18"/>
        </w:rPr>
        <w:t xml:space="preserve"> No budget appropriation was made in 2015 and 2016.</w:t>
      </w:r>
    </w:p>
  </w:footnote>
  <w:footnote w:id="65">
    <w:p w14:paraId="5EC3D36E" w14:textId="6C2E4139" w:rsidR="00A677A0" w:rsidRPr="00B57FB1" w:rsidRDefault="00A677A0" w:rsidP="00B57FB1">
      <w:pPr>
        <w:pStyle w:val="FootnoteText"/>
        <w:jc w:val="both"/>
        <w:rPr>
          <w:rFonts w:cs="Times New Roman"/>
          <w:sz w:val="18"/>
          <w:szCs w:val="18"/>
        </w:rPr>
      </w:pPr>
      <w:r w:rsidRPr="00B57FB1">
        <w:rPr>
          <w:rStyle w:val="FootnoteReference"/>
          <w:rFonts w:cs="Times New Roman"/>
          <w:sz w:val="18"/>
          <w:szCs w:val="18"/>
        </w:rPr>
        <w:footnoteRef/>
      </w:r>
      <w:r w:rsidRPr="00B57FB1">
        <w:rPr>
          <w:rFonts w:cs="Times New Roman"/>
          <w:sz w:val="18"/>
          <w:szCs w:val="18"/>
        </w:rPr>
        <w:t xml:space="preserve"> Commitment rate: 98</w:t>
      </w:r>
      <w:r>
        <w:rPr>
          <w:rFonts w:cs="Times New Roman"/>
          <w:sz w:val="18"/>
          <w:szCs w:val="18"/>
        </w:rPr>
        <w:t xml:space="preserve"> percent</w:t>
      </w:r>
      <w:r w:rsidRPr="00B57FB1">
        <w:rPr>
          <w:rFonts w:cs="Times New Roman"/>
          <w:sz w:val="18"/>
          <w:szCs w:val="18"/>
        </w:rPr>
        <w:t>; Payment rate: 95</w:t>
      </w:r>
      <w:r>
        <w:rPr>
          <w:rFonts w:cs="Times New Roman"/>
          <w:sz w:val="18"/>
          <w:szCs w:val="18"/>
        </w:rPr>
        <w:t xml:space="preserve"> percent</w:t>
      </w:r>
      <w:r w:rsidRPr="00B57FB1">
        <w:rPr>
          <w:rFonts w:cs="Times New Roman"/>
          <w:sz w:val="18"/>
          <w:szCs w:val="18"/>
        </w:rPr>
        <w:t xml:space="preserve"> in 2016.</w:t>
      </w:r>
    </w:p>
  </w:footnote>
  <w:footnote w:id="66">
    <w:p w14:paraId="1992F995" w14:textId="77777777" w:rsidR="00A677A0" w:rsidRPr="00B57FB1" w:rsidRDefault="00A677A0" w:rsidP="00B57FB1">
      <w:pPr>
        <w:pStyle w:val="FootnoteText"/>
        <w:jc w:val="both"/>
        <w:rPr>
          <w:rFonts w:cs="Times New Roman"/>
          <w:sz w:val="18"/>
          <w:szCs w:val="18"/>
        </w:rPr>
      </w:pPr>
      <w:r w:rsidRPr="00B57FB1">
        <w:rPr>
          <w:rStyle w:val="FootnoteReference"/>
          <w:rFonts w:eastAsia="MS Gothic" w:cs="Times New Roman"/>
          <w:sz w:val="18"/>
          <w:szCs w:val="18"/>
        </w:rPr>
        <w:footnoteRef/>
      </w:r>
      <w:r w:rsidRPr="00B57FB1">
        <w:rPr>
          <w:rFonts w:cs="Times New Roman"/>
          <w:sz w:val="18"/>
          <w:szCs w:val="18"/>
        </w:rPr>
        <w:t>Article 162 of the 2011 Constitution and Royal Decree n° 1-11-25 of March, 17th 2011.</w:t>
      </w:r>
    </w:p>
  </w:footnote>
  <w:footnote w:id="67">
    <w:p w14:paraId="367D7BB5" w14:textId="77777777" w:rsidR="00A677A0" w:rsidRPr="004D563E" w:rsidRDefault="00A677A0" w:rsidP="00B57FB1">
      <w:pPr>
        <w:pStyle w:val="FootnoteText"/>
        <w:jc w:val="both"/>
        <w:rPr>
          <w:rFonts w:cs="Times New Roman"/>
          <w:sz w:val="18"/>
          <w:szCs w:val="18"/>
          <w:lang w:val="pt-BR"/>
        </w:rPr>
      </w:pPr>
      <w:r w:rsidRPr="00B57FB1">
        <w:rPr>
          <w:rStyle w:val="FootnoteReference"/>
          <w:rFonts w:cs="Times New Roman"/>
          <w:sz w:val="18"/>
          <w:szCs w:val="18"/>
        </w:rPr>
        <w:footnoteRef/>
      </w:r>
      <w:r w:rsidRPr="004D563E">
        <w:rPr>
          <w:rFonts w:cs="Times New Roman"/>
          <w:sz w:val="18"/>
          <w:szCs w:val="18"/>
          <w:lang w:val="pt-BR"/>
        </w:rPr>
        <w:t xml:space="preserve"> https:// www.worldbank.org/debarr</w:t>
      </w:r>
    </w:p>
  </w:footnote>
  <w:footnote w:id="68">
    <w:p w14:paraId="211C38E0" w14:textId="77777777" w:rsidR="00A677A0" w:rsidRPr="004D563E" w:rsidRDefault="00A677A0" w:rsidP="00B57FB1">
      <w:pPr>
        <w:pStyle w:val="FootnoteText"/>
        <w:jc w:val="both"/>
        <w:rPr>
          <w:rFonts w:cs="Times New Roman"/>
          <w:sz w:val="18"/>
          <w:szCs w:val="18"/>
          <w:lang w:val="pt-BR"/>
        </w:rPr>
      </w:pPr>
      <w:r w:rsidRPr="00B57FB1">
        <w:rPr>
          <w:rStyle w:val="FootnoteReference"/>
          <w:rFonts w:cs="Times New Roman"/>
          <w:sz w:val="18"/>
          <w:szCs w:val="18"/>
        </w:rPr>
        <w:footnoteRef/>
      </w:r>
      <w:r w:rsidRPr="004D563E">
        <w:rPr>
          <w:rFonts w:cs="Times New Roman"/>
          <w:sz w:val="18"/>
          <w:szCs w:val="18"/>
          <w:lang w:val="pt-BR"/>
        </w:rPr>
        <w:t xml:space="preserve"> HCP, 2017</w:t>
      </w:r>
    </w:p>
  </w:footnote>
  <w:footnote w:id="69">
    <w:p w14:paraId="304C51A8" w14:textId="709B082E" w:rsidR="00A677A0" w:rsidRPr="00B57FB1" w:rsidRDefault="00A677A0" w:rsidP="00B57FB1">
      <w:pPr>
        <w:pStyle w:val="FootnoteText"/>
        <w:jc w:val="both"/>
        <w:rPr>
          <w:rFonts w:cs="Times New Roman"/>
          <w:sz w:val="18"/>
          <w:szCs w:val="18"/>
        </w:rPr>
      </w:pPr>
      <w:r w:rsidRPr="00B57FB1">
        <w:rPr>
          <w:rStyle w:val="FootnoteReference"/>
          <w:rFonts w:cs="Times New Roman"/>
          <w:sz w:val="18"/>
          <w:szCs w:val="18"/>
        </w:rPr>
        <w:footnoteRef/>
      </w:r>
      <w:r w:rsidRPr="00B57FB1">
        <w:rPr>
          <w:rFonts w:cs="Times New Roman"/>
          <w:sz w:val="18"/>
          <w:szCs w:val="18"/>
        </w:rPr>
        <w:t xml:space="preserve"> </w:t>
      </w:r>
      <w:r>
        <w:rPr>
          <w:rFonts w:cs="Times New Roman"/>
          <w:sz w:val="18"/>
          <w:szCs w:val="18"/>
        </w:rPr>
        <w:t xml:space="preserve">For example, Morocco </w:t>
      </w:r>
      <w:r w:rsidRPr="00B57FB1">
        <w:rPr>
          <w:rFonts w:cs="Times New Roman"/>
          <w:sz w:val="18"/>
          <w:szCs w:val="18"/>
        </w:rPr>
        <w:t>Oum Er Rbia Sanitation Project and Solid Waste Sector Development Policy Loan</w:t>
      </w:r>
      <w:r>
        <w:rPr>
          <w:rFonts w:cs="Times New Roman"/>
          <w:sz w:val="18"/>
          <w:szCs w:val="18"/>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14E0E"/>
    <w:multiLevelType w:val="hybridMultilevel"/>
    <w:tmpl w:val="8C04FAB0"/>
    <w:lvl w:ilvl="0" w:tplc="04090019">
      <w:start w:val="1"/>
      <w:numFmt w:val="lowerLetter"/>
      <w:lvlText w:val="%1."/>
      <w:lvlJc w:val="left"/>
      <w:pPr>
        <w:ind w:left="851" w:hanging="360"/>
      </w:pPr>
      <w:rPr>
        <w:rFonts w:hint="default"/>
      </w:rPr>
    </w:lvl>
    <w:lvl w:ilvl="1" w:tplc="040C0003" w:tentative="1">
      <w:start w:val="1"/>
      <w:numFmt w:val="bullet"/>
      <w:lvlText w:val="o"/>
      <w:lvlJc w:val="left"/>
      <w:pPr>
        <w:ind w:left="1571" w:hanging="360"/>
      </w:pPr>
      <w:rPr>
        <w:rFonts w:ascii="Courier New" w:hAnsi="Courier New" w:cs="Courier New" w:hint="default"/>
      </w:rPr>
    </w:lvl>
    <w:lvl w:ilvl="2" w:tplc="040C0005" w:tentative="1">
      <w:start w:val="1"/>
      <w:numFmt w:val="bullet"/>
      <w:lvlText w:val=""/>
      <w:lvlJc w:val="left"/>
      <w:pPr>
        <w:ind w:left="2291" w:hanging="360"/>
      </w:pPr>
      <w:rPr>
        <w:rFonts w:ascii="Wingdings" w:hAnsi="Wingdings" w:hint="default"/>
      </w:rPr>
    </w:lvl>
    <w:lvl w:ilvl="3" w:tplc="040C0001" w:tentative="1">
      <w:start w:val="1"/>
      <w:numFmt w:val="bullet"/>
      <w:lvlText w:val=""/>
      <w:lvlJc w:val="left"/>
      <w:pPr>
        <w:ind w:left="3011" w:hanging="360"/>
      </w:pPr>
      <w:rPr>
        <w:rFonts w:ascii="Symbol" w:hAnsi="Symbol" w:hint="default"/>
      </w:rPr>
    </w:lvl>
    <w:lvl w:ilvl="4" w:tplc="040C0003" w:tentative="1">
      <w:start w:val="1"/>
      <w:numFmt w:val="bullet"/>
      <w:lvlText w:val="o"/>
      <w:lvlJc w:val="left"/>
      <w:pPr>
        <w:ind w:left="3731" w:hanging="360"/>
      </w:pPr>
      <w:rPr>
        <w:rFonts w:ascii="Courier New" w:hAnsi="Courier New" w:cs="Courier New" w:hint="default"/>
      </w:rPr>
    </w:lvl>
    <w:lvl w:ilvl="5" w:tplc="040C0005" w:tentative="1">
      <w:start w:val="1"/>
      <w:numFmt w:val="bullet"/>
      <w:lvlText w:val=""/>
      <w:lvlJc w:val="left"/>
      <w:pPr>
        <w:ind w:left="4451" w:hanging="360"/>
      </w:pPr>
      <w:rPr>
        <w:rFonts w:ascii="Wingdings" w:hAnsi="Wingdings" w:hint="default"/>
      </w:rPr>
    </w:lvl>
    <w:lvl w:ilvl="6" w:tplc="040C0001" w:tentative="1">
      <w:start w:val="1"/>
      <w:numFmt w:val="bullet"/>
      <w:lvlText w:val=""/>
      <w:lvlJc w:val="left"/>
      <w:pPr>
        <w:ind w:left="5171" w:hanging="360"/>
      </w:pPr>
      <w:rPr>
        <w:rFonts w:ascii="Symbol" w:hAnsi="Symbol" w:hint="default"/>
      </w:rPr>
    </w:lvl>
    <w:lvl w:ilvl="7" w:tplc="040C0003" w:tentative="1">
      <w:start w:val="1"/>
      <w:numFmt w:val="bullet"/>
      <w:lvlText w:val="o"/>
      <w:lvlJc w:val="left"/>
      <w:pPr>
        <w:ind w:left="5891" w:hanging="360"/>
      </w:pPr>
      <w:rPr>
        <w:rFonts w:ascii="Courier New" w:hAnsi="Courier New" w:cs="Courier New" w:hint="default"/>
      </w:rPr>
    </w:lvl>
    <w:lvl w:ilvl="8" w:tplc="040C0005" w:tentative="1">
      <w:start w:val="1"/>
      <w:numFmt w:val="bullet"/>
      <w:lvlText w:val=""/>
      <w:lvlJc w:val="left"/>
      <w:pPr>
        <w:ind w:left="6611" w:hanging="360"/>
      </w:pPr>
      <w:rPr>
        <w:rFonts w:ascii="Wingdings" w:hAnsi="Wingdings" w:hint="default"/>
      </w:rPr>
    </w:lvl>
  </w:abstractNum>
  <w:abstractNum w:abstractNumId="1" w15:restartNumberingAfterBreak="0">
    <w:nsid w:val="047D5C3F"/>
    <w:multiLevelType w:val="hybridMultilevel"/>
    <w:tmpl w:val="8D626010"/>
    <w:lvl w:ilvl="0" w:tplc="04090019">
      <w:start w:val="1"/>
      <w:numFmt w:val="lowerLetter"/>
      <w:lvlText w:val="%1."/>
      <w:lvlJc w:val="left"/>
      <w:pPr>
        <w:tabs>
          <w:tab w:val="num" w:pos="1080"/>
        </w:tabs>
        <w:ind w:left="720" w:firstLine="0"/>
      </w:pPr>
      <w:rPr>
        <w:rFonts w:hint="default"/>
        <w:b w:val="0"/>
        <w:i w:val="0"/>
        <w:color w:val="auto"/>
        <w:sz w:val="22"/>
        <w:szCs w:val="20"/>
      </w:rPr>
    </w:lvl>
    <w:lvl w:ilvl="1" w:tplc="040C0019">
      <w:start w:val="1"/>
      <w:numFmt w:val="lowerLetter"/>
      <w:lvlText w:val="%2."/>
      <w:lvlJc w:val="left"/>
      <w:pPr>
        <w:tabs>
          <w:tab w:val="num" w:pos="1350"/>
        </w:tabs>
        <w:ind w:left="1710" w:firstLine="0"/>
      </w:pPr>
      <w:rPr>
        <w:rFonts w:hint="default"/>
      </w:rPr>
    </w:lvl>
    <w:lvl w:ilvl="2" w:tplc="73C4CA50">
      <w:start w:val="1"/>
      <w:numFmt w:val="lowerRoman"/>
      <w:lvlText w:val="(%3)"/>
      <w:lvlJc w:val="left"/>
      <w:pPr>
        <w:tabs>
          <w:tab w:val="num" w:pos="2970"/>
        </w:tabs>
        <w:ind w:left="2970" w:hanging="360"/>
      </w:pPr>
      <w:rPr>
        <w:rFonts w:hint="default"/>
      </w:rPr>
    </w:lvl>
    <w:lvl w:ilvl="3" w:tplc="0409000F" w:tentative="1">
      <w:start w:val="1"/>
      <w:numFmt w:val="decimal"/>
      <w:lvlText w:val="%4."/>
      <w:lvlJc w:val="left"/>
      <w:pPr>
        <w:tabs>
          <w:tab w:val="num" w:pos="3510"/>
        </w:tabs>
        <w:ind w:left="3510" w:hanging="360"/>
      </w:pPr>
    </w:lvl>
    <w:lvl w:ilvl="4" w:tplc="04090019" w:tentative="1">
      <w:start w:val="1"/>
      <w:numFmt w:val="lowerLetter"/>
      <w:lvlText w:val="%5."/>
      <w:lvlJc w:val="left"/>
      <w:pPr>
        <w:tabs>
          <w:tab w:val="num" w:pos="4230"/>
        </w:tabs>
        <w:ind w:left="4230" w:hanging="360"/>
      </w:pPr>
    </w:lvl>
    <w:lvl w:ilvl="5" w:tplc="0409001B" w:tentative="1">
      <w:start w:val="1"/>
      <w:numFmt w:val="lowerRoman"/>
      <w:lvlText w:val="%6."/>
      <w:lvlJc w:val="right"/>
      <w:pPr>
        <w:tabs>
          <w:tab w:val="num" w:pos="4950"/>
        </w:tabs>
        <w:ind w:left="4950" w:hanging="180"/>
      </w:pPr>
    </w:lvl>
    <w:lvl w:ilvl="6" w:tplc="0409000F" w:tentative="1">
      <w:start w:val="1"/>
      <w:numFmt w:val="decimal"/>
      <w:lvlText w:val="%7."/>
      <w:lvlJc w:val="left"/>
      <w:pPr>
        <w:tabs>
          <w:tab w:val="num" w:pos="5670"/>
        </w:tabs>
        <w:ind w:left="5670" w:hanging="360"/>
      </w:pPr>
    </w:lvl>
    <w:lvl w:ilvl="7" w:tplc="04090019" w:tentative="1">
      <w:start w:val="1"/>
      <w:numFmt w:val="lowerLetter"/>
      <w:lvlText w:val="%8."/>
      <w:lvlJc w:val="left"/>
      <w:pPr>
        <w:tabs>
          <w:tab w:val="num" w:pos="6390"/>
        </w:tabs>
        <w:ind w:left="6390" w:hanging="360"/>
      </w:pPr>
    </w:lvl>
    <w:lvl w:ilvl="8" w:tplc="0409001B" w:tentative="1">
      <w:start w:val="1"/>
      <w:numFmt w:val="lowerRoman"/>
      <w:lvlText w:val="%9."/>
      <w:lvlJc w:val="right"/>
      <w:pPr>
        <w:tabs>
          <w:tab w:val="num" w:pos="7110"/>
        </w:tabs>
        <w:ind w:left="7110" w:hanging="180"/>
      </w:pPr>
    </w:lvl>
  </w:abstractNum>
  <w:abstractNum w:abstractNumId="2" w15:restartNumberingAfterBreak="0">
    <w:nsid w:val="04AB3FDE"/>
    <w:multiLevelType w:val="hybridMultilevel"/>
    <w:tmpl w:val="58AE7BB0"/>
    <w:lvl w:ilvl="0" w:tplc="5930E0A4">
      <w:start w:val="1"/>
      <w:numFmt w:val="decimal"/>
      <w:lvlText w:val="%1."/>
      <w:lvlJc w:val="left"/>
      <w:pPr>
        <w:ind w:left="1637" w:hanging="360"/>
      </w:pPr>
      <w:rPr>
        <w:b w:val="0"/>
        <w:bCs/>
        <w:i w:val="0"/>
        <w:iCs/>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6EC4ECC"/>
    <w:multiLevelType w:val="hybridMultilevel"/>
    <w:tmpl w:val="4728289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CC112A"/>
    <w:multiLevelType w:val="hybridMultilevel"/>
    <w:tmpl w:val="1D84C774"/>
    <w:lvl w:ilvl="0" w:tplc="040C0019">
      <w:start w:val="1"/>
      <w:numFmt w:val="lowerLetter"/>
      <w:lvlText w:val="%1."/>
      <w:lvlJc w:val="left"/>
      <w:pPr>
        <w:tabs>
          <w:tab w:val="num" w:pos="1080"/>
        </w:tabs>
        <w:ind w:left="720" w:firstLine="0"/>
      </w:pPr>
      <w:rPr>
        <w:rFonts w:hint="default"/>
        <w:b w:val="0"/>
        <w:i w:val="0"/>
        <w:color w:val="auto"/>
        <w:sz w:val="22"/>
        <w:szCs w:val="20"/>
      </w:rPr>
    </w:lvl>
    <w:lvl w:ilvl="1" w:tplc="E4B21D22">
      <w:start w:val="1"/>
      <w:numFmt w:val="lowerLetter"/>
      <w:lvlText w:val="(%2)"/>
      <w:lvlJc w:val="left"/>
      <w:pPr>
        <w:tabs>
          <w:tab w:val="num" w:pos="1350"/>
        </w:tabs>
        <w:ind w:left="1710" w:firstLine="0"/>
      </w:pPr>
      <w:rPr>
        <w:rFonts w:hint="default"/>
      </w:rPr>
    </w:lvl>
    <w:lvl w:ilvl="2" w:tplc="73C4CA50">
      <w:start w:val="1"/>
      <w:numFmt w:val="lowerRoman"/>
      <w:lvlText w:val="(%3)"/>
      <w:lvlJc w:val="left"/>
      <w:pPr>
        <w:tabs>
          <w:tab w:val="num" w:pos="2970"/>
        </w:tabs>
        <w:ind w:left="2970" w:hanging="360"/>
      </w:pPr>
      <w:rPr>
        <w:rFonts w:hint="default"/>
      </w:rPr>
    </w:lvl>
    <w:lvl w:ilvl="3" w:tplc="0409000F" w:tentative="1">
      <w:start w:val="1"/>
      <w:numFmt w:val="decimal"/>
      <w:lvlText w:val="%4."/>
      <w:lvlJc w:val="left"/>
      <w:pPr>
        <w:tabs>
          <w:tab w:val="num" w:pos="3510"/>
        </w:tabs>
        <w:ind w:left="3510" w:hanging="360"/>
      </w:pPr>
    </w:lvl>
    <w:lvl w:ilvl="4" w:tplc="04090019" w:tentative="1">
      <w:start w:val="1"/>
      <w:numFmt w:val="lowerLetter"/>
      <w:lvlText w:val="%5."/>
      <w:lvlJc w:val="left"/>
      <w:pPr>
        <w:tabs>
          <w:tab w:val="num" w:pos="4230"/>
        </w:tabs>
        <w:ind w:left="4230" w:hanging="360"/>
      </w:pPr>
    </w:lvl>
    <w:lvl w:ilvl="5" w:tplc="0409001B" w:tentative="1">
      <w:start w:val="1"/>
      <w:numFmt w:val="lowerRoman"/>
      <w:lvlText w:val="%6."/>
      <w:lvlJc w:val="right"/>
      <w:pPr>
        <w:tabs>
          <w:tab w:val="num" w:pos="4950"/>
        </w:tabs>
        <w:ind w:left="4950" w:hanging="180"/>
      </w:pPr>
    </w:lvl>
    <w:lvl w:ilvl="6" w:tplc="0409000F" w:tentative="1">
      <w:start w:val="1"/>
      <w:numFmt w:val="decimal"/>
      <w:lvlText w:val="%7."/>
      <w:lvlJc w:val="left"/>
      <w:pPr>
        <w:tabs>
          <w:tab w:val="num" w:pos="5670"/>
        </w:tabs>
        <w:ind w:left="5670" w:hanging="360"/>
      </w:pPr>
    </w:lvl>
    <w:lvl w:ilvl="7" w:tplc="04090019" w:tentative="1">
      <w:start w:val="1"/>
      <w:numFmt w:val="lowerLetter"/>
      <w:lvlText w:val="%8."/>
      <w:lvlJc w:val="left"/>
      <w:pPr>
        <w:tabs>
          <w:tab w:val="num" w:pos="6390"/>
        </w:tabs>
        <w:ind w:left="6390" w:hanging="360"/>
      </w:pPr>
    </w:lvl>
    <w:lvl w:ilvl="8" w:tplc="0409001B" w:tentative="1">
      <w:start w:val="1"/>
      <w:numFmt w:val="lowerRoman"/>
      <w:lvlText w:val="%9."/>
      <w:lvlJc w:val="right"/>
      <w:pPr>
        <w:tabs>
          <w:tab w:val="num" w:pos="7110"/>
        </w:tabs>
        <w:ind w:left="7110" w:hanging="180"/>
      </w:pPr>
    </w:lvl>
  </w:abstractNum>
  <w:abstractNum w:abstractNumId="5" w15:restartNumberingAfterBreak="0">
    <w:nsid w:val="104732A3"/>
    <w:multiLevelType w:val="hybridMultilevel"/>
    <w:tmpl w:val="A0905AFA"/>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1CD0BD3"/>
    <w:multiLevelType w:val="hybridMultilevel"/>
    <w:tmpl w:val="AA948330"/>
    <w:lvl w:ilvl="0" w:tplc="040C0001">
      <w:start w:val="1"/>
      <w:numFmt w:val="bullet"/>
      <w:lvlText w:val=""/>
      <w:lvlJc w:val="left"/>
      <w:pPr>
        <w:ind w:left="851" w:hanging="360"/>
      </w:pPr>
      <w:rPr>
        <w:rFonts w:ascii="Symbol" w:hAnsi="Symbol" w:hint="default"/>
      </w:rPr>
    </w:lvl>
    <w:lvl w:ilvl="1" w:tplc="040C0003" w:tentative="1">
      <w:start w:val="1"/>
      <w:numFmt w:val="bullet"/>
      <w:lvlText w:val="o"/>
      <w:lvlJc w:val="left"/>
      <w:pPr>
        <w:ind w:left="1571" w:hanging="360"/>
      </w:pPr>
      <w:rPr>
        <w:rFonts w:ascii="Courier New" w:hAnsi="Courier New" w:cs="Courier New" w:hint="default"/>
      </w:rPr>
    </w:lvl>
    <w:lvl w:ilvl="2" w:tplc="040C0005" w:tentative="1">
      <w:start w:val="1"/>
      <w:numFmt w:val="bullet"/>
      <w:lvlText w:val=""/>
      <w:lvlJc w:val="left"/>
      <w:pPr>
        <w:ind w:left="2291" w:hanging="360"/>
      </w:pPr>
      <w:rPr>
        <w:rFonts w:ascii="Wingdings" w:hAnsi="Wingdings" w:hint="default"/>
      </w:rPr>
    </w:lvl>
    <w:lvl w:ilvl="3" w:tplc="040C0001" w:tentative="1">
      <w:start w:val="1"/>
      <w:numFmt w:val="bullet"/>
      <w:lvlText w:val=""/>
      <w:lvlJc w:val="left"/>
      <w:pPr>
        <w:ind w:left="3011" w:hanging="360"/>
      </w:pPr>
      <w:rPr>
        <w:rFonts w:ascii="Symbol" w:hAnsi="Symbol" w:hint="default"/>
      </w:rPr>
    </w:lvl>
    <w:lvl w:ilvl="4" w:tplc="040C0003" w:tentative="1">
      <w:start w:val="1"/>
      <w:numFmt w:val="bullet"/>
      <w:lvlText w:val="o"/>
      <w:lvlJc w:val="left"/>
      <w:pPr>
        <w:ind w:left="3731" w:hanging="360"/>
      </w:pPr>
      <w:rPr>
        <w:rFonts w:ascii="Courier New" w:hAnsi="Courier New" w:cs="Courier New" w:hint="default"/>
      </w:rPr>
    </w:lvl>
    <w:lvl w:ilvl="5" w:tplc="040C0005" w:tentative="1">
      <w:start w:val="1"/>
      <w:numFmt w:val="bullet"/>
      <w:lvlText w:val=""/>
      <w:lvlJc w:val="left"/>
      <w:pPr>
        <w:ind w:left="4451" w:hanging="360"/>
      </w:pPr>
      <w:rPr>
        <w:rFonts w:ascii="Wingdings" w:hAnsi="Wingdings" w:hint="default"/>
      </w:rPr>
    </w:lvl>
    <w:lvl w:ilvl="6" w:tplc="040C0001" w:tentative="1">
      <w:start w:val="1"/>
      <w:numFmt w:val="bullet"/>
      <w:lvlText w:val=""/>
      <w:lvlJc w:val="left"/>
      <w:pPr>
        <w:ind w:left="5171" w:hanging="360"/>
      </w:pPr>
      <w:rPr>
        <w:rFonts w:ascii="Symbol" w:hAnsi="Symbol" w:hint="default"/>
      </w:rPr>
    </w:lvl>
    <w:lvl w:ilvl="7" w:tplc="040C0003" w:tentative="1">
      <w:start w:val="1"/>
      <w:numFmt w:val="bullet"/>
      <w:lvlText w:val="o"/>
      <w:lvlJc w:val="left"/>
      <w:pPr>
        <w:ind w:left="5891" w:hanging="360"/>
      </w:pPr>
      <w:rPr>
        <w:rFonts w:ascii="Courier New" w:hAnsi="Courier New" w:cs="Courier New" w:hint="default"/>
      </w:rPr>
    </w:lvl>
    <w:lvl w:ilvl="8" w:tplc="040C0005" w:tentative="1">
      <w:start w:val="1"/>
      <w:numFmt w:val="bullet"/>
      <w:lvlText w:val=""/>
      <w:lvlJc w:val="left"/>
      <w:pPr>
        <w:ind w:left="6611" w:hanging="360"/>
      </w:pPr>
      <w:rPr>
        <w:rFonts w:ascii="Wingdings" w:hAnsi="Wingdings" w:hint="default"/>
      </w:rPr>
    </w:lvl>
  </w:abstractNum>
  <w:abstractNum w:abstractNumId="7" w15:restartNumberingAfterBreak="0">
    <w:nsid w:val="11FE793A"/>
    <w:multiLevelType w:val="hybridMultilevel"/>
    <w:tmpl w:val="8D626010"/>
    <w:lvl w:ilvl="0" w:tplc="04090019">
      <w:start w:val="1"/>
      <w:numFmt w:val="lowerLetter"/>
      <w:lvlText w:val="%1."/>
      <w:lvlJc w:val="left"/>
      <w:pPr>
        <w:tabs>
          <w:tab w:val="num" w:pos="1080"/>
        </w:tabs>
        <w:ind w:left="720" w:firstLine="0"/>
      </w:pPr>
      <w:rPr>
        <w:rFonts w:hint="default"/>
        <w:b w:val="0"/>
        <w:i w:val="0"/>
        <w:color w:val="auto"/>
        <w:sz w:val="22"/>
        <w:szCs w:val="20"/>
      </w:rPr>
    </w:lvl>
    <w:lvl w:ilvl="1" w:tplc="040C0019">
      <w:start w:val="1"/>
      <w:numFmt w:val="lowerLetter"/>
      <w:lvlText w:val="%2."/>
      <w:lvlJc w:val="left"/>
      <w:pPr>
        <w:tabs>
          <w:tab w:val="num" w:pos="1350"/>
        </w:tabs>
        <w:ind w:left="1710" w:firstLine="0"/>
      </w:pPr>
      <w:rPr>
        <w:rFonts w:hint="default"/>
      </w:rPr>
    </w:lvl>
    <w:lvl w:ilvl="2" w:tplc="73C4CA50">
      <w:start w:val="1"/>
      <w:numFmt w:val="lowerRoman"/>
      <w:lvlText w:val="(%3)"/>
      <w:lvlJc w:val="left"/>
      <w:pPr>
        <w:tabs>
          <w:tab w:val="num" w:pos="2970"/>
        </w:tabs>
        <w:ind w:left="2970" w:hanging="360"/>
      </w:pPr>
      <w:rPr>
        <w:rFonts w:hint="default"/>
      </w:rPr>
    </w:lvl>
    <w:lvl w:ilvl="3" w:tplc="0409000F" w:tentative="1">
      <w:start w:val="1"/>
      <w:numFmt w:val="decimal"/>
      <w:lvlText w:val="%4."/>
      <w:lvlJc w:val="left"/>
      <w:pPr>
        <w:tabs>
          <w:tab w:val="num" w:pos="3510"/>
        </w:tabs>
        <w:ind w:left="3510" w:hanging="360"/>
      </w:pPr>
    </w:lvl>
    <w:lvl w:ilvl="4" w:tplc="04090019" w:tentative="1">
      <w:start w:val="1"/>
      <w:numFmt w:val="lowerLetter"/>
      <w:lvlText w:val="%5."/>
      <w:lvlJc w:val="left"/>
      <w:pPr>
        <w:tabs>
          <w:tab w:val="num" w:pos="4230"/>
        </w:tabs>
        <w:ind w:left="4230" w:hanging="360"/>
      </w:pPr>
    </w:lvl>
    <w:lvl w:ilvl="5" w:tplc="0409001B" w:tentative="1">
      <w:start w:val="1"/>
      <w:numFmt w:val="lowerRoman"/>
      <w:lvlText w:val="%6."/>
      <w:lvlJc w:val="right"/>
      <w:pPr>
        <w:tabs>
          <w:tab w:val="num" w:pos="4950"/>
        </w:tabs>
        <w:ind w:left="4950" w:hanging="180"/>
      </w:pPr>
    </w:lvl>
    <w:lvl w:ilvl="6" w:tplc="0409000F" w:tentative="1">
      <w:start w:val="1"/>
      <w:numFmt w:val="decimal"/>
      <w:lvlText w:val="%7."/>
      <w:lvlJc w:val="left"/>
      <w:pPr>
        <w:tabs>
          <w:tab w:val="num" w:pos="5670"/>
        </w:tabs>
        <w:ind w:left="5670" w:hanging="360"/>
      </w:pPr>
    </w:lvl>
    <w:lvl w:ilvl="7" w:tplc="04090019" w:tentative="1">
      <w:start w:val="1"/>
      <w:numFmt w:val="lowerLetter"/>
      <w:lvlText w:val="%8."/>
      <w:lvlJc w:val="left"/>
      <w:pPr>
        <w:tabs>
          <w:tab w:val="num" w:pos="6390"/>
        </w:tabs>
        <w:ind w:left="6390" w:hanging="360"/>
      </w:pPr>
    </w:lvl>
    <w:lvl w:ilvl="8" w:tplc="0409001B" w:tentative="1">
      <w:start w:val="1"/>
      <w:numFmt w:val="lowerRoman"/>
      <w:lvlText w:val="%9."/>
      <w:lvlJc w:val="right"/>
      <w:pPr>
        <w:tabs>
          <w:tab w:val="num" w:pos="7110"/>
        </w:tabs>
        <w:ind w:left="7110" w:hanging="180"/>
      </w:pPr>
    </w:lvl>
  </w:abstractNum>
  <w:abstractNum w:abstractNumId="8" w15:restartNumberingAfterBreak="0">
    <w:nsid w:val="12C83411"/>
    <w:multiLevelType w:val="hybridMultilevel"/>
    <w:tmpl w:val="7B8E658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76D75E7"/>
    <w:multiLevelType w:val="hybridMultilevel"/>
    <w:tmpl w:val="8D626010"/>
    <w:lvl w:ilvl="0" w:tplc="04090019">
      <w:start w:val="1"/>
      <w:numFmt w:val="lowerLetter"/>
      <w:lvlText w:val="%1."/>
      <w:lvlJc w:val="left"/>
      <w:pPr>
        <w:tabs>
          <w:tab w:val="num" w:pos="1080"/>
        </w:tabs>
        <w:ind w:left="720" w:firstLine="0"/>
      </w:pPr>
      <w:rPr>
        <w:rFonts w:hint="default"/>
        <w:b w:val="0"/>
        <w:i w:val="0"/>
        <w:color w:val="auto"/>
        <w:sz w:val="22"/>
        <w:szCs w:val="20"/>
      </w:rPr>
    </w:lvl>
    <w:lvl w:ilvl="1" w:tplc="040C0019">
      <w:start w:val="1"/>
      <w:numFmt w:val="lowerLetter"/>
      <w:lvlText w:val="%2."/>
      <w:lvlJc w:val="left"/>
      <w:pPr>
        <w:tabs>
          <w:tab w:val="num" w:pos="1350"/>
        </w:tabs>
        <w:ind w:left="1710" w:firstLine="0"/>
      </w:pPr>
      <w:rPr>
        <w:rFonts w:hint="default"/>
      </w:rPr>
    </w:lvl>
    <w:lvl w:ilvl="2" w:tplc="73C4CA50">
      <w:start w:val="1"/>
      <w:numFmt w:val="lowerRoman"/>
      <w:lvlText w:val="(%3)"/>
      <w:lvlJc w:val="left"/>
      <w:pPr>
        <w:tabs>
          <w:tab w:val="num" w:pos="2970"/>
        </w:tabs>
        <w:ind w:left="2970" w:hanging="360"/>
      </w:pPr>
      <w:rPr>
        <w:rFonts w:hint="default"/>
      </w:rPr>
    </w:lvl>
    <w:lvl w:ilvl="3" w:tplc="0409000F" w:tentative="1">
      <w:start w:val="1"/>
      <w:numFmt w:val="decimal"/>
      <w:lvlText w:val="%4."/>
      <w:lvlJc w:val="left"/>
      <w:pPr>
        <w:tabs>
          <w:tab w:val="num" w:pos="3510"/>
        </w:tabs>
        <w:ind w:left="3510" w:hanging="360"/>
      </w:pPr>
    </w:lvl>
    <w:lvl w:ilvl="4" w:tplc="04090019" w:tentative="1">
      <w:start w:val="1"/>
      <w:numFmt w:val="lowerLetter"/>
      <w:lvlText w:val="%5."/>
      <w:lvlJc w:val="left"/>
      <w:pPr>
        <w:tabs>
          <w:tab w:val="num" w:pos="4230"/>
        </w:tabs>
        <w:ind w:left="4230" w:hanging="360"/>
      </w:pPr>
    </w:lvl>
    <w:lvl w:ilvl="5" w:tplc="0409001B" w:tentative="1">
      <w:start w:val="1"/>
      <w:numFmt w:val="lowerRoman"/>
      <w:lvlText w:val="%6."/>
      <w:lvlJc w:val="right"/>
      <w:pPr>
        <w:tabs>
          <w:tab w:val="num" w:pos="4950"/>
        </w:tabs>
        <w:ind w:left="4950" w:hanging="180"/>
      </w:pPr>
    </w:lvl>
    <w:lvl w:ilvl="6" w:tplc="0409000F" w:tentative="1">
      <w:start w:val="1"/>
      <w:numFmt w:val="decimal"/>
      <w:lvlText w:val="%7."/>
      <w:lvlJc w:val="left"/>
      <w:pPr>
        <w:tabs>
          <w:tab w:val="num" w:pos="5670"/>
        </w:tabs>
        <w:ind w:left="5670" w:hanging="360"/>
      </w:pPr>
    </w:lvl>
    <w:lvl w:ilvl="7" w:tplc="04090019" w:tentative="1">
      <w:start w:val="1"/>
      <w:numFmt w:val="lowerLetter"/>
      <w:lvlText w:val="%8."/>
      <w:lvlJc w:val="left"/>
      <w:pPr>
        <w:tabs>
          <w:tab w:val="num" w:pos="6390"/>
        </w:tabs>
        <w:ind w:left="6390" w:hanging="360"/>
      </w:pPr>
    </w:lvl>
    <w:lvl w:ilvl="8" w:tplc="0409001B" w:tentative="1">
      <w:start w:val="1"/>
      <w:numFmt w:val="lowerRoman"/>
      <w:lvlText w:val="%9."/>
      <w:lvlJc w:val="right"/>
      <w:pPr>
        <w:tabs>
          <w:tab w:val="num" w:pos="7110"/>
        </w:tabs>
        <w:ind w:left="7110" w:hanging="180"/>
      </w:pPr>
    </w:lvl>
  </w:abstractNum>
  <w:abstractNum w:abstractNumId="10" w15:restartNumberingAfterBreak="0">
    <w:nsid w:val="1C250143"/>
    <w:multiLevelType w:val="hybridMultilevel"/>
    <w:tmpl w:val="1D84C774"/>
    <w:lvl w:ilvl="0" w:tplc="040C0019">
      <w:start w:val="1"/>
      <w:numFmt w:val="lowerLetter"/>
      <w:lvlText w:val="%1."/>
      <w:lvlJc w:val="left"/>
      <w:pPr>
        <w:tabs>
          <w:tab w:val="num" w:pos="1080"/>
        </w:tabs>
        <w:ind w:left="720" w:firstLine="0"/>
      </w:pPr>
      <w:rPr>
        <w:rFonts w:hint="default"/>
        <w:b w:val="0"/>
        <w:i w:val="0"/>
        <w:color w:val="auto"/>
        <w:sz w:val="22"/>
        <w:szCs w:val="20"/>
      </w:rPr>
    </w:lvl>
    <w:lvl w:ilvl="1" w:tplc="E4B21D22">
      <w:start w:val="1"/>
      <w:numFmt w:val="lowerLetter"/>
      <w:lvlText w:val="(%2)"/>
      <w:lvlJc w:val="left"/>
      <w:pPr>
        <w:tabs>
          <w:tab w:val="num" w:pos="1350"/>
        </w:tabs>
        <w:ind w:left="1710" w:firstLine="0"/>
      </w:pPr>
      <w:rPr>
        <w:rFonts w:hint="default"/>
      </w:rPr>
    </w:lvl>
    <w:lvl w:ilvl="2" w:tplc="73C4CA50">
      <w:start w:val="1"/>
      <w:numFmt w:val="lowerRoman"/>
      <w:lvlText w:val="(%3)"/>
      <w:lvlJc w:val="left"/>
      <w:pPr>
        <w:tabs>
          <w:tab w:val="num" w:pos="2970"/>
        </w:tabs>
        <w:ind w:left="2970" w:hanging="360"/>
      </w:pPr>
      <w:rPr>
        <w:rFonts w:hint="default"/>
      </w:rPr>
    </w:lvl>
    <w:lvl w:ilvl="3" w:tplc="0409000F" w:tentative="1">
      <w:start w:val="1"/>
      <w:numFmt w:val="decimal"/>
      <w:lvlText w:val="%4."/>
      <w:lvlJc w:val="left"/>
      <w:pPr>
        <w:tabs>
          <w:tab w:val="num" w:pos="3510"/>
        </w:tabs>
        <w:ind w:left="3510" w:hanging="360"/>
      </w:pPr>
    </w:lvl>
    <w:lvl w:ilvl="4" w:tplc="04090019" w:tentative="1">
      <w:start w:val="1"/>
      <w:numFmt w:val="lowerLetter"/>
      <w:lvlText w:val="%5."/>
      <w:lvlJc w:val="left"/>
      <w:pPr>
        <w:tabs>
          <w:tab w:val="num" w:pos="4230"/>
        </w:tabs>
        <w:ind w:left="4230" w:hanging="360"/>
      </w:pPr>
    </w:lvl>
    <w:lvl w:ilvl="5" w:tplc="0409001B" w:tentative="1">
      <w:start w:val="1"/>
      <w:numFmt w:val="lowerRoman"/>
      <w:lvlText w:val="%6."/>
      <w:lvlJc w:val="right"/>
      <w:pPr>
        <w:tabs>
          <w:tab w:val="num" w:pos="4950"/>
        </w:tabs>
        <w:ind w:left="4950" w:hanging="180"/>
      </w:pPr>
    </w:lvl>
    <w:lvl w:ilvl="6" w:tplc="0409000F" w:tentative="1">
      <w:start w:val="1"/>
      <w:numFmt w:val="decimal"/>
      <w:lvlText w:val="%7."/>
      <w:lvlJc w:val="left"/>
      <w:pPr>
        <w:tabs>
          <w:tab w:val="num" w:pos="5670"/>
        </w:tabs>
        <w:ind w:left="5670" w:hanging="360"/>
      </w:pPr>
    </w:lvl>
    <w:lvl w:ilvl="7" w:tplc="04090019" w:tentative="1">
      <w:start w:val="1"/>
      <w:numFmt w:val="lowerLetter"/>
      <w:lvlText w:val="%8."/>
      <w:lvlJc w:val="left"/>
      <w:pPr>
        <w:tabs>
          <w:tab w:val="num" w:pos="6390"/>
        </w:tabs>
        <w:ind w:left="6390" w:hanging="360"/>
      </w:pPr>
    </w:lvl>
    <w:lvl w:ilvl="8" w:tplc="0409001B" w:tentative="1">
      <w:start w:val="1"/>
      <w:numFmt w:val="lowerRoman"/>
      <w:lvlText w:val="%9."/>
      <w:lvlJc w:val="right"/>
      <w:pPr>
        <w:tabs>
          <w:tab w:val="num" w:pos="7110"/>
        </w:tabs>
        <w:ind w:left="7110" w:hanging="180"/>
      </w:pPr>
    </w:lvl>
  </w:abstractNum>
  <w:abstractNum w:abstractNumId="11" w15:restartNumberingAfterBreak="0">
    <w:nsid w:val="1F5E0ADD"/>
    <w:multiLevelType w:val="hybridMultilevel"/>
    <w:tmpl w:val="513E0C24"/>
    <w:lvl w:ilvl="0" w:tplc="FC26D4D0">
      <w:start w:val="1"/>
      <w:numFmt w:val="upperLetter"/>
      <w:lvlText w:val="%1."/>
      <w:lvlJc w:val="left"/>
      <w:pPr>
        <w:ind w:left="81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F885861"/>
    <w:multiLevelType w:val="hybridMultilevel"/>
    <w:tmpl w:val="A7B8C0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FF95E1F"/>
    <w:multiLevelType w:val="hybridMultilevel"/>
    <w:tmpl w:val="B87AB4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29A305C"/>
    <w:multiLevelType w:val="hybridMultilevel"/>
    <w:tmpl w:val="33801FA0"/>
    <w:lvl w:ilvl="0" w:tplc="04090019">
      <w:start w:val="1"/>
      <w:numFmt w:val="lowerLetter"/>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5" w15:restartNumberingAfterBreak="0">
    <w:nsid w:val="23E426A8"/>
    <w:multiLevelType w:val="hybridMultilevel"/>
    <w:tmpl w:val="5F4A21E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248E20EA"/>
    <w:multiLevelType w:val="hybridMultilevel"/>
    <w:tmpl w:val="0212ED72"/>
    <w:lvl w:ilvl="0" w:tplc="E1C83004">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4FE53C5"/>
    <w:multiLevelType w:val="hybridMultilevel"/>
    <w:tmpl w:val="9AAA08FC"/>
    <w:lvl w:ilvl="0" w:tplc="04D6F62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6E01CA1"/>
    <w:multiLevelType w:val="hybridMultilevel"/>
    <w:tmpl w:val="513E0C24"/>
    <w:lvl w:ilvl="0" w:tplc="FC26D4D0">
      <w:start w:val="1"/>
      <w:numFmt w:val="upperLetter"/>
      <w:lvlText w:val="%1."/>
      <w:lvlJc w:val="left"/>
      <w:pPr>
        <w:ind w:left="81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95C694A"/>
    <w:multiLevelType w:val="hybridMultilevel"/>
    <w:tmpl w:val="33801FA0"/>
    <w:lvl w:ilvl="0" w:tplc="04090019">
      <w:start w:val="1"/>
      <w:numFmt w:val="lowerLetter"/>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20" w15:restartNumberingAfterBreak="0">
    <w:nsid w:val="297765C5"/>
    <w:multiLevelType w:val="hybridMultilevel"/>
    <w:tmpl w:val="22D6E50E"/>
    <w:lvl w:ilvl="0" w:tplc="CFDA7A8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D09662F"/>
    <w:multiLevelType w:val="hybridMultilevel"/>
    <w:tmpl w:val="5762B844"/>
    <w:lvl w:ilvl="0" w:tplc="0409000F">
      <w:start w:val="1"/>
      <w:numFmt w:val="decimal"/>
      <w:lvlText w:val="%1."/>
      <w:lvlJc w:val="left"/>
      <w:pPr>
        <w:ind w:left="780" w:hanging="360"/>
      </w:pPr>
    </w:lvl>
    <w:lvl w:ilvl="1" w:tplc="04090019">
      <w:start w:val="1"/>
      <w:numFmt w:val="lowerLetter"/>
      <w:lvlText w:val="%2."/>
      <w:lvlJc w:val="left"/>
      <w:pPr>
        <w:ind w:left="1500" w:hanging="360"/>
      </w:pPr>
    </w:lvl>
    <w:lvl w:ilvl="2" w:tplc="0409001B">
      <w:start w:val="1"/>
      <w:numFmt w:val="lowerRoman"/>
      <w:lvlText w:val="%3."/>
      <w:lvlJc w:val="right"/>
      <w:pPr>
        <w:ind w:left="2220" w:hanging="180"/>
      </w:pPr>
    </w:lvl>
    <w:lvl w:ilvl="3" w:tplc="82E2BA74">
      <w:start w:val="43"/>
      <w:numFmt w:val="bullet"/>
      <w:lvlText w:val="-"/>
      <w:lvlJc w:val="left"/>
      <w:pPr>
        <w:ind w:left="2940" w:hanging="360"/>
      </w:pPr>
      <w:rPr>
        <w:rFonts w:ascii="Times New Roman" w:eastAsiaTheme="minorHAnsi" w:hAnsi="Times New Roman" w:cs="Times New Roman" w:hint="default"/>
      </w:rPr>
    </w:lvl>
    <w:lvl w:ilvl="4" w:tplc="8C18F544">
      <w:start w:val="1"/>
      <w:numFmt w:val="lowerRoman"/>
      <w:lvlText w:val="(%5)"/>
      <w:lvlJc w:val="left"/>
      <w:pPr>
        <w:ind w:left="4020" w:hanging="720"/>
      </w:pPr>
      <w:rPr>
        <w:rFonts w:ascii="Times New Roman" w:hAnsi="Times New Roman" w:hint="default"/>
        <w:b w:val="0"/>
        <w:color w:val="000000" w:themeColor="text1"/>
        <w:sz w:val="18"/>
      </w:r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2" w15:restartNumberingAfterBreak="0">
    <w:nsid w:val="313F03CB"/>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63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3" w15:restartNumberingAfterBreak="0">
    <w:nsid w:val="32291342"/>
    <w:multiLevelType w:val="hybridMultilevel"/>
    <w:tmpl w:val="8C04FAB0"/>
    <w:lvl w:ilvl="0" w:tplc="04090019">
      <w:start w:val="1"/>
      <w:numFmt w:val="lowerLetter"/>
      <w:lvlText w:val="%1."/>
      <w:lvlJc w:val="left"/>
      <w:pPr>
        <w:ind w:left="851" w:hanging="360"/>
      </w:pPr>
      <w:rPr>
        <w:rFonts w:hint="default"/>
      </w:rPr>
    </w:lvl>
    <w:lvl w:ilvl="1" w:tplc="040C0003" w:tentative="1">
      <w:start w:val="1"/>
      <w:numFmt w:val="bullet"/>
      <w:lvlText w:val="o"/>
      <w:lvlJc w:val="left"/>
      <w:pPr>
        <w:ind w:left="1571" w:hanging="360"/>
      </w:pPr>
      <w:rPr>
        <w:rFonts w:ascii="Courier New" w:hAnsi="Courier New" w:cs="Courier New" w:hint="default"/>
      </w:rPr>
    </w:lvl>
    <w:lvl w:ilvl="2" w:tplc="040C0005" w:tentative="1">
      <w:start w:val="1"/>
      <w:numFmt w:val="bullet"/>
      <w:lvlText w:val=""/>
      <w:lvlJc w:val="left"/>
      <w:pPr>
        <w:ind w:left="2291" w:hanging="360"/>
      </w:pPr>
      <w:rPr>
        <w:rFonts w:ascii="Wingdings" w:hAnsi="Wingdings" w:hint="default"/>
      </w:rPr>
    </w:lvl>
    <w:lvl w:ilvl="3" w:tplc="040C0001" w:tentative="1">
      <w:start w:val="1"/>
      <w:numFmt w:val="bullet"/>
      <w:lvlText w:val=""/>
      <w:lvlJc w:val="left"/>
      <w:pPr>
        <w:ind w:left="3011" w:hanging="360"/>
      </w:pPr>
      <w:rPr>
        <w:rFonts w:ascii="Symbol" w:hAnsi="Symbol" w:hint="default"/>
      </w:rPr>
    </w:lvl>
    <w:lvl w:ilvl="4" w:tplc="040C0003" w:tentative="1">
      <w:start w:val="1"/>
      <w:numFmt w:val="bullet"/>
      <w:lvlText w:val="o"/>
      <w:lvlJc w:val="left"/>
      <w:pPr>
        <w:ind w:left="3731" w:hanging="360"/>
      </w:pPr>
      <w:rPr>
        <w:rFonts w:ascii="Courier New" w:hAnsi="Courier New" w:cs="Courier New" w:hint="default"/>
      </w:rPr>
    </w:lvl>
    <w:lvl w:ilvl="5" w:tplc="040C0005" w:tentative="1">
      <w:start w:val="1"/>
      <w:numFmt w:val="bullet"/>
      <w:lvlText w:val=""/>
      <w:lvlJc w:val="left"/>
      <w:pPr>
        <w:ind w:left="4451" w:hanging="360"/>
      </w:pPr>
      <w:rPr>
        <w:rFonts w:ascii="Wingdings" w:hAnsi="Wingdings" w:hint="default"/>
      </w:rPr>
    </w:lvl>
    <w:lvl w:ilvl="6" w:tplc="040C0001" w:tentative="1">
      <w:start w:val="1"/>
      <w:numFmt w:val="bullet"/>
      <w:lvlText w:val=""/>
      <w:lvlJc w:val="left"/>
      <w:pPr>
        <w:ind w:left="5171" w:hanging="360"/>
      </w:pPr>
      <w:rPr>
        <w:rFonts w:ascii="Symbol" w:hAnsi="Symbol" w:hint="default"/>
      </w:rPr>
    </w:lvl>
    <w:lvl w:ilvl="7" w:tplc="040C0003" w:tentative="1">
      <w:start w:val="1"/>
      <w:numFmt w:val="bullet"/>
      <w:lvlText w:val="o"/>
      <w:lvlJc w:val="left"/>
      <w:pPr>
        <w:ind w:left="5891" w:hanging="360"/>
      </w:pPr>
      <w:rPr>
        <w:rFonts w:ascii="Courier New" w:hAnsi="Courier New" w:cs="Courier New" w:hint="default"/>
      </w:rPr>
    </w:lvl>
    <w:lvl w:ilvl="8" w:tplc="040C0005" w:tentative="1">
      <w:start w:val="1"/>
      <w:numFmt w:val="bullet"/>
      <w:lvlText w:val=""/>
      <w:lvlJc w:val="left"/>
      <w:pPr>
        <w:ind w:left="6611" w:hanging="360"/>
      </w:pPr>
      <w:rPr>
        <w:rFonts w:ascii="Wingdings" w:hAnsi="Wingdings" w:hint="default"/>
      </w:rPr>
    </w:lvl>
  </w:abstractNum>
  <w:abstractNum w:abstractNumId="24" w15:restartNumberingAfterBreak="0">
    <w:nsid w:val="36243D68"/>
    <w:multiLevelType w:val="hybridMultilevel"/>
    <w:tmpl w:val="8D626010"/>
    <w:lvl w:ilvl="0" w:tplc="04090019">
      <w:start w:val="1"/>
      <w:numFmt w:val="lowerLetter"/>
      <w:lvlText w:val="%1."/>
      <w:lvlJc w:val="left"/>
      <w:pPr>
        <w:tabs>
          <w:tab w:val="num" w:pos="1080"/>
        </w:tabs>
        <w:ind w:left="720" w:firstLine="0"/>
      </w:pPr>
      <w:rPr>
        <w:rFonts w:hint="default"/>
        <w:b w:val="0"/>
        <w:i w:val="0"/>
        <w:color w:val="auto"/>
        <w:sz w:val="22"/>
        <w:szCs w:val="20"/>
      </w:rPr>
    </w:lvl>
    <w:lvl w:ilvl="1" w:tplc="040C0019">
      <w:start w:val="1"/>
      <w:numFmt w:val="lowerLetter"/>
      <w:lvlText w:val="%2."/>
      <w:lvlJc w:val="left"/>
      <w:pPr>
        <w:tabs>
          <w:tab w:val="num" w:pos="1350"/>
        </w:tabs>
        <w:ind w:left="1710" w:firstLine="0"/>
      </w:pPr>
      <w:rPr>
        <w:rFonts w:hint="default"/>
      </w:rPr>
    </w:lvl>
    <w:lvl w:ilvl="2" w:tplc="73C4CA50">
      <w:start w:val="1"/>
      <w:numFmt w:val="lowerRoman"/>
      <w:lvlText w:val="(%3)"/>
      <w:lvlJc w:val="left"/>
      <w:pPr>
        <w:tabs>
          <w:tab w:val="num" w:pos="2970"/>
        </w:tabs>
        <w:ind w:left="2970" w:hanging="360"/>
      </w:pPr>
      <w:rPr>
        <w:rFonts w:hint="default"/>
      </w:rPr>
    </w:lvl>
    <w:lvl w:ilvl="3" w:tplc="0409000F" w:tentative="1">
      <w:start w:val="1"/>
      <w:numFmt w:val="decimal"/>
      <w:lvlText w:val="%4."/>
      <w:lvlJc w:val="left"/>
      <w:pPr>
        <w:tabs>
          <w:tab w:val="num" w:pos="3510"/>
        </w:tabs>
        <w:ind w:left="3510" w:hanging="360"/>
      </w:pPr>
    </w:lvl>
    <w:lvl w:ilvl="4" w:tplc="04090019" w:tentative="1">
      <w:start w:val="1"/>
      <w:numFmt w:val="lowerLetter"/>
      <w:lvlText w:val="%5."/>
      <w:lvlJc w:val="left"/>
      <w:pPr>
        <w:tabs>
          <w:tab w:val="num" w:pos="4230"/>
        </w:tabs>
        <w:ind w:left="4230" w:hanging="360"/>
      </w:pPr>
    </w:lvl>
    <w:lvl w:ilvl="5" w:tplc="0409001B" w:tentative="1">
      <w:start w:val="1"/>
      <w:numFmt w:val="lowerRoman"/>
      <w:lvlText w:val="%6."/>
      <w:lvlJc w:val="right"/>
      <w:pPr>
        <w:tabs>
          <w:tab w:val="num" w:pos="4950"/>
        </w:tabs>
        <w:ind w:left="4950" w:hanging="180"/>
      </w:pPr>
    </w:lvl>
    <w:lvl w:ilvl="6" w:tplc="0409000F" w:tentative="1">
      <w:start w:val="1"/>
      <w:numFmt w:val="decimal"/>
      <w:lvlText w:val="%7."/>
      <w:lvlJc w:val="left"/>
      <w:pPr>
        <w:tabs>
          <w:tab w:val="num" w:pos="5670"/>
        </w:tabs>
        <w:ind w:left="5670" w:hanging="360"/>
      </w:pPr>
    </w:lvl>
    <w:lvl w:ilvl="7" w:tplc="04090019" w:tentative="1">
      <w:start w:val="1"/>
      <w:numFmt w:val="lowerLetter"/>
      <w:lvlText w:val="%8."/>
      <w:lvlJc w:val="left"/>
      <w:pPr>
        <w:tabs>
          <w:tab w:val="num" w:pos="6390"/>
        </w:tabs>
        <w:ind w:left="6390" w:hanging="360"/>
      </w:pPr>
    </w:lvl>
    <w:lvl w:ilvl="8" w:tplc="0409001B" w:tentative="1">
      <w:start w:val="1"/>
      <w:numFmt w:val="lowerRoman"/>
      <w:lvlText w:val="%9."/>
      <w:lvlJc w:val="right"/>
      <w:pPr>
        <w:tabs>
          <w:tab w:val="num" w:pos="7110"/>
        </w:tabs>
        <w:ind w:left="7110" w:hanging="180"/>
      </w:pPr>
    </w:lvl>
  </w:abstractNum>
  <w:abstractNum w:abstractNumId="25" w15:restartNumberingAfterBreak="0">
    <w:nsid w:val="36540221"/>
    <w:multiLevelType w:val="hybridMultilevel"/>
    <w:tmpl w:val="22D6E50E"/>
    <w:lvl w:ilvl="0" w:tplc="CFDA7A8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71147DC"/>
    <w:multiLevelType w:val="hybridMultilevel"/>
    <w:tmpl w:val="0B006C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7556D35"/>
    <w:multiLevelType w:val="hybridMultilevel"/>
    <w:tmpl w:val="8D626010"/>
    <w:lvl w:ilvl="0" w:tplc="04090019">
      <w:start w:val="1"/>
      <w:numFmt w:val="lowerLetter"/>
      <w:lvlText w:val="%1."/>
      <w:lvlJc w:val="left"/>
      <w:pPr>
        <w:tabs>
          <w:tab w:val="num" w:pos="1080"/>
        </w:tabs>
        <w:ind w:left="720" w:firstLine="0"/>
      </w:pPr>
      <w:rPr>
        <w:rFonts w:hint="default"/>
        <w:b w:val="0"/>
        <w:i w:val="0"/>
        <w:color w:val="auto"/>
        <w:sz w:val="22"/>
        <w:szCs w:val="20"/>
      </w:rPr>
    </w:lvl>
    <w:lvl w:ilvl="1" w:tplc="040C0019">
      <w:start w:val="1"/>
      <w:numFmt w:val="lowerLetter"/>
      <w:lvlText w:val="%2."/>
      <w:lvlJc w:val="left"/>
      <w:pPr>
        <w:tabs>
          <w:tab w:val="num" w:pos="1350"/>
        </w:tabs>
        <w:ind w:left="1710" w:firstLine="0"/>
      </w:pPr>
      <w:rPr>
        <w:rFonts w:hint="default"/>
      </w:rPr>
    </w:lvl>
    <w:lvl w:ilvl="2" w:tplc="73C4CA50">
      <w:start w:val="1"/>
      <w:numFmt w:val="lowerRoman"/>
      <w:lvlText w:val="(%3)"/>
      <w:lvlJc w:val="left"/>
      <w:pPr>
        <w:tabs>
          <w:tab w:val="num" w:pos="2970"/>
        </w:tabs>
        <w:ind w:left="2970" w:hanging="360"/>
      </w:pPr>
      <w:rPr>
        <w:rFonts w:hint="default"/>
      </w:rPr>
    </w:lvl>
    <w:lvl w:ilvl="3" w:tplc="0409000F" w:tentative="1">
      <w:start w:val="1"/>
      <w:numFmt w:val="decimal"/>
      <w:lvlText w:val="%4."/>
      <w:lvlJc w:val="left"/>
      <w:pPr>
        <w:tabs>
          <w:tab w:val="num" w:pos="3510"/>
        </w:tabs>
        <w:ind w:left="3510" w:hanging="360"/>
      </w:pPr>
    </w:lvl>
    <w:lvl w:ilvl="4" w:tplc="04090019" w:tentative="1">
      <w:start w:val="1"/>
      <w:numFmt w:val="lowerLetter"/>
      <w:lvlText w:val="%5."/>
      <w:lvlJc w:val="left"/>
      <w:pPr>
        <w:tabs>
          <w:tab w:val="num" w:pos="4230"/>
        </w:tabs>
        <w:ind w:left="4230" w:hanging="360"/>
      </w:pPr>
    </w:lvl>
    <w:lvl w:ilvl="5" w:tplc="0409001B" w:tentative="1">
      <w:start w:val="1"/>
      <w:numFmt w:val="lowerRoman"/>
      <w:lvlText w:val="%6."/>
      <w:lvlJc w:val="right"/>
      <w:pPr>
        <w:tabs>
          <w:tab w:val="num" w:pos="4950"/>
        </w:tabs>
        <w:ind w:left="4950" w:hanging="180"/>
      </w:pPr>
    </w:lvl>
    <w:lvl w:ilvl="6" w:tplc="0409000F" w:tentative="1">
      <w:start w:val="1"/>
      <w:numFmt w:val="decimal"/>
      <w:lvlText w:val="%7."/>
      <w:lvlJc w:val="left"/>
      <w:pPr>
        <w:tabs>
          <w:tab w:val="num" w:pos="5670"/>
        </w:tabs>
        <w:ind w:left="5670" w:hanging="360"/>
      </w:pPr>
    </w:lvl>
    <w:lvl w:ilvl="7" w:tplc="04090019" w:tentative="1">
      <w:start w:val="1"/>
      <w:numFmt w:val="lowerLetter"/>
      <w:lvlText w:val="%8."/>
      <w:lvlJc w:val="left"/>
      <w:pPr>
        <w:tabs>
          <w:tab w:val="num" w:pos="6390"/>
        </w:tabs>
        <w:ind w:left="6390" w:hanging="360"/>
      </w:pPr>
    </w:lvl>
    <w:lvl w:ilvl="8" w:tplc="0409001B" w:tentative="1">
      <w:start w:val="1"/>
      <w:numFmt w:val="lowerRoman"/>
      <w:lvlText w:val="%9."/>
      <w:lvlJc w:val="right"/>
      <w:pPr>
        <w:tabs>
          <w:tab w:val="num" w:pos="7110"/>
        </w:tabs>
        <w:ind w:left="7110" w:hanging="180"/>
      </w:pPr>
    </w:lvl>
  </w:abstractNum>
  <w:abstractNum w:abstractNumId="28" w15:restartNumberingAfterBreak="0">
    <w:nsid w:val="38095E6E"/>
    <w:multiLevelType w:val="hybridMultilevel"/>
    <w:tmpl w:val="A2B2388C"/>
    <w:lvl w:ilvl="0" w:tplc="C89CB2B4">
      <w:start w:val="1"/>
      <w:numFmt w:val="decimal"/>
      <w:lvlText w:val="%1."/>
      <w:lvlJc w:val="left"/>
      <w:pPr>
        <w:ind w:left="780" w:hanging="360"/>
      </w:pPr>
      <w:rPr>
        <w:b w:val="0"/>
      </w:rPr>
    </w:lvl>
    <w:lvl w:ilvl="1" w:tplc="04090019">
      <w:start w:val="1"/>
      <w:numFmt w:val="lowerLetter"/>
      <w:lvlText w:val="%2."/>
      <w:lvlJc w:val="left"/>
      <w:pPr>
        <w:ind w:left="1500" w:hanging="360"/>
      </w:pPr>
    </w:lvl>
    <w:lvl w:ilvl="2" w:tplc="0409001B">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9" w15:restartNumberingAfterBreak="0">
    <w:nsid w:val="39B4772F"/>
    <w:multiLevelType w:val="hybridMultilevel"/>
    <w:tmpl w:val="0B1C92E6"/>
    <w:lvl w:ilvl="0" w:tplc="0409001B">
      <w:start w:val="1"/>
      <w:numFmt w:val="lowerRoman"/>
      <w:lvlText w:val="%1."/>
      <w:lvlJc w:val="righ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30" w15:restartNumberingAfterBreak="0">
    <w:nsid w:val="3CA009A6"/>
    <w:multiLevelType w:val="hybridMultilevel"/>
    <w:tmpl w:val="4CB66140"/>
    <w:lvl w:ilvl="0" w:tplc="CCFC549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CED13A6"/>
    <w:multiLevelType w:val="hybridMultilevel"/>
    <w:tmpl w:val="D10C773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3D2A2DD1"/>
    <w:multiLevelType w:val="hybridMultilevel"/>
    <w:tmpl w:val="DB5A9298"/>
    <w:lvl w:ilvl="0" w:tplc="0409001B">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42DC444A"/>
    <w:multiLevelType w:val="hybridMultilevel"/>
    <w:tmpl w:val="032E48BE"/>
    <w:lvl w:ilvl="0" w:tplc="04090019">
      <w:start w:val="1"/>
      <w:numFmt w:val="lowerLetter"/>
      <w:lvlText w:val="%1."/>
      <w:lvlJc w:val="left"/>
      <w:pPr>
        <w:ind w:left="2220" w:hanging="360"/>
      </w:pPr>
    </w:lvl>
    <w:lvl w:ilvl="1" w:tplc="04090019" w:tentative="1">
      <w:start w:val="1"/>
      <w:numFmt w:val="lowerLetter"/>
      <w:lvlText w:val="%2."/>
      <w:lvlJc w:val="left"/>
      <w:pPr>
        <w:ind w:left="2940" w:hanging="360"/>
      </w:pPr>
    </w:lvl>
    <w:lvl w:ilvl="2" w:tplc="0409001B" w:tentative="1">
      <w:start w:val="1"/>
      <w:numFmt w:val="lowerRoman"/>
      <w:lvlText w:val="%3."/>
      <w:lvlJc w:val="right"/>
      <w:pPr>
        <w:ind w:left="3660" w:hanging="180"/>
      </w:pPr>
    </w:lvl>
    <w:lvl w:ilvl="3" w:tplc="0409000F" w:tentative="1">
      <w:start w:val="1"/>
      <w:numFmt w:val="decimal"/>
      <w:lvlText w:val="%4."/>
      <w:lvlJc w:val="left"/>
      <w:pPr>
        <w:ind w:left="4380" w:hanging="360"/>
      </w:pPr>
    </w:lvl>
    <w:lvl w:ilvl="4" w:tplc="04090019" w:tentative="1">
      <w:start w:val="1"/>
      <w:numFmt w:val="lowerLetter"/>
      <w:lvlText w:val="%5."/>
      <w:lvlJc w:val="left"/>
      <w:pPr>
        <w:ind w:left="5100" w:hanging="360"/>
      </w:pPr>
    </w:lvl>
    <w:lvl w:ilvl="5" w:tplc="0409001B" w:tentative="1">
      <w:start w:val="1"/>
      <w:numFmt w:val="lowerRoman"/>
      <w:lvlText w:val="%6."/>
      <w:lvlJc w:val="right"/>
      <w:pPr>
        <w:ind w:left="5820" w:hanging="180"/>
      </w:pPr>
    </w:lvl>
    <w:lvl w:ilvl="6" w:tplc="0409000F" w:tentative="1">
      <w:start w:val="1"/>
      <w:numFmt w:val="decimal"/>
      <w:lvlText w:val="%7."/>
      <w:lvlJc w:val="left"/>
      <w:pPr>
        <w:ind w:left="6540" w:hanging="360"/>
      </w:pPr>
    </w:lvl>
    <w:lvl w:ilvl="7" w:tplc="04090019" w:tentative="1">
      <w:start w:val="1"/>
      <w:numFmt w:val="lowerLetter"/>
      <w:lvlText w:val="%8."/>
      <w:lvlJc w:val="left"/>
      <w:pPr>
        <w:ind w:left="7260" w:hanging="360"/>
      </w:pPr>
    </w:lvl>
    <w:lvl w:ilvl="8" w:tplc="0409001B" w:tentative="1">
      <w:start w:val="1"/>
      <w:numFmt w:val="lowerRoman"/>
      <w:lvlText w:val="%9."/>
      <w:lvlJc w:val="right"/>
      <w:pPr>
        <w:ind w:left="7980" w:hanging="180"/>
      </w:pPr>
    </w:lvl>
  </w:abstractNum>
  <w:abstractNum w:abstractNumId="34" w15:restartNumberingAfterBreak="0">
    <w:nsid w:val="435602DB"/>
    <w:multiLevelType w:val="hybridMultilevel"/>
    <w:tmpl w:val="264A28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59D6B75"/>
    <w:multiLevelType w:val="hybridMultilevel"/>
    <w:tmpl w:val="33801FA0"/>
    <w:lvl w:ilvl="0" w:tplc="04090019">
      <w:start w:val="1"/>
      <w:numFmt w:val="lowerLetter"/>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36" w15:restartNumberingAfterBreak="0">
    <w:nsid w:val="463C34BD"/>
    <w:multiLevelType w:val="hybridMultilevel"/>
    <w:tmpl w:val="513E0C24"/>
    <w:lvl w:ilvl="0" w:tplc="FC26D4D0">
      <w:start w:val="1"/>
      <w:numFmt w:val="upperLetter"/>
      <w:lvlText w:val="%1."/>
      <w:lvlJc w:val="left"/>
      <w:pPr>
        <w:ind w:left="81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69804C4"/>
    <w:multiLevelType w:val="hybridMultilevel"/>
    <w:tmpl w:val="01405252"/>
    <w:lvl w:ilvl="0" w:tplc="9FF85B88">
      <w:start w:val="1"/>
      <w:numFmt w:val="decimal"/>
      <w:pStyle w:val="Style7"/>
      <w:lvlText w:val="%1."/>
      <w:lvlJc w:val="left"/>
      <w:pPr>
        <w:ind w:left="360" w:hanging="360"/>
      </w:pPr>
      <w:rPr>
        <w:rFonts w:ascii="Times New Roman" w:hAnsi="Times New Roman" w:cs="Times New Roman" w:hint="default"/>
        <w:b w:val="0"/>
        <w:bCs/>
        <w:i w:val="0"/>
        <w:iCs w:val="0"/>
      </w:rPr>
    </w:lvl>
    <w:lvl w:ilvl="1" w:tplc="6742E1AE">
      <w:start w:val="1"/>
      <w:numFmt w:val="lowerLetter"/>
      <w:lvlText w:val="%2."/>
      <w:lvlJc w:val="lef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8" w15:restartNumberingAfterBreak="0">
    <w:nsid w:val="4A462A31"/>
    <w:multiLevelType w:val="hybridMultilevel"/>
    <w:tmpl w:val="CEBA57B8"/>
    <w:lvl w:ilvl="0" w:tplc="04090019">
      <w:start w:val="1"/>
      <w:numFmt w:val="lowerLetter"/>
      <w:lvlText w:val="%1."/>
      <w:lvlJc w:val="left"/>
      <w:pPr>
        <w:ind w:left="851" w:hanging="360"/>
      </w:pPr>
      <w:rPr>
        <w:rFonts w:hint="default"/>
      </w:rPr>
    </w:lvl>
    <w:lvl w:ilvl="1" w:tplc="040C0003" w:tentative="1">
      <w:start w:val="1"/>
      <w:numFmt w:val="bullet"/>
      <w:lvlText w:val="o"/>
      <w:lvlJc w:val="left"/>
      <w:pPr>
        <w:ind w:left="1571" w:hanging="360"/>
      </w:pPr>
      <w:rPr>
        <w:rFonts w:ascii="Courier New" w:hAnsi="Courier New" w:cs="Courier New" w:hint="default"/>
      </w:rPr>
    </w:lvl>
    <w:lvl w:ilvl="2" w:tplc="040C0005" w:tentative="1">
      <w:start w:val="1"/>
      <w:numFmt w:val="bullet"/>
      <w:lvlText w:val=""/>
      <w:lvlJc w:val="left"/>
      <w:pPr>
        <w:ind w:left="2291" w:hanging="360"/>
      </w:pPr>
      <w:rPr>
        <w:rFonts w:ascii="Wingdings" w:hAnsi="Wingdings" w:hint="default"/>
      </w:rPr>
    </w:lvl>
    <w:lvl w:ilvl="3" w:tplc="040C0001" w:tentative="1">
      <w:start w:val="1"/>
      <w:numFmt w:val="bullet"/>
      <w:lvlText w:val=""/>
      <w:lvlJc w:val="left"/>
      <w:pPr>
        <w:ind w:left="3011" w:hanging="360"/>
      </w:pPr>
      <w:rPr>
        <w:rFonts w:ascii="Symbol" w:hAnsi="Symbol" w:hint="default"/>
      </w:rPr>
    </w:lvl>
    <w:lvl w:ilvl="4" w:tplc="040C0003" w:tentative="1">
      <w:start w:val="1"/>
      <w:numFmt w:val="bullet"/>
      <w:lvlText w:val="o"/>
      <w:lvlJc w:val="left"/>
      <w:pPr>
        <w:ind w:left="3731" w:hanging="360"/>
      </w:pPr>
      <w:rPr>
        <w:rFonts w:ascii="Courier New" w:hAnsi="Courier New" w:cs="Courier New" w:hint="default"/>
      </w:rPr>
    </w:lvl>
    <w:lvl w:ilvl="5" w:tplc="040C0005" w:tentative="1">
      <w:start w:val="1"/>
      <w:numFmt w:val="bullet"/>
      <w:lvlText w:val=""/>
      <w:lvlJc w:val="left"/>
      <w:pPr>
        <w:ind w:left="4451" w:hanging="360"/>
      </w:pPr>
      <w:rPr>
        <w:rFonts w:ascii="Wingdings" w:hAnsi="Wingdings" w:hint="default"/>
      </w:rPr>
    </w:lvl>
    <w:lvl w:ilvl="6" w:tplc="040C0001" w:tentative="1">
      <w:start w:val="1"/>
      <w:numFmt w:val="bullet"/>
      <w:lvlText w:val=""/>
      <w:lvlJc w:val="left"/>
      <w:pPr>
        <w:ind w:left="5171" w:hanging="360"/>
      </w:pPr>
      <w:rPr>
        <w:rFonts w:ascii="Symbol" w:hAnsi="Symbol" w:hint="default"/>
      </w:rPr>
    </w:lvl>
    <w:lvl w:ilvl="7" w:tplc="040C0003" w:tentative="1">
      <w:start w:val="1"/>
      <w:numFmt w:val="bullet"/>
      <w:lvlText w:val="o"/>
      <w:lvlJc w:val="left"/>
      <w:pPr>
        <w:ind w:left="5891" w:hanging="360"/>
      </w:pPr>
      <w:rPr>
        <w:rFonts w:ascii="Courier New" w:hAnsi="Courier New" w:cs="Courier New" w:hint="default"/>
      </w:rPr>
    </w:lvl>
    <w:lvl w:ilvl="8" w:tplc="040C0005" w:tentative="1">
      <w:start w:val="1"/>
      <w:numFmt w:val="bullet"/>
      <w:lvlText w:val=""/>
      <w:lvlJc w:val="left"/>
      <w:pPr>
        <w:ind w:left="6611" w:hanging="360"/>
      </w:pPr>
      <w:rPr>
        <w:rFonts w:ascii="Wingdings" w:hAnsi="Wingdings" w:hint="default"/>
      </w:rPr>
    </w:lvl>
  </w:abstractNum>
  <w:abstractNum w:abstractNumId="39" w15:restartNumberingAfterBreak="0">
    <w:nsid w:val="4D0E487D"/>
    <w:multiLevelType w:val="hybridMultilevel"/>
    <w:tmpl w:val="3B2C76C8"/>
    <w:lvl w:ilvl="0" w:tplc="04090001">
      <w:start w:val="1"/>
      <w:numFmt w:val="bullet"/>
      <w:lvlText w:val=""/>
      <w:lvlJc w:val="left"/>
      <w:pPr>
        <w:ind w:left="920" w:hanging="360"/>
      </w:pPr>
      <w:rPr>
        <w:rFonts w:ascii="Symbol" w:hAnsi="Symbol" w:hint="default"/>
      </w:rPr>
    </w:lvl>
    <w:lvl w:ilvl="1" w:tplc="04090003" w:tentative="1">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40" w15:restartNumberingAfterBreak="0">
    <w:nsid w:val="53C74E99"/>
    <w:multiLevelType w:val="hybridMultilevel"/>
    <w:tmpl w:val="F9D051FE"/>
    <w:lvl w:ilvl="0" w:tplc="0409001B">
      <w:start w:val="1"/>
      <w:numFmt w:val="lowerRoman"/>
      <w:lvlText w:val="%1."/>
      <w:lvlJc w:val="righ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41" w15:restartNumberingAfterBreak="0">
    <w:nsid w:val="57C31BF3"/>
    <w:multiLevelType w:val="hybridMultilevel"/>
    <w:tmpl w:val="513E0C24"/>
    <w:lvl w:ilvl="0" w:tplc="FC26D4D0">
      <w:start w:val="1"/>
      <w:numFmt w:val="upperLetter"/>
      <w:lvlText w:val="%1."/>
      <w:lvlJc w:val="left"/>
      <w:pPr>
        <w:ind w:left="81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A96085B"/>
    <w:multiLevelType w:val="hybridMultilevel"/>
    <w:tmpl w:val="77DCC288"/>
    <w:lvl w:ilvl="0" w:tplc="5930E0A4">
      <w:start w:val="1"/>
      <w:numFmt w:val="decimal"/>
      <w:lvlText w:val="%1."/>
      <w:lvlJc w:val="left"/>
      <w:pPr>
        <w:ind w:left="1637" w:hanging="360"/>
      </w:pPr>
      <w:rPr>
        <w:b w:val="0"/>
        <w:bCs/>
        <w:i w:val="0"/>
        <w:iCs/>
      </w:rPr>
    </w:lvl>
    <w:lvl w:ilvl="1" w:tplc="0409001B">
      <w:start w:val="1"/>
      <w:numFmt w:val="lowerRoman"/>
      <w:lvlText w:val="%2."/>
      <w:lvlJc w:val="right"/>
      <w:pPr>
        <w:ind w:left="1440" w:hanging="360"/>
      </w:pPr>
      <w:rPr>
        <w:rFonts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5B22755B"/>
    <w:multiLevelType w:val="hybridMultilevel"/>
    <w:tmpl w:val="7BD63A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4" w15:restartNumberingAfterBreak="0">
    <w:nsid w:val="5BF33665"/>
    <w:multiLevelType w:val="hybridMultilevel"/>
    <w:tmpl w:val="ECB0A0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CF57666"/>
    <w:multiLevelType w:val="hybridMultilevel"/>
    <w:tmpl w:val="0A828F64"/>
    <w:lvl w:ilvl="0" w:tplc="671E44AC">
      <w:start w:val="1"/>
      <w:numFmt w:val="upperLetter"/>
      <w:pStyle w:val="Subtitle"/>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E77431F"/>
    <w:multiLevelType w:val="hybridMultilevel"/>
    <w:tmpl w:val="7BD63A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7" w15:restartNumberingAfterBreak="0">
    <w:nsid w:val="61664CE7"/>
    <w:multiLevelType w:val="hybridMultilevel"/>
    <w:tmpl w:val="513E0C24"/>
    <w:lvl w:ilvl="0" w:tplc="FC26D4D0">
      <w:start w:val="1"/>
      <w:numFmt w:val="upperLetter"/>
      <w:lvlText w:val="%1."/>
      <w:lvlJc w:val="left"/>
      <w:pPr>
        <w:ind w:left="81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19D1DCB"/>
    <w:multiLevelType w:val="hybridMultilevel"/>
    <w:tmpl w:val="D81664A8"/>
    <w:lvl w:ilvl="0" w:tplc="EEE8FE8E">
      <w:start w:val="1"/>
      <w:numFmt w:val="decimal"/>
      <w:pStyle w:val="Paranumbering"/>
      <w:lvlText w:val="%1."/>
      <w:lvlJc w:val="left"/>
      <w:pPr>
        <w:ind w:left="360" w:hanging="360"/>
      </w:pPr>
      <w:rPr>
        <w:rFonts w:asciiTheme="majorBidi" w:hAnsiTheme="majorBidi" w:cstheme="majorBid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 w15:restartNumberingAfterBreak="0">
    <w:nsid w:val="63340903"/>
    <w:multiLevelType w:val="hybridMultilevel"/>
    <w:tmpl w:val="AC88591C"/>
    <w:lvl w:ilvl="0" w:tplc="DFBCF10A">
      <w:start w:val="1"/>
      <w:numFmt w:val="decimal"/>
      <w:pStyle w:val="MainParanoChapter"/>
      <w:lvlText w:val="%1."/>
      <w:lvlJc w:val="left"/>
      <w:pPr>
        <w:ind w:left="360" w:hanging="360"/>
      </w:pPr>
      <w:rPr>
        <w:b w:val="0"/>
        <w:i w:val="0"/>
        <w:sz w:val="24"/>
        <w:szCs w:val="24"/>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 w15:restartNumberingAfterBreak="0">
    <w:nsid w:val="644F7906"/>
    <w:multiLevelType w:val="hybridMultilevel"/>
    <w:tmpl w:val="7FC2CC38"/>
    <w:lvl w:ilvl="0" w:tplc="04090019">
      <w:start w:val="1"/>
      <w:numFmt w:val="lowerLetter"/>
      <w:lvlText w:val="%1."/>
      <w:lvlJc w:val="left"/>
      <w:pPr>
        <w:ind w:left="720"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CAEC5042">
      <w:start w:val="1"/>
      <w:numFmt w:val="lowerRoman"/>
      <w:lvlText w:val="(%2)"/>
      <w:lvlJc w:val="left"/>
      <w:pPr>
        <w:ind w:left="1800" w:hanging="720"/>
      </w:pPr>
      <w:rPr>
        <w:rFonts w:hint="default"/>
      </w:rPr>
    </w:lvl>
    <w:lvl w:ilvl="2" w:tplc="0D9A1EA4">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64E61C4A"/>
    <w:multiLevelType w:val="hybridMultilevel"/>
    <w:tmpl w:val="33801FA0"/>
    <w:lvl w:ilvl="0" w:tplc="04090019">
      <w:start w:val="1"/>
      <w:numFmt w:val="lowerLetter"/>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52" w15:restartNumberingAfterBreak="0">
    <w:nsid w:val="6CCA5999"/>
    <w:multiLevelType w:val="hybridMultilevel"/>
    <w:tmpl w:val="851857FC"/>
    <w:lvl w:ilvl="0" w:tplc="B1409534">
      <w:start w:val="1"/>
      <w:numFmt w:val="lowerRoman"/>
      <w:lvlText w:val="(%1)"/>
      <w:lvlJc w:val="left"/>
      <w:pPr>
        <w:ind w:left="765" w:hanging="72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53" w15:restartNumberingAfterBreak="0">
    <w:nsid w:val="776D5247"/>
    <w:multiLevelType w:val="hybridMultilevel"/>
    <w:tmpl w:val="8D626010"/>
    <w:lvl w:ilvl="0" w:tplc="04090019">
      <w:start w:val="1"/>
      <w:numFmt w:val="lowerLetter"/>
      <w:lvlText w:val="%1."/>
      <w:lvlJc w:val="left"/>
      <w:pPr>
        <w:tabs>
          <w:tab w:val="num" w:pos="1080"/>
        </w:tabs>
        <w:ind w:left="720" w:firstLine="0"/>
      </w:pPr>
      <w:rPr>
        <w:rFonts w:hint="default"/>
        <w:b w:val="0"/>
        <w:i w:val="0"/>
        <w:color w:val="auto"/>
        <w:sz w:val="22"/>
        <w:szCs w:val="20"/>
      </w:rPr>
    </w:lvl>
    <w:lvl w:ilvl="1" w:tplc="040C0019">
      <w:start w:val="1"/>
      <w:numFmt w:val="lowerLetter"/>
      <w:lvlText w:val="%2."/>
      <w:lvlJc w:val="left"/>
      <w:pPr>
        <w:tabs>
          <w:tab w:val="num" w:pos="1350"/>
        </w:tabs>
        <w:ind w:left="1710" w:firstLine="0"/>
      </w:pPr>
      <w:rPr>
        <w:rFonts w:hint="default"/>
      </w:rPr>
    </w:lvl>
    <w:lvl w:ilvl="2" w:tplc="73C4CA50">
      <w:start w:val="1"/>
      <w:numFmt w:val="lowerRoman"/>
      <w:lvlText w:val="(%3)"/>
      <w:lvlJc w:val="left"/>
      <w:pPr>
        <w:tabs>
          <w:tab w:val="num" w:pos="2970"/>
        </w:tabs>
        <w:ind w:left="2970" w:hanging="360"/>
      </w:pPr>
      <w:rPr>
        <w:rFonts w:hint="default"/>
      </w:rPr>
    </w:lvl>
    <w:lvl w:ilvl="3" w:tplc="0409000F" w:tentative="1">
      <w:start w:val="1"/>
      <w:numFmt w:val="decimal"/>
      <w:lvlText w:val="%4."/>
      <w:lvlJc w:val="left"/>
      <w:pPr>
        <w:tabs>
          <w:tab w:val="num" w:pos="3510"/>
        </w:tabs>
        <w:ind w:left="3510" w:hanging="360"/>
      </w:pPr>
    </w:lvl>
    <w:lvl w:ilvl="4" w:tplc="04090019" w:tentative="1">
      <w:start w:val="1"/>
      <w:numFmt w:val="lowerLetter"/>
      <w:lvlText w:val="%5."/>
      <w:lvlJc w:val="left"/>
      <w:pPr>
        <w:tabs>
          <w:tab w:val="num" w:pos="4230"/>
        </w:tabs>
        <w:ind w:left="4230" w:hanging="360"/>
      </w:pPr>
    </w:lvl>
    <w:lvl w:ilvl="5" w:tplc="0409001B" w:tentative="1">
      <w:start w:val="1"/>
      <w:numFmt w:val="lowerRoman"/>
      <w:lvlText w:val="%6."/>
      <w:lvlJc w:val="right"/>
      <w:pPr>
        <w:tabs>
          <w:tab w:val="num" w:pos="4950"/>
        </w:tabs>
        <w:ind w:left="4950" w:hanging="180"/>
      </w:pPr>
    </w:lvl>
    <w:lvl w:ilvl="6" w:tplc="0409000F" w:tentative="1">
      <w:start w:val="1"/>
      <w:numFmt w:val="decimal"/>
      <w:lvlText w:val="%7."/>
      <w:lvlJc w:val="left"/>
      <w:pPr>
        <w:tabs>
          <w:tab w:val="num" w:pos="5670"/>
        </w:tabs>
        <w:ind w:left="5670" w:hanging="360"/>
      </w:pPr>
    </w:lvl>
    <w:lvl w:ilvl="7" w:tplc="04090019" w:tentative="1">
      <w:start w:val="1"/>
      <w:numFmt w:val="lowerLetter"/>
      <w:lvlText w:val="%8."/>
      <w:lvlJc w:val="left"/>
      <w:pPr>
        <w:tabs>
          <w:tab w:val="num" w:pos="6390"/>
        </w:tabs>
        <w:ind w:left="6390" w:hanging="360"/>
      </w:pPr>
    </w:lvl>
    <w:lvl w:ilvl="8" w:tplc="0409001B" w:tentative="1">
      <w:start w:val="1"/>
      <w:numFmt w:val="lowerRoman"/>
      <w:lvlText w:val="%9."/>
      <w:lvlJc w:val="right"/>
      <w:pPr>
        <w:tabs>
          <w:tab w:val="num" w:pos="7110"/>
        </w:tabs>
        <w:ind w:left="7110" w:hanging="180"/>
      </w:pPr>
    </w:lvl>
  </w:abstractNum>
  <w:abstractNum w:abstractNumId="54" w15:restartNumberingAfterBreak="0">
    <w:nsid w:val="77DB56A9"/>
    <w:multiLevelType w:val="hybridMultilevel"/>
    <w:tmpl w:val="018EF96C"/>
    <w:lvl w:ilvl="0" w:tplc="93A820C0">
      <w:start w:val="1"/>
      <w:numFmt w:val="decimal"/>
      <w:pStyle w:val="MainParanoChapter-Ch3"/>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838507B"/>
    <w:multiLevelType w:val="hybridMultilevel"/>
    <w:tmpl w:val="700869F4"/>
    <w:lvl w:ilvl="0" w:tplc="0409001B">
      <w:start w:val="1"/>
      <w:numFmt w:val="lowerRoman"/>
      <w:lvlText w:val="%1."/>
      <w:lvlJc w:val="right"/>
      <w:pPr>
        <w:ind w:left="1571" w:hanging="360"/>
      </w:pPr>
      <w:rPr>
        <w:rFonts w:hint="default"/>
      </w:rPr>
    </w:lvl>
    <w:lvl w:ilvl="1" w:tplc="040C0005">
      <w:start w:val="1"/>
      <w:numFmt w:val="bullet"/>
      <w:lvlText w:val=""/>
      <w:lvlJc w:val="left"/>
      <w:pPr>
        <w:ind w:left="2291" w:hanging="360"/>
      </w:pPr>
      <w:rPr>
        <w:rFonts w:ascii="Wingdings" w:hAnsi="Wingdings"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56" w15:restartNumberingAfterBreak="0">
    <w:nsid w:val="7AC703CF"/>
    <w:multiLevelType w:val="hybridMultilevel"/>
    <w:tmpl w:val="513E0C24"/>
    <w:lvl w:ilvl="0" w:tplc="FC26D4D0">
      <w:start w:val="1"/>
      <w:numFmt w:val="upperLetter"/>
      <w:lvlText w:val="%1."/>
      <w:lvlJc w:val="left"/>
      <w:pPr>
        <w:ind w:left="81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22"/>
  </w:num>
  <w:num w:numId="3">
    <w:abstractNumId w:val="30"/>
  </w:num>
  <w:num w:numId="4">
    <w:abstractNumId w:val="49"/>
  </w:num>
  <w:num w:numId="5">
    <w:abstractNumId w:val="54"/>
  </w:num>
  <w:num w:numId="6">
    <w:abstractNumId w:val="46"/>
  </w:num>
  <w:num w:numId="7">
    <w:abstractNumId w:val="28"/>
  </w:num>
  <w:num w:numId="8">
    <w:abstractNumId w:val="34"/>
  </w:num>
  <w:num w:numId="9">
    <w:abstractNumId w:val="17"/>
  </w:num>
  <w:num w:numId="10">
    <w:abstractNumId w:val="52"/>
  </w:num>
  <w:num w:numId="11">
    <w:abstractNumId w:val="45"/>
  </w:num>
  <w:num w:numId="12">
    <w:abstractNumId w:val="10"/>
  </w:num>
  <w:num w:numId="13">
    <w:abstractNumId w:val="4"/>
  </w:num>
  <w:num w:numId="14">
    <w:abstractNumId w:val="9"/>
  </w:num>
  <w:num w:numId="15">
    <w:abstractNumId w:val="2"/>
  </w:num>
  <w:num w:numId="16">
    <w:abstractNumId w:val="24"/>
  </w:num>
  <w:num w:numId="17">
    <w:abstractNumId w:val="7"/>
  </w:num>
  <w:num w:numId="18">
    <w:abstractNumId w:val="53"/>
  </w:num>
  <w:num w:numId="19">
    <w:abstractNumId w:val="16"/>
  </w:num>
  <w:num w:numId="20">
    <w:abstractNumId w:val="21"/>
  </w:num>
  <w:num w:numId="21">
    <w:abstractNumId w:val="19"/>
  </w:num>
  <w:num w:numId="22">
    <w:abstractNumId w:val="51"/>
  </w:num>
  <w:num w:numId="23">
    <w:abstractNumId w:val="14"/>
  </w:num>
  <w:num w:numId="24">
    <w:abstractNumId w:val="20"/>
  </w:num>
  <w:num w:numId="25">
    <w:abstractNumId w:val="35"/>
  </w:num>
  <w:num w:numId="26">
    <w:abstractNumId w:val="13"/>
  </w:num>
  <w:num w:numId="27">
    <w:abstractNumId w:val="18"/>
  </w:num>
  <w:num w:numId="28">
    <w:abstractNumId w:val="56"/>
  </w:num>
  <w:num w:numId="29">
    <w:abstractNumId w:val="47"/>
  </w:num>
  <w:num w:numId="30">
    <w:abstractNumId w:val="41"/>
  </w:num>
  <w:num w:numId="31">
    <w:abstractNumId w:val="36"/>
  </w:num>
  <w:num w:numId="32">
    <w:abstractNumId w:val="25"/>
  </w:num>
  <w:num w:numId="33">
    <w:abstractNumId w:val="44"/>
  </w:num>
  <w:num w:numId="34">
    <w:abstractNumId w:val="15"/>
  </w:num>
  <w:num w:numId="35">
    <w:abstractNumId w:val="26"/>
  </w:num>
  <w:num w:numId="36">
    <w:abstractNumId w:val="33"/>
  </w:num>
  <w:num w:numId="37">
    <w:abstractNumId w:val="31"/>
  </w:num>
  <w:num w:numId="38">
    <w:abstractNumId w:val="1"/>
  </w:num>
  <w:num w:numId="39">
    <w:abstractNumId w:val="27"/>
  </w:num>
  <w:num w:numId="40">
    <w:abstractNumId w:val="39"/>
  </w:num>
  <w:num w:numId="41">
    <w:abstractNumId w:val="48"/>
  </w:num>
  <w:num w:numId="42">
    <w:abstractNumId w:val="6"/>
  </w:num>
  <w:num w:numId="43">
    <w:abstractNumId w:val="37"/>
  </w:num>
  <w:num w:numId="44">
    <w:abstractNumId w:val="0"/>
  </w:num>
  <w:num w:numId="45">
    <w:abstractNumId w:val="38"/>
  </w:num>
  <w:num w:numId="46">
    <w:abstractNumId w:val="23"/>
  </w:num>
  <w:num w:numId="47">
    <w:abstractNumId w:val="55"/>
  </w:num>
  <w:num w:numId="48">
    <w:abstractNumId w:val="50"/>
  </w:num>
  <w:num w:numId="49">
    <w:abstractNumId w:val="32"/>
  </w:num>
  <w:num w:numId="50">
    <w:abstractNumId w:val="43"/>
  </w:num>
  <w:num w:numId="51">
    <w:abstractNumId w:val="42"/>
  </w:num>
  <w:num w:numId="52">
    <w:abstractNumId w:val="3"/>
  </w:num>
  <w:num w:numId="53">
    <w:abstractNumId w:val="29"/>
  </w:num>
  <w:num w:numId="54">
    <w:abstractNumId w:val="40"/>
  </w:num>
  <w:num w:numId="55">
    <w:abstractNumId w:val="8"/>
  </w:num>
  <w:num w:numId="56">
    <w:abstractNumId w:val="5"/>
  </w:num>
  <w:num w:numId="5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2"/>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826"/>
    <w:rsid w:val="000004AC"/>
    <w:rsid w:val="00003423"/>
    <w:rsid w:val="000035FE"/>
    <w:rsid w:val="00003D14"/>
    <w:rsid w:val="0000427F"/>
    <w:rsid w:val="00004BD5"/>
    <w:rsid w:val="00005B14"/>
    <w:rsid w:val="0000728E"/>
    <w:rsid w:val="00007FF9"/>
    <w:rsid w:val="00010791"/>
    <w:rsid w:val="00011051"/>
    <w:rsid w:val="000118F5"/>
    <w:rsid w:val="00011DE7"/>
    <w:rsid w:val="00011FBC"/>
    <w:rsid w:val="00012758"/>
    <w:rsid w:val="0001299B"/>
    <w:rsid w:val="00013303"/>
    <w:rsid w:val="00014B54"/>
    <w:rsid w:val="00015052"/>
    <w:rsid w:val="00015825"/>
    <w:rsid w:val="00015CCC"/>
    <w:rsid w:val="000203D3"/>
    <w:rsid w:val="00020801"/>
    <w:rsid w:val="0002088A"/>
    <w:rsid w:val="000210CF"/>
    <w:rsid w:val="00021E38"/>
    <w:rsid w:val="00021EAF"/>
    <w:rsid w:val="00022274"/>
    <w:rsid w:val="000225D0"/>
    <w:rsid w:val="00022CB0"/>
    <w:rsid w:val="0002334A"/>
    <w:rsid w:val="000239A1"/>
    <w:rsid w:val="00024DF3"/>
    <w:rsid w:val="00026402"/>
    <w:rsid w:val="00026D36"/>
    <w:rsid w:val="000302AE"/>
    <w:rsid w:val="000315D1"/>
    <w:rsid w:val="00032B36"/>
    <w:rsid w:val="00032F20"/>
    <w:rsid w:val="00035C3C"/>
    <w:rsid w:val="00035CCE"/>
    <w:rsid w:val="00036375"/>
    <w:rsid w:val="0003640F"/>
    <w:rsid w:val="0003750D"/>
    <w:rsid w:val="0004033A"/>
    <w:rsid w:val="0004067D"/>
    <w:rsid w:val="00041603"/>
    <w:rsid w:val="00041656"/>
    <w:rsid w:val="00041D41"/>
    <w:rsid w:val="0004589D"/>
    <w:rsid w:val="000458CB"/>
    <w:rsid w:val="00046652"/>
    <w:rsid w:val="00046CC6"/>
    <w:rsid w:val="0004779C"/>
    <w:rsid w:val="000478FA"/>
    <w:rsid w:val="00047B1D"/>
    <w:rsid w:val="00047E9D"/>
    <w:rsid w:val="00050E4F"/>
    <w:rsid w:val="000512A9"/>
    <w:rsid w:val="00052343"/>
    <w:rsid w:val="000546ED"/>
    <w:rsid w:val="000572CD"/>
    <w:rsid w:val="00060318"/>
    <w:rsid w:val="000619E4"/>
    <w:rsid w:val="00061ED0"/>
    <w:rsid w:val="00062920"/>
    <w:rsid w:val="0006325B"/>
    <w:rsid w:val="000635E9"/>
    <w:rsid w:val="00063DC8"/>
    <w:rsid w:val="00064B85"/>
    <w:rsid w:val="00065DD8"/>
    <w:rsid w:val="00065F6E"/>
    <w:rsid w:val="00066247"/>
    <w:rsid w:val="00066914"/>
    <w:rsid w:val="000672A2"/>
    <w:rsid w:val="00067D12"/>
    <w:rsid w:val="000725C6"/>
    <w:rsid w:val="000728B5"/>
    <w:rsid w:val="000729D0"/>
    <w:rsid w:val="000729F8"/>
    <w:rsid w:val="00072C58"/>
    <w:rsid w:val="00073519"/>
    <w:rsid w:val="00075446"/>
    <w:rsid w:val="00075717"/>
    <w:rsid w:val="0007765B"/>
    <w:rsid w:val="0008035D"/>
    <w:rsid w:val="00080FCC"/>
    <w:rsid w:val="00081424"/>
    <w:rsid w:val="00081487"/>
    <w:rsid w:val="00081536"/>
    <w:rsid w:val="0008220D"/>
    <w:rsid w:val="0008268B"/>
    <w:rsid w:val="00082F65"/>
    <w:rsid w:val="0008505B"/>
    <w:rsid w:val="00085177"/>
    <w:rsid w:val="000851D1"/>
    <w:rsid w:val="000855CE"/>
    <w:rsid w:val="00085D9C"/>
    <w:rsid w:val="00086636"/>
    <w:rsid w:val="000866DB"/>
    <w:rsid w:val="00087658"/>
    <w:rsid w:val="000876F2"/>
    <w:rsid w:val="000879EC"/>
    <w:rsid w:val="00090D1C"/>
    <w:rsid w:val="00091058"/>
    <w:rsid w:val="00091DDD"/>
    <w:rsid w:val="000933CF"/>
    <w:rsid w:val="00093AA4"/>
    <w:rsid w:val="000951A1"/>
    <w:rsid w:val="00095C92"/>
    <w:rsid w:val="00096CCE"/>
    <w:rsid w:val="000977A0"/>
    <w:rsid w:val="00097AF9"/>
    <w:rsid w:val="000A1303"/>
    <w:rsid w:val="000A1436"/>
    <w:rsid w:val="000A2644"/>
    <w:rsid w:val="000A35ED"/>
    <w:rsid w:val="000A64DB"/>
    <w:rsid w:val="000A7591"/>
    <w:rsid w:val="000B035F"/>
    <w:rsid w:val="000B1764"/>
    <w:rsid w:val="000B17B0"/>
    <w:rsid w:val="000B1C93"/>
    <w:rsid w:val="000B1D51"/>
    <w:rsid w:val="000B1F8F"/>
    <w:rsid w:val="000B21B3"/>
    <w:rsid w:val="000B22A9"/>
    <w:rsid w:val="000B25B1"/>
    <w:rsid w:val="000B2E1F"/>
    <w:rsid w:val="000B39C2"/>
    <w:rsid w:val="000B40CF"/>
    <w:rsid w:val="000B4282"/>
    <w:rsid w:val="000B5CE0"/>
    <w:rsid w:val="000B62FF"/>
    <w:rsid w:val="000C0224"/>
    <w:rsid w:val="000C0BA8"/>
    <w:rsid w:val="000C1244"/>
    <w:rsid w:val="000C2736"/>
    <w:rsid w:val="000C27F7"/>
    <w:rsid w:val="000C29E6"/>
    <w:rsid w:val="000C4985"/>
    <w:rsid w:val="000C58E8"/>
    <w:rsid w:val="000C6C00"/>
    <w:rsid w:val="000C6C8D"/>
    <w:rsid w:val="000C7A01"/>
    <w:rsid w:val="000D000D"/>
    <w:rsid w:val="000D0121"/>
    <w:rsid w:val="000D1CF5"/>
    <w:rsid w:val="000D2245"/>
    <w:rsid w:val="000D237E"/>
    <w:rsid w:val="000D26B9"/>
    <w:rsid w:val="000D29B2"/>
    <w:rsid w:val="000D3A8D"/>
    <w:rsid w:val="000D4198"/>
    <w:rsid w:val="000D49E4"/>
    <w:rsid w:val="000D4E73"/>
    <w:rsid w:val="000D51C8"/>
    <w:rsid w:val="000D51ED"/>
    <w:rsid w:val="000D525B"/>
    <w:rsid w:val="000D7008"/>
    <w:rsid w:val="000D7060"/>
    <w:rsid w:val="000E0C10"/>
    <w:rsid w:val="000E1047"/>
    <w:rsid w:val="000E1756"/>
    <w:rsid w:val="000E1853"/>
    <w:rsid w:val="000E2983"/>
    <w:rsid w:val="000E364A"/>
    <w:rsid w:val="000E37A1"/>
    <w:rsid w:val="000E3EA7"/>
    <w:rsid w:val="000E4B27"/>
    <w:rsid w:val="000E761F"/>
    <w:rsid w:val="000F0175"/>
    <w:rsid w:val="000F0C51"/>
    <w:rsid w:val="000F2494"/>
    <w:rsid w:val="000F3153"/>
    <w:rsid w:val="000F363E"/>
    <w:rsid w:val="000F447B"/>
    <w:rsid w:val="000F4826"/>
    <w:rsid w:val="000F4E46"/>
    <w:rsid w:val="000F4E6C"/>
    <w:rsid w:val="000F547C"/>
    <w:rsid w:val="000F6192"/>
    <w:rsid w:val="00100188"/>
    <w:rsid w:val="00100406"/>
    <w:rsid w:val="00101311"/>
    <w:rsid w:val="00101A6F"/>
    <w:rsid w:val="00101E9E"/>
    <w:rsid w:val="00102D04"/>
    <w:rsid w:val="00103ACE"/>
    <w:rsid w:val="00105842"/>
    <w:rsid w:val="00106D44"/>
    <w:rsid w:val="001075CD"/>
    <w:rsid w:val="001075E2"/>
    <w:rsid w:val="001100C7"/>
    <w:rsid w:val="001103CC"/>
    <w:rsid w:val="0011106D"/>
    <w:rsid w:val="0011128F"/>
    <w:rsid w:val="001112D4"/>
    <w:rsid w:val="0011149D"/>
    <w:rsid w:val="00111DA6"/>
    <w:rsid w:val="001133C5"/>
    <w:rsid w:val="00113521"/>
    <w:rsid w:val="001145B5"/>
    <w:rsid w:val="00114D55"/>
    <w:rsid w:val="001154AC"/>
    <w:rsid w:val="00115846"/>
    <w:rsid w:val="00115CD7"/>
    <w:rsid w:val="00115CED"/>
    <w:rsid w:val="00116388"/>
    <w:rsid w:val="00117DA7"/>
    <w:rsid w:val="00117E58"/>
    <w:rsid w:val="00120D59"/>
    <w:rsid w:val="001217E6"/>
    <w:rsid w:val="00121C28"/>
    <w:rsid w:val="001226E1"/>
    <w:rsid w:val="0012345B"/>
    <w:rsid w:val="0012363B"/>
    <w:rsid w:val="00123E92"/>
    <w:rsid w:val="00123ED7"/>
    <w:rsid w:val="00124E8E"/>
    <w:rsid w:val="0012588E"/>
    <w:rsid w:val="00126BB3"/>
    <w:rsid w:val="0012703B"/>
    <w:rsid w:val="001277F6"/>
    <w:rsid w:val="001278B0"/>
    <w:rsid w:val="00130423"/>
    <w:rsid w:val="00130E6D"/>
    <w:rsid w:val="0013197B"/>
    <w:rsid w:val="00131FF9"/>
    <w:rsid w:val="0013253B"/>
    <w:rsid w:val="00132862"/>
    <w:rsid w:val="001329B7"/>
    <w:rsid w:val="00132F3F"/>
    <w:rsid w:val="00133CEC"/>
    <w:rsid w:val="0013436E"/>
    <w:rsid w:val="001344A8"/>
    <w:rsid w:val="001346AF"/>
    <w:rsid w:val="00134B6C"/>
    <w:rsid w:val="00135100"/>
    <w:rsid w:val="00135813"/>
    <w:rsid w:val="00135ADD"/>
    <w:rsid w:val="001360BC"/>
    <w:rsid w:val="001364B3"/>
    <w:rsid w:val="00136B3F"/>
    <w:rsid w:val="001371B2"/>
    <w:rsid w:val="001372FF"/>
    <w:rsid w:val="00137406"/>
    <w:rsid w:val="00137930"/>
    <w:rsid w:val="00140AA0"/>
    <w:rsid w:val="001411BE"/>
    <w:rsid w:val="0014133C"/>
    <w:rsid w:val="00142634"/>
    <w:rsid w:val="001440E0"/>
    <w:rsid w:val="00144F78"/>
    <w:rsid w:val="0014579C"/>
    <w:rsid w:val="00146A92"/>
    <w:rsid w:val="00146DCF"/>
    <w:rsid w:val="00147331"/>
    <w:rsid w:val="001475C2"/>
    <w:rsid w:val="001509AE"/>
    <w:rsid w:val="00150CEA"/>
    <w:rsid w:val="00150D27"/>
    <w:rsid w:val="00150F9C"/>
    <w:rsid w:val="00151327"/>
    <w:rsid w:val="00151A7B"/>
    <w:rsid w:val="00151ACA"/>
    <w:rsid w:val="00152B18"/>
    <w:rsid w:val="00152CEC"/>
    <w:rsid w:val="00154CA6"/>
    <w:rsid w:val="001555C1"/>
    <w:rsid w:val="00156322"/>
    <w:rsid w:val="00157BAD"/>
    <w:rsid w:val="00157F95"/>
    <w:rsid w:val="00161C65"/>
    <w:rsid w:val="00161CEA"/>
    <w:rsid w:val="00161D90"/>
    <w:rsid w:val="001631B6"/>
    <w:rsid w:val="0016339C"/>
    <w:rsid w:val="001635BC"/>
    <w:rsid w:val="0016434E"/>
    <w:rsid w:val="00164F90"/>
    <w:rsid w:val="00166AE8"/>
    <w:rsid w:val="00167AEA"/>
    <w:rsid w:val="00170638"/>
    <w:rsid w:val="001707E0"/>
    <w:rsid w:val="001719A5"/>
    <w:rsid w:val="00172822"/>
    <w:rsid w:val="00174111"/>
    <w:rsid w:val="00175E30"/>
    <w:rsid w:val="00176017"/>
    <w:rsid w:val="00176335"/>
    <w:rsid w:val="00177334"/>
    <w:rsid w:val="00180471"/>
    <w:rsid w:val="001806CD"/>
    <w:rsid w:val="001813CF"/>
    <w:rsid w:val="00181483"/>
    <w:rsid w:val="00182C14"/>
    <w:rsid w:val="001838C6"/>
    <w:rsid w:val="00184EED"/>
    <w:rsid w:val="00185373"/>
    <w:rsid w:val="00185AD1"/>
    <w:rsid w:val="00185B4F"/>
    <w:rsid w:val="00185D7D"/>
    <w:rsid w:val="00186E18"/>
    <w:rsid w:val="00186EF3"/>
    <w:rsid w:val="001877F5"/>
    <w:rsid w:val="00190286"/>
    <w:rsid w:val="0019181D"/>
    <w:rsid w:val="00192779"/>
    <w:rsid w:val="00193FFB"/>
    <w:rsid w:val="00194096"/>
    <w:rsid w:val="0019525C"/>
    <w:rsid w:val="00195D56"/>
    <w:rsid w:val="00197C0D"/>
    <w:rsid w:val="00197EAC"/>
    <w:rsid w:val="001A0800"/>
    <w:rsid w:val="001A0E95"/>
    <w:rsid w:val="001A1E97"/>
    <w:rsid w:val="001A1EAC"/>
    <w:rsid w:val="001A2526"/>
    <w:rsid w:val="001A2E0D"/>
    <w:rsid w:val="001A2E88"/>
    <w:rsid w:val="001A31D9"/>
    <w:rsid w:val="001A3621"/>
    <w:rsid w:val="001A5175"/>
    <w:rsid w:val="001A617E"/>
    <w:rsid w:val="001A66F3"/>
    <w:rsid w:val="001A7684"/>
    <w:rsid w:val="001A7B5A"/>
    <w:rsid w:val="001B0C1B"/>
    <w:rsid w:val="001B0CCF"/>
    <w:rsid w:val="001B0D09"/>
    <w:rsid w:val="001B1A33"/>
    <w:rsid w:val="001B2686"/>
    <w:rsid w:val="001B2AD1"/>
    <w:rsid w:val="001B32C3"/>
    <w:rsid w:val="001B3DCF"/>
    <w:rsid w:val="001B54A8"/>
    <w:rsid w:val="001B5DA6"/>
    <w:rsid w:val="001B6A9D"/>
    <w:rsid w:val="001B7446"/>
    <w:rsid w:val="001B784E"/>
    <w:rsid w:val="001B78DC"/>
    <w:rsid w:val="001C0E3F"/>
    <w:rsid w:val="001C1EA8"/>
    <w:rsid w:val="001C3679"/>
    <w:rsid w:val="001C3815"/>
    <w:rsid w:val="001C5AD0"/>
    <w:rsid w:val="001C6315"/>
    <w:rsid w:val="001C6FE0"/>
    <w:rsid w:val="001C74B2"/>
    <w:rsid w:val="001C78F4"/>
    <w:rsid w:val="001D1590"/>
    <w:rsid w:val="001D15C7"/>
    <w:rsid w:val="001D1FDF"/>
    <w:rsid w:val="001D26FF"/>
    <w:rsid w:val="001D2940"/>
    <w:rsid w:val="001D34FC"/>
    <w:rsid w:val="001D3DF5"/>
    <w:rsid w:val="001D4249"/>
    <w:rsid w:val="001D4308"/>
    <w:rsid w:val="001D4C63"/>
    <w:rsid w:val="001D57E5"/>
    <w:rsid w:val="001D66F6"/>
    <w:rsid w:val="001D7585"/>
    <w:rsid w:val="001D76DA"/>
    <w:rsid w:val="001E1271"/>
    <w:rsid w:val="001E1317"/>
    <w:rsid w:val="001E2365"/>
    <w:rsid w:val="001E2409"/>
    <w:rsid w:val="001E2528"/>
    <w:rsid w:val="001E2808"/>
    <w:rsid w:val="001E3B9A"/>
    <w:rsid w:val="001E437D"/>
    <w:rsid w:val="001E61DF"/>
    <w:rsid w:val="001E66C4"/>
    <w:rsid w:val="001F01A0"/>
    <w:rsid w:val="001F0333"/>
    <w:rsid w:val="001F0797"/>
    <w:rsid w:val="001F0C58"/>
    <w:rsid w:val="001F10A3"/>
    <w:rsid w:val="001F169A"/>
    <w:rsid w:val="001F231F"/>
    <w:rsid w:val="001F260F"/>
    <w:rsid w:val="001F346B"/>
    <w:rsid w:val="001F36EF"/>
    <w:rsid w:val="001F382F"/>
    <w:rsid w:val="001F40F8"/>
    <w:rsid w:val="001F4D97"/>
    <w:rsid w:val="001F5321"/>
    <w:rsid w:val="001F535F"/>
    <w:rsid w:val="001F6E26"/>
    <w:rsid w:val="001F6E8E"/>
    <w:rsid w:val="001F787B"/>
    <w:rsid w:val="001F7A2F"/>
    <w:rsid w:val="001F7FC9"/>
    <w:rsid w:val="00200090"/>
    <w:rsid w:val="00201545"/>
    <w:rsid w:val="002016D1"/>
    <w:rsid w:val="00202C37"/>
    <w:rsid w:val="00203192"/>
    <w:rsid w:val="002032CF"/>
    <w:rsid w:val="002039B8"/>
    <w:rsid w:val="00203CDC"/>
    <w:rsid w:val="0020446F"/>
    <w:rsid w:val="0020489F"/>
    <w:rsid w:val="00204BA0"/>
    <w:rsid w:val="00204D1D"/>
    <w:rsid w:val="00205B36"/>
    <w:rsid w:val="00205CC7"/>
    <w:rsid w:val="002064CF"/>
    <w:rsid w:val="00206744"/>
    <w:rsid w:val="00207701"/>
    <w:rsid w:val="0021017F"/>
    <w:rsid w:val="002101D1"/>
    <w:rsid w:val="00211171"/>
    <w:rsid w:val="002119E2"/>
    <w:rsid w:val="00211F09"/>
    <w:rsid w:val="00212E02"/>
    <w:rsid w:val="00213AAE"/>
    <w:rsid w:val="00213F33"/>
    <w:rsid w:val="0021428B"/>
    <w:rsid w:val="00214F40"/>
    <w:rsid w:val="002155F6"/>
    <w:rsid w:val="00216652"/>
    <w:rsid w:val="00216A91"/>
    <w:rsid w:val="00220D55"/>
    <w:rsid w:val="00220F4B"/>
    <w:rsid w:val="00221B4E"/>
    <w:rsid w:val="0022341F"/>
    <w:rsid w:val="0022363F"/>
    <w:rsid w:val="00223F1E"/>
    <w:rsid w:val="00224361"/>
    <w:rsid w:val="00225800"/>
    <w:rsid w:val="002269F5"/>
    <w:rsid w:val="00226A2D"/>
    <w:rsid w:val="00226E52"/>
    <w:rsid w:val="002306C7"/>
    <w:rsid w:val="00230791"/>
    <w:rsid w:val="00230A84"/>
    <w:rsid w:val="0023269E"/>
    <w:rsid w:val="00233170"/>
    <w:rsid w:val="00233E5E"/>
    <w:rsid w:val="00234768"/>
    <w:rsid w:val="00234CF1"/>
    <w:rsid w:val="002359D5"/>
    <w:rsid w:val="00236B79"/>
    <w:rsid w:val="002416AA"/>
    <w:rsid w:val="00241AE1"/>
    <w:rsid w:val="00241E11"/>
    <w:rsid w:val="00243ECD"/>
    <w:rsid w:val="002443D7"/>
    <w:rsid w:val="002458A4"/>
    <w:rsid w:val="002468F6"/>
    <w:rsid w:val="00246AE1"/>
    <w:rsid w:val="00246C03"/>
    <w:rsid w:val="00247481"/>
    <w:rsid w:val="00247544"/>
    <w:rsid w:val="002475C9"/>
    <w:rsid w:val="002476D6"/>
    <w:rsid w:val="00250608"/>
    <w:rsid w:val="00250F4C"/>
    <w:rsid w:val="00253AC6"/>
    <w:rsid w:val="0025497D"/>
    <w:rsid w:val="0025628E"/>
    <w:rsid w:val="00256658"/>
    <w:rsid w:val="00256DCE"/>
    <w:rsid w:val="0025705B"/>
    <w:rsid w:val="002600EC"/>
    <w:rsid w:val="00261282"/>
    <w:rsid w:val="0026163C"/>
    <w:rsid w:val="00261B04"/>
    <w:rsid w:val="00263D8D"/>
    <w:rsid w:val="002642EA"/>
    <w:rsid w:val="002648FD"/>
    <w:rsid w:val="00265A19"/>
    <w:rsid w:val="0026798E"/>
    <w:rsid w:val="00267C30"/>
    <w:rsid w:val="00267D77"/>
    <w:rsid w:val="00270799"/>
    <w:rsid w:val="00271410"/>
    <w:rsid w:val="00271597"/>
    <w:rsid w:val="0027248F"/>
    <w:rsid w:val="00273064"/>
    <w:rsid w:val="00273455"/>
    <w:rsid w:val="00274211"/>
    <w:rsid w:val="00274AC5"/>
    <w:rsid w:val="00274CB1"/>
    <w:rsid w:val="002763F4"/>
    <w:rsid w:val="002767DC"/>
    <w:rsid w:val="002777C3"/>
    <w:rsid w:val="00277A2B"/>
    <w:rsid w:val="00280609"/>
    <w:rsid w:val="0028089F"/>
    <w:rsid w:val="00280916"/>
    <w:rsid w:val="00281249"/>
    <w:rsid w:val="002823AA"/>
    <w:rsid w:val="0028264F"/>
    <w:rsid w:val="00283B8E"/>
    <w:rsid w:val="00283CA2"/>
    <w:rsid w:val="002850CA"/>
    <w:rsid w:val="002854C3"/>
    <w:rsid w:val="002876B2"/>
    <w:rsid w:val="002879D4"/>
    <w:rsid w:val="00287CAE"/>
    <w:rsid w:val="00287F6D"/>
    <w:rsid w:val="00287FB6"/>
    <w:rsid w:val="0029028D"/>
    <w:rsid w:val="00292076"/>
    <w:rsid w:val="0029271C"/>
    <w:rsid w:val="002928CA"/>
    <w:rsid w:val="00292941"/>
    <w:rsid w:val="00292FEA"/>
    <w:rsid w:val="00293BA4"/>
    <w:rsid w:val="0029414A"/>
    <w:rsid w:val="00294BE0"/>
    <w:rsid w:val="00294E47"/>
    <w:rsid w:val="00297F7D"/>
    <w:rsid w:val="002A05CA"/>
    <w:rsid w:val="002A0C4D"/>
    <w:rsid w:val="002A1BDA"/>
    <w:rsid w:val="002A2002"/>
    <w:rsid w:val="002A2FB6"/>
    <w:rsid w:val="002A30B1"/>
    <w:rsid w:val="002A38F5"/>
    <w:rsid w:val="002A4111"/>
    <w:rsid w:val="002A4F14"/>
    <w:rsid w:val="002A6472"/>
    <w:rsid w:val="002A7E5B"/>
    <w:rsid w:val="002B2B18"/>
    <w:rsid w:val="002B2DA0"/>
    <w:rsid w:val="002B2E1A"/>
    <w:rsid w:val="002B4749"/>
    <w:rsid w:val="002B5934"/>
    <w:rsid w:val="002B5BDA"/>
    <w:rsid w:val="002B7169"/>
    <w:rsid w:val="002B7292"/>
    <w:rsid w:val="002B77E0"/>
    <w:rsid w:val="002B7942"/>
    <w:rsid w:val="002C0478"/>
    <w:rsid w:val="002C19C5"/>
    <w:rsid w:val="002C2DD4"/>
    <w:rsid w:val="002C3227"/>
    <w:rsid w:val="002C3CC7"/>
    <w:rsid w:val="002C3E2E"/>
    <w:rsid w:val="002C4390"/>
    <w:rsid w:val="002C5EEB"/>
    <w:rsid w:val="002C646B"/>
    <w:rsid w:val="002C67F4"/>
    <w:rsid w:val="002C75E7"/>
    <w:rsid w:val="002C76CE"/>
    <w:rsid w:val="002C7A37"/>
    <w:rsid w:val="002D0282"/>
    <w:rsid w:val="002D0F82"/>
    <w:rsid w:val="002D1316"/>
    <w:rsid w:val="002D1DE2"/>
    <w:rsid w:val="002D20ED"/>
    <w:rsid w:val="002D218E"/>
    <w:rsid w:val="002D2459"/>
    <w:rsid w:val="002D3752"/>
    <w:rsid w:val="002D3D87"/>
    <w:rsid w:val="002D40BF"/>
    <w:rsid w:val="002D48EF"/>
    <w:rsid w:val="002D4A44"/>
    <w:rsid w:val="002E0508"/>
    <w:rsid w:val="002E0A79"/>
    <w:rsid w:val="002E0B4F"/>
    <w:rsid w:val="002E12BA"/>
    <w:rsid w:val="002E1939"/>
    <w:rsid w:val="002E2390"/>
    <w:rsid w:val="002E2EAB"/>
    <w:rsid w:val="002E52EA"/>
    <w:rsid w:val="002E57CA"/>
    <w:rsid w:val="002E6948"/>
    <w:rsid w:val="002F133F"/>
    <w:rsid w:val="002F20EB"/>
    <w:rsid w:val="002F2B53"/>
    <w:rsid w:val="002F4FFB"/>
    <w:rsid w:val="002F6351"/>
    <w:rsid w:val="002F7AB0"/>
    <w:rsid w:val="002F7C39"/>
    <w:rsid w:val="00300FB7"/>
    <w:rsid w:val="00301311"/>
    <w:rsid w:val="003017A5"/>
    <w:rsid w:val="003023B2"/>
    <w:rsid w:val="003029E5"/>
    <w:rsid w:val="0030368C"/>
    <w:rsid w:val="003043D6"/>
    <w:rsid w:val="0030546E"/>
    <w:rsid w:val="0030617F"/>
    <w:rsid w:val="00307845"/>
    <w:rsid w:val="00310AC3"/>
    <w:rsid w:val="00311E8B"/>
    <w:rsid w:val="00311F9D"/>
    <w:rsid w:val="00312192"/>
    <w:rsid w:val="00313799"/>
    <w:rsid w:val="00313AA6"/>
    <w:rsid w:val="00314608"/>
    <w:rsid w:val="003146C9"/>
    <w:rsid w:val="00314BA4"/>
    <w:rsid w:val="00315F95"/>
    <w:rsid w:val="003163F0"/>
    <w:rsid w:val="003168F9"/>
    <w:rsid w:val="00317E73"/>
    <w:rsid w:val="003200AD"/>
    <w:rsid w:val="00320232"/>
    <w:rsid w:val="00320563"/>
    <w:rsid w:val="00322FCC"/>
    <w:rsid w:val="0032346A"/>
    <w:rsid w:val="00323544"/>
    <w:rsid w:val="00323589"/>
    <w:rsid w:val="0032512F"/>
    <w:rsid w:val="00325573"/>
    <w:rsid w:val="00326508"/>
    <w:rsid w:val="00330162"/>
    <w:rsid w:val="00330C08"/>
    <w:rsid w:val="003318F9"/>
    <w:rsid w:val="0033191A"/>
    <w:rsid w:val="00331FE8"/>
    <w:rsid w:val="003320DA"/>
    <w:rsid w:val="0033286A"/>
    <w:rsid w:val="0033291E"/>
    <w:rsid w:val="00332F4E"/>
    <w:rsid w:val="0033330F"/>
    <w:rsid w:val="0033395F"/>
    <w:rsid w:val="00333E10"/>
    <w:rsid w:val="00335754"/>
    <w:rsid w:val="00335921"/>
    <w:rsid w:val="0034227A"/>
    <w:rsid w:val="0034268C"/>
    <w:rsid w:val="0034520F"/>
    <w:rsid w:val="003468A6"/>
    <w:rsid w:val="00346935"/>
    <w:rsid w:val="00346AEE"/>
    <w:rsid w:val="00346E70"/>
    <w:rsid w:val="00346EAB"/>
    <w:rsid w:val="00347536"/>
    <w:rsid w:val="00347B0F"/>
    <w:rsid w:val="00350B99"/>
    <w:rsid w:val="00350CB3"/>
    <w:rsid w:val="00350F77"/>
    <w:rsid w:val="00351649"/>
    <w:rsid w:val="003516AD"/>
    <w:rsid w:val="003532D9"/>
    <w:rsid w:val="00353990"/>
    <w:rsid w:val="00353E01"/>
    <w:rsid w:val="00353F76"/>
    <w:rsid w:val="00354CF2"/>
    <w:rsid w:val="00356319"/>
    <w:rsid w:val="00356991"/>
    <w:rsid w:val="0035716A"/>
    <w:rsid w:val="003608FB"/>
    <w:rsid w:val="0036224F"/>
    <w:rsid w:val="00363745"/>
    <w:rsid w:val="00363C2E"/>
    <w:rsid w:val="00364C2C"/>
    <w:rsid w:val="0036584E"/>
    <w:rsid w:val="00365F1B"/>
    <w:rsid w:val="00365F66"/>
    <w:rsid w:val="00366115"/>
    <w:rsid w:val="00366488"/>
    <w:rsid w:val="00366DFF"/>
    <w:rsid w:val="0036737F"/>
    <w:rsid w:val="0036742F"/>
    <w:rsid w:val="00367692"/>
    <w:rsid w:val="0037006A"/>
    <w:rsid w:val="00371305"/>
    <w:rsid w:val="003750B7"/>
    <w:rsid w:val="003754E2"/>
    <w:rsid w:val="00375939"/>
    <w:rsid w:val="00375BA9"/>
    <w:rsid w:val="003765F1"/>
    <w:rsid w:val="00376B77"/>
    <w:rsid w:val="0038004B"/>
    <w:rsid w:val="003802CE"/>
    <w:rsid w:val="003841D0"/>
    <w:rsid w:val="00385697"/>
    <w:rsid w:val="003870AF"/>
    <w:rsid w:val="003879EA"/>
    <w:rsid w:val="0039092A"/>
    <w:rsid w:val="00390B8B"/>
    <w:rsid w:val="00391276"/>
    <w:rsid w:val="00392D02"/>
    <w:rsid w:val="00393931"/>
    <w:rsid w:val="0039437A"/>
    <w:rsid w:val="0039548F"/>
    <w:rsid w:val="00395B2C"/>
    <w:rsid w:val="00395C21"/>
    <w:rsid w:val="00395C56"/>
    <w:rsid w:val="003965BA"/>
    <w:rsid w:val="0039709E"/>
    <w:rsid w:val="0039770E"/>
    <w:rsid w:val="00397BFD"/>
    <w:rsid w:val="00397DB2"/>
    <w:rsid w:val="003A108C"/>
    <w:rsid w:val="003A192E"/>
    <w:rsid w:val="003A1BC0"/>
    <w:rsid w:val="003A20C2"/>
    <w:rsid w:val="003A44C0"/>
    <w:rsid w:val="003A5BD3"/>
    <w:rsid w:val="003A67FC"/>
    <w:rsid w:val="003A68A2"/>
    <w:rsid w:val="003A6D5E"/>
    <w:rsid w:val="003A76BC"/>
    <w:rsid w:val="003B02A8"/>
    <w:rsid w:val="003B0D79"/>
    <w:rsid w:val="003B2A8F"/>
    <w:rsid w:val="003B3A6C"/>
    <w:rsid w:val="003B40A0"/>
    <w:rsid w:val="003B4D0F"/>
    <w:rsid w:val="003B500E"/>
    <w:rsid w:val="003B56E7"/>
    <w:rsid w:val="003B5755"/>
    <w:rsid w:val="003B5DEE"/>
    <w:rsid w:val="003B6474"/>
    <w:rsid w:val="003B6BC3"/>
    <w:rsid w:val="003B70F6"/>
    <w:rsid w:val="003B7498"/>
    <w:rsid w:val="003C0189"/>
    <w:rsid w:val="003C0C7B"/>
    <w:rsid w:val="003C0D52"/>
    <w:rsid w:val="003C1313"/>
    <w:rsid w:val="003C175C"/>
    <w:rsid w:val="003C1C5C"/>
    <w:rsid w:val="003C2358"/>
    <w:rsid w:val="003C284F"/>
    <w:rsid w:val="003C343B"/>
    <w:rsid w:val="003C38C3"/>
    <w:rsid w:val="003C3B4C"/>
    <w:rsid w:val="003C421C"/>
    <w:rsid w:val="003C4BD1"/>
    <w:rsid w:val="003C6149"/>
    <w:rsid w:val="003D0F1B"/>
    <w:rsid w:val="003D1935"/>
    <w:rsid w:val="003D2049"/>
    <w:rsid w:val="003D3109"/>
    <w:rsid w:val="003D3512"/>
    <w:rsid w:val="003D39E3"/>
    <w:rsid w:val="003D3A66"/>
    <w:rsid w:val="003D5D39"/>
    <w:rsid w:val="003D6D0C"/>
    <w:rsid w:val="003D73FA"/>
    <w:rsid w:val="003D7A69"/>
    <w:rsid w:val="003E0206"/>
    <w:rsid w:val="003E1A69"/>
    <w:rsid w:val="003E3AF0"/>
    <w:rsid w:val="003E4E76"/>
    <w:rsid w:val="003E5495"/>
    <w:rsid w:val="003E556D"/>
    <w:rsid w:val="003E60CC"/>
    <w:rsid w:val="003E6C4A"/>
    <w:rsid w:val="003E6D81"/>
    <w:rsid w:val="003E6FF5"/>
    <w:rsid w:val="003F068F"/>
    <w:rsid w:val="003F2896"/>
    <w:rsid w:val="003F48CF"/>
    <w:rsid w:val="003F5CDC"/>
    <w:rsid w:val="003F5DDD"/>
    <w:rsid w:val="003F640B"/>
    <w:rsid w:val="003F68A1"/>
    <w:rsid w:val="003F7CF0"/>
    <w:rsid w:val="004009C6"/>
    <w:rsid w:val="00402031"/>
    <w:rsid w:val="00403879"/>
    <w:rsid w:val="00403C3E"/>
    <w:rsid w:val="0040416B"/>
    <w:rsid w:val="004042EB"/>
    <w:rsid w:val="004047EE"/>
    <w:rsid w:val="00404AAA"/>
    <w:rsid w:val="00405C2D"/>
    <w:rsid w:val="004063D1"/>
    <w:rsid w:val="00406B5B"/>
    <w:rsid w:val="00406E70"/>
    <w:rsid w:val="0040799E"/>
    <w:rsid w:val="0041077F"/>
    <w:rsid w:val="00410A02"/>
    <w:rsid w:val="004127FF"/>
    <w:rsid w:val="00412B97"/>
    <w:rsid w:val="00412FA7"/>
    <w:rsid w:val="00413383"/>
    <w:rsid w:val="00413447"/>
    <w:rsid w:val="0041345D"/>
    <w:rsid w:val="00413908"/>
    <w:rsid w:val="00414369"/>
    <w:rsid w:val="00414FC1"/>
    <w:rsid w:val="00415BFA"/>
    <w:rsid w:val="00416C04"/>
    <w:rsid w:val="00416F1D"/>
    <w:rsid w:val="00417067"/>
    <w:rsid w:val="0041787E"/>
    <w:rsid w:val="00417CD0"/>
    <w:rsid w:val="0042126D"/>
    <w:rsid w:val="0042183B"/>
    <w:rsid w:val="004222C4"/>
    <w:rsid w:val="004225F4"/>
    <w:rsid w:val="00422BC8"/>
    <w:rsid w:val="00422E1F"/>
    <w:rsid w:val="00423D2E"/>
    <w:rsid w:val="00424509"/>
    <w:rsid w:val="00424F17"/>
    <w:rsid w:val="004251EE"/>
    <w:rsid w:val="004255A7"/>
    <w:rsid w:val="00426526"/>
    <w:rsid w:val="004267EA"/>
    <w:rsid w:val="00426C08"/>
    <w:rsid w:val="00427F61"/>
    <w:rsid w:val="004312C3"/>
    <w:rsid w:val="00431DF9"/>
    <w:rsid w:val="00433923"/>
    <w:rsid w:val="004379DD"/>
    <w:rsid w:val="00437A1D"/>
    <w:rsid w:val="00440259"/>
    <w:rsid w:val="00441007"/>
    <w:rsid w:val="004413D8"/>
    <w:rsid w:val="0044196A"/>
    <w:rsid w:val="00441ECB"/>
    <w:rsid w:val="004433B5"/>
    <w:rsid w:val="00443BC3"/>
    <w:rsid w:val="00443FB3"/>
    <w:rsid w:val="00444236"/>
    <w:rsid w:val="00444ED5"/>
    <w:rsid w:val="00444F20"/>
    <w:rsid w:val="00445027"/>
    <w:rsid w:val="00445393"/>
    <w:rsid w:val="004458FC"/>
    <w:rsid w:val="004464AC"/>
    <w:rsid w:val="00451FFD"/>
    <w:rsid w:val="00452B01"/>
    <w:rsid w:val="004534F3"/>
    <w:rsid w:val="00453A63"/>
    <w:rsid w:val="004545D3"/>
    <w:rsid w:val="00454A19"/>
    <w:rsid w:val="004551BC"/>
    <w:rsid w:val="00455A89"/>
    <w:rsid w:val="00455A8B"/>
    <w:rsid w:val="00456266"/>
    <w:rsid w:val="004569FD"/>
    <w:rsid w:val="0045732F"/>
    <w:rsid w:val="00457752"/>
    <w:rsid w:val="00460512"/>
    <w:rsid w:val="0046059D"/>
    <w:rsid w:val="004608B0"/>
    <w:rsid w:val="00461016"/>
    <w:rsid w:val="004614C0"/>
    <w:rsid w:val="00462514"/>
    <w:rsid w:val="00462FFC"/>
    <w:rsid w:val="00463362"/>
    <w:rsid w:val="0046343E"/>
    <w:rsid w:val="004643D0"/>
    <w:rsid w:val="00465C04"/>
    <w:rsid w:val="00467456"/>
    <w:rsid w:val="00470786"/>
    <w:rsid w:val="00472240"/>
    <w:rsid w:val="00472739"/>
    <w:rsid w:val="004739F1"/>
    <w:rsid w:val="00474AAB"/>
    <w:rsid w:val="00474E2C"/>
    <w:rsid w:val="00475624"/>
    <w:rsid w:val="00477185"/>
    <w:rsid w:val="0048073A"/>
    <w:rsid w:val="004807E6"/>
    <w:rsid w:val="00481705"/>
    <w:rsid w:val="00481F71"/>
    <w:rsid w:val="00482152"/>
    <w:rsid w:val="004827C7"/>
    <w:rsid w:val="004835DC"/>
    <w:rsid w:val="00483991"/>
    <w:rsid w:val="00483A68"/>
    <w:rsid w:val="00484B02"/>
    <w:rsid w:val="00484CAC"/>
    <w:rsid w:val="00485608"/>
    <w:rsid w:val="004870C0"/>
    <w:rsid w:val="004878AC"/>
    <w:rsid w:val="00487D19"/>
    <w:rsid w:val="00490340"/>
    <w:rsid w:val="00490E3C"/>
    <w:rsid w:val="00492E35"/>
    <w:rsid w:val="004942FA"/>
    <w:rsid w:val="00494D4A"/>
    <w:rsid w:val="00495026"/>
    <w:rsid w:val="00495CB9"/>
    <w:rsid w:val="00495F42"/>
    <w:rsid w:val="00496C8F"/>
    <w:rsid w:val="00496DE9"/>
    <w:rsid w:val="00496EEF"/>
    <w:rsid w:val="00497DDC"/>
    <w:rsid w:val="004A04EB"/>
    <w:rsid w:val="004A08DC"/>
    <w:rsid w:val="004A31DA"/>
    <w:rsid w:val="004A4845"/>
    <w:rsid w:val="004A6AFC"/>
    <w:rsid w:val="004A75B9"/>
    <w:rsid w:val="004B05FB"/>
    <w:rsid w:val="004B09CF"/>
    <w:rsid w:val="004B2667"/>
    <w:rsid w:val="004B2974"/>
    <w:rsid w:val="004B31F9"/>
    <w:rsid w:val="004B3337"/>
    <w:rsid w:val="004B3E70"/>
    <w:rsid w:val="004B3EAE"/>
    <w:rsid w:val="004B44AC"/>
    <w:rsid w:val="004B4940"/>
    <w:rsid w:val="004B4E95"/>
    <w:rsid w:val="004B59C3"/>
    <w:rsid w:val="004B5AC9"/>
    <w:rsid w:val="004B5B0D"/>
    <w:rsid w:val="004B680C"/>
    <w:rsid w:val="004B6C07"/>
    <w:rsid w:val="004B706B"/>
    <w:rsid w:val="004B7CE5"/>
    <w:rsid w:val="004C17FC"/>
    <w:rsid w:val="004C2394"/>
    <w:rsid w:val="004C2EEC"/>
    <w:rsid w:val="004C36C5"/>
    <w:rsid w:val="004C403E"/>
    <w:rsid w:val="004C4497"/>
    <w:rsid w:val="004C4719"/>
    <w:rsid w:val="004C61EC"/>
    <w:rsid w:val="004C682B"/>
    <w:rsid w:val="004C6943"/>
    <w:rsid w:val="004C7AEF"/>
    <w:rsid w:val="004D1F7F"/>
    <w:rsid w:val="004D20CA"/>
    <w:rsid w:val="004D27A7"/>
    <w:rsid w:val="004D3AC8"/>
    <w:rsid w:val="004D3F61"/>
    <w:rsid w:val="004D563E"/>
    <w:rsid w:val="004D584D"/>
    <w:rsid w:val="004D5C0B"/>
    <w:rsid w:val="004D6050"/>
    <w:rsid w:val="004D65FC"/>
    <w:rsid w:val="004D6B41"/>
    <w:rsid w:val="004D6B89"/>
    <w:rsid w:val="004D6C0B"/>
    <w:rsid w:val="004D7E2B"/>
    <w:rsid w:val="004E1E63"/>
    <w:rsid w:val="004E2B61"/>
    <w:rsid w:val="004E2EBA"/>
    <w:rsid w:val="004E349F"/>
    <w:rsid w:val="004E386A"/>
    <w:rsid w:val="004E4456"/>
    <w:rsid w:val="004E4895"/>
    <w:rsid w:val="004E5F51"/>
    <w:rsid w:val="004E6816"/>
    <w:rsid w:val="004E6E84"/>
    <w:rsid w:val="004F0050"/>
    <w:rsid w:val="004F080B"/>
    <w:rsid w:val="004F0E11"/>
    <w:rsid w:val="004F1094"/>
    <w:rsid w:val="004F2279"/>
    <w:rsid w:val="004F2B4C"/>
    <w:rsid w:val="004F303E"/>
    <w:rsid w:val="004F339B"/>
    <w:rsid w:val="004F3B38"/>
    <w:rsid w:val="004F4610"/>
    <w:rsid w:val="004F5AA8"/>
    <w:rsid w:val="004F5F46"/>
    <w:rsid w:val="004F6010"/>
    <w:rsid w:val="004F6390"/>
    <w:rsid w:val="004F7642"/>
    <w:rsid w:val="004F7DC7"/>
    <w:rsid w:val="005002BE"/>
    <w:rsid w:val="00501C0B"/>
    <w:rsid w:val="00503318"/>
    <w:rsid w:val="005036FC"/>
    <w:rsid w:val="005045EB"/>
    <w:rsid w:val="00504969"/>
    <w:rsid w:val="0050520B"/>
    <w:rsid w:val="00505ADC"/>
    <w:rsid w:val="0050676A"/>
    <w:rsid w:val="00510A5D"/>
    <w:rsid w:val="0051109E"/>
    <w:rsid w:val="00511F96"/>
    <w:rsid w:val="00512A79"/>
    <w:rsid w:val="00512BCA"/>
    <w:rsid w:val="00512EE6"/>
    <w:rsid w:val="00514C42"/>
    <w:rsid w:val="00515D06"/>
    <w:rsid w:val="005165FF"/>
    <w:rsid w:val="005166CC"/>
    <w:rsid w:val="00517161"/>
    <w:rsid w:val="00517CA3"/>
    <w:rsid w:val="0052010C"/>
    <w:rsid w:val="0052342A"/>
    <w:rsid w:val="005259AB"/>
    <w:rsid w:val="00526AB9"/>
    <w:rsid w:val="0053011E"/>
    <w:rsid w:val="00530754"/>
    <w:rsid w:val="00531BF6"/>
    <w:rsid w:val="005331A0"/>
    <w:rsid w:val="00533677"/>
    <w:rsid w:val="0053367E"/>
    <w:rsid w:val="00533E27"/>
    <w:rsid w:val="00534420"/>
    <w:rsid w:val="005345FA"/>
    <w:rsid w:val="00534B90"/>
    <w:rsid w:val="005353E9"/>
    <w:rsid w:val="00535722"/>
    <w:rsid w:val="0053577D"/>
    <w:rsid w:val="00536706"/>
    <w:rsid w:val="00536850"/>
    <w:rsid w:val="0053736F"/>
    <w:rsid w:val="005452B4"/>
    <w:rsid w:val="005455EB"/>
    <w:rsid w:val="0054579B"/>
    <w:rsid w:val="00547C49"/>
    <w:rsid w:val="005500E2"/>
    <w:rsid w:val="00551505"/>
    <w:rsid w:val="00551CEB"/>
    <w:rsid w:val="00551DE2"/>
    <w:rsid w:val="00552CE9"/>
    <w:rsid w:val="00552EA3"/>
    <w:rsid w:val="00553A17"/>
    <w:rsid w:val="00554A54"/>
    <w:rsid w:val="00554BF1"/>
    <w:rsid w:val="00555A2F"/>
    <w:rsid w:val="0055610E"/>
    <w:rsid w:val="0055704E"/>
    <w:rsid w:val="005573DA"/>
    <w:rsid w:val="0056065E"/>
    <w:rsid w:val="00561A0E"/>
    <w:rsid w:val="00561A46"/>
    <w:rsid w:val="00561A72"/>
    <w:rsid w:val="00562C97"/>
    <w:rsid w:val="005655C9"/>
    <w:rsid w:val="0056586E"/>
    <w:rsid w:val="00566B5E"/>
    <w:rsid w:val="005675AF"/>
    <w:rsid w:val="0057024F"/>
    <w:rsid w:val="00570E1A"/>
    <w:rsid w:val="0057132D"/>
    <w:rsid w:val="00572FDE"/>
    <w:rsid w:val="00574D49"/>
    <w:rsid w:val="0057608A"/>
    <w:rsid w:val="0057644B"/>
    <w:rsid w:val="00576AF2"/>
    <w:rsid w:val="00577381"/>
    <w:rsid w:val="00577F85"/>
    <w:rsid w:val="005808DE"/>
    <w:rsid w:val="00580DD6"/>
    <w:rsid w:val="0058137D"/>
    <w:rsid w:val="00581C11"/>
    <w:rsid w:val="005822ED"/>
    <w:rsid w:val="00582BF7"/>
    <w:rsid w:val="00583309"/>
    <w:rsid w:val="005842A7"/>
    <w:rsid w:val="00584654"/>
    <w:rsid w:val="005850BC"/>
    <w:rsid w:val="0058595D"/>
    <w:rsid w:val="0058607A"/>
    <w:rsid w:val="005871F7"/>
    <w:rsid w:val="00587AB1"/>
    <w:rsid w:val="00587F79"/>
    <w:rsid w:val="00590EBB"/>
    <w:rsid w:val="00591610"/>
    <w:rsid w:val="00591E37"/>
    <w:rsid w:val="005920AE"/>
    <w:rsid w:val="00592F4B"/>
    <w:rsid w:val="00592FFE"/>
    <w:rsid w:val="005951CD"/>
    <w:rsid w:val="00595533"/>
    <w:rsid w:val="00595B2D"/>
    <w:rsid w:val="00595E3A"/>
    <w:rsid w:val="0059609E"/>
    <w:rsid w:val="00596373"/>
    <w:rsid w:val="00596A2D"/>
    <w:rsid w:val="00596A53"/>
    <w:rsid w:val="00596E37"/>
    <w:rsid w:val="005977CE"/>
    <w:rsid w:val="00597CB2"/>
    <w:rsid w:val="00597D2E"/>
    <w:rsid w:val="005A059A"/>
    <w:rsid w:val="005A177B"/>
    <w:rsid w:val="005A191D"/>
    <w:rsid w:val="005A26FB"/>
    <w:rsid w:val="005A4CD6"/>
    <w:rsid w:val="005A529B"/>
    <w:rsid w:val="005A66BF"/>
    <w:rsid w:val="005A681D"/>
    <w:rsid w:val="005B07E8"/>
    <w:rsid w:val="005B0E38"/>
    <w:rsid w:val="005B190F"/>
    <w:rsid w:val="005B1E3B"/>
    <w:rsid w:val="005B2BB5"/>
    <w:rsid w:val="005B2F75"/>
    <w:rsid w:val="005B3657"/>
    <w:rsid w:val="005B41B6"/>
    <w:rsid w:val="005B440D"/>
    <w:rsid w:val="005B4C95"/>
    <w:rsid w:val="005B532D"/>
    <w:rsid w:val="005B6BDD"/>
    <w:rsid w:val="005C02CF"/>
    <w:rsid w:val="005C072B"/>
    <w:rsid w:val="005C095E"/>
    <w:rsid w:val="005C0D32"/>
    <w:rsid w:val="005C184E"/>
    <w:rsid w:val="005C2384"/>
    <w:rsid w:val="005C25D7"/>
    <w:rsid w:val="005C2A38"/>
    <w:rsid w:val="005C2EBD"/>
    <w:rsid w:val="005C2F81"/>
    <w:rsid w:val="005C38A5"/>
    <w:rsid w:val="005C3CCC"/>
    <w:rsid w:val="005C4094"/>
    <w:rsid w:val="005C4F61"/>
    <w:rsid w:val="005C55C4"/>
    <w:rsid w:val="005C6ED3"/>
    <w:rsid w:val="005C7034"/>
    <w:rsid w:val="005C78FB"/>
    <w:rsid w:val="005C7A2A"/>
    <w:rsid w:val="005D0951"/>
    <w:rsid w:val="005D0BD4"/>
    <w:rsid w:val="005D0D0A"/>
    <w:rsid w:val="005D1553"/>
    <w:rsid w:val="005D1D56"/>
    <w:rsid w:val="005D1E7E"/>
    <w:rsid w:val="005D2114"/>
    <w:rsid w:val="005D21EE"/>
    <w:rsid w:val="005D296C"/>
    <w:rsid w:val="005D30EF"/>
    <w:rsid w:val="005D3D9B"/>
    <w:rsid w:val="005D51F8"/>
    <w:rsid w:val="005D5B3B"/>
    <w:rsid w:val="005D65AA"/>
    <w:rsid w:val="005D6E80"/>
    <w:rsid w:val="005D749F"/>
    <w:rsid w:val="005D7957"/>
    <w:rsid w:val="005D7C09"/>
    <w:rsid w:val="005E14A6"/>
    <w:rsid w:val="005E2FAE"/>
    <w:rsid w:val="005E3224"/>
    <w:rsid w:val="005E3AB5"/>
    <w:rsid w:val="005E469E"/>
    <w:rsid w:val="005E523F"/>
    <w:rsid w:val="005E5301"/>
    <w:rsid w:val="005E5F8D"/>
    <w:rsid w:val="005E65B9"/>
    <w:rsid w:val="005E6A01"/>
    <w:rsid w:val="005E74E4"/>
    <w:rsid w:val="005F083C"/>
    <w:rsid w:val="005F2084"/>
    <w:rsid w:val="005F247C"/>
    <w:rsid w:val="005F2BB6"/>
    <w:rsid w:val="005F5262"/>
    <w:rsid w:val="005F6E32"/>
    <w:rsid w:val="005F74B0"/>
    <w:rsid w:val="005F78F4"/>
    <w:rsid w:val="0060223D"/>
    <w:rsid w:val="006028BE"/>
    <w:rsid w:val="00602F08"/>
    <w:rsid w:val="00603156"/>
    <w:rsid w:val="00603B13"/>
    <w:rsid w:val="00604A44"/>
    <w:rsid w:val="0060509E"/>
    <w:rsid w:val="00605655"/>
    <w:rsid w:val="00605C9D"/>
    <w:rsid w:val="006065FB"/>
    <w:rsid w:val="00606C6B"/>
    <w:rsid w:val="006070CC"/>
    <w:rsid w:val="0060781A"/>
    <w:rsid w:val="0061079D"/>
    <w:rsid w:val="00610BA5"/>
    <w:rsid w:val="006129CA"/>
    <w:rsid w:val="00612C93"/>
    <w:rsid w:val="00613D8F"/>
    <w:rsid w:val="00613EC9"/>
    <w:rsid w:val="00613ED7"/>
    <w:rsid w:val="00616AC3"/>
    <w:rsid w:val="0061789C"/>
    <w:rsid w:val="00617A2E"/>
    <w:rsid w:val="00620064"/>
    <w:rsid w:val="006207C8"/>
    <w:rsid w:val="00620C9D"/>
    <w:rsid w:val="006212B1"/>
    <w:rsid w:val="00622C6C"/>
    <w:rsid w:val="00622F19"/>
    <w:rsid w:val="00623D37"/>
    <w:rsid w:val="00624527"/>
    <w:rsid w:val="0062483C"/>
    <w:rsid w:val="00624F33"/>
    <w:rsid w:val="0062754C"/>
    <w:rsid w:val="00627CFC"/>
    <w:rsid w:val="00627E46"/>
    <w:rsid w:val="006303A7"/>
    <w:rsid w:val="006303D4"/>
    <w:rsid w:val="006305A7"/>
    <w:rsid w:val="00630696"/>
    <w:rsid w:val="00630950"/>
    <w:rsid w:val="00631F32"/>
    <w:rsid w:val="0063249C"/>
    <w:rsid w:val="00633A47"/>
    <w:rsid w:val="006354B1"/>
    <w:rsid w:val="00635501"/>
    <w:rsid w:val="00635F86"/>
    <w:rsid w:val="00636E5F"/>
    <w:rsid w:val="0063753A"/>
    <w:rsid w:val="00642364"/>
    <w:rsid w:val="00642BCA"/>
    <w:rsid w:val="00642E13"/>
    <w:rsid w:val="00643D09"/>
    <w:rsid w:val="00644070"/>
    <w:rsid w:val="00645015"/>
    <w:rsid w:val="00646FB8"/>
    <w:rsid w:val="006476EB"/>
    <w:rsid w:val="00647B30"/>
    <w:rsid w:val="00647FE9"/>
    <w:rsid w:val="00650228"/>
    <w:rsid w:val="006508EA"/>
    <w:rsid w:val="00650CDE"/>
    <w:rsid w:val="00651503"/>
    <w:rsid w:val="00651E8D"/>
    <w:rsid w:val="006522CA"/>
    <w:rsid w:val="006524C5"/>
    <w:rsid w:val="0065360D"/>
    <w:rsid w:val="00653B1A"/>
    <w:rsid w:val="0065447B"/>
    <w:rsid w:val="00654D34"/>
    <w:rsid w:val="0065554D"/>
    <w:rsid w:val="00655AE1"/>
    <w:rsid w:val="0065611A"/>
    <w:rsid w:val="0065611E"/>
    <w:rsid w:val="00656213"/>
    <w:rsid w:val="0065729C"/>
    <w:rsid w:val="00657440"/>
    <w:rsid w:val="00661EF4"/>
    <w:rsid w:val="0066309A"/>
    <w:rsid w:val="0066338B"/>
    <w:rsid w:val="00663944"/>
    <w:rsid w:val="006647B9"/>
    <w:rsid w:val="00664B4B"/>
    <w:rsid w:val="006652A5"/>
    <w:rsid w:val="00665771"/>
    <w:rsid w:val="00665E48"/>
    <w:rsid w:val="006660AB"/>
    <w:rsid w:val="0066620F"/>
    <w:rsid w:val="0066625B"/>
    <w:rsid w:val="00666B42"/>
    <w:rsid w:val="00666BFA"/>
    <w:rsid w:val="00666F1E"/>
    <w:rsid w:val="00667179"/>
    <w:rsid w:val="006673C1"/>
    <w:rsid w:val="00670001"/>
    <w:rsid w:val="00670465"/>
    <w:rsid w:val="0067065D"/>
    <w:rsid w:val="00671992"/>
    <w:rsid w:val="006728C7"/>
    <w:rsid w:val="00672FD0"/>
    <w:rsid w:val="0067370B"/>
    <w:rsid w:val="006741FB"/>
    <w:rsid w:val="0067574D"/>
    <w:rsid w:val="00676517"/>
    <w:rsid w:val="00677466"/>
    <w:rsid w:val="0067750E"/>
    <w:rsid w:val="00677F2A"/>
    <w:rsid w:val="006801EA"/>
    <w:rsid w:val="00681210"/>
    <w:rsid w:val="006832DD"/>
    <w:rsid w:val="00684A94"/>
    <w:rsid w:val="00685831"/>
    <w:rsid w:val="00687D70"/>
    <w:rsid w:val="00687EDA"/>
    <w:rsid w:val="0069060D"/>
    <w:rsid w:val="006906EF"/>
    <w:rsid w:val="00690ADA"/>
    <w:rsid w:val="00691D22"/>
    <w:rsid w:val="00693969"/>
    <w:rsid w:val="006947D2"/>
    <w:rsid w:val="006949C7"/>
    <w:rsid w:val="00694A1D"/>
    <w:rsid w:val="00694EAB"/>
    <w:rsid w:val="006950CF"/>
    <w:rsid w:val="00695EA1"/>
    <w:rsid w:val="00696665"/>
    <w:rsid w:val="00696D33"/>
    <w:rsid w:val="006A0104"/>
    <w:rsid w:val="006A0D13"/>
    <w:rsid w:val="006A0D48"/>
    <w:rsid w:val="006A1915"/>
    <w:rsid w:val="006A2243"/>
    <w:rsid w:val="006A23BA"/>
    <w:rsid w:val="006A2782"/>
    <w:rsid w:val="006A2B7A"/>
    <w:rsid w:val="006A33FE"/>
    <w:rsid w:val="006A516B"/>
    <w:rsid w:val="006A5283"/>
    <w:rsid w:val="006A69AA"/>
    <w:rsid w:val="006A744C"/>
    <w:rsid w:val="006A7513"/>
    <w:rsid w:val="006B041D"/>
    <w:rsid w:val="006B0550"/>
    <w:rsid w:val="006B06B4"/>
    <w:rsid w:val="006B0EFF"/>
    <w:rsid w:val="006B1090"/>
    <w:rsid w:val="006B1DEF"/>
    <w:rsid w:val="006B1EE7"/>
    <w:rsid w:val="006B2EE4"/>
    <w:rsid w:val="006B5127"/>
    <w:rsid w:val="006B565C"/>
    <w:rsid w:val="006B5EBB"/>
    <w:rsid w:val="006B6801"/>
    <w:rsid w:val="006B6AF0"/>
    <w:rsid w:val="006B70BC"/>
    <w:rsid w:val="006B7853"/>
    <w:rsid w:val="006C0E70"/>
    <w:rsid w:val="006C1840"/>
    <w:rsid w:val="006C1D1B"/>
    <w:rsid w:val="006C2280"/>
    <w:rsid w:val="006C2A92"/>
    <w:rsid w:val="006C3221"/>
    <w:rsid w:val="006C5528"/>
    <w:rsid w:val="006C577B"/>
    <w:rsid w:val="006C6BA0"/>
    <w:rsid w:val="006C7BDB"/>
    <w:rsid w:val="006C7E4F"/>
    <w:rsid w:val="006D067A"/>
    <w:rsid w:val="006D0A94"/>
    <w:rsid w:val="006D1291"/>
    <w:rsid w:val="006D2A30"/>
    <w:rsid w:val="006D3983"/>
    <w:rsid w:val="006D41DC"/>
    <w:rsid w:val="006D4589"/>
    <w:rsid w:val="006D4C59"/>
    <w:rsid w:val="006D5EF1"/>
    <w:rsid w:val="006E05A3"/>
    <w:rsid w:val="006E243E"/>
    <w:rsid w:val="006E39CF"/>
    <w:rsid w:val="006E4122"/>
    <w:rsid w:val="006E450C"/>
    <w:rsid w:val="006E4535"/>
    <w:rsid w:val="006E4DC8"/>
    <w:rsid w:val="006E60A7"/>
    <w:rsid w:val="006E64EA"/>
    <w:rsid w:val="006E684D"/>
    <w:rsid w:val="006E78A4"/>
    <w:rsid w:val="006F256E"/>
    <w:rsid w:val="006F3AAD"/>
    <w:rsid w:val="006F3FBA"/>
    <w:rsid w:val="006F464F"/>
    <w:rsid w:val="006F4B16"/>
    <w:rsid w:val="006F5290"/>
    <w:rsid w:val="006F6205"/>
    <w:rsid w:val="006F6961"/>
    <w:rsid w:val="006F6FF3"/>
    <w:rsid w:val="006F784B"/>
    <w:rsid w:val="006F7BFB"/>
    <w:rsid w:val="006F7F1E"/>
    <w:rsid w:val="007011AD"/>
    <w:rsid w:val="007037B4"/>
    <w:rsid w:val="007046FE"/>
    <w:rsid w:val="007076C3"/>
    <w:rsid w:val="00710EBD"/>
    <w:rsid w:val="00710EE6"/>
    <w:rsid w:val="007119BF"/>
    <w:rsid w:val="00711B9D"/>
    <w:rsid w:val="00711FDB"/>
    <w:rsid w:val="00712D7B"/>
    <w:rsid w:val="00712E63"/>
    <w:rsid w:val="007137DE"/>
    <w:rsid w:val="007152AB"/>
    <w:rsid w:val="007152AD"/>
    <w:rsid w:val="0071566D"/>
    <w:rsid w:val="007214FB"/>
    <w:rsid w:val="007217F0"/>
    <w:rsid w:val="007219A1"/>
    <w:rsid w:val="00721D11"/>
    <w:rsid w:val="007234EF"/>
    <w:rsid w:val="00723939"/>
    <w:rsid w:val="00724F7F"/>
    <w:rsid w:val="0072547A"/>
    <w:rsid w:val="00725C22"/>
    <w:rsid w:val="007267C9"/>
    <w:rsid w:val="00727015"/>
    <w:rsid w:val="0072732C"/>
    <w:rsid w:val="007276E4"/>
    <w:rsid w:val="00730643"/>
    <w:rsid w:val="00730753"/>
    <w:rsid w:val="00731E59"/>
    <w:rsid w:val="007325C2"/>
    <w:rsid w:val="00733709"/>
    <w:rsid w:val="0073531D"/>
    <w:rsid w:val="0073546F"/>
    <w:rsid w:val="0073551D"/>
    <w:rsid w:val="00735567"/>
    <w:rsid w:val="00735A1F"/>
    <w:rsid w:val="00735D36"/>
    <w:rsid w:val="00736E81"/>
    <w:rsid w:val="00737A28"/>
    <w:rsid w:val="007402DD"/>
    <w:rsid w:val="00741839"/>
    <w:rsid w:val="00742B07"/>
    <w:rsid w:val="0074512F"/>
    <w:rsid w:val="00745516"/>
    <w:rsid w:val="007460A5"/>
    <w:rsid w:val="007462FF"/>
    <w:rsid w:val="0074658E"/>
    <w:rsid w:val="00746EAA"/>
    <w:rsid w:val="007505C5"/>
    <w:rsid w:val="00750E82"/>
    <w:rsid w:val="00751548"/>
    <w:rsid w:val="00751F71"/>
    <w:rsid w:val="007536B8"/>
    <w:rsid w:val="00753943"/>
    <w:rsid w:val="00753CAC"/>
    <w:rsid w:val="00754AA8"/>
    <w:rsid w:val="00754ADB"/>
    <w:rsid w:val="00754DE3"/>
    <w:rsid w:val="00755422"/>
    <w:rsid w:val="00755989"/>
    <w:rsid w:val="00755AAF"/>
    <w:rsid w:val="007562B8"/>
    <w:rsid w:val="00757417"/>
    <w:rsid w:val="00760890"/>
    <w:rsid w:val="00760B71"/>
    <w:rsid w:val="00760C3B"/>
    <w:rsid w:val="007610EA"/>
    <w:rsid w:val="007616C2"/>
    <w:rsid w:val="00761D80"/>
    <w:rsid w:val="00762140"/>
    <w:rsid w:val="007626BD"/>
    <w:rsid w:val="00762EAB"/>
    <w:rsid w:val="00762EBD"/>
    <w:rsid w:val="00762FF7"/>
    <w:rsid w:val="00764E50"/>
    <w:rsid w:val="00764EC7"/>
    <w:rsid w:val="00765DA6"/>
    <w:rsid w:val="00765FDF"/>
    <w:rsid w:val="0076605C"/>
    <w:rsid w:val="00766159"/>
    <w:rsid w:val="00766239"/>
    <w:rsid w:val="00766DB3"/>
    <w:rsid w:val="00766E55"/>
    <w:rsid w:val="00767A40"/>
    <w:rsid w:val="00767E5B"/>
    <w:rsid w:val="00770106"/>
    <w:rsid w:val="00770A33"/>
    <w:rsid w:val="00770F27"/>
    <w:rsid w:val="00771A24"/>
    <w:rsid w:val="0077272F"/>
    <w:rsid w:val="00772D96"/>
    <w:rsid w:val="0077304D"/>
    <w:rsid w:val="0077312A"/>
    <w:rsid w:val="007739C2"/>
    <w:rsid w:val="00773ABA"/>
    <w:rsid w:val="00773BEA"/>
    <w:rsid w:val="00773E48"/>
    <w:rsid w:val="00775BFD"/>
    <w:rsid w:val="00776185"/>
    <w:rsid w:val="00776DF2"/>
    <w:rsid w:val="00777C0D"/>
    <w:rsid w:val="00780B13"/>
    <w:rsid w:val="007816AE"/>
    <w:rsid w:val="00781EE4"/>
    <w:rsid w:val="0078227B"/>
    <w:rsid w:val="007823EE"/>
    <w:rsid w:val="00782B3E"/>
    <w:rsid w:val="00783730"/>
    <w:rsid w:val="00784E46"/>
    <w:rsid w:val="00786012"/>
    <w:rsid w:val="0078734E"/>
    <w:rsid w:val="0078749D"/>
    <w:rsid w:val="00787BC6"/>
    <w:rsid w:val="007923A5"/>
    <w:rsid w:val="007926BB"/>
    <w:rsid w:val="00793724"/>
    <w:rsid w:val="00793B83"/>
    <w:rsid w:val="00794524"/>
    <w:rsid w:val="007945B8"/>
    <w:rsid w:val="00794978"/>
    <w:rsid w:val="00794BE0"/>
    <w:rsid w:val="00796272"/>
    <w:rsid w:val="00796521"/>
    <w:rsid w:val="007A076A"/>
    <w:rsid w:val="007A08D1"/>
    <w:rsid w:val="007A1B8D"/>
    <w:rsid w:val="007A23AF"/>
    <w:rsid w:val="007A274A"/>
    <w:rsid w:val="007A3B3F"/>
    <w:rsid w:val="007A42FE"/>
    <w:rsid w:val="007A4AE9"/>
    <w:rsid w:val="007A56B5"/>
    <w:rsid w:val="007A5942"/>
    <w:rsid w:val="007A7520"/>
    <w:rsid w:val="007A7B99"/>
    <w:rsid w:val="007B0667"/>
    <w:rsid w:val="007B146C"/>
    <w:rsid w:val="007B1B69"/>
    <w:rsid w:val="007B5025"/>
    <w:rsid w:val="007B5F2C"/>
    <w:rsid w:val="007B6768"/>
    <w:rsid w:val="007B7C52"/>
    <w:rsid w:val="007B7DD7"/>
    <w:rsid w:val="007B7EA1"/>
    <w:rsid w:val="007C2445"/>
    <w:rsid w:val="007C2B61"/>
    <w:rsid w:val="007C3DCF"/>
    <w:rsid w:val="007C3E6A"/>
    <w:rsid w:val="007C454E"/>
    <w:rsid w:val="007C4706"/>
    <w:rsid w:val="007C4ADB"/>
    <w:rsid w:val="007C4C03"/>
    <w:rsid w:val="007C5142"/>
    <w:rsid w:val="007C6854"/>
    <w:rsid w:val="007C6F0B"/>
    <w:rsid w:val="007C733A"/>
    <w:rsid w:val="007C7DE0"/>
    <w:rsid w:val="007D0DE8"/>
    <w:rsid w:val="007D10FB"/>
    <w:rsid w:val="007D1B34"/>
    <w:rsid w:val="007D25E5"/>
    <w:rsid w:val="007D2620"/>
    <w:rsid w:val="007D3165"/>
    <w:rsid w:val="007D3731"/>
    <w:rsid w:val="007D4742"/>
    <w:rsid w:val="007D4BF0"/>
    <w:rsid w:val="007D4FD2"/>
    <w:rsid w:val="007D58C6"/>
    <w:rsid w:val="007D6B6A"/>
    <w:rsid w:val="007D71DE"/>
    <w:rsid w:val="007E0513"/>
    <w:rsid w:val="007E08E8"/>
    <w:rsid w:val="007E1C31"/>
    <w:rsid w:val="007E2736"/>
    <w:rsid w:val="007E31FE"/>
    <w:rsid w:val="007E4A63"/>
    <w:rsid w:val="007E6572"/>
    <w:rsid w:val="007E6645"/>
    <w:rsid w:val="007E7067"/>
    <w:rsid w:val="007E76A4"/>
    <w:rsid w:val="007E7D56"/>
    <w:rsid w:val="007F0DB7"/>
    <w:rsid w:val="007F1140"/>
    <w:rsid w:val="007F1142"/>
    <w:rsid w:val="007F16F1"/>
    <w:rsid w:val="007F18AB"/>
    <w:rsid w:val="007F1BF4"/>
    <w:rsid w:val="007F53AB"/>
    <w:rsid w:val="007F5437"/>
    <w:rsid w:val="007F5CD2"/>
    <w:rsid w:val="007F5DE1"/>
    <w:rsid w:val="007F680D"/>
    <w:rsid w:val="007F6D93"/>
    <w:rsid w:val="007F6FF1"/>
    <w:rsid w:val="008000D5"/>
    <w:rsid w:val="00801294"/>
    <w:rsid w:val="00801AFB"/>
    <w:rsid w:val="00801E3C"/>
    <w:rsid w:val="00801F03"/>
    <w:rsid w:val="00802A35"/>
    <w:rsid w:val="00802E2E"/>
    <w:rsid w:val="00804310"/>
    <w:rsid w:val="0080482B"/>
    <w:rsid w:val="00805970"/>
    <w:rsid w:val="0080619D"/>
    <w:rsid w:val="00806CCF"/>
    <w:rsid w:val="00806DE8"/>
    <w:rsid w:val="00807947"/>
    <w:rsid w:val="00807B78"/>
    <w:rsid w:val="00807DB1"/>
    <w:rsid w:val="00811437"/>
    <w:rsid w:val="0081205B"/>
    <w:rsid w:val="00813BF3"/>
    <w:rsid w:val="00813C99"/>
    <w:rsid w:val="008145C7"/>
    <w:rsid w:val="0081465B"/>
    <w:rsid w:val="00814E7C"/>
    <w:rsid w:val="008159B3"/>
    <w:rsid w:val="00820659"/>
    <w:rsid w:val="00820735"/>
    <w:rsid w:val="00822003"/>
    <w:rsid w:val="008222CA"/>
    <w:rsid w:val="008226EF"/>
    <w:rsid w:val="0082308B"/>
    <w:rsid w:val="00823934"/>
    <w:rsid w:val="00823A84"/>
    <w:rsid w:val="00823AE1"/>
    <w:rsid w:val="00823CF3"/>
    <w:rsid w:val="00826273"/>
    <w:rsid w:val="00827E65"/>
    <w:rsid w:val="00830F21"/>
    <w:rsid w:val="00831679"/>
    <w:rsid w:val="0083180C"/>
    <w:rsid w:val="00831CD3"/>
    <w:rsid w:val="00832355"/>
    <w:rsid w:val="00832563"/>
    <w:rsid w:val="008326A3"/>
    <w:rsid w:val="008328EB"/>
    <w:rsid w:val="008328EF"/>
    <w:rsid w:val="00832951"/>
    <w:rsid w:val="00836008"/>
    <w:rsid w:val="00836773"/>
    <w:rsid w:val="00837EC0"/>
    <w:rsid w:val="008415BF"/>
    <w:rsid w:val="00841783"/>
    <w:rsid w:val="00844887"/>
    <w:rsid w:val="00844D44"/>
    <w:rsid w:val="008450B0"/>
    <w:rsid w:val="008467A3"/>
    <w:rsid w:val="008469A9"/>
    <w:rsid w:val="00846B46"/>
    <w:rsid w:val="00847A5E"/>
    <w:rsid w:val="00847C89"/>
    <w:rsid w:val="008500F6"/>
    <w:rsid w:val="00851E08"/>
    <w:rsid w:val="008529C0"/>
    <w:rsid w:val="008538BE"/>
    <w:rsid w:val="00853D04"/>
    <w:rsid w:val="00853D15"/>
    <w:rsid w:val="0085420B"/>
    <w:rsid w:val="00854489"/>
    <w:rsid w:val="00854863"/>
    <w:rsid w:val="00854C87"/>
    <w:rsid w:val="00854FA8"/>
    <w:rsid w:val="008556D6"/>
    <w:rsid w:val="0085746B"/>
    <w:rsid w:val="0085767D"/>
    <w:rsid w:val="00857749"/>
    <w:rsid w:val="008577B3"/>
    <w:rsid w:val="00860E8D"/>
    <w:rsid w:val="00861212"/>
    <w:rsid w:val="00862F66"/>
    <w:rsid w:val="00863B5A"/>
    <w:rsid w:val="008641A9"/>
    <w:rsid w:val="00864579"/>
    <w:rsid w:val="008656D8"/>
    <w:rsid w:val="00867F46"/>
    <w:rsid w:val="008715B2"/>
    <w:rsid w:val="00871B09"/>
    <w:rsid w:val="00872547"/>
    <w:rsid w:val="00872A4E"/>
    <w:rsid w:val="008730FD"/>
    <w:rsid w:val="008733B0"/>
    <w:rsid w:val="008741D9"/>
    <w:rsid w:val="008746B6"/>
    <w:rsid w:val="00874D5E"/>
    <w:rsid w:val="0087665A"/>
    <w:rsid w:val="0087765A"/>
    <w:rsid w:val="008779D9"/>
    <w:rsid w:val="008779FD"/>
    <w:rsid w:val="00880893"/>
    <w:rsid w:val="00880E6D"/>
    <w:rsid w:val="00884F39"/>
    <w:rsid w:val="008864E6"/>
    <w:rsid w:val="00886928"/>
    <w:rsid w:val="00886A11"/>
    <w:rsid w:val="0088714E"/>
    <w:rsid w:val="00887804"/>
    <w:rsid w:val="00887F82"/>
    <w:rsid w:val="00890F3E"/>
    <w:rsid w:val="0089199D"/>
    <w:rsid w:val="00891FCF"/>
    <w:rsid w:val="008920A6"/>
    <w:rsid w:val="00892233"/>
    <w:rsid w:val="008923DD"/>
    <w:rsid w:val="00893B56"/>
    <w:rsid w:val="00893FFC"/>
    <w:rsid w:val="0089450B"/>
    <w:rsid w:val="0089460E"/>
    <w:rsid w:val="0089571B"/>
    <w:rsid w:val="00895F30"/>
    <w:rsid w:val="00896889"/>
    <w:rsid w:val="00896895"/>
    <w:rsid w:val="00896ECE"/>
    <w:rsid w:val="008A271B"/>
    <w:rsid w:val="008A405A"/>
    <w:rsid w:val="008A4A71"/>
    <w:rsid w:val="008A4CBD"/>
    <w:rsid w:val="008A65EE"/>
    <w:rsid w:val="008A76F3"/>
    <w:rsid w:val="008A7B04"/>
    <w:rsid w:val="008B00C9"/>
    <w:rsid w:val="008B27F6"/>
    <w:rsid w:val="008B4088"/>
    <w:rsid w:val="008B4783"/>
    <w:rsid w:val="008B4ADB"/>
    <w:rsid w:val="008B4D4F"/>
    <w:rsid w:val="008B55B5"/>
    <w:rsid w:val="008B55B8"/>
    <w:rsid w:val="008B5C05"/>
    <w:rsid w:val="008B6084"/>
    <w:rsid w:val="008B6E70"/>
    <w:rsid w:val="008B7058"/>
    <w:rsid w:val="008B72BC"/>
    <w:rsid w:val="008B77FA"/>
    <w:rsid w:val="008B7B4D"/>
    <w:rsid w:val="008C0B85"/>
    <w:rsid w:val="008C0CCC"/>
    <w:rsid w:val="008C0FB7"/>
    <w:rsid w:val="008C19B9"/>
    <w:rsid w:val="008C1EAD"/>
    <w:rsid w:val="008C1FE3"/>
    <w:rsid w:val="008C28E7"/>
    <w:rsid w:val="008C2E76"/>
    <w:rsid w:val="008C3E21"/>
    <w:rsid w:val="008C4FB0"/>
    <w:rsid w:val="008C554C"/>
    <w:rsid w:val="008C78F3"/>
    <w:rsid w:val="008C7BF6"/>
    <w:rsid w:val="008D081D"/>
    <w:rsid w:val="008D14BA"/>
    <w:rsid w:val="008D6081"/>
    <w:rsid w:val="008D6175"/>
    <w:rsid w:val="008D6E54"/>
    <w:rsid w:val="008D7183"/>
    <w:rsid w:val="008D7299"/>
    <w:rsid w:val="008D751C"/>
    <w:rsid w:val="008D7946"/>
    <w:rsid w:val="008E0F24"/>
    <w:rsid w:val="008E1818"/>
    <w:rsid w:val="008E1A49"/>
    <w:rsid w:val="008E2FCC"/>
    <w:rsid w:val="008E36A2"/>
    <w:rsid w:val="008E3BC4"/>
    <w:rsid w:val="008E3F90"/>
    <w:rsid w:val="008E5727"/>
    <w:rsid w:val="008E603B"/>
    <w:rsid w:val="008E6404"/>
    <w:rsid w:val="008E6457"/>
    <w:rsid w:val="008E6617"/>
    <w:rsid w:val="008E7877"/>
    <w:rsid w:val="008F0A15"/>
    <w:rsid w:val="008F0B41"/>
    <w:rsid w:val="008F2088"/>
    <w:rsid w:val="008F2B13"/>
    <w:rsid w:val="008F34DC"/>
    <w:rsid w:val="008F3CD3"/>
    <w:rsid w:val="008F5595"/>
    <w:rsid w:val="008F5799"/>
    <w:rsid w:val="008F60BF"/>
    <w:rsid w:val="008F6526"/>
    <w:rsid w:val="008F697A"/>
    <w:rsid w:val="008F7090"/>
    <w:rsid w:val="008F788C"/>
    <w:rsid w:val="008F7AEF"/>
    <w:rsid w:val="00900635"/>
    <w:rsid w:val="00901740"/>
    <w:rsid w:val="00905260"/>
    <w:rsid w:val="00905CB4"/>
    <w:rsid w:val="00905FA2"/>
    <w:rsid w:val="009060C5"/>
    <w:rsid w:val="00906D29"/>
    <w:rsid w:val="00906FB6"/>
    <w:rsid w:val="00907252"/>
    <w:rsid w:val="00907328"/>
    <w:rsid w:val="0091032F"/>
    <w:rsid w:val="00911749"/>
    <w:rsid w:val="00912BD4"/>
    <w:rsid w:val="00912C91"/>
    <w:rsid w:val="009136B7"/>
    <w:rsid w:val="00914CF8"/>
    <w:rsid w:val="00916983"/>
    <w:rsid w:val="009175A4"/>
    <w:rsid w:val="00917BC7"/>
    <w:rsid w:val="009206EF"/>
    <w:rsid w:val="009229C8"/>
    <w:rsid w:val="0092349D"/>
    <w:rsid w:val="009241E0"/>
    <w:rsid w:val="00924E86"/>
    <w:rsid w:val="00927EA4"/>
    <w:rsid w:val="00930006"/>
    <w:rsid w:val="00930DDC"/>
    <w:rsid w:val="00933600"/>
    <w:rsid w:val="00933A1E"/>
    <w:rsid w:val="00933B33"/>
    <w:rsid w:val="00934252"/>
    <w:rsid w:val="0093455C"/>
    <w:rsid w:val="00935BC9"/>
    <w:rsid w:val="009366F6"/>
    <w:rsid w:val="00937489"/>
    <w:rsid w:val="0094021A"/>
    <w:rsid w:val="009403AF"/>
    <w:rsid w:val="00942092"/>
    <w:rsid w:val="009444CD"/>
    <w:rsid w:val="00945A1A"/>
    <w:rsid w:val="0094608E"/>
    <w:rsid w:val="009469EA"/>
    <w:rsid w:val="00946ED3"/>
    <w:rsid w:val="009477E8"/>
    <w:rsid w:val="00950450"/>
    <w:rsid w:val="00950EB5"/>
    <w:rsid w:val="009524ED"/>
    <w:rsid w:val="00952A25"/>
    <w:rsid w:val="0095319E"/>
    <w:rsid w:val="009561CB"/>
    <w:rsid w:val="009562C0"/>
    <w:rsid w:val="009563F5"/>
    <w:rsid w:val="0095668B"/>
    <w:rsid w:val="009567BF"/>
    <w:rsid w:val="0095790A"/>
    <w:rsid w:val="00961E71"/>
    <w:rsid w:val="00962819"/>
    <w:rsid w:val="00963412"/>
    <w:rsid w:val="00964869"/>
    <w:rsid w:val="00965BB5"/>
    <w:rsid w:val="009663EF"/>
    <w:rsid w:val="00967E08"/>
    <w:rsid w:val="009707D8"/>
    <w:rsid w:val="00970AFA"/>
    <w:rsid w:val="009724BE"/>
    <w:rsid w:val="00972920"/>
    <w:rsid w:val="00972B1E"/>
    <w:rsid w:val="0097372A"/>
    <w:rsid w:val="00973F04"/>
    <w:rsid w:val="009747D0"/>
    <w:rsid w:val="009751AF"/>
    <w:rsid w:val="00975217"/>
    <w:rsid w:val="009766FC"/>
    <w:rsid w:val="00976977"/>
    <w:rsid w:val="00976F7F"/>
    <w:rsid w:val="00981AFD"/>
    <w:rsid w:val="0098284F"/>
    <w:rsid w:val="00982E19"/>
    <w:rsid w:val="0098408B"/>
    <w:rsid w:val="00984348"/>
    <w:rsid w:val="00984B72"/>
    <w:rsid w:val="009851A3"/>
    <w:rsid w:val="00986C71"/>
    <w:rsid w:val="00987096"/>
    <w:rsid w:val="00987241"/>
    <w:rsid w:val="009873D8"/>
    <w:rsid w:val="00987E15"/>
    <w:rsid w:val="009904DB"/>
    <w:rsid w:val="009914C2"/>
    <w:rsid w:val="00991D58"/>
    <w:rsid w:val="00992384"/>
    <w:rsid w:val="00992AB7"/>
    <w:rsid w:val="00992B7B"/>
    <w:rsid w:val="00992EDA"/>
    <w:rsid w:val="0099479A"/>
    <w:rsid w:val="0099586B"/>
    <w:rsid w:val="00995F40"/>
    <w:rsid w:val="00996EC4"/>
    <w:rsid w:val="00997470"/>
    <w:rsid w:val="009A0FED"/>
    <w:rsid w:val="009A1383"/>
    <w:rsid w:val="009A30E4"/>
    <w:rsid w:val="009A37E4"/>
    <w:rsid w:val="009A3E2A"/>
    <w:rsid w:val="009A439C"/>
    <w:rsid w:val="009A53E1"/>
    <w:rsid w:val="009A54F7"/>
    <w:rsid w:val="009A5814"/>
    <w:rsid w:val="009A6E71"/>
    <w:rsid w:val="009A7A87"/>
    <w:rsid w:val="009A7E65"/>
    <w:rsid w:val="009B038F"/>
    <w:rsid w:val="009B03FE"/>
    <w:rsid w:val="009B0DAE"/>
    <w:rsid w:val="009B1189"/>
    <w:rsid w:val="009B33C6"/>
    <w:rsid w:val="009B3604"/>
    <w:rsid w:val="009B4519"/>
    <w:rsid w:val="009B4733"/>
    <w:rsid w:val="009B52EA"/>
    <w:rsid w:val="009B5C71"/>
    <w:rsid w:val="009B5E18"/>
    <w:rsid w:val="009B61F3"/>
    <w:rsid w:val="009B6429"/>
    <w:rsid w:val="009B66BF"/>
    <w:rsid w:val="009B75D1"/>
    <w:rsid w:val="009B769D"/>
    <w:rsid w:val="009C0E5D"/>
    <w:rsid w:val="009C14A7"/>
    <w:rsid w:val="009C19EF"/>
    <w:rsid w:val="009C1A41"/>
    <w:rsid w:val="009C250B"/>
    <w:rsid w:val="009C2536"/>
    <w:rsid w:val="009C2B81"/>
    <w:rsid w:val="009C2BCF"/>
    <w:rsid w:val="009C3E0F"/>
    <w:rsid w:val="009C4A2D"/>
    <w:rsid w:val="009C575D"/>
    <w:rsid w:val="009C593B"/>
    <w:rsid w:val="009C6059"/>
    <w:rsid w:val="009C60CE"/>
    <w:rsid w:val="009C686B"/>
    <w:rsid w:val="009C69ED"/>
    <w:rsid w:val="009D0568"/>
    <w:rsid w:val="009D0E16"/>
    <w:rsid w:val="009D103B"/>
    <w:rsid w:val="009D1051"/>
    <w:rsid w:val="009D1170"/>
    <w:rsid w:val="009D1C20"/>
    <w:rsid w:val="009D2C68"/>
    <w:rsid w:val="009D2D18"/>
    <w:rsid w:val="009D3B21"/>
    <w:rsid w:val="009D538B"/>
    <w:rsid w:val="009D6F05"/>
    <w:rsid w:val="009E0B98"/>
    <w:rsid w:val="009E165A"/>
    <w:rsid w:val="009E223B"/>
    <w:rsid w:val="009E4578"/>
    <w:rsid w:val="009E5017"/>
    <w:rsid w:val="009E5140"/>
    <w:rsid w:val="009E61AD"/>
    <w:rsid w:val="009E6786"/>
    <w:rsid w:val="009E696D"/>
    <w:rsid w:val="009F0194"/>
    <w:rsid w:val="009F0F09"/>
    <w:rsid w:val="009F1FCE"/>
    <w:rsid w:val="009F23A4"/>
    <w:rsid w:val="009F338A"/>
    <w:rsid w:val="009F3690"/>
    <w:rsid w:val="009F4461"/>
    <w:rsid w:val="009F4E17"/>
    <w:rsid w:val="009F6567"/>
    <w:rsid w:val="009F7288"/>
    <w:rsid w:val="00A0082A"/>
    <w:rsid w:val="00A00A9D"/>
    <w:rsid w:val="00A02C09"/>
    <w:rsid w:val="00A0305C"/>
    <w:rsid w:val="00A031B8"/>
    <w:rsid w:val="00A036F3"/>
    <w:rsid w:val="00A03783"/>
    <w:rsid w:val="00A04DA7"/>
    <w:rsid w:val="00A050C1"/>
    <w:rsid w:val="00A06FFF"/>
    <w:rsid w:val="00A1029D"/>
    <w:rsid w:val="00A102BA"/>
    <w:rsid w:val="00A10AF1"/>
    <w:rsid w:val="00A11AE4"/>
    <w:rsid w:val="00A11C17"/>
    <w:rsid w:val="00A12782"/>
    <w:rsid w:val="00A14249"/>
    <w:rsid w:val="00A14376"/>
    <w:rsid w:val="00A146AB"/>
    <w:rsid w:val="00A152B1"/>
    <w:rsid w:val="00A16058"/>
    <w:rsid w:val="00A16400"/>
    <w:rsid w:val="00A169E1"/>
    <w:rsid w:val="00A17282"/>
    <w:rsid w:val="00A1746C"/>
    <w:rsid w:val="00A174B3"/>
    <w:rsid w:val="00A17935"/>
    <w:rsid w:val="00A2050F"/>
    <w:rsid w:val="00A2218E"/>
    <w:rsid w:val="00A22450"/>
    <w:rsid w:val="00A2248D"/>
    <w:rsid w:val="00A231C9"/>
    <w:rsid w:val="00A254D1"/>
    <w:rsid w:val="00A27303"/>
    <w:rsid w:val="00A2748B"/>
    <w:rsid w:val="00A27CA2"/>
    <w:rsid w:val="00A31DFF"/>
    <w:rsid w:val="00A325F7"/>
    <w:rsid w:val="00A32D53"/>
    <w:rsid w:val="00A334B0"/>
    <w:rsid w:val="00A3424C"/>
    <w:rsid w:val="00A3445C"/>
    <w:rsid w:val="00A36AA1"/>
    <w:rsid w:val="00A37BBF"/>
    <w:rsid w:val="00A37F43"/>
    <w:rsid w:val="00A406A6"/>
    <w:rsid w:val="00A406F4"/>
    <w:rsid w:val="00A422D9"/>
    <w:rsid w:val="00A42B37"/>
    <w:rsid w:val="00A432AE"/>
    <w:rsid w:val="00A43A84"/>
    <w:rsid w:val="00A451FF"/>
    <w:rsid w:val="00A454FB"/>
    <w:rsid w:val="00A46255"/>
    <w:rsid w:val="00A46D7B"/>
    <w:rsid w:val="00A470BF"/>
    <w:rsid w:val="00A52C16"/>
    <w:rsid w:val="00A52CB2"/>
    <w:rsid w:val="00A54C19"/>
    <w:rsid w:val="00A5503D"/>
    <w:rsid w:val="00A5581C"/>
    <w:rsid w:val="00A55AE7"/>
    <w:rsid w:val="00A55C01"/>
    <w:rsid w:val="00A56786"/>
    <w:rsid w:val="00A56C80"/>
    <w:rsid w:val="00A57072"/>
    <w:rsid w:val="00A571B0"/>
    <w:rsid w:val="00A57FCB"/>
    <w:rsid w:val="00A612A3"/>
    <w:rsid w:val="00A61DFF"/>
    <w:rsid w:val="00A6265D"/>
    <w:rsid w:val="00A629EE"/>
    <w:rsid w:val="00A631B9"/>
    <w:rsid w:val="00A655FF"/>
    <w:rsid w:val="00A65D37"/>
    <w:rsid w:val="00A67080"/>
    <w:rsid w:val="00A672F7"/>
    <w:rsid w:val="00A677A0"/>
    <w:rsid w:val="00A709B4"/>
    <w:rsid w:val="00A716E7"/>
    <w:rsid w:val="00A718CC"/>
    <w:rsid w:val="00A72915"/>
    <w:rsid w:val="00A72D71"/>
    <w:rsid w:val="00A72EDD"/>
    <w:rsid w:val="00A737A9"/>
    <w:rsid w:val="00A75577"/>
    <w:rsid w:val="00A7596D"/>
    <w:rsid w:val="00A76BC5"/>
    <w:rsid w:val="00A83123"/>
    <w:rsid w:val="00A84B54"/>
    <w:rsid w:val="00A84E47"/>
    <w:rsid w:val="00A85336"/>
    <w:rsid w:val="00A859F7"/>
    <w:rsid w:val="00A85DD8"/>
    <w:rsid w:val="00A861AC"/>
    <w:rsid w:val="00A86A72"/>
    <w:rsid w:val="00A86C7C"/>
    <w:rsid w:val="00A86E34"/>
    <w:rsid w:val="00A8765F"/>
    <w:rsid w:val="00A87C16"/>
    <w:rsid w:val="00A90E2F"/>
    <w:rsid w:val="00A91157"/>
    <w:rsid w:val="00A9238B"/>
    <w:rsid w:val="00A92648"/>
    <w:rsid w:val="00A92FAD"/>
    <w:rsid w:val="00A937D0"/>
    <w:rsid w:val="00A93913"/>
    <w:rsid w:val="00A93A77"/>
    <w:rsid w:val="00A94CEC"/>
    <w:rsid w:val="00A9566C"/>
    <w:rsid w:val="00A95808"/>
    <w:rsid w:val="00A95B37"/>
    <w:rsid w:val="00A96ACC"/>
    <w:rsid w:val="00A96BB8"/>
    <w:rsid w:val="00A97C35"/>
    <w:rsid w:val="00AA00B9"/>
    <w:rsid w:val="00AA109E"/>
    <w:rsid w:val="00AA189F"/>
    <w:rsid w:val="00AA33FB"/>
    <w:rsid w:val="00AA35CF"/>
    <w:rsid w:val="00AA428E"/>
    <w:rsid w:val="00AA4549"/>
    <w:rsid w:val="00AA4986"/>
    <w:rsid w:val="00AA53E8"/>
    <w:rsid w:val="00AA6417"/>
    <w:rsid w:val="00AB105B"/>
    <w:rsid w:val="00AB10F4"/>
    <w:rsid w:val="00AB1679"/>
    <w:rsid w:val="00AB1B76"/>
    <w:rsid w:val="00AB1FA5"/>
    <w:rsid w:val="00AB2526"/>
    <w:rsid w:val="00AB2A37"/>
    <w:rsid w:val="00AB2D87"/>
    <w:rsid w:val="00AB39CC"/>
    <w:rsid w:val="00AB3C14"/>
    <w:rsid w:val="00AB4CBE"/>
    <w:rsid w:val="00AB4CD4"/>
    <w:rsid w:val="00AB5B32"/>
    <w:rsid w:val="00AB72BE"/>
    <w:rsid w:val="00AB730D"/>
    <w:rsid w:val="00AB739F"/>
    <w:rsid w:val="00AC1245"/>
    <w:rsid w:val="00AC14E1"/>
    <w:rsid w:val="00AC1BC2"/>
    <w:rsid w:val="00AC226A"/>
    <w:rsid w:val="00AC2401"/>
    <w:rsid w:val="00AC3166"/>
    <w:rsid w:val="00AC351E"/>
    <w:rsid w:val="00AC3BF8"/>
    <w:rsid w:val="00AC3FD6"/>
    <w:rsid w:val="00AC4404"/>
    <w:rsid w:val="00AC56D9"/>
    <w:rsid w:val="00AC5750"/>
    <w:rsid w:val="00AC6CDC"/>
    <w:rsid w:val="00AC6FFD"/>
    <w:rsid w:val="00AC7CEB"/>
    <w:rsid w:val="00AC7D2C"/>
    <w:rsid w:val="00AD2229"/>
    <w:rsid w:val="00AD2277"/>
    <w:rsid w:val="00AD3957"/>
    <w:rsid w:val="00AD5CFA"/>
    <w:rsid w:val="00AD7141"/>
    <w:rsid w:val="00AD73DF"/>
    <w:rsid w:val="00AD7B8F"/>
    <w:rsid w:val="00AD7D98"/>
    <w:rsid w:val="00AE0067"/>
    <w:rsid w:val="00AE3324"/>
    <w:rsid w:val="00AE3442"/>
    <w:rsid w:val="00AE371E"/>
    <w:rsid w:val="00AE3788"/>
    <w:rsid w:val="00AE3895"/>
    <w:rsid w:val="00AE45E6"/>
    <w:rsid w:val="00AE50EA"/>
    <w:rsid w:val="00AE51C7"/>
    <w:rsid w:val="00AE69BE"/>
    <w:rsid w:val="00AF0510"/>
    <w:rsid w:val="00AF094F"/>
    <w:rsid w:val="00AF1009"/>
    <w:rsid w:val="00AF1101"/>
    <w:rsid w:val="00AF176C"/>
    <w:rsid w:val="00AF1D58"/>
    <w:rsid w:val="00AF45EF"/>
    <w:rsid w:val="00AF46E7"/>
    <w:rsid w:val="00AF502A"/>
    <w:rsid w:val="00AF5167"/>
    <w:rsid w:val="00AF5D5C"/>
    <w:rsid w:val="00AF6A5D"/>
    <w:rsid w:val="00B0062C"/>
    <w:rsid w:val="00B008B8"/>
    <w:rsid w:val="00B01411"/>
    <w:rsid w:val="00B02240"/>
    <w:rsid w:val="00B02438"/>
    <w:rsid w:val="00B0494E"/>
    <w:rsid w:val="00B067D3"/>
    <w:rsid w:val="00B07450"/>
    <w:rsid w:val="00B100B9"/>
    <w:rsid w:val="00B10D02"/>
    <w:rsid w:val="00B10D52"/>
    <w:rsid w:val="00B1155D"/>
    <w:rsid w:val="00B11A04"/>
    <w:rsid w:val="00B11E6D"/>
    <w:rsid w:val="00B14125"/>
    <w:rsid w:val="00B16580"/>
    <w:rsid w:val="00B171CD"/>
    <w:rsid w:val="00B1726E"/>
    <w:rsid w:val="00B20C41"/>
    <w:rsid w:val="00B210DD"/>
    <w:rsid w:val="00B2165B"/>
    <w:rsid w:val="00B22831"/>
    <w:rsid w:val="00B22D26"/>
    <w:rsid w:val="00B24508"/>
    <w:rsid w:val="00B2476A"/>
    <w:rsid w:val="00B24C66"/>
    <w:rsid w:val="00B24E33"/>
    <w:rsid w:val="00B25C89"/>
    <w:rsid w:val="00B2652C"/>
    <w:rsid w:val="00B27391"/>
    <w:rsid w:val="00B27CF1"/>
    <w:rsid w:val="00B27FC6"/>
    <w:rsid w:val="00B3048E"/>
    <w:rsid w:val="00B30926"/>
    <w:rsid w:val="00B31CA0"/>
    <w:rsid w:val="00B32644"/>
    <w:rsid w:val="00B326CC"/>
    <w:rsid w:val="00B34091"/>
    <w:rsid w:val="00B34ACA"/>
    <w:rsid w:val="00B35A06"/>
    <w:rsid w:val="00B36046"/>
    <w:rsid w:val="00B36398"/>
    <w:rsid w:val="00B367F0"/>
    <w:rsid w:val="00B36899"/>
    <w:rsid w:val="00B37E82"/>
    <w:rsid w:val="00B4033F"/>
    <w:rsid w:val="00B4134B"/>
    <w:rsid w:val="00B414A9"/>
    <w:rsid w:val="00B41823"/>
    <w:rsid w:val="00B41F2F"/>
    <w:rsid w:val="00B422EB"/>
    <w:rsid w:val="00B44927"/>
    <w:rsid w:val="00B44F6E"/>
    <w:rsid w:val="00B45030"/>
    <w:rsid w:val="00B45C5A"/>
    <w:rsid w:val="00B45EAA"/>
    <w:rsid w:val="00B45F21"/>
    <w:rsid w:val="00B4669E"/>
    <w:rsid w:val="00B46FF8"/>
    <w:rsid w:val="00B47D09"/>
    <w:rsid w:val="00B52D04"/>
    <w:rsid w:val="00B55224"/>
    <w:rsid w:val="00B554B2"/>
    <w:rsid w:val="00B5598E"/>
    <w:rsid w:val="00B567FC"/>
    <w:rsid w:val="00B57D7A"/>
    <w:rsid w:val="00B57FB1"/>
    <w:rsid w:val="00B6075A"/>
    <w:rsid w:val="00B6105C"/>
    <w:rsid w:val="00B6159D"/>
    <w:rsid w:val="00B61A44"/>
    <w:rsid w:val="00B6213B"/>
    <w:rsid w:val="00B62603"/>
    <w:rsid w:val="00B63770"/>
    <w:rsid w:val="00B640FF"/>
    <w:rsid w:val="00B641FA"/>
    <w:rsid w:val="00B64D91"/>
    <w:rsid w:val="00B656F6"/>
    <w:rsid w:val="00B65FDD"/>
    <w:rsid w:val="00B6656C"/>
    <w:rsid w:val="00B66636"/>
    <w:rsid w:val="00B672AA"/>
    <w:rsid w:val="00B67994"/>
    <w:rsid w:val="00B7066B"/>
    <w:rsid w:val="00B71A87"/>
    <w:rsid w:val="00B71E9F"/>
    <w:rsid w:val="00B720B5"/>
    <w:rsid w:val="00B72254"/>
    <w:rsid w:val="00B73239"/>
    <w:rsid w:val="00B73308"/>
    <w:rsid w:val="00B737B6"/>
    <w:rsid w:val="00B738F0"/>
    <w:rsid w:val="00B73F7B"/>
    <w:rsid w:val="00B7420B"/>
    <w:rsid w:val="00B75BF2"/>
    <w:rsid w:val="00B775BB"/>
    <w:rsid w:val="00B77922"/>
    <w:rsid w:val="00B80163"/>
    <w:rsid w:val="00B80708"/>
    <w:rsid w:val="00B80B0C"/>
    <w:rsid w:val="00B81820"/>
    <w:rsid w:val="00B83813"/>
    <w:rsid w:val="00B843CA"/>
    <w:rsid w:val="00B84F7A"/>
    <w:rsid w:val="00B85A1A"/>
    <w:rsid w:val="00B85DD1"/>
    <w:rsid w:val="00B87AF2"/>
    <w:rsid w:val="00B9010D"/>
    <w:rsid w:val="00B9014B"/>
    <w:rsid w:val="00B90BA1"/>
    <w:rsid w:val="00B948EC"/>
    <w:rsid w:val="00B95BBE"/>
    <w:rsid w:val="00B9606F"/>
    <w:rsid w:val="00B96A9A"/>
    <w:rsid w:val="00BA0DBC"/>
    <w:rsid w:val="00BA1160"/>
    <w:rsid w:val="00BA162B"/>
    <w:rsid w:val="00BA2DF2"/>
    <w:rsid w:val="00BA4A05"/>
    <w:rsid w:val="00BA4DA5"/>
    <w:rsid w:val="00BA659E"/>
    <w:rsid w:val="00BA65CC"/>
    <w:rsid w:val="00BB1408"/>
    <w:rsid w:val="00BB1C2F"/>
    <w:rsid w:val="00BB4C93"/>
    <w:rsid w:val="00BB505B"/>
    <w:rsid w:val="00BB5069"/>
    <w:rsid w:val="00BB5098"/>
    <w:rsid w:val="00BB5149"/>
    <w:rsid w:val="00BB53C1"/>
    <w:rsid w:val="00BB5B2C"/>
    <w:rsid w:val="00BB61C4"/>
    <w:rsid w:val="00BB6B65"/>
    <w:rsid w:val="00BB6BC6"/>
    <w:rsid w:val="00BB74E8"/>
    <w:rsid w:val="00BB7D06"/>
    <w:rsid w:val="00BC06ED"/>
    <w:rsid w:val="00BC0B70"/>
    <w:rsid w:val="00BC1F79"/>
    <w:rsid w:val="00BC24C5"/>
    <w:rsid w:val="00BC26A9"/>
    <w:rsid w:val="00BC2700"/>
    <w:rsid w:val="00BC3A5C"/>
    <w:rsid w:val="00BC4029"/>
    <w:rsid w:val="00BC5114"/>
    <w:rsid w:val="00BC5D74"/>
    <w:rsid w:val="00BC6797"/>
    <w:rsid w:val="00BC68D0"/>
    <w:rsid w:val="00BC6DFA"/>
    <w:rsid w:val="00BC77C6"/>
    <w:rsid w:val="00BC7BB5"/>
    <w:rsid w:val="00BD013A"/>
    <w:rsid w:val="00BD0FE0"/>
    <w:rsid w:val="00BD1B7A"/>
    <w:rsid w:val="00BD2355"/>
    <w:rsid w:val="00BD2C04"/>
    <w:rsid w:val="00BD32FD"/>
    <w:rsid w:val="00BD37F5"/>
    <w:rsid w:val="00BD4363"/>
    <w:rsid w:val="00BD49D8"/>
    <w:rsid w:val="00BD64F7"/>
    <w:rsid w:val="00BD6D60"/>
    <w:rsid w:val="00BD7102"/>
    <w:rsid w:val="00BD723C"/>
    <w:rsid w:val="00BD7A0C"/>
    <w:rsid w:val="00BD7C3D"/>
    <w:rsid w:val="00BE02E4"/>
    <w:rsid w:val="00BE0BA2"/>
    <w:rsid w:val="00BE0C11"/>
    <w:rsid w:val="00BE1A29"/>
    <w:rsid w:val="00BE5258"/>
    <w:rsid w:val="00BE54AF"/>
    <w:rsid w:val="00BE7314"/>
    <w:rsid w:val="00BE76F9"/>
    <w:rsid w:val="00BF0FB2"/>
    <w:rsid w:val="00BF1873"/>
    <w:rsid w:val="00BF21EE"/>
    <w:rsid w:val="00BF28AC"/>
    <w:rsid w:val="00BF4CA4"/>
    <w:rsid w:val="00BF4D5A"/>
    <w:rsid w:val="00BF559C"/>
    <w:rsid w:val="00BF5C2F"/>
    <w:rsid w:val="00BF6675"/>
    <w:rsid w:val="00BF7B6D"/>
    <w:rsid w:val="00C01969"/>
    <w:rsid w:val="00C0217E"/>
    <w:rsid w:val="00C02CF6"/>
    <w:rsid w:val="00C03A23"/>
    <w:rsid w:val="00C0488F"/>
    <w:rsid w:val="00C04EFC"/>
    <w:rsid w:val="00C050FF"/>
    <w:rsid w:val="00C05506"/>
    <w:rsid w:val="00C05BB5"/>
    <w:rsid w:val="00C05C8E"/>
    <w:rsid w:val="00C05D57"/>
    <w:rsid w:val="00C06971"/>
    <w:rsid w:val="00C07101"/>
    <w:rsid w:val="00C07745"/>
    <w:rsid w:val="00C110FC"/>
    <w:rsid w:val="00C12704"/>
    <w:rsid w:val="00C145CF"/>
    <w:rsid w:val="00C1525E"/>
    <w:rsid w:val="00C15D85"/>
    <w:rsid w:val="00C16E73"/>
    <w:rsid w:val="00C20105"/>
    <w:rsid w:val="00C213BE"/>
    <w:rsid w:val="00C2165F"/>
    <w:rsid w:val="00C21A75"/>
    <w:rsid w:val="00C22F4B"/>
    <w:rsid w:val="00C244DD"/>
    <w:rsid w:val="00C2461E"/>
    <w:rsid w:val="00C24B4A"/>
    <w:rsid w:val="00C24CF7"/>
    <w:rsid w:val="00C2526E"/>
    <w:rsid w:val="00C25F45"/>
    <w:rsid w:val="00C2756A"/>
    <w:rsid w:val="00C27FE9"/>
    <w:rsid w:val="00C30F50"/>
    <w:rsid w:val="00C3154E"/>
    <w:rsid w:val="00C3242E"/>
    <w:rsid w:val="00C324B1"/>
    <w:rsid w:val="00C3472A"/>
    <w:rsid w:val="00C34D4C"/>
    <w:rsid w:val="00C35567"/>
    <w:rsid w:val="00C37270"/>
    <w:rsid w:val="00C37754"/>
    <w:rsid w:val="00C37850"/>
    <w:rsid w:val="00C37AD2"/>
    <w:rsid w:val="00C37D25"/>
    <w:rsid w:val="00C37EAB"/>
    <w:rsid w:val="00C37FD8"/>
    <w:rsid w:val="00C40961"/>
    <w:rsid w:val="00C414DC"/>
    <w:rsid w:val="00C41784"/>
    <w:rsid w:val="00C423FE"/>
    <w:rsid w:val="00C42945"/>
    <w:rsid w:val="00C42D95"/>
    <w:rsid w:val="00C43495"/>
    <w:rsid w:val="00C4392A"/>
    <w:rsid w:val="00C44DFE"/>
    <w:rsid w:val="00C464B2"/>
    <w:rsid w:val="00C4696D"/>
    <w:rsid w:val="00C516C5"/>
    <w:rsid w:val="00C518FC"/>
    <w:rsid w:val="00C5208D"/>
    <w:rsid w:val="00C52C99"/>
    <w:rsid w:val="00C52FA1"/>
    <w:rsid w:val="00C53510"/>
    <w:rsid w:val="00C55036"/>
    <w:rsid w:val="00C56CF8"/>
    <w:rsid w:val="00C57B01"/>
    <w:rsid w:val="00C616FA"/>
    <w:rsid w:val="00C62263"/>
    <w:rsid w:val="00C62395"/>
    <w:rsid w:val="00C627EF"/>
    <w:rsid w:val="00C648F7"/>
    <w:rsid w:val="00C65746"/>
    <w:rsid w:val="00C65B20"/>
    <w:rsid w:val="00C65C64"/>
    <w:rsid w:val="00C65D7D"/>
    <w:rsid w:val="00C65F5C"/>
    <w:rsid w:val="00C66A02"/>
    <w:rsid w:val="00C71E3E"/>
    <w:rsid w:val="00C723AC"/>
    <w:rsid w:val="00C72C5E"/>
    <w:rsid w:val="00C7313B"/>
    <w:rsid w:val="00C73CF0"/>
    <w:rsid w:val="00C749CD"/>
    <w:rsid w:val="00C74CCA"/>
    <w:rsid w:val="00C74D2C"/>
    <w:rsid w:val="00C7626F"/>
    <w:rsid w:val="00C76D2B"/>
    <w:rsid w:val="00C77867"/>
    <w:rsid w:val="00C77DB3"/>
    <w:rsid w:val="00C80BF4"/>
    <w:rsid w:val="00C82628"/>
    <w:rsid w:val="00C8262D"/>
    <w:rsid w:val="00C83346"/>
    <w:rsid w:val="00C83B87"/>
    <w:rsid w:val="00C83DF9"/>
    <w:rsid w:val="00C8414C"/>
    <w:rsid w:val="00C845B2"/>
    <w:rsid w:val="00C850D8"/>
    <w:rsid w:val="00C865D3"/>
    <w:rsid w:val="00C86BD3"/>
    <w:rsid w:val="00C86C4E"/>
    <w:rsid w:val="00C902A6"/>
    <w:rsid w:val="00C903D6"/>
    <w:rsid w:val="00C90BAB"/>
    <w:rsid w:val="00C9191E"/>
    <w:rsid w:val="00C94370"/>
    <w:rsid w:val="00C94423"/>
    <w:rsid w:val="00C9477C"/>
    <w:rsid w:val="00C94BF7"/>
    <w:rsid w:val="00C963D3"/>
    <w:rsid w:val="00C96F80"/>
    <w:rsid w:val="00CA1E1F"/>
    <w:rsid w:val="00CA2969"/>
    <w:rsid w:val="00CA2C03"/>
    <w:rsid w:val="00CA2F57"/>
    <w:rsid w:val="00CA341A"/>
    <w:rsid w:val="00CA35D9"/>
    <w:rsid w:val="00CA4D06"/>
    <w:rsid w:val="00CA4EFA"/>
    <w:rsid w:val="00CA71AA"/>
    <w:rsid w:val="00CB07AA"/>
    <w:rsid w:val="00CB1443"/>
    <w:rsid w:val="00CB357A"/>
    <w:rsid w:val="00CB390D"/>
    <w:rsid w:val="00CB399F"/>
    <w:rsid w:val="00CB43A3"/>
    <w:rsid w:val="00CB471A"/>
    <w:rsid w:val="00CB4A99"/>
    <w:rsid w:val="00CB512F"/>
    <w:rsid w:val="00CB60AB"/>
    <w:rsid w:val="00CB7F87"/>
    <w:rsid w:val="00CC0AD2"/>
    <w:rsid w:val="00CC1C5E"/>
    <w:rsid w:val="00CC1CD0"/>
    <w:rsid w:val="00CC2781"/>
    <w:rsid w:val="00CC2793"/>
    <w:rsid w:val="00CC279B"/>
    <w:rsid w:val="00CC2ED3"/>
    <w:rsid w:val="00CC4A2A"/>
    <w:rsid w:val="00CC4A30"/>
    <w:rsid w:val="00CC56C2"/>
    <w:rsid w:val="00CC5A59"/>
    <w:rsid w:val="00CC5B53"/>
    <w:rsid w:val="00CC6B40"/>
    <w:rsid w:val="00CC76C2"/>
    <w:rsid w:val="00CD040A"/>
    <w:rsid w:val="00CD0AED"/>
    <w:rsid w:val="00CD1B77"/>
    <w:rsid w:val="00CD2331"/>
    <w:rsid w:val="00CD474E"/>
    <w:rsid w:val="00CD4CEE"/>
    <w:rsid w:val="00CD4F2C"/>
    <w:rsid w:val="00CD5FBB"/>
    <w:rsid w:val="00CE08C1"/>
    <w:rsid w:val="00CE3941"/>
    <w:rsid w:val="00CE680E"/>
    <w:rsid w:val="00CE6A17"/>
    <w:rsid w:val="00CE6DD0"/>
    <w:rsid w:val="00CE7174"/>
    <w:rsid w:val="00CE7B4F"/>
    <w:rsid w:val="00CE7D56"/>
    <w:rsid w:val="00CF00C9"/>
    <w:rsid w:val="00CF0A5C"/>
    <w:rsid w:val="00CF10A7"/>
    <w:rsid w:val="00CF1801"/>
    <w:rsid w:val="00CF260B"/>
    <w:rsid w:val="00CF35D3"/>
    <w:rsid w:val="00CF4F6A"/>
    <w:rsid w:val="00CF5384"/>
    <w:rsid w:val="00CF5A69"/>
    <w:rsid w:val="00CF70F9"/>
    <w:rsid w:val="00D016E3"/>
    <w:rsid w:val="00D01BB6"/>
    <w:rsid w:val="00D028CB"/>
    <w:rsid w:val="00D03C18"/>
    <w:rsid w:val="00D04238"/>
    <w:rsid w:val="00D04E49"/>
    <w:rsid w:val="00D058EA"/>
    <w:rsid w:val="00D06FE4"/>
    <w:rsid w:val="00D07D18"/>
    <w:rsid w:val="00D10396"/>
    <w:rsid w:val="00D11140"/>
    <w:rsid w:val="00D12F1D"/>
    <w:rsid w:val="00D13278"/>
    <w:rsid w:val="00D13B55"/>
    <w:rsid w:val="00D1402A"/>
    <w:rsid w:val="00D14192"/>
    <w:rsid w:val="00D1434B"/>
    <w:rsid w:val="00D148BE"/>
    <w:rsid w:val="00D14D39"/>
    <w:rsid w:val="00D1530F"/>
    <w:rsid w:val="00D157A3"/>
    <w:rsid w:val="00D15D57"/>
    <w:rsid w:val="00D1637E"/>
    <w:rsid w:val="00D16621"/>
    <w:rsid w:val="00D21B84"/>
    <w:rsid w:val="00D21EDA"/>
    <w:rsid w:val="00D22168"/>
    <w:rsid w:val="00D22ACC"/>
    <w:rsid w:val="00D22C8B"/>
    <w:rsid w:val="00D230D9"/>
    <w:rsid w:val="00D23364"/>
    <w:rsid w:val="00D23419"/>
    <w:rsid w:val="00D25BDA"/>
    <w:rsid w:val="00D26847"/>
    <w:rsid w:val="00D26975"/>
    <w:rsid w:val="00D32B7B"/>
    <w:rsid w:val="00D32BF2"/>
    <w:rsid w:val="00D32DCE"/>
    <w:rsid w:val="00D33D55"/>
    <w:rsid w:val="00D34282"/>
    <w:rsid w:val="00D36B76"/>
    <w:rsid w:val="00D412DD"/>
    <w:rsid w:val="00D4223D"/>
    <w:rsid w:val="00D427AB"/>
    <w:rsid w:val="00D43533"/>
    <w:rsid w:val="00D43DF8"/>
    <w:rsid w:val="00D44A57"/>
    <w:rsid w:val="00D44E02"/>
    <w:rsid w:val="00D450F1"/>
    <w:rsid w:val="00D452F6"/>
    <w:rsid w:val="00D45581"/>
    <w:rsid w:val="00D47110"/>
    <w:rsid w:val="00D473AF"/>
    <w:rsid w:val="00D4799D"/>
    <w:rsid w:val="00D507C5"/>
    <w:rsid w:val="00D50BD1"/>
    <w:rsid w:val="00D518F5"/>
    <w:rsid w:val="00D51A17"/>
    <w:rsid w:val="00D52419"/>
    <w:rsid w:val="00D52980"/>
    <w:rsid w:val="00D5347E"/>
    <w:rsid w:val="00D535C9"/>
    <w:rsid w:val="00D53A17"/>
    <w:rsid w:val="00D551A2"/>
    <w:rsid w:val="00D55986"/>
    <w:rsid w:val="00D560AB"/>
    <w:rsid w:val="00D57C26"/>
    <w:rsid w:val="00D60280"/>
    <w:rsid w:val="00D62281"/>
    <w:rsid w:val="00D6236A"/>
    <w:rsid w:val="00D624A2"/>
    <w:rsid w:val="00D6284D"/>
    <w:rsid w:val="00D62AC0"/>
    <w:rsid w:val="00D62E71"/>
    <w:rsid w:val="00D6528B"/>
    <w:rsid w:val="00D665FA"/>
    <w:rsid w:val="00D666A3"/>
    <w:rsid w:val="00D66C2B"/>
    <w:rsid w:val="00D67363"/>
    <w:rsid w:val="00D70B72"/>
    <w:rsid w:val="00D70FC0"/>
    <w:rsid w:val="00D71165"/>
    <w:rsid w:val="00D7255B"/>
    <w:rsid w:val="00D73C71"/>
    <w:rsid w:val="00D73E62"/>
    <w:rsid w:val="00D752D9"/>
    <w:rsid w:val="00D762A2"/>
    <w:rsid w:val="00D776F9"/>
    <w:rsid w:val="00D7792B"/>
    <w:rsid w:val="00D801EA"/>
    <w:rsid w:val="00D80641"/>
    <w:rsid w:val="00D8132E"/>
    <w:rsid w:val="00D8138D"/>
    <w:rsid w:val="00D822A6"/>
    <w:rsid w:val="00D82402"/>
    <w:rsid w:val="00D82808"/>
    <w:rsid w:val="00D8495C"/>
    <w:rsid w:val="00D84F62"/>
    <w:rsid w:val="00D8519B"/>
    <w:rsid w:val="00D8535E"/>
    <w:rsid w:val="00D859F1"/>
    <w:rsid w:val="00D85B5E"/>
    <w:rsid w:val="00D86B80"/>
    <w:rsid w:val="00D873E4"/>
    <w:rsid w:val="00D877E3"/>
    <w:rsid w:val="00D87E9F"/>
    <w:rsid w:val="00D9152C"/>
    <w:rsid w:val="00D9201B"/>
    <w:rsid w:val="00D921E8"/>
    <w:rsid w:val="00D921EC"/>
    <w:rsid w:val="00D92D52"/>
    <w:rsid w:val="00D93430"/>
    <w:rsid w:val="00D94439"/>
    <w:rsid w:val="00D9486B"/>
    <w:rsid w:val="00D948FD"/>
    <w:rsid w:val="00D94926"/>
    <w:rsid w:val="00D94B9F"/>
    <w:rsid w:val="00D95503"/>
    <w:rsid w:val="00D9553E"/>
    <w:rsid w:val="00D95698"/>
    <w:rsid w:val="00D95776"/>
    <w:rsid w:val="00D95B08"/>
    <w:rsid w:val="00D95F9B"/>
    <w:rsid w:val="00D9676C"/>
    <w:rsid w:val="00D96B25"/>
    <w:rsid w:val="00D96CEC"/>
    <w:rsid w:val="00D9748F"/>
    <w:rsid w:val="00DA0F11"/>
    <w:rsid w:val="00DA13FB"/>
    <w:rsid w:val="00DA218F"/>
    <w:rsid w:val="00DA220F"/>
    <w:rsid w:val="00DA29FB"/>
    <w:rsid w:val="00DA2DF2"/>
    <w:rsid w:val="00DA326B"/>
    <w:rsid w:val="00DA3BF5"/>
    <w:rsid w:val="00DA4214"/>
    <w:rsid w:val="00DA5C2D"/>
    <w:rsid w:val="00DB0C09"/>
    <w:rsid w:val="00DB156D"/>
    <w:rsid w:val="00DB18F9"/>
    <w:rsid w:val="00DB1D06"/>
    <w:rsid w:val="00DB3C6D"/>
    <w:rsid w:val="00DB68CB"/>
    <w:rsid w:val="00DB6912"/>
    <w:rsid w:val="00DB7E5E"/>
    <w:rsid w:val="00DC0A94"/>
    <w:rsid w:val="00DC0FE6"/>
    <w:rsid w:val="00DC1086"/>
    <w:rsid w:val="00DC4D2B"/>
    <w:rsid w:val="00DC5617"/>
    <w:rsid w:val="00DC5DFD"/>
    <w:rsid w:val="00DC5FF5"/>
    <w:rsid w:val="00DC689D"/>
    <w:rsid w:val="00DC6A3C"/>
    <w:rsid w:val="00DC7CFE"/>
    <w:rsid w:val="00DD061C"/>
    <w:rsid w:val="00DD0D1E"/>
    <w:rsid w:val="00DD11B0"/>
    <w:rsid w:val="00DD1730"/>
    <w:rsid w:val="00DD1EA4"/>
    <w:rsid w:val="00DD2887"/>
    <w:rsid w:val="00DD2B07"/>
    <w:rsid w:val="00DD2B47"/>
    <w:rsid w:val="00DD3BFE"/>
    <w:rsid w:val="00DD40E5"/>
    <w:rsid w:val="00DD43E2"/>
    <w:rsid w:val="00DD4705"/>
    <w:rsid w:val="00DD48DE"/>
    <w:rsid w:val="00DD4A5F"/>
    <w:rsid w:val="00DD5AF2"/>
    <w:rsid w:val="00DD5CA6"/>
    <w:rsid w:val="00DD65B1"/>
    <w:rsid w:val="00DD6897"/>
    <w:rsid w:val="00DD68E7"/>
    <w:rsid w:val="00DD6BA8"/>
    <w:rsid w:val="00DD6C4F"/>
    <w:rsid w:val="00DD7544"/>
    <w:rsid w:val="00DD7E47"/>
    <w:rsid w:val="00DE0DAC"/>
    <w:rsid w:val="00DE1054"/>
    <w:rsid w:val="00DE2EF7"/>
    <w:rsid w:val="00DE387F"/>
    <w:rsid w:val="00DE4934"/>
    <w:rsid w:val="00DE58A2"/>
    <w:rsid w:val="00DE5B18"/>
    <w:rsid w:val="00DE6890"/>
    <w:rsid w:val="00DE69BA"/>
    <w:rsid w:val="00DE7350"/>
    <w:rsid w:val="00DE77B5"/>
    <w:rsid w:val="00DF015A"/>
    <w:rsid w:val="00DF0162"/>
    <w:rsid w:val="00DF0756"/>
    <w:rsid w:val="00DF07F3"/>
    <w:rsid w:val="00DF1403"/>
    <w:rsid w:val="00DF1953"/>
    <w:rsid w:val="00DF232B"/>
    <w:rsid w:val="00DF24EE"/>
    <w:rsid w:val="00DF281A"/>
    <w:rsid w:val="00DF325C"/>
    <w:rsid w:val="00DF3C5C"/>
    <w:rsid w:val="00DF69D0"/>
    <w:rsid w:val="00DF71CA"/>
    <w:rsid w:val="00DF7330"/>
    <w:rsid w:val="00DF7DA8"/>
    <w:rsid w:val="00E002E7"/>
    <w:rsid w:val="00E00539"/>
    <w:rsid w:val="00E00AB8"/>
    <w:rsid w:val="00E029D6"/>
    <w:rsid w:val="00E03960"/>
    <w:rsid w:val="00E0463E"/>
    <w:rsid w:val="00E04EE7"/>
    <w:rsid w:val="00E051FF"/>
    <w:rsid w:val="00E06CB9"/>
    <w:rsid w:val="00E075D6"/>
    <w:rsid w:val="00E119E6"/>
    <w:rsid w:val="00E11A7D"/>
    <w:rsid w:val="00E11AD5"/>
    <w:rsid w:val="00E146A1"/>
    <w:rsid w:val="00E147F5"/>
    <w:rsid w:val="00E14A64"/>
    <w:rsid w:val="00E15196"/>
    <w:rsid w:val="00E16A86"/>
    <w:rsid w:val="00E16A8E"/>
    <w:rsid w:val="00E17356"/>
    <w:rsid w:val="00E200E1"/>
    <w:rsid w:val="00E2095F"/>
    <w:rsid w:val="00E20F9D"/>
    <w:rsid w:val="00E2113C"/>
    <w:rsid w:val="00E2125E"/>
    <w:rsid w:val="00E212F5"/>
    <w:rsid w:val="00E2194F"/>
    <w:rsid w:val="00E21988"/>
    <w:rsid w:val="00E22558"/>
    <w:rsid w:val="00E233DA"/>
    <w:rsid w:val="00E235A7"/>
    <w:rsid w:val="00E23C21"/>
    <w:rsid w:val="00E24635"/>
    <w:rsid w:val="00E25001"/>
    <w:rsid w:val="00E26601"/>
    <w:rsid w:val="00E267C5"/>
    <w:rsid w:val="00E2714A"/>
    <w:rsid w:val="00E27A43"/>
    <w:rsid w:val="00E3028E"/>
    <w:rsid w:val="00E304E2"/>
    <w:rsid w:val="00E3105C"/>
    <w:rsid w:val="00E311B7"/>
    <w:rsid w:val="00E319AD"/>
    <w:rsid w:val="00E32193"/>
    <w:rsid w:val="00E32C6C"/>
    <w:rsid w:val="00E334CB"/>
    <w:rsid w:val="00E34096"/>
    <w:rsid w:val="00E34454"/>
    <w:rsid w:val="00E36212"/>
    <w:rsid w:val="00E362C6"/>
    <w:rsid w:val="00E36563"/>
    <w:rsid w:val="00E367CE"/>
    <w:rsid w:val="00E42A76"/>
    <w:rsid w:val="00E4359F"/>
    <w:rsid w:val="00E4476F"/>
    <w:rsid w:val="00E46843"/>
    <w:rsid w:val="00E46900"/>
    <w:rsid w:val="00E46C5D"/>
    <w:rsid w:val="00E47DE5"/>
    <w:rsid w:val="00E50C64"/>
    <w:rsid w:val="00E517E0"/>
    <w:rsid w:val="00E51E10"/>
    <w:rsid w:val="00E527CD"/>
    <w:rsid w:val="00E52B5C"/>
    <w:rsid w:val="00E541EA"/>
    <w:rsid w:val="00E55BDB"/>
    <w:rsid w:val="00E56A75"/>
    <w:rsid w:val="00E5744D"/>
    <w:rsid w:val="00E611E9"/>
    <w:rsid w:val="00E618AE"/>
    <w:rsid w:val="00E62C16"/>
    <w:rsid w:val="00E62CA5"/>
    <w:rsid w:val="00E62F36"/>
    <w:rsid w:val="00E64A77"/>
    <w:rsid w:val="00E65842"/>
    <w:rsid w:val="00E66670"/>
    <w:rsid w:val="00E66AF3"/>
    <w:rsid w:val="00E67E7E"/>
    <w:rsid w:val="00E70410"/>
    <w:rsid w:val="00E7172C"/>
    <w:rsid w:val="00E71CEE"/>
    <w:rsid w:val="00E7275E"/>
    <w:rsid w:val="00E72E45"/>
    <w:rsid w:val="00E73F9C"/>
    <w:rsid w:val="00E75826"/>
    <w:rsid w:val="00E75AD3"/>
    <w:rsid w:val="00E76D52"/>
    <w:rsid w:val="00E77225"/>
    <w:rsid w:val="00E80B88"/>
    <w:rsid w:val="00E80E0E"/>
    <w:rsid w:val="00E8136B"/>
    <w:rsid w:val="00E814AC"/>
    <w:rsid w:val="00E817A3"/>
    <w:rsid w:val="00E82087"/>
    <w:rsid w:val="00E82A65"/>
    <w:rsid w:val="00E82CF2"/>
    <w:rsid w:val="00E84B86"/>
    <w:rsid w:val="00E84BB6"/>
    <w:rsid w:val="00E866ED"/>
    <w:rsid w:val="00E86C1C"/>
    <w:rsid w:val="00E87A60"/>
    <w:rsid w:val="00E87FB3"/>
    <w:rsid w:val="00E9039E"/>
    <w:rsid w:val="00E914BB"/>
    <w:rsid w:val="00E922EB"/>
    <w:rsid w:val="00E93DB4"/>
    <w:rsid w:val="00E9463A"/>
    <w:rsid w:val="00E94F6B"/>
    <w:rsid w:val="00E95214"/>
    <w:rsid w:val="00E95722"/>
    <w:rsid w:val="00E95E60"/>
    <w:rsid w:val="00E96257"/>
    <w:rsid w:val="00E970FE"/>
    <w:rsid w:val="00E97451"/>
    <w:rsid w:val="00E97D29"/>
    <w:rsid w:val="00EA1FF1"/>
    <w:rsid w:val="00EA299A"/>
    <w:rsid w:val="00EA2E60"/>
    <w:rsid w:val="00EA3DCC"/>
    <w:rsid w:val="00EA4ACE"/>
    <w:rsid w:val="00EA4B8A"/>
    <w:rsid w:val="00EA4F4F"/>
    <w:rsid w:val="00EA595D"/>
    <w:rsid w:val="00EB0135"/>
    <w:rsid w:val="00EB0211"/>
    <w:rsid w:val="00EB05D6"/>
    <w:rsid w:val="00EB07C6"/>
    <w:rsid w:val="00EB1422"/>
    <w:rsid w:val="00EB2212"/>
    <w:rsid w:val="00EB26F9"/>
    <w:rsid w:val="00EB2AF5"/>
    <w:rsid w:val="00EB2C93"/>
    <w:rsid w:val="00EB2FE5"/>
    <w:rsid w:val="00EB37AA"/>
    <w:rsid w:val="00EB4BBE"/>
    <w:rsid w:val="00EB7144"/>
    <w:rsid w:val="00EB7BDD"/>
    <w:rsid w:val="00EC0349"/>
    <w:rsid w:val="00EC0483"/>
    <w:rsid w:val="00EC151B"/>
    <w:rsid w:val="00EC1AB7"/>
    <w:rsid w:val="00EC2409"/>
    <w:rsid w:val="00EC27A1"/>
    <w:rsid w:val="00EC29C4"/>
    <w:rsid w:val="00EC2A4E"/>
    <w:rsid w:val="00EC4779"/>
    <w:rsid w:val="00EC5A41"/>
    <w:rsid w:val="00EC5B72"/>
    <w:rsid w:val="00EC62CF"/>
    <w:rsid w:val="00EC66FD"/>
    <w:rsid w:val="00EC7F5F"/>
    <w:rsid w:val="00ED00AB"/>
    <w:rsid w:val="00ED07E9"/>
    <w:rsid w:val="00ED31C1"/>
    <w:rsid w:val="00ED346B"/>
    <w:rsid w:val="00ED3801"/>
    <w:rsid w:val="00ED4679"/>
    <w:rsid w:val="00ED46A8"/>
    <w:rsid w:val="00ED4B55"/>
    <w:rsid w:val="00ED4D97"/>
    <w:rsid w:val="00ED5445"/>
    <w:rsid w:val="00ED5974"/>
    <w:rsid w:val="00ED5E42"/>
    <w:rsid w:val="00ED6C9F"/>
    <w:rsid w:val="00ED72A2"/>
    <w:rsid w:val="00ED7B98"/>
    <w:rsid w:val="00EE0015"/>
    <w:rsid w:val="00EE3910"/>
    <w:rsid w:val="00EE3C60"/>
    <w:rsid w:val="00EE4A98"/>
    <w:rsid w:val="00EE50E2"/>
    <w:rsid w:val="00EE66F6"/>
    <w:rsid w:val="00EF1DEC"/>
    <w:rsid w:val="00EF1E8A"/>
    <w:rsid w:val="00EF2CFA"/>
    <w:rsid w:val="00EF4621"/>
    <w:rsid w:val="00EF5885"/>
    <w:rsid w:val="00EF5AD6"/>
    <w:rsid w:val="00EF5BD3"/>
    <w:rsid w:val="00EF6D6C"/>
    <w:rsid w:val="00EF7BD0"/>
    <w:rsid w:val="00EF7F67"/>
    <w:rsid w:val="00F00AD0"/>
    <w:rsid w:val="00F01579"/>
    <w:rsid w:val="00F02F95"/>
    <w:rsid w:val="00F035B4"/>
    <w:rsid w:val="00F0433F"/>
    <w:rsid w:val="00F046BF"/>
    <w:rsid w:val="00F046D1"/>
    <w:rsid w:val="00F04D47"/>
    <w:rsid w:val="00F07470"/>
    <w:rsid w:val="00F07DE5"/>
    <w:rsid w:val="00F1089B"/>
    <w:rsid w:val="00F12C00"/>
    <w:rsid w:val="00F1342C"/>
    <w:rsid w:val="00F1355A"/>
    <w:rsid w:val="00F14D77"/>
    <w:rsid w:val="00F14FBA"/>
    <w:rsid w:val="00F1551D"/>
    <w:rsid w:val="00F20464"/>
    <w:rsid w:val="00F2085A"/>
    <w:rsid w:val="00F20CBD"/>
    <w:rsid w:val="00F21691"/>
    <w:rsid w:val="00F21C35"/>
    <w:rsid w:val="00F22450"/>
    <w:rsid w:val="00F23C6B"/>
    <w:rsid w:val="00F24DD0"/>
    <w:rsid w:val="00F24EC1"/>
    <w:rsid w:val="00F255AE"/>
    <w:rsid w:val="00F26CAA"/>
    <w:rsid w:val="00F2710F"/>
    <w:rsid w:val="00F278F9"/>
    <w:rsid w:val="00F27A12"/>
    <w:rsid w:val="00F30200"/>
    <w:rsid w:val="00F30B5E"/>
    <w:rsid w:val="00F32DCE"/>
    <w:rsid w:val="00F32DF7"/>
    <w:rsid w:val="00F33614"/>
    <w:rsid w:val="00F33B66"/>
    <w:rsid w:val="00F33B92"/>
    <w:rsid w:val="00F33C2A"/>
    <w:rsid w:val="00F35AC9"/>
    <w:rsid w:val="00F35C18"/>
    <w:rsid w:val="00F364E5"/>
    <w:rsid w:val="00F3650B"/>
    <w:rsid w:val="00F36544"/>
    <w:rsid w:val="00F36E44"/>
    <w:rsid w:val="00F37A9A"/>
    <w:rsid w:val="00F40EB7"/>
    <w:rsid w:val="00F41EFC"/>
    <w:rsid w:val="00F42B8C"/>
    <w:rsid w:val="00F42CBD"/>
    <w:rsid w:val="00F43A2A"/>
    <w:rsid w:val="00F43C47"/>
    <w:rsid w:val="00F450E9"/>
    <w:rsid w:val="00F463C9"/>
    <w:rsid w:val="00F46E44"/>
    <w:rsid w:val="00F47017"/>
    <w:rsid w:val="00F474E0"/>
    <w:rsid w:val="00F476A3"/>
    <w:rsid w:val="00F500A8"/>
    <w:rsid w:val="00F517EA"/>
    <w:rsid w:val="00F51BFF"/>
    <w:rsid w:val="00F521E4"/>
    <w:rsid w:val="00F52889"/>
    <w:rsid w:val="00F5294B"/>
    <w:rsid w:val="00F53A2F"/>
    <w:rsid w:val="00F561E8"/>
    <w:rsid w:val="00F56A37"/>
    <w:rsid w:val="00F56D8A"/>
    <w:rsid w:val="00F5759B"/>
    <w:rsid w:val="00F57DB8"/>
    <w:rsid w:val="00F602BF"/>
    <w:rsid w:val="00F60430"/>
    <w:rsid w:val="00F6147C"/>
    <w:rsid w:val="00F62133"/>
    <w:rsid w:val="00F6279D"/>
    <w:rsid w:val="00F62DD6"/>
    <w:rsid w:val="00F62F5B"/>
    <w:rsid w:val="00F6393E"/>
    <w:rsid w:val="00F63FA8"/>
    <w:rsid w:val="00F64AA6"/>
    <w:rsid w:val="00F66376"/>
    <w:rsid w:val="00F66A24"/>
    <w:rsid w:val="00F67B4F"/>
    <w:rsid w:val="00F67E92"/>
    <w:rsid w:val="00F70716"/>
    <w:rsid w:val="00F70FC6"/>
    <w:rsid w:val="00F71154"/>
    <w:rsid w:val="00F71B3B"/>
    <w:rsid w:val="00F73895"/>
    <w:rsid w:val="00F74F89"/>
    <w:rsid w:val="00F75838"/>
    <w:rsid w:val="00F75879"/>
    <w:rsid w:val="00F76045"/>
    <w:rsid w:val="00F76CFE"/>
    <w:rsid w:val="00F775EA"/>
    <w:rsid w:val="00F77BA7"/>
    <w:rsid w:val="00F80591"/>
    <w:rsid w:val="00F8081D"/>
    <w:rsid w:val="00F8126C"/>
    <w:rsid w:val="00F81E6F"/>
    <w:rsid w:val="00F825A6"/>
    <w:rsid w:val="00F8368C"/>
    <w:rsid w:val="00F83C91"/>
    <w:rsid w:val="00F8404F"/>
    <w:rsid w:val="00F8415F"/>
    <w:rsid w:val="00F84630"/>
    <w:rsid w:val="00F84941"/>
    <w:rsid w:val="00F85AAD"/>
    <w:rsid w:val="00F85CC9"/>
    <w:rsid w:val="00F8613E"/>
    <w:rsid w:val="00F87056"/>
    <w:rsid w:val="00F87972"/>
    <w:rsid w:val="00F90BD4"/>
    <w:rsid w:val="00F9174F"/>
    <w:rsid w:val="00F9292D"/>
    <w:rsid w:val="00F93402"/>
    <w:rsid w:val="00F94E02"/>
    <w:rsid w:val="00F95089"/>
    <w:rsid w:val="00F95A3D"/>
    <w:rsid w:val="00F95F91"/>
    <w:rsid w:val="00F969D3"/>
    <w:rsid w:val="00F96D64"/>
    <w:rsid w:val="00F97280"/>
    <w:rsid w:val="00F9756B"/>
    <w:rsid w:val="00F97882"/>
    <w:rsid w:val="00FA0BEB"/>
    <w:rsid w:val="00FA1667"/>
    <w:rsid w:val="00FA1FAE"/>
    <w:rsid w:val="00FA27AA"/>
    <w:rsid w:val="00FA2933"/>
    <w:rsid w:val="00FA2AF2"/>
    <w:rsid w:val="00FA3400"/>
    <w:rsid w:val="00FA3443"/>
    <w:rsid w:val="00FA3763"/>
    <w:rsid w:val="00FA3792"/>
    <w:rsid w:val="00FA4039"/>
    <w:rsid w:val="00FA4A18"/>
    <w:rsid w:val="00FA5A9F"/>
    <w:rsid w:val="00FA5CA1"/>
    <w:rsid w:val="00FA7089"/>
    <w:rsid w:val="00FA7808"/>
    <w:rsid w:val="00FA7839"/>
    <w:rsid w:val="00FA7BA9"/>
    <w:rsid w:val="00FA7C14"/>
    <w:rsid w:val="00FB08F3"/>
    <w:rsid w:val="00FB0BF8"/>
    <w:rsid w:val="00FB148E"/>
    <w:rsid w:val="00FB1E71"/>
    <w:rsid w:val="00FB2F82"/>
    <w:rsid w:val="00FB30D8"/>
    <w:rsid w:val="00FB315D"/>
    <w:rsid w:val="00FB3A15"/>
    <w:rsid w:val="00FB4144"/>
    <w:rsid w:val="00FB4889"/>
    <w:rsid w:val="00FB4CF1"/>
    <w:rsid w:val="00FB59D5"/>
    <w:rsid w:val="00FB68F0"/>
    <w:rsid w:val="00FB6A2D"/>
    <w:rsid w:val="00FB6D56"/>
    <w:rsid w:val="00FB76C7"/>
    <w:rsid w:val="00FC00B8"/>
    <w:rsid w:val="00FC0939"/>
    <w:rsid w:val="00FC0DFE"/>
    <w:rsid w:val="00FC2954"/>
    <w:rsid w:val="00FC2CC9"/>
    <w:rsid w:val="00FC3897"/>
    <w:rsid w:val="00FC4CAD"/>
    <w:rsid w:val="00FC5165"/>
    <w:rsid w:val="00FC5467"/>
    <w:rsid w:val="00FC6950"/>
    <w:rsid w:val="00FC76F3"/>
    <w:rsid w:val="00FC7790"/>
    <w:rsid w:val="00FD003E"/>
    <w:rsid w:val="00FD0558"/>
    <w:rsid w:val="00FD0647"/>
    <w:rsid w:val="00FD0706"/>
    <w:rsid w:val="00FD16BA"/>
    <w:rsid w:val="00FD1A2F"/>
    <w:rsid w:val="00FD2504"/>
    <w:rsid w:val="00FD4993"/>
    <w:rsid w:val="00FD49E3"/>
    <w:rsid w:val="00FD5039"/>
    <w:rsid w:val="00FD570B"/>
    <w:rsid w:val="00FD5C56"/>
    <w:rsid w:val="00FE030A"/>
    <w:rsid w:val="00FE17CB"/>
    <w:rsid w:val="00FE24B5"/>
    <w:rsid w:val="00FE2738"/>
    <w:rsid w:val="00FE2936"/>
    <w:rsid w:val="00FE489A"/>
    <w:rsid w:val="00FE4DD8"/>
    <w:rsid w:val="00FE4E03"/>
    <w:rsid w:val="00FE54ED"/>
    <w:rsid w:val="00FE64BB"/>
    <w:rsid w:val="00FE6D50"/>
    <w:rsid w:val="00FE6D62"/>
    <w:rsid w:val="00FF142A"/>
    <w:rsid w:val="00FF1F7A"/>
    <w:rsid w:val="00FF2027"/>
    <w:rsid w:val="00FF2130"/>
    <w:rsid w:val="00FF32FB"/>
    <w:rsid w:val="00FF3AC5"/>
    <w:rsid w:val="00FF3D21"/>
    <w:rsid w:val="00FF3EF9"/>
    <w:rsid w:val="00FF4223"/>
    <w:rsid w:val="00FF4613"/>
    <w:rsid w:val="00FF577F"/>
    <w:rsid w:val="00FF6E79"/>
    <w:rsid w:val="00FF7353"/>
    <w:rsid w:val="00FF7541"/>
    <w:rsid w:val="00FF7EE4"/>
    <w:rsid w:val="00FF7F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B2A003"/>
  <w15:docId w15:val="{3457FAFF-79BD-4E50-B5DA-6F62C9F38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67179"/>
  </w:style>
  <w:style w:type="paragraph" w:styleId="Heading1">
    <w:name w:val="heading 1"/>
    <w:basedOn w:val="Normal"/>
    <w:next w:val="Normal"/>
    <w:link w:val="Heading1Char"/>
    <w:qFormat/>
    <w:rsid w:val="00FF7EE4"/>
    <w:pPr>
      <w:keepNext/>
      <w:numPr>
        <w:numId w:val="2"/>
      </w:numPr>
      <w:spacing w:before="100" w:beforeAutospacing="1" w:after="120" w:line="240" w:lineRule="auto"/>
      <w:outlineLvl w:val="0"/>
    </w:pPr>
    <w:rPr>
      <w:rFonts w:ascii="Times New Roman Bold" w:eastAsia="Times New Roman" w:hAnsi="Times New Roman Bold" w:cs="Arial"/>
      <w:b/>
      <w:bCs/>
      <w:kern w:val="32"/>
      <w:sz w:val="24"/>
      <w:szCs w:val="32"/>
    </w:rPr>
  </w:style>
  <w:style w:type="paragraph" w:styleId="Heading2">
    <w:name w:val="heading 2"/>
    <w:basedOn w:val="Heading1"/>
    <w:next w:val="Normal"/>
    <w:link w:val="Heading2Char"/>
    <w:qFormat/>
    <w:rsid w:val="00FF7EE4"/>
    <w:pPr>
      <w:keepLines/>
      <w:numPr>
        <w:ilvl w:val="1"/>
      </w:numPr>
      <w:spacing w:after="0"/>
      <w:ind w:left="720"/>
      <w:outlineLvl w:val="1"/>
    </w:pPr>
    <w:rPr>
      <w:b w:val="0"/>
      <w:bCs w:val="0"/>
      <w:iCs/>
      <w:szCs w:val="28"/>
    </w:rPr>
  </w:style>
  <w:style w:type="paragraph" w:styleId="Heading3">
    <w:name w:val="heading 3"/>
    <w:basedOn w:val="Normal"/>
    <w:next w:val="Normal"/>
    <w:link w:val="Heading3Char"/>
    <w:qFormat/>
    <w:rsid w:val="00FF7EE4"/>
    <w:pPr>
      <w:keepNext/>
      <w:keepLines/>
      <w:numPr>
        <w:ilvl w:val="2"/>
        <w:numId w:val="2"/>
      </w:numPr>
      <w:spacing w:before="120" w:after="240" w:line="240" w:lineRule="auto"/>
      <w:outlineLvl w:val="2"/>
    </w:pPr>
    <w:rPr>
      <w:rFonts w:ascii="Times New Roman" w:eastAsia="Times New Roman" w:hAnsi="Times New Roman" w:cs="Arial"/>
      <w:b/>
      <w:bCs/>
      <w:sz w:val="24"/>
      <w:szCs w:val="26"/>
    </w:rPr>
  </w:style>
  <w:style w:type="paragraph" w:styleId="Heading4">
    <w:name w:val="heading 4"/>
    <w:basedOn w:val="Normal"/>
    <w:next w:val="Normal"/>
    <w:link w:val="Heading4Char"/>
    <w:qFormat/>
    <w:rsid w:val="00FF7EE4"/>
    <w:pPr>
      <w:keepNext/>
      <w:keepLines/>
      <w:numPr>
        <w:ilvl w:val="3"/>
        <w:numId w:val="2"/>
      </w:numPr>
      <w:spacing w:before="120" w:after="240" w:line="240" w:lineRule="auto"/>
      <w:outlineLvl w:val="3"/>
    </w:pPr>
    <w:rPr>
      <w:rFonts w:ascii="Times New Roman" w:eastAsia="Times New Roman" w:hAnsi="Times New Roman" w:cs="Times New Roman"/>
      <w:b/>
      <w:bCs/>
      <w:i/>
      <w:sz w:val="24"/>
      <w:szCs w:val="28"/>
    </w:rPr>
  </w:style>
  <w:style w:type="paragraph" w:styleId="Heading5">
    <w:name w:val="heading 5"/>
    <w:basedOn w:val="Normal"/>
    <w:next w:val="Normal"/>
    <w:link w:val="Heading5Char"/>
    <w:semiHidden/>
    <w:unhideWhenUsed/>
    <w:qFormat/>
    <w:rsid w:val="00FF7EE4"/>
    <w:pPr>
      <w:keepNext/>
      <w:keepLines/>
      <w:numPr>
        <w:ilvl w:val="4"/>
        <w:numId w:val="2"/>
      </w:numPr>
      <w:spacing w:before="200" w:after="0" w:line="240" w:lineRule="auto"/>
      <w:outlineLvl w:val="4"/>
    </w:pPr>
    <w:rPr>
      <w:rFonts w:asciiTheme="majorHAnsi" w:eastAsiaTheme="majorEastAsia" w:hAnsiTheme="majorHAnsi" w:cstheme="majorBidi"/>
      <w:color w:val="243F60" w:themeColor="accent1" w:themeShade="7F"/>
      <w:sz w:val="24"/>
      <w:szCs w:val="24"/>
    </w:rPr>
  </w:style>
  <w:style w:type="paragraph" w:styleId="Heading6">
    <w:name w:val="heading 6"/>
    <w:basedOn w:val="Normal"/>
    <w:next w:val="Normal"/>
    <w:link w:val="Heading6Char"/>
    <w:semiHidden/>
    <w:unhideWhenUsed/>
    <w:qFormat/>
    <w:rsid w:val="00FF7EE4"/>
    <w:pPr>
      <w:keepNext/>
      <w:keepLines/>
      <w:numPr>
        <w:ilvl w:val="5"/>
        <w:numId w:val="2"/>
      </w:numPr>
      <w:spacing w:before="200" w:after="0" w:line="240" w:lineRule="auto"/>
      <w:outlineLvl w:val="5"/>
    </w:pPr>
    <w:rPr>
      <w:rFonts w:asciiTheme="majorHAnsi" w:eastAsiaTheme="majorEastAsia" w:hAnsiTheme="majorHAnsi" w:cstheme="majorBidi"/>
      <w:i/>
      <w:iCs/>
      <w:color w:val="243F60" w:themeColor="accent1" w:themeShade="7F"/>
      <w:sz w:val="24"/>
      <w:szCs w:val="24"/>
    </w:rPr>
  </w:style>
  <w:style w:type="paragraph" w:styleId="Heading7">
    <w:name w:val="heading 7"/>
    <w:basedOn w:val="Normal"/>
    <w:next w:val="Normal"/>
    <w:link w:val="Heading7Char"/>
    <w:semiHidden/>
    <w:unhideWhenUsed/>
    <w:qFormat/>
    <w:rsid w:val="00FF7EE4"/>
    <w:pPr>
      <w:keepNext/>
      <w:keepLines/>
      <w:numPr>
        <w:ilvl w:val="6"/>
        <w:numId w:val="2"/>
      </w:numPr>
      <w:spacing w:before="200" w:after="0" w:line="240" w:lineRule="auto"/>
      <w:outlineLvl w:val="6"/>
    </w:pPr>
    <w:rPr>
      <w:rFonts w:asciiTheme="majorHAnsi" w:eastAsiaTheme="majorEastAsia" w:hAnsiTheme="majorHAnsi" w:cstheme="majorBidi"/>
      <w:i/>
      <w:iCs/>
      <w:color w:val="404040" w:themeColor="text1" w:themeTint="BF"/>
      <w:sz w:val="24"/>
      <w:szCs w:val="24"/>
    </w:rPr>
  </w:style>
  <w:style w:type="paragraph" w:styleId="Heading8">
    <w:name w:val="heading 8"/>
    <w:basedOn w:val="Normal"/>
    <w:next w:val="Normal"/>
    <w:link w:val="Heading8Char"/>
    <w:semiHidden/>
    <w:unhideWhenUsed/>
    <w:qFormat/>
    <w:rsid w:val="00FF7EE4"/>
    <w:pPr>
      <w:keepNext/>
      <w:keepLines/>
      <w:numPr>
        <w:ilvl w:val="7"/>
        <w:numId w:val="2"/>
      </w:numPr>
      <w:spacing w:before="200" w:after="0" w:line="240" w:lineRule="auto"/>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FF7EE4"/>
    <w:pPr>
      <w:keepNext/>
      <w:keepLines/>
      <w:numPr>
        <w:ilvl w:val="8"/>
        <w:numId w:val="2"/>
      </w:numPr>
      <w:spacing w:before="200" w:after="0" w:line="240" w:lineRule="auto"/>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Numbered Para"/>
    <w:link w:val="NoSpacingChar"/>
    <w:uiPriority w:val="1"/>
    <w:qFormat/>
    <w:rsid w:val="000F4826"/>
    <w:pPr>
      <w:spacing w:after="0" w:line="240" w:lineRule="auto"/>
    </w:pPr>
  </w:style>
  <w:style w:type="paragraph" w:styleId="ListParagraph">
    <w:name w:val="List Paragraph"/>
    <w:aliases w:val="List Paragraph (numbered (a)) Char,List Paragraph Char Char Char,List Paragraph (numbered (a)),Use Case List Paragraph,List Paragraph2,List Paragraph1,Numbered List Paragraph,Main numbered paragraph,titre 3,ANNEX,References,List_Paragraph"/>
    <w:basedOn w:val="Normal"/>
    <w:link w:val="ListParagraphChar"/>
    <w:uiPriority w:val="34"/>
    <w:qFormat/>
    <w:rsid w:val="003D39E3"/>
    <w:pPr>
      <w:ind w:left="720"/>
      <w:contextualSpacing/>
    </w:pPr>
  </w:style>
  <w:style w:type="character" w:customStyle="1" w:styleId="Heading1Char">
    <w:name w:val="Heading 1 Char"/>
    <w:basedOn w:val="DefaultParagraphFont"/>
    <w:link w:val="Heading1"/>
    <w:rsid w:val="00FF7EE4"/>
    <w:rPr>
      <w:rFonts w:ascii="Times New Roman Bold" w:eastAsia="Times New Roman" w:hAnsi="Times New Roman Bold" w:cs="Arial"/>
      <w:b/>
      <w:bCs/>
      <w:kern w:val="32"/>
      <w:sz w:val="24"/>
      <w:szCs w:val="32"/>
    </w:rPr>
  </w:style>
  <w:style w:type="character" w:customStyle="1" w:styleId="Heading2Char">
    <w:name w:val="Heading 2 Char"/>
    <w:basedOn w:val="DefaultParagraphFont"/>
    <w:link w:val="Heading2"/>
    <w:rsid w:val="00FF7EE4"/>
    <w:rPr>
      <w:rFonts w:ascii="Times New Roman Bold" w:eastAsia="Times New Roman" w:hAnsi="Times New Roman Bold" w:cs="Arial"/>
      <w:iCs/>
      <w:kern w:val="32"/>
      <w:sz w:val="24"/>
      <w:szCs w:val="28"/>
    </w:rPr>
  </w:style>
  <w:style w:type="character" w:customStyle="1" w:styleId="Heading3Char">
    <w:name w:val="Heading 3 Char"/>
    <w:basedOn w:val="DefaultParagraphFont"/>
    <w:link w:val="Heading3"/>
    <w:rsid w:val="00FF7EE4"/>
    <w:rPr>
      <w:rFonts w:ascii="Times New Roman" w:eastAsia="Times New Roman" w:hAnsi="Times New Roman" w:cs="Arial"/>
      <w:b/>
      <w:bCs/>
      <w:sz w:val="24"/>
      <w:szCs w:val="26"/>
    </w:rPr>
  </w:style>
  <w:style w:type="character" w:customStyle="1" w:styleId="Heading4Char">
    <w:name w:val="Heading 4 Char"/>
    <w:basedOn w:val="DefaultParagraphFont"/>
    <w:link w:val="Heading4"/>
    <w:rsid w:val="00FF7EE4"/>
    <w:rPr>
      <w:rFonts w:ascii="Times New Roman" w:eastAsia="Times New Roman" w:hAnsi="Times New Roman" w:cs="Times New Roman"/>
      <w:b/>
      <w:bCs/>
      <w:i/>
      <w:sz w:val="24"/>
      <w:szCs w:val="28"/>
    </w:rPr>
  </w:style>
  <w:style w:type="character" w:customStyle="1" w:styleId="Heading5Char">
    <w:name w:val="Heading 5 Char"/>
    <w:basedOn w:val="DefaultParagraphFont"/>
    <w:link w:val="Heading5"/>
    <w:semiHidden/>
    <w:rsid w:val="00FF7EE4"/>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semiHidden/>
    <w:rsid w:val="00FF7EE4"/>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semiHidden/>
    <w:rsid w:val="00FF7EE4"/>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semiHidden/>
    <w:rsid w:val="00FF7EE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FF7EE4"/>
    <w:rPr>
      <w:rFonts w:asciiTheme="majorHAnsi" w:eastAsiaTheme="majorEastAsia" w:hAnsiTheme="majorHAnsi" w:cstheme="majorBidi"/>
      <w:i/>
      <w:iCs/>
      <w:color w:val="404040" w:themeColor="text1" w:themeTint="BF"/>
      <w:sz w:val="20"/>
      <w:szCs w:val="20"/>
    </w:rPr>
  </w:style>
  <w:style w:type="character" w:customStyle="1" w:styleId="NoSpacingChar">
    <w:name w:val="No Spacing Char"/>
    <w:aliases w:val="Numbered Para Char"/>
    <w:basedOn w:val="DefaultParagraphFont"/>
    <w:link w:val="NoSpacing"/>
    <w:uiPriority w:val="1"/>
    <w:rsid w:val="00FF7EE4"/>
  </w:style>
  <w:style w:type="paragraph" w:styleId="FootnoteText">
    <w:name w:val="footnote text"/>
    <w:aliases w:val="single space,footnote text,fn,FOOTNOTES,Fußnotentext Char,Fußnotentext arial,ALTS FOOTNOTE,ADB,pod carou,Footnote text,ft,Footnote Text Char1,Footnote Text Char2 Char,Footnote Text Char1 Char Char,Footno,Testo_note,single space Char Char,f"/>
    <w:basedOn w:val="Normal"/>
    <w:link w:val="FootnoteTextChar"/>
    <w:unhideWhenUsed/>
    <w:qFormat/>
    <w:rsid w:val="008741D9"/>
    <w:pPr>
      <w:spacing w:after="0" w:line="240" w:lineRule="auto"/>
    </w:pPr>
    <w:rPr>
      <w:rFonts w:ascii="Times New Roman" w:hAnsi="Times New Roman"/>
      <w:sz w:val="20"/>
      <w:szCs w:val="20"/>
    </w:rPr>
  </w:style>
  <w:style w:type="character" w:customStyle="1" w:styleId="FootnoteTextChar">
    <w:name w:val="Footnote Text Char"/>
    <w:aliases w:val="single space Char,footnote text Char,fn Char,FOOTNOTES Char,Fußnotentext Char Char,Fußnotentext arial Char,ALTS FOOTNOTE Char,ADB Char,pod carou Char,Footnote text Char,ft Char,Footnote Text Char1 Char,Footnote Text Char2 Char Char"/>
    <w:basedOn w:val="DefaultParagraphFont"/>
    <w:link w:val="FootnoteText"/>
    <w:rsid w:val="008741D9"/>
    <w:rPr>
      <w:rFonts w:ascii="Times New Roman" w:hAnsi="Times New Roman"/>
      <w:sz w:val="20"/>
      <w:szCs w:val="20"/>
    </w:rPr>
  </w:style>
  <w:style w:type="character" w:styleId="Hyperlink">
    <w:name w:val="Hyperlink"/>
    <w:basedOn w:val="DefaultParagraphFont"/>
    <w:uiPriority w:val="99"/>
    <w:unhideWhenUsed/>
    <w:rsid w:val="008741D9"/>
    <w:rPr>
      <w:color w:val="0000FF" w:themeColor="hyperlink"/>
      <w:u w:val="single"/>
    </w:rPr>
  </w:style>
  <w:style w:type="paragraph" w:styleId="Header">
    <w:name w:val="header"/>
    <w:basedOn w:val="Normal"/>
    <w:link w:val="HeaderChar"/>
    <w:uiPriority w:val="99"/>
    <w:unhideWhenUsed/>
    <w:rsid w:val="00A759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596D"/>
  </w:style>
  <w:style w:type="paragraph" w:styleId="Footer">
    <w:name w:val="footer"/>
    <w:basedOn w:val="Normal"/>
    <w:link w:val="FooterChar"/>
    <w:uiPriority w:val="99"/>
    <w:unhideWhenUsed/>
    <w:rsid w:val="00A759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596D"/>
  </w:style>
  <w:style w:type="paragraph" w:styleId="TOCHeading">
    <w:name w:val="TOC Heading"/>
    <w:basedOn w:val="Heading1"/>
    <w:next w:val="Normal"/>
    <w:uiPriority w:val="39"/>
    <w:unhideWhenUsed/>
    <w:qFormat/>
    <w:rsid w:val="00A7596D"/>
    <w:pPr>
      <w:keepLines/>
      <w:numPr>
        <w:numId w:val="0"/>
      </w:numPr>
      <w:spacing w:before="480" w:beforeAutospacing="0" w:after="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TOC2">
    <w:name w:val="toc 2"/>
    <w:basedOn w:val="Normal"/>
    <w:next w:val="Normal"/>
    <w:autoRedefine/>
    <w:uiPriority w:val="39"/>
    <w:unhideWhenUsed/>
    <w:qFormat/>
    <w:rsid w:val="008C1FE3"/>
    <w:pPr>
      <w:tabs>
        <w:tab w:val="left" w:pos="660"/>
        <w:tab w:val="right" w:leader="dot" w:pos="9350"/>
      </w:tabs>
      <w:spacing w:after="0" w:line="240" w:lineRule="auto"/>
      <w:ind w:left="220"/>
    </w:pPr>
    <w:rPr>
      <w:rFonts w:ascii="Times New Roman" w:hAnsi="Times New Roman"/>
      <w:iCs/>
      <w:sz w:val="20"/>
      <w:szCs w:val="20"/>
    </w:rPr>
  </w:style>
  <w:style w:type="paragraph" w:styleId="TOC1">
    <w:name w:val="toc 1"/>
    <w:basedOn w:val="Normal"/>
    <w:next w:val="Normal"/>
    <w:autoRedefine/>
    <w:uiPriority w:val="39"/>
    <w:unhideWhenUsed/>
    <w:qFormat/>
    <w:rsid w:val="008C1FE3"/>
    <w:pPr>
      <w:tabs>
        <w:tab w:val="left" w:pos="440"/>
        <w:tab w:val="right" w:leader="dot" w:pos="9350"/>
      </w:tabs>
      <w:spacing w:after="0" w:line="240" w:lineRule="auto"/>
    </w:pPr>
    <w:rPr>
      <w:rFonts w:ascii="Times New Roman" w:hAnsi="Times New Roman"/>
      <w:b/>
      <w:bCs/>
      <w:sz w:val="20"/>
      <w:szCs w:val="20"/>
    </w:rPr>
  </w:style>
  <w:style w:type="paragraph" w:styleId="TOC3">
    <w:name w:val="toc 3"/>
    <w:basedOn w:val="Normal"/>
    <w:next w:val="Normal"/>
    <w:autoRedefine/>
    <w:uiPriority w:val="39"/>
    <w:unhideWhenUsed/>
    <w:qFormat/>
    <w:rsid w:val="00A7596D"/>
    <w:pPr>
      <w:spacing w:after="0"/>
      <w:ind w:left="440"/>
    </w:pPr>
    <w:rPr>
      <w:sz w:val="20"/>
      <w:szCs w:val="20"/>
    </w:rPr>
  </w:style>
  <w:style w:type="paragraph" w:styleId="BalloonText">
    <w:name w:val="Balloon Text"/>
    <w:basedOn w:val="Normal"/>
    <w:link w:val="BalloonTextChar"/>
    <w:uiPriority w:val="99"/>
    <w:semiHidden/>
    <w:unhideWhenUsed/>
    <w:rsid w:val="00A759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596D"/>
    <w:rPr>
      <w:rFonts w:ascii="Tahoma" w:hAnsi="Tahoma" w:cs="Tahoma"/>
      <w:sz w:val="16"/>
      <w:szCs w:val="16"/>
    </w:rPr>
  </w:style>
  <w:style w:type="character" w:styleId="CommentReference">
    <w:name w:val="annotation reference"/>
    <w:basedOn w:val="DefaultParagraphFont"/>
    <w:semiHidden/>
    <w:unhideWhenUsed/>
    <w:rsid w:val="00FA7839"/>
    <w:rPr>
      <w:sz w:val="16"/>
      <w:szCs w:val="16"/>
    </w:rPr>
  </w:style>
  <w:style w:type="paragraph" w:styleId="CommentText">
    <w:name w:val="annotation text"/>
    <w:basedOn w:val="Normal"/>
    <w:link w:val="CommentTextChar"/>
    <w:uiPriority w:val="99"/>
    <w:unhideWhenUsed/>
    <w:rsid w:val="00FA7839"/>
    <w:pPr>
      <w:spacing w:line="240" w:lineRule="auto"/>
    </w:pPr>
    <w:rPr>
      <w:sz w:val="20"/>
      <w:szCs w:val="20"/>
    </w:rPr>
  </w:style>
  <w:style w:type="character" w:customStyle="1" w:styleId="CommentTextChar">
    <w:name w:val="Comment Text Char"/>
    <w:basedOn w:val="DefaultParagraphFont"/>
    <w:link w:val="CommentText"/>
    <w:uiPriority w:val="99"/>
    <w:rsid w:val="00FA7839"/>
    <w:rPr>
      <w:sz w:val="20"/>
      <w:szCs w:val="20"/>
    </w:rPr>
  </w:style>
  <w:style w:type="paragraph" w:styleId="CommentSubject">
    <w:name w:val="annotation subject"/>
    <w:basedOn w:val="CommentText"/>
    <w:next w:val="CommentText"/>
    <w:link w:val="CommentSubjectChar"/>
    <w:uiPriority w:val="99"/>
    <w:semiHidden/>
    <w:unhideWhenUsed/>
    <w:rsid w:val="00FA7839"/>
    <w:rPr>
      <w:b/>
      <w:bCs/>
    </w:rPr>
  </w:style>
  <w:style w:type="character" w:customStyle="1" w:styleId="CommentSubjectChar">
    <w:name w:val="Comment Subject Char"/>
    <w:basedOn w:val="CommentTextChar"/>
    <w:link w:val="CommentSubject"/>
    <w:uiPriority w:val="99"/>
    <w:semiHidden/>
    <w:rsid w:val="00FA7839"/>
    <w:rPr>
      <w:b/>
      <w:bCs/>
      <w:sz w:val="20"/>
      <w:szCs w:val="20"/>
    </w:rPr>
  </w:style>
  <w:style w:type="table" w:styleId="TableGrid">
    <w:name w:val="Table Grid"/>
    <w:aliases w:val="Table Grid CFAA,表格样式"/>
    <w:basedOn w:val="TableNormal"/>
    <w:uiPriority w:val="39"/>
    <w:rsid w:val="00562C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List Paragraph (numbered (a)) Char Char1,List Paragraph Char Char Char Char,List Paragraph (numbered (a)) Char2,Use Case List Paragraph Char,List Paragraph2 Char,List Paragraph1 Char,Numbered List Paragraph Char,titre 3 Char"/>
    <w:basedOn w:val="DefaultParagraphFont"/>
    <w:link w:val="ListParagraph"/>
    <w:uiPriority w:val="34"/>
    <w:qFormat/>
    <w:rsid w:val="00CB399F"/>
  </w:style>
  <w:style w:type="paragraph" w:customStyle="1" w:styleId="Tableheading">
    <w:name w:val="Table heading"/>
    <w:basedOn w:val="Normal"/>
    <w:qFormat/>
    <w:rsid w:val="00CB399F"/>
    <w:pPr>
      <w:spacing w:before="40" w:after="40" w:line="240" w:lineRule="auto"/>
      <w:jc w:val="center"/>
    </w:pPr>
    <w:rPr>
      <w:rFonts w:ascii="Times New Roman" w:hAnsi="Times New Roman" w:cs="Times New Roman"/>
      <w:b/>
      <w:i/>
      <w:sz w:val="20"/>
      <w:szCs w:val="20"/>
    </w:rPr>
  </w:style>
  <w:style w:type="paragraph" w:customStyle="1" w:styleId="Attachmenttitle">
    <w:name w:val="Attachment title"/>
    <w:basedOn w:val="Normal"/>
    <w:qFormat/>
    <w:rsid w:val="00CB399F"/>
    <w:pPr>
      <w:spacing w:after="240" w:line="240" w:lineRule="auto"/>
    </w:pPr>
    <w:rPr>
      <w:rFonts w:ascii="Times New Roman" w:eastAsia="Times New Roman" w:hAnsi="Times New Roman" w:cs="Times New Roman"/>
      <w:b/>
      <w:spacing w:val="4"/>
      <w:sz w:val="24"/>
      <w:szCs w:val="24"/>
    </w:rPr>
  </w:style>
  <w:style w:type="paragraph" w:customStyle="1" w:styleId="MainParanoChapter">
    <w:name w:val="Main Para no Chapter #"/>
    <w:basedOn w:val="Normal"/>
    <w:rsid w:val="002F4FFB"/>
    <w:pPr>
      <w:numPr>
        <w:numId w:val="4"/>
      </w:numPr>
      <w:spacing w:after="240" w:line="240" w:lineRule="auto"/>
      <w:jc w:val="both"/>
    </w:pPr>
    <w:rPr>
      <w:rFonts w:ascii="Times New Roman" w:eastAsia="Times New Roman" w:hAnsi="Times New Roman" w:cs="Times New Roman"/>
      <w:sz w:val="24"/>
      <w:szCs w:val="24"/>
    </w:rPr>
  </w:style>
  <w:style w:type="paragraph" w:customStyle="1" w:styleId="PDSAnnexHeading">
    <w:name w:val="PDS Annex Heading"/>
    <w:next w:val="Normal"/>
    <w:rsid w:val="001A31D9"/>
    <w:pPr>
      <w:keepNext/>
      <w:spacing w:after="120" w:line="240" w:lineRule="auto"/>
      <w:jc w:val="center"/>
    </w:pPr>
    <w:rPr>
      <w:rFonts w:ascii="Times New Roman" w:eastAsia="Times New Roman" w:hAnsi="Times New Roman" w:cs="Times New Roman"/>
      <w:b/>
      <w:sz w:val="24"/>
      <w:szCs w:val="20"/>
    </w:rPr>
  </w:style>
  <w:style w:type="paragraph" w:styleId="TOC4">
    <w:name w:val="toc 4"/>
    <w:basedOn w:val="Normal"/>
    <w:next w:val="Normal"/>
    <w:autoRedefine/>
    <w:uiPriority w:val="39"/>
    <w:unhideWhenUsed/>
    <w:rsid w:val="00DD5AF2"/>
    <w:pPr>
      <w:spacing w:after="0"/>
      <w:ind w:left="660"/>
    </w:pPr>
    <w:rPr>
      <w:sz w:val="20"/>
      <w:szCs w:val="20"/>
    </w:rPr>
  </w:style>
  <w:style w:type="paragraph" w:styleId="TOC5">
    <w:name w:val="toc 5"/>
    <w:basedOn w:val="Normal"/>
    <w:next w:val="Normal"/>
    <w:autoRedefine/>
    <w:uiPriority w:val="39"/>
    <w:unhideWhenUsed/>
    <w:rsid w:val="00DD5AF2"/>
    <w:pPr>
      <w:spacing w:after="0"/>
      <w:ind w:left="880"/>
    </w:pPr>
    <w:rPr>
      <w:sz w:val="20"/>
      <w:szCs w:val="20"/>
    </w:rPr>
  </w:style>
  <w:style w:type="paragraph" w:styleId="TOC6">
    <w:name w:val="toc 6"/>
    <w:basedOn w:val="Normal"/>
    <w:next w:val="Normal"/>
    <w:autoRedefine/>
    <w:uiPriority w:val="39"/>
    <w:unhideWhenUsed/>
    <w:rsid w:val="00DD5AF2"/>
    <w:pPr>
      <w:spacing w:after="0"/>
      <w:ind w:left="1100"/>
    </w:pPr>
    <w:rPr>
      <w:sz w:val="20"/>
      <w:szCs w:val="20"/>
    </w:rPr>
  </w:style>
  <w:style w:type="paragraph" w:styleId="TOC7">
    <w:name w:val="toc 7"/>
    <w:basedOn w:val="Normal"/>
    <w:next w:val="Normal"/>
    <w:autoRedefine/>
    <w:uiPriority w:val="39"/>
    <w:unhideWhenUsed/>
    <w:rsid w:val="00DD5AF2"/>
    <w:pPr>
      <w:spacing w:after="0"/>
      <w:ind w:left="1320"/>
    </w:pPr>
    <w:rPr>
      <w:sz w:val="20"/>
      <w:szCs w:val="20"/>
    </w:rPr>
  </w:style>
  <w:style w:type="paragraph" w:styleId="TOC8">
    <w:name w:val="toc 8"/>
    <w:basedOn w:val="Normal"/>
    <w:next w:val="Normal"/>
    <w:autoRedefine/>
    <w:uiPriority w:val="39"/>
    <w:unhideWhenUsed/>
    <w:rsid w:val="00DD5AF2"/>
    <w:pPr>
      <w:spacing w:after="0"/>
      <w:ind w:left="1540"/>
    </w:pPr>
    <w:rPr>
      <w:sz w:val="20"/>
      <w:szCs w:val="20"/>
    </w:rPr>
  </w:style>
  <w:style w:type="paragraph" w:styleId="TOC9">
    <w:name w:val="toc 9"/>
    <w:basedOn w:val="Normal"/>
    <w:next w:val="Normal"/>
    <w:autoRedefine/>
    <w:uiPriority w:val="39"/>
    <w:unhideWhenUsed/>
    <w:rsid w:val="00DD5AF2"/>
    <w:pPr>
      <w:spacing w:after="0"/>
      <w:ind w:left="1760"/>
    </w:pPr>
    <w:rPr>
      <w:sz w:val="20"/>
      <w:szCs w:val="20"/>
    </w:rPr>
  </w:style>
  <w:style w:type="character" w:styleId="FootnoteReference">
    <w:name w:val="footnote reference"/>
    <w:aliases w:val="ftref,Footnote Reference Number,Footnote Reference_LVL6,Footnote Reference_LVL61,Footnote Reference_LVL62,Footnote Reference_LVL63,Footnote Reference_LVL64,fr,16 Point,Superscript 6 Point,Знак сноски-FN,BVI fnr,Times 10 Poin,Ref,Black"/>
    <w:basedOn w:val="DefaultParagraphFont"/>
    <w:link w:val="CarattereCarattereCharCharCharCharCharCharZchn"/>
    <w:unhideWhenUsed/>
    <w:qFormat/>
    <w:rsid w:val="00047E9D"/>
    <w:rPr>
      <w:vertAlign w:val="superscript"/>
    </w:rPr>
  </w:style>
  <w:style w:type="paragraph" w:customStyle="1" w:styleId="HEADINGP4RCHAPTER">
    <w:name w:val="HEADING P4R CHAPTER"/>
    <w:basedOn w:val="Normal"/>
    <w:qFormat/>
    <w:rsid w:val="004A08DC"/>
    <w:pPr>
      <w:spacing w:before="240" w:after="240" w:line="240" w:lineRule="auto"/>
      <w:jc w:val="center"/>
      <w:outlineLvl w:val="0"/>
    </w:pPr>
    <w:rPr>
      <w:rFonts w:ascii="Times New Roman" w:hAnsi="Times New Roman" w:cs="Times New Roman"/>
      <w:b/>
      <w:smallCaps/>
      <w:sz w:val="28"/>
      <w:szCs w:val="24"/>
    </w:rPr>
  </w:style>
  <w:style w:type="paragraph" w:customStyle="1" w:styleId="MainParanoChapter-Ch3">
    <w:name w:val="Main Para no Chapter #-Ch 3"/>
    <w:basedOn w:val="Normal"/>
    <w:qFormat/>
    <w:rsid w:val="004A08DC"/>
    <w:pPr>
      <w:numPr>
        <w:numId w:val="5"/>
      </w:numPr>
      <w:spacing w:before="240" w:after="0" w:line="240" w:lineRule="auto"/>
      <w:jc w:val="both"/>
    </w:pPr>
    <w:rPr>
      <w:rFonts w:ascii="Times New Roman" w:eastAsia="Times New Roman" w:hAnsi="Times New Roman" w:cs="Times New Roman"/>
      <w:sz w:val="24"/>
      <w:szCs w:val="24"/>
    </w:rPr>
  </w:style>
  <w:style w:type="paragraph" w:styleId="Revision">
    <w:name w:val="Revision"/>
    <w:hidden/>
    <w:uiPriority w:val="99"/>
    <w:semiHidden/>
    <w:rsid w:val="00844887"/>
    <w:pPr>
      <w:spacing w:after="0" w:line="240" w:lineRule="auto"/>
    </w:pPr>
  </w:style>
  <w:style w:type="table" w:customStyle="1" w:styleId="TableGrid1">
    <w:name w:val="Table Grid1"/>
    <w:basedOn w:val="TableNormal"/>
    <w:next w:val="TableGrid"/>
    <w:uiPriority w:val="39"/>
    <w:rsid w:val="00E82C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82CF2"/>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arattereCarattereCharCharCharCharCharCharZchn">
    <w:name w:val="Carattere Carattere Char Char Char Char Char Char Zchn"/>
    <w:aliases w:val="ftref Char Char Char Char Char Char Zchn,Char Char Char Char Char Char Char Char Zchn,ftref Char Char Char1 Zchn,Carattere Carattere Char Char Char Char Char Char Char Zchn"/>
    <w:basedOn w:val="Normal"/>
    <w:next w:val="Normal"/>
    <w:link w:val="FootnoteReference"/>
    <w:uiPriority w:val="99"/>
    <w:rsid w:val="00764EC7"/>
    <w:pPr>
      <w:spacing w:after="160" w:line="240" w:lineRule="exact"/>
      <w:jc w:val="both"/>
    </w:pPr>
    <w:rPr>
      <w:vertAlign w:val="superscript"/>
    </w:rPr>
  </w:style>
  <w:style w:type="character" w:customStyle="1" w:styleId="ListParagraphChar1">
    <w:name w:val="List Paragraph Char1"/>
    <w:aliases w:val="List Paragraph (numbered (a)) Char Char,List Paragraph Char Char Char Char1,List Paragraph (numbered (a)) Char1,Use Case List Paragraph Char1,List Paragraph2 Char1,List Paragraph1 Char1,Numbered List Paragraph Char1,titre 3 Char1"/>
    <w:uiPriority w:val="34"/>
    <w:rsid w:val="00D822A6"/>
    <w:rPr>
      <w:sz w:val="24"/>
      <w:szCs w:val="24"/>
    </w:rPr>
  </w:style>
  <w:style w:type="character" w:styleId="Strong">
    <w:name w:val="Strong"/>
    <w:basedOn w:val="DefaultParagraphFont"/>
    <w:uiPriority w:val="22"/>
    <w:qFormat/>
    <w:rsid w:val="0035716A"/>
    <w:rPr>
      <w:b/>
      <w:bCs/>
    </w:rPr>
  </w:style>
  <w:style w:type="paragraph" w:styleId="Subtitle">
    <w:name w:val="Subtitle"/>
    <w:basedOn w:val="Normal"/>
    <w:next w:val="Normal"/>
    <w:link w:val="SubtitleChar"/>
    <w:uiPriority w:val="11"/>
    <w:qFormat/>
    <w:rsid w:val="00AD7B8F"/>
    <w:pPr>
      <w:numPr>
        <w:numId w:val="11"/>
      </w:numPr>
      <w:spacing w:before="240" w:after="0" w:line="240" w:lineRule="auto"/>
      <w:jc w:val="both"/>
    </w:pPr>
    <w:rPr>
      <w:rFonts w:ascii="Times New Roman" w:eastAsia="Times New Roman" w:hAnsi="Times New Roman" w:cs="Times New Roman"/>
      <w:b/>
    </w:rPr>
  </w:style>
  <w:style w:type="character" w:customStyle="1" w:styleId="SubtitleChar">
    <w:name w:val="Subtitle Char"/>
    <w:basedOn w:val="DefaultParagraphFont"/>
    <w:link w:val="Subtitle"/>
    <w:uiPriority w:val="11"/>
    <w:rsid w:val="00AD7B8F"/>
    <w:rPr>
      <w:rFonts w:ascii="Times New Roman" w:eastAsia="Times New Roman" w:hAnsi="Times New Roman" w:cs="Times New Roman"/>
      <w:b/>
    </w:rPr>
  </w:style>
  <w:style w:type="table" w:customStyle="1" w:styleId="Grilledutableau42">
    <w:name w:val="Grille du tableau42"/>
    <w:basedOn w:val="TableNormal"/>
    <w:uiPriority w:val="59"/>
    <w:rsid w:val="002E0B4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ex1">
    <w:name w:val="index 1"/>
    <w:basedOn w:val="Normal"/>
    <w:next w:val="Normal"/>
    <w:autoRedefine/>
    <w:uiPriority w:val="99"/>
    <w:semiHidden/>
    <w:unhideWhenUsed/>
    <w:rsid w:val="006A7513"/>
    <w:pPr>
      <w:spacing w:after="0" w:line="240" w:lineRule="auto"/>
      <w:ind w:left="220" w:hanging="220"/>
    </w:pPr>
  </w:style>
  <w:style w:type="paragraph" w:styleId="Index2">
    <w:name w:val="index 2"/>
    <w:basedOn w:val="Normal"/>
    <w:next w:val="Normal"/>
    <w:autoRedefine/>
    <w:uiPriority w:val="99"/>
    <w:semiHidden/>
    <w:unhideWhenUsed/>
    <w:rsid w:val="006A7513"/>
    <w:pPr>
      <w:spacing w:after="0" w:line="240" w:lineRule="auto"/>
      <w:ind w:left="440" w:hanging="220"/>
    </w:pPr>
  </w:style>
  <w:style w:type="paragraph" w:styleId="HTMLPreformatted">
    <w:name w:val="HTML Preformatted"/>
    <w:basedOn w:val="Normal"/>
    <w:link w:val="HTMLPreformattedChar"/>
    <w:uiPriority w:val="99"/>
    <w:unhideWhenUsed/>
    <w:rsid w:val="00857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857749"/>
    <w:rPr>
      <w:rFonts w:ascii="Courier New" w:eastAsia="Times New Roman" w:hAnsi="Courier New" w:cs="Courier New"/>
      <w:sz w:val="20"/>
      <w:szCs w:val="20"/>
    </w:rPr>
  </w:style>
  <w:style w:type="paragraph" w:styleId="NormalWeb">
    <w:name w:val="Normal (Web)"/>
    <w:basedOn w:val="Normal"/>
    <w:uiPriority w:val="99"/>
    <w:unhideWhenUsed/>
    <w:rsid w:val="00AC5750"/>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Paranumbering">
    <w:name w:val="Para numbering"/>
    <w:basedOn w:val="NoSpacing"/>
    <w:link w:val="ParanumberingChar"/>
    <w:qFormat/>
    <w:rsid w:val="00BD32FD"/>
    <w:pPr>
      <w:widowControl w:val="0"/>
      <w:numPr>
        <w:numId w:val="41"/>
      </w:numPr>
      <w:adjustRightInd w:val="0"/>
      <w:spacing w:before="120" w:after="120" w:line="360" w:lineRule="atLeast"/>
      <w:jc w:val="both"/>
      <w:textAlignment w:val="baseline"/>
    </w:pPr>
    <w:rPr>
      <w:rFonts w:ascii="Times New Roman" w:eastAsia="ヒラギノ角ゴ Pro W3" w:hAnsi="Times New Roman" w:cs="Times New Roman"/>
      <w:color w:val="000000"/>
      <w:sz w:val="24"/>
      <w:szCs w:val="20"/>
    </w:rPr>
  </w:style>
  <w:style w:type="character" w:customStyle="1" w:styleId="ParanumberingChar">
    <w:name w:val="Para numbering Char"/>
    <w:basedOn w:val="NoSpacingChar"/>
    <w:link w:val="Paranumbering"/>
    <w:rsid w:val="00BD32FD"/>
    <w:rPr>
      <w:rFonts w:ascii="Times New Roman" w:eastAsia="ヒラギノ角ゴ Pro W3" w:hAnsi="Times New Roman" w:cs="Times New Roman"/>
      <w:color w:val="000000"/>
      <w:sz w:val="24"/>
      <w:szCs w:val="20"/>
    </w:rPr>
  </w:style>
  <w:style w:type="paragraph" w:customStyle="1" w:styleId="Style7">
    <w:name w:val="Style7"/>
    <w:basedOn w:val="ListParagraph"/>
    <w:link w:val="Style7Car"/>
    <w:qFormat/>
    <w:rsid w:val="00BD32FD"/>
    <w:pPr>
      <w:widowControl w:val="0"/>
      <w:numPr>
        <w:numId w:val="43"/>
      </w:numPr>
      <w:autoSpaceDE w:val="0"/>
      <w:autoSpaceDN w:val="0"/>
      <w:adjustRightInd w:val="0"/>
      <w:spacing w:after="0" w:line="360" w:lineRule="atLeast"/>
      <w:jc w:val="both"/>
      <w:textAlignment w:val="baseline"/>
    </w:pPr>
    <w:rPr>
      <w:rFonts w:asciiTheme="majorHAnsi" w:eastAsia="Times New Roman" w:hAnsiTheme="majorHAnsi" w:cstheme="majorBidi"/>
      <w:lang w:eastAsia="fr-FR"/>
    </w:rPr>
  </w:style>
  <w:style w:type="character" w:customStyle="1" w:styleId="Style7Car">
    <w:name w:val="Style7 Car"/>
    <w:basedOn w:val="DefaultParagraphFont"/>
    <w:link w:val="Style7"/>
    <w:rsid w:val="00BD32FD"/>
    <w:rPr>
      <w:rFonts w:asciiTheme="majorHAnsi" w:eastAsia="Times New Roman" w:hAnsiTheme="majorHAnsi" w:cstheme="majorBidi"/>
      <w:lang w:eastAsia="fr-FR"/>
    </w:rPr>
  </w:style>
  <w:style w:type="paragraph" w:customStyle="1" w:styleId="ModelNrmlSingle">
    <w:name w:val="ModelNrmlSingle"/>
    <w:basedOn w:val="Normal"/>
    <w:rsid w:val="009A7E65"/>
    <w:pPr>
      <w:spacing w:after="240" w:line="240" w:lineRule="auto"/>
      <w:ind w:firstLine="720"/>
      <w:jc w:val="both"/>
    </w:pPr>
    <w:rPr>
      <w:rFonts w:ascii="Times New Roman" w:eastAsia="Times New Roman" w:hAnsi="Times New Roman" w:cs="Times New Roman"/>
      <w:szCs w:val="20"/>
    </w:rPr>
  </w:style>
  <w:style w:type="character" w:customStyle="1" w:styleId="BodyTextChar">
    <w:name w:val="Body Text Char"/>
    <w:aliases w:val="Body Text Char Char Char Char Char Char,Body Text Char Char Char Char1,Body Text Char Char Char Char Char1,Corps de texte Car Char,Body Text Char Car Char,Body Text Char Char Char Char Char Car Char,Body Text Char Char Char Car Char"/>
    <w:basedOn w:val="DefaultParagraphFont"/>
    <w:link w:val="BodyText"/>
    <w:locked/>
    <w:rsid w:val="006F6205"/>
  </w:style>
  <w:style w:type="paragraph" w:styleId="BodyText">
    <w:name w:val="Body Text"/>
    <w:aliases w:val="Body Text Char Char Char Char Char,Body Text Char Char Char,Body Text Char Char Char Char,Corps de texte Car,Body Text Char Car,Body Text Char Char Char Char Char Car,Body Text Char Char Char Car,Main text,Main text Car"/>
    <w:basedOn w:val="Normal"/>
    <w:link w:val="BodyTextChar"/>
    <w:unhideWhenUsed/>
    <w:rsid w:val="006F6205"/>
    <w:pPr>
      <w:spacing w:after="0" w:line="240" w:lineRule="auto"/>
      <w:jc w:val="both"/>
    </w:pPr>
  </w:style>
  <w:style w:type="character" w:customStyle="1" w:styleId="BodyTextChar1">
    <w:name w:val="Body Text Char1"/>
    <w:basedOn w:val="DefaultParagraphFont"/>
    <w:uiPriority w:val="99"/>
    <w:semiHidden/>
    <w:rsid w:val="006F62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159468">
      <w:bodyDiv w:val="1"/>
      <w:marLeft w:val="0"/>
      <w:marRight w:val="0"/>
      <w:marTop w:val="0"/>
      <w:marBottom w:val="0"/>
      <w:divBdr>
        <w:top w:val="none" w:sz="0" w:space="0" w:color="auto"/>
        <w:left w:val="none" w:sz="0" w:space="0" w:color="auto"/>
        <w:bottom w:val="none" w:sz="0" w:space="0" w:color="auto"/>
        <w:right w:val="none" w:sz="0" w:space="0" w:color="auto"/>
      </w:divBdr>
    </w:div>
    <w:div w:id="292371457">
      <w:bodyDiv w:val="1"/>
      <w:marLeft w:val="0"/>
      <w:marRight w:val="0"/>
      <w:marTop w:val="0"/>
      <w:marBottom w:val="0"/>
      <w:divBdr>
        <w:top w:val="none" w:sz="0" w:space="0" w:color="auto"/>
        <w:left w:val="none" w:sz="0" w:space="0" w:color="auto"/>
        <w:bottom w:val="none" w:sz="0" w:space="0" w:color="auto"/>
        <w:right w:val="none" w:sz="0" w:space="0" w:color="auto"/>
      </w:divBdr>
    </w:div>
    <w:div w:id="416512947">
      <w:bodyDiv w:val="1"/>
      <w:marLeft w:val="0"/>
      <w:marRight w:val="0"/>
      <w:marTop w:val="0"/>
      <w:marBottom w:val="0"/>
      <w:divBdr>
        <w:top w:val="none" w:sz="0" w:space="0" w:color="auto"/>
        <w:left w:val="none" w:sz="0" w:space="0" w:color="auto"/>
        <w:bottom w:val="none" w:sz="0" w:space="0" w:color="auto"/>
        <w:right w:val="none" w:sz="0" w:space="0" w:color="auto"/>
      </w:divBdr>
    </w:div>
    <w:div w:id="495464657">
      <w:bodyDiv w:val="1"/>
      <w:marLeft w:val="0"/>
      <w:marRight w:val="0"/>
      <w:marTop w:val="0"/>
      <w:marBottom w:val="0"/>
      <w:divBdr>
        <w:top w:val="none" w:sz="0" w:space="0" w:color="auto"/>
        <w:left w:val="none" w:sz="0" w:space="0" w:color="auto"/>
        <w:bottom w:val="none" w:sz="0" w:space="0" w:color="auto"/>
        <w:right w:val="none" w:sz="0" w:space="0" w:color="auto"/>
      </w:divBdr>
    </w:div>
    <w:div w:id="527766303">
      <w:bodyDiv w:val="1"/>
      <w:marLeft w:val="0"/>
      <w:marRight w:val="0"/>
      <w:marTop w:val="0"/>
      <w:marBottom w:val="0"/>
      <w:divBdr>
        <w:top w:val="none" w:sz="0" w:space="0" w:color="auto"/>
        <w:left w:val="none" w:sz="0" w:space="0" w:color="auto"/>
        <w:bottom w:val="none" w:sz="0" w:space="0" w:color="auto"/>
        <w:right w:val="none" w:sz="0" w:space="0" w:color="auto"/>
      </w:divBdr>
    </w:div>
    <w:div w:id="974456693">
      <w:bodyDiv w:val="1"/>
      <w:marLeft w:val="0"/>
      <w:marRight w:val="0"/>
      <w:marTop w:val="0"/>
      <w:marBottom w:val="0"/>
      <w:divBdr>
        <w:top w:val="none" w:sz="0" w:space="0" w:color="auto"/>
        <w:left w:val="none" w:sz="0" w:space="0" w:color="auto"/>
        <w:bottom w:val="none" w:sz="0" w:space="0" w:color="auto"/>
        <w:right w:val="none" w:sz="0" w:space="0" w:color="auto"/>
      </w:divBdr>
    </w:div>
    <w:div w:id="988872727">
      <w:bodyDiv w:val="1"/>
      <w:marLeft w:val="0"/>
      <w:marRight w:val="0"/>
      <w:marTop w:val="0"/>
      <w:marBottom w:val="0"/>
      <w:divBdr>
        <w:top w:val="none" w:sz="0" w:space="0" w:color="auto"/>
        <w:left w:val="none" w:sz="0" w:space="0" w:color="auto"/>
        <w:bottom w:val="none" w:sz="0" w:space="0" w:color="auto"/>
        <w:right w:val="none" w:sz="0" w:space="0" w:color="auto"/>
      </w:divBdr>
    </w:div>
    <w:div w:id="1059400622">
      <w:bodyDiv w:val="1"/>
      <w:marLeft w:val="0"/>
      <w:marRight w:val="0"/>
      <w:marTop w:val="0"/>
      <w:marBottom w:val="0"/>
      <w:divBdr>
        <w:top w:val="none" w:sz="0" w:space="0" w:color="auto"/>
        <w:left w:val="none" w:sz="0" w:space="0" w:color="auto"/>
        <w:bottom w:val="none" w:sz="0" w:space="0" w:color="auto"/>
        <w:right w:val="none" w:sz="0" w:space="0" w:color="auto"/>
      </w:divBdr>
    </w:div>
    <w:div w:id="1065180812">
      <w:bodyDiv w:val="1"/>
      <w:marLeft w:val="0"/>
      <w:marRight w:val="0"/>
      <w:marTop w:val="0"/>
      <w:marBottom w:val="0"/>
      <w:divBdr>
        <w:top w:val="none" w:sz="0" w:space="0" w:color="auto"/>
        <w:left w:val="none" w:sz="0" w:space="0" w:color="auto"/>
        <w:bottom w:val="none" w:sz="0" w:space="0" w:color="auto"/>
        <w:right w:val="none" w:sz="0" w:space="0" w:color="auto"/>
      </w:divBdr>
    </w:div>
    <w:div w:id="1210916663">
      <w:bodyDiv w:val="1"/>
      <w:marLeft w:val="0"/>
      <w:marRight w:val="0"/>
      <w:marTop w:val="0"/>
      <w:marBottom w:val="0"/>
      <w:divBdr>
        <w:top w:val="none" w:sz="0" w:space="0" w:color="auto"/>
        <w:left w:val="none" w:sz="0" w:space="0" w:color="auto"/>
        <w:bottom w:val="none" w:sz="0" w:space="0" w:color="auto"/>
        <w:right w:val="none" w:sz="0" w:space="0" w:color="auto"/>
      </w:divBdr>
    </w:div>
    <w:div w:id="1250383002">
      <w:bodyDiv w:val="1"/>
      <w:marLeft w:val="0"/>
      <w:marRight w:val="0"/>
      <w:marTop w:val="0"/>
      <w:marBottom w:val="0"/>
      <w:divBdr>
        <w:top w:val="none" w:sz="0" w:space="0" w:color="auto"/>
        <w:left w:val="none" w:sz="0" w:space="0" w:color="auto"/>
        <w:bottom w:val="none" w:sz="0" w:space="0" w:color="auto"/>
        <w:right w:val="none" w:sz="0" w:space="0" w:color="auto"/>
      </w:divBdr>
    </w:div>
    <w:div w:id="1270430133">
      <w:bodyDiv w:val="1"/>
      <w:marLeft w:val="0"/>
      <w:marRight w:val="0"/>
      <w:marTop w:val="0"/>
      <w:marBottom w:val="0"/>
      <w:divBdr>
        <w:top w:val="none" w:sz="0" w:space="0" w:color="auto"/>
        <w:left w:val="none" w:sz="0" w:space="0" w:color="auto"/>
        <w:bottom w:val="none" w:sz="0" w:space="0" w:color="auto"/>
        <w:right w:val="none" w:sz="0" w:space="0" w:color="auto"/>
      </w:divBdr>
    </w:div>
    <w:div w:id="1387534836">
      <w:bodyDiv w:val="1"/>
      <w:marLeft w:val="0"/>
      <w:marRight w:val="0"/>
      <w:marTop w:val="0"/>
      <w:marBottom w:val="0"/>
      <w:divBdr>
        <w:top w:val="none" w:sz="0" w:space="0" w:color="auto"/>
        <w:left w:val="none" w:sz="0" w:space="0" w:color="auto"/>
        <w:bottom w:val="none" w:sz="0" w:space="0" w:color="auto"/>
        <w:right w:val="none" w:sz="0" w:space="0" w:color="auto"/>
      </w:divBdr>
    </w:div>
    <w:div w:id="1464496804">
      <w:bodyDiv w:val="1"/>
      <w:marLeft w:val="0"/>
      <w:marRight w:val="0"/>
      <w:marTop w:val="0"/>
      <w:marBottom w:val="0"/>
      <w:divBdr>
        <w:top w:val="none" w:sz="0" w:space="0" w:color="auto"/>
        <w:left w:val="none" w:sz="0" w:space="0" w:color="auto"/>
        <w:bottom w:val="none" w:sz="0" w:space="0" w:color="auto"/>
        <w:right w:val="none" w:sz="0" w:space="0" w:color="auto"/>
      </w:divBdr>
    </w:div>
    <w:div w:id="1633439072">
      <w:bodyDiv w:val="1"/>
      <w:marLeft w:val="0"/>
      <w:marRight w:val="0"/>
      <w:marTop w:val="0"/>
      <w:marBottom w:val="0"/>
      <w:divBdr>
        <w:top w:val="none" w:sz="0" w:space="0" w:color="auto"/>
        <w:left w:val="none" w:sz="0" w:space="0" w:color="auto"/>
        <w:bottom w:val="none" w:sz="0" w:space="0" w:color="auto"/>
        <w:right w:val="none" w:sz="0" w:space="0" w:color="auto"/>
      </w:divBdr>
    </w:div>
    <w:div w:id="1666204127">
      <w:bodyDiv w:val="1"/>
      <w:marLeft w:val="0"/>
      <w:marRight w:val="0"/>
      <w:marTop w:val="0"/>
      <w:marBottom w:val="0"/>
      <w:divBdr>
        <w:top w:val="none" w:sz="0" w:space="0" w:color="auto"/>
        <w:left w:val="none" w:sz="0" w:space="0" w:color="auto"/>
        <w:bottom w:val="none" w:sz="0" w:space="0" w:color="auto"/>
        <w:right w:val="none" w:sz="0" w:space="0" w:color="auto"/>
      </w:divBdr>
    </w:div>
    <w:div w:id="1835992922">
      <w:bodyDiv w:val="1"/>
      <w:marLeft w:val="0"/>
      <w:marRight w:val="0"/>
      <w:marTop w:val="0"/>
      <w:marBottom w:val="0"/>
      <w:divBdr>
        <w:top w:val="none" w:sz="0" w:space="0" w:color="auto"/>
        <w:left w:val="none" w:sz="0" w:space="0" w:color="auto"/>
        <w:bottom w:val="none" w:sz="0" w:space="0" w:color="auto"/>
        <w:right w:val="none" w:sz="0" w:space="0" w:color="auto"/>
      </w:divBdr>
    </w:div>
    <w:div w:id="2031947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18" Type="http://schemas.openxmlformats.org/officeDocument/2006/relationships/hyperlink" Target="http://www.inspectionpanel.org/" TargetMode="External"/><Relationship Id="rId26" Type="http://schemas.microsoft.com/office/2007/relationships/diagramDrawing" Target="diagrams/drawing1.xml"/><Relationship Id="rId3" Type="http://schemas.openxmlformats.org/officeDocument/2006/relationships/customXml" Target="../customXml/item3.xml"/><Relationship Id="rId21" Type="http://schemas.openxmlformats.org/officeDocument/2006/relationships/image" Target="media/image2.jpeg"/><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worldbank.org/GRM" TargetMode="External"/><Relationship Id="rId25" Type="http://schemas.openxmlformats.org/officeDocument/2006/relationships/diagramColors" Target="diagrams/colors1.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image" Target="media/image1.jpeg"/><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diagramQuickStyle" Target="diagrams/quickStyle1.xml"/><Relationship Id="rId5" Type="http://schemas.openxmlformats.org/officeDocument/2006/relationships/customXml" Target="../customXml/item5.xml"/><Relationship Id="rId15" Type="http://schemas.openxmlformats.org/officeDocument/2006/relationships/footer" Target="footer3.xml"/><Relationship Id="rId23" Type="http://schemas.openxmlformats.org/officeDocument/2006/relationships/diagramLayout" Target="diagrams/layout1.xml"/><Relationship Id="rId28"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yperlink" Target="http://www.google.com/url?sa=i&amp;rct=j&amp;q=&amp;esrc=s&amp;source=images&amp;cd=&amp;ved=0ahUKEwjuobTZsPzVAhUCkRQKHQ55C40QjRwIBw&amp;url=http://produits-hygiene.fr/produit-d-entretien-et-nettoyage/1524-dosettes-multi-usages-ecologique.html&amp;psig=AFQjCNHJYRiEBWjYsFzrLvZ-WbGBgH2CuQ&amp;ust=1504093934473140"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2.xml"/><Relationship Id="rId22" Type="http://schemas.openxmlformats.org/officeDocument/2006/relationships/diagramData" Target="diagrams/data1.xm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trade.ec.europa.eu/doclib/html/146084.htm"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F491CD6-E19B-4981-AF29-9E0DB56C7B0C}" type="doc">
      <dgm:prSet loTypeId="urn:microsoft.com/office/officeart/2005/8/layout/default" loCatId="list" qsTypeId="urn:microsoft.com/office/officeart/2005/8/quickstyle/simple1" qsCatId="simple" csTypeId="urn:microsoft.com/office/officeart/2005/8/colors/accent1_2" csCatId="accent1" phldr="0"/>
      <dgm:spPr/>
      <dgm:t>
        <a:bodyPr/>
        <a:lstStyle/>
        <a:p>
          <a:endParaRPr lang="en-US"/>
        </a:p>
      </dgm:t>
    </dgm:pt>
    <dgm:pt modelId="{8B2C0252-A76E-4BFD-B791-A681A07CD8BA}" type="pres">
      <dgm:prSet presAssocID="{BF491CD6-E19B-4981-AF29-9E0DB56C7B0C}" presName="diagram" presStyleCnt="0">
        <dgm:presLayoutVars>
          <dgm:dir/>
          <dgm:resizeHandles val="exact"/>
        </dgm:presLayoutVars>
      </dgm:prSet>
      <dgm:spPr/>
    </dgm:pt>
  </dgm:ptLst>
  <dgm:cxnLst>
    <dgm:cxn modelId="{2F9480ED-9145-40ED-91AE-8E6021BF0E41}" type="presOf" srcId="{BF491CD6-E19B-4981-AF29-9E0DB56C7B0C}" destId="{8B2C0252-A76E-4BFD-B791-A681A07CD8BA}" srcOrd="0" destOrd="0" presId="urn:microsoft.com/office/officeart/2005/8/layout/default"/>
  </dgm:cxnLst>
  <dgm:bg/>
  <dgm:whole/>
  <dgm:extLst>
    <a:ext uri="http://schemas.microsoft.com/office/drawing/2008/diagram">
      <dsp:dataModelExt xmlns:dsp="http://schemas.microsoft.com/office/drawing/2008/diagram" relId="rId2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Tree>
</dsp:drawing>
</file>

<file path=word/diagrams/layout1.xml><?xml version="1.0" encoding="utf-8"?>
<dgm:layoutDef xmlns:dgm="http://schemas.openxmlformats.org/drawingml/2006/diagram" xmlns:a="http://schemas.openxmlformats.org/drawingml/2006/main" uniqueId="urn:microsoft.com/office/officeart/2005/8/layout/default">
  <dgm:title val=""/>
  <dgm:desc val=""/>
  <dgm:catLst>
    <dgm:cat type="list" pri="4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Select Content Type" ma:contentTypeID="0x01010099B6B9EF8F35F840B8C1B763013CF53600CE25AF614DB28246AF64A03CA0F82515" ma:contentTypeVersion="4" ma:contentTypeDescription="" ma:contentTypeScope="" ma:versionID="1248548af08e382c1260260fd8404fa4">
  <xsd:schema xmlns:xsd="http://www.w3.org/2001/XMLSchema" xmlns:xs="http://www.w3.org/2001/XMLSchema" xmlns:p="http://schemas.microsoft.com/office/2006/metadata/properties" xmlns:ns2="4f665c86-b6e3-4427-8f26-07c07c084871" targetNamespace="http://schemas.microsoft.com/office/2006/metadata/properties" ma:root="true" ma:fieldsID="fbb835408aee4b19ec09bc3948176eb1" ns2:_="">
    <xsd:import namespace="4f665c86-b6e3-4427-8f26-07c07c084871"/>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665c86-b6e3-4427-8f26-07c07c08487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04fe4a42-127e-478d-9b6e-420dd7ce26ac" ContentTypeId="0x01010099B6B9EF8F35F840B8C1B763013CF536" PreviousValue="false"/>
</file>

<file path=customXml/item4.xml><?xml version="1.0" encoding="utf-8"?>
<?mso-contentType ?>
<spe:Receivers xmlns:spe="http://schemas.microsoft.com/sharepoint/event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63F564-BF84-4C03-B756-9E7D394AE00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98A1281-A6C1-4AF2-8F89-7AC456E3E7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665c86-b6e3-4427-8f26-07c07c0848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39B02AE-F821-4034-B389-57DC14650F47}">
  <ds:schemaRefs>
    <ds:schemaRef ds:uri="Microsoft.SharePoint.Taxonomy.ContentTypeSync"/>
  </ds:schemaRefs>
</ds:datastoreItem>
</file>

<file path=customXml/itemProps4.xml><?xml version="1.0" encoding="utf-8"?>
<ds:datastoreItem xmlns:ds="http://schemas.openxmlformats.org/officeDocument/2006/customXml" ds:itemID="{29D822C3-7110-4934-9817-A7650BD7A2E3}">
  <ds:schemaRefs>
    <ds:schemaRef ds:uri="http://schemas.microsoft.com/sharepoint/events"/>
  </ds:schemaRefs>
</ds:datastoreItem>
</file>

<file path=customXml/itemProps5.xml><?xml version="1.0" encoding="utf-8"?>
<ds:datastoreItem xmlns:ds="http://schemas.openxmlformats.org/officeDocument/2006/customXml" ds:itemID="{C6775940-CBDB-4799-ACED-9DE496D54FC3}">
  <ds:schemaRefs>
    <ds:schemaRef ds:uri="http://schemas.microsoft.com/sharepoint/v3/contenttype/forms"/>
  </ds:schemaRefs>
</ds:datastoreItem>
</file>

<file path=customXml/itemProps6.xml><?xml version="1.0" encoding="utf-8"?>
<ds:datastoreItem xmlns:ds="http://schemas.openxmlformats.org/officeDocument/2006/customXml" ds:itemID="{08300BFE-6987-484C-A63A-A48BD6DF6C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121</Pages>
  <Words>59638</Words>
  <Characters>339940</Characters>
  <Application>Microsoft Office Word</Application>
  <DocSecurity>0</DocSecurity>
  <Lines>2832</Lines>
  <Paragraphs>797</Paragraphs>
  <ScaleCrop>false</ScaleCrop>
  <HeadingPairs>
    <vt:vector size="2" baseType="variant">
      <vt:variant>
        <vt:lpstr>Title</vt:lpstr>
      </vt:variant>
      <vt:variant>
        <vt:i4>1</vt:i4>
      </vt:variant>
    </vt:vector>
  </HeadingPairs>
  <TitlesOfParts>
    <vt:vector size="1" baseType="lpstr">
      <vt:lpstr/>
    </vt:vector>
  </TitlesOfParts>
  <Company>The World Bank Group</Company>
  <LinksUpToDate>false</LinksUpToDate>
  <CharactersWithSpaces>398781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Raja</dc:creator>
  <cp:keywords/>
  <dc:description/>
  <cp:lastModifiedBy>Funda Canli</cp:lastModifiedBy>
  <cp:revision>2</cp:revision>
  <cp:lastPrinted>2017-11-22T17:38:00Z</cp:lastPrinted>
  <dcterms:created xsi:type="dcterms:W3CDTF">2018-02-27T15:26:00Z</dcterms:created>
  <dcterms:modified xsi:type="dcterms:W3CDTF">2018-02-27T15:26:00Z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0x01010099B6B9EF8F35F840B8C1B763013CF53600CE25AF614DB28246AF64A03CA0F82515</vt:lpwstr>
  </property>
  <property fmtid="{D5CDD505-2E9C-101B-9397-08002B2CF9AE}" pid="3" name="OPSCustomProjectID">
    <vt:lpwstr>P102900</vt:lpwstr>
  </property>
  <property fmtid="{D5CDD505-2E9C-101B-9397-08002B2CF9AE}" pid="4" name="Author0">
    <vt:lpwstr>Malek Atallah</vt:lpwstr>
  </property>
</Properties>
</file>