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DB11" w14:textId="1A854597" w:rsidR="00B0174F" w:rsidRDefault="00873A58" w:rsidP="00B0174F">
      <w:pPr>
        <w:autoSpaceDE w:val="0"/>
        <w:autoSpaceDN w:val="0"/>
        <w:adjustRightInd w:val="0"/>
        <w:jc w:val="center"/>
        <w:rPr>
          <w:b/>
          <w:bCs/>
          <w:sz w:val="24"/>
          <w:szCs w:val="24"/>
          <w:u w:val="single"/>
        </w:rPr>
      </w:pPr>
      <w:bookmarkStart w:id="0" w:name="_Toc450589758"/>
      <w:r>
        <w:rPr>
          <w:noProof/>
          <w:lang w:val="en-US"/>
        </w:rPr>
        <mc:AlternateContent>
          <mc:Choice Requires="wps">
            <w:drawing>
              <wp:anchor distT="0" distB="0" distL="114300" distR="114300" simplePos="0" relativeHeight="251660288" behindDoc="0" locked="0" layoutInCell="1" allowOverlap="1" wp14:anchorId="05CB67F5" wp14:editId="0EE2FA43">
                <wp:simplePos x="0" y="0"/>
                <wp:positionH relativeFrom="column">
                  <wp:posOffset>4072255</wp:posOffset>
                </wp:positionH>
                <wp:positionV relativeFrom="paragraph">
                  <wp:posOffset>-671195</wp:posOffset>
                </wp:positionV>
                <wp:extent cx="211455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1455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4AE01" w14:textId="69FA2CB4" w:rsidR="00873A58" w:rsidRPr="00873A58" w:rsidRDefault="00873A58">
                            <w:pPr>
                              <w:rPr>
                                <w:rFonts w:ascii="Arial" w:hAnsi="Arial" w:cs="Arial"/>
                                <w:sz w:val="44"/>
                                <w:szCs w:val="44"/>
                              </w:rPr>
                            </w:pPr>
                            <w:bookmarkStart w:id="1" w:name="_GoBack"/>
                            <w:r>
                              <w:rPr>
                                <w:rFonts w:ascii="Arial" w:hAnsi="Arial" w:cs="Arial"/>
                                <w:sz w:val="44"/>
                                <w:szCs w:val="44"/>
                              </w:rPr>
                              <w:t>SFG2170</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B67F5" id="_x0000_t202" coordsize="21600,21600" o:spt="202" path="m,l,21600r21600,l21600,xe">
                <v:stroke joinstyle="miter"/>
                <v:path gradientshapeok="t" o:connecttype="rect"/>
              </v:shapetype>
              <v:shape id="Text Box 1" o:spid="_x0000_s1026" type="#_x0000_t202" style="position:absolute;left:0;text-align:left;margin-left:320.65pt;margin-top:-52.85pt;width:166.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Z4egIAAGMFAAAOAAAAZHJzL2Uyb0RvYy54bWysVFtv0zAUfkfiP1h+p2m6doxo6VQ6DSFN&#10;20SL9uw69hph+xjbbVJ+/Y6d9ELhZYiX5Picz5/P/fqm1YpshfM1mJLmgyElwnCoavNS0u/Luw9X&#10;lPjATMUUGFHSnfD0Zvr+3XVjCzGCNahKOIIkxheNLek6BFtkmedroZkfgBUGjRKcZgGP7iWrHGuQ&#10;XatsNBxeZg24yjrgwnvU3nZGOk38UgoeHqX0IhBVUvQtpK9L31X8ZtNrVrw4Ztc1791g/+CFZrXB&#10;Rw9UtywwsnH1H1S65g48yDDgoDOQsuYixYDR5MOzaBZrZkWKBZPj7SFN/v/R8oftkyN1hbWjxDCN&#10;JVqKNpDP0JI8ZqexvkDQwiIstKiOyF7vURmDbqXT8Y/hELRjnneH3EYyjspRno8nEzRxtOXDi6vR&#10;aBJ5suN163z4IkCTKJTUYfFSTtn23ocOuofE1wzc1UqhnhXKkKaklxfI/5sFyZWJGpFaoaeJIXWu&#10;JynslOhIvgmJqUgRREVqQjFXjmwZtg/jXJiQgk+8iI4oiU685WKPP3r1lstdHPuXwYTDZV0bcCn6&#10;M7erH3uXZYfHnJ/EHcXQrtq+pCuodlhpB92keMvvaqzGPfPhiTkcDawgjnt4xI9UgFmHXqJkDe7X&#10;3/QRjx2LVkoaHLWS+p8b5gQl6qvBXv6Uj8dxNtNhPPk4woM7taxOLWaj54DlwH5F75IY8UHtRelA&#10;P+NWmMVX0cQMx7dLGvbiPHQLALcKF7NZAuE0WhbuzcLySB2rE3tt2T4zZ/uGDNjLD7AfSlac9WWH&#10;jTcNzDYBZJ2aNia4y2qfeJzk1Pb91omr4vScUMfdOH0FAAD//wMAUEsDBBQABgAIAAAAIQAMASsT&#10;4wAAAAsBAAAPAAAAZHJzL2Rvd25yZXYueG1sTI9NT4NAEIbvJv6HzZh4axdqKYgsTUPSmBh7aO3F&#10;28BOgbgfyG5b9Ne7nvQ4M0/eed5iPWnFLjS63hoB8TwCRqaxsjetgOPbdpYBcx6NRGUNCfgiB+vy&#10;9qbAXNqr2dPl4FsWQozLUUDn/ZBz7pqONLq5HciE28mOGn0Yx5bLEa8hXCu+iKIV19ib8KHDgaqO&#10;mo/DWQt4qbY73NcLnX2r6vn1tBk+j++JEPd30+YJmKfJ/8Hwqx/UoQxOtT0b6ZgSsFrGDwEVMIuj&#10;JAUWkMd0GVa1gCTNgJcF/9+h/AEAAP//AwBQSwECLQAUAAYACAAAACEAtoM4kv4AAADhAQAAEwAA&#10;AAAAAAAAAAAAAAAAAAAAW0NvbnRlbnRfVHlwZXNdLnhtbFBLAQItABQABgAIAAAAIQA4/SH/1gAA&#10;AJQBAAALAAAAAAAAAAAAAAAAAC8BAABfcmVscy8ucmVsc1BLAQItABQABgAIAAAAIQB63cZ4egIA&#10;AGMFAAAOAAAAAAAAAAAAAAAAAC4CAABkcnMvZTJvRG9jLnhtbFBLAQItABQABgAIAAAAIQAMASsT&#10;4wAAAAsBAAAPAAAAAAAAAAAAAAAAANQEAABkcnMvZG93bnJldi54bWxQSwUGAAAAAAQABADzAAAA&#10;5AUAAAAA&#10;" filled="f" stroked="f" strokeweight=".5pt">
                <v:textbox>
                  <w:txbxContent>
                    <w:p w14:paraId="6644AE01" w14:textId="69FA2CB4" w:rsidR="00873A58" w:rsidRPr="00873A58" w:rsidRDefault="00873A58">
                      <w:pPr>
                        <w:rPr>
                          <w:rFonts w:ascii="Arial" w:hAnsi="Arial" w:cs="Arial"/>
                          <w:sz w:val="44"/>
                          <w:szCs w:val="44"/>
                        </w:rPr>
                      </w:pPr>
                      <w:bookmarkStart w:id="2" w:name="_GoBack"/>
                      <w:r>
                        <w:rPr>
                          <w:rFonts w:ascii="Arial" w:hAnsi="Arial" w:cs="Arial"/>
                          <w:sz w:val="44"/>
                          <w:szCs w:val="44"/>
                        </w:rPr>
                        <w:t>SFG2170</w:t>
                      </w:r>
                      <w:bookmarkEnd w:id="2"/>
                    </w:p>
                  </w:txbxContent>
                </v:textbox>
              </v:shape>
            </w:pict>
          </mc:Fallback>
        </mc:AlternateContent>
      </w:r>
      <w:r w:rsidR="00B0174F">
        <w:rPr>
          <w:noProof/>
          <w:lang w:val="en-US"/>
        </w:rPr>
        <w:drawing>
          <wp:anchor distT="0" distB="0" distL="114300" distR="114300" simplePos="0" relativeHeight="251659264" behindDoc="1" locked="0" layoutInCell="1" allowOverlap="1" wp14:anchorId="2CC0A045" wp14:editId="74D13F85">
            <wp:simplePos x="0" y="0"/>
            <wp:positionH relativeFrom="column">
              <wp:posOffset>2286000</wp:posOffset>
            </wp:positionH>
            <wp:positionV relativeFrom="paragraph">
              <wp:posOffset>47625</wp:posOffset>
            </wp:positionV>
            <wp:extent cx="1381125" cy="742315"/>
            <wp:effectExtent l="0" t="0" r="9525" b="635"/>
            <wp:wrapTight wrapText="bothSides">
              <wp:wrapPolygon edited="0">
                <wp:start x="0" y="0"/>
                <wp:lineTo x="0" y="21064"/>
                <wp:lineTo x="21451" y="21064"/>
                <wp:lineTo x="21451" y="0"/>
                <wp:lineTo x="0" y="0"/>
              </wp:wrapPolygon>
            </wp:wrapTight>
            <wp:docPr id="3" name="Image 3" descr="LOGO SOMAPEP 100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SOMAPEP 10012011"/>
                    <pic:cNvPicPr>
                      <a:picLocks noChangeAspect="1" noChangeArrowheads="1"/>
                    </pic:cNvPicPr>
                  </pic:nvPicPr>
                  <pic:blipFill>
                    <a:blip r:embed="rId5" cstate="print"/>
                    <a:srcRect/>
                    <a:stretch>
                      <a:fillRect/>
                    </a:stretch>
                  </pic:blipFill>
                  <pic:spPr bwMode="auto">
                    <a:xfrm>
                      <a:off x="0" y="0"/>
                      <a:ext cx="1381125" cy="742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0BE7D4" w14:textId="77777777" w:rsidR="00B0174F" w:rsidRDefault="00B0174F" w:rsidP="00B0174F">
      <w:pPr>
        <w:autoSpaceDE w:val="0"/>
        <w:autoSpaceDN w:val="0"/>
        <w:adjustRightInd w:val="0"/>
        <w:jc w:val="center"/>
        <w:rPr>
          <w:b/>
          <w:bCs/>
          <w:sz w:val="24"/>
          <w:szCs w:val="24"/>
          <w:u w:val="single"/>
        </w:rPr>
      </w:pPr>
    </w:p>
    <w:p w14:paraId="69C982E2" w14:textId="77777777" w:rsidR="00B0174F" w:rsidRDefault="00B0174F" w:rsidP="00B0174F">
      <w:pPr>
        <w:autoSpaceDE w:val="0"/>
        <w:autoSpaceDN w:val="0"/>
        <w:adjustRightInd w:val="0"/>
        <w:jc w:val="center"/>
        <w:rPr>
          <w:b/>
          <w:bCs/>
          <w:sz w:val="24"/>
          <w:szCs w:val="24"/>
          <w:u w:val="single"/>
        </w:rPr>
      </w:pPr>
    </w:p>
    <w:p w14:paraId="72AF1441" w14:textId="77777777" w:rsidR="00B0174F" w:rsidRDefault="00B0174F" w:rsidP="00B0174F">
      <w:pPr>
        <w:autoSpaceDE w:val="0"/>
        <w:autoSpaceDN w:val="0"/>
        <w:adjustRightInd w:val="0"/>
        <w:jc w:val="center"/>
        <w:rPr>
          <w:b/>
          <w:bCs/>
          <w:sz w:val="24"/>
          <w:szCs w:val="24"/>
          <w:u w:val="single"/>
        </w:rPr>
      </w:pPr>
    </w:p>
    <w:p w14:paraId="41A900FE" w14:textId="77777777" w:rsidR="00B0174F" w:rsidRDefault="00B0174F" w:rsidP="00B0174F">
      <w:pPr>
        <w:autoSpaceDE w:val="0"/>
        <w:autoSpaceDN w:val="0"/>
        <w:adjustRightInd w:val="0"/>
        <w:jc w:val="center"/>
        <w:rPr>
          <w:b/>
          <w:bCs/>
          <w:sz w:val="24"/>
          <w:szCs w:val="24"/>
          <w:u w:val="single"/>
        </w:rPr>
      </w:pPr>
    </w:p>
    <w:p w14:paraId="09FB97BC" w14:textId="77777777" w:rsidR="004247DC" w:rsidRDefault="00B0174F" w:rsidP="00B0174F">
      <w:pPr>
        <w:autoSpaceDE w:val="0"/>
        <w:autoSpaceDN w:val="0"/>
        <w:adjustRightInd w:val="0"/>
        <w:jc w:val="center"/>
        <w:rPr>
          <w:b/>
          <w:sz w:val="24"/>
          <w:szCs w:val="24"/>
        </w:rPr>
      </w:pPr>
      <w:r w:rsidRPr="001B408A">
        <w:rPr>
          <w:b/>
          <w:sz w:val="24"/>
          <w:szCs w:val="24"/>
        </w:rPr>
        <w:t>PROJET D’ALIMENTATION EN EAU POTABLE DE LA VILLE DE BAMAKO A PARTIR DE LA LOCALITE DE KABALA</w:t>
      </w:r>
      <w:r>
        <w:rPr>
          <w:b/>
          <w:sz w:val="24"/>
          <w:szCs w:val="24"/>
        </w:rPr>
        <w:t xml:space="preserve"> </w:t>
      </w:r>
    </w:p>
    <w:p w14:paraId="0B97E206" w14:textId="4AABB260" w:rsidR="00B0174F" w:rsidRPr="001B408A" w:rsidRDefault="00B0174F" w:rsidP="00B0174F">
      <w:pPr>
        <w:autoSpaceDE w:val="0"/>
        <w:autoSpaceDN w:val="0"/>
        <w:adjustRightInd w:val="0"/>
        <w:jc w:val="center"/>
        <w:rPr>
          <w:b/>
          <w:sz w:val="24"/>
          <w:szCs w:val="24"/>
        </w:rPr>
      </w:pPr>
      <w:r>
        <w:rPr>
          <w:b/>
          <w:sz w:val="24"/>
          <w:szCs w:val="24"/>
        </w:rPr>
        <w:t xml:space="preserve"> FINANCEMENT ADDITIONNEL</w:t>
      </w:r>
      <w:r w:rsidR="004247DC">
        <w:rPr>
          <w:b/>
          <w:sz w:val="24"/>
          <w:szCs w:val="24"/>
        </w:rPr>
        <w:t xml:space="preserve"> _ BANQUE MONDIALE</w:t>
      </w:r>
    </w:p>
    <w:p w14:paraId="5CC6BA2C" w14:textId="77777777" w:rsidR="00B0174F" w:rsidRPr="00B0174F" w:rsidRDefault="00B0174F" w:rsidP="00B0174F">
      <w:pPr>
        <w:autoSpaceDE w:val="0"/>
        <w:autoSpaceDN w:val="0"/>
        <w:adjustRightInd w:val="0"/>
        <w:jc w:val="center"/>
        <w:rPr>
          <w:rFonts w:ascii="Cooper Black" w:hAnsi="Cooper Black"/>
          <w:sz w:val="24"/>
          <w:szCs w:val="24"/>
        </w:rPr>
      </w:pPr>
    </w:p>
    <w:p w14:paraId="4EE11A73" w14:textId="2B83E00F" w:rsidR="00B0174F" w:rsidRPr="004247DC" w:rsidRDefault="00B0174F" w:rsidP="00B0174F">
      <w:pPr>
        <w:autoSpaceDE w:val="0"/>
        <w:autoSpaceDN w:val="0"/>
        <w:adjustRightInd w:val="0"/>
        <w:jc w:val="center"/>
        <w:rPr>
          <w:rFonts w:ascii="Cooper Black" w:hAnsi="Cooper Black"/>
          <w:sz w:val="24"/>
          <w:szCs w:val="24"/>
        </w:rPr>
      </w:pPr>
      <w:r w:rsidRPr="00B0174F">
        <w:rPr>
          <w:rFonts w:ascii="Cooper Black" w:hAnsi="Cooper Black"/>
          <w:sz w:val="24"/>
          <w:szCs w:val="24"/>
        </w:rPr>
        <w:t>Cadre de Gestion Environnementale et Sociale (CGES)</w:t>
      </w:r>
      <w:r w:rsidR="004247DC">
        <w:rPr>
          <w:rFonts w:ascii="Cooper Black" w:hAnsi="Cooper Black"/>
          <w:sz w:val="24"/>
          <w:szCs w:val="24"/>
        </w:rPr>
        <w:t xml:space="preserve"> de l’AEP des villes de </w:t>
      </w:r>
      <w:r w:rsidR="004247DC" w:rsidRPr="004247DC">
        <w:rPr>
          <w:rFonts w:ascii="Cooper Black" w:hAnsi="Cooper Black"/>
          <w:sz w:val="24"/>
          <w:szCs w:val="24"/>
        </w:rPr>
        <w:t xml:space="preserve">Kita, </w:t>
      </w:r>
      <w:proofErr w:type="spellStart"/>
      <w:r w:rsidR="004247DC" w:rsidRPr="004247DC">
        <w:rPr>
          <w:rFonts w:ascii="Cooper Black" w:hAnsi="Cooper Black"/>
          <w:sz w:val="24"/>
          <w:szCs w:val="24"/>
        </w:rPr>
        <w:t>Markala</w:t>
      </w:r>
      <w:proofErr w:type="spellEnd"/>
      <w:r w:rsidR="004247DC" w:rsidRPr="004247DC">
        <w:rPr>
          <w:rFonts w:ascii="Cooper Black" w:hAnsi="Cooper Black"/>
          <w:sz w:val="24"/>
          <w:szCs w:val="24"/>
        </w:rPr>
        <w:t xml:space="preserve">, </w:t>
      </w:r>
      <w:proofErr w:type="spellStart"/>
      <w:r w:rsidR="004247DC" w:rsidRPr="004247DC">
        <w:rPr>
          <w:rFonts w:ascii="Cooper Black" w:hAnsi="Cooper Black"/>
          <w:sz w:val="24"/>
          <w:szCs w:val="24"/>
        </w:rPr>
        <w:t>Selingué</w:t>
      </w:r>
      <w:proofErr w:type="spellEnd"/>
      <w:r w:rsidR="004247DC" w:rsidRPr="004247DC">
        <w:rPr>
          <w:rFonts w:ascii="Cooper Black" w:hAnsi="Cooper Black"/>
          <w:sz w:val="24"/>
          <w:szCs w:val="24"/>
        </w:rPr>
        <w:t>, Gao, Bougouni et Nioro</w:t>
      </w:r>
      <w:r w:rsidR="00807C53">
        <w:rPr>
          <w:rFonts w:ascii="Cooper Black" w:hAnsi="Cooper Black"/>
          <w:sz w:val="24"/>
          <w:szCs w:val="24"/>
        </w:rPr>
        <w:t xml:space="preserve"> </w:t>
      </w:r>
      <w:r w:rsidR="00807C53">
        <w:rPr>
          <w:rFonts w:ascii="Cooper Black" w:hAnsi="Cooper Black"/>
          <w:szCs w:val="24"/>
        </w:rPr>
        <w:t>du Sahel</w:t>
      </w:r>
    </w:p>
    <w:p w14:paraId="77BD3F07" w14:textId="77777777" w:rsidR="00B0174F" w:rsidRDefault="00B0174F" w:rsidP="00713190">
      <w:pPr>
        <w:pStyle w:val="Heading1"/>
        <w:ind w:left="720"/>
        <w:jc w:val="center"/>
      </w:pPr>
    </w:p>
    <w:p w14:paraId="3D965815" w14:textId="77777777" w:rsidR="00713190" w:rsidRPr="00CD450E" w:rsidRDefault="00713190" w:rsidP="00713190">
      <w:pPr>
        <w:pStyle w:val="Heading1"/>
        <w:ind w:left="720"/>
        <w:jc w:val="center"/>
      </w:pPr>
      <w:r w:rsidRPr="00CD450E">
        <w:t>RESUME</w:t>
      </w:r>
      <w:r>
        <w:t xml:space="preserve"> EXECUTIF</w:t>
      </w:r>
      <w:bookmarkEnd w:id="0"/>
    </w:p>
    <w:p w14:paraId="4BBDE170" w14:textId="77777777" w:rsidR="00713190" w:rsidRPr="00CD450E" w:rsidRDefault="00713190" w:rsidP="00713190">
      <w:pPr>
        <w:jc w:val="both"/>
      </w:pPr>
    </w:p>
    <w:p w14:paraId="4E7E6E49" w14:textId="77777777" w:rsidR="00713190" w:rsidRPr="00CD450E" w:rsidRDefault="00713190" w:rsidP="00713190">
      <w:pPr>
        <w:jc w:val="both"/>
        <w:rPr>
          <w:szCs w:val="22"/>
        </w:rPr>
      </w:pPr>
    </w:p>
    <w:p w14:paraId="6359D63C" w14:textId="77777777" w:rsidR="00713190" w:rsidRPr="00CD450E" w:rsidRDefault="00713190" w:rsidP="00713190">
      <w:pPr>
        <w:jc w:val="both"/>
        <w:rPr>
          <w:szCs w:val="22"/>
        </w:rPr>
      </w:pPr>
      <w:r w:rsidRPr="00CD450E">
        <w:rPr>
          <w:szCs w:val="22"/>
        </w:rPr>
        <w:t xml:space="preserve">Le Gouvernement du Mali à travers la SOMAPEP-SA est en cours de préparer, avec l’appui de la banque mondiale, le Projet  de renforcement de l’alimentation en eau potable des certains villes secondaires qui comprend une gamme d’activités distinctes et complémentaires visera à (i) renforcer les installations de production, de stockage et de distribution; et (ii) favoriser le raccordement des familles au réseau d’eau potable par une offre promotionnelle des branchements. Le Projet interviendra dans des villes localisées dans les régions de Kayes, Sikasso, Ségou et Gao.  </w:t>
      </w:r>
    </w:p>
    <w:p w14:paraId="087CB556" w14:textId="77777777" w:rsidR="00713190" w:rsidRPr="00CD450E" w:rsidRDefault="00713190" w:rsidP="00713190">
      <w:pPr>
        <w:jc w:val="both"/>
      </w:pPr>
    </w:p>
    <w:p w14:paraId="3345492F" w14:textId="77777777" w:rsidR="00713190" w:rsidRPr="00CD450E" w:rsidRDefault="00713190" w:rsidP="00713190">
      <w:r w:rsidRPr="00CD450E">
        <w:t xml:space="preserve">Les sites devant accueillir les projets sont connus et les travaux à réaliser sont sommairement décrits à cette étape du processus de mise en œuvre du projet. Certaines activités prévues peuvent avoir des effets (négatifs, positifs) sur l’environnement, durant leur mise en œuvre ou pendant leur exploitation. C’est donc dans ce contexte que le présent CGES fournit les dispositions en vue d’assurer que les questions environnementales et sociales seront prises en compte et gérées dans toutes les activités éligibles à financer. </w:t>
      </w:r>
    </w:p>
    <w:p w14:paraId="0415589C" w14:textId="77777777" w:rsidR="00713190" w:rsidRPr="00CD450E" w:rsidRDefault="00713190" w:rsidP="00713190">
      <w:pPr>
        <w:jc w:val="both"/>
        <w:rPr>
          <w:bCs/>
          <w:szCs w:val="22"/>
        </w:rPr>
      </w:pPr>
      <w:r w:rsidRPr="00CD450E">
        <w:rPr>
          <w:bCs/>
          <w:szCs w:val="22"/>
        </w:rPr>
        <w:t xml:space="preserve"> </w:t>
      </w:r>
    </w:p>
    <w:p w14:paraId="41F5058E" w14:textId="77777777" w:rsidR="00713190" w:rsidRPr="00CD450E" w:rsidRDefault="00713190" w:rsidP="00713190">
      <w:pPr>
        <w:jc w:val="both"/>
        <w:rPr>
          <w:bCs/>
          <w:szCs w:val="22"/>
        </w:rPr>
      </w:pPr>
    </w:p>
    <w:p w14:paraId="6FE2EADB" w14:textId="77777777" w:rsidR="00713190" w:rsidRPr="00CD450E" w:rsidRDefault="00713190" w:rsidP="00713190">
      <w:pPr>
        <w:rPr>
          <w:b/>
          <w:bCs/>
          <w:i/>
          <w:szCs w:val="22"/>
        </w:rPr>
      </w:pPr>
      <w:r w:rsidRPr="00CD450E">
        <w:rPr>
          <w:b/>
          <w:bCs/>
          <w:i/>
          <w:szCs w:val="22"/>
        </w:rPr>
        <w:t>Législation environnementale nationale</w:t>
      </w:r>
    </w:p>
    <w:p w14:paraId="6F58BE54" w14:textId="77777777" w:rsidR="00713190" w:rsidRPr="00CD450E" w:rsidRDefault="00713190" w:rsidP="00713190">
      <w:pPr>
        <w:jc w:val="both"/>
        <w:rPr>
          <w:szCs w:val="22"/>
        </w:rPr>
      </w:pPr>
      <w:r w:rsidRPr="00CD450E">
        <w:rPr>
          <w:szCs w:val="22"/>
        </w:rPr>
        <w:t>Le contexte législatif et réglementaire du projet est relatif aux textes juridiques et normes des secteurs de l’eau, de l’environnement, des forêts, des réserves naturelles protégées, de l’agriculture, de l’aménagement du territoire et la décentralisation</w:t>
      </w:r>
      <w:r>
        <w:rPr>
          <w:szCs w:val="22"/>
        </w:rPr>
        <w:t xml:space="preserve"> du Mali</w:t>
      </w:r>
      <w:r w:rsidRPr="00CD450E">
        <w:rPr>
          <w:szCs w:val="22"/>
        </w:rPr>
        <w:t xml:space="preserve">. Le dispositif législatif est en place même si tous les textes d’application ne sont pas toujours disponibles. Toutefois, les dispositions relatives à la mise en œuvre de la procédure d’évaluation environnementale existent ainsi que certaines normes de gestion environnementale, et sont connues de la plupart des acteurs. En plus de ces textes juridiques, il existe des documents de planification stratégiques (Politique Nationale de la Protection de l’Environnement, etc.) qui fournissent des orientations pour une gestion rationnelle de l’environnement. La législation nationale en matière d’évaluation environnementale prévoit une catégorisation environnementale des projets tout à fait identique (A, B et C) à celle établie dans la politique </w:t>
      </w:r>
      <w:r>
        <w:rPr>
          <w:szCs w:val="22"/>
        </w:rPr>
        <w:t xml:space="preserve">opérationnelle PO </w:t>
      </w:r>
      <w:r w:rsidRPr="00CD450E">
        <w:rPr>
          <w:szCs w:val="22"/>
        </w:rPr>
        <w:t>4.01 de la Banque mondiale.</w:t>
      </w:r>
      <w:r w:rsidRPr="00CD450E">
        <w:rPr>
          <w:bCs/>
          <w:szCs w:val="22"/>
        </w:rPr>
        <w:t xml:space="preserve"> </w:t>
      </w:r>
    </w:p>
    <w:p w14:paraId="3A8A9693" w14:textId="77777777" w:rsidR="00713190" w:rsidRPr="00CD450E" w:rsidRDefault="00713190" w:rsidP="00713190">
      <w:pPr>
        <w:jc w:val="both"/>
        <w:rPr>
          <w:b/>
          <w:bCs/>
          <w:i/>
          <w:szCs w:val="22"/>
        </w:rPr>
      </w:pPr>
    </w:p>
    <w:p w14:paraId="71BF5B31" w14:textId="77777777" w:rsidR="00713190" w:rsidRPr="00CD450E" w:rsidRDefault="00713190" w:rsidP="00713190">
      <w:pPr>
        <w:jc w:val="both"/>
        <w:rPr>
          <w:b/>
          <w:bCs/>
          <w:i/>
          <w:szCs w:val="22"/>
        </w:rPr>
      </w:pPr>
      <w:r w:rsidRPr="00CD450E">
        <w:rPr>
          <w:b/>
          <w:bCs/>
          <w:i/>
          <w:szCs w:val="22"/>
        </w:rPr>
        <w:t xml:space="preserve">Politiques de sauvegarde de </w:t>
      </w:r>
      <w:smartTag w:uri="urn:schemas-microsoft-com:office:smarttags" w:element="date">
        <w:smartTagPr>
          <w:attr w:name="ProductID" w:val="la Banque"/>
        </w:smartTagPr>
        <w:r w:rsidRPr="00CD450E">
          <w:rPr>
            <w:b/>
            <w:bCs/>
            <w:i/>
            <w:szCs w:val="22"/>
          </w:rPr>
          <w:t>la Banque</w:t>
        </w:r>
      </w:smartTag>
      <w:r w:rsidRPr="00CD450E">
        <w:rPr>
          <w:b/>
          <w:bCs/>
          <w:i/>
          <w:szCs w:val="22"/>
        </w:rPr>
        <w:t xml:space="preserve"> mondiale  </w:t>
      </w:r>
    </w:p>
    <w:p w14:paraId="551A662E" w14:textId="77777777" w:rsidR="00713190" w:rsidRPr="00CD450E" w:rsidRDefault="00713190" w:rsidP="00713190">
      <w:pPr>
        <w:jc w:val="both"/>
        <w:rPr>
          <w:bCs/>
          <w:szCs w:val="22"/>
        </w:rPr>
      </w:pPr>
      <w:r w:rsidRPr="00CD450E">
        <w:rPr>
          <w:bCs/>
          <w:szCs w:val="22"/>
        </w:rPr>
        <w:t xml:space="preserve">Les politiques de sauvegarde environnementale et sociale de la Banque Mondiale qui peuvent s’appliquer aux activités du </w:t>
      </w:r>
      <w:r w:rsidRPr="00CD450E">
        <w:rPr>
          <w:szCs w:val="22"/>
        </w:rPr>
        <w:t xml:space="preserve">Projet d’Alimentation en Eau Potable de Kabala (financement additionnel) </w:t>
      </w:r>
      <w:r w:rsidRPr="00CD450E">
        <w:rPr>
          <w:bCs/>
          <w:szCs w:val="22"/>
        </w:rPr>
        <w:t xml:space="preserve">sont : la PO 4.01 relative à « l’Evaluation Environnementale »; la PO 4.11 relative aux « Ressources Culturelles Physiques » ; </w:t>
      </w:r>
      <w:r>
        <w:rPr>
          <w:bCs/>
          <w:szCs w:val="22"/>
        </w:rPr>
        <w:t xml:space="preserve">la </w:t>
      </w:r>
      <w:r w:rsidRPr="00CD450E">
        <w:rPr>
          <w:szCs w:val="22"/>
        </w:rPr>
        <w:t>PO 4.12 Réinstallation Involontaire des populations</w:t>
      </w:r>
      <w:r>
        <w:rPr>
          <w:bCs/>
          <w:szCs w:val="22"/>
        </w:rPr>
        <w:t xml:space="preserve"> </w:t>
      </w:r>
      <w:r w:rsidRPr="00CD450E">
        <w:rPr>
          <w:bCs/>
          <w:szCs w:val="22"/>
        </w:rPr>
        <w:t xml:space="preserve">et la PO </w:t>
      </w:r>
      <w:r>
        <w:rPr>
          <w:bCs/>
          <w:szCs w:val="22"/>
        </w:rPr>
        <w:t>7.50</w:t>
      </w:r>
      <w:r w:rsidRPr="00CD450E">
        <w:rPr>
          <w:bCs/>
          <w:szCs w:val="22"/>
        </w:rPr>
        <w:t xml:space="preserve"> relative aux </w:t>
      </w:r>
      <w:r>
        <w:rPr>
          <w:bCs/>
          <w:szCs w:val="22"/>
        </w:rPr>
        <w:t>« Voies d’Eaux Internationales »</w:t>
      </w:r>
      <w:r w:rsidRPr="00CD450E">
        <w:rPr>
          <w:bCs/>
          <w:szCs w:val="22"/>
        </w:rPr>
        <w:t>. Des mesures spécifiques sont proposées dans le CGES pour assurer le respect des exigences desdites politiques lors de la sélection des activités, de leurs sites d’implantation, et de leur exécution.</w:t>
      </w:r>
    </w:p>
    <w:p w14:paraId="70CEC474" w14:textId="77777777" w:rsidR="00713190" w:rsidRPr="00CD450E" w:rsidRDefault="00713190" w:rsidP="00713190">
      <w:pPr>
        <w:jc w:val="both"/>
        <w:rPr>
          <w:szCs w:val="22"/>
        </w:rPr>
      </w:pPr>
    </w:p>
    <w:p w14:paraId="47539CDD" w14:textId="77777777" w:rsidR="00713190" w:rsidRPr="00CD450E" w:rsidRDefault="00713190" w:rsidP="00713190">
      <w:pPr>
        <w:jc w:val="both"/>
        <w:rPr>
          <w:b/>
          <w:bCs/>
          <w:i/>
          <w:szCs w:val="22"/>
        </w:rPr>
      </w:pPr>
      <w:r w:rsidRPr="00CD450E">
        <w:rPr>
          <w:b/>
          <w:bCs/>
          <w:i/>
          <w:szCs w:val="22"/>
        </w:rPr>
        <w:t>Contraintes et sensibilités environnementales et sociales dans la zone d’intervention du projet :</w:t>
      </w:r>
    </w:p>
    <w:p w14:paraId="6DB59489" w14:textId="77777777" w:rsidR="00713190" w:rsidRPr="00CD450E" w:rsidRDefault="00713190" w:rsidP="00713190">
      <w:pPr>
        <w:jc w:val="both"/>
        <w:rPr>
          <w:bCs/>
          <w:szCs w:val="22"/>
        </w:rPr>
      </w:pPr>
      <w:r w:rsidRPr="00CD450E">
        <w:rPr>
          <w:bCs/>
          <w:szCs w:val="22"/>
        </w:rPr>
        <w:lastRenderedPageBreak/>
        <w:t xml:space="preserve">La zone d’intervention du </w:t>
      </w:r>
      <w:r w:rsidRPr="00CD450E">
        <w:rPr>
          <w:szCs w:val="22"/>
        </w:rPr>
        <w:t xml:space="preserve">Projet d’Alimentation en Eau Potable de Kabala (financement additionnel) </w:t>
      </w:r>
      <w:r w:rsidRPr="00CD450E">
        <w:rPr>
          <w:bCs/>
          <w:szCs w:val="22"/>
        </w:rPr>
        <w:t>est marquée par les contraintes et enjeux suivants :</w:t>
      </w:r>
      <w:r w:rsidRPr="00CD450E">
        <w:rPr>
          <w:szCs w:val="22"/>
        </w:rPr>
        <w:t xml:space="preserve"> </w:t>
      </w:r>
      <w:r>
        <w:rPr>
          <w:bCs/>
          <w:szCs w:val="22"/>
        </w:rPr>
        <w:t>l’émission de la poussière,</w:t>
      </w:r>
      <w:r w:rsidRPr="00CD450E">
        <w:rPr>
          <w:bCs/>
          <w:szCs w:val="22"/>
        </w:rPr>
        <w:t xml:space="preserve"> </w:t>
      </w:r>
      <w:r>
        <w:rPr>
          <w:bCs/>
          <w:szCs w:val="22"/>
        </w:rPr>
        <w:t xml:space="preserve">problème d’accès temporaire aux services et habitations, </w:t>
      </w:r>
      <w:r w:rsidRPr="00CD450E">
        <w:rPr>
          <w:bCs/>
          <w:szCs w:val="22"/>
        </w:rPr>
        <w:t>le bruit des engins utilisent au cours dans la réalisation des forages, de la construction des ouvrages et l’aménagement de la piste de desserte peuvent constituer une gêne pour les populations riveraines.</w:t>
      </w:r>
    </w:p>
    <w:p w14:paraId="6A104C32" w14:textId="77777777" w:rsidR="00713190" w:rsidRPr="00CD450E" w:rsidRDefault="00713190" w:rsidP="00713190">
      <w:pPr>
        <w:jc w:val="both"/>
        <w:rPr>
          <w:bCs/>
          <w:szCs w:val="22"/>
        </w:rPr>
      </w:pPr>
    </w:p>
    <w:p w14:paraId="0E4800E5" w14:textId="77777777" w:rsidR="00713190" w:rsidRPr="00890340" w:rsidRDefault="00713190" w:rsidP="00713190">
      <w:pPr>
        <w:spacing w:line="360" w:lineRule="auto"/>
        <w:jc w:val="both"/>
        <w:rPr>
          <w:b/>
          <w:i/>
          <w:szCs w:val="22"/>
        </w:rPr>
      </w:pPr>
      <w:r w:rsidRPr="00890340">
        <w:rPr>
          <w:b/>
          <w:i/>
          <w:szCs w:val="22"/>
        </w:rPr>
        <w:t>Le processus de sélection environnemental et social des projets</w:t>
      </w:r>
    </w:p>
    <w:p w14:paraId="7B5705CA" w14:textId="77777777" w:rsidR="00713190" w:rsidRDefault="00713190" w:rsidP="00713190">
      <w:pPr>
        <w:jc w:val="both"/>
        <w:rPr>
          <w:szCs w:val="22"/>
        </w:rPr>
      </w:pPr>
      <w:r>
        <w:rPr>
          <w:szCs w:val="22"/>
        </w:rPr>
        <w:t xml:space="preserve">Il décrit les différentes étapes d’analyse environnementale préliminaire à réaliser sitôt qu’une activité est décidée et que son site d’exécution est connu. Il aboutit à la classification de l’activité dans l’une des 03 catégories environnementales (A, B et C) ; </w:t>
      </w:r>
      <w:r w:rsidRPr="00713190">
        <w:rPr>
          <w:szCs w:val="22"/>
        </w:rPr>
        <w:t>tout sous-projet classé</w:t>
      </w:r>
      <w:r>
        <w:rPr>
          <w:szCs w:val="22"/>
        </w:rPr>
        <w:t xml:space="preserve"> en catégorie A ne sera pas financé car le projet est classé en catégorie B. </w:t>
      </w:r>
      <w:r w:rsidRPr="00977063">
        <w:rPr>
          <w:szCs w:val="22"/>
        </w:rPr>
        <w:t>Les annexes proposées dans ce CGES,</w:t>
      </w:r>
      <w:r>
        <w:rPr>
          <w:szCs w:val="22"/>
        </w:rPr>
        <w:t xml:space="preserve"> en particulier les modèles de formulaires de sélection environnementale et sociale (tamisage) des projets ou de suivi simplifié, ou encore les clauses environnementales et sociales à intégrer dans les dossiers d’appel d’offre et les contrats de marchés de travaux, permettent à la </w:t>
      </w:r>
      <w:r w:rsidRPr="003B33DB">
        <w:rPr>
          <w:szCs w:val="22"/>
        </w:rPr>
        <w:t>SOMAPEP SA de</w:t>
      </w:r>
      <w:r>
        <w:rPr>
          <w:szCs w:val="22"/>
        </w:rPr>
        <w:t xml:space="preserve"> réaliser cette analyse environnementale et faire approuver les résultats par la DNAPCN.</w:t>
      </w:r>
    </w:p>
    <w:p w14:paraId="548603DA" w14:textId="77777777" w:rsidR="00713190" w:rsidRPr="00890340" w:rsidRDefault="00713190" w:rsidP="00713190">
      <w:pPr>
        <w:jc w:val="both"/>
        <w:rPr>
          <w:szCs w:val="22"/>
        </w:rPr>
      </w:pPr>
    </w:p>
    <w:p w14:paraId="344EAA92" w14:textId="77777777" w:rsidR="00713190" w:rsidRPr="00890340" w:rsidRDefault="00713190" w:rsidP="00713190">
      <w:pPr>
        <w:jc w:val="both"/>
        <w:rPr>
          <w:rFonts w:cs="Courier New"/>
          <w:b/>
          <w:bCs/>
          <w:i/>
          <w:iCs/>
          <w:szCs w:val="22"/>
          <w:highlight w:val="green"/>
        </w:rPr>
      </w:pPr>
      <w:r w:rsidRPr="00890340">
        <w:rPr>
          <w:rFonts w:cs="Courier New"/>
          <w:b/>
          <w:bCs/>
          <w:i/>
          <w:iCs/>
          <w:szCs w:val="22"/>
        </w:rPr>
        <w:t xml:space="preserve">Mesures de renforcement de la Gestion Environnementale et Sociale  du </w:t>
      </w:r>
      <w:r>
        <w:rPr>
          <w:rFonts w:cs="Courier New"/>
          <w:b/>
          <w:bCs/>
          <w:i/>
          <w:iCs/>
          <w:szCs w:val="22"/>
        </w:rPr>
        <w:t>Projet d’Alimentation en Potable de Kabala (financement additionnel)</w:t>
      </w:r>
    </w:p>
    <w:p w14:paraId="48F27DDA" w14:textId="77777777" w:rsidR="00713190" w:rsidRPr="00890340" w:rsidRDefault="00713190" w:rsidP="00713190">
      <w:pPr>
        <w:jc w:val="both"/>
        <w:rPr>
          <w:szCs w:val="22"/>
        </w:rPr>
      </w:pPr>
      <w:r w:rsidRPr="008D0BD3">
        <w:rPr>
          <w:szCs w:val="22"/>
        </w:rPr>
        <w:t>Les enjeux environnementaux de la zone du projet nécessiter</w:t>
      </w:r>
      <w:r>
        <w:rPr>
          <w:szCs w:val="22"/>
        </w:rPr>
        <w:t>ont</w:t>
      </w:r>
      <w:r w:rsidRPr="008D0BD3">
        <w:rPr>
          <w:szCs w:val="22"/>
        </w:rPr>
        <w:t xml:space="preserve"> de renforcer la gestio</w:t>
      </w:r>
      <w:r>
        <w:rPr>
          <w:szCs w:val="22"/>
        </w:rPr>
        <w:t>n environnementale et sociale de la CEP</w:t>
      </w:r>
      <w:r w:rsidRPr="008D0BD3">
        <w:rPr>
          <w:szCs w:val="22"/>
        </w:rPr>
        <w:t xml:space="preserve"> par les mesures décrites suivantes : </w:t>
      </w:r>
    </w:p>
    <w:p w14:paraId="19D2F3BB" w14:textId="77777777" w:rsidR="00713190" w:rsidRPr="007100EC" w:rsidRDefault="00713190" w:rsidP="00713190">
      <w:pPr>
        <w:autoSpaceDE w:val="0"/>
        <w:autoSpaceDN w:val="0"/>
        <w:adjustRightInd w:val="0"/>
        <w:ind w:left="720"/>
        <w:jc w:val="both"/>
        <w:rPr>
          <w:iCs/>
          <w:szCs w:val="22"/>
        </w:rPr>
      </w:pPr>
    </w:p>
    <w:p w14:paraId="4CDD171D" w14:textId="77777777" w:rsidR="00713190" w:rsidRDefault="00713190" w:rsidP="00713190">
      <w:pPr>
        <w:numPr>
          <w:ilvl w:val="0"/>
          <w:numId w:val="2"/>
        </w:numPr>
        <w:autoSpaceDE w:val="0"/>
        <w:autoSpaceDN w:val="0"/>
        <w:adjustRightInd w:val="0"/>
        <w:jc w:val="both"/>
        <w:rPr>
          <w:iCs/>
          <w:szCs w:val="22"/>
        </w:rPr>
      </w:pPr>
      <w:r>
        <w:rPr>
          <w:iCs/>
          <w:szCs w:val="22"/>
        </w:rPr>
        <w:t>F</w:t>
      </w:r>
      <w:r w:rsidRPr="00890340">
        <w:rPr>
          <w:iCs/>
          <w:szCs w:val="22"/>
        </w:rPr>
        <w:t xml:space="preserve">ormation des acteurs impliqués </w:t>
      </w:r>
      <w:r>
        <w:rPr>
          <w:iCs/>
          <w:szCs w:val="22"/>
        </w:rPr>
        <w:t>dans la mise en œuvre du projet sur l’application des dispositions des instruments de sauvegarde, notamment le screening et le suivi environnemental</w:t>
      </w:r>
      <w:r w:rsidRPr="00890340">
        <w:rPr>
          <w:iCs/>
          <w:szCs w:val="22"/>
        </w:rPr>
        <w:t xml:space="preserve">; </w:t>
      </w:r>
    </w:p>
    <w:p w14:paraId="58CC86A1" w14:textId="77777777" w:rsidR="00713190" w:rsidRDefault="00713190" w:rsidP="00713190">
      <w:pPr>
        <w:numPr>
          <w:ilvl w:val="0"/>
          <w:numId w:val="2"/>
        </w:numPr>
        <w:autoSpaceDE w:val="0"/>
        <w:autoSpaceDN w:val="0"/>
        <w:adjustRightInd w:val="0"/>
        <w:jc w:val="both"/>
        <w:rPr>
          <w:iCs/>
          <w:szCs w:val="22"/>
        </w:rPr>
      </w:pPr>
      <w:r>
        <w:rPr>
          <w:iCs/>
          <w:szCs w:val="22"/>
        </w:rPr>
        <w:t>I</w:t>
      </w:r>
      <w:r w:rsidRPr="00890340">
        <w:rPr>
          <w:iCs/>
          <w:szCs w:val="22"/>
        </w:rPr>
        <w:t xml:space="preserve">nformation et </w:t>
      </w:r>
      <w:r>
        <w:rPr>
          <w:iCs/>
          <w:szCs w:val="22"/>
        </w:rPr>
        <w:t>Se</w:t>
      </w:r>
      <w:r w:rsidRPr="00890340">
        <w:rPr>
          <w:iCs/>
          <w:szCs w:val="22"/>
        </w:rPr>
        <w:t>nsibilisation des</w:t>
      </w:r>
      <w:r>
        <w:rPr>
          <w:iCs/>
          <w:szCs w:val="22"/>
        </w:rPr>
        <w:t xml:space="preserve"> bénéficiaires sur les problématiques liés à la pose des canalisations</w:t>
      </w:r>
      <w:r w:rsidRPr="00890340">
        <w:rPr>
          <w:iCs/>
          <w:szCs w:val="22"/>
        </w:rPr>
        <w:t> </w:t>
      </w:r>
      <w:r>
        <w:rPr>
          <w:iCs/>
          <w:szCs w:val="22"/>
        </w:rPr>
        <w:t xml:space="preserve">et aux bruits des engins de réalisation des travaux </w:t>
      </w:r>
      <w:r w:rsidRPr="00890340">
        <w:rPr>
          <w:iCs/>
          <w:szCs w:val="22"/>
        </w:rPr>
        <w:t>;</w:t>
      </w:r>
    </w:p>
    <w:p w14:paraId="3955B930" w14:textId="77777777" w:rsidR="00713190" w:rsidRDefault="00713190" w:rsidP="00713190">
      <w:pPr>
        <w:numPr>
          <w:ilvl w:val="0"/>
          <w:numId w:val="2"/>
        </w:numPr>
        <w:autoSpaceDE w:val="0"/>
        <w:autoSpaceDN w:val="0"/>
        <w:adjustRightInd w:val="0"/>
        <w:jc w:val="both"/>
        <w:rPr>
          <w:iCs/>
          <w:szCs w:val="22"/>
        </w:rPr>
      </w:pPr>
      <w:r>
        <w:rPr>
          <w:iCs/>
          <w:szCs w:val="22"/>
        </w:rPr>
        <w:t>Réalisation d’EIE de catégorie B et intégration effective des mesures d’atténuation dans les activités concernées ;</w:t>
      </w:r>
    </w:p>
    <w:p w14:paraId="28AE3317" w14:textId="77777777" w:rsidR="00713190" w:rsidRPr="000667C5" w:rsidRDefault="00713190" w:rsidP="00713190">
      <w:pPr>
        <w:numPr>
          <w:ilvl w:val="0"/>
          <w:numId w:val="2"/>
        </w:numPr>
        <w:autoSpaceDE w:val="0"/>
        <w:autoSpaceDN w:val="0"/>
        <w:adjustRightInd w:val="0"/>
        <w:jc w:val="both"/>
        <w:rPr>
          <w:iCs/>
          <w:szCs w:val="22"/>
        </w:rPr>
      </w:pPr>
      <w:r>
        <w:rPr>
          <w:iCs/>
          <w:szCs w:val="22"/>
        </w:rPr>
        <w:t>suivi</w:t>
      </w:r>
      <w:r w:rsidRPr="00890340">
        <w:rPr>
          <w:iCs/>
          <w:szCs w:val="22"/>
        </w:rPr>
        <w:t xml:space="preserve"> de</w:t>
      </w:r>
      <w:r>
        <w:rPr>
          <w:iCs/>
          <w:szCs w:val="22"/>
        </w:rPr>
        <w:t xml:space="preserve"> la</w:t>
      </w:r>
      <w:r w:rsidRPr="00890340">
        <w:rPr>
          <w:iCs/>
          <w:szCs w:val="22"/>
        </w:rPr>
        <w:t xml:space="preserve"> conformité </w:t>
      </w:r>
      <w:r w:rsidRPr="000667C5">
        <w:rPr>
          <w:iCs/>
          <w:szCs w:val="22"/>
        </w:rPr>
        <w:t xml:space="preserve">environnementale et sociale </w:t>
      </w:r>
      <w:r>
        <w:rPr>
          <w:iCs/>
          <w:szCs w:val="22"/>
        </w:rPr>
        <w:t>des activités financées</w:t>
      </w:r>
      <w:r w:rsidRPr="000667C5">
        <w:rPr>
          <w:iCs/>
          <w:szCs w:val="22"/>
        </w:rPr>
        <w:t>.</w:t>
      </w:r>
    </w:p>
    <w:p w14:paraId="3DEACC3A" w14:textId="77777777" w:rsidR="00713190" w:rsidRDefault="00713190" w:rsidP="00713190">
      <w:pPr>
        <w:jc w:val="both"/>
        <w:rPr>
          <w:szCs w:val="22"/>
        </w:rPr>
      </w:pPr>
    </w:p>
    <w:p w14:paraId="73A9A2DC" w14:textId="77777777" w:rsidR="00713190" w:rsidRPr="00890340" w:rsidRDefault="00713190" w:rsidP="00713190">
      <w:pPr>
        <w:jc w:val="both"/>
        <w:rPr>
          <w:b/>
          <w:i/>
          <w:szCs w:val="22"/>
        </w:rPr>
      </w:pPr>
      <w:r w:rsidRPr="000667C5">
        <w:rPr>
          <w:b/>
          <w:i/>
          <w:szCs w:val="22"/>
        </w:rPr>
        <w:t>Les dispositifs institutionnels de</w:t>
      </w:r>
      <w:r w:rsidRPr="00890340">
        <w:rPr>
          <w:b/>
          <w:i/>
          <w:szCs w:val="22"/>
        </w:rPr>
        <w:t xml:space="preserve"> suivi environnemental</w:t>
      </w:r>
      <w:r w:rsidRPr="00473505">
        <w:rPr>
          <w:b/>
          <w:i/>
          <w:szCs w:val="22"/>
        </w:rPr>
        <w:t xml:space="preserve"> </w:t>
      </w:r>
      <w:r>
        <w:rPr>
          <w:b/>
          <w:i/>
          <w:szCs w:val="22"/>
        </w:rPr>
        <w:t xml:space="preserve">et social </w:t>
      </w:r>
      <w:r w:rsidRPr="000667C5">
        <w:rPr>
          <w:b/>
          <w:i/>
          <w:szCs w:val="22"/>
        </w:rPr>
        <w:t xml:space="preserve">de </w:t>
      </w:r>
      <w:r>
        <w:rPr>
          <w:b/>
          <w:i/>
          <w:szCs w:val="22"/>
        </w:rPr>
        <w:t xml:space="preserve">la </w:t>
      </w:r>
      <w:r w:rsidRPr="000667C5">
        <w:rPr>
          <w:b/>
          <w:i/>
          <w:szCs w:val="22"/>
        </w:rPr>
        <w:t>mise en œuvre</w:t>
      </w:r>
    </w:p>
    <w:p w14:paraId="4DD9D14D" w14:textId="77777777" w:rsidR="00713190" w:rsidRPr="00422552" w:rsidRDefault="00713190" w:rsidP="00713190">
      <w:pPr>
        <w:jc w:val="both"/>
        <w:rPr>
          <w:szCs w:val="22"/>
        </w:rPr>
      </w:pPr>
      <w:r w:rsidRPr="00422552">
        <w:rPr>
          <w:szCs w:val="22"/>
        </w:rPr>
        <w:t xml:space="preserve">Le suivi-évaluation </w:t>
      </w:r>
      <w:r>
        <w:rPr>
          <w:szCs w:val="22"/>
        </w:rPr>
        <w:t xml:space="preserve">environnemental </w:t>
      </w:r>
      <w:r w:rsidRPr="00422552">
        <w:rPr>
          <w:szCs w:val="22"/>
        </w:rPr>
        <w:t>sera effectué comme ci-dessous :</w:t>
      </w:r>
    </w:p>
    <w:p w14:paraId="383F48B8" w14:textId="77777777" w:rsidR="00713190" w:rsidRDefault="00713190" w:rsidP="00713190">
      <w:pPr>
        <w:numPr>
          <w:ilvl w:val="0"/>
          <w:numId w:val="1"/>
        </w:numPr>
        <w:jc w:val="both"/>
        <w:rPr>
          <w:szCs w:val="22"/>
        </w:rPr>
      </w:pPr>
      <w:r w:rsidRPr="00422552">
        <w:rPr>
          <w:szCs w:val="22"/>
          <w:u w:val="single"/>
        </w:rPr>
        <w:t xml:space="preserve">La </w:t>
      </w:r>
      <w:r>
        <w:rPr>
          <w:szCs w:val="22"/>
          <w:u w:val="single"/>
        </w:rPr>
        <w:t>coordination/</w:t>
      </w:r>
      <w:r w:rsidRPr="00422552">
        <w:rPr>
          <w:szCs w:val="22"/>
          <w:u w:val="single"/>
        </w:rPr>
        <w:t>supervision </w:t>
      </w:r>
      <w:r w:rsidRPr="00422552">
        <w:rPr>
          <w:szCs w:val="22"/>
        </w:rPr>
        <w:t xml:space="preserve">des activités </w:t>
      </w:r>
      <w:r>
        <w:rPr>
          <w:szCs w:val="22"/>
        </w:rPr>
        <w:t>de gestion environnementale est assuré par le Chargé des Sauvegarde environnementales et sociales (CSES) du projet au sein de la CEP ;</w:t>
      </w:r>
    </w:p>
    <w:p w14:paraId="6ED59B33" w14:textId="77777777" w:rsidR="00713190" w:rsidRPr="0032418D" w:rsidRDefault="00713190" w:rsidP="00713190">
      <w:pPr>
        <w:numPr>
          <w:ilvl w:val="0"/>
          <w:numId w:val="1"/>
        </w:numPr>
        <w:jc w:val="both"/>
        <w:rPr>
          <w:szCs w:val="22"/>
        </w:rPr>
      </w:pPr>
      <w:r w:rsidRPr="0032418D">
        <w:rPr>
          <w:szCs w:val="22"/>
          <w:u w:val="single"/>
        </w:rPr>
        <w:t>La surveillance (suivi interne de proximité)</w:t>
      </w:r>
      <w:r w:rsidRPr="0032418D">
        <w:rPr>
          <w:szCs w:val="22"/>
        </w:rPr>
        <w:t xml:space="preserve"> de l’exécution des mesures environnementales sera assurée par les Chargés des Sauvegardes Environnementales et Sociales  (CSES) des </w:t>
      </w:r>
      <w:r>
        <w:rPr>
          <w:szCs w:val="22"/>
        </w:rPr>
        <w:t xml:space="preserve">bureaux d’études </w:t>
      </w:r>
      <w:r w:rsidRPr="0032418D">
        <w:rPr>
          <w:szCs w:val="22"/>
        </w:rPr>
        <w:t xml:space="preserve"> de la mise en œuvre des composantes pertinentes ; </w:t>
      </w:r>
    </w:p>
    <w:p w14:paraId="13AFE3FF" w14:textId="77777777" w:rsidR="00713190" w:rsidRPr="00422552" w:rsidRDefault="00713190" w:rsidP="00713190">
      <w:pPr>
        <w:numPr>
          <w:ilvl w:val="0"/>
          <w:numId w:val="1"/>
        </w:numPr>
        <w:jc w:val="both"/>
        <w:rPr>
          <w:szCs w:val="22"/>
        </w:rPr>
      </w:pPr>
      <w:r w:rsidRPr="00422552">
        <w:rPr>
          <w:szCs w:val="22"/>
          <w:u w:val="single"/>
        </w:rPr>
        <w:t>Le suivi externe</w:t>
      </w:r>
      <w:r>
        <w:rPr>
          <w:szCs w:val="22"/>
          <w:u w:val="single"/>
        </w:rPr>
        <w:t xml:space="preserve"> (inspection ou contrôle régalien)</w:t>
      </w:r>
      <w:r w:rsidRPr="00422552">
        <w:rPr>
          <w:szCs w:val="22"/>
        </w:rPr>
        <w:t xml:space="preserve"> sera effectué par </w:t>
      </w:r>
      <w:r>
        <w:rPr>
          <w:szCs w:val="22"/>
        </w:rPr>
        <w:t>la DNACPN et ses services régionaux</w:t>
      </w:r>
      <w:r w:rsidRPr="0032418D">
        <w:rPr>
          <w:szCs w:val="22"/>
        </w:rPr>
        <w:t xml:space="preserve"> </w:t>
      </w:r>
      <w:r>
        <w:rPr>
          <w:szCs w:val="22"/>
        </w:rPr>
        <w:t>;</w:t>
      </w:r>
    </w:p>
    <w:p w14:paraId="5DCA79D6" w14:textId="77777777" w:rsidR="00713190" w:rsidRDefault="00713190" w:rsidP="00713190">
      <w:pPr>
        <w:numPr>
          <w:ilvl w:val="0"/>
          <w:numId w:val="1"/>
        </w:numPr>
        <w:tabs>
          <w:tab w:val="left" w:pos="90"/>
        </w:tabs>
        <w:jc w:val="both"/>
        <w:rPr>
          <w:szCs w:val="22"/>
        </w:rPr>
      </w:pPr>
      <w:r w:rsidRPr="00422552">
        <w:rPr>
          <w:szCs w:val="22"/>
          <w:u w:val="single"/>
        </w:rPr>
        <w:t>L’évaluation</w:t>
      </w:r>
      <w:r w:rsidRPr="00422552">
        <w:rPr>
          <w:szCs w:val="22"/>
        </w:rPr>
        <w:t xml:space="preserve"> sera effectuée par des Consultants indépendants (à mi-parcours et à la fin du projet).</w:t>
      </w:r>
    </w:p>
    <w:p w14:paraId="3BB0FC88" w14:textId="77777777" w:rsidR="00713190" w:rsidRDefault="00713190" w:rsidP="00713190">
      <w:pPr>
        <w:tabs>
          <w:tab w:val="left" w:pos="90"/>
        </w:tabs>
        <w:jc w:val="both"/>
        <w:rPr>
          <w:szCs w:val="22"/>
        </w:rPr>
      </w:pPr>
    </w:p>
    <w:p w14:paraId="0FD4B591" w14:textId="77777777" w:rsidR="00713190" w:rsidRDefault="00713190" w:rsidP="00713190">
      <w:pPr>
        <w:tabs>
          <w:tab w:val="left" w:pos="90"/>
        </w:tabs>
        <w:jc w:val="both"/>
        <w:rPr>
          <w:szCs w:val="22"/>
        </w:rPr>
      </w:pPr>
      <w:r w:rsidRPr="0082158A">
        <w:rPr>
          <w:szCs w:val="22"/>
        </w:rPr>
        <w:t xml:space="preserve">Ces mesures sont estimées à </w:t>
      </w:r>
      <w:r w:rsidRPr="006575E4">
        <w:rPr>
          <w:b/>
          <w:szCs w:val="22"/>
        </w:rPr>
        <w:t>292 000 000 FCFA</w:t>
      </w:r>
      <w:r w:rsidRPr="0082158A">
        <w:rPr>
          <w:b/>
          <w:szCs w:val="22"/>
        </w:rPr>
        <w:t xml:space="preserve"> </w:t>
      </w:r>
      <w:r>
        <w:rPr>
          <w:b/>
          <w:szCs w:val="22"/>
        </w:rPr>
        <w:t xml:space="preserve">(584 000 US$) </w:t>
      </w:r>
      <w:r w:rsidRPr="0082158A">
        <w:rPr>
          <w:szCs w:val="22"/>
        </w:rPr>
        <w:t>qui seront</w:t>
      </w:r>
      <w:r w:rsidRPr="0082158A">
        <w:rPr>
          <w:b/>
          <w:szCs w:val="22"/>
        </w:rPr>
        <w:t xml:space="preserve"> </w:t>
      </w:r>
      <w:r w:rsidRPr="0082158A">
        <w:rPr>
          <w:szCs w:val="22"/>
        </w:rPr>
        <w:t>intégrés dans les coûts du projet.</w:t>
      </w:r>
    </w:p>
    <w:p w14:paraId="6E462C14" w14:textId="77777777" w:rsidR="00713190" w:rsidRDefault="00713190" w:rsidP="00713190">
      <w:pPr>
        <w:tabs>
          <w:tab w:val="left" w:pos="90"/>
        </w:tabs>
        <w:jc w:val="both"/>
        <w:rPr>
          <w:szCs w:val="22"/>
        </w:rPr>
      </w:pPr>
    </w:p>
    <w:p w14:paraId="1515E225" w14:textId="77777777" w:rsidR="00713190" w:rsidRDefault="00713190" w:rsidP="00713190">
      <w:pPr>
        <w:jc w:val="both"/>
        <w:rPr>
          <w:bCs/>
          <w:szCs w:val="22"/>
        </w:rPr>
      </w:pPr>
    </w:p>
    <w:p w14:paraId="0391680F" w14:textId="77777777" w:rsidR="00713190" w:rsidRDefault="00713190" w:rsidP="00713190">
      <w:pPr>
        <w:jc w:val="both"/>
        <w:rPr>
          <w:bCs/>
          <w:szCs w:val="22"/>
        </w:rPr>
      </w:pPr>
    </w:p>
    <w:p w14:paraId="7C51A6EA" w14:textId="77777777" w:rsidR="00713190" w:rsidRDefault="00713190" w:rsidP="00713190">
      <w:pPr>
        <w:jc w:val="both"/>
        <w:rPr>
          <w:bCs/>
          <w:szCs w:val="22"/>
        </w:rPr>
      </w:pPr>
    </w:p>
    <w:p w14:paraId="637D6A4C" w14:textId="77777777" w:rsidR="00713190" w:rsidRDefault="00713190" w:rsidP="00713190">
      <w:pPr>
        <w:jc w:val="both"/>
        <w:rPr>
          <w:bCs/>
          <w:szCs w:val="22"/>
        </w:rPr>
      </w:pPr>
    </w:p>
    <w:p w14:paraId="5D63D939" w14:textId="77777777" w:rsidR="00713190" w:rsidRPr="00CD450E" w:rsidRDefault="00713190" w:rsidP="00713190">
      <w:pPr>
        <w:jc w:val="both"/>
        <w:rPr>
          <w:bCs/>
          <w:szCs w:val="22"/>
        </w:rPr>
      </w:pPr>
    </w:p>
    <w:p w14:paraId="5A9143F6" w14:textId="77777777" w:rsidR="00713190" w:rsidRPr="00573353" w:rsidRDefault="00713190" w:rsidP="00713190">
      <w:pPr>
        <w:pStyle w:val="Caption"/>
        <w:keepNext/>
        <w:spacing w:after="120"/>
        <w:jc w:val="center"/>
        <w:rPr>
          <w:b w:val="0"/>
          <w:bCs w:val="0"/>
        </w:rPr>
      </w:pPr>
      <w:bookmarkStart w:id="3" w:name="_Toc450589836"/>
      <w:r w:rsidRPr="00573353">
        <w:lastRenderedPageBreak/>
        <w:t xml:space="preserve">Tableau </w:t>
      </w:r>
      <w:r w:rsidRPr="00CB42EE">
        <w:fldChar w:fldCharType="begin"/>
      </w:r>
      <w:r w:rsidRPr="00573353">
        <w:instrText xml:space="preserve"> SEQ Tableau \* ARABIC </w:instrText>
      </w:r>
      <w:r w:rsidRPr="00CB42EE">
        <w:fldChar w:fldCharType="separate"/>
      </w:r>
      <w:r>
        <w:rPr>
          <w:noProof/>
        </w:rPr>
        <w:t>1</w:t>
      </w:r>
      <w:r w:rsidRPr="00CB42EE">
        <w:fldChar w:fldCharType="end"/>
      </w:r>
      <w:r w:rsidRPr="00573353">
        <w:t>: Impacts environnementaux et sociaux positifs du Projet</w:t>
      </w:r>
      <w:bookmarkEnd w:id="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39"/>
        <w:gridCol w:w="3110"/>
        <w:gridCol w:w="1418"/>
      </w:tblGrid>
      <w:tr w:rsidR="00713190" w:rsidRPr="00CD450E" w14:paraId="58CC4785" w14:textId="77777777" w:rsidTr="0073497F">
        <w:trPr>
          <w:tblHeader/>
        </w:trPr>
        <w:tc>
          <w:tcPr>
            <w:tcW w:w="9351" w:type="dxa"/>
            <w:gridSpan w:val="4"/>
            <w:shd w:val="clear" w:color="auto" w:fill="auto"/>
            <w:vAlign w:val="center"/>
          </w:tcPr>
          <w:p w14:paraId="11E90F8F" w14:textId="77777777" w:rsidR="00713190" w:rsidRDefault="00713190" w:rsidP="0073497F">
            <w:pPr>
              <w:autoSpaceDE w:val="0"/>
              <w:autoSpaceDN w:val="0"/>
              <w:adjustRightInd w:val="0"/>
              <w:jc w:val="center"/>
              <w:rPr>
                <w:rFonts w:ascii="Arial" w:eastAsia="Calibri" w:hAnsi="Arial" w:cs="Arial"/>
                <w:b/>
                <w:sz w:val="18"/>
                <w:szCs w:val="18"/>
              </w:rPr>
            </w:pPr>
            <w:r w:rsidRPr="00760714">
              <w:rPr>
                <w:rFonts w:ascii="Arial" w:eastAsia="Calibri" w:hAnsi="Arial" w:cs="Arial"/>
                <w:b/>
                <w:sz w:val="18"/>
                <w:szCs w:val="18"/>
              </w:rPr>
              <w:t xml:space="preserve">Renforcement du système d’alimentation en eau potable de six (6) centres </w:t>
            </w:r>
          </w:p>
          <w:p w14:paraId="35069699" w14:textId="77777777" w:rsidR="00713190" w:rsidRPr="00760714" w:rsidRDefault="00713190" w:rsidP="0073497F">
            <w:pPr>
              <w:autoSpaceDE w:val="0"/>
              <w:autoSpaceDN w:val="0"/>
              <w:adjustRightInd w:val="0"/>
              <w:jc w:val="center"/>
              <w:rPr>
                <w:rFonts w:ascii="Arial" w:hAnsi="Arial" w:cs="Arial"/>
                <w:b/>
                <w:sz w:val="18"/>
                <w:szCs w:val="18"/>
              </w:rPr>
            </w:pPr>
            <w:r w:rsidRPr="00760714">
              <w:rPr>
                <w:rFonts w:ascii="Arial" w:eastAsia="Calibri" w:hAnsi="Arial" w:cs="Arial"/>
                <w:b/>
                <w:sz w:val="18"/>
                <w:szCs w:val="18"/>
              </w:rPr>
              <w:t xml:space="preserve">Kita, </w:t>
            </w:r>
            <w:proofErr w:type="spellStart"/>
            <w:r w:rsidRPr="00760714">
              <w:rPr>
                <w:rFonts w:ascii="Arial" w:eastAsia="Calibri" w:hAnsi="Arial" w:cs="Arial"/>
                <w:b/>
                <w:sz w:val="18"/>
                <w:szCs w:val="18"/>
              </w:rPr>
              <w:t>Markala</w:t>
            </w:r>
            <w:proofErr w:type="spellEnd"/>
            <w:r w:rsidRPr="00760714">
              <w:rPr>
                <w:rFonts w:ascii="Arial" w:eastAsia="Calibri" w:hAnsi="Arial" w:cs="Arial"/>
                <w:b/>
                <w:sz w:val="18"/>
                <w:szCs w:val="18"/>
              </w:rPr>
              <w:t xml:space="preserve">, </w:t>
            </w:r>
            <w:proofErr w:type="spellStart"/>
            <w:r w:rsidRPr="00760714">
              <w:rPr>
                <w:rFonts w:ascii="Arial" w:eastAsia="Calibri" w:hAnsi="Arial" w:cs="Arial"/>
                <w:b/>
                <w:sz w:val="18"/>
                <w:szCs w:val="18"/>
              </w:rPr>
              <w:t>Selingué</w:t>
            </w:r>
            <w:proofErr w:type="spellEnd"/>
            <w:r w:rsidRPr="00760714">
              <w:rPr>
                <w:rFonts w:ascii="Arial" w:eastAsia="Calibri" w:hAnsi="Arial" w:cs="Arial"/>
                <w:b/>
                <w:sz w:val="18"/>
                <w:szCs w:val="18"/>
              </w:rPr>
              <w:t>, Gao, Bougouni et Nioro</w:t>
            </w:r>
          </w:p>
        </w:tc>
      </w:tr>
      <w:tr w:rsidR="00713190" w:rsidRPr="00CD450E" w14:paraId="1C0ADB5F" w14:textId="77777777" w:rsidTr="0073497F">
        <w:tc>
          <w:tcPr>
            <w:tcW w:w="1384" w:type="dxa"/>
            <w:shd w:val="clear" w:color="auto" w:fill="auto"/>
            <w:vAlign w:val="center"/>
          </w:tcPr>
          <w:p w14:paraId="2FE08E49" w14:textId="77777777" w:rsidR="00713190" w:rsidRPr="005C4930" w:rsidRDefault="00713190" w:rsidP="0073497F">
            <w:pPr>
              <w:autoSpaceDE w:val="0"/>
              <w:autoSpaceDN w:val="0"/>
              <w:adjustRightInd w:val="0"/>
              <w:jc w:val="center"/>
              <w:rPr>
                <w:rFonts w:ascii="Arial" w:hAnsi="Arial" w:cs="Arial"/>
                <w:b/>
                <w:sz w:val="18"/>
                <w:szCs w:val="18"/>
              </w:rPr>
            </w:pPr>
            <w:r>
              <w:rPr>
                <w:rFonts w:ascii="Arial" w:hAnsi="Arial" w:cs="Arial"/>
                <w:b/>
                <w:sz w:val="18"/>
                <w:szCs w:val="18"/>
              </w:rPr>
              <w:t>villes</w:t>
            </w:r>
          </w:p>
        </w:tc>
        <w:tc>
          <w:tcPr>
            <w:tcW w:w="3439" w:type="dxa"/>
            <w:shd w:val="clear" w:color="auto" w:fill="auto"/>
            <w:vAlign w:val="center"/>
          </w:tcPr>
          <w:p w14:paraId="54BF5F9C" w14:textId="77777777" w:rsidR="00713190" w:rsidRPr="005C4930" w:rsidRDefault="00713190" w:rsidP="0073497F">
            <w:pPr>
              <w:autoSpaceDE w:val="0"/>
              <w:autoSpaceDN w:val="0"/>
              <w:adjustRightInd w:val="0"/>
              <w:jc w:val="center"/>
              <w:rPr>
                <w:rFonts w:ascii="Arial" w:hAnsi="Arial" w:cs="Arial"/>
                <w:b/>
                <w:sz w:val="18"/>
                <w:szCs w:val="18"/>
              </w:rPr>
            </w:pPr>
            <w:r w:rsidRPr="005C4930">
              <w:rPr>
                <w:rFonts w:ascii="Arial" w:hAnsi="Arial" w:cs="Arial"/>
                <w:b/>
                <w:sz w:val="18"/>
                <w:szCs w:val="18"/>
              </w:rPr>
              <w:t>Activités</w:t>
            </w:r>
          </w:p>
        </w:tc>
        <w:tc>
          <w:tcPr>
            <w:tcW w:w="3110" w:type="dxa"/>
            <w:shd w:val="clear" w:color="auto" w:fill="auto"/>
            <w:vAlign w:val="center"/>
          </w:tcPr>
          <w:p w14:paraId="4CC3BC63" w14:textId="77777777" w:rsidR="00713190" w:rsidRPr="005C4930" w:rsidRDefault="00713190" w:rsidP="0073497F">
            <w:pPr>
              <w:autoSpaceDE w:val="0"/>
              <w:autoSpaceDN w:val="0"/>
              <w:adjustRightInd w:val="0"/>
              <w:jc w:val="center"/>
              <w:rPr>
                <w:rFonts w:ascii="Arial" w:hAnsi="Arial" w:cs="Arial"/>
                <w:b/>
                <w:sz w:val="18"/>
                <w:szCs w:val="18"/>
              </w:rPr>
            </w:pPr>
            <w:r w:rsidRPr="005C4930">
              <w:rPr>
                <w:rFonts w:ascii="Arial" w:hAnsi="Arial" w:cs="Arial"/>
                <w:b/>
                <w:sz w:val="18"/>
                <w:szCs w:val="18"/>
              </w:rPr>
              <w:t>Impacts</w:t>
            </w:r>
          </w:p>
        </w:tc>
        <w:tc>
          <w:tcPr>
            <w:tcW w:w="1418" w:type="dxa"/>
            <w:shd w:val="clear" w:color="auto" w:fill="auto"/>
            <w:vAlign w:val="center"/>
          </w:tcPr>
          <w:p w14:paraId="0C1EFE34" w14:textId="77777777" w:rsidR="00713190" w:rsidRPr="005C4930" w:rsidRDefault="00713190" w:rsidP="0073497F">
            <w:pPr>
              <w:autoSpaceDE w:val="0"/>
              <w:autoSpaceDN w:val="0"/>
              <w:adjustRightInd w:val="0"/>
              <w:jc w:val="both"/>
              <w:rPr>
                <w:rFonts w:ascii="Arial" w:hAnsi="Arial" w:cs="Arial"/>
                <w:b/>
                <w:sz w:val="18"/>
                <w:szCs w:val="18"/>
              </w:rPr>
            </w:pPr>
            <w:r w:rsidRPr="005C4930">
              <w:rPr>
                <w:rFonts w:ascii="Arial" w:hAnsi="Arial" w:cs="Arial"/>
                <w:b/>
                <w:sz w:val="18"/>
                <w:szCs w:val="18"/>
              </w:rPr>
              <w:t>Importance potentielle de l’impact</w:t>
            </w:r>
          </w:p>
        </w:tc>
      </w:tr>
      <w:tr w:rsidR="00713190" w:rsidRPr="00CD450E" w14:paraId="640F044E" w14:textId="77777777" w:rsidTr="0073497F">
        <w:tc>
          <w:tcPr>
            <w:tcW w:w="1384" w:type="dxa"/>
            <w:vMerge w:val="restart"/>
            <w:shd w:val="clear" w:color="auto" w:fill="auto"/>
            <w:vAlign w:val="center"/>
          </w:tcPr>
          <w:p w14:paraId="678E941D" w14:textId="77777777" w:rsidR="00713190" w:rsidRPr="005C4930" w:rsidRDefault="00713190" w:rsidP="0073497F">
            <w:pPr>
              <w:pStyle w:val="ListParagraph"/>
              <w:ind w:left="0"/>
              <w:rPr>
                <w:rFonts w:ascii="Arial" w:hAnsi="Arial" w:cs="Arial"/>
                <w:color w:val="222222"/>
                <w:sz w:val="18"/>
                <w:szCs w:val="18"/>
              </w:rPr>
            </w:pPr>
            <w:r w:rsidRPr="00570360">
              <w:rPr>
                <w:rFonts w:ascii="Arial" w:hAnsi="Arial" w:cs="Arial"/>
                <w:b/>
                <w:color w:val="222222"/>
                <w:sz w:val="18"/>
                <w:szCs w:val="18"/>
              </w:rPr>
              <w:t>BOUGOUNI</w:t>
            </w:r>
          </w:p>
        </w:tc>
        <w:tc>
          <w:tcPr>
            <w:tcW w:w="3439" w:type="dxa"/>
            <w:shd w:val="clear" w:color="auto" w:fill="auto"/>
            <w:vAlign w:val="center"/>
          </w:tcPr>
          <w:p w14:paraId="63D51D1C"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Réhabilitation de la station d’exhaure d’eau brute (Aménagement de la route d’accès à l’exhaure. Réhabilitation génie civil de la retenue d’eau et du puits d’exhaure)</w:t>
            </w:r>
          </w:p>
        </w:tc>
        <w:tc>
          <w:tcPr>
            <w:tcW w:w="3110" w:type="dxa"/>
            <w:shd w:val="clear" w:color="auto" w:fill="auto"/>
            <w:vAlign w:val="center"/>
          </w:tcPr>
          <w:p w14:paraId="01CAAFB1"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Meilleure production d’eau brute pour le traitement</w:t>
            </w:r>
          </w:p>
        </w:tc>
        <w:tc>
          <w:tcPr>
            <w:tcW w:w="1418" w:type="dxa"/>
            <w:shd w:val="clear" w:color="auto" w:fill="auto"/>
            <w:vAlign w:val="center"/>
          </w:tcPr>
          <w:p w14:paraId="57C2B7B8"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54B9128F" w14:textId="77777777" w:rsidTr="0073497F">
        <w:tc>
          <w:tcPr>
            <w:tcW w:w="1384" w:type="dxa"/>
            <w:vMerge/>
            <w:shd w:val="clear" w:color="auto" w:fill="auto"/>
            <w:vAlign w:val="center"/>
          </w:tcPr>
          <w:p w14:paraId="2F251BD9"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3DAA22CF"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Réhabilitation et renforcement de la station de traitement avec augmentation de la capacité de production de 1500 m³/j supplémentaire </w:t>
            </w:r>
          </w:p>
        </w:tc>
        <w:tc>
          <w:tcPr>
            <w:tcW w:w="3110" w:type="dxa"/>
            <w:shd w:val="clear" w:color="auto" w:fill="auto"/>
            <w:vAlign w:val="center"/>
          </w:tcPr>
          <w:p w14:paraId="430623E9"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Augmentation de la quantité et de la qualité de l’eau potable </w:t>
            </w:r>
          </w:p>
        </w:tc>
        <w:tc>
          <w:tcPr>
            <w:tcW w:w="1418" w:type="dxa"/>
            <w:shd w:val="clear" w:color="auto" w:fill="auto"/>
            <w:vAlign w:val="center"/>
          </w:tcPr>
          <w:p w14:paraId="5D9C6AC6"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34C874E9" w14:textId="77777777" w:rsidTr="0073497F">
        <w:tc>
          <w:tcPr>
            <w:tcW w:w="1384" w:type="dxa"/>
            <w:vMerge/>
            <w:shd w:val="clear" w:color="auto" w:fill="auto"/>
            <w:vAlign w:val="center"/>
          </w:tcPr>
          <w:p w14:paraId="5B09CF9D"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226EA7CF"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Installation d’une vanne murale pour isoler le puits lors des travaux de curage.</w:t>
            </w:r>
          </w:p>
        </w:tc>
        <w:tc>
          <w:tcPr>
            <w:tcW w:w="3110" w:type="dxa"/>
            <w:shd w:val="clear" w:color="auto" w:fill="auto"/>
            <w:vAlign w:val="center"/>
          </w:tcPr>
          <w:p w14:paraId="0A2867A6"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Meilleure production d’eau brute pour le traitement</w:t>
            </w:r>
          </w:p>
        </w:tc>
        <w:tc>
          <w:tcPr>
            <w:tcW w:w="1418" w:type="dxa"/>
            <w:shd w:val="clear" w:color="auto" w:fill="auto"/>
            <w:vAlign w:val="center"/>
          </w:tcPr>
          <w:p w14:paraId="4B1D0EAA" w14:textId="77777777" w:rsidR="00713190" w:rsidRPr="005C4930" w:rsidRDefault="00713190" w:rsidP="0073497F">
            <w:pPr>
              <w:pStyle w:val="ListParagraph"/>
              <w:ind w:left="0"/>
              <w:rPr>
                <w:rFonts w:ascii="Arial" w:hAnsi="Arial" w:cs="Arial"/>
                <w:color w:val="222222"/>
                <w:sz w:val="18"/>
                <w:szCs w:val="18"/>
              </w:rPr>
            </w:pPr>
          </w:p>
        </w:tc>
      </w:tr>
      <w:tr w:rsidR="00713190" w:rsidRPr="00CD450E" w14:paraId="3BC18A86" w14:textId="77777777" w:rsidTr="0073497F">
        <w:tc>
          <w:tcPr>
            <w:tcW w:w="1384" w:type="dxa"/>
            <w:vMerge/>
            <w:shd w:val="clear" w:color="auto" w:fill="auto"/>
            <w:vAlign w:val="center"/>
          </w:tcPr>
          <w:p w14:paraId="0939F0BB"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0ED4E07F"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 xml:space="preserve">Extension du réseau de distribution de 150 km et branchement sociaux </w:t>
            </w:r>
          </w:p>
        </w:tc>
        <w:tc>
          <w:tcPr>
            <w:tcW w:w="3110" w:type="dxa"/>
            <w:shd w:val="clear" w:color="auto" w:fill="auto"/>
            <w:vAlign w:val="center"/>
          </w:tcPr>
          <w:p w14:paraId="17B52235"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1AEE1C54"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70345584" w14:textId="77777777" w:rsidTr="0073497F">
        <w:trPr>
          <w:trHeight w:val="726"/>
        </w:trPr>
        <w:tc>
          <w:tcPr>
            <w:tcW w:w="1384" w:type="dxa"/>
            <w:vMerge w:val="restart"/>
            <w:shd w:val="clear" w:color="auto" w:fill="auto"/>
            <w:vAlign w:val="center"/>
          </w:tcPr>
          <w:p w14:paraId="0AEBFF83" w14:textId="77777777" w:rsidR="00713190" w:rsidRPr="005C4930" w:rsidRDefault="00713190" w:rsidP="0073497F">
            <w:pPr>
              <w:pStyle w:val="ListParagraph"/>
              <w:ind w:left="0"/>
              <w:rPr>
                <w:rFonts w:ascii="Arial" w:hAnsi="Arial" w:cs="Arial"/>
                <w:color w:val="222222"/>
                <w:sz w:val="18"/>
                <w:szCs w:val="18"/>
              </w:rPr>
            </w:pPr>
            <w:r w:rsidRPr="00860A39">
              <w:rPr>
                <w:rFonts w:ascii="Arial" w:hAnsi="Arial" w:cs="Arial"/>
                <w:b/>
                <w:color w:val="222222"/>
                <w:sz w:val="18"/>
                <w:szCs w:val="18"/>
              </w:rPr>
              <w:t>SELINGUE</w:t>
            </w:r>
          </w:p>
        </w:tc>
        <w:tc>
          <w:tcPr>
            <w:tcW w:w="3439" w:type="dxa"/>
            <w:shd w:val="clear" w:color="auto" w:fill="auto"/>
            <w:vAlign w:val="center"/>
          </w:tcPr>
          <w:p w14:paraId="1AB60D59"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Réhabilitation de la station de traitement et la mise aux normes du réseau existant  </w:t>
            </w:r>
          </w:p>
        </w:tc>
        <w:tc>
          <w:tcPr>
            <w:tcW w:w="3110" w:type="dxa"/>
            <w:shd w:val="clear" w:color="auto" w:fill="auto"/>
            <w:vAlign w:val="center"/>
          </w:tcPr>
          <w:p w14:paraId="552AD11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66A5582B"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1B141DA5" w14:textId="77777777" w:rsidTr="0073497F">
        <w:tc>
          <w:tcPr>
            <w:tcW w:w="1384" w:type="dxa"/>
            <w:vMerge/>
            <w:shd w:val="clear" w:color="auto" w:fill="auto"/>
            <w:vAlign w:val="center"/>
          </w:tcPr>
          <w:p w14:paraId="22C19860"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77FF523E"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Fourniture et installations d’une nouvelles station compacte de 50m³/h avec les ouvrages associés (bâche de stockage, conduite de refoulement, château d’eau)</w:t>
            </w:r>
          </w:p>
        </w:tc>
        <w:tc>
          <w:tcPr>
            <w:tcW w:w="3110" w:type="dxa"/>
            <w:shd w:val="clear" w:color="auto" w:fill="auto"/>
            <w:vAlign w:val="center"/>
          </w:tcPr>
          <w:p w14:paraId="19031DA5"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Augmentation de la quantité et de la qualité de l’eau potable </w:t>
            </w:r>
          </w:p>
        </w:tc>
        <w:tc>
          <w:tcPr>
            <w:tcW w:w="1418" w:type="dxa"/>
            <w:shd w:val="clear" w:color="auto" w:fill="auto"/>
            <w:vAlign w:val="center"/>
          </w:tcPr>
          <w:p w14:paraId="27950601"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5C0928D2" w14:textId="77777777" w:rsidTr="0073497F">
        <w:tc>
          <w:tcPr>
            <w:tcW w:w="1384" w:type="dxa"/>
            <w:vMerge/>
            <w:shd w:val="clear" w:color="auto" w:fill="auto"/>
            <w:vAlign w:val="center"/>
          </w:tcPr>
          <w:p w14:paraId="6DC20F24"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48CBCDDD"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Extension du réseau sur 10 km avec branchement sociaux</w:t>
            </w:r>
          </w:p>
        </w:tc>
        <w:tc>
          <w:tcPr>
            <w:tcW w:w="3110" w:type="dxa"/>
            <w:shd w:val="clear" w:color="auto" w:fill="auto"/>
            <w:vAlign w:val="center"/>
          </w:tcPr>
          <w:p w14:paraId="4DA585C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620B069A"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6357838C" w14:textId="77777777" w:rsidTr="0073497F">
        <w:tc>
          <w:tcPr>
            <w:tcW w:w="1384" w:type="dxa"/>
            <w:vMerge w:val="restart"/>
            <w:shd w:val="clear" w:color="auto" w:fill="auto"/>
            <w:vAlign w:val="center"/>
          </w:tcPr>
          <w:p w14:paraId="666FE930" w14:textId="77777777" w:rsidR="00713190" w:rsidRPr="005C4930" w:rsidRDefault="00713190" w:rsidP="0073497F">
            <w:pPr>
              <w:pStyle w:val="ListParagraph"/>
              <w:ind w:left="0"/>
              <w:rPr>
                <w:rFonts w:ascii="Arial" w:hAnsi="Arial" w:cs="Arial"/>
                <w:color w:val="222222"/>
                <w:sz w:val="18"/>
                <w:szCs w:val="18"/>
              </w:rPr>
            </w:pPr>
            <w:r w:rsidRPr="00EF58F5">
              <w:rPr>
                <w:rFonts w:ascii="Arial" w:hAnsi="Arial" w:cs="Arial"/>
                <w:b/>
                <w:color w:val="222222"/>
                <w:sz w:val="18"/>
                <w:szCs w:val="18"/>
              </w:rPr>
              <w:t>KITA</w:t>
            </w:r>
          </w:p>
        </w:tc>
        <w:tc>
          <w:tcPr>
            <w:tcW w:w="3439" w:type="dxa"/>
            <w:shd w:val="clear" w:color="auto" w:fill="auto"/>
            <w:vAlign w:val="center"/>
          </w:tcPr>
          <w:p w14:paraId="6E51BBAA"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Réhabilitation de la station d’exhaure </w:t>
            </w:r>
          </w:p>
        </w:tc>
        <w:tc>
          <w:tcPr>
            <w:tcW w:w="3110" w:type="dxa"/>
            <w:shd w:val="clear" w:color="auto" w:fill="auto"/>
            <w:vAlign w:val="center"/>
          </w:tcPr>
          <w:p w14:paraId="509951C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24E43F27"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0B277AA9" w14:textId="77777777" w:rsidTr="0073497F">
        <w:tc>
          <w:tcPr>
            <w:tcW w:w="1384" w:type="dxa"/>
            <w:vMerge/>
            <w:shd w:val="clear" w:color="auto" w:fill="auto"/>
            <w:vAlign w:val="center"/>
          </w:tcPr>
          <w:p w14:paraId="2F5E7D88"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5702A4EB"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Réhabilitation de la station de traitement</w:t>
            </w:r>
          </w:p>
        </w:tc>
        <w:tc>
          <w:tcPr>
            <w:tcW w:w="3110" w:type="dxa"/>
            <w:shd w:val="clear" w:color="auto" w:fill="auto"/>
            <w:vAlign w:val="center"/>
          </w:tcPr>
          <w:p w14:paraId="1B7DB566"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40A4BE5B"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77744C39" w14:textId="77777777" w:rsidTr="0073497F">
        <w:tc>
          <w:tcPr>
            <w:tcW w:w="1384" w:type="dxa"/>
            <w:vMerge/>
            <w:shd w:val="clear" w:color="auto" w:fill="auto"/>
            <w:vAlign w:val="center"/>
          </w:tcPr>
          <w:p w14:paraId="04995175"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08D6A17E"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Réhabilitation sur 20 km et e</w:t>
            </w:r>
            <w:r>
              <w:rPr>
                <w:rFonts w:ascii="Arial" w:hAnsi="Arial" w:cs="Arial"/>
                <w:sz w:val="18"/>
                <w:szCs w:val="18"/>
              </w:rPr>
              <w:t>xtension sur (100km) du réseau e</w:t>
            </w:r>
            <w:r w:rsidRPr="005C4930">
              <w:rPr>
                <w:rFonts w:ascii="Arial" w:hAnsi="Arial" w:cs="Arial"/>
                <w:sz w:val="18"/>
                <w:szCs w:val="18"/>
              </w:rPr>
              <w:t>xistant</w:t>
            </w:r>
          </w:p>
        </w:tc>
        <w:tc>
          <w:tcPr>
            <w:tcW w:w="3110" w:type="dxa"/>
            <w:shd w:val="clear" w:color="auto" w:fill="auto"/>
            <w:vAlign w:val="center"/>
          </w:tcPr>
          <w:p w14:paraId="2CFE03CA"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27E42BE2"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3EEA1E71" w14:textId="77777777" w:rsidTr="0073497F">
        <w:tc>
          <w:tcPr>
            <w:tcW w:w="1384" w:type="dxa"/>
            <w:vMerge/>
            <w:shd w:val="clear" w:color="auto" w:fill="auto"/>
            <w:vAlign w:val="center"/>
          </w:tcPr>
          <w:p w14:paraId="439D1FB7"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7DD696C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Fourniture et installation d’une nouvelle station compacte de production d’eau (extension exhaure existant, dimensionnement de la station refoulement de l’eau traitée, raccordement au réseau existant</w:t>
            </w:r>
          </w:p>
        </w:tc>
        <w:tc>
          <w:tcPr>
            <w:tcW w:w="3110" w:type="dxa"/>
            <w:shd w:val="clear" w:color="auto" w:fill="auto"/>
            <w:vAlign w:val="center"/>
          </w:tcPr>
          <w:p w14:paraId="2C64492F"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Augmentation de la quantité et de la qualité de l’eau potable </w:t>
            </w:r>
          </w:p>
        </w:tc>
        <w:tc>
          <w:tcPr>
            <w:tcW w:w="1418" w:type="dxa"/>
            <w:shd w:val="clear" w:color="auto" w:fill="auto"/>
            <w:vAlign w:val="center"/>
          </w:tcPr>
          <w:p w14:paraId="1E585CBA"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58D17291" w14:textId="77777777" w:rsidTr="0073497F">
        <w:tc>
          <w:tcPr>
            <w:tcW w:w="1384" w:type="dxa"/>
            <w:vMerge w:val="restart"/>
            <w:shd w:val="clear" w:color="auto" w:fill="auto"/>
            <w:vAlign w:val="center"/>
          </w:tcPr>
          <w:p w14:paraId="369EAAD8" w14:textId="77777777" w:rsidR="00713190" w:rsidRPr="005C4930" w:rsidRDefault="00713190" w:rsidP="0073497F">
            <w:pPr>
              <w:pStyle w:val="ListParagraph"/>
              <w:ind w:left="0"/>
              <w:rPr>
                <w:rFonts w:ascii="Arial" w:hAnsi="Arial" w:cs="Arial"/>
                <w:color w:val="222222"/>
                <w:sz w:val="18"/>
                <w:szCs w:val="18"/>
              </w:rPr>
            </w:pPr>
            <w:r w:rsidRPr="00611D80">
              <w:rPr>
                <w:rFonts w:ascii="Arial" w:hAnsi="Arial" w:cs="Arial"/>
                <w:b/>
                <w:color w:val="222222"/>
                <w:sz w:val="18"/>
                <w:szCs w:val="18"/>
              </w:rPr>
              <w:t>MARKALA</w:t>
            </w:r>
          </w:p>
        </w:tc>
        <w:tc>
          <w:tcPr>
            <w:tcW w:w="3439" w:type="dxa"/>
            <w:shd w:val="clear" w:color="auto" w:fill="auto"/>
            <w:vAlign w:val="center"/>
          </w:tcPr>
          <w:p w14:paraId="000CF97D"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Réhabilitation de la prise d’eau</w:t>
            </w:r>
          </w:p>
        </w:tc>
        <w:tc>
          <w:tcPr>
            <w:tcW w:w="3110" w:type="dxa"/>
            <w:shd w:val="clear" w:color="auto" w:fill="auto"/>
            <w:vAlign w:val="center"/>
          </w:tcPr>
          <w:p w14:paraId="0CCBDBCC"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03BBDB1C"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0C206FE0" w14:textId="77777777" w:rsidTr="0073497F">
        <w:trPr>
          <w:trHeight w:val="962"/>
        </w:trPr>
        <w:tc>
          <w:tcPr>
            <w:tcW w:w="1384" w:type="dxa"/>
            <w:vMerge/>
            <w:shd w:val="clear" w:color="auto" w:fill="auto"/>
            <w:vAlign w:val="center"/>
          </w:tcPr>
          <w:p w14:paraId="76251190"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071FB6BB"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Réhabilitation de la station de traitement y compris la conduite d’adduction et le stockage </w:t>
            </w:r>
          </w:p>
        </w:tc>
        <w:tc>
          <w:tcPr>
            <w:tcW w:w="3110" w:type="dxa"/>
            <w:shd w:val="clear" w:color="auto" w:fill="auto"/>
            <w:vAlign w:val="center"/>
          </w:tcPr>
          <w:p w14:paraId="66B1C952"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4D854121"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0DFD428E" w14:textId="77777777" w:rsidTr="0073497F">
        <w:tc>
          <w:tcPr>
            <w:tcW w:w="1384" w:type="dxa"/>
            <w:vMerge/>
            <w:shd w:val="clear" w:color="auto" w:fill="auto"/>
            <w:vAlign w:val="center"/>
          </w:tcPr>
          <w:p w14:paraId="53709288"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20B2410D"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Réhabilitation des parties dégradées de la station (décanteur, filtres, saturateur, local de traitement, siphons, conduites de refoulement, toilettes). </w:t>
            </w:r>
          </w:p>
        </w:tc>
        <w:tc>
          <w:tcPr>
            <w:tcW w:w="3110" w:type="dxa"/>
            <w:shd w:val="clear" w:color="auto" w:fill="auto"/>
            <w:vAlign w:val="center"/>
          </w:tcPr>
          <w:p w14:paraId="71765ACC"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64864476"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1090775A" w14:textId="77777777" w:rsidTr="0073497F">
        <w:tc>
          <w:tcPr>
            <w:tcW w:w="1384" w:type="dxa"/>
            <w:vMerge/>
            <w:shd w:val="clear" w:color="auto" w:fill="auto"/>
            <w:vAlign w:val="center"/>
          </w:tcPr>
          <w:p w14:paraId="47EEF357"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34FA1B76"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Extension du réseau d’eau de </w:t>
            </w:r>
            <w:proofErr w:type="spellStart"/>
            <w:r w:rsidRPr="005C4930">
              <w:rPr>
                <w:rFonts w:ascii="Arial" w:hAnsi="Arial" w:cs="Arial"/>
                <w:sz w:val="18"/>
                <w:szCs w:val="18"/>
              </w:rPr>
              <w:t>Markala</w:t>
            </w:r>
            <w:proofErr w:type="spellEnd"/>
            <w:r w:rsidRPr="005C4930">
              <w:rPr>
                <w:rFonts w:ascii="Arial" w:hAnsi="Arial" w:cs="Arial"/>
                <w:sz w:val="18"/>
                <w:szCs w:val="18"/>
              </w:rPr>
              <w:t xml:space="preserve"> en vue de couvrir les nouveaux quartiers sur 50 km et branchements sociaux. </w:t>
            </w:r>
          </w:p>
        </w:tc>
        <w:tc>
          <w:tcPr>
            <w:tcW w:w="3110" w:type="dxa"/>
            <w:shd w:val="clear" w:color="auto" w:fill="auto"/>
            <w:vAlign w:val="center"/>
          </w:tcPr>
          <w:p w14:paraId="79FC42F3"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5DA1503F"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22A46176" w14:textId="77777777" w:rsidTr="0073497F">
        <w:tc>
          <w:tcPr>
            <w:tcW w:w="1384" w:type="dxa"/>
            <w:vMerge w:val="restart"/>
            <w:shd w:val="clear" w:color="auto" w:fill="auto"/>
            <w:vAlign w:val="center"/>
          </w:tcPr>
          <w:p w14:paraId="113F71D8" w14:textId="77777777" w:rsidR="00713190" w:rsidRPr="005C4930" w:rsidRDefault="00713190" w:rsidP="0073497F">
            <w:pPr>
              <w:pStyle w:val="ListParagraph"/>
              <w:ind w:left="0"/>
              <w:rPr>
                <w:rFonts w:ascii="Arial" w:hAnsi="Arial" w:cs="Arial"/>
                <w:color w:val="222222"/>
                <w:sz w:val="18"/>
                <w:szCs w:val="18"/>
              </w:rPr>
            </w:pPr>
            <w:r w:rsidRPr="0065168C">
              <w:rPr>
                <w:rFonts w:ascii="Arial" w:hAnsi="Arial" w:cs="Arial"/>
                <w:b/>
                <w:color w:val="222222"/>
                <w:sz w:val="18"/>
                <w:szCs w:val="18"/>
              </w:rPr>
              <w:t>GAO</w:t>
            </w:r>
          </w:p>
        </w:tc>
        <w:tc>
          <w:tcPr>
            <w:tcW w:w="3439" w:type="dxa"/>
            <w:shd w:val="clear" w:color="auto" w:fill="auto"/>
            <w:vAlign w:val="center"/>
          </w:tcPr>
          <w:p w14:paraId="49FF1D25"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Réhabilitation et extension (2000m³/j supplémentaire) de la station de traitement existante y compris la mise en </w:t>
            </w:r>
            <w:r w:rsidRPr="005C4930">
              <w:rPr>
                <w:rFonts w:ascii="Arial" w:hAnsi="Arial" w:cs="Arial"/>
                <w:sz w:val="18"/>
                <w:szCs w:val="18"/>
              </w:rPr>
              <w:lastRenderedPageBreak/>
              <w:t>place de dispositif de traitement du fer et manganèse</w:t>
            </w:r>
          </w:p>
        </w:tc>
        <w:tc>
          <w:tcPr>
            <w:tcW w:w="3110" w:type="dxa"/>
            <w:shd w:val="clear" w:color="auto" w:fill="auto"/>
            <w:vAlign w:val="center"/>
          </w:tcPr>
          <w:p w14:paraId="5B0DFEB0"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lastRenderedPageBreak/>
              <w:t xml:space="preserve">Augmentation de la quantité et de la qualité de l’eau potable </w:t>
            </w:r>
          </w:p>
        </w:tc>
        <w:tc>
          <w:tcPr>
            <w:tcW w:w="1418" w:type="dxa"/>
            <w:shd w:val="clear" w:color="auto" w:fill="auto"/>
            <w:vAlign w:val="center"/>
          </w:tcPr>
          <w:p w14:paraId="42F09582"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0105DF7A" w14:textId="77777777" w:rsidTr="0073497F">
        <w:tc>
          <w:tcPr>
            <w:tcW w:w="1384" w:type="dxa"/>
            <w:vMerge/>
            <w:shd w:val="clear" w:color="auto" w:fill="auto"/>
            <w:vAlign w:val="center"/>
          </w:tcPr>
          <w:p w14:paraId="173BBF6A"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6A2B0D49"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Réalisation de deux forages supplémentaires d’adduction</w:t>
            </w:r>
          </w:p>
        </w:tc>
        <w:tc>
          <w:tcPr>
            <w:tcW w:w="3110" w:type="dxa"/>
            <w:shd w:val="clear" w:color="auto" w:fill="auto"/>
            <w:vAlign w:val="center"/>
          </w:tcPr>
          <w:p w14:paraId="10A9AA2D"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Augmentation de la quantité et de la qualité de l’eau potable </w:t>
            </w:r>
          </w:p>
        </w:tc>
        <w:tc>
          <w:tcPr>
            <w:tcW w:w="1418" w:type="dxa"/>
            <w:shd w:val="clear" w:color="auto" w:fill="auto"/>
            <w:vAlign w:val="center"/>
          </w:tcPr>
          <w:p w14:paraId="57F22F1A"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3B2E8764" w14:textId="77777777" w:rsidTr="0073497F">
        <w:tc>
          <w:tcPr>
            <w:tcW w:w="1384" w:type="dxa"/>
            <w:vMerge/>
            <w:shd w:val="clear" w:color="auto" w:fill="auto"/>
            <w:vAlign w:val="center"/>
          </w:tcPr>
          <w:p w14:paraId="595AF56E"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118659F4"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Réhabilitation de 15 km de réseau défectueux (entartrage)</w:t>
            </w:r>
          </w:p>
        </w:tc>
        <w:tc>
          <w:tcPr>
            <w:tcW w:w="3110" w:type="dxa"/>
            <w:shd w:val="clear" w:color="auto" w:fill="auto"/>
            <w:vAlign w:val="center"/>
          </w:tcPr>
          <w:p w14:paraId="6A358E2D"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239C3874"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2C17D88B" w14:textId="77777777" w:rsidTr="0073497F">
        <w:tc>
          <w:tcPr>
            <w:tcW w:w="1384" w:type="dxa"/>
            <w:vMerge/>
            <w:shd w:val="clear" w:color="auto" w:fill="auto"/>
            <w:vAlign w:val="center"/>
          </w:tcPr>
          <w:p w14:paraId="030CEB96"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21B68E52"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Extension du réseau sur 150 km et branchement</w:t>
            </w:r>
          </w:p>
        </w:tc>
        <w:tc>
          <w:tcPr>
            <w:tcW w:w="3110" w:type="dxa"/>
            <w:shd w:val="clear" w:color="auto" w:fill="auto"/>
            <w:vAlign w:val="center"/>
          </w:tcPr>
          <w:p w14:paraId="737E9570"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5A37DCA0"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1439C9FD" w14:textId="77777777" w:rsidTr="0073497F">
        <w:tc>
          <w:tcPr>
            <w:tcW w:w="1384" w:type="dxa"/>
            <w:vMerge w:val="restart"/>
            <w:shd w:val="clear" w:color="auto" w:fill="auto"/>
            <w:vAlign w:val="center"/>
          </w:tcPr>
          <w:p w14:paraId="29DB0DFC" w14:textId="77777777" w:rsidR="00713190" w:rsidRPr="005C4930" w:rsidRDefault="00713190" w:rsidP="0073497F">
            <w:pPr>
              <w:pStyle w:val="ListParagraph"/>
              <w:ind w:left="0"/>
              <w:rPr>
                <w:rFonts w:ascii="Arial" w:hAnsi="Arial" w:cs="Arial"/>
                <w:color w:val="222222"/>
                <w:sz w:val="18"/>
                <w:szCs w:val="18"/>
              </w:rPr>
            </w:pPr>
            <w:r w:rsidRPr="005E66DA">
              <w:rPr>
                <w:rFonts w:ascii="Arial" w:hAnsi="Arial" w:cs="Arial"/>
                <w:b/>
                <w:color w:val="222222"/>
                <w:sz w:val="18"/>
                <w:szCs w:val="18"/>
              </w:rPr>
              <w:t>NIORO</w:t>
            </w:r>
          </w:p>
        </w:tc>
        <w:tc>
          <w:tcPr>
            <w:tcW w:w="3439" w:type="dxa"/>
            <w:shd w:val="clear" w:color="auto" w:fill="auto"/>
            <w:vAlign w:val="center"/>
          </w:tcPr>
          <w:p w14:paraId="53B44CF2"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Sécurisation des conduites de liaisons entre les forages et la station de traitements </w:t>
            </w:r>
          </w:p>
        </w:tc>
        <w:tc>
          <w:tcPr>
            <w:tcW w:w="3110" w:type="dxa"/>
            <w:shd w:val="clear" w:color="auto" w:fill="auto"/>
            <w:vAlign w:val="center"/>
          </w:tcPr>
          <w:p w14:paraId="46F8B5EF"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4E685961"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430A9D2A" w14:textId="77777777" w:rsidTr="0073497F">
        <w:tc>
          <w:tcPr>
            <w:tcW w:w="1384" w:type="dxa"/>
            <w:vMerge/>
            <w:shd w:val="clear" w:color="auto" w:fill="auto"/>
            <w:vAlign w:val="center"/>
          </w:tcPr>
          <w:p w14:paraId="0806AA08"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02B5B473"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Réhabilitation des ouvrages de stockages d’eau</w:t>
            </w:r>
          </w:p>
        </w:tc>
        <w:tc>
          <w:tcPr>
            <w:tcW w:w="3110" w:type="dxa"/>
            <w:shd w:val="clear" w:color="auto" w:fill="auto"/>
            <w:vAlign w:val="center"/>
          </w:tcPr>
          <w:p w14:paraId="0FD85475"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Meilleure continuité de service</w:t>
            </w:r>
          </w:p>
        </w:tc>
        <w:tc>
          <w:tcPr>
            <w:tcW w:w="1418" w:type="dxa"/>
            <w:shd w:val="clear" w:color="auto" w:fill="auto"/>
            <w:vAlign w:val="center"/>
          </w:tcPr>
          <w:p w14:paraId="792CB437"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757D1BC8" w14:textId="77777777" w:rsidTr="0073497F">
        <w:tc>
          <w:tcPr>
            <w:tcW w:w="1384" w:type="dxa"/>
            <w:vMerge/>
            <w:shd w:val="clear" w:color="auto" w:fill="auto"/>
            <w:vAlign w:val="center"/>
          </w:tcPr>
          <w:p w14:paraId="093C1F6A"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628DE01A" w14:textId="77777777" w:rsidR="00713190" w:rsidRPr="005B76C7"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5C4930">
              <w:rPr>
                <w:rFonts w:ascii="Arial" w:hAnsi="Arial" w:cs="Arial"/>
                <w:sz w:val="18"/>
                <w:szCs w:val="18"/>
              </w:rPr>
              <w:t xml:space="preserve">Réhabilitation (20 km) et d’extension (50 km) du réseau existant </w:t>
            </w:r>
          </w:p>
        </w:tc>
        <w:tc>
          <w:tcPr>
            <w:tcW w:w="3110" w:type="dxa"/>
            <w:shd w:val="clear" w:color="auto" w:fill="auto"/>
            <w:vAlign w:val="center"/>
          </w:tcPr>
          <w:p w14:paraId="77DB20E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Augmentation du taux de dessert de la localité par la canalisation des rues et les branchements promotionnels</w:t>
            </w:r>
          </w:p>
        </w:tc>
        <w:tc>
          <w:tcPr>
            <w:tcW w:w="1418" w:type="dxa"/>
            <w:shd w:val="clear" w:color="auto" w:fill="auto"/>
            <w:vAlign w:val="center"/>
          </w:tcPr>
          <w:p w14:paraId="2C8B4259"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1D02C21C" w14:textId="77777777" w:rsidTr="0073497F">
        <w:tc>
          <w:tcPr>
            <w:tcW w:w="1384" w:type="dxa"/>
            <w:vMerge/>
            <w:shd w:val="clear" w:color="auto" w:fill="auto"/>
            <w:vAlign w:val="center"/>
          </w:tcPr>
          <w:p w14:paraId="5B9FC47C"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1B41BA91" w14:textId="77777777" w:rsidR="00713190" w:rsidRPr="005C4930"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5C4930">
              <w:rPr>
                <w:rFonts w:ascii="Arial" w:hAnsi="Arial" w:cs="Arial"/>
                <w:sz w:val="18"/>
                <w:szCs w:val="18"/>
              </w:rPr>
              <w:t xml:space="preserve">Raccordement des nouveaux forages réalisés </w:t>
            </w:r>
          </w:p>
        </w:tc>
        <w:tc>
          <w:tcPr>
            <w:tcW w:w="3110" w:type="dxa"/>
            <w:shd w:val="clear" w:color="auto" w:fill="auto"/>
            <w:vAlign w:val="center"/>
          </w:tcPr>
          <w:p w14:paraId="439F0745"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46E6BD8E"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r w:rsidR="00713190" w:rsidRPr="00CD450E" w14:paraId="2458654D" w14:textId="77777777" w:rsidTr="0073497F">
        <w:tc>
          <w:tcPr>
            <w:tcW w:w="1384" w:type="dxa"/>
            <w:vMerge/>
            <w:shd w:val="clear" w:color="auto" w:fill="auto"/>
            <w:vAlign w:val="center"/>
          </w:tcPr>
          <w:p w14:paraId="0DDD77A1" w14:textId="77777777" w:rsidR="00713190" w:rsidRPr="005C4930" w:rsidRDefault="00713190" w:rsidP="0073497F">
            <w:pPr>
              <w:pStyle w:val="ListParagraph"/>
              <w:ind w:left="0"/>
              <w:rPr>
                <w:rFonts w:ascii="Arial" w:hAnsi="Arial" w:cs="Arial"/>
                <w:color w:val="222222"/>
                <w:sz w:val="18"/>
                <w:szCs w:val="18"/>
              </w:rPr>
            </w:pPr>
          </w:p>
        </w:tc>
        <w:tc>
          <w:tcPr>
            <w:tcW w:w="3439" w:type="dxa"/>
            <w:shd w:val="clear" w:color="auto" w:fill="auto"/>
            <w:vAlign w:val="center"/>
          </w:tcPr>
          <w:p w14:paraId="04430B99"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Etude d’un nouveau champ captant</w:t>
            </w:r>
          </w:p>
        </w:tc>
        <w:tc>
          <w:tcPr>
            <w:tcW w:w="3110" w:type="dxa"/>
            <w:shd w:val="clear" w:color="auto" w:fill="auto"/>
            <w:vAlign w:val="center"/>
          </w:tcPr>
          <w:p w14:paraId="1B209139"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color w:val="222222"/>
                <w:sz w:val="18"/>
                <w:szCs w:val="18"/>
              </w:rPr>
              <w:t xml:space="preserve"> Meilleure production d’eau brute pour le traitement</w:t>
            </w:r>
          </w:p>
        </w:tc>
        <w:tc>
          <w:tcPr>
            <w:tcW w:w="1418" w:type="dxa"/>
            <w:shd w:val="clear" w:color="auto" w:fill="auto"/>
            <w:vAlign w:val="center"/>
          </w:tcPr>
          <w:p w14:paraId="4B700ABA" w14:textId="77777777" w:rsidR="00713190" w:rsidRPr="005C4930" w:rsidRDefault="00713190" w:rsidP="0073497F">
            <w:pPr>
              <w:pStyle w:val="ListParagraph"/>
              <w:ind w:left="0"/>
              <w:rPr>
                <w:rFonts w:ascii="Arial" w:hAnsi="Arial" w:cs="Arial"/>
                <w:color w:val="222222"/>
                <w:sz w:val="18"/>
                <w:szCs w:val="18"/>
              </w:rPr>
            </w:pPr>
            <w:r w:rsidRPr="005C4930">
              <w:rPr>
                <w:rFonts w:ascii="Arial" w:hAnsi="Arial" w:cs="Arial"/>
                <w:sz w:val="18"/>
                <w:szCs w:val="18"/>
              </w:rPr>
              <w:t>majeure</w:t>
            </w:r>
          </w:p>
        </w:tc>
      </w:tr>
    </w:tbl>
    <w:p w14:paraId="6E330BBE" w14:textId="77777777" w:rsidR="00713190" w:rsidRDefault="00713190" w:rsidP="00713190">
      <w:pPr>
        <w:tabs>
          <w:tab w:val="left" w:pos="-720"/>
          <w:tab w:val="left" w:pos="0"/>
        </w:tabs>
        <w:suppressAutoHyphens/>
        <w:jc w:val="both"/>
        <w:rPr>
          <w:b/>
          <w:szCs w:val="22"/>
        </w:rPr>
      </w:pPr>
    </w:p>
    <w:p w14:paraId="375670E2" w14:textId="77777777" w:rsidR="00713190" w:rsidRDefault="00713190" w:rsidP="00713190">
      <w:pPr>
        <w:tabs>
          <w:tab w:val="left" w:pos="-720"/>
          <w:tab w:val="left" w:pos="0"/>
        </w:tabs>
        <w:suppressAutoHyphens/>
        <w:jc w:val="both"/>
        <w:rPr>
          <w:b/>
          <w:szCs w:val="22"/>
        </w:rPr>
      </w:pPr>
    </w:p>
    <w:p w14:paraId="0A35677F" w14:textId="77777777" w:rsidR="00713190" w:rsidRDefault="00713190" w:rsidP="00713190">
      <w:pPr>
        <w:tabs>
          <w:tab w:val="left" w:pos="-720"/>
          <w:tab w:val="left" w:pos="0"/>
        </w:tabs>
        <w:suppressAutoHyphens/>
        <w:jc w:val="both"/>
        <w:rPr>
          <w:b/>
          <w:i/>
          <w:szCs w:val="24"/>
        </w:rPr>
      </w:pPr>
    </w:p>
    <w:p w14:paraId="3DD01B00" w14:textId="77777777" w:rsidR="00713190" w:rsidRPr="008D33C7" w:rsidRDefault="00713190" w:rsidP="00713190">
      <w:pPr>
        <w:tabs>
          <w:tab w:val="left" w:pos="-720"/>
          <w:tab w:val="left" w:pos="0"/>
        </w:tabs>
        <w:suppressAutoHyphens/>
        <w:jc w:val="both"/>
        <w:rPr>
          <w:b/>
          <w:i/>
          <w:szCs w:val="24"/>
        </w:rPr>
      </w:pPr>
      <w:r w:rsidRPr="008D33C7">
        <w:rPr>
          <w:b/>
          <w:i/>
          <w:szCs w:val="24"/>
        </w:rPr>
        <w:t xml:space="preserve">Impacts environnementaux et </w:t>
      </w:r>
      <w:r w:rsidRPr="008D33C7">
        <w:rPr>
          <w:b/>
          <w:bCs/>
          <w:i/>
          <w:szCs w:val="24"/>
        </w:rPr>
        <w:t xml:space="preserve">sociaux </w:t>
      </w:r>
      <w:r w:rsidRPr="008D33C7">
        <w:rPr>
          <w:b/>
          <w:i/>
          <w:szCs w:val="24"/>
        </w:rPr>
        <w:t>négatifs et mesures d’atténuation</w:t>
      </w:r>
    </w:p>
    <w:p w14:paraId="73A89AC0" w14:textId="77777777" w:rsidR="00713190" w:rsidRDefault="00713190" w:rsidP="00713190">
      <w:pPr>
        <w:jc w:val="both"/>
        <w:rPr>
          <w:szCs w:val="22"/>
        </w:rPr>
      </w:pPr>
      <w:r>
        <w:rPr>
          <w:szCs w:val="22"/>
        </w:rPr>
        <w:t>Bien que jugés à priori non significatifs, l</w:t>
      </w:r>
      <w:r w:rsidRPr="00890340">
        <w:rPr>
          <w:szCs w:val="22"/>
        </w:rPr>
        <w:t xml:space="preserve">es impacts environnementaux et sociaux négatifs </w:t>
      </w:r>
      <w:r>
        <w:rPr>
          <w:szCs w:val="22"/>
        </w:rPr>
        <w:t>qui pourraient subvenir sont résumés dans le tableau ci-après</w:t>
      </w:r>
      <w:r w:rsidRPr="00890340">
        <w:rPr>
          <w:szCs w:val="22"/>
        </w:rPr>
        <w:t>.</w:t>
      </w:r>
      <w:r w:rsidRPr="00890340">
        <w:rPr>
          <w:szCs w:val="22"/>
          <w:highlight w:val="green"/>
        </w:rPr>
        <w:t xml:space="preserve"> </w:t>
      </w:r>
    </w:p>
    <w:p w14:paraId="2645AA18" w14:textId="77777777" w:rsidR="00713190" w:rsidRDefault="00713190" w:rsidP="00713190">
      <w:pPr>
        <w:spacing w:before="240" w:after="240"/>
        <w:contextualSpacing/>
        <w:jc w:val="both"/>
        <w:rPr>
          <w:szCs w:val="22"/>
        </w:rPr>
      </w:pPr>
    </w:p>
    <w:p w14:paraId="599B1563" w14:textId="77777777" w:rsidR="00713190" w:rsidRDefault="00713190" w:rsidP="00713190">
      <w:r w:rsidRPr="00C3587A">
        <w:t>Un tableau présentant les mesures d’atténuation pour les activités susceptibles d’entraîner des impacts négatifs sur l’environnement et le social est présenté dans l’annexe 1.</w:t>
      </w:r>
    </w:p>
    <w:p w14:paraId="2D90596C" w14:textId="77777777" w:rsidR="00713190" w:rsidRDefault="00713190" w:rsidP="00713190">
      <w:pPr>
        <w:spacing w:before="240" w:after="240"/>
        <w:contextualSpacing/>
        <w:jc w:val="both"/>
        <w:rPr>
          <w:szCs w:val="22"/>
        </w:rPr>
      </w:pPr>
    </w:p>
    <w:p w14:paraId="15C351A3" w14:textId="77777777" w:rsidR="00713190" w:rsidRPr="00573353" w:rsidRDefault="00713190" w:rsidP="00713190">
      <w:pPr>
        <w:pStyle w:val="Caption"/>
        <w:keepNext/>
        <w:spacing w:after="120"/>
        <w:jc w:val="center"/>
        <w:rPr>
          <w:b w:val="0"/>
          <w:bCs w:val="0"/>
        </w:rPr>
      </w:pPr>
      <w:bookmarkStart w:id="4" w:name="_Toc450589837"/>
      <w:r w:rsidRPr="00573353">
        <w:t xml:space="preserve">Tableau </w:t>
      </w:r>
      <w:r w:rsidRPr="00CB42EE">
        <w:fldChar w:fldCharType="begin"/>
      </w:r>
      <w:r w:rsidRPr="00573353">
        <w:instrText xml:space="preserve"> SEQ Tableau \* ARABIC </w:instrText>
      </w:r>
      <w:r w:rsidRPr="00CB42EE">
        <w:fldChar w:fldCharType="separate"/>
      </w:r>
      <w:r>
        <w:rPr>
          <w:noProof/>
        </w:rPr>
        <w:t>2</w:t>
      </w:r>
      <w:r w:rsidRPr="00CB42EE">
        <w:fldChar w:fldCharType="end"/>
      </w:r>
      <w:r w:rsidRPr="00573353">
        <w:t xml:space="preserve">: Impacts environnementaux et sociaux </w:t>
      </w:r>
      <w:r>
        <w:t>négatifs</w:t>
      </w:r>
      <w:r w:rsidRPr="00573353">
        <w:t xml:space="preserve"> du Projet</w:t>
      </w:r>
      <w:bookmarkEnd w:id="4"/>
    </w:p>
    <w:tbl>
      <w:tblPr>
        <w:tblpPr w:leftFromText="141" w:rightFromText="141"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4565"/>
      </w:tblGrid>
      <w:tr w:rsidR="00713190" w:rsidRPr="00CD450E" w14:paraId="2EA9E851" w14:textId="77777777" w:rsidTr="0073497F">
        <w:trPr>
          <w:trHeight w:val="20"/>
        </w:trPr>
        <w:tc>
          <w:tcPr>
            <w:tcW w:w="9351" w:type="dxa"/>
            <w:gridSpan w:val="3"/>
            <w:shd w:val="clear" w:color="auto" w:fill="auto"/>
            <w:vAlign w:val="center"/>
          </w:tcPr>
          <w:p w14:paraId="011FA60C" w14:textId="77777777" w:rsidR="00713190" w:rsidRPr="00760714" w:rsidRDefault="00713190" w:rsidP="0073497F">
            <w:pPr>
              <w:autoSpaceDE w:val="0"/>
              <w:autoSpaceDN w:val="0"/>
              <w:adjustRightInd w:val="0"/>
              <w:jc w:val="center"/>
              <w:rPr>
                <w:rFonts w:ascii="Arial" w:eastAsia="Calibri" w:hAnsi="Arial" w:cs="Arial"/>
                <w:b/>
                <w:sz w:val="18"/>
                <w:szCs w:val="18"/>
              </w:rPr>
            </w:pPr>
            <w:r w:rsidRPr="00760714">
              <w:rPr>
                <w:rFonts w:ascii="Arial" w:eastAsia="Calibri" w:hAnsi="Arial" w:cs="Arial"/>
                <w:b/>
                <w:sz w:val="18"/>
                <w:szCs w:val="18"/>
              </w:rPr>
              <w:t xml:space="preserve">Renforcement du système d’alimentation en eau potable de six (6) centres </w:t>
            </w:r>
          </w:p>
          <w:p w14:paraId="3631C6F1" w14:textId="77777777" w:rsidR="00713190" w:rsidRPr="008B0928" w:rsidRDefault="00713190" w:rsidP="0073497F">
            <w:pPr>
              <w:autoSpaceDE w:val="0"/>
              <w:autoSpaceDN w:val="0"/>
              <w:adjustRightInd w:val="0"/>
              <w:jc w:val="center"/>
              <w:rPr>
                <w:rFonts w:ascii="Arial" w:hAnsi="Arial" w:cs="Arial"/>
                <w:b/>
                <w:sz w:val="18"/>
                <w:szCs w:val="18"/>
              </w:rPr>
            </w:pPr>
            <w:r w:rsidRPr="00760714">
              <w:rPr>
                <w:rFonts w:ascii="Arial" w:eastAsia="Calibri" w:hAnsi="Arial" w:cs="Arial"/>
                <w:b/>
                <w:sz w:val="18"/>
                <w:szCs w:val="18"/>
              </w:rPr>
              <w:t xml:space="preserve">Kita, </w:t>
            </w:r>
            <w:proofErr w:type="spellStart"/>
            <w:r w:rsidRPr="00760714">
              <w:rPr>
                <w:rFonts w:ascii="Arial" w:eastAsia="Calibri" w:hAnsi="Arial" w:cs="Arial"/>
                <w:b/>
                <w:sz w:val="18"/>
                <w:szCs w:val="18"/>
              </w:rPr>
              <w:t>Markala</w:t>
            </w:r>
            <w:proofErr w:type="spellEnd"/>
            <w:r w:rsidRPr="00760714">
              <w:rPr>
                <w:rFonts w:ascii="Arial" w:eastAsia="Calibri" w:hAnsi="Arial" w:cs="Arial"/>
                <w:b/>
                <w:sz w:val="18"/>
                <w:szCs w:val="18"/>
              </w:rPr>
              <w:t xml:space="preserve">, </w:t>
            </w:r>
            <w:proofErr w:type="spellStart"/>
            <w:r w:rsidRPr="00760714">
              <w:rPr>
                <w:rFonts w:ascii="Arial" w:eastAsia="Calibri" w:hAnsi="Arial" w:cs="Arial"/>
                <w:b/>
                <w:sz w:val="18"/>
                <w:szCs w:val="18"/>
              </w:rPr>
              <w:t>Selingué</w:t>
            </w:r>
            <w:proofErr w:type="spellEnd"/>
            <w:r w:rsidRPr="00760714">
              <w:rPr>
                <w:rFonts w:ascii="Arial" w:eastAsia="Calibri" w:hAnsi="Arial" w:cs="Arial"/>
                <w:b/>
                <w:sz w:val="18"/>
                <w:szCs w:val="18"/>
              </w:rPr>
              <w:t>, Gao, Bougouni et Nioro</w:t>
            </w:r>
          </w:p>
        </w:tc>
      </w:tr>
      <w:tr w:rsidR="00713190" w:rsidRPr="00CD450E" w14:paraId="4DF08FC1" w14:textId="77777777" w:rsidTr="0073497F">
        <w:trPr>
          <w:trHeight w:val="20"/>
        </w:trPr>
        <w:tc>
          <w:tcPr>
            <w:tcW w:w="1384" w:type="dxa"/>
            <w:shd w:val="clear" w:color="auto" w:fill="auto"/>
            <w:vAlign w:val="center"/>
          </w:tcPr>
          <w:p w14:paraId="4742256C" w14:textId="77777777" w:rsidR="00713190" w:rsidRPr="008B0928" w:rsidRDefault="00713190" w:rsidP="0073497F">
            <w:pPr>
              <w:autoSpaceDE w:val="0"/>
              <w:autoSpaceDN w:val="0"/>
              <w:adjustRightInd w:val="0"/>
              <w:jc w:val="center"/>
              <w:rPr>
                <w:rFonts w:ascii="Arial" w:hAnsi="Arial" w:cs="Arial"/>
                <w:b/>
                <w:sz w:val="18"/>
                <w:szCs w:val="18"/>
              </w:rPr>
            </w:pPr>
            <w:r>
              <w:rPr>
                <w:rFonts w:ascii="Arial" w:hAnsi="Arial" w:cs="Arial"/>
                <w:b/>
                <w:sz w:val="18"/>
                <w:szCs w:val="18"/>
              </w:rPr>
              <w:t>villes</w:t>
            </w:r>
          </w:p>
        </w:tc>
        <w:tc>
          <w:tcPr>
            <w:tcW w:w="3402" w:type="dxa"/>
            <w:shd w:val="clear" w:color="auto" w:fill="auto"/>
            <w:vAlign w:val="center"/>
          </w:tcPr>
          <w:p w14:paraId="4FA26A56" w14:textId="77777777" w:rsidR="00713190" w:rsidRPr="008B0928" w:rsidRDefault="00713190" w:rsidP="0073497F">
            <w:pPr>
              <w:autoSpaceDE w:val="0"/>
              <w:autoSpaceDN w:val="0"/>
              <w:adjustRightInd w:val="0"/>
              <w:jc w:val="center"/>
              <w:rPr>
                <w:rFonts w:ascii="Arial" w:hAnsi="Arial" w:cs="Arial"/>
                <w:b/>
                <w:sz w:val="18"/>
                <w:szCs w:val="18"/>
              </w:rPr>
            </w:pPr>
            <w:r w:rsidRPr="008B0928">
              <w:rPr>
                <w:rFonts w:ascii="Arial" w:hAnsi="Arial" w:cs="Arial"/>
                <w:b/>
                <w:sz w:val="18"/>
                <w:szCs w:val="18"/>
              </w:rPr>
              <w:t>Activités</w:t>
            </w:r>
          </w:p>
        </w:tc>
        <w:tc>
          <w:tcPr>
            <w:tcW w:w="4565" w:type="dxa"/>
            <w:shd w:val="clear" w:color="auto" w:fill="auto"/>
            <w:vAlign w:val="center"/>
          </w:tcPr>
          <w:p w14:paraId="24D657BC" w14:textId="77777777" w:rsidR="00713190" w:rsidRPr="008B0928" w:rsidRDefault="00713190" w:rsidP="0073497F">
            <w:pPr>
              <w:autoSpaceDE w:val="0"/>
              <w:autoSpaceDN w:val="0"/>
              <w:adjustRightInd w:val="0"/>
              <w:jc w:val="both"/>
              <w:rPr>
                <w:rFonts w:ascii="Arial" w:hAnsi="Arial" w:cs="Arial"/>
                <w:b/>
                <w:sz w:val="18"/>
                <w:szCs w:val="18"/>
              </w:rPr>
            </w:pPr>
            <w:r w:rsidRPr="008B0928">
              <w:rPr>
                <w:rFonts w:ascii="Arial" w:hAnsi="Arial" w:cs="Arial"/>
                <w:b/>
                <w:sz w:val="18"/>
                <w:szCs w:val="18"/>
              </w:rPr>
              <w:t>Impacts</w:t>
            </w:r>
          </w:p>
        </w:tc>
      </w:tr>
      <w:tr w:rsidR="00713190" w:rsidRPr="00CD450E" w14:paraId="2ED97C79" w14:textId="77777777" w:rsidTr="0073497F">
        <w:trPr>
          <w:trHeight w:val="20"/>
        </w:trPr>
        <w:tc>
          <w:tcPr>
            <w:tcW w:w="1384" w:type="dxa"/>
            <w:vMerge w:val="restart"/>
            <w:shd w:val="clear" w:color="auto" w:fill="auto"/>
            <w:vAlign w:val="center"/>
          </w:tcPr>
          <w:p w14:paraId="20C7AB64" w14:textId="77777777" w:rsidR="00713190" w:rsidRPr="008B0928" w:rsidRDefault="00713190" w:rsidP="0073497F">
            <w:pPr>
              <w:pStyle w:val="ListParagraph"/>
              <w:ind w:left="0"/>
              <w:rPr>
                <w:rFonts w:ascii="Arial" w:hAnsi="Arial" w:cs="Arial"/>
                <w:color w:val="222222"/>
                <w:sz w:val="18"/>
                <w:szCs w:val="18"/>
              </w:rPr>
            </w:pPr>
            <w:r w:rsidRPr="00380103">
              <w:rPr>
                <w:rFonts w:ascii="Arial" w:hAnsi="Arial" w:cs="Arial"/>
                <w:b/>
                <w:color w:val="222222"/>
                <w:sz w:val="18"/>
                <w:szCs w:val="18"/>
              </w:rPr>
              <w:t>BOUGOUNI</w:t>
            </w:r>
          </w:p>
        </w:tc>
        <w:tc>
          <w:tcPr>
            <w:tcW w:w="3402" w:type="dxa"/>
            <w:shd w:val="clear" w:color="auto" w:fill="auto"/>
            <w:vAlign w:val="center"/>
          </w:tcPr>
          <w:p w14:paraId="2706F1B9"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Réhabilitation de la station d’exhaure d’eau brute (Aménagement de la route d’accès à l’exhaure. Réhabilitation génie civil de la retenue d’eau et du puits d’exhaure)</w:t>
            </w:r>
          </w:p>
        </w:tc>
        <w:tc>
          <w:tcPr>
            <w:tcW w:w="4565" w:type="dxa"/>
            <w:vMerge w:val="restart"/>
            <w:shd w:val="clear" w:color="auto" w:fill="auto"/>
            <w:vAlign w:val="center"/>
          </w:tcPr>
          <w:p w14:paraId="50740A3E"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-perturbation de la quiétude  des populations riveraines</w:t>
            </w:r>
          </w:p>
          <w:p w14:paraId="0EB9C3AB"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 l’air par l’émission de gaz et l’envol de poussière </w:t>
            </w:r>
          </w:p>
          <w:p w14:paraId="0794341E"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des sols </w:t>
            </w:r>
          </w:p>
          <w:p w14:paraId="5BA010D4"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-destruction de la structure du sol </w:t>
            </w:r>
          </w:p>
          <w:p w14:paraId="26B27C1E"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due aux déchets solides </w:t>
            </w:r>
          </w:p>
          <w:p w14:paraId="28506257"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 xml:space="preserve">-perturbation sonore </w:t>
            </w:r>
          </w:p>
        </w:tc>
      </w:tr>
      <w:tr w:rsidR="00713190" w:rsidRPr="00CD450E" w14:paraId="2271A6F9" w14:textId="77777777" w:rsidTr="0073497F">
        <w:trPr>
          <w:trHeight w:val="20"/>
        </w:trPr>
        <w:tc>
          <w:tcPr>
            <w:tcW w:w="1384" w:type="dxa"/>
            <w:vMerge/>
            <w:shd w:val="clear" w:color="auto" w:fill="auto"/>
            <w:vAlign w:val="center"/>
          </w:tcPr>
          <w:p w14:paraId="6888F1C4"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68AFD4CD"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 xml:space="preserve">Réhabilitation et renforcement de la station de traitement avec augmentation de la capacité de production de 1500 m³/j supplémentaire </w:t>
            </w:r>
          </w:p>
        </w:tc>
        <w:tc>
          <w:tcPr>
            <w:tcW w:w="4565" w:type="dxa"/>
            <w:vMerge/>
            <w:shd w:val="clear" w:color="auto" w:fill="auto"/>
            <w:vAlign w:val="center"/>
          </w:tcPr>
          <w:p w14:paraId="3C83AC31" w14:textId="77777777" w:rsidR="00713190" w:rsidRPr="005B76C7" w:rsidRDefault="00713190" w:rsidP="0073497F">
            <w:pPr>
              <w:pStyle w:val="ListParagraph"/>
              <w:ind w:left="0"/>
              <w:rPr>
                <w:rFonts w:ascii="Arial" w:hAnsi="Arial" w:cs="Arial"/>
                <w:sz w:val="18"/>
                <w:szCs w:val="18"/>
              </w:rPr>
            </w:pPr>
          </w:p>
        </w:tc>
      </w:tr>
      <w:tr w:rsidR="00713190" w:rsidRPr="00CD450E" w14:paraId="14952DC0" w14:textId="77777777" w:rsidTr="0073497F">
        <w:trPr>
          <w:trHeight w:val="20"/>
        </w:trPr>
        <w:tc>
          <w:tcPr>
            <w:tcW w:w="1384" w:type="dxa"/>
            <w:vMerge/>
            <w:shd w:val="clear" w:color="auto" w:fill="auto"/>
            <w:vAlign w:val="center"/>
          </w:tcPr>
          <w:p w14:paraId="7D1F69C2"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3929265F"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Installation d’une vanne murale pour isoler le puits lors des travaux de curage.</w:t>
            </w:r>
          </w:p>
        </w:tc>
        <w:tc>
          <w:tcPr>
            <w:tcW w:w="4565" w:type="dxa"/>
            <w:shd w:val="clear" w:color="auto" w:fill="auto"/>
            <w:vAlign w:val="center"/>
          </w:tcPr>
          <w:p w14:paraId="7AB1DDC1"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Néant</w:t>
            </w:r>
          </w:p>
        </w:tc>
      </w:tr>
      <w:tr w:rsidR="00713190" w:rsidRPr="00CD450E" w14:paraId="499D2D2F" w14:textId="77777777" w:rsidTr="0073497F">
        <w:trPr>
          <w:trHeight w:val="20"/>
        </w:trPr>
        <w:tc>
          <w:tcPr>
            <w:tcW w:w="1384" w:type="dxa"/>
            <w:vMerge/>
            <w:shd w:val="clear" w:color="auto" w:fill="auto"/>
            <w:vAlign w:val="center"/>
          </w:tcPr>
          <w:p w14:paraId="3A08E34F"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02052F43"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 xml:space="preserve">Extension du réseau de distribution de 150 km et branchement sociaux </w:t>
            </w:r>
          </w:p>
        </w:tc>
        <w:tc>
          <w:tcPr>
            <w:tcW w:w="4565" w:type="dxa"/>
            <w:shd w:val="clear" w:color="auto" w:fill="auto"/>
            <w:vAlign w:val="center"/>
          </w:tcPr>
          <w:p w14:paraId="1BF2BD7D"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4A5C14F7"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CD450E" w14:paraId="7EADAF76" w14:textId="77777777" w:rsidTr="0073497F">
        <w:trPr>
          <w:trHeight w:val="20"/>
        </w:trPr>
        <w:tc>
          <w:tcPr>
            <w:tcW w:w="1384" w:type="dxa"/>
            <w:vMerge w:val="restart"/>
            <w:shd w:val="clear" w:color="auto" w:fill="auto"/>
            <w:vAlign w:val="center"/>
          </w:tcPr>
          <w:p w14:paraId="2DDB3BAB"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b/>
                <w:color w:val="222222"/>
                <w:sz w:val="18"/>
                <w:szCs w:val="18"/>
              </w:rPr>
              <w:t>SELINGUE</w:t>
            </w:r>
          </w:p>
        </w:tc>
        <w:tc>
          <w:tcPr>
            <w:tcW w:w="3402" w:type="dxa"/>
            <w:shd w:val="clear" w:color="auto" w:fill="auto"/>
            <w:vAlign w:val="center"/>
          </w:tcPr>
          <w:p w14:paraId="4E8CCF8F"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 xml:space="preserve">Réhabilitation de la station de traitement et la mise aux normes du réseau existant  </w:t>
            </w:r>
          </w:p>
        </w:tc>
        <w:tc>
          <w:tcPr>
            <w:tcW w:w="4565" w:type="dxa"/>
            <w:vMerge w:val="restart"/>
            <w:shd w:val="clear" w:color="auto" w:fill="auto"/>
            <w:vAlign w:val="center"/>
          </w:tcPr>
          <w:p w14:paraId="0B0382E2"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-Perturbation de la quiétude des populations riveraines</w:t>
            </w:r>
          </w:p>
          <w:p w14:paraId="20C0DB17"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 pollution de l’air par l’émission de gaz et l’envol de poussière </w:t>
            </w:r>
          </w:p>
          <w:p w14:paraId="21A1C3AB"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 xml:space="preserve">- pollution des sols - destruction de la structure du sol </w:t>
            </w:r>
          </w:p>
          <w:p w14:paraId="55DC4771"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 xml:space="preserve"> </w:t>
            </w:r>
          </w:p>
        </w:tc>
      </w:tr>
      <w:tr w:rsidR="00713190" w:rsidRPr="00CD450E" w14:paraId="14CD336A" w14:textId="77777777" w:rsidTr="0073497F">
        <w:trPr>
          <w:trHeight w:val="20"/>
        </w:trPr>
        <w:tc>
          <w:tcPr>
            <w:tcW w:w="1384" w:type="dxa"/>
            <w:vMerge/>
            <w:shd w:val="clear" w:color="auto" w:fill="auto"/>
            <w:vAlign w:val="center"/>
          </w:tcPr>
          <w:p w14:paraId="683133E8"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42A136CE"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 xml:space="preserve">Fourniture et installations d’une nouvelle station compacte de 50m³/h avec les ouvrages associés (bâche de stockage, </w:t>
            </w:r>
            <w:r w:rsidRPr="008B0928">
              <w:rPr>
                <w:rFonts w:ascii="Arial" w:hAnsi="Arial" w:cs="Arial"/>
                <w:sz w:val="18"/>
                <w:szCs w:val="18"/>
              </w:rPr>
              <w:lastRenderedPageBreak/>
              <w:t>conduite de refoulement, château d’eau)</w:t>
            </w:r>
          </w:p>
        </w:tc>
        <w:tc>
          <w:tcPr>
            <w:tcW w:w="4565" w:type="dxa"/>
            <w:vMerge/>
            <w:shd w:val="clear" w:color="auto" w:fill="auto"/>
            <w:vAlign w:val="center"/>
          </w:tcPr>
          <w:p w14:paraId="3DC0496A" w14:textId="77777777" w:rsidR="00713190" w:rsidRPr="005B76C7" w:rsidRDefault="00713190" w:rsidP="0073497F">
            <w:pPr>
              <w:pStyle w:val="ListParagraph"/>
              <w:ind w:left="0"/>
              <w:rPr>
                <w:rFonts w:ascii="Arial" w:hAnsi="Arial" w:cs="Arial"/>
                <w:sz w:val="18"/>
                <w:szCs w:val="18"/>
              </w:rPr>
            </w:pPr>
          </w:p>
        </w:tc>
      </w:tr>
      <w:tr w:rsidR="00713190" w:rsidRPr="00374240" w14:paraId="449033CD" w14:textId="77777777" w:rsidTr="0073497F">
        <w:trPr>
          <w:trHeight w:val="20"/>
        </w:trPr>
        <w:tc>
          <w:tcPr>
            <w:tcW w:w="1384" w:type="dxa"/>
            <w:vMerge/>
            <w:shd w:val="clear" w:color="auto" w:fill="auto"/>
            <w:vAlign w:val="center"/>
          </w:tcPr>
          <w:p w14:paraId="1F3A1D10"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1379A118"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Extension du réseau sur 10 km avec branchement sociaux</w:t>
            </w:r>
          </w:p>
        </w:tc>
        <w:tc>
          <w:tcPr>
            <w:tcW w:w="4565" w:type="dxa"/>
            <w:shd w:val="clear" w:color="auto" w:fill="auto"/>
            <w:vAlign w:val="center"/>
          </w:tcPr>
          <w:p w14:paraId="3C25C4A0"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0FF4FCBA"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374240" w14:paraId="071C0B9D" w14:textId="77777777" w:rsidTr="0073497F">
        <w:trPr>
          <w:trHeight w:val="20"/>
        </w:trPr>
        <w:tc>
          <w:tcPr>
            <w:tcW w:w="1384" w:type="dxa"/>
            <w:vMerge w:val="restart"/>
            <w:shd w:val="clear" w:color="auto" w:fill="auto"/>
            <w:vAlign w:val="center"/>
          </w:tcPr>
          <w:p w14:paraId="6B201D35"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b/>
                <w:color w:val="222222"/>
                <w:sz w:val="18"/>
                <w:szCs w:val="18"/>
              </w:rPr>
              <w:t>KITA</w:t>
            </w:r>
          </w:p>
        </w:tc>
        <w:tc>
          <w:tcPr>
            <w:tcW w:w="3402" w:type="dxa"/>
            <w:shd w:val="clear" w:color="auto" w:fill="auto"/>
            <w:vAlign w:val="center"/>
          </w:tcPr>
          <w:p w14:paraId="4A0D5D02"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 xml:space="preserve">Réhabilitation de la station d’exhaure </w:t>
            </w:r>
          </w:p>
        </w:tc>
        <w:tc>
          <w:tcPr>
            <w:tcW w:w="4565" w:type="dxa"/>
            <w:vMerge w:val="restart"/>
            <w:shd w:val="clear" w:color="auto" w:fill="auto"/>
            <w:vAlign w:val="center"/>
          </w:tcPr>
          <w:p w14:paraId="7DB5FF26"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-Perturbation de la quiétude des populations riveraines</w:t>
            </w:r>
          </w:p>
          <w:p w14:paraId="4A0A4473"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 l’air par l’émission de gaz et l’envol de poussière </w:t>
            </w:r>
          </w:p>
          <w:p w14:paraId="06F0BC22"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des sols </w:t>
            </w:r>
          </w:p>
          <w:p w14:paraId="5C6E1B59"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 xml:space="preserve">-destruction de la structure du sol </w:t>
            </w:r>
          </w:p>
        </w:tc>
      </w:tr>
      <w:tr w:rsidR="00713190" w:rsidRPr="00374240" w14:paraId="19A5FCE0" w14:textId="77777777" w:rsidTr="0073497F">
        <w:trPr>
          <w:trHeight w:val="20"/>
        </w:trPr>
        <w:tc>
          <w:tcPr>
            <w:tcW w:w="1384" w:type="dxa"/>
            <w:vMerge/>
            <w:shd w:val="clear" w:color="auto" w:fill="auto"/>
            <w:vAlign w:val="center"/>
          </w:tcPr>
          <w:p w14:paraId="59F63730"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55B00C45"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Réhabilitation de la station de traitement</w:t>
            </w:r>
          </w:p>
        </w:tc>
        <w:tc>
          <w:tcPr>
            <w:tcW w:w="4565" w:type="dxa"/>
            <w:vMerge/>
            <w:shd w:val="clear" w:color="auto" w:fill="auto"/>
            <w:vAlign w:val="center"/>
          </w:tcPr>
          <w:p w14:paraId="5DD3991E" w14:textId="77777777" w:rsidR="00713190" w:rsidRPr="005B76C7" w:rsidRDefault="00713190" w:rsidP="0073497F">
            <w:pPr>
              <w:pStyle w:val="ListParagraph"/>
              <w:ind w:left="0"/>
              <w:rPr>
                <w:rFonts w:ascii="Arial" w:hAnsi="Arial" w:cs="Arial"/>
                <w:sz w:val="18"/>
                <w:szCs w:val="18"/>
              </w:rPr>
            </w:pPr>
          </w:p>
        </w:tc>
      </w:tr>
      <w:tr w:rsidR="00713190" w:rsidRPr="00374240" w14:paraId="2AB6A414" w14:textId="77777777" w:rsidTr="0073497F">
        <w:trPr>
          <w:trHeight w:val="20"/>
        </w:trPr>
        <w:tc>
          <w:tcPr>
            <w:tcW w:w="1384" w:type="dxa"/>
            <w:vMerge/>
            <w:shd w:val="clear" w:color="auto" w:fill="auto"/>
            <w:vAlign w:val="center"/>
          </w:tcPr>
          <w:p w14:paraId="0FE2E336"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0E334D30"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Réhabilitation sur 20 km et extension sur (100km) du réseau existant</w:t>
            </w:r>
          </w:p>
        </w:tc>
        <w:tc>
          <w:tcPr>
            <w:tcW w:w="4565" w:type="dxa"/>
            <w:vMerge w:val="restart"/>
            <w:shd w:val="clear" w:color="auto" w:fill="auto"/>
            <w:vAlign w:val="center"/>
          </w:tcPr>
          <w:p w14:paraId="6124D140"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5C7C6189"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374240" w14:paraId="1E99F9FF" w14:textId="77777777" w:rsidTr="0073497F">
        <w:trPr>
          <w:trHeight w:val="20"/>
        </w:trPr>
        <w:tc>
          <w:tcPr>
            <w:tcW w:w="1384" w:type="dxa"/>
            <w:vMerge/>
            <w:shd w:val="clear" w:color="auto" w:fill="auto"/>
            <w:vAlign w:val="center"/>
          </w:tcPr>
          <w:p w14:paraId="3BC16EE7"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06C87361"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sz w:val="18"/>
                <w:szCs w:val="18"/>
              </w:rPr>
              <w:t>Fourniture et installation d’une nouvelle station compacte de production d’eau (extension exhaure existant, dimensionnement de la station refoulement de l’eau traitée, raccordement au réseau existant</w:t>
            </w:r>
          </w:p>
        </w:tc>
        <w:tc>
          <w:tcPr>
            <w:tcW w:w="4565" w:type="dxa"/>
            <w:vMerge/>
            <w:shd w:val="clear" w:color="auto" w:fill="auto"/>
            <w:vAlign w:val="center"/>
          </w:tcPr>
          <w:p w14:paraId="52FF1373" w14:textId="77777777" w:rsidR="00713190" w:rsidRPr="005B76C7" w:rsidRDefault="00713190" w:rsidP="0073497F">
            <w:pPr>
              <w:pStyle w:val="ListParagraph"/>
              <w:ind w:left="0"/>
              <w:rPr>
                <w:rFonts w:ascii="Arial" w:hAnsi="Arial" w:cs="Arial"/>
                <w:sz w:val="18"/>
                <w:szCs w:val="18"/>
              </w:rPr>
            </w:pPr>
          </w:p>
        </w:tc>
      </w:tr>
      <w:tr w:rsidR="00713190" w:rsidRPr="00374240" w14:paraId="3B62040F" w14:textId="77777777" w:rsidTr="0073497F">
        <w:trPr>
          <w:trHeight w:val="20"/>
        </w:trPr>
        <w:tc>
          <w:tcPr>
            <w:tcW w:w="1384" w:type="dxa"/>
            <w:vMerge w:val="restart"/>
            <w:shd w:val="clear" w:color="auto" w:fill="auto"/>
            <w:vAlign w:val="center"/>
          </w:tcPr>
          <w:p w14:paraId="14186F9A"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b/>
                <w:color w:val="222222"/>
                <w:sz w:val="18"/>
                <w:szCs w:val="18"/>
              </w:rPr>
              <w:t>MARKALA</w:t>
            </w:r>
          </w:p>
        </w:tc>
        <w:tc>
          <w:tcPr>
            <w:tcW w:w="3402" w:type="dxa"/>
            <w:shd w:val="clear" w:color="auto" w:fill="auto"/>
            <w:vAlign w:val="center"/>
          </w:tcPr>
          <w:p w14:paraId="087E10C2"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Réhabilitation de la prise d’eau</w:t>
            </w:r>
          </w:p>
        </w:tc>
        <w:tc>
          <w:tcPr>
            <w:tcW w:w="4565" w:type="dxa"/>
            <w:vMerge w:val="restart"/>
            <w:shd w:val="clear" w:color="auto" w:fill="auto"/>
            <w:vAlign w:val="center"/>
          </w:tcPr>
          <w:p w14:paraId="6755A396"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Perturbation de la quiétude des populations riveraines</w:t>
            </w:r>
          </w:p>
          <w:p w14:paraId="5B71ABC6"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 l’air par l’émission de gaz et l’envol de poussière </w:t>
            </w:r>
          </w:p>
          <w:p w14:paraId="32D7B58E"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des sols </w:t>
            </w:r>
          </w:p>
          <w:p w14:paraId="185CCE46"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-destruction de la structure du sol</w:t>
            </w:r>
          </w:p>
        </w:tc>
      </w:tr>
      <w:tr w:rsidR="00713190" w:rsidRPr="00374240" w14:paraId="21435216" w14:textId="77777777" w:rsidTr="0073497F">
        <w:trPr>
          <w:trHeight w:val="20"/>
        </w:trPr>
        <w:tc>
          <w:tcPr>
            <w:tcW w:w="1384" w:type="dxa"/>
            <w:vMerge/>
            <w:shd w:val="clear" w:color="auto" w:fill="auto"/>
            <w:vAlign w:val="center"/>
          </w:tcPr>
          <w:p w14:paraId="3A4288DE"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25898930" w14:textId="77777777" w:rsidR="00713190" w:rsidRPr="0097153E"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Réhabilitation de la station de traitement y compris la cond</w:t>
            </w:r>
            <w:r>
              <w:rPr>
                <w:rFonts w:ascii="Arial" w:hAnsi="Arial" w:cs="Arial"/>
                <w:sz w:val="18"/>
                <w:szCs w:val="18"/>
              </w:rPr>
              <w:t>uite d’adduction et le stockage</w:t>
            </w:r>
          </w:p>
        </w:tc>
        <w:tc>
          <w:tcPr>
            <w:tcW w:w="4565" w:type="dxa"/>
            <w:vMerge/>
            <w:shd w:val="clear" w:color="auto" w:fill="auto"/>
            <w:vAlign w:val="center"/>
          </w:tcPr>
          <w:p w14:paraId="2860B66E" w14:textId="77777777" w:rsidR="00713190" w:rsidRPr="005B76C7" w:rsidRDefault="00713190" w:rsidP="0073497F">
            <w:pPr>
              <w:pStyle w:val="ListParagraph"/>
              <w:ind w:left="0"/>
              <w:rPr>
                <w:rFonts w:ascii="Arial" w:hAnsi="Arial" w:cs="Arial"/>
                <w:sz w:val="18"/>
                <w:szCs w:val="18"/>
              </w:rPr>
            </w:pPr>
          </w:p>
        </w:tc>
      </w:tr>
      <w:tr w:rsidR="00713190" w:rsidRPr="00374240" w14:paraId="5D62C003" w14:textId="77777777" w:rsidTr="0073497F">
        <w:trPr>
          <w:trHeight w:val="20"/>
        </w:trPr>
        <w:tc>
          <w:tcPr>
            <w:tcW w:w="1384" w:type="dxa"/>
            <w:vMerge/>
            <w:shd w:val="clear" w:color="auto" w:fill="auto"/>
            <w:vAlign w:val="center"/>
          </w:tcPr>
          <w:p w14:paraId="2EB0CB58"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4F75AF08"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Réhabilitation des parties dégradées de la station (décanteur, filtres, saturateur, local de traitement, siphons, conduites de refoulement, toilettes). </w:t>
            </w:r>
          </w:p>
        </w:tc>
        <w:tc>
          <w:tcPr>
            <w:tcW w:w="4565" w:type="dxa"/>
            <w:vMerge/>
            <w:shd w:val="clear" w:color="auto" w:fill="auto"/>
            <w:vAlign w:val="center"/>
          </w:tcPr>
          <w:p w14:paraId="70C8AB5B" w14:textId="77777777" w:rsidR="00713190" w:rsidRPr="005B76C7" w:rsidRDefault="00713190" w:rsidP="0073497F">
            <w:pPr>
              <w:pStyle w:val="ListParagraph"/>
              <w:ind w:left="0"/>
              <w:rPr>
                <w:rFonts w:ascii="Arial" w:hAnsi="Arial" w:cs="Arial"/>
                <w:sz w:val="18"/>
                <w:szCs w:val="18"/>
              </w:rPr>
            </w:pPr>
          </w:p>
        </w:tc>
      </w:tr>
      <w:tr w:rsidR="00713190" w:rsidRPr="00374240" w14:paraId="6FA20135" w14:textId="77777777" w:rsidTr="0073497F">
        <w:trPr>
          <w:trHeight w:val="20"/>
        </w:trPr>
        <w:tc>
          <w:tcPr>
            <w:tcW w:w="1384" w:type="dxa"/>
            <w:vMerge/>
            <w:shd w:val="clear" w:color="auto" w:fill="auto"/>
            <w:vAlign w:val="center"/>
          </w:tcPr>
          <w:p w14:paraId="306D19F8"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648A01A1"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 xml:space="preserve">Extension du réseau d’eau de </w:t>
            </w:r>
            <w:proofErr w:type="spellStart"/>
            <w:r w:rsidRPr="008B0928">
              <w:rPr>
                <w:rFonts w:ascii="Arial" w:hAnsi="Arial" w:cs="Arial"/>
                <w:sz w:val="18"/>
                <w:szCs w:val="18"/>
              </w:rPr>
              <w:t>Markala</w:t>
            </w:r>
            <w:proofErr w:type="spellEnd"/>
            <w:r w:rsidRPr="008B0928">
              <w:rPr>
                <w:rFonts w:ascii="Arial" w:hAnsi="Arial" w:cs="Arial"/>
                <w:sz w:val="18"/>
                <w:szCs w:val="18"/>
              </w:rPr>
              <w:t xml:space="preserve"> en vue de couvrir les nouveaux quartiers sur 50 km et branchements sociaux. </w:t>
            </w:r>
          </w:p>
        </w:tc>
        <w:tc>
          <w:tcPr>
            <w:tcW w:w="4565" w:type="dxa"/>
            <w:shd w:val="clear" w:color="auto" w:fill="auto"/>
            <w:vAlign w:val="center"/>
          </w:tcPr>
          <w:p w14:paraId="1D6D62B8"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0870EF89"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374240" w14:paraId="367940F4" w14:textId="77777777" w:rsidTr="0073497F">
        <w:trPr>
          <w:trHeight w:val="20"/>
        </w:trPr>
        <w:tc>
          <w:tcPr>
            <w:tcW w:w="1384" w:type="dxa"/>
            <w:vMerge w:val="restart"/>
            <w:shd w:val="clear" w:color="auto" w:fill="auto"/>
            <w:vAlign w:val="center"/>
          </w:tcPr>
          <w:p w14:paraId="35152F10"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b/>
                <w:color w:val="222222"/>
                <w:sz w:val="18"/>
                <w:szCs w:val="18"/>
              </w:rPr>
              <w:t>GAO</w:t>
            </w:r>
          </w:p>
        </w:tc>
        <w:tc>
          <w:tcPr>
            <w:tcW w:w="3402" w:type="dxa"/>
            <w:shd w:val="clear" w:color="auto" w:fill="auto"/>
            <w:vAlign w:val="center"/>
          </w:tcPr>
          <w:p w14:paraId="08BB465E"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Réhabilitation et extension (2000m³/j supplémentaire) de la station de traitement existante y compris la mise en place de dispositif de traitement du fer et manganèse</w:t>
            </w:r>
          </w:p>
        </w:tc>
        <w:tc>
          <w:tcPr>
            <w:tcW w:w="4565" w:type="dxa"/>
            <w:shd w:val="clear" w:color="auto" w:fill="auto"/>
            <w:vAlign w:val="center"/>
          </w:tcPr>
          <w:p w14:paraId="1387378D"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Perturbation de la quiétude des populations riveraines</w:t>
            </w:r>
          </w:p>
          <w:p w14:paraId="456AE6ED"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 l’air par l’émission de gaz et l’envol de poussière </w:t>
            </w:r>
          </w:p>
          <w:p w14:paraId="3129EF9C"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des sols </w:t>
            </w:r>
          </w:p>
          <w:p w14:paraId="30DA0186"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-destruction de la structure du sol</w:t>
            </w:r>
          </w:p>
        </w:tc>
      </w:tr>
      <w:tr w:rsidR="00713190" w:rsidRPr="00374240" w14:paraId="78B2A287" w14:textId="77777777" w:rsidTr="0073497F">
        <w:trPr>
          <w:trHeight w:val="20"/>
        </w:trPr>
        <w:tc>
          <w:tcPr>
            <w:tcW w:w="1384" w:type="dxa"/>
            <w:vMerge/>
            <w:shd w:val="clear" w:color="auto" w:fill="auto"/>
            <w:vAlign w:val="center"/>
          </w:tcPr>
          <w:p w14:paraId="64BDB139"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5C44B6B7"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rPr>
                <w:rFonts w:ascii="Arial" w:hAnsi="Arial" w:cs="Arial"/>
                <w:color w:val="222222"/>
                <w:sz w:val="18"/>
                <w:szCs w:val="18"/>
              </w:rPr>
            </w:pPr>
            <w:r w:rsidRPr="008B0928">
              <w:rPr>
                <w:rFonts w:ascii="Arial" w:hAnsi="Arial" w:cs="Arial"/>
                <w:sz w:val="18"/>
                <w:szCs w:val="18"/>
              </w:rPr>
              <w:t>Réalisation de deux forages supplémentaires d’adduction</w:t>
            </w:r>
          </w:p>
        </w:tc>
        <w:tc>
          <w:tcPr>
            <w:tcW w:w="4565" w:type="dxa"/>
            <w:shd w:val="clear" w:color="auto" w:fill="auto"/>
            <w:vAlign w:val="center"/>
          </w:tcPr>
          <w:p w14:paraId="5322709B"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-pollution sonore</w:t>
            </w:r>
          </w:p>
          <w:p w14:paraId="6B46DA40"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destruction de la structure du sol</w:t>
            </w:r>
          </w:p>
          <w:p w14:paraId="182FB154"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-contaminations des sols par les huiles et graisses utilisées sur le site des travaux</w:t>
            </w:r>
          </w:p>
        </w:tc>
      </w:tr>
      <w:tr w:rsidR="00713190" w:rsidRPr="00374240" w14:paraId="5C02EFA2" w14:textId="77777777" w:rsidTr="0073497F">
        <w:trPr>
          <w:trHeight w:val="20"/>
        </w:trPr>
        <w:tc>
          <w:tcPr>
            <w:tcW w:w="1384" w:type="dxa"/>
            <w:vMerge/>
            <w:shd w:val="clear" w:color="auto" w:fill="auto"/>
            <w:vAlign w:val="center"/>
          </w:tcPr>
          <w:p w14:paraId="78120C07"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67645377"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Réhabilitation de 15 km de réseau défectueux (entartrage)</w:t>
            </w:r>
          </w:p>
        </w:tc>
        <w:tc>
          <w:tcPr>
            <w:tcW w:w="4565" w:type="dxa"/>
            <w:vMerge w:val="restart"/>
            <w:shd w:val="clear" w:color="auto" w:fill="auto"/>
            <w:vAlign w:val="center"/>
          </w:tcPr>
          <w:p w14:paraId="0EE2DDDE"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306634C3"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374240" w14:paraId="7DB37FEF" w14:textId="77777777" w:rsidTr="0073497F">
        <w:trPr>
          <w:trHeight w:val="20"/>
        </w:trPr>
        <w:tc>
          <w:tcPr>
            <w:tcW w:w="1384" w:type="dxa"/>
            <w:vMerge/>
            <w:shd w:val="clear" w:color="auto" w:fill="auto"/>
            <w:vAlign w:val="center"/>
          </w:tcPr>
          <w:p w14:paraId="77B00F09"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383DCFC5"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Extension du réseau sur 150 km et branchement</w:t>
            </w:r>
          </w:p>
        </w:tc>
        <w:tc>
          <w:tcPr>
            <w:tcW w:w="4565" w:type="dxa"/>
            <w:vMerge/>
            <w:shd w:val="clear" w:color="auto" w:fill="auto"/>
            <w:vAlign w:val="center"/>
          </w:tcPr>
          <w:p w14:paraId="36588A04" w14:textId="77777777" w:rsidR="00713190" w:rsidRPr="005B76C7" w:rsidRDefault="00713190" w:rsidP="0073497F">
            <w:pPr>
              <w:pStyle w:val="ListParagraph"/>
              <w:ind w:left="0"/>
              <w:rPr>
                <w:rFonts w:ascii="Arial" w:hAnsi="Arial" w:cs="Arial"/>
                <w:sz w:val="18"/>
                <w:szCs w:val="18"/>
              </w:rPr>
            </w:pPr>
          </w:p>
        </w:tc>
      </w:tr>
      <w:tr w:rsidR="00713190" w:rsidRPr="00374240" w14:paraId="651903A7" w14:textId="77777777" w:rsidTr="0073497F">
        <w:trPr>
          <w:trHeight w:val="20"/>
        </w:trPr>
        <w:tc>
          <w:tcPr>
            <w:tcW w:w="1384" w:type="dxa"/>
            <w:vMerge w:val="restart"/>
            <w:shd w:val="clear" w:color="auto" w:fill="auto"/>
            <w:vAlign w:val="center"/>
          </w:tcPr>
          <w:p w14:paraId="6A3FF4C6"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b/>
                <w:color w:val="222222"/>
                <w:sz w:val="18"/>
                <w:szCs w:val="18"/>
              </w:rPr>
              <w:t>NIORO</w:t>
            </w:r>
          </w:p>
        </w:tc>
        <w:tc>
          <w:tcPr>
            <w:tcW w:w="3402" w:type="dxa"/>
            <w:shd w:val="clear" w:color="auto" w:fill="auto"/>
            <w:vAlign w:val="center"/>
          </w:tcPr>
          <w:p w14:paraId="329E40FF"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 xml:space="preserve">Sécurisation des conduites de liaisons entre les forages et la station de traitements </w:t>
            </w:r>
          </w:p>
        </w:tc>
        <w:tc>
          <w:tcPr>
            <w:tcW w:w="4565" w:type="dxa"/>
            <w:shd w:val="clear" w:color="auto" w:fill="auto"/>
            <w:vAlign w:val="center"/>
          </w:tcPr>
          <w:p w14:paraId="7C305425"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Néant</w:t>
            </w:r>
          </w:p>
        </w:tc>
      </w:tr>
      <w:tr w:rsidR="00713190" w:rsidRPr="00374240" w14:paraId="245DE077" w14:textId="77777777" w:rsidTr="0073497F">
        <w:trPr>
          <w:trHeight w:val="20"/>
        </w:trPr>
        <w:tc>
          <w:tcPr>
            <w:tcW w:w="1384" w:type="dxa"/>
            <w:vMerge/>
            <w:shd w:val="clear" w:color="auto" w:fill="auto"/>
            <w:vAlign w:val="center"/>
          </w:tcPr>
          <w:p w14:paraId="0BAE1362"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302A57CA"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Réhabilitation des ouvrages de stockages d’eau</w:t>
            </w:r>
          </w:p>
          <w:p w14:paraId="6376BB45" w14:textId="77777777" w:rsidR="00713190" w:rsidRPr="008B0928" w:rsidRDefault="00713190" w:rsidP="0073497F">
            <w:pPr>
              <w:pStyle w:val="ListParagraph"/>
              <w:ind w:left="0"/>
              <w:rPr>
                <w:rFonts w:ascii="Arial" w:hAnsi="Arial" w:cs="Arial"/>
                <w:color w:val="222222"/>
                <w:sz w:val="18"/>
                <w:szCs w:val="18"/>
              </w:rPr>
            </w:pPr>
          </w:p>
        </w:tc>
        <w:tc>
          <w:tcPr>
            <w:tcW w:w="4565" w:type="dxa"/>
            <w:shd w:val="clear" w:color="auto" w:fill="auto"/>
            <w:vAlign w:val="center"/>
          </w:tcPr>
          <w:p w14:paraId="5CFB2C91"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-Perturbation de la quiétude des populations riveraines</w:t>
            </w:r>
          </w:p>
          <w:p w14:paraId="2AE9A319"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 l’air par l’émission de gaz et l’envol de poussière </w:t>
            </w:r>
          </w:p>
          <w:p w14:paraId="6022C98D"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xml:space="preserve">-pollution des sols </w:t>
            </w:r>
          </w:p>
          <w:p w14:paraId="319B0D66"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-destruction de la structure du sol</w:t>
            </w:r>
          </w:p>
        </w:tc>
      </w:tr>
      <w:tr w:rsidR="00713190" w:rsidRPr="00374240" w14:paraId="50C3852C" w14:textId="77777777" w:rsidTr="0073497F">
        <w:trPr>
          <w:trHeight w:val="20"/>
        </w:trPr>
        <w:tc>
          <w:tcPr>
            <w:tcW w:w="1384" w:type="dxa"/>
            <w:vMerge/>
            <w:shd w:val="clear" w:color="auto" w:fill="auto"/>
            <w:vAlign w:val="center"/>
          </w:tcPr>
          <w:p w14:paraId="407909FA"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7E808000"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color w:val="222222"/>
                <w:sz w:val="18"/>
                <w:szCs w:val="18"/>
              </w:rPr>
            </w:pPr>
            <w:r w:rsidRPr="008B0928">
              <w:rPr>
                <w:rFonts w:ascii="Arial" w:hAnsi="Arial" w:cs="Arial"/>
                <w:sz w:val="18"/>
                <w:szCs w:val="18"/>
              </w:rPr>
              <w:t xml:space="preserve">Réhabilitation (20 km) et d’extension (50 km) du réseau existant </w:t>
            </w:r>
          </w:p>
        </w:tc>
        <w:tc>
          <w:tcPr>
            <w:tcW w:w="4565" w:type="dxa"/>
            <w:shd w:val="clear" w:color="auto" w:fill="auto"/>
            <w:vAlign w:val="center"/>
          </w:tcPr>
          <w:p w14:paraId="22BB8B72"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0FE1493E"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tc>
      </w:tr>
      <w:tr w:rsidR="00713190" w:rsidRPr="00374240" w14:paraId="1308E4CC" w14:textId="77777777" w:rsidTr="0073497F">
        <w:trPr>
          <w:trHeight w:val="20"/>
        </w:trPr>
        <w:tc>
          <w:tcPr>
            <w:tcW w:w="1384" w:type="dxa"/>
            <w:vMerge/>
            <w:shd w:val="clear" w:color="auto" w:fill="auto"/>
            <w:vAlign w:val="center"/>
          </w:tcPr>
          <w:p w14:paraId="77D8C4EB"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520766B4" w14:textId="77777777" w:rsidR="00713190" w:rsidRPr="008B0928" w:rsidRDefault="00713190" w:rsidP="0073497F">
            <w:pPr>
              <w:pStyle w:val="ListParagraph"/>
              <w:widowControl w:val="0"/>
              <w:tabs>
                <w:tab w:val="left" w:pos="9072"/>
              </w:tabs>
              <w:autoSpaceDE w:val="0"/>
              <w:autoSpaceDN w:val="0"/>
              <w:adjustRightInd w:val="0"/>
              <w:spacing w:before="120" w:after="120"/>
              <w:ind w:left="0"/>
              <w:contextualSpacing/>
              <w:jc w:val="both"/>
              <w:rPr>
                <w:rFonts w:ascii="Arial" w:hAnsi="Arial" w:cs="Arial"/>
                <w:sz w:val="18"/>
                <w:szCs w:val="18"/>
              </w:rPr>
            </w:pPr>
            <w:r w:rsidRPr="008B0928">
              <w:rPr>
                <w:rFonts w:ascii="Arial" w:hAnsi="Arial" w:cs="Arial"/>
                <w:sz w:val="18"/>
                <w:szCs w:val="18"/>
              </w:rPr>
              <w:t xml:space="preserve">Raccordement des nouveaux forages réalisés </w:t>
            </w:r>
          </w:p>
          <w:p w14:paraId="00FBE0A2" w14:textId="77777777" w:rsidR="00713190" w:rsidRPr="008B0928" w:rsidRDefault="00713190" w:rsidP="0073497F">
            <w:pPr>
              <w:pStyle w:val="ListParagraph"/>
              <w:ind w:left="0"/>
              <w:rPr>
                <w:rFonts w:ascii="Arial" w:hAnsi="Arial" w:cs="Arial"/>
                <w:color w:val="222222"/>
                <w:sz w:val="18"/>
                <w:szCs w:val="18"/>
              </w:rPr>
            </w:pPr>
          </w:p>
        </w:tc>
        <w:tc>
          <w:tcPr>
            <w:tcW w:w="4565" w:type="dxa"/>
            <w:shd w:val="clear" w:color="auto" w:fill="auto"/>
            <w:vAlign w:val="center"/>
          </w:tcPr>
          <w:p w14:paraId="59E56724"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 xml:space="preserve">-perturbations temporaires des accès des différentes installations </w:t>
            </w:r>
          </w:p>
          <w:p w14:paraId="50B2A413" w14:textId="77777777" w:rsidR="00713190" w:rsidRPr="005B76C7" w:rsidRDefault="00713190" w:rsidP="0073497F">
            <w:pPr>
              <w:pStyle w:val="ListParagraph"/>
              <w:ind w:left="0"/>
              <w:rPr>
                <w:rFonts w:ascii="Arial" w:hAnsi="Arial" w:cs="Arial"/>
                <w:sz w:val="18"/>
                <w:szCs w:val="18"/>
              </w:rPr>
            </w:pPr>
            <w:r w:rsidRPr="005B76C7">
              <w:rPr>
                <w:rFonts w:ascii="Arial" w:hAnsi="Arial" w:cs="Arial"/>
                <w:sz w:val="18"/>
                <w:szCs w:val="18"/>
              </w:rPr>
              <w:t>-risques d’accidents</w:t>
            </w:r>
          </w:p>
          <w:p w14:paraId="704D4397"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-perturbation sonore</w:t>
            </w:r>
          </w:p>
          <w:p w14:paraId="5F26FE20" w14:textId="77777777" w:rsidR="00713190" w:rsidRPr="005B76C7" w:rsidRDefault="00713190" w:rsidP="0073497F">
            <w:pPr>
              <w:pStyle w:val="ListParagraph"/>
              <w:ind w:left="0"/>
              <w:rPr>
                <w:rFonts w:ascii="Arial" w:hAnsi="Arial" w:cs="Arial"/>
                <w:bCs/>
                <w:sz w:val="18"/>
                <w:szCs w:val="18"/>
              </w:rPr>
            </w:pPr>
            <w:r w:rsidRPr="005B76C7">
              <w:rPr>
                <w:rFonts w:ascii="Arial" w:hAnsi="Arial" w:cs="Arial"/>
                <w:bCs/>
                <w:sz w:val="18"/>
                <w:szCs w:val="18"/>
              </w:rPr>
              <w:t>- destruction de la structure du sol</w:t>
            </w:r>
          </w:p>
          <w:p w14:paraId="75EFFEA5" w14:textId="77777777" w:rsidR="00713190" w:rsidRPr="005B76C7" w:rsidRDefault="00713190" w:rsidP="0073497F">
            <w:pPr>
              <w:pStyle w:val="ListParagraph"/>
              <w:ind w:left="0"/>
              <w:rPr>
                <w:rFonts w:ascii="Arial" w:hAnsi="Arial" w:cs="Arial"/>
                <w:sz w:val="18"/>
                <w:szCs w:val="18"/>
              </w:rPr>
            </w:pPr>
            <w:r w:rsidRPr="005B76C7">
              <w:rPr>
                <w:rFonts w:ascii="Arial" w:hAnsi="Arial" w:cs="Arial"/>
                <w:bCs/>
                <w:sz w:val="18"/>
                <w:szCs w:val="18"/>
              </w:rPr>
              <w:t>-contaminations des sols par les huiles et graisses utilisées sur le site des travaux</w:t>
            </w:r>
          </w:p>
        </w:tc>
      </w:tr>
      <w:tr w:rsidR="00713190" w:rsidRPr="00374240" w14:paraId="6C21DEA0" w14:textId="77777777" w:rsidTr="0073497F">
        <w:trPr>
          <w:trHeight w:val="20"/>
        </w:trPr>
        <w:tc>
          <w:tcPr>
            <w:tcW w:w="1384" w:type="dxa"/>
            <w:vMerge/>
            <w:shd w:val="clear" w:color="auto" w:fill="auto"/>
            <w:vAlign w:val="center"/>
          </w:tcPr>
          <w:p w14:paraId="573E2C77" w14:textId="77777777" w:rsidR="00713190" w:rsidRPr="008B0928" w:rsidRDefault="00713190" w:rsidP="0073497F">
            <w:pPr>
              <w:pStyle w:val="ListParagraph"/>
              <w:ind w:left="0"/>
              <w:rPr>
                <w:rFonts w:ascii="Arial" w:hAnsi="Arial" w:cs="Arial"/>
                <w:color w:val="222222"/>
                <w:sz w:val="18"/>
                <w:szCs w:val="18"/>
              </w:rPr>
            </w:pPr>
          </w:p>
        </w:tc>
        <w:tc>
          <w:tcPr>
            <w:tcW w:w="3402" w:type="dxa"/>
            <w:shd w:val="clear" w:color="auto" w:fill="auto"/>
            <w:vAlign w:val="center"/>
          </w:tcPr>
          <w:p w14:paraId="073CC094" w14:textId="77777777" w:rsidR="00713190" w:rsidRPr="008B0928" w:rsidRDefault="00713190" w:rsidP="0073497F">
            <w:pPr>
              <w:pStyle w:val="ListParagraph"/>
              <w:ind w:left="0"/>
              <w:rPr>
                <w:rFonts w:ascii="Arial" w:hAnsi="Arial" w:cs="Arial"/>
                <w:color w:val="222222"/>
                <w:sz w:val="18"/>
                <w:szCs w:val="18"/>
              </w:rPr>
            </w:pPr>
            <w:r w:rsidRPr="008B0928">
              <w:rPr>
                <w:rFonts w:ascii="Arial" w:hAnsi="Arial" w:cs="Arial"/>
                <w:sz w:val="18"/>
                <w:szCs w:val="18"/>
              </w:rPr>
              <w:t>Etude d’un nouveau champ captant</w:t>
            </w:r>
          </w:p>
        </w:tc>
        <w:tc>
          <w:tcPr>
            <w:tcW w:w="4565" w:type="dxa"/>
            <w:shd w:val="clear" w:color="auto" w:fill="auto"/>
            <w:vAlign w:val="center"/>
          </w:tcPr>
          <w:p w14:paraId="40B49E18" w14:textId="77777777" w:rsidR="00713190" w:rsidRPr="008B0928" w:rsidRDefault="00713190" w:rsidP="0073497F">
            <w:pPr>
              <w:pStyle w:val="ListParagraph"/>
              <w:ind w:left="0"/>
              <w:rPr>
                <w:rFonts w:ascii="Arial" w:hAnsi="Arial" w:cs="Arial"/>
                <w:color w:val="222222"/>
                <w:sz w:val="18"/>
                <w:szCs w:val="18"/>
              </w:rPr>
            </w:pPr>
          </w:p>
        </w:tc>
      </w:tr>
    </w:tbl>
    <w:p w14:paraId="6A668D25" w14:textId="77777777" w:rsidR="00713190" w:rsidRDefault="00713190" w:rsidP="00713190">
      <w:pPr>
        <w:tabs>
          <w:tab w:val="left" w:pos="90"/>
        </w:tabs>
        <w:jc w:val="both"/>
        <w:rPr>
          <w:szCs w:val="22"/>
        </w:rPr>
      </w:pPr>
    </w:p>
    <w:sectPr w:rsidR="00713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4EE0"/>
    <w:multiLevelType w:val="hybridMultilevel"/>
    <w:tmpl w:val="7B26C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6064F"/>
    <w:multiLevelType w:val="hybridMultilevel"/>
    <w:tmpl w:val="559A5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90"/>
    <w:rsid w:val="000104ED"/>
    <w:rsid w:val="004247DC"/>
    <w:rsid w:val="00645821"/>
    <w:rsid w:val="006C3A63"/>
    <w:rsid w:val="00713190"/>
    <w:rsid w:val="00807C53"/>
    <w:rsid w:val="00873A58"/>
    <w:rsid w:val="008E7B07"/>
    <w:rsid w:val="00B01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9A04EA"/>
  <w15:chartTrackingRefBased/>
  <w15:docId w15:val="{5CC19EE8-2119-49A0-96BE-C30FA87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90"/>
    <w:pPr>
      <w:spacing w:after="0" w:line="240" w:lineRule="auto"/>
    </w:pPr>
    <w:rPr>
      <w:rFonts w:ascii="Times New Roman" w:eastAsia="Times New Roman" w:hAnsi="Times New Roman" w:cs="Times New Roman"/>
      <w:szCs w:val="20"/>
    </w:rPr>
  </w:style>
  <w:style w:type="paragraph" w:styleId="Heading1">
    <w:name w:val="heading 1"/>
    <w:aliases w:val="Main Heading,TCI 1.  Heading,Main Heading 1,Document Header1, Main Heading, ,Titre 1 Car Car Car Car Car Car Car Car Car Car Car Car Car Car Car Car Car Car, 1, 2, 3, 11"/>
    <w:basedOn w:val="Normal"/>
    <w:next w:val="Normal"/>
    <w:link w:val="Heading1Char"/>
    <w:qFormat/>
    <w:rsid w:val="00713190"/>
    <w:pPr>
      <w:keepNext/>
      <w:outlineLvl w:val="0"/>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Document Header1 Char, Main Heading Char,  Char,Titre 1 Car Car Car Car Car Car Car Car Car Car Car Car Car Car Car Car Car Car Char, 1 Char, 2 Char, 3 Char, 11 Char"/>
    <w:basedOn w:val="DefaultParagraphFont"/>
    <w:link w:val="Heading1"/>
    <w:rsid w:val="00713190"/>
    <w:rPr>
      <w:rFonts w:ascii="Times New Roman" w:eastAsia="Times New Roman" w:hAnsi="Times New Roman" w:cs="Times New Roman"/>
      <w:b/>
      <w:caps/>
      <w:sz w:val="24"/>
      <w:szCs w:val="20"/>
    </w:rPr>
  </w:style>
  <w:style w:type="paragraph" w:styleId="Caption">
    <w:name w:val="caption"/>
    <w:aliases w:val="Légende dak,tableau,Légende-LP,Légende -LP,Carte,Carte-LP,fig, Car,Car Car Car,Char Char Char Char Char,Char Char Char Char Char Char,Char Char Char Char,Légende-Tableau,Car Car Car Car Car,Car Car Car Car Car Car Car Car Car"/>
    <w:basedOn w:val="Normal"/>
    <w:next w:val="Normal"/>
    <w:link w:val="CaptionChar"/>
    <w:uiPriority w:val="35"/>
    <w:qFormat/>
    <w:rsid w:val="00713190"/>
    <w:rPr>
      <w:b/>
      <w:bCs/>
      <w:sz w:val="20"/>
      <w:lang w:eastAsia="x-none"/>
    </w:rPr>
  </w:style>
  <w:style w:type="character" w:styleId="CommentReference">
    <w:name w:val="annotation reference"/>
    <w:semiHidden/>
    <w:rsid w:val="00713190"/>
    <w:rPr>
      <w:sz w:val="16"/>
      <w:szCs w:val="16"/>
    </w:rPr>
  </w:style>
  <w:style w:type="paragraph" w:styleId="CommentText">
    <w:name w:val="annotation text"/>
    <w:basedOn w:val="Normal"/>
    <w:link w:val="CommentTextChar"/>
    <w:rsid w:val="00713190"/>
    <w:rPr>
      <w:sz w:val="20"/>
      <w:lang w:eastAsia="x-none"/>
    </w:rPr>
  </w:style>
  <w:style w:type="character" w:customStyle="1" w:styleId="CommentTextChar">
    <w:name w:val="Comment Text Char"/>
    <w:basedOn w:val="DefaultParagraphFont"/>
    <w:link w:val="CommentText"/>
    <w:rsid w:val="00713190"/>
    <w:rPr>
      <w:rFonts w:ascii="Times New Roman" w:eastAsia="Times New Roman" w:hAnsi="Times New Roman" w:cs="Times New Roman"/>
      <w:sz w:val="20"/>
      <w:szCs w:val="20"/>
      <w:lang w:eastAsia="x-none"/>
    </w:rPr>
  </w:style>
  <w:style w:type="paragraph" w:styleId="ListParagraph">
    <w:name w:val="List Paragraph"/>
    <w:aliases w:val="References,Bullets,Paragraphe de liste11,Titre 10,List Paragraph (numbered (a)),List Paragraph nowy"/>
    <w:basedOn w:val="Normal"/>
    <w:link w:val="ListParagraphChar"/>
    <w:uiPriority w:val="34"/>
    <w:qFormat/>
    <w:rsid w:val="00713190"/>
    <w:pPr>
      <w:ind w:left="708"/>
    </w:pPr>
    <w:rPr>
      <w:sz w:val="24"/>
      <w:szCs w:val="24"/>
      <w:lang w:eastAsia="fr-FR"/>
    </w:rPr>
  </w:style>
  <w:style w:type="character" w:customStyle="1" w:styleId="ListParagraphChar">
    <w:name w:val="List Paragraph Char"/>
    <w:aliases w:val="References Char,Bullets Char,Paragraphe de liste11 Char,Titre 10 Char,List Paragraph (numbered (a)) Char,List Paragraph nowy Char"/>
    <w:link w:val="ListParagraph"/>
    <w:uiPriority w:val="34"/>
    <w:rsid w:val="00713190"/>
    <w:rPr>
      <w:rFonts w:ascii="Times New Roman" w:eastAsia="Times New Roman" w:hAnsi="Times New Roman" w:cs="Times New Roman"/>
      <w:sz w:val="24"/>
      <w:szCs w:val="24"/>
      <w:lang w:eastAsia="fr-FR"/>
    </w:rPr>
  </w:style>
  <w:style w:type="character" w:customStyle="1" w:styleId="CaptionChar">
    <w:name w:val="Caption Char"/>
    <w:aliases w:val="Légende dak Char,tableau Char,Légende-LP Char,Légende -LP Char,Carte Char,Carte-LP Char,fig Char, Car Char,Car Car Car Char,Char Char Char Char Char Char1,Char Char Char Char Char Char Char,Char Char Char Char Char1,Légende-Tableau Char"/>
    <w:link w:val="Caption"/>
    <w:uiPriority w:val="35"/>
    <w:rsid w:val="00713190"/>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71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13242</Characters>
  <Application>Microsoft Office Word</Application>
  <DocSecurity>4</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Bakary Coulibaly</dc:creator>
  <cp:keywords/>
  <dc:description/>
  <cp:lastModifiedBy>Lina Janenaite</cp:lastModifiedBy>
  <cp:revision>2</cp:revision>
  <dcterms:created xsi:type="dcterms:W3CDTF">2016-05-13T20:09:00Z</dcterms:created>
  <dcterms:modified xsi:type="dcterms:W3CDTF">2016-05-13T20:09:00Z</dcterms:modified>
</cp:coreProperties>
</file>