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B92F1" w14:textId="77777777" w:rsidR="00F675BF" w:rsidRPr="001A6743" w:rsidRDefault="00F675BF" w:rsidP="00F675BF">
      <w:pPr>
        <w:jc w:val="center"/>
        <w:rPr>
          <w:b/>
          <w:bCs/>
          <w:lang w:val="fr-FR"/>
        </w:rPr>
      </w:pPr>
      <w:r w:rsidRPr="001A6743">
        <w:rPr>
          <w:b/>
          <w:bCs/>
          <w:lang w:val="fr-FR"/>
        </w:rPr>
        <w:t>DOCUMENT D’INFORMATION SUR LE PROJET (PID)</w:t>
      </w:r>
    </w:p>
    <w:p w14:paraId="37C94A4A" w14:textId="69279319" w:rsidR="00A126FA" w:rsidRPr="001A6743" w:rsidRDefault="00F675BF" w:rsidP="00F675BF">
      <w:pPr>
        <w:jc w:val="center"/>
        <w:rPr>
          <w:b/>
          <w:bCs/>
          <w:lang w:val="fr-FR"/>
        </w:rPr>
      </w:pPr>
      <w:r w:rsidRPr="001A6743">
        <w:rPr>
          <w:b/>
          <w:bCs/>
          <w:lang w:val="fr-FR"/>
        </w:rPr>
        <w:t xml:space="preserve">PHASE D’ÉVALUATION PROSPECTIVE </w:t>
      </w:r>
    </w:p>
    <w:p w14:paraId="4033D62B" w14:textId="425AF529" w:rsidR="00C67E15" w:rsidRPr="001A6743" w:rsidRDefault="00ED3594" w:rsidP="00C67E15">
      <w:pPr>
        <w:jc w:val="right"/>
        <w:rPr>
          <w:lang w:val="fr-FR"/>
        </w:rPr>
      </w:pPr>
      <w:r w:rsidRPr="004A0462">
        <w:rPr>
          <w:lang w:val="fr-FR"/>
        </w:rPr>
        <w:t>Rapport N°</w:t>
      </w:r>
      <w:r w:rsidR="00C67E15" w:rsidRPr="004A0462">
        <w:rPr>
          <w:lang w:val="fr-FR"/>
        </w:rPr>
        <w:t>:</w:t>
      </w:r>
      <w:r w:rsidR="004A0462">
        <w:rPr>
          <w:lang w:val="fr-FR"/>
        </w:rPr>
        <w:t xml:space="preserve"> </w:t>
      </w:r>
      <w:r w:rsidR="004A0462">
        <w:t>92608</w:t>
      </w:r>
      <w:bookmarkStart w:id="0" w:name="_GoBack"/>
      <w:bookmarkEnd w:id="0"/>
    </w:p>
    <w:p w14:paraId="1FAC0EEF" w14:textId="46C7D729" w:rsidR="00C67E15" w:rsidRPr="001A6743" w:rsidRDefault="00C67E15" w:rsidP="00C67E15">
      <w:pPr>
        <w:jc w:val="right"/>
        <w:rPr>
          <w:lang w:val="fr-FR"/>
        </w:rPr>
      </w:pPr>
      <w:r w:rsidRPr="001A6743">
        <w:rPr>
          <w:sz w:val="16"/>
          <w:szCs w:val="16"/>
          <w:lang w:val="fr-FR"/>
        </w:rPr>
        <w:t>(</w:t>
      </w:r>
      <w:r w:rsidR="00ED3594" w:rsidRPr="001A6743">
        <w:rPr>
          <w:sz w:val="16"/>
          <w:szCs w:val="16"/>
          <w:lang w:val="fr-FR"/>
        </w:rPr>
        <w:t xml:space="preserve">Le n° de rapport est généré automatiquement par IDU et ne doit pas être modifié) </w:t>
      </w:r>
    </w:p>
    <w:p w14:paraId="26C59C1A" w14:textId="77777777" w:rsidR="00C67E15" w:rsidRPr="001A6743" w:rsidRDefault="00C67E15">
      <w:pPr>
        <w:jc w:val="center"/>
        <w:rPr>
          <w:b/>
          <w:bCs/>
          <w:lang w:val="fr-F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120"/>
      </w:tblGrid>
      <w:tr w:rsidR="001A6743" w:rsidRPr="00BA3A7E" w14:paraId="1133EBF9" w14:textId="77777777" w:rsidTr="00A05BC0">
        <w:tc>
          <w:tcPr>
            <w:tcW w:w="3420" w:type="dxa"/>
          </w:tcPr>
          <w:p w14:paraId="06024A8B" w14:textId="4BF6BC87" w:rsidR="001A6743" w:rsidRDefault="001A6743">
            <w:pPr>
              <w:rPr>
                <w:b/>
                <w:bCs/>
              </w:rPr>
            </w:pPr>
            <w:r w:rsidRPr="00E17361">
              <w:rPr>
                <w:b/>
                <w:bCs/>
                <w:lang w:val="fr-FR"/>
              </w:rPr>
              <w:t>Nom du Projet</w:t>
            </w:r>
          </w:p>
        </w:tc>
        <w:tc>
          <w:tcPr>
            <w:tcW w:w="6120" w:type="dxa"/>
          </w:tcPr>
          <w:p w14:paraId="20F279B6" w14:textId="32B82490" w:rsidR="001A6743" w:rsidRPr="00CB0325" w:rsidRDefault="00CB0325" w:rsidP="00CA274C">
            <w:pPr>
              <w:jc w:val="center"/>
              <w:rPr>
                <w:bCs/>
                <w:i/>
                <w:iCs/>
                <w:lang w:val="fr-FR"/>
              </w:rPr>
            </w:pPr>
            <w:r w:rsidRPr="00CB0325">
              <w:rPr>
                <w:i/>
                <w:lang w:val="fr-FR"/>
              </w:rPr>
              <w:t>Projet de Promotion de l’Emploi des Jeunes et de l’Artisanat à Djibouti</w:t>
            </w:r>
          </w:p>
        </w:tc>
      </w:tr>
      <w:tr w:rsidR="001A6743" w:rsidRPr="00BA3A7E" w14:paraId="1270AD7A" w14:textId="77777777" w:rsidTr="00A05BC0">
        <w:tc>
          <w:tcPr>
            <w:tcW w:w="3420" w:type="dxa"/>
          </w:tcPr>
          <w:p w14:paraId="0FF0736C" w14:textId="6F745DFF" w:rsidR="001A6743" w:rsidRDefault="001A6743">
            <w:pPr>
              <w:rPr>
                <w:b/>
                <w:bCs/>
              </w:rPr>
            </w:pPr>
            <w:r w:rsidRPr="00E17361">
              <w:rPr>
                <w:b/>
                <w:bCs/>
                <w:lang w:val="fr-FR"/>
              </w:rPr>
              <w:t>Région</w:t>
            </w:r>
          </w:p>
        </w:tc>
        <w:tc>
          <w:tcPr>
            <w:tcW w:w="6120" w:type="dxa"/>
          </w:tcPr>
          <w:p w14:paraId="1688A00C" w14:textId="04B2D3DD" w:rsidR="001A6743" w:rsidRPr="00CB0325" w:rsidRDefault="00CB0325" w:rsidP="00577870">
            <w:pPr>
              <w:jc w:val="center"/>
              <w:rPr>
                <w:lang w:val="fr-FR"/>
              </w:rPr>
            </w:pPr>
            <w:r w:rsidRPr="00CB0325">
              <w:rPr>
                <w:lang w:val="fr-FR"/>
              </w:rPr>
              <w:t>Région Moyen-Orient et Afrique du Nord (MENA)</w:t>
            </w:r>
          </w:p>
        </w:tc>
      </w:tr>
      <w:tr w:rsidR="001A6743" w14:paraId="4CE28FAF" w14:textId="77777777" w:rsidTr="00A05BC0">
        <w:tc>
          <w:tcPr>
            <w:tcW w:w="3420" w:type="dxa"/>
          </w:tcPr>
          <w:p w14:paraId="07BBCEE1" w14:textId="63B239C8" w:rsidR="001A6743" w:rsidRDefault="001A6743">
            <w:pPr>
              <w:rPr>
                <w:b/>
                <w:bCs/>
              </w:rPr>
            </w:pPr>
            <w:r w:rsidRPr="00E17361">
              <w:rPr>
                <w:b/>
                <w:bCs/>
                <w:lang w:val="fr-FR"/>
              </w:rPr>
              <w:t>Pays</w:t>
            </w:r>
          </w:p>
        </w:tc>
        <w:tc>
          <w:tcPr>
            <w:tcW w:w="6120" w:type="dxa"/>
          </w:tcPr>
          <w:p w14:paraId="4AFC51FF" w14:textId="10BF9B23" w:rsidR="001A6743" w:rsidRPr="00CB0325" w:rsidRDefault="00CB0325" w:rsidP="00577870">
            <w:pPr>
              <w:jc w:val="center"/>
              <w:rPr>
                <w:lang w:val="fr-FR"/>
              </w:rPr>
            </w:pPr>
            <w:r w:rsidRPr="00CB0325">
              <w:rPr>
                <w:lang w:val="fr-FR"/>
              </w:rPr>
              <w:t xml:space="preserve">République de </w:t>
            </w:r>
            <w:r w:rsidR="001A6743" w:rsidRPr="00CB0325">
              <w:rPr>
                <w:lang w:val="fr-FR"/>
              </w:rPr>
              <w:t>Djibouti</w:t>
            </w:r>
          </w:p>
        </w:tc>
      </w:tr>
      <w:tr w:rsidR="001A6743" w14:paraId="0D9F2042" w14:textId="77777777" w:rsidTr="00A05BC0">
        <w:tc>
          <w:tcPr>
            <w:tcW w:w="3420" w:type="dxa"/>
          </w:tcPr>
          <w:p w14:paraId="2AAF0391" w14:textId="3C1C486A" w:rsidR="001A6743" w:rsidRDefault="001A6743">
            <w:pPr>
              <w:rPr>
                <w:b/>
                <w:bCs/>
              </w:rPr>
            </w:pPr>
            <w:r w:rsidRPr="00E17361">
              <w:rPr>
                <w:b/>
                <w:bCs/>
                <w:lang w:val="fr-FR"/>
              </w:rPr>
              <w:t>Secteurs</w:t>
            </w:r>
          </w:p>
        </w:tc>
        <w:tc>
          <w:tcPr>
            <w:tcW w:w="6120" w:type="dxa"/>
          </w:tcPr>
          <w:p w14:paraId="1728A719" w14:textId="5A50D2E3" w:rsidR="001A6743" w:rsidRPr="00CB0325" w:rsidRDefault="00CB0325" w:rsidP="0060237C">
            <w:pPr>
              <w:jc w:val="center"/>
              <w:rPr>
                <w:iCs/>
                <w:lang w:val="fr-FR"/>
              </w:rPr>
            </w:pPr>
            <w:r>
              <w:rPr>
                <w:iCs/>
                <w:lang w:val="fr-FR"/>
              </w:rPr>
              <w:t>Protection sociale</w:t>
            </w:r>
          </w:p>
        </w:tc>
      </w:tr>
      <w:tr w:rsidR="001A6743" w14:paraId="70F8CEB1" w14:textId="77777777" w:rsidTr="00A05BC0">
        <w:tc>
          <w:tcPr>
            <w:tcW w:w="3420" w:type="dxa"/>
          </w:tcPr>
          <w:p w14:paraId="2CA543F8" w14:textId="02C967C7" w:rsidR="001A6743" w:rsidRDefault="001A6743">
            <w:pPr>
              <w:rPr>
                <w:b/>
                <w:bCs/>
              </w:rPr>
            </w:pPr>
            <w:r w:rsidRPr="00E17361">
              <w:rPr>
                <w:b/>
                <w:bCs/>
                <w:sz w:val="22"/>
                <w:szCs w:val="22"/>
                <w:lang w:val="fr-FR"/>
              </w:rPr>
              <w:t xml:space="preserve">Instrument de Prêt </w:t>
            </w:r>
          </w:p>
        </w:tc>
        <w:tc>
          <w:tcPr>
            <w:tcW w:w="6120" w:type="dxa"/>
          </w:tcPr>
          <w:p w14:paraId="5B2D3937" w14:textId="344CB618" w:rsidR="001A6743" w:rsidRPr="00CB0325" w:rsidRDefault="00CB0325" w:rsidP="00577870">
            <w:pPr>
              <w:jc w:val="center"/>
              <w:rPr>
                <w:lang w:val="fr-FR"/>
              </w:rPr>
            </w:pPr>
            <w:r w:rsidRPr="00CB0325">
              <w:rPr>
                <w:lang w:val="fr-FR"/>
              </w:rPr>
              <w:t>Don</w:t>
            </w:r>
          </w:p>
        </w:tc>
      </w:tr>
      <w:tr w:rsidR="001A6743" w14:paraId="669A00A4" w14:textId="77777777" w:rsidTr="00A05BC0">
        <w:tc>
          <w:tcPr>
            <w:tcW w:w="3420" w:type="dxa"/>
          </w:tcPr>
          <w:p w14:paraId="141E42BB" w14:textId="022BB6E5" w:rsidR="001A6743" w:rsidRDefault="001A6743">
            <w:pPr>
              <w:rPr>
                <w:b/>
                <w:bCs/>
              </w:rPr>
            </w:pPr>
            <w:r w:rsidRPr="00E17361">
              <w:rPr>
                <w:b/>
                <w:bCs/>
                <w:sz w:val="22"/>
                <w:szCs w:val="22"/>
                <w:lang w:val="fr-FR"/>
              </w:rPr>
              <w:t xml:space="preserve">N° d’ID du Projet </w:t>
            </w:r>
          </w:p>
        </w:tc>
        <w:tc>
          <w:tcPr>
            <w:tcW w:w="6120" w:type="dxa"/>
          </w:tcPr>
          <w:p w14:paraId="67F2BF19" w14:textId="77777777" w:rsidR="001A6743" w:rsidRPr="00CB0325" w:rsidRDefault="001A6743" w:rsidP="0060237C">
            <w:pPr>
              <w:jc w:val="center"/>
              <w:rPr>
                <w:iCs/>
                <w:lang w:val="fr-FR"/>
              </w:rPr>
            </w:pPr>
            <w:r w:rsidRPr="00CB0325">
              <w:rPr>
                <w:iCs/>
                <w:lang w:val="fr-FR"/>
              </w:rPr>
              <w:t>P148586</w:t>
            </w:r>
          </w:p>
        </w:tc>
      </w:tr>
      <w:tr w:rsidR="00A126FA" w:rsidRPr="00BA3A7E" w14:paraId="274B43FC" w14:textId="77777777" w:rsidTr="00A05BC0">
        <w:tc>
          <w:tcPr>
            <w:tcW w:w="3420" w:type="dxa"/>
            <w:tcBorders>
              <w:bottom w:val="single" w:sz="4" w:space="0" w:color="auto"/>
            </w:tcBorders>
          </w:tcPr>
          <w:p w14:paraId="3D177642" w14:textId="79CBC5C8" w:rsidR="00A126FA" w:rsidRPr="00E92BEF" w:rsidRDefault="001A6743">
            <w:pPr>
              <w:rPr>
                <w:b/>
                <w:bCs/>
                <w:lang w:val="fr-FR"/>
              </w:rPr>
            </w:pPr>
            <w:r w:rsidRPr="00E92BEF">
              <w:rPr>
                <w:b/>
                <w:bCs/>
                <w:lang w:val="fr-FR"/>
              </w:rPr>
              <w:t>Bénéficiaire</w:t>
            </w:r>
          </w:p>
        </w:tc>
        <w:tc>
          <w:tcPr>
            <w:tcW w:w="6120" w:type="dxa"/>
            <w:tcBorders>
              <w:bottom w:val="single" w:sz="4" w:space="0" w:color="auto"/>
            </w:tcBorders>
          </w:tcPr>
          <w:p w14:paraId="4820A448" w14:textId="4E6F62FD" w:rsidR="00A126FA" w:rsidRPr="00CB0325" w:rsidRDefault="00203273" w:rsidP="00CB0325">
            <w:pPr>
              <w:jc w:val="center"/>
              <w:rPr>
                <w:lang w:val="fr-FR"/>
              </w:rPr>
            </w:pPr>
            <w:r w:rsidRPr="00CB0325">
              <w:rPr>
                <w:lang w:val="fr-FR"/>
              </w:rPr>
              <w:t>Minist</w:t>
            </w:r>
            <w:r w:rsidR="00CB0325">
              <w:rPr>
                <w:lang w:val="fr-FR"/>
              </w:rPr>
              <w:t xml:space="preserve">ère de l’Économie et des Finances </w:t>
            </w:r>
          </w:p>
        </w:tc>
      </w:tr>
      <w:tr w:rsidR="001A6743" w:rsidRPr="00BA3A7E" w14:paraId="0943AC07" w14:textId="77777777" w:rsidTr="00A05BC0">
        <w:trPr>
          <w:cantSplit/>
          <w:trHeight w:val="140"/>
        </w:trPr>
        <w:tc>
          <w:tcPr>
            <w:tcW w:w="3420" w:type="dxa"/>
            <w:tcBorders>
              <w:bottom w:val="nil"/>
              <w:right w:val="single" w:sz="4" w:space="0" w:color="auto"/>
            </w:tcBorders>
          </w:tcPr>
          <w:p w14:paraId="0D7BEE9F" w14:textId="35778ACB" w:rsidR="001A6743" w:rsidRDefault="001A6743">
            <w:pPr>
              <w:rPr>
                <w:b/>
                <w:bCs/>
              </w:rPr>
            </w:pPr>
            <w:r w:rsidRPr="00E17361">
              <w:rPr>
                <w:b/>
                <w:bCs/>
                <w:lang w:val="fr-FR"/>
              </w:rPr>
              <w:t>Agence d’Exécution</w:t>
            </w:r>
          </w:p>
        </w:tc>
        <w:tc>
          <w:tcPr>
            <w:tcW w:w="6120" w:type="dxa"/>
            <w:tcBorders>
              <w:top w:val="single" w:sz="4" w:space="0" w:color="auto"/>
              <w:left w:val="single" w:sz="4" w:space="0" w:color="auto"/>
              <w:bottom w:val="nil"/>
              <w:right w:val="single" w:sz="4" w:space="0" w:color="auto"/>
            </w:tcBorders>
          </w:tcPr>
          <w:p w14:paraId="667DF598" w14:textId="77777777" w:rsidR="001A6743" w:rsidRPr="00CB0325" w:rsidRDefault="001A6743" w:rsidP="00577870">
            <w:pPr>
              <w:jc w:val="center"/>
              <w:rPr>
                <w:iCs/>
                <w:lang w:val="fr-FR"/>
              </w:rPr>
            </w:pPr>
            <w:bookmarkStart w:id="1" w:name="IMPLEMENTINGAGENCY"/>
            <w:bookmarkEnd w:id="1"/>
            <w:r w:rsidRPr="00CB0325">
              <w:rPr>
                <w:iCs/>
                <w:lang w:val="fr-FR"/>
              </w:rPr>
              <w:t>Agence Djiboutienne de Développement Social (ADDS)</w:t>
            </w:r>
          </w:p>
        </w:tc>
      </w:tr>
      <w:tr w:rsidR="001A6743" w:rsidRPr="00BA3A7E" w14:paraId="581DC8DC" w14:textId="77777777" w:rsidTr="00A05BC0">
        <w:trPr>
          <w:cantSplit/>
          <w:trHeight w:val="285"/>
        </w:trPr>
        <w:tc>
          <w:tcPr>
            <w:tcW w:w="3420" w:type="dxa"/>
          </w:tcPr>
          <w:p w14:paraId="042B39ED" w14:textId="1791BA45" w:rsidR="001A6743" w:rsidRDefault="001A6743" w:rsidP="00787B7C">
            <w:pPr>
              <w:rPr>
                <w:b/>
                <w:bCs/>
              </w:rPr>
            </w:pPr>
            <w:r w:rsidRPr="00E17361">
              <w:rPr>
                <w:b/>
                <w:bCs/>
                <w:sz w:val="22"/>
                <w:szCs w:val="22"/>
                <w:lang w:val="fr-FR"/>
              </w:rPr>
              <w:t>Catégorie d’Évaluation Environnementale</w:t>
            </w:r>
          </w:p>
        </w:tc>
        <w:tc>
          <w:tcPr>
            <w:tcW w:w="6120" w:type="dxa"/>
            <w:tcBorders>
              <w:top w:val="single" w:sz="4" w:space="0" w:color="auto"/>
            </w:tcBorders>
          </w:tcPr>
          <w:p w14:paraId="0959E11D" w14:textId="0A0B345A" w:rsidR="001A6743" w:rsidRPr="00CB0325" w:rsidRDefault="001A6743" w:rsidP="00CB0325">
            <w:pPr>
              <w:rPr>
                <w:lang w:val="fr-FR"/>
              </w:rPr>
            </w:pPr>
            <w:r w:rsidRPr="00CB0325">
              <w:rPr>
                <w:lang w:val="fr-FR"/>
              </w:rPr>
              <w:t>[</w:t>
            </w:r>
            <w:bookmarkStart w:id="2" w:name="ENVCAT_A"/>
            <w:r w:rsidRPr="00CB0325">
              <w:rPr>
                <w:lang w:val="fr-FR"/>
              </w:rPr>
              <w:t xml:space="preserve"> </w:t>
            </w:r>
            <w:bookmarkEnd w:id="2"/>
            <w:r w:rsidRPr="00CB0325">
              <w:rPr>
                <w:lang w:val="fr-FR"/>
              </w:rPr>
              <w:t xml:space="preserve"> </w:t>
            </w:r>
            <w:proofErr w:type="gramStart"/>
            <w:r w:rsidRPr="00CB0325">
              <w:rPr>
                <w:lang w:val="fr-FR"/>
              </w:rPr>
              <w:t>]A</w:t>
            </w:r>
            <w:proofErr w:type="gramEnd"/>
            <w:r w:rsidRPr="00CB0325">
              <w:rPr>
                <w:lang w:val="fr-FR"/>
              </w:rPr>
              <w:t xml:space="preserve">   [  ]B   [</w:t>
            </w:r>
            <w:bookmarkStart w:id="3" w:name="ENVCAT_C"/>
            <w:r w:rsidRPr="00CB0325">
              <w:rPr>
                <w:lang w:val="fr-FR"/>
              </w:rPr>
              <w:t>X</w:t>
            </w:r>
            <w:bookmarkEnd w:id="3"/>
            <w:r w:rsidRPr="00CB0325">
              <w:rPr>
                <w:lang w:val="fr-FR"/>
              </w:rPr>
              <w:t>]C   [</w:t>
            </w:r>
            <w:bookmarkStart w:id="4" w:name="ENVCAT_FI"/>
            <w:r w:rsidRPr="00CB0325">
              <w:rPr>
                <w:lang w:val="fr-FR"/>
              </w:rPr>
              <w:t xml:space="preserve"> </w:t>
            </w:r>
            <w:bookmarkEnd w:id="4"/>
            <w:r w:rsidRPr="00CB0325">
              <w:rPr>
                <w:lang w:val="fr-FR"/>
              </w:rPr>
              <w:t xml:space="preserve"> ]FI   [</w:t>
            </w:r>
            <w:bookmarkStart w:id="5" w:name="ENVCAT_TBD"/>
            <w:r w:rsidRPr="00CB0325">
              <w:rPr>
                <w:lang w:val="fr-FR"/>
              </w:rPr>
              <w:t xml:space="preserve"> </w:t>
            </w:r>
            <w:bookmarkEnd w:id="5"/>
            <w:r w:rsidRPr="00CB0325">
              <w:rPr>
                <w:lang w:val="fr-FR"/>
              </w:rPr>
              <w:t xml:space="preserve"> ]</w:t>
            </w:r>
            <w:r w:rsidR="00CB0325">
              <w:rPr>
                <w:lang w:val="fr-FR"/>
              </w:rPr>
              <w:t>TBD</w:t>
            </w:r>
            <w:r w:rsidRPr="00CB0325">
              <w:rPr>
                <w:lang w:val="fr-FR"/>
              </w:rPr>
              <w:t xml:space="preserve"> (</w:t>
            </w:r>
            <w:r w:rsidR="00CB0325">
              <w:rPr>
                <w:lang w:val="fr-FR"/>
              </w:rPr>
              <w:t>à déterminer</w:t>
            </w:r>
            <w:r w:rsidRPr="00CB0325">
              <w:rPr>
                <w:lang w:val="fr-FR"/>
              </w:rPr>
              <w:t>)</w:t>
            </w:r>
          </w:p>
        </w:tc>
      </w:tr>
      <w:tr w:rsidR="001A6743" w14:paraId="1EACE041" w14:textId="77777777" w:rsidTr="00A05BC0">
        <w:tc>
          <w:tcPr>
            <w:tcW w:w="3420" w:type="dxa"/>
          </w:tcPr>
          <w:p w14:paraId="09AF8A06" w14:textId="3EFAECAA" w:rsidR="001A6743" w:rsidRDefault="001A6743">
            <w:pPr>
              <w:rPr>
                <w:b/>
                <w:bCs/>
              </w:rPr>
            </w:pPr>
            <w:r>
              <w:rPr>
                <w:b/>
                <w:bCs/>
                <w:lang w:val="fr-FR"/>
              </w:rPr>
              <w:t>PID prêt au</w:t>
            </w:r>
          </w:p>
        </w:tc>
        <w:tc>
          <w:tcPr>
            <w:tcW w:w="6120" w:type="dxa"/>
          </w:tcPr>
          <w:p w14:paraId="2E4EC373" w14:textId="58F7A8BD" w:rsidR="001A6743" w:rsidRPr="00CB0325" w:rsidRDefault="00CB0325" w:rsidP="0060237C">
            <w:pPr>
              <w:jc w:val="center"/>
              <w:rPr>
                <w:iCs/>
                <w:lang w:val="fr-FR"/>
              </w:rPr>
            </w:pPr>
            <w:r>
              <w:rPr>
                <w:iCs/>
                <w:lang w:val="fr-FR"/>
              </w:rPr>
              <w:t>15 octobre</w:t>
            </w:r>
            <w:r w:rsidR="001A6743" w:rsidRPr="00CB0325">
              <w:rPr>
                <w:iCs/>
                <w:lang w:val="fr-FR"/>
              </w:rPr>
              <w:t xml:space="preserve"> 2014</w:t>
            </w:r>
          </w:p>
        </w:tc>
      </w:tr>
      <w:tr w:rsidR="001A6743" w14:paraId="5673993B" w14:textId="77777777" w:rsidTr="00A05BC0">
        <w:tc>
          <w:tcPr>
            <w:tcW w:w="3420" w:type="dxa"/>
          </w:tcPr>
          <w:p w14:paraId="6923F068" w14:textId="6EAFBD1D" w:rsidR="001A6743" w:rsidRPr="00574773" w:rsidRDefault="001A6743" w:rsidP="00DE739D">
            <w:pPr>
              <w:rPr>
                <w:b/>
                <w:bCs/>
                <w:lang w:val="fr-FR"/>
              </w:rPr>
            </w:pPr>
            <w:r>
              <w:rPr>
                <w:b/>
                <w:bCs/>
                <w:lang w:val="fr-FR"/>
              </w:rPr>
              <w:t>Date prévue d’achèvement de l’évaluation</w:t>
            </w:r>
          </w:p>
        </w:tc>
        <w:tc>
          <w:tcPr>
            <w:tcW w:w="6120" w:type="dxa"/>
          </w:tcPr>
          <w:p w14:paraId="22CABAF9" w14:textId="1795FE57" w:rsidR="001A6743" w:rsidRPr="00CB0325" w:rsidRDefault="00CB0325" w:rsidP="0060237C">
            <w:pPr>
              <w:jc w:val="center"/>
              <w:rPr>
                <w:iCs/>
                <w:lang w:val="fr-FR"/>
              </w:rPr>
            </w:pPr>
            <w:r>
              <w:rPr>
                <w:iCs/>
                <w:lang w:val="fr-FR"/>
              </w:rPr>
              <w:t>15 novembre</w:t>
            </w:r>
            <w:r w:rsidR="001A6743" w:rsidRPr="00CB0325">
              <w:rPr>
                <w:iCs/>
                <w:lang w:val="fr-FR"/>
              </w:rPr>
              <w:t xml:space="preserve"> 2014</w:t>
            </w:r>
          </w:p>
        </w:tc>
      </w:tr>
      <w:tr w:rsidR="001A6743" w14:paraId="2CACAA31" w14:textId="77777777" w:rsidTr="00A05BC0">
        <w:tc>
          <w:tcPr>
            <w:tcW w:w="3420" w:type="dxa"/>
          </w:tcPr>
          <w:p w14:paraId="2BCA3DCF" w14:textId="1F10EE47" w:rsidR="001A6743" w:rsidRPr="004B2A0B" w:rsidRDefault="001A6743" w:rsidP="000470F0">
            <w:pPr>
              <w:rPr>
                <w:b/>
                <w:bCs/>
                <w:lang w:val="fr-FR"/>
              </w:rPr>
            </w:pPr>
            <w:r>
              <w:rPr>
                <w:b/>
                <w:bCs/>
                <w:lang w:val="fr-FR"/>
              </w:rPr>
              <w:t>Date prévue d’approbation par le Conseil</w:t>
            </w:r>
          </w:p>
        </w:tc>
        <w:tc>
          <w:tcPr>
            <w:tcW w:w="6120" w:type="dxa"/>
          </w:tcPr>
          <w:p w14:paraId="08B1EBB8" w14:textId="38390C1E" w:rsidR="001A6743" w:rsidRPr="00CB0325" w:rsidRDefault="00CB0325" w:rsidP="00577870">
            <w:pPr>
              <w:jc w:val="center"/>
              <w:rPr>
                <w:lang w:val="fr-FR"/>
              </w:rPr>
            </w:pPr>
            <w:r>
              <w:rPr>
                <w:lang w:val="fr-FR"/>
              </w:rPr>
              <w:t>1</w:t>
            </w:r>
            <w:r w:rsidRPr="00CB0325">
              <w:rPr>
                <w:vertAlign w:val="superscript"/>
                <w:lang w:val="fr-FR"/>
              </w:rPr>
              <w:t>er</w:t>
            </w:r>
            <w:r>
              <w:rPr>
                <w:lang w:val="fr-FR"/>
              </w:rPr>
              <w:t xml:space="preserve"> janvier</w:t>
            </w:r>
            <w:r w:rsidR="001A6743" w:rsidRPr="00CB0325">
              <w:rPr>
                <w:lang w:val="fr-FR"/>
              </w:rPr>
              <w:t xml:space="preserve"> 2015</w:t>
            </w:r>
          </w:p>
        </w:tc>
      </w:tr>
      <w:tr w:rsidR="001A6743" w:rsidRPr="00BA3A7E" w14:paraId="07AAE389" w14:textId="77777777" w:rsidTr="00A05BC0">
        <w:tc>
          <w:tcPr>
            <w:tcW w:w="3420" w:type="dxa"/>
          </w:tcPr>
          <w:p w14:paraId="7709E40D" w14:textId="1F333767" w:rsidR="001A6743" w:rsidRPr="00574773" w:rsidRDefault="001A6743" w:rsidP="0059349F">
            <w:pPr>
              <w:rPr>
                <w:b/>
                <w:bCs/>
                <w:lang w:val="fr-FR"/>
              </w:rPr>
            </w:pPr>
            <w:r>
              <w:rPr>
                <w:b/>
                <w:bCs/>
                <w:lang w:val="fr-FR"/>
              </w:rPr>
              <w:t>Décision de la Revue du Concept</w:t>
            </w:r>
          </w:p>
        </w:tc>
        <w:tc>
          <w:tcPr>
            <w:tcW w:w="6120" w:type="dxa"/>
          </w:tcPr>
          <w:p w14:paraId="517EC726" w14:textId="30E79187" w:rsidR="001A6743" w:rsidRPr="00574773" w:rsidRDefault="00CB0325" w:rsidP="00CF72FF">
            <w:pPr>
              <w:rPr>
                <w:lang w:val="fr-FR"/>
              </w:rPr>
            </w:pPr>
            <w:r>
              <w:rPr>
                <w:lang w:val="fr-FR"/>
              </w:rPr>
              <w:t>Suite à la revue du concept, il a été décidé d’engager la préparation de l’opération</w:t>
            </w:r>
            <w:r w:rsidR="001F13E3">
              <w:rPr>
                <w:lang w:val="fr-FR"/>
              </w:rPr>
              <w:t xml:space="preserve"> </w:t>
            </w:r>
            <w:r w:rsidR="001F13E3" w:rsidRPr="00CF72FF">
              <w:rPr>
                <w:lang w:val="fr-FR"/>
              </w:rPr>
              <w:t xml:space="preserve">dans le cadre des </w:t>
            </w:r>
            <w:r w:rsidR="00CF72FF" w:rsidRPr="00CF72FF">
              <w:rPr>
                <w:lang w:val="fr-FR"/>
              </w:rPr>
              <w:t>p</w:t>
            </w:r>
            <w:r w:rsidR="001F13E3" w:rsidRPr="00CF72FF">
              <w:rPr>
                <w:lang w:val="fr-FR"/>
              </w:rPr>
              <w:t>rocédures pour les fo</w:t>
            </w:r>
            <w:r w:rsidR="00CF72FF" w:rsidRPr="00CF72FF">
              <w:rPr>
                <w:lang w:val="fr-FR"/>
              </w:rPr>
              <w:t>nds fiduciaires exécutés par le</w:t>
            </w:r>
            <w:r w:rsidR="001F13E3" w:rsidRPr="00CF72FF">
              <w:rPr>
                <w:lang w:val="fr-FR"/>
              </w:rPr>
              <w:t xml:space="preserve"> </w:t>
            </w:r>
            <w:r w:rsidR="00CF72FF" w:rsidRPr="00CF72FF">
              <w:rPr>
                <w:lang w:val="fr-FR"/>
              </w:rPr>
              <w:t xml:space="preserve">pays </w:t>
            </w:r>
            <w:r w:rsidR="001F13E3" w:rsidRPr="00CF72FF">
              <w:rPr>
                <w:lang w:val="fr-FR"/>
              </w:rPr>
              <w:t>bénéficiaire (dons de faible envergure)</w:t>
            </w:r>
          </w:p>
        </w:tc>
      </w:tr>
    </w:tbl>
    <w:p w14:paraId="41E7B35F" w14:textId="77777777" w:rsidR="00A126FA" w:rsidRPr="00C0398A" w:rsidRDefault="00A126FA" w:rsidP="00A126FA">
      <w:pPr>
        <w:rPr>
          <w:lang w:val="fr-FR"/>
        </w:rPr>
      </w:pPr>
    </w:p>
    <w:p w14:paraId="70D90A9E" w14:textId="298E9C06" w:rsidR="003103C4" w:rsidRPr="00C0398A" w:rsidRDefault="003103C4" w:rsidP="003103C4">
      <w:pPr>
        <w:numPr>
          <w:ilvl w:val="0"/>
          <w:numId w:val="24"/>
        </w:numPr>
        <w:rPr>
          <w:b/>
          <w:lang w:val="fr-FR"/>
        </w:rPr>
      </w:pPr>
      <w:r w:rsidRPr="00C0398A">
        <w:rPr>
          <w:b/>
          <w:lang w:val="fr-FR"/>
        </w:rPr>
        <w:t xml:space="preserve">Introduction </w:t>
      </w:r>
      <w:r w:rsidR="00C0398A" w:rsidRPr="00C0398A">
        <w:rPr>
          <w:b/>
          <w:lang w:val="fr-FR"/>
        </w:rPr>
        <w:t xml:space="preserve">et Contexte </w:t>
      </w:r>
    </w:p>
    <w:p w14:paraId="517937B3" w14:textId="56EB24F8" w:rsidR="00333C62" w:rsidRPr="00C0398A" w:rsidRDefault="00333C62" w:rsidP="00333C62">
      <w:pPr>
        <w:spacing w:before="240" w:after="240"/>
        <w:rPr>
          <w:lang w:val="fr-FR"/>
        </w:rPr>
      </w:pPr>
      <w:r w:rsidRPr="00C0398A">
        <w:rPr>
          <w:lang w:val="fr-FR"/>
        </w:rPr>
        <w:t xml:space="preserve">A. </w:t>
      </w:r>
      <w:r w:rsidR="00C0398A">
        <w:rPr>
          <w:lang w:val="fr-FR"/>
        </w:rPr>
        <w:t>Contexte national</w:t>
      </w:r>
    </w:p>
    <w:p w14:paraId="3DE78372" w14:textId="401A9146" w:rsidR="006D1DAA" w:rsidRPr="00623FC2" w:rsidRDefault="006D1DAA" w:rsidP="0060237C">
      <w:pPr>
        <w:pStyle w:val="ListParagraphChar"/>
        <w:numPr>
          <w:ilvl w:val="0"/>
          <w:numId w:val="40"/>
        </w:numPr>
        <w:ind w:left="0" w:firstLine="0"/>
        <w:jc w:val="both"/>
        <w:rPr>
          <w:rFonts w:ascii="Times New Roman" w:hAnsi="Times New Roman"/>
          <w:b/>
          <w:bCs/>
          <w:lang w:val="fr-FR"/>
        </w:rPr>
      </w:pPr>
      <w:r w:rsidRPr="006D1DAA">
        <w:rPr>
          <w:rFonts w:ascii="Times New Roman" w:hAnsi="Times New Roman"/>
          <w:b/>
          <w:bCs/>
          <w:lang w:val="fr-FR"/>
        </w:rPr>
        <w:t>Djibouti est l’un des plus</w:t>
      </w:r>
      <w:r>
        <w:rPr>
          <w:rFonts w:ascii="Times New Roman" w:hAnsi="Times New Roman"/>
          <w:b/>
          <w:bCs/>
          <w:lang w:val="fr-FR"/>
        </w:rPr>
        <w:t xml:space="preserve"> petits pays </w:t>
      </w:r>
      <w:r w:rsidR="007146AC">
        <w:rPr>
          <w:rFonts w:ascii="Times New Roman" w:hAnsi="Times New Roman"/>
          <w:b/>
          <w:bCs/>
          <w:lang w:val="fr-FR"/>
        </w:rPr>
        <w:t>d’Afrique</w:t>
      </w:r>
      <w:r>
        <w:rPr>
          <w:rFonts w:ascii="Times New Roman" w:hAnsi="Times New Roman"/>
          <w:b/>
          <w:bCs/>
          <w:lang w:val="fr-FR"/>
        </w:rPr>
        <w:t xml:space="preserve"> et sa population est relativement jeune. </w:t>
      </w:r>
      <w:r w:rsidRPr="006D1DAA">
        <w:rPr>
          <w:rFonts w:ascii="Times New Roman" w:hAnsi="Times New Roman"/>
          <w:bCs/>
          <w:lang w:val="fr-FR"/>
        </w:rPr>
        <w:t>On estime que sur les presque</w:t>
      </w:r>
      <w:r w:rsidR="002D65CA">
        <w:rPr>
          <w:rFonts w:ascii="Times New Roman" w:hAnsi="Times New Roman"/>
          <w:bCs/>
          <w:lang w:val="fr-FR"/>
        </w:rPr>
        <w:t xml:space="preserve"> 900 000 habitants, 75 %</w:t>
      </w:r>
      <w:r w:rsidRPr="006D1DAA">
        <w:rPr>
          <w:rFonts w:ascii="Times New Roman" w:hAnsi="Times New Roman"/>
          <w:bCs/>
          <w:lang w:val="fr-FR"/>
        </w:rPr>
        <w:t xml:space="preserve"> sont âgés de moins de 35 ans. </w:t>
      </w:r>
      <w:r w:rsidR="00623FC2">
        <w:rPr>
          <w:rFonts w:ascii="Times New Roman" w:hAnsi="Times New Roman"/>
          <w:bCs/>
          <w:lang w:val="fr-FR"/>
        </w:rPr>
        <w:t>Avec 80 % de la population résidant dans la ville de Djibouti, le pays prend pratiquement la forme d’une cité-État.</w:t>
      </w:r>
      <w:r w:rsidR="00623FC2">
        <w:rPr>
          <w:rFonts w:ascii="Times New Roman" w:hAnsi="Times New Roman"/>
          <w:b/>
          <w:bCs/>
          <w:lang w:val="fr-FR"/>
        </w:rPr>
        <w:t xml:space="preserve"> </w:t>
      </w:r>
      <w:r w:rsidR="00FE5404" w:rsidRPr="00623FC2">
        <w:rPr>
          <w:rFonts w:ascii="Times New Roman" w:hAnsi="Times New Roman"/>
          <w:bCs/>
          <w:lang w:val="fr-FR"/>
        </w:rPr>
        <w:t>La population rurale est principalement composée de populations pastorales et nomades dispersées dans l’</w:t>
      </w:r>
      <w:r w:rsidR="007146AC" w:rsidRPr="00623FC2">
        <w:rPr>
          <w:rFonts w:ascii="Times New Roman" w:hAnsi="Times New Roman"/>
          <w:bCs/>
          <w:lang w:val="fr-FR"/>
        </w:rPr>
        <w:t xml:space="preserve">arrière-pays, une extension des déserts </w:t>
      </w:r>
      <w:r w:rsidR="00B66E4B" w:rsidRPr="00623FC2">
        <w:rPr>
          <w:rFonts w:ascii="Times New Roman" w:hAnsi="Times New Roman"/>
          <w:bCs/>
          <w:lang w:val="fr-FR"/>
        </w:rPr>
        <w:t xml:space="preserve">éthiopien </w:t>
      </w:r>
      <w:r w:rsidR="007146AC" w:rsidRPr="00623FC2">
        <w:rPr>
          <w:rFonts w:ascii="Times New Roman" w:hAnsi="Times New Roman"/>
          <w:bCs/>
          <w:lang w:val="fr-FR"/>
        </w:rPr>
        <w:t xml:space="preserve">et </w:t>
      </w:r>
      <w:r w:rsidR="00B66E4B" w:rsidRPr="00623FC2">
        <w:rPr>
          <w:rFonts w:ascii="Times New Roman" w:hAnsi="Times New Roman"/>
          <w:bCs/>
          <w:lang w:val="fr-FR"/>
        </w:rPr>
        <w:t>somalien.</w:t>
      </w:r>
    </w:p>
    <w:p w14:paraId="5A00CBAA" w14:textId="77777777" w:rsidR="00963EE9" w:rsidRPr="00574773" w:rsidRDefault="00963EE9" w:rsidP="00097B76">
      <w:pPr>
        <w:jc w:val="both"/>
        <w:rPr>
          <w:lang w:val="fr-FR"/>
        </w:rPr>
      </w:pPr>
    </w:p>
    <w:p w14:paraId="6B9228EC" w14:textId="58A7EB96" w:rsidR="00582066" w:rsidRPr="000A0E2E" w:rsidRDefault="00B66E4B" w:rsidP="00151F43">
      <w:pPr>
        <w:pStyle w:val="ListParagraphChar"/>
        <w:numPr>
          <w:ilvl w:val="0"/>
          <w:numId w:val="40"/>
        </w:numPr>
        <w:ind w:left="0" w:firstLine="0"/>
        <w:jc w:val="both"/>
        <w:rPr>
          <w:rFonts w:ascii="Times New Roman" w:hAnsi="Times New Roman"/>
          <w:b/>
          <w:bCs/>
          <w:lang w:val="fr-FR"/>
        </w:rPr>
      </w:pPr>
      <w:r>
        <w:rPr>
          <w:rFonts w:ascii="Times New Roman" w:hAnsi="Times New Roman"/>
          <w:b/>
          <w:bCs/>
          <w:lang w:val="fr-FR"/>
        </w:rPr>
        <w:t xml:space="preserve">Une large part de la population vit encore dans des conditions d’extrême pauvreté, </w:t>
      </w:r>
      <w:r w:rsidR="002D65CA">
        <w:rPr>
          <w:rFonts w:ascii="Times New Roman" w:hAnsi="Times New Roman"/>
          <w:b/>
          <w:bCs/>
          <w:lang w:val="fr-FR"/>
        </w:rPr>
        <w:t xml:space="preserve">ce qui se reflète dans les indicateurs de développement humain. </w:t>
      </w:r>
      <w:r w:rsidR="002D65CA">
        <w:rPr>
          <w:rFonts w:ascii="Times New Roman" w:hAnsi="Times New Roman"/>
          <w:bCs/>
          <w:lang w:val="fr-FR"/>
        </w:rPr>
        <w:t xml:space="preserve">Les données officielles, issues de la dernière enquête auprès des ménages de 2012, indiquent ainsi que 41,9 % de la population </w:t>
      </w:r>
      <w:r w:rsidR="00E5474E">
        <w:rPr>
          <w:rFonts w:ascii="Times New Roman" w:hAnsi="Times New Roman"/>
          <w:bCs/>
          <w:lang w:val="fr-FR"/>
        </w:rPr>
        <w:t>vit dans des conditions</w:t>
      </w:r>
      <w:r w:rsidR="00CC2365">
        <w:rPr>
          <w:rFonts w:ascii="Times New Roman" w:hAnsi="Times New Roman"/>
          <w:bCs/>
          <w:lang w:val="fr-FR"/>
        </w:rPr>
        <w:t xml:space="preserve"> </w:t>
      </w:r>
      <w:r w:rsidR="00151F43">
        <w:rPr>
          <w:rFonts w:ascii="Times New Roman" w:hAnsi="Times New Roman"/>
          <w:bCs/>
          <w:lang w:val="fr-FR"/>
        </w:rPr>
        <w:t>d’extrême pauvreté</w:t>
      </w:r>
      <w:r w:rsidR="002D65CA">
        <w:rPr>
          <w:rFonts w:ascii="Times New Roman" w:hAnsi="Times New Roman"/>
          <w:bCs/>
          <w:lang w:val="fr-FR"/>
        </w:rPr>
        <w:t xml:space="preserve"> (un taux pratiquement équivalent à celui de 2002). </w:t>
      </w:r>
      <w:r w:rsidR="00151F43">
        <w:rPr>
          <w:rFonts w:ascii="Times New Roman" w:hAnsi="Times New Roman"/>
          <w:bCs/>
          <w:lang w:val="fr-FR"/>
        </w:rPr>
        <w:t xml:space="preserve">La situation est particulièrement sévère dans les zones rurales : 7 Djiboutiens sur 10 vivant en dehors de la ville de Djibouti sont extrêmement pauvres et 9 sur 10 sont relativement </w:t>
      </w:r>
      <w:r w:rsidR="00151F43">
        <w:rPr>
          <w:rFonts w:ascii="Times New Roman" w:hAnsi="Times New Roman"/>
          <w:bCs/>
          <w:lang w:val="fr-FR"/>
        </w:rPr>
        <w:lastRenderedPageBreak/>
        <w:t>pauvres.</w:t>
      </w:r>
      <w:r w:rsidR="00582066" w:rsidRPr="000767D8">
        <w:rPr>
          <w:rStyle w:val="FootnoteReference"/>
          <w:rFonts w:ascii="Times New Roman" w:hAnsi="Times New Roman"/>
        </w:rPr>
        <w:footnoteReference w:id="1"/>
      </w:r>
      <w:r w:rsidR="00582066" w:rsidRPr="00574773">
        <w:rPr>
          <w:rFonts w:ascii="Times New Roman" w:hAnsi="Times New Roman"/>
          <w:lang w:val="fr-FR"/>
        </w:rPr>
        <w:t xml:space="preserve"> </w:t>
      </w:r>
      <w:r w:rsidR="00151F43" w:rsidRPr="00151F43">
        <w:rPr>
          <w:rFonts w:ascii="Times New Roman" w:hAnsi="Times New Roman"/>
          <w:lang w:val="fr-FR"/>
        </w:rPr>
        <w:t xml:space="preserve">Suite à </w:t>
      </w:r>
      <w:r w:rsidR="00151F43">
        <w:rPr>
          <w:rFonts w:ascii="Times New Roman" w:hAnsi="Times New Roman"/>
          <w:lang w:val="fr-FR"/>
        </w:rPr>
        <w:t>la grave</w:t>
      </w:r>
      <w:r w:rsidR="00151F43" w:rsidRPr="00151F43">
        <w:rPr>
          <w:rFonts w:ascii="Times New Roman" w:hAnsi="Times New Roman"/>
          <w:lang w:val="fr-FR"/>
        </w:rPr>
        <w:t xml:space="preserve"> sécheresse</w:t>
      </w:r>
      <w:r w:rsidR="00151F43">
        <w:rPr>
          <w:rFonts w:ascii="Times New Roman" w:hAnsi="Times New Roman"/>
          <w:lang w:val="fr-FR"/>
        </w:rPr>
        <w:t xml:space="preserve"> de 2012 – la pire qu’</w:t>
      </w:r>
      <w:r w:rsidR="00CC5E60">
        <w:rPr>
          <w:rFonts w:ascii="Times New Roman" w:hAnsi="Times New Roman"/>
          <w:lang w:val="fr-FR"/>
        </w:rPr>
        <w:t>ait connu</w:t>
      </w:r>
      <w:r w:rsidR="00151F43">
        <w:rPr>
          <w:rFonts w:ascii="Times New Roman" w:hAnsi="Times New Roman"/>
          <w:lang w:val="fr-FR"/>
        </w:rPr>
        <w:t xml:space="preserve"> le pays en 60 ans – au moins 20 % de la population de la capitale et les trois-quarts des foyers ruraux se sont retrouvés exposés à une insécurité alimentaire sévère ou modérée</w:t>
      </w:r>
      <w:r w:rsidR="00582066" w:rsidRPr="00574773">
        <w:rPr>
          <w:rFonts w:ascii="Times New Roman" w:hAnsi="Times New Roman"/>
          <w:lang w:val="fr-FR"/>
        </w:rPr>
        <w:t>.</w:t>
      </w:r>
      <w:r w:rsidR="00582066" w:rsidRPr="000767D8">
        <w:rPr>
          <w:rStyle w:val="FootnoteReference"/>
          <w:rFonts w:ascii="Times New Roman" w:hAnsi="Times New Roman"/>
        </w:rPr>
        <w:footnoteReference w:id="2"/>
      </w:r>
      <w:r w:rsidR="003C12E2" w:rsidRPr="00574773">
        <w:rPr>
          <w:rFonts w:ascii="Times New Roman" w:hAnsi="Times New Roman"/>
          <w:lang w:val="fr-FR"/>
        </w:rPr>
        <w:t xml:space="preserve"> </w:t>
      </w:r>
      <w:r w:rsidR="000A0E2E">
        <w:rPr>
          <w:rFonts w:ascii="Times New Roman" w:hAnsi="Times New Roman"/>
          <w:lang w:val="fr-FR"/>
        </w:rPr>
        <w:t>Malgré les efforts récents, le taux de malnutrition reste élevé à Djibouti, avec 29,7 % des enfants de moins de 5 ans souffrant de malnutrition chronique, 29,6</w:t>
      </w:r>
      <w:r w:rsidR="000A0E2E" w:rsidRPr="00574773">
        <w:rPr>
          <w:lang w:val="fr-FR"/>
        </w:rPr>
        <w:t xml:space="preserve"> % </w:t>
      </w:r>
      <w:r w:rsidR="000A0E2E">
        <w:rPr>
          <w:rFonts w:ascii="Times New Roman" w:hAnsi="Times New Roman"/>
          <w:lang w:val="fr-FR"/>
        </w:rPr>
        <w:t>présentant une insuffisance pondérale, et plus de 17,8 % atteints de malnutrition sévère</w:t>
      </w:r>
      <w:r w:rsidR="00582066" w:rsidRPr="00574773">
        <w:rPr>
          <w:rFonts w:ascii="Times New Roman" w:hAnsi="Times New Roman"/>
          <w:lang w:val="fr-FR"/>
        </w:rPr>
        <w:t>.</w:t>
      </w:r>
      <w:r w:rsidR="00582066">
        <w:rPr>
          <w:rStyle w:val="FootnoteReference"/>
          <w:rFonts w:ascii="Times New Roman" w:hAnsi="Times New Roman"/>
        </w:rPr>
        <w:footnoteReference w:id="3"/>
      </w:r>
    </w:p>
    <w:p w14:paraId="6138E2B7" w14:textId="77777777" w:rsidR="0060237C" w:rsidRPr="00574773" w:rsidRDefault="0060237C" w:rsidP="00097B76">
      <w:pPr>
        <w:jc w:val="both"/>
        <w:rPr>
          <w:lang w:val="fr-FR"/>
        </w:rPr>
      </w:pPr>
    </w:p>
    <w:p w14:paraId="1E0415EC" w14:textId="0250C339" w:rsidR="00A30A70" w:rsidRPr="00A30A70" w:rsidRDefault="00BA7794" w:rsidP="0060237C">
      <w:pPr>
        <w:pStyle w:val="ListParagraphChar"/>
        <w:numPr>
          <w:ilvl w:val="0"/>
          <w:numId w:val="40"/>
        </w:numPr>
        <w:ind w:left="0" w:firstLine="0"/>
        <w:jc w:val="both"/>
        <w:rPr>
          <w:rFonts w:ascii="Times New Roman" w:hAnsi="Times New Roman"/>
          <w:lang w:val="fr-FR"/>
        </w:rPr>
      </w:pPr>
      <w:r w:rsidRPr="00BA7794">
        <w:rPr>
          <w:rFonts w:ascii="Times New Roman" w:hAnsi="Times New Roman"/>
          <w:b/>
          <w:bCs/>
          <w:lang w:val="fr-FR"/>
        </w:rPr>
        <w:t>L’évaluation menée</w:t>
      </w:r>
      <w:r>
        <w:rPr>
          <w:rFonts w:ascii="Times New Roman" w:hAnsi="Times New Roman"/>
          <w:b/>
          <w:bCs/>
          <w:lang w:val="fr-FR"/>
        </w:rPr>
        <w:t xml:space="preserve"> </w:t>
      </w:r>
      <w:r w:rsidR="007A382F">
        <w:rPr>
          <w:rFonts w:ascii="Times New Roman" w:hAnsi="Times New Roman"/>
          <w:b/>
          <w:bCs/>
          <w:lang w:val="fr-FR"/>
        </w:rPr>
        <w:t>dans le cadre de l’</w:t>
      </w:r>
      <w:r w:rsidR="007A382F" w:rsidRPr="007A382F">
        <w:rPr>
          <w:rFonts w:ascii="Times New Roman" w:hAnsi="Times New Roman"/>
          <w:b/>
          <w:bCs/>
          <w:lang w:val="fr-FR"/>
        </w:rPr>
        <w:t>Initia</w:t>
      </w:r>
      <w:r w:rsidR="007A382F">
        <w:rPr>
          <w:rFonts w:ascii="Times New Roman" w:hAnsi="Times New Roman"/>
          <w:b/>
          <w:bCs/>
          <w:lang w:val="fr-FR"/>
        </w:rPr>
        <w:t>tive Nationale de Développement</w:t>
      </w:r>
      <w:r w:rsidR="007A382F" w:rsidRPr="007A382F">
        <w:rPr>
          <w:rFonts w:ascii="Times New Roman" w:hAnsi="Times New Roman"/>
          <w:b/>
          <w:bCs/>
          <w:lang w:val="fr-FR"/>
        </w:rPr>
        <w:t xml:space="preserve"> Social (</w:t>
      </w:r>
      <w:r w:rsidR="007A382F" w:rsidRPr="007A382F">
        <w:rPr>
          <w:rFonts w:ascii="Times New Roman" w:hAnsi="Times New Roman"/>
          <w:b/>
          <w:bCs/>
          <w:i/>
          <w:iCs/>
          <w:lang w:val="fr-FR"/>
        </w:rPr>
        <w:t>INDS</w:t>
      </w:r>
      <w:r w:rsidR="007A382F" w:rsidRPr="007A382F">
        <w:rPr>
          <w:rFonts w:ascii="Times New Roman" w:hAnsi="Times New Roman"/>
          <w:b/>
          <w:bCs/>
          <w:lang w:val="fr-FR"/>
        </w:rPr>
        <w:t>)</w:t>
      </w:r>
      <w:r w:rsidR="007A382F">
        <w:rPr>
          <w:rFonts w:ascii="Times New Roman" w:hAnsi="Times New Roman"/>
          <w:b/>
          <w:bCs/>
          <w:lang w:val="fr-FR"/>
        </w:rPr>
        <w:t xml:space="preserve"> a révélé des défis importants en mat</w:t>
      </w:r>
      <w:r w:rsidR="004169C2">
        <w:rPr>
          <w:rFonts w:ascii="Times New Roman" w:hAnsi="Times New Roman"/>
          <w:b/>
          <w:bCs/>
          <w:lang w:val="fr-FR"/>
        </w:rPr>
        <w:t xml:space="preserve">ière de développement humain. Pour y faire face </w:t>
      </w:r>
      <w:r w:rsidR="00694FB0">
        <w:rPr>
          <w:rFonts w:ascii="Times New Roman" w:hAnsi="Times New Roman"/>
          <w:b/>
          <w:bCs/>
          <w:lang w:val="fr-FR"/>
        </w:rPr>
        <w:t xml:space="preserve">l’approche gouvernementale </w:t>
      </w:r>
      <w:r w:rsidR="007A382F">
        <w:rPr>
          <w:rFonts w:ascii="Times New Roman" w:hAnsi="Times New Roman"/>
          <w:b/>
          <w:bCs/>
          <w:lang w:val="fr-FR"/>
        </w:rPr>
        <w:t xml:space="preserve">Vision 2035 a établi comme priorité l’autonomisation des femmes et des jeunes. </w:t>
      </w:r>
      <w:r w:rsidR="00515AA8">
        <w:rPr>
          <w:rFonts w:ascii="Times New Roman" w:hAnsi="Times New Roman"/>
          <w:bCs/>
          <w:lang w:val="fr-FR"/>
        </w:rPr>
        <w:t>L’</w:t>
      </w:r>
      <w:r w:rsidR="007A382F">
        <w:rPr>
          <w:rFonts w:ascii="Times New Roman" w:hAnsi="Times New Roman"/>
          <w:bCs/>
          <w:lang w:val="fr-FR"/>
        </w:rPr>
        <w:t>évaluation finale de l’initiative (achevée en octobre 2013)</w:t>
      </w:r>
      <w:r w:rsidR="00515AA8">
        <w:rPr>
          <w:rFonts w:ascii="Times New Roman" w:hAnsi="Times New Roman"/>
          <w:bCs/>
          <w:lang w:val="fr-FR"/>
        </w:rPr>
        <w:t xml:space="preserve"> indique que</w:t>
      </w:r>
      <w:r w:rsidR="007A382F">
        <w:rPr>
          <w:rFonts w:ascii="Times New Roman" w:hAnsi="Times New Roman"/>
          <w:bCs/>
          <w:lang w:val="fr-FR"/>
        </w:rPr>
        <w:t xml:space="preserve">, malgré les avancées importantes réalisées, de nombreux objectifs restent encore à atteindre. On </w:t>
      </w:r>
      <w:r w:rsidR="00EF4B74">
        <w:rPr>
          <w:rFonts w:ascii="Times New Roman" w:hAnsi="Times New Roman"/>
          <w:bCs/>
          <w:lang w:val="fr-FR"/>
        </w:rPr>
        <w:t xml:space="preserve">peut citer par exemple </w:t>
      </w:r>
      <w:r w:rsidR="000371A3">
        <w:rPr>
          <w:rFonts w:ascii="Times New Roman" w:hAnsi="Times New Roman"/>
          <w:bCs/>
          <w:lang w:val="fr-FR"/>
        </w:rPr>
        <w:t>les indicateurs sociaux évaluant la santé maternelle, l’accès à l’eau potable et</w:t>
      </w:r>
      <w:r w:rsidR="00515AA8">
        <w:rPr>
          <w:rFonts w:ascii="Times New Roman" w:hAnsi="Times New Roman"/>
          <w:bCs/>
          <w:lang w:val="fr-FR"/>
        </w:rPr>
        <w:t xml:space="preserve"> à</w:t>
      </w:r>
      <w:r w:rsidR="000371A3">
        <w:rPr>
          <w:rFonts w:ascii="Times New Roman" w:hAnsi="Times New Roman"/>
          <w:bCs/>
          <w:lang w:val="fr-FR"/>
        </w:rPr>
        <w:t xml:space="preserve"> l’éducation, pour lesquels les résultats </w:t>
      </w:r>
      <w:r w:rsidR="00515AA8">
        <w:rPr>
          <w:rFonts w:ascii="Times New Roman" w:hAnsi="Times New Roman"/>
          <w:bCs/>
          <w:lang w:val="fr-FR"/>
        </w:rPr>
        <w:t>demeurent</w:t>
      </w:r>
      <w:r w:rsidR="000371A3">
        <w:rPr>
          <w:rFonts w:ascii="Times New Roman" w:hAnsi="Times New Roman"/>
          <w:bCs/>
          <w:lang w:val="fr-FR"/>
        </w:rPr>
        <w:t xml:space="preserve"> faibles. </w:t>
      </w:r>
      <w:r w:rsidR="00515AA8">
        <w:rPr>
          <w:rFonts w:ascii="Times New Roman" w:hAnsi="Times New Roman"/>
          <w:bCs/>
          <w:lang w:val="fr-FR"/>
        </w:rPr>
        <w:t xml:space="preserve">Bien que le taux de mortalité maternelle ait chuté significativement entre 2002 et 2012, son niveau </w:t>
      </w:r>
      <w:r w:rsidR="00EF4B74">
        <w:rPr>
          <w:rFonts w:ascii="Times New Roman" w:hAnsi="Times New Roman"/>
          <w:bCs/>
          <w:lang w:val="fr-FR"/>
        </w:rPr>
        <w:t>reste</w:t>
      </w:r>
      <w:r w:rsidR="00515AA8">
        <w:rPr>
          <w:rFonts w:ascii="Times New Roman" w:hAnsi="Times New Roman"/>
          <w:bCs/>
          <w:lang w:val="fr-FR"/>
        </w:rPr>
        <w:t xml:space="preserve"> encore inacceptable, avec 383 décès pour 100 000 naissances vivantes en 2012 (en recul par rapport aux 546 décès de 2002</w:t>
      </w:r>
      <w:r w:rsidR="0060237C" w:rsidRPr="00574773">
        <w:rPr>
          <w:rFonts w:ascii="Times New Roman" w:hAnsi="Times New Roman"/>
          <w:lang w:val="fr-FR"/>
        </w:rPr>
        <w:t>).</w:t>
      </w:r>
      <w:r w:rsidR="0060237C">
        <w:rPr>
          <w:rStyle w:val="FootnoteReference"/>
          <w:rFonts w:ascii="Times New Roman" w:hAnsi="Times New Roman"/>
        </w:rPr>
        <w:footnoteReference w:id="4"/>
      </w:r>
      <w:r w:rsidR="0060237C" w:rsidRPr="00574773">
        <w:rPr>
          <w:rFonts w:ascii="Times New Roman" w:hAnsi="Times New Roman"/>
          <w:lang w:val="fr-FR"/>
        </w:rPr>
        <w:t xml:space="preserve"> </w:t>
      </w:r>
      <w:r w:rsidR="0076056D" w:rsidRPr="00642561">
        <w:rPr>
          <w:rFonts w:ascii="Times New Roman" w:hAnsi="Times New Roman"/>
          <w:lang w:val="fr-FR"/>
        </w:rPr>
        <w:t xml:space="preserve">Dans le domaine de l’éducation, le </w:t>
      </w:r>
      <w:r w:rsidR="00036840" w:rsidRPr="00642561">
        <w:rPr>
          <w:rFonts w:ascii="Times New Roman" w:hAnsi="Times New Roman"/>
          <w:lang w:val="fr-FR"/>
        </w:rPr>
        <w:t>taux brut de scolarisation</w:t>
      </w:r>
      <w:r w:rsidR="0076056D" w:rsidRPr="00642561">
        <w:rPr>
          <w:rFonts w:ascii="Times New Roman" w:hAnsi="Times New Roman"/>
          <w:lang w:val="fr-FR"/>
        </w:rPr>
        <w:t xml:space="preserve"> dans le primaire</w:t>
      </w:r>
      <w:r w:rsidR="00036840" w:rsidRPr="00642561">
        <w:rPr>
          <w:rFonts w:ascii="Times New Roman" w:hAnsi="Times New Roman"/>
          <w:lang w:val="fr-FR"/>
        </w:rPr>
        <w:t xml:space="preserve"> est passé de 52 % en 2005 à 70 % en </w:t>
      </w:r>
      <w:r w:rsidR="0060237C" w:rsidRPr="00642561">
        <w:rPr>
          <w:rFonts w:ascii="Times New Roman" w:hAnsi="Times New Roman"/>
          <w:lang w:val="fr-FR"/>
        </w:rPr>
        <w:t>2012</w:t>
      </w:r>
      <w:r w:rsidR="0060237C" w:rsidRPr="00642561">
        <w:rPr>
          <w:rStyle w:val="FootnoteReference"/>
          <w:rFonts w:ascii="Times New Roman" w:hAnsi="Times New Roman"/>
          <w:lang w:val="fr-FR"/>
        </w:rPr>
        <w:footnoteReference w:id="5"/>
      </w:r>
      <w:r w:rsidR="0060237C" w:rsidRPr="00642561">
        <w:rPr>
          <w:rFonts w:ascii="Times New Roman" w:hAnsi="Times New Roman"/>
          <w:lang w:val="fr-FR"/>
        </w:rPr>
        <w:t xml:space="preserve"> </w:t>
      </w:r>
      <w:r w:rsidR="00164F42">
        <w:rPr>
          <w:rFonts w:ascii="Times New Roman" w:hAnsi="Times New Roman"/>
          <w:lang w:val="fr-FR"/>
        </w:rPr>
        <w:t>et le ratio</w:t>
      </w:r>
      <w:r w:rsidR="00E05626">
        <w:rPr>
          <w:rFonts w:ascii="Times New Roman" w:hAnsi="Times New Roman"/>
          <w:lang w:val="fr-FR"/>
        </w:rPr>
        <w:t xml:space="preserve"> filles/garçons a progressé de 0,55 à 0,88 ; l’illettrisme reste </w:t>
      </w:r>
      <w:r w:rsidR="00E82BC6">
        <w:rPr>
          <w:rFonts w:ascii="Times New Roman" w:hAnsi="Times New Roman"/>
          <w:lang w:val="fr-FR"/>
        </w:rPr>
        <w:t xml:space="preserve">toutefois </w:t>
      </w:r>
      <w:r w:rsidR="00E05626">
        <w:rPr>
          <w:rFonts w:ascii="Times New Roman" w:hAnsi="Times New Roman"/>
          <w:lang w:val="fr-FR"/>
        </w:rPr>
        <w:t>un problème pour nombre d’adultes, particulièrement pour les femmes dont on estime qu’elles sont 60,5 % à être illettrées.</w:t>
      </w:r>
      <w:r w:rsidR="0060237C">
        <w:rPr>
          <w:rStyle w:val="FootnoteReference"/>
          <w:rFonts w:ascii="Times New Roman" w:hAnsi="Times New Roman"/>
        </w:rPr>
        <w:footnoteReference w:id="6"/>
      </w:r>
      <w:r w:rsidR="0060237C" w:rsidRPr="00574773">
        <w:rPr>
          <w:rFonts w:ascii="Times New Roman" w:hAnsi="Times New Roman"/>
          <w:lang w:val="fr-FR"/>
        </w:rPr>
        <w:t xml:space="preserve"> </w:t>
      </w:r>
      <w:r w:rsidR="00A30A70" w:rsidRPr="00A30A70">
        <w:rPr>
          <w:rFonts w:ascii="Times New Roman" w:hAnsi="Times New Roman"/>
          <w:lang w:val="fr-FR"/>
        </w:rPr>
        <w:t>Dans l’ensemble, les inégalités</w:t>
      </w:r>
      <w:r w:rsidR="0099213F">
        <w:rPr>
          <w:rFonts w:ascii="Times New Roman" w:hAnsi="Times New Roman"/>
          <w:lang w:val="fr-FR"/>
        </w:rPr>
        <w:t xml:space="preserve"> régionales</w:t>
      </w:r>
      <w:r w:rsidR="00A30A70" w:rsidRPr="00A30A70">
        <w:rPr>
          <w:rFonts w:ascii="Times New Roman" w:hAnsi="Times New Roman"/>
          <w:lang w:val="fr-FR"/>
        </w:rPr>
        <w:t xml:space="preserve"> </w:t>
      </w:r>
      <w:r w:rsidR="00A30A70">
        <w:rPr>
          <w:rFonts w:ascii="Times New Roman" w:hAnsi="Times New Roman"/>
          <w:lang w:val="fr-FR"/>
        </w:rPr>
        <w:t>en matière de pauvreté demeurent omniprésentes</w:t>
      </w:r>
      <w:r w:rsidR="0099213F">
        <w:rPr>
          <w:rFonts w:ascii="Times New Roman" w:hAnsi="Times New Roman"/>
          <w:lang w:val="fr-FR"/>
        </w:rPr>
        <w:t xml:space="preserve">. Le développement du capital humain constitue un pilier de la Vision 2035 pour l’avenir du pays, qui a également établi la promotion des femmes et des jeunes parmi ses priorités transversales. </w:t>
      </w:r>
    </w:p>
    <w:p w14:paraId="657F7D03" w14:textId="77777777" w:rsidR="00963EE9" w:rsidRPr="00574773" w:rsidRDefault="00963EE9" w:rsidP="00963EE9">
      <w:pPr>
        <w:pStyle w:val="ListParagraphChar"/>
        <w:ind w:left="0"/>
        <w:rPr>
          <w:rFonts w:ascii="Times New Roman" w:hAnsi="Times New Roman"/>
          <w:lang w:val="fr-FR"/>
        </w:rPr>
      </w:pPr>
    </w:p>
    <w:p w14:paraId="66EBC091" w14:textId="3A7C18DD" w:rsidR="00333C62" w:rsidRPr="00441131" w:rsidRDefault="00333C62" w:rsidP="00963EE9">
      <w:pPr>
        <w:pStyle w:val="ListParagraphChar"/>
        <w:ind w:left="0"/>
        <w:rPr>
          <w:rFonts w:ascii="Times New Roman" w:hAnsi="Times New Roman"/>
          <w:lang w:val="fr-FR"/>
        </w:rPr>
      </w:pPr>
      <w:r w:rsidRPr="00963EE9">
        <w:rPr>
          <w:rFonts w:ascii="Times New Roman" w:hAnsi="Times New Roman"/>
        </w:rPr>
        <w:t xml:space="preserve">B. </w:t>
      </w:r>
      <w:r w:rsidR="00C934BB" w:rsidRPr="00441131">
        <w:rPr>
          <w:rFonts w:ascii="Times New Roman" w:hAnsi="Times New Roman"/>
          <w:lang w:val="fr-FR"/>
        </w:rPr>
        <w:t xml:space="preserve">Contexte Sectoriel </w:t>
      </w:r>
      <w:proofErr w:type="gramStart"/>
      <w:r w:rsidR="00C934BB" w:rsidRPr="00441131">
        <w:rPr>
          <w:rFonts w:ascii="Times New Roman" w:hAnsi="Times New Roman"/>
          <w:lang w:val="fr-FR"/>
        </w:rPr>
        <w:t>et</w:t>
      </w:r>
      <w:proofErr w:type="gramEnd"/>
      <w:r w:rsidR="00C934BB" w:rsidRPr="00441131">
        <w:rPr>
          <w:rFonts w:ascii="Times New Roman" w:hAnsi="Times New Roman"/>
          <w:lang w:val="fr-FR"/>
        </w:rPr>
        <w:t xml:space="preserve"> Institutionnel</w:t>
      </w:r>
    </w:p>
    <w:p w14:paraId="7D476AC4" w14:textId="77777777" w:rsidR="00963EE9" w:rsidRPr="00441131" w:rsidRDefault="00963EE9" w:rsidP="00963EE9">
      <w:pPr>
        <w:pStyle w:val="ListParagraphChar"/>
        <w:ind w:left="0"/>
        <w:rPr>
          <w:rFonts w:ascii="Times New Roman" w:hAnsi="Times New Roman"/>
          <w:lang w:val="fr-FR"/>
        </w:rPr>
      </w:pPr>
    </w:p>
    <w:p w14:paraId="238F6A74" w14:textId="6C0B0E8B" w:rsidR="00105B55" w:rsidRPr="00105B55" w:rsidRDefault="00441131" w:rsidP="0060237C">
      <w:pPr>
        <w:pStyle w:val="ListParagraphChar"/>
        <w:numPr>
          <w:ilvl w:val="0"/>
          <w:numId w:val="40"/>
        </w:numPr>
        <w:ind w:left="0" w:firstLine="0"/>
        <w:jc w:val="both"/>
        <w:rPr>
          <w:rFonts w:ascii="Times New Roman" w:hAnsi="Times New Roman"/>
          <w:b/>
          <w:bCs/>
          <w:lang w:val="fr-FR"/>
        </w:rPr>
      </w:pPr>
      <w:r>
        <w:rPr>
          <w:rFonts w:ascii="Times New Roman" w:hAnsi="Times New Roman"/>
          <w:b/>
          <w:bCs/>
          <w:lang w:val="fr-FR"/>
        </w:rPr>
        <w:t xml:space="preserve">Les jeunes sont particulièrement vulnérables et risquent de ne pas réussir à rentrer sur le marché du travail. </w:t>
      </w:r>
      <w:r>
        <w:rPr>
          <w:rFonts w:ascii="Times New Roman" w:hAnsi="Times New Roman"/>
          <w:bCs/>
          <w:lang w:val="fr-FR"/>
        </w:rPr>
        <w:t>Si l’accès à l’enseignement primaire et secondaire a</w:t>
      </w:r>
      <w:r w:rsidRPr="00441131">
        <w:rPr>
          <w:rFonts w:ascii="Times New Roman" w:hAnsi="Times New Roman"/>
          <w:bCs/>
          <w:lang w:val="fr-FR"/>
        </w:rPr>
        <w:t xml:space="preserve"> </w:t>
      </w:r>
      <w:r>
        <w:rPr>
          <w:rFonts w:ascii="Times New Roman" w:hAnsi="Times New Roman"/>
          <w:bCs/>
          <w:lang w:val="fr-FR"/>
        </w:rPr>
        <w:t>considérablement progressé au cours de la dernière décennie, le décrochage scolaire à la sortie du p</w:t>
      </w:r>
      <w:r w:rsidR="00203659">
        <w:rPr>
          <w:rFonts w:ascii="Times New Roman" w:hAnsi="Times New Roman"/>
          <w:bCs/>
          <w:lang w:val="fr-FR"/>
        </w:rPr>
        <w:t xml:space="preserve">rimaire et le taux d’illettrisme restent </w:t>
      </w:r>
      <w:proofErr w:type="gramStart"/>
      <w:r w:rsidR="00203659">
        <w:rPr>
          <w:rFonts w:ascii="Times New Roman" w:hAnsi="Times New Roman"/>
          <w:bCs/>
          <w:lang w:val="fr-FR"/>
        </w:rPr>
        <w:t>élevé</w:t>
      </w:r>
      <w:r w:rsidR="0024449B">
        <w:rPr>
          <w:rFonts w:ascii="Times New Roman" w:hAnsi="Times New Roman"/>
          <w:bCs/>
          <w:lang w:val="fr-FR"/>
        </w:rPr>
        <w:t>s</w:t>
      </w:r>
      <w:proofErr w:type="gramEnd"/>
      <w:r w:rsidR="0024449B">
        <w:rPr>
          <w:rFonts w:ascii="Times New Roman" w:hAnsi="Times New Roman"/>
          <w:bCs/>
          <w:lang w:val="fr-FR"/>
        </w:rPr>
        <w:t xml:space="preserve">, en particulier dans les zones rurales. La majorité des jeunes ne participent pas à l’économie </w:t>
      </w:r>
      <w:r w:rsidR="00856EA5">
        <w:rPr>
          <w:rFonts w:ascii="Times New Roman" w:hAnsi="Times New Roman"/>
          <w:bCs/>
          <w:lang w:val="fr-FR"/>
        </w:rPr>
        <w:t>formelle : le taux de chômage officiel est évalué entre 50 % et 60 %, mais il atteint probablement plus de 70 % pou</w:t>
      </w:r>
      <w:r w:rsidR="00933657">
        <w:rPr>
          <w:rFonts w:ascii="Times New Roman" w:hAnsi="Times New Roman"/>
          <w:bCs/>
          <w:lang w:val="fr-FR"/>
        </w:rPr>
        <w:t>r les jeunes de moins de 30 ans</w:t>
      </w:r>
      <w:r w:rsidR="0060237C" w:rsidRPr="00574773">
        <w:rPr>
          <w:rFonts w:ascii="Times New Roman" w:hAnsi="Times New Roman"/>
          <w:lang w:val="fr-FR"/>
        </w:rPr>
        <w:t>.</w:t>
      </w:r>
      <w:r w:rsidR="0060237C">
        <w:rPr>
          <w:rStyle w:val="FootnoteReference"/>
          <w:rFonts w:ascii="Times New Roman" w:hAnsi="Times New Roman"/>
        </w:rPr>
        <w:footnoteReference w:id="7"/>
      </w:r>
      <w:r w:rsidR="0060237C" w:rsidRPr="00574773">
        <w:rPr>
          <w:rFonts w:ascii="Times New Roman" w:hAnsi="Times New Roman"/>
          <w:lang w:val="fr-FR"/>
        </w:rPr>
        <w:t xml:space="preserve"> </w:t>
      </w:r>
      <w:r w:rsidR="00105B55">
        <w:rPr>
          <w:rFonts w:ascii="Times New Roman" w:hAnsi="Times New Roman"/>
          <w:lang w:val="fr-FR"/>
        </w:rPr>
        <w:t>L’</w:t>
      </w:r>
      <w:r w:rsidR="00E85103">
        <w:rPr>
          <w:rFonts w:ascii="Times New Roman" w:hAnsi="Times New Roman"/>
          <w:lang w:val="fr-FR"/>
        </w:rPr>
        <w:t>offre de</w:t>
      </w:r>
      <w:r w:rsidR="00105B55">
        <w:rPr>
          <w:rFonts w:ascii="Times New Roman" w:hAnsi="Times New Roman"/>
          <w:lang w:val="fr-FR"/>
        </w:rPr>
        <w:t xml:space="preserve"> formation professionnelle ne parvient pas à suivre la demande croissante. En outre, le secteur de la formation présente une faible capacité d’</w:t>
      </w:r>
      <w:r w:rsidR="00C122FF">
        <w:rPr>
          <w:rFonts w:ascii="Times New Roman" w:hAnsi="Times New Roman"/>
          <w:lang w:val="fr-FR"/>
        </w:rPr>
        <w:t>accueil</w:t>
      </w:r>
      <w:r w:rsidR="00105B55">
        <w:rPr>
          <w:rFonts w:ascii="Times New Roman" w:hAnsi="Times New Roman"/>
          <w:lang w:val="fr-FR"/>
        </w:rPr>
        <w:t xml:space="preserve">, une forte concentration urbaine, des programmes longs et un corps enseignant souvent non-professionnel. </w:t>
      </w:r>
      <w:r w:rsidR="00E442C3">
        <w:rPr>
          <w:rFonts w:ascii="Times New Roman" w:hAnsi="Times New Roman"/>
          <w:lang w:val="fr-FR"/>
        </w:rPr>
        <w:t xml:space="preserve">Au sein des populations rurales nomades, les jeunes contribuent largement aux activités de subsistance des ménages ; à savoir, l’élevage pour les garçons et les tâches ménagères et l’artisanat pour les filles. </w:t>
      </w:r>
    </w:p>
    <w:p w14:paraId="6E68361D" w14:textId="77777777" w:rsidR="0060237C" w:rsidRPr="00574773" w:rsidRDefault="0060237C" w:rsidP="0060237C">
      <w:pPr>
        <w:rPr>
          <w:lang w:val="fr-FR"/>
        </w:rPr>
      </w:pPr>
    </w:p>
    <w:p w14:paraId="451822AB" w14:textId="7BB6269E" w:rsidR="00422817" w:rsidRPr="00422817" w:rsidRDefault="00E85103" w:rsidP="0060237C">
      <w:pPr>
        <w:pStyle w:val="ListParagraphChar"/>
        <w:numPr>
          <w:ilvl w:val="0"/>
          <w:numId w:val="40"/>
        </w:numPr>
        <w:ind w:left="0" w:firstLine="0"/>
        <w:jc w:val="both"/>
        <w:rPr>
          <w:rFonts w:ascii="Times New Roman" w:hAnsi="Times New Roman"/>
          <w:b/>
          <w:bCs/>
          <w:lang w:val="fr-FR"/>
        </w:rPr>
      </w:pPr>
      <w:r>
        <w:rPr>
          <w:rFonts w:ascii="Times New Roman" w:hAnsi="Times New Roman"/>
          <w:b/>
          <w:bCs/>
          <w:lang w:val="fr-FR"/>
        </w:rPr>
        <w:lastRenderedPageBreak/>
        <w:t xml:space="preserve">Les femmes sont particulièrement </w:t>
      </w:r>
      <w:r w:rsidR="00A2522C">
        <w:rPr>
          <w:rFonts w:ascii="Times New Roman" w:hAnsi="Times New Roman"/>
          <w:b/>
          <w:bCs/>
          <w:lang w:val="fr-FR"/>
        </w:rPr>
        <w:t>défavorisées</w:t>
      </w:r>
      <w:r>
        <w:rPr>
          <w:rFonts w:ascii="Times New Roman" w:hAnsi="Times New Roman"/>
          <w:b/>
          <w:bCs/>
          <w:lang w:val="fr-FR"/>
        </w:rPr>
        <w:t xml:space="preserve"> </w:t>
      </w:r>
      <w:r w:rsidR="0020360A">
        <w:rPr>
          <w:rFonts w:ascii="Times New Roman" w:hAnsi="Times New Roman"/>
          <w:b/>
          <w:bCs/>
          <w:lang w:val="fr-FR"/>
        </w:rPr>
        <w:t>en matière d’accès aux</w:t>
      </w:r>
      <w:r>
        <w:rPr>
          <w:rFonts w:ascii="Times New Roman" w:hAnsi="Times New Roman"/>
          <w:b/>
          <w:bCs/>
          <w:lang w:val="fr-FR"/>
        </w:rPr>
        <w:t xml:space="preserve"> opportunités économiques. </w:t>
      </w:r>
      <w:r>
        <w:rPr>
          <w:rFonts w:ascii="Times New Roman" w:hAnsi="Times New Roman"/>
          <w:bCs/>
          <w:lang w:val="fr-FR"/>
        </w:rPr>
        <w:t>Les femmes et les filles sont confrontées à des désa</w:t>
      </w:r>
      <w:r w:rsidR="00111EEA">
        <w:rPr>
          <w:rFonts w:ascii="Times New Roman" w:hAnsi="Times New Roman"/>
          <w:bCs/>
          <w:lang w:val="fr-FR"/>
        </w:rPr>
        <w:t>vantages supplémentaires liés au</w:t>
      </w:r>
      <w:r>
        <w:rPr>
          <w:rFonts w:ascii="Times New Roman" w:hAnsi="Times New Roman"/>
          <w:bCs/>
          <w:lang w:val="fr-FR"/>
        </w:rPr>
        <w:t xml:space="preserve"> faible taux d’inscription à l’école</w:t>
      </w:r>
      <w:r w:rsidR="00111EEA">
        <w:rPr>
          <w:rFonts w:ascii="Times New Roman" w:hAnsi="Times New Roman"/>
          <w:bCs/>
          <w:lang w:val="fr-FR"/>
        </w:rPr>
        <w:t xml:space="preserve"> et d’alphabétisation ainsi qu’</w:t>
      </w:r>
      <w:r>
        <w:rPr>
          <w:rFonts w:ascii="Times New Roman" w:hAnsi="Times New Roman"/>
          <w:bCs/>
          <w:lang w:val="fr-FR"/>
        </w:rPr>
        <w:t xml:space="preserve">au niveau élevé d’inactivité économique. Le taux d’alphabétisation des femmes s’élève à </w:t>
      </w:r>
      <w:r w:rsidR="000B7DBB">
        <w:rPr>
          <w:rFonts w:ascii="Times New Roman" w:hAnsi="Times New Roman"/>
          <w:bCs/>
          <w:lang w:val="fr-FR"/>
        </w:rPr>
        <w:t>environ</w:t>
      </w:r>
      <w:r>
        <w:rPr>
          <w:rFonts w:ascii="Times New Roman" w:hAnsi="Times New Roman"/>
          <w:bCs/>
          <w:lang w:val="fr-FR"/>
        </w:rPr>
        <w:t xml:space="preserve"> 39,5 %</w:t>
      </w:r>
      <w:r w:rsidR="000B7DBB">
        <w:rPr>
          <w:rFonts w:ascii="Times New Roman" w:hAnsi="Times New Roman"/>
          <w:bCs/>
          <w:lang w:val="fr-FR"/>
        </w:rPr>
        <w:t xml:space="preserve"> (contre 60,1 % chez les hommes) et tombe à 22 %</w:t>
      </w:r>
      <w:r w:rsidR="00D7569B">
        <w:rPr>
          <w:rFonts w:ascii="Times New Roman" w:hAnsi="Times New Roman"/>
          <w:bCs/>
          <w:lang w:val="fr-FR"/>
        </w:rPr>
        <w:t xml:space="preserve"> en dehors de la capitale</w:t>
      </w:r>
      <w:r w:rsidR="0060237C" w:rsidRPr="00574773">
        <w:rPr>
          <w:rFonts w:ascii="Times New Roman" w:hAnsi="Times New Roman"/>
          <w:lang w:val="fr-FR"/>
        </w:rPr>
        <w:t>.</w:t>
      </w:r>
      <w:r w:rsidR="0060237C">
        <w:rPr>
          <w:rStyle w:val="FootnoteReference"/>
          <w:rFonts w:ascii="Times New Roman" w:hAnsi="Times New Roman"/>
        </w:rPr>
        <w:footnoteReference w:id="8"/>
      </w:r>
      <w:r w:rsidR="0060237C" w:rsidRPr="00574773">
        <w:rPr>
          <w:rFonts w:ascii="Times New Roman" w:hAnsi="Times New Roman"/>
          <w:lang w:val="fr-FR"/>
        </w:rPr>
        <w:t xml:space="preserve"> </w:t>
      </w:r>
      <w:r w:rsidR="004C776E">
        <w:rPr>
          <w:rFonts w:ascii="Times New Roman" w:hAnsi="Times New Roman"/>
          <w:lang w:val="fr-FR"/>
        </w:rPr>
        <w:t>L</w:t>
      </w:r>
      <w:r w:rsidR="00C72C8F" w:rsidRPr="00C72C8F">
        <w:rPr>
          <w:rFonts w:ascii="Times New Roman" w:hAnsi="Times New Roman"/>
          <w:lang w:val="fr-FR"/>
        </w:rPr>
        <w:t xml:space="preserve">es publications </w:t>
      </w:r>
      <w:r w:rsidR="004C776E">
        <w:rPr>
          <w:rFonts w:ascii="Times New Roman" w:hAnsi="Times New Roman"/>
          <w:lang w:val="fr-FR"/>
        </w:rPr>
        <w:t>officielles,</w:t>
      </w:r>
      <w:r w:rsidR="00C72C8F">
        <w:rPr>
          <w:rFonts w:ascii="Times New Roman" w:hAnsi="Times New Roman"/>
          <w:lang w:val="fr-FR"/>
        </w:rPr>
        <w:t xml:space="preserve"> s’appuyant sur les données de la récente enquê</w:t>
      </w:r>
      <w:r w:rsidR="004C776E">
        <w:rPr>
          <w:rFonts w:ascii="Times New Roman" w:hAnsi="Times New Roman"/>
          <w:lang w:val="fr-FR"/>
        </w:rPr>
        <w:t>te,</w:t>
      </w:r>
      <w:r w:rsidR="00C71FA6">
        <w:rPr>
          <w:rStyle w:val="FootnoteReference"/>
          <w:rFonts w:ascii="Times New Roman" w:hAnsi="Times New Roman"/>
        </w:rPr>
        <w:footnoteReference w:id="9"/>
      </w:r>
      <w:r w:rsidR="00C72C8F" w:rsidRPr="00C72C8F">
        <w:rPr>
          <w:rFonts w:ascii="Times New Roman" w:hAnsi="Times New Roman"/>
          <w:lang w:val="fr-FR"/>
        </w:rPr>
        <w:t xml:space="preserve"> </w:t>
      </w:r>
      <w:r w:rsidR="00C72C8F">
        <w:rPr>
          <w:rFonts w:ascii="Times New Roman" w:hAnsi="Times New Roman"/>
          <w:lang w:val="fr-FR"/>
        </w:rPr>
        <w:t xml:space="preserve">ne comprennent pas de données officielles spécifiques </w:t>
      </w:r>
      <w:r w:rsidR="004C776E">
        <w:rPr>
          <w:rFonts w:ascii="Times New Roman" w:hAnsi="Times New Roman"/>
          <w:lang w:val="fr-FR"/>
        </w:rPr>
        <w:t>concernant</w:t>
      </w:r>
      <w:r w:rsidR="00C72C8F">
        <w:rPr>
          <w:rFonts w:ascii="Times New Roman" w:hAnsi="Times New Roman"/>
          <w:lang w:val="fr-FR"/>
        </w:rPr>
        <w:t xml:space="preserve"> l’activité économique des femmes</w:t>
      </w:r>
      <w:r w:rsidR="004C776E">
        <w:rPr>
          <w:rFonts w:ascii="Times New Roman" w:hAnsi="Times New Roman"/>
          <w:lang w:val="fr-FR"/>
        </w:rPr>
        <w:t>. Cependant</w:t>
      </w:r>
      <w:r w:rsidR="00C72C8F">
        <w:rPr>
          <w:rFonts w:ascii="Times New Roman" w:hAnsi="Times New Roman"/>
          <w:lang w:val="fr-FR"/>
        </w:rPr>
        <w:t xml:space="preserve"> le</w:t>
      </w:r>
      <w:r w:rsidR="004C776E">
        <w:rPr>
          <w:rFonts w:ascii="Times New Roman" w:hAnsi="Times New Roman"/>
          <w:lang w:val="fr-FR"/>
        </w:rPr>
        <w:t>ur</w:t>
      </w:r>
      <w:r w:rsidR="00C72C8F">
        <w:rPr>
          <w:rFonts w:ascii="Times New Roman" w:hAnsi="Times New Roman"/>
          <w:lang w:val="fr-FR"/>
        </w:rPr>
        <w:t xml:space="preserve"> taux </w:t>
      </w:r>
      <w:r w:rsidR="004C776E">
        <w:rPr>
          <w:rFonts w:ascii="Times New Roman" w:hAnsi="Times New Roman"/>
          <w:lang w:val="fr-FR"/>
        </w:rPr>
        <w:t xml:space="preserve">élevé </w:t>
      </w:r>
      <w:r w:rsidR="00C72C8F">
        <w:rPr>
          <w:rFonts w:ascii="Times New Roman" w:hAnsi="Times New Roman"/>
          <w:lang w:val="fr-FR"/>
        </w:rPr>
        <w:t xml:space="preserve">d’inactivité </w:t>
      </w:r>
      <w:r w:rsidR="004C776E">
        <w:rPr>
          <w:rFonts w:ascii="Times New Roman" w:hAnsi="Times New Roman"/>
          <w:lang w:val="fr-FR"/>
        </w:rPr>
        <w:t>(plus de 60 %) et</w:t>
      </w:r>
      <w:r w:rsidR="00C72C8F">
        <w:rPr>
          <w:rFonts w:ascii="Times New Roman" w:hAnsi="Times New Roman"/>
          <w:lang w:val="fr-FR"/>
        </w:rPr>
        <w:t xml:space="preserve"> la fort</w:t>
      </w:r>
      <w:r w:rsidR="004C776E">
        <w:rPr>
          <w:rFonts w:ascii="Times New Roman" w:hAnsi="Times New Roman"/>
          <w:lang w:val="fr-FR"/>
        </w:rPr>
        <w:t>e incidence des familles à revenu unique</w:t>
      </w:r>
      <w:r w:rsidR="00C72C8F">
        <w:rPr>
          <w:rFonts w:ascii="Times New Roman" w:hAnsi="Times New Roman"/>
          <w:lang w:val="fr-FR"/>
        </w:rPr>
        <w:t xml:space="preserve"> </w:t>
      </w:r>
      <w:proofErr w:type="gramStart"/>
      <w:r w:rsidR="00C72C8F">
        <w:rPr>
          <w:rFonts w:ascii="Times New Roman" w:hAnsi="Times New Roman"/>
          <w:lang w:val="fr-FR"/>
        </w:rPr>
        <w:t>suggère</w:t>
      </w:r>
      <w:proofErr w:type="gramEnd"/>
      <w:r w:rsidR="00C72C8F">
        <w:rPr>
          <w:rFonts w:ascii="Times New Roman" w:hAnsi="Times New Roman"/>
          <w:lang w:val="fr-FR"/>
        </w:rPr>
        <w:t xml:space="preserve"> que peu de femmes ont des emplois rémunérés.</w:t>
      </w:r>
      <w:r w:rsidR="004C776E">
        <w:rPr>
          <w:rFonts w:ascii="Times New Roman" w:hAnsi="Times New Roman"/>
          <w:lang w:val="fr-FR"/>
        </w:rPr>
        <w:t xml:space="preserve"> Celles </w:t>
      </w:r>
      <w:r w:rsidR="00EB113C">
        <w:rPr>
          <w:rFonts w:ascii="Times New Roman" w:hAnsi="Times New Roman"/>
          <w:lang w:val="fr-FR"/>
        </w:rPr>
        <w:t>qui ont une activité économique</w:t>
      </w:r>
      <w:r w:rsidR="004C776E">
        <w:rPr>
          <w:rFonts w:ascii="Times New Roman" w:hAnsi="Times New Roman"/>
          <w:lang w:val="fr-FR"/>
        </w:rPr>
        <w:t xml:space="preserve"> travaillent généralement de façon informelle dans de petits commerces, notamment dans la préparation et la vente de nourr</w:t>
      </w:r>
      <w:r w:rsidR="00EB113C">
        <w:rPr>
          <w:rFonts w:ascii="Times New Roman" w:hAnsi="Times New Roman"/>
          <w:lang w:val="fr-FR"/>
        </w:rPr>
        <w:t>iture ou de produits artisanaux</w:t>
      </w:r>
      <w:r w:rsidR="0060237C" w:rsidRPr="00574773">
        <w:rPr>
          <w:rFonts w:ascii="Times New Roman" w:hAnsi="Times New Roman"/>
          <w:lang w:val="fr-FR"/>
        </w:rPr>
        <w:t>.</w:t>
      </w:r>
      <w:r w:rsidR="0060237C">
        <w:rPr>
          <w:rStyle w:val="FootnoteReference"/>
          <w:rFonts w:ascii="Times New Roman" w:hAnsi="Times New Roman"/>
        </w:rPr>
        <w:footnoteReference w:id="10"/>
      </w:r>
      <w:r w:rsidR="0060237C" w:rsidRPr="00574773">
        <w:rPr>
          <w:rFonts w:ascii="Times New Roman" w:hAnsi="Times New Roman"/>
          <w:lang w:val="fr-FR"/>
        </w:rPr>
        <w:t xml:space="preserve"> </w:t>
      </w:r>
      <w:r w:rsidR="00422817" w:rsidRPr="00422817">
        <w:rPr>
          <w:rFonts w:ascii="Times New Roman" w:hAnsi="Times New Roman"/>
          <w:lang w:val="fr-FR"/>
        </w:rPr>
        <w:t>En plus d</w:t>
      </w:r>
      <w:r w:rsidR="00422817">
        <w:rPr>
          <w:rFonts w:ascii="Times New Roman" w:hAnsi="Times New Roman"/>
          <w:lang w:val="fr-FR"/>
        </w:rPr>
        <w:t>’</w:t>
      </w:r>
      <w:r w:rsidR="00422817" w:rsidRPr="00422817">
        <w:rPr>
          <w:rFonts w:ascii="Times New Roman" w:hAnsi="Times New Roman"/>
          <w:lang w:val="fr-FR"/>
        </w:rPr>
        <w:t>u</w:t>
      </w:r>
      <w:r w:rsidR="00422817">
        <w:rPr>
          <w:rFonts w:ascii="Times New Roman" w:hAnsi="Times New Roman"/>
          <w:lang w:val="fr-FR"/>
        </w:rPr>
        <w:t>n</w:t>
      </w:r>
      <w:r w:rsidR="00422817" w:rsidRPr="00422817">
        <w:rPr>
          <w:rFonts w:ascii="Times New Roman" w:hAnsi="Times New Roman"/>
          <w:lang w:val="fr-FR"/>
        </w:rPr>
        <w:t xml:space="preserve"> fort taux d’inactivité</w:t>
      </w:r>
      <w:r w:rsidR="00422817">
        <w:rPr>
          <w:rFonts w:ascii="Times New Roman" w:hAnsi="Times New Roman"/>
          <w:lang w:val="fr-FR"/>
        </w:rPr>
        <w:t xml:space="preserve">, les femmes sont particulièrement exposées à une mortalité élevée due à un taux de fertilité </w:t>
      </w:r>
      <w:r w:rsidR="004C7260">
        <w:rPr>
          <w:rFonts w:ascii="Times New Roman" w:hAnsi="Times New Roman"/>
          <w:lang w:val="fr-FR"/>
        </w:rPr>
        <w:t xml:space="preserve">élevé </w:t>
      </w:r>
      <w:r w:rsidR="00422817">
        <w:rPr>
          <w:rFonts w:ascii="Times New Roman" w:hAnsi="Times New Roman"/>
          <w:lang w:val="fr-FR"/>
        </w:rPr>
        <w:t xml:space="preserve">et à l’anémie causée par la malnutrition. Parmi les </w:t>
      </w:r>
      <w:r w:rsidR="00B8759F">
        <w:rPr>
          <w:rFonts w:ascii="Times New Roman" w:hAnsi="Times New Roman"/>
          <w:lang w:val="fr-FR"/>
        </w:rPr>
        <w:t xml:space="preserve">principaux </w:t>
      </w:r>
      <w:r w:rsidR="00422817">
        <w:rPr>
          <w:rFonts w:ascii="Times New Roman" w:hAnsi="Times New Roman"/>
          <w:lang w:val="fr-FR"/>
        </w:rPr>
        <w:t>obstacles à l’éducation, à la santé et à la participation au marché du travail, on compte l</w:t>
      </w:r>
      <w:r w:rsidR="00B8759F">
        <w:rPr>
          <w:rFonts w:ascii="Times New Roman" w:hAnsi="Times New Roman"/>
          <w:lang w:val="fr-FR"/>
        </w:rPr>
        <w:t xml:space="preserve">’opposition à la scolarisation au sein des familles, l’organisation traditionnelle des rôles et </w:t>
      </w:r>
      <w:proofErr w:type="gramStart"/>
      <w:r w:rsidR="00B8759F">
        <w:rPr>
          <w:rFonts w:ascii="Times New Roman" w:hAnsi="Times New Roman"/>
          <w:lang w:val="fr-FR"/>
        </w:rPr>
        <w:t>des responsabilité du ménage en fonction des genres,</w:t>
      </w:r>
      <w:r w:rsidR="00C71FA6">
        <w:rPr>
          <w:rStyle w:val="FootnoteReference"/>
          <w:rFonts w:ascii="Times New Roman" w:hAnsi="Times New Roman"/>
        </w:rPr>
        <w:footnoteReference w:id="11"/>
      </w:r>
      <w:proofErr w:type="gramEnd"/>
      <w:r w:rsidR="00B8759F">
        <w:rPr>
          <w:rFonts w:ascii="Times New Roman" w:hAnsi="Times New Roman"/>
          <w:lang w:val="fr-FR"/>
        </w:rPr>
        <w:t xml:space="preserve"> la pauvreté des ménages, les mariages précoces et un accès restreint aux infrastructures de santé. </w:t>
      </w:r>
    </w:p>
    <w:p w14:paraId="6BF1B118" w14:textId="77777777" w:rsidR="00333C62" w:rsidRPr="00574773" w:rsidRDefault="00333C62" w:rsidP="00333C62">
      <w:pPr>
        <w:rPr>
          <w:lang w:val="fr-FR"/>
        </w:rPr>
      </w:pPr>
    </w:p>
    <w:p w14:paraId="5EA05CA6" w14:textId="46F95131" w:rsidR="005C0E30" w:rsidRPr="005C0E30" w:rsidRDefault="00424090" w:rsidP="00333C62">
      <w:pPr>
        <w:pStyle w:val="ListParagraphChar"/>
        <w:numPr>
          <w:ilvl w:val="0"/>
          <w:numId w:val="40"/>
        </w:numPr>
        <w:ind w:left="0" w:firstLine="0"/>
        <w:jc w:val="both"/>
        <w:rPr>
          <w:rFonts w:ascii="Times New Roman" w:hAnsi="Times New Roman"/>
          <w:b/>
          <w:lang w:val="fr-FR"/>
        </w:rPr>
      </w:pPr>
      <w:r w:rsidRPr="00424090">
        <w:rPr>
          <w:rFonts w:ascii="Times New Roman" w:hAnsi="Times New Roman"/>
          <w:b/>
          <w:lang w:val="fr-FR"/>
        </w:rPr>
        <w:t>Le potentiel écono</w:t>
      </w:r>
      <w:r>
        <w:rPr>
          <w:rFonts w:ascii="Times New Roman" w:hAnsi="Times New Roman"/>
          <w:b/>
          <w:lang w:val="fr-FR"/>
        </w:rPr>
        <w:t xml:space="preserve">mique de Djibouti reste </w:t>
      </w:r>
      <w:r w:rsidR="001B6648">
        <w:rPr>
          <w:rFonts w:ascii="Times New Roman" w:hAnsi="Times New Roman"/>
          <w:b/>
          <w:lang w:val="fr-FR"/>
        </w:rPr>
        <w:t xml:space="preserve">inexploité, notamment son secteur artisanal, qui constitue une source d’activité économique pour bon nombre de femmes. </w:t>
      </w:r>
      <w:r w:rsidR="001B6648">
        <w:rPr>
          <w:rFonts w:ascii="Times New Roman" w:hAnsi="Times New Roman"/>
          <w:lang w:val="fr-FR"/>
        </w:rPr>
        <w:t xml:space="preserve">De nombreux foyers pauvres et vulnérables exercent un artisanat traditionnel, en particulier dans les zones rurales. Cependant, ils ne tirent pas pleinement profit des revenus que cette activité pourrait potentiellement générer. L’exploitation de ce potentiel serait particulièrement bénéfique pour les femmes et les filles, </w:t>
      </w:r>
      <w:r w:rsidR="00410372">
        <w:rPr>
          <w:rFonts w:ascii="Times New Roman" w:hAnsi="Times New Roman"/>
          <w:lang w:val="fr-FR"/>
        </w:rPr>
        <w:t>traditionnellement</w:t>
      </w:r>
      <w:r w:rsidR="001B6648">
        <w:rPr>
          <w:rFonts w:ascii="Times New Roman" w:hAnsi="Times New Roman"/>
          <w:lang w:val="fr-FR"/>
        </w:rPr>
        <w:t xml:space="preserve"> </w:t>
      </w:r>
      <w:r w:rsidR="00410372">
        <w:rPr>
          <w:rFonts w:ascii="Times New Roman" w:hAnsi="Times New Roman"/>
          <w:lang w:val="fr-FR"/>
        </w:rPr>
        <w:t>très</w:t>
      </w:r>
      <w:r w:rsidR="001B6648">
        <w:rPr>
          <w:rFonts w:ascii="Times New Roman" w:hAnsi="Times New Roman"/>
          <w:lang w:val="fr-FR"/>
        </w:rPr>
        <w:t xml:space="preserve"> actives dans ce secteur, du fait de la compatibilité de ce type de travail avec leurs responsabilités au foyer. Les obstacles auxquels les artisans sont confrontés </w:t>
      </w:r>
      <w:r w:rsidR="003E1580">
        <w:rPr>
          <w:rFonts w:ascii="Times New Roman" w:hAnsi="Times New Roman"/>
          <w:lang w:val="fr-FR"/>
        </w:rPr>
        <w:t>sont multiples : manque</w:t>
      </w:r>
      <w:r w:rsidR="001B6648">
        <w:rPr>
          <w:rFonts w:ascii="Times New Roman" w:hAnsi="Times New Roman"/>
          <w:lang w:val="fr-FR"/>
        </w:rPr>
        <w:t xml:space="preserve"> d’infrastructure, conception dépassée de leurs produits, </w:t>
      </w:r>
      <w:r w:rsidR="0090497F">
        <w:rPr>
          <w:rFonts w:ascii="Times New Roman" w:hAnsi="Times New Roman"/>
          <w:lang w:val="fr-FR"/>
        </w:rPr>
        <w:t xml:space="preserve">manque d’information sur le marché et de relations avec les marchés, manque de coordination entre groupes de production et coût élevé des matières premières. Ainsi, leur production se limite souvent à une </w:t>
      </w:r>
      <w:r w:rsidR="00BA0F64">
        <w:rPr>
          <w:rFonts w:ascii="Times New Roman" w:hAnsi="Times New Roman"/>
          <w:lang w:val="fr-FR"/>
        </w:rPr>
        <w:t xml:space="preserve">faible </w:t>
      </w:r>
      <w:r w:rsidR="0090497F">
        <w:rPr>
          <w:rFonts w:ascii="Times New Roman" w:hAnsi="Times New Roman"/>
          <w:lang w:val="fr-FR"/>
        </w:rPr>
        <w:t>quantité, destinée à un usage au sein du foyer ou à un marché strictement local.</w:t>
      </w:r>
      <w:r w:rsidR="00736C9C">
        <w:rPr>
          <w:rFonts w:ascii="Times New Roman" w:hAnsi="Times New Roman"/>
          <w:lang w:val="fr-FR"/>
        </w:rPr>
        <w:t xml:space="preserve"> Il existe pourtant un potentiel pour ce secteur au niveau national. Djibouti accueille déjà plus de 50 000 touristes par an, </w:t>
      </w:r>
      <w:r w:rsidR="00CB50DD">
        <w:rPr>
          <w:rFonts w:ascii="Times New Roman" w:hAnsi="Times New Roman"/>
          <w:lang w:val="fr-FR"/>
        </w:rPr>
        <w:t>dont une majorité de voyageurs d’affaires liés à la présence de bases militaires étrangères</w:t>
      </w:r>
      <w:r w:rsidR="0060237C" w:rsidRPr="00574773">
        <w:rPr>
          <w:rFonts w:ascii="Times New Roman" w:eastAsia="MS Mincho" w:hAnsi="Times New Roman"/>
          <w:color w:val="auto"/>
          <w:lang w:val="fr-FR" w:eastAsia="ja-JP"/>
        </w:rPr>
        <w:t>.</w:t>
      </w:r>
      <w:r w:rsidR="0060237C">
        <w:rPr>
          <w:rStyle w:val="FootnoteReference"/>
          <w:rFonts w:ascii="Times New Roman" w:eastAsia="MS Mincho" w:hAnsi="Times New Roman"/>
          <w:color w:val="auto"/>
          <w:lang w:eastAsia="ja-JP"/>
        </w:rPr>
        <w:footnoteReference w:id="12"/>
      </w:r>
      <w:r w:rsidR="0060237C" w:rsidRPr="00574773">
        <w:rPr>
          <w:rFonts w:ascii="Times New Roman" w:eastAsia="MS Mincho" w:hAnsi="Times New Roman"/>
          <w:color w:val="auto"/>
          <w:lang w:val="fr-FR" w:eastAsia="ja-JP"/>
        </w:rPr>
        <w:t xml:space="preserve"> </w:t>
      </w:r>
      <w:r w:rsidR="005C0E30" w:rsidRPr="005C0E30">
        <w:rPr>
          <w:rFonts w:ascii="Times New Roman" w:eastAsia="MS Mincho" w:hAnsi="Times New Roman"/>
          <w:color w:val="auto"/>
          <w:lang w:val="fr-FR" w:eastAsia="ja-JP"/>
        </w:rPr>
        <w:t>En développant</w:t>
      </w:r>
      <w:r w:rsidR="002919B9">
        <w:rPr>
          <w:rFonts w:ascii="Times New Roman" w:eastAsia="MS Mincho" w:hAnsi="Times New Roman"/>
          <w:color w:val="auto"/>
          <w:lang w:val="fr-FR" w:eastAsia="ja-JP"/>
        </w:rPr>
        <w:t xml:space="preserve"> leur production ainsi que</w:t>
      </w:r>
      <w:r w:rsidR="005C0E30">
        <w:rPr>
          <w:rFonts w:ascii="Times New Roman" w:eastAsia="MS Mincho" w:hAnsi="Times New Roman"/>
          <w:color w:val="auto"/>
          <w:lang w:val="fr-FR" w:eastAsia="ja-JP"/>
        </w:rPr>
        <w:t xml:space="preserve"> des liens plus </w:t>
      </w:r>
      <w:r w:rsidR="002919B9">
        <w:rPr>
          <w:rFonts w:ascii="Times New Roman" w:eastAsia="MS Mincho" w:hAnsi="Times New Roman"/>
          <w:color w:val="auto"/>
          <w:lang w:val="fr-FR" w:eastAsia="ja-JP"/>
        </w:rPr>
        <w:t xml:space="preserve">étroits avec le marché, les communautés pauvres, et en particulier les femmes et les filles, pourront faire fructifier leurs compétences traditionnelles pour les transformer en activités économiques viables. </w:t>
      </w:r>
    </w:p>
    <w:p w14:paraId="234A2250" w14:textId="751B39A1" w:rsidR="00333C62" w:rsidRPr="00574773" w:rsidRDefault="00333C62" w:rsidP="00333C62">
      <w:pPr>
        <w:spacing w:before="240" w:after="240"/>
        <w:rPr>
          <w:lang w:val="fr-FR"/>
        </w:rPr>
      </w:pPr>
      <w:r w:rsidRPr="00574773">
        <w:rPr>
          <w:lang w:val="fr-FR"/>
        </w:rPr>
        <w:tab/>
        <w:t xml:space="preserve">C. </w:t>
      </w:r>
      <w:r w:rsidR="002919B9" w:rsidRPr="00DC260B">
        <w:rPr>
          <w:szCs w:val="28"/>
          <w:lang w:val="fr-FR"/>
        </w:rPr>
        <w:t xml:space="preserve">Liens avec </w:t>
      </w:r>
      <w:r w:rsidR="002919B9">
        <w:rPr>
          <w:szCs w:val="28"/>
          <w:lang w:val="fr-FR"/>
        </w:rPr>
        <w:t xml:space="preserve">le Cadre de Partenariat Stratégique (CPS) </w:t>
      </w:r>
    </w:p>
    <w:p w14:paraId="307ED4A5" w14:textId="787B5FCE" w:rsidR="002919B9" w:rsidRPr="006E6D18" w:rsidRDefault="002919B9" w:rsidP="0060237C">
      <w:pPr>
        <w:pStyle w:val="ListParagraphChar"/>
        <w:numPr>
          <w:ilvl w:val="0"/>
          <w:numId w:val="40"/>
        </w:numPr>
        <w:ind w:left="0" w:firstLine="0"/>
        <w:jc w:val="both"/>
        <w:rPr>
          <w:rFonts w:ascii="Times New Roman" w:hAnsi="Times New Roman"/>
          <w:bCs/>
          <w:lang w:val="fr-FR"/>
        </w:rPr>
      </w:pPr>
      <w:r>
        <w:rPr>
          <w:rFonts w:ascii="Times New Roman" w:hAnsi="Times New Roman"/>
          <w:bCs/>
          <w:lang w:val="fr-FR"/>
        </w:rPr>
        <w:t>Le projet proposé cible les femmes et les jeunes pauvres, afin de développer leur capital humain et social, de faciliter leur accès à des activités génératrices de revenus et de renforcer la viabilité économique du secteur artisanal. Ce projet c</w:t>
      </w:r>
      <w:r w:rsidR="006E6D18">
        <w:rPr>
          <w:rFonts w:ascii="Times New Roman" w:hAnsi="Times New Roman"/>
          <w:bCs/>
          <w:lang w:val="fr-FR"/>
        </w:rPr>
        <w:t xml:space="preserve">ontribue directement au premier pilier du Cadre de Partenariat Stratégique (CPS, en anglais : </w:t>
      </w:r>
      <w:r w:rsidR="006E6D18" w:rsidRPr="00574773">
        <w:rPr>
          <w:rFonts w:ascii="Times New Roman" w:hAnsi="Times New Roman"/>
          <w:bCs/>
          <w:i/>
          <w:lang w:val="fr-FR"/>
        </w:rPr>
        <w:t xml:space="preserve">Country </w:t>
      </w:r>
      <w:proofErr w:type="spellStart"/>
      <w:r w:rsidR="006E6D18" w:rsidRPr="00574773">
        <w:rPr>
          <w:rFonts w:ascii="Times New Roman" w:hAnsi="Times New Roman"/>
          <w:bCs/>
          <w:i/>
          <w:lang w:val="fr-FR"/>
        </w:rPr>
        <w:t>Partnership</w:t>
      </w:r>
      <w:proofErr w:type="spellEnd"/>
      <w:r w:rsidR="006E6D18" w:rsidRPr="00574773">
        <w:rPr>
          <w:rFonts w:ascii="Times New Roman" w:hAnsi="Times New Roman"/>
          <w:bCs/>
          <w:i/>
          <w:lang w:val="fr-FR"/>
        </w:rPr>
        <w:t xml:space="preserve"> </w:t>
      </w:r>
      <w:proofErr w:type="spellStart"/>
      <w:r w:rsidR="006E6D18" w:rsidRPr="00574773">
        <w:rPr>
          <w:rFonts w:ascii="Times New Roman" w:hAnsi="Times New Roman"/>
          <w:bCs/>
          <w:i/>
          <w:lang w:val="fr-FR"/>
        </w:rPr>
        <w:t>Strategy</w:t>
      </w:r>
      <w:proofErr w:type="spellEnd"/>
      <w:r w:rsidR="006E6D18" w:rsidRPr="00574773">
        <w:rPr>
          <w:rFonts w:ascii="Times New Roman" w:hAnsi="Times New Roman"/>
          <w:bCs/>
          <w:lang w:val="fr-FR"/>
        </w:rPr>
        <w:t xml:space="preserve">) </w:t>
      </w:r>
      <w:r w:rsidR="006E6D18" w:rsidRPr="006E6D18">
        <w:rPr>
          <w:rFonts w:ascii="Times New Roman" w:hAnsi="Times New Roman"/>
          <w:bCs/>
          <w:lang w:val="fr-FR"/>
        </w:rPr>
        <w:t xml:space="preserve">pour les </w:t>
      </w:r>
      <w:r w:rsidR="006E6D18" w:rsidRPr="006E6D18">
        <w:rPr>
          <w:rFonts w:ascii="Times New Roman" w:hAnsi="Times New Roman"/>
          <w:bCs/>
          <w:lang w:val="fr-FR"/>
        </w:rPr>
        <w:lastRenderedPageBreak/>
        <w:t>années fiscales 2014-2017</w:t>
      </w:r>
      <w:r w:rsidR="006E6D18">
        <w:rPr>
          <w:rFonts w:ascii="Times New Roman" w:hAnsi="Times New Roman"/>
          <w:bCs/>
          <w:lang w:val="fr-FR"/>
        </w:rPr>
        <w:t xml:space="preserve">. Celui-ci vise à « réduire la vulnérabilité » et vient appuyer l’objectif plus général du CPS consistant à créer des emplois. </w:t>
      </w:r>
      <w:r w:rsidR="005C1239">
        <w:rPr>
          <w:rFonts w:ascii="Times New Roman" w:hAnsi="Times New Roman"/>
          <w:bCs/>
          <w:lang w:val="fr-FR"/>
        </w:rPr>
        <w:t xml:space="preserve">Le projet répond aussi aux préoccupations de la société civile locale, exprimées lors des consultations pour le CPS, concernant le manque de collaboration entre la Banque et le secteur des ONG. En développant les capacités des associations à base communautaire et en </w:t>
      </w:r>
      <w:r w:rsidR="00401384">
        <w:rPr>
          <w:rFonts w:ascii="Times New Roman" w:hAnsi="Times New Roman"/>
          <w:bCs/>
          <w:lang w:val="fr-FR"/>
        </w:rPr>
        <w:t xml:space="preserve">impliquant les ONG locales pour la mobilisation des communautés, le projet contribuera à renforcer le secteur des ONG à Djibouti. </w:t>
      </w:r>
    </w:p>
    <w:p w14:paraId="6DC42811" w14:textId="77777777" w:rsidR="0060237C" w:rsidRPr="00574773" w:rsidRDefault="0060237C" w:rsidP="0060237C">
      <w:pPr>
        <w:pStyle w:val="ListParagraphChar"/>
        <w:ind w:left="0"/>
        <w:rPr>
          <w:rFonts w:ascii="Times New Roman" w:hAnsi="Times New Roman"/>
          <w:bCs/>
          <w:lang w:val="fr-FR"/>
        </w:rPr>
      </w:pPr>
    </w:p>
    <w:p w14:paraId="3C0ED980" w14:textId="3253F3B8" w:rsidR="00E2720A" w:rsidRPr="00E2720A" w:rsidRDefault="008C6B11" w:rsidP="0060237C">
      <w:pPr>
        <w:pStyle w:val="ListParagraphChar"/>
        <w:numPr>
          <w:ilvl w:val="0"/>
          <w:numId w:val="40"/>
        </w:numPr>
        <w:ind w:left="0" w:firstLine="0"/>
        <w:jc w:val="both"/>
        <w:rPr>
          <w:rFonts w:ascii="Times New Roman" w:hAnsi="Times New Roman"/>
          <w:bCs/>
          <w:lang w:val="fr-FR"/>
        </w:rPr>
      </w:pPr>
      <w:r w:rsidRPr="008C6B11">
        <w:rPr>
          <w:rFonts w:ascii="Times New Roman" w:hAnsi="Times New Roman"/>
          <w:bCs/>
          <w:lang w:val="fr-FR"/>
        </w:rPr>
        <w:t xml:space="preserve">Le projet </w:t>
      </w:r>
      <w:r>
        <w:rPr>
          <w:rFonts w:ascii="Times New Roman" w:hAnsi="Times New Roman"/>
          <w:bCs/>
          <w:lang w:val="fr-FR"/>
        </w:rPr>
        <w:t xml:space="preserve">proposé s’inscrit </w:t>
      </w:r>
      <w:r w:rsidR="004B3157">
        <w:rPr>
          <w:rFonts w:ascii="Times New Roman" w:hAnsi="Times New Roman"/>
          <w:bCs/>
          <w:lang w:val="fr-FR"/>
        </w:rPr>
        <w:t>également</w:t>
      </w:r>
      <w:r>
        <w:rPr>
          <w:rFonts w:ascii="Times New Roman" w:hAnsi="Times New Roman"/>
          <w:bCs/>
          <w:lang w:val="fr-FR"/>
        </w:rPr>
        <w:t xml:space="preserve"> dans le Cadre régional</w:t>
      </w:r>
      <w:r w:rsidR="00781703" w:rsidRPr="00781703">
        <w:rPr>
          <w:rFonts w:ascii="Times New Roman" w:hAnsi="Times New Roman"/>
          <w:bCs/>
          <w:lang w:val="fr-FR"/>
        </w:rPr>
        <w:t xml:space="preserve"> </w:t>
      </w:r>
      <w:r w:rsidR="00781703">
        <w:rPr>
          <w:rFonts w:ascii="Times New Roman" w:hAnsi="Times New Roman"/>
          <w:bCs/>
          <w:lang w:val="fr-FR"/>
        </w:rPr>
        <w:t>de la Banque mondiale</w:t>
      </w:r>
      <w:r>
        <w:rPr>
          <w:rFonts w:ascii="Times New Roman" w:hAnsi="Times New Roman"/>
          <w:bCs/>
          <w:lang w:val="fr-FR"/>
        </w:rPr>
        <w:t xml:space="preserve"> pour la région Moyen-Orient et Afrique du Nord, qui vise à promouvoir une prospérité partagée et à réduire la pauvreté par la gouvernance, l’inclusion, l’emploi et un</w:t>
      </w:r>
      <w:r w:rsidR="00E2720A">
        <w:rPr>
          <w:rFonts w:ascii="Times New Roman" w:hAnsi="Times New Roman"/>
          <w:bCs/>
          <w:lang w:val="fr-FR"/>
        </w:rPr>
        <w:t>e</w:t>
      </w:r>
      <w:r>
        <w:rPr>
          <w:rFonts w:ascii="Times New Roman" w:hAnsi="Times New Roman"/>
          <w:bCs/>
          <w:lang w:val="fr-FR"/>
        </w:rPr>
        <w:t xml:space="preserve"> croissance durable. </w:t>
      </w:r>
    </w:p>
    <w:p w14:paraId="14DB7898" w14:textId="77777777" w:rsidR="0060237C" w:rsidRPr="00574773" w:rsidRDefault="0060237C" w:rsidP="0060237C">
      <w:pPr>
        <w:jc w:val="both"/>
        <w:rPr>
          <w:lang w:val="fr-FR"/>
        </w:rPr>
      </w:pPr>
    </w:p>
    <w:p w14:paraId="02C32CC1" w14:textId="7E3B356D" w:rsidR="004B3157" w:rsidRPr="004B3157" w:rsidRDefault="004B3157" w:rsidP="0060237C">
      <w:pPr>
        <w:pStyle w:val="ListParagraphChar"/>
        <w:numPr>
          <w:ilvl w:val="0"/>
          <w:numId w:val="40"/>
        </w:numPr>
        <w:ind w:left="0" w:firstLine="0"/>
        <w:jc w:val="both"/>
        <w:rPr>
          <w:rFonts w:ascii="Times New Roman" w:hAnsi="Times New Roman"/>
          <w:lang w:val="fr-FR"/>
        </w:rPr>
      </w:pPr>
      <w:r w:rsidRPr="004B3157">
        <w:rPr>
          <w:rFonts w:ascii="Times New Roman" w:hAnsi="Times New Roman"/>
          <w:lang w:val="fr-FR"/>
        </w:rPr>
        <w:t xml:space="preserve">Enfin, en </w:t>
      </w:r>
      <w:r>
        <w:rPr>
          <w:rFonts w:ascii="Times New Roman" w:hAnsi="Times New Roman"/>
          <w:lang w:val="fr-FR"/>
        </w:rPr>
        <w:t xml:space="preserve">se concentrant sur la création de revenus pour les pauvres et les plus vulnérables, le projet </w:t>
      </w:r>
      <w:r w:rsidR="005B6AA9">
        <w:rPr>
          <w:rFonts w:ascii="Times New Roman" w:hAnsi="Times New Roman"/>
          <w:lang w:val="fr-FR"/>
        </w:rPr>
        <w:t xml:space="preserve">poursuit le double objectif de la Banque mondiale d’éliminer l’extrême pauvreté et de promouvoir une prospérité partagée. </w:t>
      </w:r>
    </w:p>
    <w:p w14:paraId="2D96CB3D" w14:textId="77777777" w:rsidR="00915DAE" w:rsidRPr="00574773" w:rsidRDefault="00915DAE" w:rsidP="00915DAE">
      <w:pPr>
        <w:rPr>
          <w:b/>
          <w:lang w:val="fr-FR"/>
        </w:rPr>
      </w:pPr>
    </w:p>
    <w:p w14:paraId="0CFFB609" w14:textId="6963539B" w:rsidR="003103C4" w:rsidRPr="005B6AA9" w:rsidRDefault="005B6AA9" w:rsidP="003103C4">
      <w:pPr>
        <w:numPr>
          <w:ilvl w:val="0"/>
          <w:numId w:val="24"/>
        </w:numPr>
        <w:rPr>
          <w:b/>
          <w:lang w:val="fr-FR"/>
        </w:rPr>
      </w:pPr>
      <w:r>
        <w:rPr>
          <w:b/>
          <w:lang w:val="fr-FR"/>
        </w:rPr>
        <w:t xml:space="preserve">Objectif(s) de Développement Proposé(s) </w:t>
      </w:r>
    </w:p>
    <w:p w14:paraId="48F726B3" w14:textId="342F9BB0" w:rsidR="00333C62" w:rsidRPr="005B6AA9" w:rsidRDefault="00333C62" w:rsidP="00657DED">
      <w:pPr>
        <w:spacing w:before="240" w:after="240"/>
        <w:rPr>
          <w:lang w:val="fr-FR"/>
        </w:rPr>
      </w:pPr>
      <w:r w:rsidRPr="00574773">
        <w:rPr>
          <w:lang w:val="fr-FR"/>
        </w:rPr>
        <w:t>A</w:t>
      </w:r>
      <w:r w:rsidR="005B6AA9" w:rsidRPr="00574773">
        <w:rPr>
          <w:lang w:val="fr-FR"/>
        </w:rPr>
        <w:t xml:space="preserve">. </w:t>
      </w:r>
      <w:r w:rsidR="005B6AA9" w:rsidRPr="005B6AA9">
        <w:rPr>
          <w:lang w:val="fr-FR"/>
        </w:rPr>
        <w:t>Objectif</w:t>
      </w:r>
      <w:r w:rsidRPr="005B6AA9">
        <w:rPr>
          <w:lang w:val="fr-FR"/>
        </w:rPr>
        <w:t>(s)</w:t>
      </w:r>
      <w:r w:rsidR="005B6AA9" w:rsidRPr="005B6AA9">
        <w:rPr>
          <w:lang w:val="fr-FR"/>
        </w:rPr>
        <w:t xml:space="preserve"> de Développement Proposé(s)</w:t>
      </w:r>
    </w:p>
    <w:p w14:paraId="21746E7B" w14:textId="3DABCE51" w:rsidR="005B6AA9" w:rsidRPr="005B6AA9" w:rsidRDefault="005B6AA9" w:rsidP="00130231">
      <w:pPr>
        <w:pStyle w:val="ListParagraph"/>
        <w:numPr>
          <w:ilvl w:val="0"/>
          <w:numId w:val="40"/>
        </w:numPr>
        <w:ind w:left="0" w:firstLine="0"/>
        <w:jc w:val="both"/>
        <w:rPr>
          <w:bCs/>
          <w:color w:val="000000"/>
          <w:lang w:val="fr-FR" w:eastAsia="x-none"/>
        </w:rPr>
      </w:pPr>
      <w:r w:rsidRPr="005B6AA9">
        <w:rPr>
          <w:bCs/>
          <w:color w:val="000000"/>
          <w:lang w:val="fr-FR" w:eastAsia="x-none"/>
        </w:rPr>
        <w:t xml:space="preserve">L’Objectif de Développement </w:t>
      </w:r>
      <w:r w:rsidR="00953358">
        <w:rPr>
          <w:bCs/>
          <w:color w:val="000000"/>
          <w:lang w:val="fr-FR" w:eastAsia="x-none"/>
        </w:rPr>
        <w:t xml:space="preserve">du projet est </w:t>
      </w:r>
      <w:r w:rsidR="00130231">
        <w:rPr>
          <w:bCs/>
          <w:color w:val="000000"/>
          <w:lang w:val="fr-FR" w:eastAsia="x-none"/>
        </w:rPr>
        <w:t>d’améliorer l’accès</w:t>
      </w:r>
      <w:r w:rsidR="00130231">
        <w:rPr>
          <w:bCs/>
          <w:lang w:val="fr-FR"/>
        </w:rPr>
        <w:t xml:space="preserve"> à des compétences pratiques et des formations qualifiante</w:t>
      </w:r>
      <w:r w:rsidR="008B0763">
        <w:rPr>
          <w:bCs/>
          <w:lang w:val="fr-FR"/>
        </w:rPr>
        <w:t>s ainsi que l’accès au financement</w:t>
      </w:r>
      <w:r w:rsidR="00130231">
        <w:rPr>
          <w:bCs/>
          <w:lang w:val="fr-FR"/>
        </w:rPr>
        <w:t xml:space="preserve"> pour au moins 3 000 jeunes et femmes peu ou moyennement qualifiés vivant dans des communautés pauvres de Djibouti-ville et sa voisine Arta, de la région de </w:t>
      </w:r>
      <w:proofErr w:type="spellStart"/>
      <w:r w:rsidR="00130231">
        <w:rPr>
          <w:bCs/>
          <w:lang w:val="fr-FR"/>
        </w:rPr>
        <w:t>Tadjourah</w:t>
      </w:r>
      <w:proofErr w:type="spellEnd"/>
      <w:r w:rsidR="00130231">
        <w:rPr>
          <w:bCs/>
          <w:lang w:val="fr-FR"/>
        </w:rPr>
        <w:t xml:space="preserve"> au nord, et de la région d’Ali </w:t>
      </w:r>
      <w:proofErr w:type="spellStart"/>
      <w:r w:rsidR="00130231">
        <w:rPr>
          <w:bCs/>
          <w:lang w:val="fr-FR"/>
        </w:rPr>
        <w:t>Sabieh</w:t>
      </w:r>
      <w:proofErr w:type="spellEnd"/>
      <w:r w:rsidR="00130231">
        <w:rPr>
          <w:bCs/>
          <w:lang w:val="fr-FR"/>
        </w:rPr>
        <w:t xml:space="preserve"> au sud.</w:t>
      </w:r>
    </w:p>
    <w:p w14:paraId="771AC9BD" w14:textId="6D154CDA" w:rsidR="00333C62" w:rsidRPr="000243E7" w:rsidRDefault="00333C62" w:rsidP="00657DED">
      <w:pPr>
        <w:spacing w:before="240" w:after="240"/>
        <w:rPr>
          <w:lang w:val="fr-FR"/>
        </w:rPr>
      </w:pPr>
      <w:r w:rsidRPr="00B34F70">
        <w:t xml:space="preserve">B. </w:t>
      </w:r>
      <w:r w:rsidR="000243E7">
        <w:rPr>
          <w:lang w:val="fr-FR"/>
        </w:rPr>
        <w:t>Résultats C</w:t>
      </w:r>
      <w:r w:rsidR="000243E7" w:rsidRPr="000243E7">
        <w:rPr>
          <w:lang w:val="fr-FR"/>
        </w:rPr>
        <w:t>lés</w:t>
      </w:r>
    </w:p>
    <w:p w14:paraId="653238DD" w14:textId="02C9B519" w:rsidR="000243E7" w:rsidRPr="00574773" w:rsidRDefault="000243E7" w:rsidP="0060237C">
      <w:pPr>
        <w:pStyle w:val="ListParagraphChar"/>
        <w:numPr>
          <w:ilvl w:val="0"/>
          <w:numId w:val="40"/>
        </w:numPr>
        <w:ind w:left="0" w:firstLine="0"/>
        <w:jc w:val="both"/>
        <w:rPr>
          <w:rFonts w:ascii="Times New Roman" w:hAnsi="Times New Roman"/>
          <w:bCs/>
          <w:lang w:val="fr-FR"/>
        </w:rPr>
      </w:pPr>
      <w:r>
        <w:rPr>
          <w:rFonts w:ascii="Times New Roman" w:hAnsi="Times New Roman"/>
          <w:bCs/>
          <w:lang w:val="fr-FR"/>
        </w:rPr>
        <w:t>Les progrès accomplis dans la réalisation de l’objectif de développement du projet seront mesurés par une série d’indicateurs d’ODP.</w:t>
      </w:r>
    </w:p>
    <w:p w14:paraId="5DC39FDB" w14:textId="77777777" w:rsidR="0060237C" w:rsidRPr="00574773" w:rsidRDefault="0060237C" w:rsidP="0060237C">
      <w:pPr>
        <w:rPr>
          <w:b/>
          <w:bCs/>
          <w:lang w:val="fr-FR"/>
        </w:rPr>
      </w:pPr>
    </w:p>
    <w:p w14:paraId="34D86EA0" w14:textId="5C5077A0" w:rsidR="0060237C" w:rsidRPr="00574773" w:rsidRDefault="000243E7" w:rsidP="0060237C">
      <w:pPr>
        <w:widowControl w:val="0"/>
        <w:numPr>
          <w:ilvl w:val="0"/>
          <w:numId w:val="41"/>
        </w:numPr>
        <w:autoSpaceDE w:val="0"/>
        <w:autoSpaceDN w:val="0"/>
        <w:adjustRightInd w:val="0"/>
        <w:rPr>
          <w:bCs/>
          <w:lang w:val="fr-FR"/>
        </w:rPr>
      </w:pPr>
      <w:r w:rsidRPr="000243E7">
        <w:rPr>
          <w:bCs/>
          <w:lang w:val="fr-FR"/>
        </w:rPr>
        <w:t>Nombre de bénéficiaires directs du projet</w:t>
      </w:r>
      <w:r>
        <w:rPr>
          <w:bCs/>
          <w:lang w:val="fr-FR"/>
        </w:rPr>
        <w:t xml:space="preserve"> (cible : 3 000), dont 60 % de femmes</w:t>
      </w:r>
      <w:r w:rsidRPr="00574773">
        <w:rPr>
          <w:bCs/>
          <w:lang w:val="fr-FR"/>
        </w:rPr>
        <w:t xml:space="preserve"> </w:t>
      </w:r>
    </w:p>
    <w:p w14:paraId="160A2333" w14:textId="786A01E7" w:rsidR="000243E7" w:rsidRPr="00574773" w:rsidRDefault="000243E7" w:rsidP="0060237C">
      <w:pPr>
        <w:widowControl w:val="0"/>
        <w:numPr>
          <w:ilvl w:val="0"/>
          <w:numId w:val="41"/>
        </w:numPr>
        <w:autoSpaceDE w:val="0"/>
        <w:autoSpaceDN w:val="0"/>
        <w:adjustRightInd w:val="0"/>
        <w:rPr>
          <w:bCs/>
          <w:lang w:val="fr-FR"/>
        </w:rPr>
      </w:pPr>
      <w:r w:rsidRPr="00A807F8">
        <w:rPr>
          <w:lang w:val="fr-FR"/>
        </w:rPr>
        <w:t>Augmentation moyenne des ventes de biens par les bénéficiaires cibles, ayant reçu des capitaux</w:t>
      </w:r>
      <w:r>
        <w:rPr>
          <w:lang w:val="fr-FR"/>
        </w:rPr>
        <w:t xml:space="preserve"> (cible : 20 %)</w:t>
      </w:r>
    </w:p>
    <w:p w14:paraId="15D7F32E" w14:textId="6E2B9528" w:rsidR="000243E7" w:rsidRPr="00574773" w:rsidRDefault="000243E7" w:rsidP="0060237C">
      <w:pPr>
        <w:widowControl w:val="0"/>
        <w:numPr>
          <w:ilvl w:val="0"/>
          <w:numId w:val="41"/>
        </w:numPr>
        <w:autoSpaceDE w:val="0"/>
        <w:autoSpaceDN w:val="0"/>
        <w:adjustRightInd w:val="0"/>
        <w:rPr>
          <w:bCs/>
          <w:lang w:val="fr-FR"/>
        </w:rPr>
      </w:pPr>
      <w:r>
        <w:rPr>
          <w:lang w:val="fr-FR"/>
        </w:rPr>
        <w:t>Pourcentage de b</w:t>
      </w:r>
      <w:r w:rsidRPr="006A44EF">
        <w:rPr>
          <w:lang w:val="fr-FR"/>
        </w:rPr>
        <w:t>énéficiaires directs liés à des institutions financières formelles</w:t>
      </w:r>
      <w:r>
        <w:rPr>
          <w:lang w:val="fr-FR"/>
        </w:rPr>
        <w:t xml:space="preserve"> (cible : 25 %)</w:t>
      </w:r>
    </w:p>
    <w:p w14:paraId="449E0433" w14:textId="77777777" w:rsidR="0060237C" w:rsidRPr="00574773" w:rsidRDefault="0060237C" w:rsidP="0060237C">
      <w:pPr>
        <w:widowControl w:val="0"/>
        <w:autoSpaceDE w:val="0"/>
        <w:autoSpaceDN w:val="0"/>
        <w:adjustRightInd w:val="0"/>
        <w:ind w:left="630"/>
        <w:rPr>
          <w:bCs/>
          <w:lang w:val="fr-FR"/>
        </w:rPr>
      </w:pPr>
    </w:p>
    <w:p w14:paraId="7D140013" w14:textId="4ACA7F67" w:rsidR="001D3FF8" w:rsidRPr="000243E7" w:rsidRDefault="000243E7" w:rsidP="001D3FF8">
      <w:pPr>
        <w:numPr>
          <w:ilvl w:val="0"/>
          <w:numId w:val="24"/>
        </w:numPr>
        <w:rPr>
          <w:b/>
          <w:lang w:val="fr-FR"/>
        </w:rPr>
      </w:pPr>
      <w:r w:rsidRPr="000243E7">
        <w:rPr>
          <w:b/>
          <w:lang w:val="fr-FR"/>
        </w:rPr>
        <w:t>Description du Proje</w:t>
      </w:r>
      <w:r w:rsidR="00DF5486" w:rsidRPr="000243E7">
        <w:rPr>
          <w:b/>
          <w:lang w:val="fr-FR"/>
        </w:rPr>
        <w:t>t</w:t>
      </w:r>
      <w:r w:rsidRPr="000243E7">
        <w:rPr>
          <w:b/>
          <w:lang w:val="fr-FR"/>
        </w:rPr>
        <w:t xml:space="preserve"> </w:t>
      </w:r>
    </w:p>
    <w:p w14:paraId="0353DA28" w14:textId="77777777" w:rsidR="00DE29FE" w:rsidRDefault="00DE29FE" w:rsidP="00DE29FE">
      <w:pPr>
        <w:rPr>
          <w:b/>
        </w:rPr>
      </w:pPr>
    </w:p>
    <w:p w14:paraId="55866CDB" w14:textId="475C461F" w:rsidR="000243E7" w:rsidRPr="00574773" w:rsidRDefault="000243E7" w:rsidP="001D3FF8">
      <w:pPr>
        <w:pStyle w:val="ListParagraphChar"/>
        <w:numPr>
          <w:ilvl w:val="0"/>
          <w:numId w:val="40"/>
        </w:numPr>
        <w:ind w:left="0" w:firstLine="0"/>
        <w:jc w:val="both"/>
        <w:rPr>
          <w:rFonts w:ascii="Times New Roman" w:hAnsi="Times New Roman"/>
          <w:b/>
          <w:bCs/>
          <w:lang w:val="fr-FR"/>
        </w:rPr>
      </w:pPr>
      <w:r w:rsidRPr="000243E7">
        <w:rPr>
          <w:rFonts w:ascii="Times New Roman" w:hAnsi="Times New Roman"/>
          <w:b/>
          <w:bCs/>
          <w:lang w:val="fr-FR"/>
        </w:rPr>
        <w:t>Pour attein</w:t>
      </w:r>
      <w:r>
        <w:rPr>
          <w:rFonts w:ascii="Times New Roman" w:hAnsi="Times New Roman"/>
          <w:b/>
          <w:bCs/>
          <w:lang w:val="fr-FR"/>
        </w:rPr>
        <w:t xml:space="preserve">dre ces objectifs, le projet proposé pilotera une série d’approches complémentaires </w:t>
      </w:r>
      <w:r w:rsidR="00A55476">
        <w:rPr>
          <w:rFonts w:ascii="Times New Roman" w:hAnsi="Times New Roman"/>
          <w:b/>
          <w:bCs/>
          <w:lang w:val="fr-FR"/>
        </w:rPr>
        <w:t xml:space="preserve">sur les activités génératrices de revenus au niveau des communautés </w:t>
      </w:r>
      <w:r w:rsidR="00A55476">
        <w:rPr>
          <w:rFonts w:ascii="Times New Roman" w:hAnsi="Times New Roman"/>
          <w:bCs/>
          <w:lang w:val="fr-FR"/>
        </w:rPr>
        <w:t xml:space="preserve">afin d’évaluer leur potentiel viabilité pour les groupes pauvres et marginalisés à Djibouti. </w:t>
      </w:r>
      <w:r w:rsidR="004034BC">
        <w:rPr>
          <w:rFonts w:ascii="Times New Roman" w:hAnsi="Times New Roman"/>
          <w:bCs/>
          <w:lang w:val="fr-FR"/>
        </w:rPr>
        <w:t xml:space="preserve">Le </w:t>
      </w:r>
      <w:r w:rsidR="00A55476">
        <w:rPr>
          <w:rFonts w:ascii="Times New Roman" w:hAnsi="Times New Roman"/>
          <w:bCs/>
          <w:lang w:val="fr-FR"/>
        </w:rPr>
        <w:t xml:space="preserve">projet proposé visera </w:t>
      </w:r>
      <w:r w:rsidR="004034BC">
        <w:rPr>
          <w:rFonts w:ascii="Times New Roman" w:hAnsi="Times New Roman"/>
          <w:bCs/>
          <w:lang w:val="fr-FR"/>
        </w:rPr>
        <w:t xml:space="preserve">en particulier </w:t>
      </w:r>
      <w:r w:rsidR="00A55476">
        <w:rPr>
          <w:rFonts w:ascii="Times New Roman" w:hAnsi="Times New Roman"/>
          <w:bCs/>
          <w:lang w:val="fr-FR"/>
        </w:rPr>
        <w:t xml:space="preserve">à : (i) renforcer les structures communautaires et aider les jeunes pauvres à </w:t>
      </w:r>
      <w:r w:rsidR="003A44C4">
        <w:rPr>
          <w:rFonts w:ascii="Times New Roman" w:hAnsi="Times New Roman"/>
          <w:bCs/>
          <w:lang w:val="fr-FR"/>
        </w:rPr>
        <w:t xml:space="preserve">trouver et développer des activités génératrices de revenus en offrant des compétences de base et un accès à des capitaux ; et (ii) accroître la viabilité et le potentiel économique des activités économiques </w:t>
      </w:r>
      <w:r w:rsidR="00DD131D">
        <w:rPr>
          <w:rFonts w:ascii="Times New Roman" w:hAnsi="Times New Roman"/>
          <w:bCs/>
          <w:lang w:val="fr-FR"/>
        </w:rPr>
        <w:t>assumées par les femmes. Ce dernier objectif sera atteint en renf</w:t>
      </w:r>
      <w:r w:rsidR="008B37EA">
        <w:rPr>
          <w:rFonts w:ascii="Times New Roman" w:hAnsi="Times New Roman"/>
          <w:bCs/>
          <w:lang w:val="fr-FR"/>
        </w:rPr>
        <w:t xml:space="preserve">orçant les groupes de </w:t>
      </w:r>
      <w:r w:rsidR="008B37EA" w:rsidRPr="00574773">
        <w:rPr>
          <w:rFonts w:ascii="Times New Roman" w:hAnsi="Times New Roman"/>
          <w:bCs/>
          <w:lang w:val="fr-FR"/>
        </w:rPr>
        <w:t>productrices</w:t>
      </w:r>
      <w:r w:rsidR="00DD131D" w:rsidRPr="00574773">
        <w:rPr>
          <w:rFonts w:ascii="Times New Roman" w:hAnsi="Times New Roman"/>
          <w:bCs/>
          <w:lang w:val="fr-FR"/>
        </w:rPr>
        <w:t xml:space="preserve"> et</w:t>
      </w:r>
      <w:r w:rsidR="00DD131D">
        <w:rPr>
          <w:rFonts w:ascii="Times New Roman" w:hAnsi="Times New Roman"/>
          <w:bCs/>
          <w:lang w:val="fr-FR"/>
        </w:rPr>
        <w:t xml:space="preserve"> en les intégrant </w:t>
      </w:r>
      <w:r w:rsidR="00690DB0">
        <w:rPr>
          <w:rFonts w:ascii="Times New Roman" w:hAnsi="Times New Roman"/>
          <w:bCs/>
          <w:lang w:val="fr-FR"/>
        </w:rPr>
        <w:t>dans des</w:t>
      </w:r>
      <w:r w:rsidR="00DD131D">
        <w:rPr>
          <w:rFonts w:ascii="Times New Roman" w:hAnsi="Times New Roman"/>
          <w:bCs/>
          <w:lang w:val="fr-FR"/>
        </w:rPr>
        <w:t xml:space="preserve"> chaînes de valeurs. </w:t>
      </w:r>
    </w:p>
    <w:p w14:paraId="63F49C6A" w14:textId="261CB4BD" w:rsidR="0060237C" w:rsidRPr="00574773" w:rsidRDefault="0060237C" w:rsidP="0060237C">
      <w:pPr>
        <w:pStyle w:val="ListParagraphChar"/>
        <w:ind w:left="0"/>
        <w:jc w:val="both"/>
        <w:rPr>
          <w:rFonts w:ascii="Times New Roman" w:hAnsi="Times New Roman"/>
          <w:bCs/>
          <w:lang w:val="fr-FR"/>
        </w:rPr>
      </w:pPr>
    </w:p>
    <w:p w14:paraId="7DDCC674" w14:textId="2996BDA4" w:rsidR="00B570C1" w:rsidRPr="00574773" w:rsidRDefault="00B570C1" w:rsidP="002B7CD8">
      <w:pPr>
        <w:pStyle w:val="ListParagraphChar"/>
        <w:numPr>
          <w:ilvl w:val="0"/>
          <w:numId w:val="40"/>
        </w:numPr>
        <w:ind w:left="0" w:firstLine="0"/>
        <w:jc w:val="both"/>
        <w:rPr>
          <w:rFonts w:ascii="Times New Roman" w:hAnsi="Times New Roman"/>
          <w:bCs/>
          <w:lang w:val="fr-FR"/>
        </w:rPr>
      </w:pPr>
      <w:r>
        <w:rPr>
          <w:rFonts w:ascii="Times New Roman" w:hAnsi="Times New Roman"/>
          <w:b/>
          <w:bCs/>
          <w:lang w:val="fr-FR"/>
        </w:rPr>
        <w:lastRenderedPageBreak/>
        <w:t>L</w:t>
      </w:r>
      <w:r w:rsidR="005D041E">
        <w:rPr>
          <w:rFonts w:ascii="Times New Roman" w:hAnsi="Times New Roman"/>
          <w:b/>
          <w:bCs/>
          <w:lang w:val="fr-FR"/>
        </w:rPr>
        <w:t>a portée</w:t>
      </w:r>
      <w:r>
        <w:rPr>
          <w:rFonts w:ascii="Times New Roman" w:hAnsi="Times New Roman"/>
          <w:b/>
          <w:bCs/>
          <w:lang w:val="fr-FR"/>
        </w:rPr>
        <w:t xml:space="preserve"> géographique du projet</w:t>
      </w:r>
      <w:r w:rsidR="005D041E">
        <w:rPr>
          <w:rFonts w:ascii="Times New Roman" w:hAnsi="Times New Roman"/>
          <w:b/>
          <w:bCs/>
          <w:lang w:val="fr-FR"/>
        </w:rPr>
        <w:t xml:space="preserve"> inclura initialement trois régions de Djibouti, à savoir la capitale, la ville de Djibouti, et sa </w:t>
      </w:r>
      <w:r w:rsidR="00A444A6">
        <w:rPr>
          <w:rFonts w:ascii="Times New Roman" w:hAnsi="Times New Roman"/>
          <w:b/>
          <w:bCs/>
          <w:lang w:val="fr-FR"/>
        </w:rPr>
        <w:t xml:space="preserve">voisine Arta, la région de </w:t>
      </w:r>
      <w:proofErr w:type="spellStart"/>
      <w:r w:rsidR="005D041E">
        <w:rPr>
          <w:rFonts w:ascii="Times New Roman" w:hAnsi="Times New Roman"/>
          <w:b/>
          <w:bCs/>
          <w:lang w:val="fr-FR"/>
        </w:rPr>
        <w:t>Tadjourah</w:t>
      </w:r>
      <w:proofErr w:type="spellEnd"/>
      <w:r w:rsidR="005D041E">
        <w:rPr>
          <w:rFonts w:ascii="Times New Roman" w:hAnsi="Times New Roman"/>
          <w:b/>
          <w:bCs/>
          <w:lang w:val="fr-FR"/>
        </w:rPr>
        <w:t xml:space="preserve"> au nord, et la région d’Ali </w:t>
      </w:r>
      <w:proofErr w:type="spellStart"/>
      <w:r w:rsidR="005D041E">
        <w:rPr>
          <w:rFonts w:ascii="Times New Roman" w:hAnsi="Times New Roman"/>
          <w:b/>
          <w:bCs/>
          <w:lang w:val="fr-FR"/>
        </w:rPr>
        <w:t>Sabieh</w:t>
      </w:r>
      <w:proofErr w:type="spellEnd"/>
      <w:r w:rsidR="005D041E">
        <w:rPr>
          <w:rFonts w:ascii="Times New Roman" w:hAnsi="Times New Roman"/>
          <w:b/>
          <w:bCs/>
          <w:lang w:val="fr-FR"/>
        </w:rPr>
        <w:t xml:space="preserve"> au sud. </w:t>
      </w:r>
      <w:r w:rsidR="0053084F">
        <w:rPr>
          <w:rFonts w:ascii="Times New Roman" w:hAnsi="Times New Roman"/>
          <w:bCs/>
          <w:lang w:val="fr-FR"/>
        </w:rPr>
        <w:t xml:space="preserve">Ces régions ont été ciblées sur la base des critères suivants : (i) synergies avec les zones d’intervention du Projet de Filet Social existant ; (ii) concentration la plus élevée de populations extrêmement pauvres ; (iii) combinaison de zones urbaines, périurbaines </w:t>
      </w:r>
      <w:r w:rsidR="00BF650C">
        <w:rPr>
          <w:rFonts w:ascii="Times New Roman" w:hAnsi="Times New Roman"/>
          <w:bCs/>
          <w:lang w:val="fr-FR"/>
        </w:rPr>
        <w:t>et rurales ; (iv) présence d’activités économiques et de compétences traditionnelles ; et (v) accessibilité et existence d’infrastructures de base afin de faciliter la mise en œuvre du projet pilot. Dans la capitale, le projet ciblera la commune la plus pauvre (</w:t>
      </w:r>
      <w:proofErr w:type="spellStart"/>
      <w:r w:rsidR="00BF650C">
        <w:rPr>
          <w:rFonts w:ascii="Times New Roman" w:hAnsi="Times New Roman"/>
          <w:bCs/>
          <w:lang w:val="fr-FR"/>
        </w:rPr>
        <w:t>Balbala</w:t>
      </w:r>
      <w:proofErr w:type="spellEnd"/>
      <w:r w:rsidR="00BF650C">
        <w:rPr>
          <w:rFonts w:ascii="Times New Roman" w:hAnsi="Times New Roman"/>
          <w:bCs/>
          <w:lang w:val="fr-FR"/>
        </w:rPr>
        <w:t>).</w:t>
      </w:r>
    </w:p>
    <w:p w14:paraId="308CFA68" w14:textId="77777777" w:rsidR="002B7CD8" w:rsidRPr="00574773" w:rsidRDefault="002B7CD8" w:rsidP="002B7CD8">
      <w:pPr>
        <w:pStyle w:val="ListParagraph"/>
        <w:rPr>
          <w:bCs/>
          <w:lang w:val="fr-FR"/>
        </w:rPr>
      </w:pPr>
    </w:p>
    <w:p w14:paraId="1BDCA614" w14:textId="0BECE7F7" w:rsidR="00BC6698" w:rsidRPr="00BC6698" w:rsidRDefault="00BC6698" w:rsidP="002B7CD8">
      <w:pPr>
        <w:pStyle w:val="ListParagraphChar"/>
        <w:numPr>
          <w:ilvl w:val="0"/>
          <w:numId w:val="40"/>
        </w:numPr>
        <w:ind w:left="0" w:firstLine="0"/>
        <w:jc w:val="both"/>
        <w:rPr>
          <w:rFonts w:ascii="Times New Roman" w:hAnsi="Times New Roman"/>
          <w:b/>
          <w:bCs/>
          <w:lang w:val="fr-FR"/>
        </w:rPr>
      </w:pPr>
      <w:r w:rsidRPr="00BC6698">
        <w:rPr>
          <w:rFonts w:ascii="Times New Roman" w:hAnsi="Times New Roman"/>
          <w:b/>
          <w:bCs/>
          <w:lang w:val="fr-FR"/>
        </w:rPr>
        <w:t>Composante 1</w:t>
      </w:r>
      <w:r>
        <w:rPr>
          <w:rFonts w:ascii="Times New Roman" w:hAnsi="Times New Roman"/>
          <w:b/>
          <w:bCs/>
          <w:lang w:val="fr-FR"/>
        </w:rPr>
        <w:t xml:space="preserve"> : </w:t>
      </w:r>
      <w:r w:rsidRPr="00BC6698">
        <w:rPr>
          <w:rFonts w:ascii="Times New Roman" w:hAnsi="Times New Roman"/>
          <w:b/>
          <w:bCs/>
          <w:lang w:val="fr-FR"/>
        </w:rPr>
        <w:t xml:space="preserve">Formation de base et concours de plans </w:t>
      </w:r>
      <w:r w:rsidR="00A444A6">
        <w:rPr>
          <w:rFonts w:ascii="Times New Roman" w:hAnsi="Times New Roman"/>
          <w:b/>
          <w:bCs/>
          <w:lang w:val="fr-FR"/>
        </w:rPr>
        <w:t>d’affaires</w:t>
      </w:r>
      <w:r>
        <w:rPr>
          <w:rFonts w:ascii="Times New Roman" w:hAnsi="Times New Roman"/>
          <w:b/>
          <w:bCs/>
          <w:lang w:val="fr-FR"/>
        </w:rPr>
        <w:t xml:space="preserve"> pour les jeunes. </w:t>
      </w:r>
      <w:r>
        <w:rPr>
          <w:rFonts w:ascii="Times New Roman" w:hAnsi="Times New Roman"/>
          <w:bCs/>
          <w:lang w:val="fr-FR"/>
        </w:rPr>
        <w:t xml:space="preserve">Cette composante vise </w:t>
      </w:r>
      <w:r w:rsidR="00B34C33">
        <w:rPr>
          <w:rFonts w:ascii="Times New Roman" w:hAnsi="Times New Roman"/>
          <w:bCs/>
          <w:lang w:val="fr-FR"/>
        </w:rPr>
        <w:t>à remédier aux</w:t>
      </w:r>
      <w:r>
        <w:rPr>
          <w:rFonts w:ascii="Times New Roman" w:hAnsi="Times New Roman"/>
          <w:bCs/>
          <w:lang w:val="fr-FR"/>
        </w:rPr>
        <w:t xml:space="preserve"> contraintes en matière de capital humain, social et financier auxquelles les jeunes doivent faire face pour accéder à des opportunités génératrices de revenus. Grâce à cette composante, au moins 2 200 jeunes recevront une formation pratique</w:t>
      </w:r>
      <w:r w:rsidR="00C43D8B">
        <w:rPr>
          <w:rFonts w:ascii="Times New Roman" w:hAnsi="Times New Roman"/>
          <w:bCs/>
          <w:lang w:val="fr-FR"/>
        </w:rPr>
        <w:t xml:space="preserve"> de base et un accompagnement au développement d’un plan d’entreprise par des facilitateurs communautaires, dans la région pilote de Djibouti (ville de Djibouti, Ali </w:t>
      </w:r>
      <w:proofErr w:type="spellStart"/>
      <w:r w:rsidR="00C43D8B">
        <w:rPr>
          <w:rFonts w:ascii="Times New Roman" w:hAnsi="Times New Roman"/>
          <w:bCs/>
          <w:lang w:val="fr-FR"/>
        </w:rPr>
        <w:t>Sabieh</w:t>
      </w:r>
      <w:proofErr w:type="spellEnd"/>
      <w:r w:rsidR="00C43D8B">
        <w:rPr>
          <w:rFonts w:ascii="Times New Roman" w:hAnsi="Times New Roman"/>
          <w:bCs/>
          <w:lang w:val="fr-FR"/>
        </w:rPr>
        <w:t xml:space="preserve">, entre autres). </w:t>
      </w:r>
      <w:r w:rsidR="0023531B">
        <w:rPr>
          <w:rFonts w:ascii="Times New Roman" w:hAnsi="Times New Roman"/>
          <w:bCs/>
          <w:lang w:val="fr-FR"/>
        </w:rPr>
        <w:t xml:space="preserve">Dans la mesure du possible les jeunes seront également mis en relation avec des centres de formation technique. Dans ces mêmes régions, au moins 1 000 bénéficiaires pourraient accéder à des fonds de démarrage </w:t>
      </w:r>
      <w:r w:rsidR="00054DC8">
        <w:rPr>
          <w:rFonts w:ascii="Times New Roman" w:hAnsi="Times New Roman"/>
          <w:bCs/>
          <w:lang w:val="fr-FR"/>
        </w:rPr>
        <w:t>par le biais d’un concours de plans d’entreprise. Parmi les activités qui pourraient être financées on peut citer : les soins de beauté et la coiffure, la couture, les services de traiteur, les kiosques, la production agricole et son traitement, l’élevage, et les activités liées au transport. Ne seront pas financées les activités exigeant l’acquisition</w:t>
      </w:r>
      <w:r w:rsidR="00016281">
        <w:rPr>
          <w:rFonts w:ascii="Times New Roman" w:hAnsi="Times New Roman"/>
          <w:bCs/>
          <w:lang w:val="fr-FR"/>
        </w:rPr>
        <w:t xml:space="preserve"> forcée</w:t>
      </w:r>
      <w:r w:rsidR="00054DC8">
        <w:rPr>
          <w:rFonts w:ascii="Times New Roman" w:hAnsi="Times New Roman"/>
          <w:bCs/>
          <w:lang w:val="fr-FR"/>
        </w:rPr>
        <w:t xml:space="preserve"> de terrains</w:t>
      </w:r>
      <w:r w:rsidR="00016281">
        <w:rPr>
          <w:rFonts w:ascii="Times New Roman" w:hAnsi="Times New Roman"/>
          <w:bCs/>
          <w:lang w:val="fr-FR"/>
        </w:rPr>
        <w:t>, telles que les constructions et infrastructures impliquant la réinstallation involontaire de personnes et la perte d’accès</w:t>
      </w:r>
      <w:r w:rsidR="000172BC">
        <w:rPr>
          <w:rFonts w:ascii="Times New Roman" w:hAnsi="Times New Roman"/>
          <w:bCs/>
          <w:lang w:val="fr-FR"/>
        </w:rPr>
        <w:t xml:space="preserve"> à des ressources, revenus et/ou moyens de subsistance. L’ensemble des activités devrait relever de la Catégorie C. </w:t>
      </w:r>
      <w:r w:rsidR="00AB0F93">
        <w:rPr>
          <w:rFonts w:ascii="Times New Roman" w:hAnsi="Times New Roman"/>
          <w:bCs/>
          <w:lang w:val="fr-FR"/>
        </w:rPr>
        <w:t xml:space="preserve">Les sous-composantes clés incluent : (i) l’identification et la formation de facilitateurs issus des communautés ; (ii) la mobilisation et la formation de base des jeunes ; (iii) le concours de plans </w:t>
      </w:r>
      <w:r w:rsidR="00A444A6">
        <w:rPr>
          <w:rFonts w:ascii="Times New Roman" w:hAnsi="Times New Roman"/>
          <w:bCs/>
          <w:lang w:val="fr-FR"/>
        </w:rPr>
        <w:t>d’affaires</w:t>
      </w:r>
      <w:r w:rsidR="00AB0F93">
        <w:rPr>
          <w:rFonts w:ascii="Times New Roman" w:hAnsi="Times New Roman"/>
          <w:bCs/>
          <w:lang w:val="fr-FR"/>
        </w:rPr>
        <w:t> ; et (iv</w:t>
      </w:r>
      <w:r w:rsidR="00AB0F93" w:rsidRPr="00574773">
        <w:rPr>
          <w:rFonts w:ascii="Times New Roman" w:hAnsi="Times New Roman"/>
          <w:bCs/>
          <w:lang w:val="fr-FR"/>
        </w:rPr>
        <w:t>) l</w:t>
      </w:r>
      <w:r w:rsidR="00574773" w:rsidRPr="00574773">
        <w:rPr>
          <w:rFonts w:ascii="Times New Roman" w:hAnsi="Times New Roman"/>
          <w:bCs/>
          <w:lang w:val="fr-FR"/>
        </w:rPr>
        <w:t>’accompagnement</w:t>
      </w:r>
      <w:r w:rsidR="00574773">
        <w:rPr>
          <w:rFonts w:ascii="Times New Roman" w:hAnsi="Times New Roman"/>
          <w:bCs/>
          <w:lang w:val="fr-FR"/>
        </w:rPr>
        <w:t xml:space="preserve"> des groupes de jeunes</w:t>
      </w:r>
      <w:r w:rsidR="00AB0F93">
        <w:rPr>
          <w:rFonts w:ascii="Times New Roman" w:hAnsi="Times New Roman"/>
          <w:bCs/>
          <w:lang w:val="fr-FR"/>
        </w:rPr>
        <w:t xml:space="preserve">. </w:t>
      </w:r>
    </w:p>
    <w:p w14:paraId="667D1F33" w14:textId="77777777" w:rsidR="002B7CD8" w:rsidRPr="00574773" w:rsidRDefault="002B7CD8" w:rsidP="002B7CD8">
      <w:pPr>
        <w:pStyle w:val="ListParagraphChar"/>
        <w:ind w:left="0"/>
        <w:jc w:val="both"/>
        <w:rPr>
          <w:rFonts w:ascii="Times New Roman" w:hAnsi="Times New Roman"/>
          <w:bCs/>
          <w:lang w:val="fr-FR"/>
        </w:rPr>
      </w:pPr>
    </w:p>
    <w:p w14:paraId="518C7215" w14:textId="5B0E0E67" w:rsidR="000A7D2C" w:rsidRPr="000A7D2C" w:rsidRDefault="000A7D2C" w:rsidP="002B7CD8">
      <w:pPr>
        <w:pStyle w:val="ListParagraphChar"/>
        <w:numPr>
          <w:ilvl w:val="0"/>
          <w:numId w:val="40"/>
        </w:numPr>
        <w:ind w:left="0" w:firstLine="0"/>
        <w:jc w:val="both"/>
        <w:rPr>
          <w:rFonts w:ascii="Times New Roman" w:hAnsi="Times New Roman"/>
          <w:b/>
          <w:bCs/>
          <w:lang w:val="fr-FR"/>
        </w:rPr>
      </w:pPr>
      <w:r w:rsidRPr="000A7D2C">
        <w:rPr>
          <w:rFonts w:ascii="Times New Roman" w:hAnsi="Times New Roman"/>
          <w:b/>
          <w:bCs/>
          <w:lang w:val="fr-FR"/>
        </w:rPr>
        <w:t xml:space="preserve">Composante 2 : </w:t>
      </w:r>
      <w:r>
        <w:rPr>
          <w:rFonts w:ascii="Times New Roman" w:hAnsi="Times New Roman"/>
          <w:b/>
          <w:bCs/>
          <w:lang w:val="fr-FR"/>
        </w:rPr>
        <w:t xml:space="preserve">Développement de filière et intégration dans la chaîne de valeur. </w:t>
      </w:r>
      <w:r w:rsidR="00B34C33">
        <w:rPr>
          <w:rFonts w:ascii="Times New Roman" w:hAnsi="Times New Roman"/>
          <w:bCs/>
          <w:lang w:val="fr-FR"/>
        </w:rPr>
        <w:t xml:space="preserve"> Cette composante vise à remédier aux</w:t>
      </w:r>
      <w:r>
        <w:rPr>
          <w:rFonts w:ascii="Times New Roman" w:hAnsi="Times New Roman"/>
          <w:bCs/>
          <w:lang w:val="fr-FR"/>
        </w:rPr>
        <w:t xml:space="preserve"> contraintes liées à l’innovation, au développement et à la commercialisation des produits locaux exis</w:t>
      </w:r>
      <w:r w:rsidR="00B34C33">
        <w:rPr>
          <w:rFonts w:ascii="Times New Roman" w:hAnsi="Times New Roman"/>
          <w:bCs/>
          <w:lang w:val="fr-FR"/>
        </w:rPr>
        <w:t xml:space="preserve">tants dans le secteur artisanal. Ce dernier constitue une source d’activité économique essentielle pour les femmes pauvres à Djibouti. Selon une évaluation initiale menée par l’équipe de projet via le fonds d’amorçage du Fonds japonais pour le développement social (JSDF), les activités artisanales traditionnelles qui seront ciblées en priorité sont </w:t>
      </w:r>
      <w:r w:rsidR="00A444A6">
        <w:rPr>
          <w:rFonts w:ascii="Times New Roman" w:hAnsi="Times New Roman"/>
          <w:bCs/>
          <w:lang w:val="fr-FR"/>
        </w:rPr>
        <w:t>la vannerie</w:t>
      </w:r>
      <w:r w:rsidR="00B34C33">
        <w:rPr>
          <w:rFonts w:ascii="Times New Roman" w:hAnsi="Times New Roman"/>
          <w:bCs/>
          <w:lang w:val="fr-FR"/>
        </w:rPr>
        <w:t xml:space="preserve"> et </w:t>
      </w:r>
      <w:r w:rsidR="00A444A6">
        <w:rPr>
          <w:rFonts w:ascii="Times New Roman" w:hAnsi="Times New Roman"/>
          <w:bCs/>
          <w:lang w:val="fr-FR"/>
        </w:rPr>
        <w:t>le tissage des</w:t>
      </w:r>
      <w:r w:rsidR="00B34C33">
        <w:rPr>
          <w:rFonts w:ascii="Times New Roman" w:hAnsi="Times New Roman"/>
          <w:bCs/>
          <w:lang w:val="fr-FR"/>
        </w:rPr>
        <w:t xml:space="preserve"> perles. Grâce à </w:t>
      </w:r>
      <w:r w:rsidR="00056D5C">
        <w:rPr>
          <w:rFonts w:ascii="Times New Roman" w:hAnsi="Times New Roman"/>
          <w:bCs/>
          <w:lang w:val="fr-FR"/>
        </w:rPr>
        <w:t>cette composante, 800 bénéficiaires, principalement des femmes, recevront u</w:t>
      </w:r>
      <w:r w:rsidR="00A444A6">
        <w:rPr>
          <w:rFonts w:ascii="Times New Roman" w:hAnsi="Times New Roman"/>
          <w:bCs/>
          <w:lang w:val="fr-FR"/>
        </w:rPr>
        <w:t>ne formation et un appui direct</w:t>
      </w:r>
      <w:r w:rsidR="00056D5C">
        <w:rPr>
          <w:rFonts w:ascii="Times New Roman" w:hAnsi="Times New Roman"/>
          <w:bCs/>
          <w:lang w:val="fr-FR"/>
        </w:rPr>
        <w:t xml:space="preserve"> et indirec</w:t>
      </w:r>
      <w:r w:rsidR="00A444A6">
        <w:rPr>
          <w:rFonts w:ascii="Times New Roman" w:hAnsi="Times New Roman"/>
          <w:bCs/>
          <w:lang w:val="fr-FR"/>
        </w:rPr>
        <w:t>t</w:t>
      </w:r>
      <w:r w:rsidR="00081CDA">
        <w:rPr>
          <w:rFonts w:ascii="Times New Roman" w:hAnsi="Times New Roman"/>
          <w:bCs/>
          <w:lang w:val="fr-FR"/>
        </w:rPr>
        <w:t xml:space="preserve"> afin de renforcer le potentiel de leurs activités génératrices de revenus. </w:t>
      </w:r>
      <w:r w:rsidR="006E2867">
        <w:rPr>
          <w:rFonts w:ascii="Times New Roman" w:hAnsi="Times New Roman"/>
          <w:bCs/>
          <w:lang w:val="fr-FR"/>
        </w:rPr>
        <w:t>Les futurs bénéficiaires seraient</w:t>
      </w:r>
      <w:r w:rsidR="001E27A0">
        <w:rPr>
          <w:rFonts w:ascii="Times New Roman" w:hAnsi="Times New Roman"/>
          <w:bCs/>
          <w:lang w:val="fr-FR"/>
        </w:rPr>
        <w:t xml:space="preserve"> des femmes pauvres et vulnérables possédant des compétences dans le secteur artisanal, </w:t>
      </w:r>
      <w:r w:rsidR="00BE3AF6">
        <w:rPr>
          <w:rFonts w:ascii="Times New Roman" w:hAnsi="Times New Roman"/>
          <w:bCs/>
          <w:lang w:val="fr-FR"/>
        </w:rPr>
        <w:t>y compris</w:t>
      </w:r>
      <w:r w:rsidR="001E27A0">
        <w:rPr>
          <w:rFonts w:ascii="Times New Roman" w:hAnsi="Times New Roman"/>
          <w:bCs/>
          <w:lang w:val="fr-FR"/>
        </w:rPr>
        <w:t xml:space="preserve"> des adultes bénéficiaires du Filet social, qui cherchent à développer leurs compétences artisanales. Les sous-composantes clés incluent : (i) D</w:t>
      </w:r>
      <w:r w:rsidR="00226048">
        <w:rPr>
          <w:rFonts w:ascii="Times New Roman" w:hAnsi="Times New Roman"/>
          <w:bCs/>
          <w:lang w:val="fr-FR"/>
        </w:rPr>
        <w:t>éveloppement de la filière (c.-à-d.</w:t>
      </w:r>
      <w:r w:rsidR="001E27A0">
        <w:rPr>
          <w:rFonts w:ascii="Times New Roman" w:hAnsi="Times New Roman"/>
          <w:bCs/>
          <w:lang w:val="fr-FR"/>
        </w:rPr>
        <w:t xml:space="preserve"> identification et agrégation des groupes de producteur existant dans le secteur) ; (ii) conception et développement de produits (</w:t>
      </w:r>
      <w:r w:rsidR="00226048">
        <w:rPr>
          <w:rFonts w:ascii="Times New Roman" w:hAnsi="Times New Roman"/>
          <w:bCs/>
          <w:lang w:val="fr-FR"/>
        </w:rPr>
        <w:t xml:space="preserve">c.-à-d. </w:t>
      </w:r>
      <w:r w:rsidR="001E27A0">
        <w:rPr>
          <w:rFonts w:ascii="Times New Roman" w:hAnsi="Times New Roman"/>
          <w:bCs/>
          <w:lang w:val="fr-FR"/>
        </w:rPr>
        <w:t xml:space="preserve">développement de nouveaux produits, développement des capacités au sein des communautés d’artisans, mécanismes de contrôle de qualité) ; (iii) </w:t>
      </w:r>
      <w:r w:rsidR="006B08CC">
        <w:rPr>
          <w:rFonts w:ascii="Times New Roman" w:hAnsi="Times New Roman"/>
          <w:bCs/>
          <w:lang w:val="fr-FR"/>
        </w:rPr>
        <w:t>développement commercial et marketing (</w:t>
      </w:r>
      <w:r w:rsidR="00226048">
        <w:rPr>
          <w:rFonts w:ascii="Times New Roman" w:hAnsi="Times New Roman"/>
          <w:bCs/>
          <w:lang w:val="fr-FR"/>
        </w:rPr>
        <w:t xml:space="preserve">c.-à-d. </w:t>
      </w:r>
      <w:r w:rsidR="006B08CC">
        <w:rPr>
          <w:rFonts w:ascii="Times New Roman" w:hAnsi="Times New Roman"/>
          <w:bCs/>
          <w:lang w:val="fr-FR"/>
        </w:rPr>
        <w:t>an</w:t>
      </w:r>
      <w:r w:rsidR="001052CC">
        <w:rPr>
          <w:rFonts w:ascii="Times New Roman" w:hAnsi="Times New Roman"/>
          <w:bCs/>
          <w:lang w:val="fr-FR"/>
        </w:rPr>
        <w:t>alyse de marchés, participation</w:t>
      </w:r>
      <w:r w:rsidR="006B08CC">
        <w:rPr>
          <w:rFonts w:ascii="Times New Roman" w:hAnsi="Times New Roman"/>
          <w:bCs/>
          <w:lang w:val="fr-FR"/>
        </w:rPr>
        <w:t xml:space="preserve"> à des expositions, développement de marques, création de liens avec des acheteurs en gros) ; (iv) </w:t>
      </w:r>
      <w:r w:rsidR="00195EB2">
        <w:rPr>
          <w:rFonts w:ascii="Times New Roman" w:hAnsi="Times New Roman"/>
          <w:bCs/>
          <w:lang w:val="fr-FR"/>
        </w:rPr>
        <w:t xml:space="preserve">fourniture d’accès à un fonds de roulement ; et (iv) alphabétisation fonctionnelle et formation de base en commerce. </w:t>
      </w:r>
    </w:p>
    <w:p w14:paraId="771E90C6" w14:textId="77777777" w:rsidR="002B7CD8" w:rsidRPr="00574773" w:rsidRDefault="002B7CD8" w:rsidP="002B7CD8">
      <w:pPr>
        <w:pStyle w:val="ListParagraphChar"/>
        <w:ind w:left="0"/>
        <w:jc w:val="both"/>
        <w:rPr>
          <w:rFonts w:ascii="Times New Roman" w:hAnsi="Times New Roman"/>
          <w:bCs/>
          <w:lang w:val="fr-FR"/>
        </w:rPr>
      </w:pPr>
    </w:p>
    <w:p w14:paraId="529B01DD" w14:textId="5909C582" w:rsidR="0060237C" w:rsidRPr="00CF4748" w:rsidRDefault="0021776F" w:rsidP="001D3FF8">
      <w:pPr>
        <w:pStyle w:val="ListParagraphChar"/>
        <w:numPr>
          <w:ilvl w:val="0"/>
          <w:numId w:val="40"/>
        </w:numPr>
        <w:ind w:left="0" w:firstLine="0"/>
        <w:jc w:val="both"/>
        <w:rPr>
          <w:rFonts w:ascii="Times New Roman" w:hAnsi="Times New Roman"/>
          <w:bCs/>
          <w:lang w:val="fr-FR"/>
        </w:rPr>
      </w:pPr>
      <w:r w:rsidRPr="0021776F">
        <w:rPr>
          <w:rFonts w:ascii="Times New Roman" w:hAnsi="Times New Roman"/>
          <w:b/>
          <w:bCs/>
          <w:lang w:val="fr-FR"/>
        </w:rPr>
        <w:t xml:space="preserve">Composante 3 : Gestion du projet, Suivi et Évaluation. </w:t>
      </w:r>
      <w:r w:rsidRPr="0021776F">
        <w:rPr>
          <w:rFonts w:ascii="Times New Roman" w:hAnsi="Times New Roman"/>
          <w:bCs/>
          <w:lang w:val="fr-FR"/>
        </w:rPr>
        <w:t xml:space="preserve">Cette composante apportera un soutien à l’agence de mise en œuvre (l’Agence Djiboutienne de Développement Social, ADDS) afin de : (i) </w:t>
      </w:r>
      <w:r>
        <w:rPr>
          <w:rFonts w:ascii="Times New Roman" w:hAnsi="Times New Roman"/>
          <w:bCs/>
          <w:lang w:val="fr-FR"/>
        </w:rPr>
        <w:t>recru</w:t>
      </w:r>
      <w:r w:rsidRPr="0021776F">
        <w:rPr>
          <w:rFonts w:ascii="Times New Roman" w:hAnsi="Times New Roman"/>
          <w:bCs/>
          <w:lang w:val="fr-FR"/>
        </w:rPr>
        <w:t>ter des consultants pour la gestion du projet et la coordination sur le terrain</w:t>
      </w:r>
      <w:r>
        <w:rPr>
          <w:rFonts w:ascii="Times New Roman" w:hAnsi="Times New Roman"/>
          <w:bCs/>
          <w:lang w:val="fr-FR"/>
        </w:rPr>
        <w:t> ; (ii) réaliser des audits ; (iii) louer un véhicule pour les visites sur le terrain et le suivi ; (iv) acheter les fournitures de bureau ; et (v) développer les capacités de l’ADDS dans les domaines de la gestion de projet, des approches participatives, d</w:t>
      </w:r>
      <w:r w:rsidR="00FF20B0">
        <w:rPr>
          <w:rFonts w:ascii="Times New Roman" w:hAnsi="Times New Roman"/>
          <w:bCs/>
          <w:lang w:val="fr-FR"/>
        </w:rPr>
        <w:t xml:space="preserve">e l’égalité des genres et de la sensibilisation des communautés vulnérables. Le projet encouragera aussi des accords </w:t>
      </w:r>
      <w:r w:rsidR="00FB416E">
        <w:rPr>
          <w:rFonts w:ascii="Times New Roman" w:hAnsi="Times New Roman"/>
          <w:bCs/>
          <w:lang w:val="fr-FR"/>
        </w:rPr>
        <w:t>pour un suivi et évaluation (S&amp;É</w:t>
      </w:r>
      <w:r w:rsidR="00FF20B0">
        <w:rPr>
          <w:rFonts w:ascii="Times New Roman" w:hAnsi="Times New Roman"/>
          <w:bCs/>
          <w:lang w:val="fr-FR"/>
        </w:rPr>
        <w:t>) mené par les communautés et/ou une tierce partie</w:t>
      </w:r>
      <w:r w:rsidR="007C2C4B">
        <w:rPr>
          <w:rFonts w:ascii="Times New Roman" w:hAnsi="Times New Roman"/>
          <w:bCs/>
          <w:lang w:val="fr-FR"/>
        </w:rPr>
        <w:t>, notamment par la conception d’indicateurs et d’enqu</w:t>
      </w:r>
      <w:r w:rsidR="00FB416E">
        <w:rPr>
          <w:rFonts w:ascii="Times New Roman" w:hAnsi="Times New Roman"/>
          <w:bCs/>
          <w:lang w:val="fr-FR"/>
        </w:rPr>
        <w:t>êtes de suivi appropriés. Le S&amp;É</w:t>
      </w:r>
      <w:r w:rsidR="007C2C4B">
        <w:rPr>
          <w:rFonts w:ascii="Times New Roman" w:hAnsi="Times New Roman"/>
          <w:bCs/>
          <w:lang w:val="fr-FR"/>
        </w:rPr>
        <w:t xml:space="preserve"> participatif reposera spécifiquement sur l’implication des bénéficiaires et des membres des communautés, qui prendra les formes suivantes : a) les bénéficiaires auront régulièrement l’opportunité d’exprimer leur satisfaction vis-à-vis des activités du programme ; b) les comités de développement communautaire responsables de la sélection des plans </w:t>
      </w:r>
      <w:r w:rsidR="00BE3AF6">
        <w:rPr>
          <w:rFonts w:ascii="Times New Roman" w:hAnsi="Times New Roman"/>
          <w:bCs/>
          <w:lang w:val="fr-FR"/>
        </w:rPr>
        <w:t>d’affaires</w:t>
      </w:r>
      <w:r w:rsidR="007C2C4B">
        <w:rPr>
          <w:rFonts w:ascii="Times New Roman" w:hAnsi="Times New Roman"/>
          <w:bCs/>
          <w:lang w:val="fr-FR"/>
        </w:rPr>
        <w:t xml:space="preserve"> devront nommer et élire parmi leurs membres des personnes responsables d’assurer le suivi du financement des bénéficiaires ; et c) </w:t>
      </w:r>
      <w:r w:rsidR="00923BF0">
        <w:rPr>
          <w:rFonts w:ascii="Times New Roman" w:hAnsi="Times New Roman"/>
          <w:bCs/>
          <w:lang w:val="fr-FR"/>
        </w:rPr>
        <w:t xml:space="preserve">un mécanisme </w:t>
      </w:r>
      <w:r w:rsidR="0072271D">
        <w:rPr>
          <w:rFonts w:ascii="Times New Roman" w:hAnsi="Times New Roman"/>
          <w:bCs/>
          <w:lang w:val="fr-FR"/>
        </w:rPr>
        <w:t>de gestion des plaintes</w:t>
      </w:r>
      <w:r w:rsidR="00923BF0">
        <w:rPr>
          <w:rFonts w:ascii="Times New Roman" w:hAnsi="Times New Roman"/>
          <w:bCs/>
          <w:lang w:val="fr-FR"/>
        </w:rPr>
        <w:t xml:space="preserve"> permettra aux bénéficiaires de nommer des points focaux au sein de leur communauté pour exprimer les problèmes liés aux activités du projet et d’autonomiser les facilitateurs pour aider à résoudre les éventuels problèmes au niveau local. Enfin, l’équipe de gestion du projet</w:t>
      </w:r>
      <w:r w:rsidR="00FB416E">
        <w:rPr>
          <w:rFonts w:ascii="Times New Roman" w:hAnsi="Times New Roman"/>
          <w:bCs/>
          <w:lang w:val="fr-FR"/>
        </w:rPr>
        <w:t xml:space="preserve"> s’assurera que l’information et les leç</w:t>
      </w:r>
      <w:r w:rsidR="009E7037">
        <w:rPr>
          <w:rFonts w:ascii="Times New Roman" w:hAnsi="Times New Roman"/>
          <w:bCs/>
          <w:lang w:val="fr-FR"/>
        </w:rPr>
        <w:t>ons tirées du système de S&amp;É soien</w:t>
      </w:r>
      <w:r w:rsidR="00FB416E">
        <w:rPr>
          <w:rFonts w:ascii="Times New Roman" w:hAnsi="Times New Roman"/>
          <w:bCs/>
          <w:lang w:val="fr-FR"/>
        </w:rPr>
        <w:t xml:space="preserve">t partagées avec les parties prenantes et les bénéficiaires de façon à permettre les ajustements potentiellement nécessaires de façon participative et consultative. </w:t>
      </w:r>
    </w:p>
    <w:p w14:paraId="1FA364A3" w14:textId="77777777" w:rsidR="002B7CD8" w:rsidRPr="00574773" w:rsidRDefault="002B7CD8" w:rsidP="001D3FF8">
      <w:pPr>
        <w:pStyle w:val="ListParagraphChar"/>
        <w:ind w:left="0"/>
        <w:rPr>
          <w:rFonts w:ascii="Times New Roman" w:hAnsi="Times New Roman"/>
          <w:bCs/>
          <w:lang w:val="fr-FR"/>
        </w:rPr>
      </w:pPr>
    </w:p>
    <w:p w14:paraId="5A588386" w14:textId="3D4CDA50" w:rsidR="003347B7" w:rsidRPr="00623FC2" w:rsidRDefault="003347B7" w:rsidP="003347B7">
      <w:pPr>
        <w:numPr>
          <w:ilvl w:val="0"/>
          <w:numId w:val="24"/>
        </w:numPr>
        <w:rPr>
          <w:b/>
          <w:lang w:val="fr-FR"/>
        </w:rPr>
      </w:pPr>
      <w:r w:rsidRPr="00623FC2">
        <w:rPr>
          <w:b/>
          <w:lang w:val="fr-FR"/>
        </w:rPr>
        <w:t>F</w:t>
      </w:r>
      <w:r w:rsidR="00086B57" w:rsidRPr="00623FC2">
        <w:rPr>
          <w:b/>
          <w:lang w:val="fr-FR"/>
        </w:rPr>
        <w:t>inancement</w:t>
      </w:r>
    </w:p>
    <w:p w14:paraId="10BAA25F" w14:textId="77777777" w:rsidR="003347B7" w:rsidRDefault="003347B7" w:rsidP="003347B7"/>
    <w:tbl>
      <w:tblPr>
        <w:tblW w:w="0" w:type="auto"/>
        <w:tblLook w:val="0000" w:firstRow="0" w:lastRow="0" w:firstColumn="0" w:lastColumn="0" w:noHBand="0" w:noVBand="0"/>
      </w:tblPr>
      <w:tblGrid>
        <w:gridCol w:w="7488"/>
        <w:gridCol w:w="1980"/>
      </w:tblGrid>
      <w:tr w:rsidR="003347B7" w14:paraId="20855D44" w14:textId="77777777" w:rsidTr="00F2760B">
        <w:tc>
          <w:tcPr>
            <w:tcW w:w="7488" w:type="dxa"/>
          </w:tcPr>
          <w:p w14:paraId="62F3BF32" w14:textId="18DFDD2A" w:rsidR="003347B7" w:rsidRPr="009E7037" w:rsidRDefault="003347B7" w:rsidP="00F2760B">
            <w:pPr>
              <w:rPr>
                <w:lang w:val="fr-FR"/>
              </w:rPr>
            </w:pPr>
            <w:r w:rsidRPr="009E7037">
              <w:rPr>
                <w:lang w:val="fr-FR"/>
              </w:rPr>
              <w:t>Source</w:t>
            </w:r>
            <w:r w:rsidR="00027AC1" w:rsidRPr="009E7037">
              <w:rPr>
                <w:lang w:val="fr-FR"/>
              </w:rPr>
              <w:t xml:space="preserve"> </w:t>
            </w:r>
            <w:r w:rsidRPr="009E7037">
              <w:rPr>
                <w:lang w:val="fr-FR"/>
              </w:rPr>
              <w:t>:</w:t>
            </w:r>
            <w:bookmarkStart w:id="6" w:name="FINANCINGTAB_PID"/>
            <w:bookmarkEnd w:id="6"/>
          </w:p>
        </w:tc>
        <w:tc>
          <w:tcPr>
            <w:tcW w:w="1980" w:type="dxa"/>
          </w:tcPr>
          <w:p w14:paraId="3BFAD335" w14:textId="0C7E2084" w:rsidR="003347B7" w:rsidRDefault="00955E90" w:rsidP="00F2760B">
            <w:pPr>
              <w:tabs>
                <w:tab w:val="decimal" w:pos="252"/>
              </w:tabs>
              <w:jc w:val="center"/>
            </w:pPr>
            <w:r>
              <w:t>(Millions de $</w:t>
            </w:r>
            <w:r w:rsidR="003347B7">
              <w:t>)</w:t>
            </w:r>
          </w:p>
        </w:tc>
      </w:tr>
      <w:tr w:rsidR="003347B7" w14:paraId="4ED41DB3" w14:textId="77777777" w:rsidTr="00F2760B">
        <w:tc>
          <w:tcPr>
            <w:tcW w:w="7488" w:type="dxa"/>
          </w:tcPr>
          <w:p w14:paraId="3757B858" w14:textId="62CE2149" w:rsidR="003347B7" w:rsidRPr="009E7037" w:rsidRDefault="00027AC1" w:rsidP="00F2760B">
            <w:pPr>
              <w:tabs>
                <w:tab w:val="right" w:pos="7200"/>
              </w:tabs>
              <w:rPr>
                <w:lang w:val="fr-FR"/>
              </w:rPr>
            </w:pPr>
            <w:r w:rsidRPr="009E7037">
              <w:rPr>
                <w:lang w:val="fr-FR"/>
              </w:rPr>
              <w:t>Emprunteur/Bénéficiaire</w:t>
            </w:r>
          </w:p>
        </w:tc>
        <w:tc>
          <w:tcPr>
            <w:tcW w:w="1980" w:type="dxa"/>
          </w:tcPr>
          <w:p w14:paraId="3B47DC1D" w14:textId="77777777" w:rsidR="003347B7" w:rsidRDefault="003347B7" w:rsidP="00F2760B">
            <w:pPr>
              <w:tabs>
                <w:tab w:val="decimal" w:pos="252"/>
              </w:tabs>
              <w:jc w:val="center"/>
            </w:pPr>
            <w:r>
              <w:t>0.0 M</w:t>
            </w:r>
          </w:p>
        </w:tc>
      </w:tr>
      <w:tr w:rsidR="003347B7" w14:paraId="3675872D" w14:textId="77777777" w:rsidTr="00F2760B">
        <w:tc>
          <w:tcPr>
            <w:tcW w:w="7488" w:type="dxa"/>
          </w:tcPr>
          <w:p w14:paraId="3A843BB6" w14:textId="11A5DA32" w:rsidR="003347B7" w:rsidRPr="009E7037" w:rsidRDefault="00027AC1" w:rsidP="00F2760B">
            <w:pPr>
              <w:tabs>
                <w:tab w:val="right" w:pos="7200"/>
              </w:tabs>
              <w:rPr>
                <w:lang w:val="fr-FR"/>
              </w:rPr>
            </w:pPr>
            <w:r w:rsidRPr="009E7037">
              <w:rPr>
                <w:lang w:val="fr-FR"/>
              </w:rPr>
              <w:t>BIR</w:t>
            </w:r>
            <w:r w:rsidR="003347B7" w:rsidRPr="009E7037">
              <w:rPr>
                <w:lang w:val="fr-FR"/>
              </w:rPr>
              <w:t>D</w:t>
            </w:r>
          </w:p>
          <w:p w14:paraId="7DF38D3B" w14:textId="65E2659E" w:rsidR="003347B7" w:rsidRPr="009E7037" w:rsidRDefault="00027AC1" w:rsidP="00F2760B">
            <w:pPr>
              <w:tabs>
                <w:tab w:val="right" w:pos="7200"/>
              </w:tabs>
              <w:rPr>
                <w:lang w:val="fr-FR"/>
              </w:rPr>
            </w:pPr>
            <w:r w:rsidRPr="009E7037">
              <w:rPr>
                <w:lang w:val="fr-FR"/>
              </w:rPr>
              <w:t>AID</w:t>
            </w:r>
          </w:p>
          <w:p w14:paraId="037E01A7" w14:textId="3C1BAA0A" w:rsidR="003347B7" w:rsidRPr="009E7037" w:rsidRDefault="009E7037" w:rsidP="00F2760B">
            <w:pPr>
              <w:tabs>
                <w:tab w:val="right" w:pos="7200"/>
              </w:tabs>
              <w:rPr>
                <w:lang w:val="fr-FR"/>
              </w:rPr>
            </w:pPr>
            <w:r>
              <w:rPr>
                <w:lang w:val="fr-FR"/>
              </w:rPr>
              <w:t>Autre</w:t>
            </w:r>
            <w:r w:rsidR="003347B7" w:rsidRPr="009E7037">
              <w:rPr>
                <w:lang w:val="fr-FR"/>
              </w:rPr>
              <w:t>s (JSDF)</w:t>
            </w:r>
          </w:p>
        </w:tc>
        <w:tc>
          <w:tcPr>
            <w:tcW w:w="1980" w:type="dxa"/>
          </w:tcPr>
          <w:p w14:paraId="141228D4" w14:textId="77777777" w:rsidR="003347B7" w:rsidRPr="002B7CD8" w:rsidRDefault="003347B7" w:rsidP="00F2760B">
            <w:pPr>
              <w:tabs>
                <w:tab w:val="decimal" w:pos="252"/>
              </w:tabs>
            </w:pPr>
          </w:p>
          <w:p w14:paraId="17B51998" w14:textId="77777777" w:rsidR="003347B7" w:rsidRPr="002B7CD8" w:rsidRDefault="003347B7" w:rsidP="00F2760B">
            <w:pPr>
              <w:tabs>
                <w:tab w:val="decimal" w:pos="252"/>
              </w:tabs>
            </w:pPr>
          </w:p>
          <w:p w14:paraId="19A3A820" w14:textId="2671471A" w:rsidR="003347B7" w:rsidRPr="002B7CD8" w:rsidRDefault="00955E90" w:rsidP="00F2760B">
            <w:pPr>
              <w:tabs>
                <w:tab w:val="decimal" w:pos="252"/>
              </w:tabs>
            </w:pPr>
            <w:r>
              <w:t xml:space="preserve">         2,</w:t>
            </w:r>
            <w:r w:rsidR="003347B7" w:rsidRPr="002B7CD8">
              <w:t>73 M</w:t>
            </w:r>
          </w:p>
        </w:tc>
      </w:tr>
      <w:tr w:rsidR="003347B7" w14:paraId="4683E84B" w14:textId="77777777" w:rsidTr="00F2760B">
        <w:tc>
          <w:tcPr>
            <w:tcW w:w="7488" w:type="dxa"/>
          </w:tcPr>
          <w:p w14:paraId="19863C2E" w14:textId="75A5570B" w:rsidR="003347B7" w:rsidRDefault="003347B7" w:rsidP="00F2760B">
            <w:pPr>
              <w:tabs>
                <w:tab w:val="right" w:pos="7200"/>
              </w:tabs>
            </w:pPr>
            <w:r>
              <w:t>Total</w:t>
            </w:r>
          </w:p>
        </w:tc>
        <w:tc>
          <w:tcPr>
            <w:tcW w:w="1980" w:type="dxa"/>
          </w:tcPr>
          <w:p w14:paraId="4DBF7F4F" w14:textId="4BA5CF88" w:rsidR="003347B7" w:rsidRPr="002B7CD8" w:rsidRDefault="00955E90" w:rsidP="00F2760B">
            <w:pPr>
              <w:tabs>
                <w:tab w:val="decimal" w:pos="252"/>
              </w:tabs>
              <w:jc w:val="center"/>
            </w:pPr>
            <w:r>
              <w:t>2,</w:t>
            </w:r>
            <w:r w:rsidR="003347B7" w:rsidRPr="002B7CD8">
              <w:t>73 M</w:t>
            </w:r>
          </w:p>
        </w:tc>
      </w:tr>
    </w:tbl>
    <w:p w14:paraId="70DA075A" w14:textId="77777777" w:rsidR="00CF4748" w:rsidRDefault="00CF4748" w:rsidP="00CF4748">
      <w:pPr>
        <w:rPr>
          <w:b/>
        </w:rPr>
      </w:pPr>
    </w:p>
    <w:p w14:paraId="4D7362FB" w14:textId="1436F384" w:rsidR="003347B7" w:rsidRPr="00623FC2" w:rsidRDefault="00623FC2" w:rsidP="003347B7">
      <w:pPr>
        <w:numPr>
          <w:ilvl w:val="0"/>
          <w:numId w:val="24"/>
        </w:numPr>
        <w:rPr>
          <w:b/>
          <w:lang w:val="fr-FR"/>
        </w:rPr>
      </w:pPr>
      <w:r w:rsidRPr="00623FC2">
        <w:rPr>
          <w:b/>
          <w:lang w:val="fr-FR"/>
        </w:rPr>
        <w:t>Mise en œuvre</w:t>
      </w:r>
    </w:p>
    <w:p w14:paraId="5EA919F0" w14:textId="77777777" w:rsidR="003347B7" w:rsidRDefault="003347B7" w:rsidP="003347B7">
      <w:pPr>
        <w:rPr>
          <w:b/>
        </w:rPr>
      </w:pPr>
    </w:p>
    <w:p w14:paraId="5F346075" w14:textId="0F46CC61" w:rsidR="00027AC1" w:rsidRPr="00027AC1" w:rsidRDefault="00027AC1" w:rsidP="003347B7">
      <w:pPr>
        <w:pStyle w:val="ListParagraphChar"/>
        <w:numPr>
          <w:ilvl w:val="0"/>
          <w:numId w:val="40"/>
        </w:numPr>
        <w:ind w:left="0" w:firstLine="0"/>
        <w:jc w:val="both"/>
        <w:rPr>
          <w:rFonts w:ascii="Times New Roman" w:hAnsi="Times New Roman"/>
          <w:bCs/>
          <w:lang w:val="fr-FR"/>
        </w:rPr>
      </w:pPr>
      <w:r w:rsidRPr="00027AC1">
        <w:rPr>
          <w:rFonts w:ascii="Times New Roman" w:hAnsi="Times New Roman"/>
          <w:bCs/>
          <w:lang w:val="fr-FR"/>
        </w:rPr>
        <w:t>L’Agence djiboutienne de développement social (ADDS)</w:t>
      </w:r>
      <w:r>
        <w:rPr>
          <w:rFonts w:ascii="Times New Roman" w:hAnsi="Times New Roman"/>
          <w:bCs/>
          <w:lang w:val="fr-FR"/>
        </w:rPr>
        <w:t xml:space="preserve"> relevant du ministère de la Solidarité nationale sera responsable de la mise en œuvre du projet. L’ADDS a déjà l’expé</w:t>
      </w:r>
      <w:r w:rsidR="00226048">
        <w:rPr>
          <w:rFonts w:ascii="Times New Roman" w:hAnsi="Times New Roman"/>
          <w:bCs/>
          <w:lang w:val="fr-FR"/>
        </w:rPr>
        <w:t>rience des projets de la Banque, tels que le Projet de Développement social et de Travaux publics, le Projet de Filet de Protection sociale pour l’Emploi et le Capital humain (financé par le JSDF), et le Projet de Filet de Protection sociale (de l’AID). Cette agence est également en charge de la mise en œuvre de nombreux autres projets financés par les partenaires du développement (</w:t>
      </w:r>
      <w:r w:rsidR="0086513D">
        <w:rPr>
          <w:rFonts w:ascii="Times New Roman" w:hAnsi="Times New Roman"/>
          <w:bCs/>
          <w:lang w:val="fr-FR"/>
        </w:rPr>
        <w:t>par ex.</w:t>
      </w:r>
      <w:r w:rsidR="007F0D31">
        <w:rPr>
          <w:rFonts w:ascii="Times New Roman" w:hAnsi="Times New Roman"/>
          <w:bCs/>
          <w:lang w:val="fr-FR"/>
        </w:rPr>
        <w:t xml:space="preserve"> le Fonds international de D</w:t>
      </w:r>
      <w:r w:rsidR="007F0D31" w:rsidRPr="007F0D31">
        <w:rPr>
          <w:rFonts w:ascii="Times New Roman" w:hAnsi="Times New Roman"/>
          <w:bCs/>
          <w:lang w:val="fr-FR"/>
        </w:rPr>
        <w:t>éveloppement agricole</w:t>
      </w:r>
      <w:r w:rsidR="007F0D31">
        <w:rPr>
          <w:rFonts w:ascii="Times New Roman" w:hAnsi="Times New Roman"/>
          <w:bCs/>
          <w:lang w:val="fr-FR"/>
        </w:rPr>
        <w:t xml:space="preserve">, la Banque Africaine de Développement, la Banque Islamique de Développement, le PNUD). </w:t>
      </w:r>
      <w:r w:rsidR="008E7C63">
        <w:rPr>
          <w:rFonts w:ascii="Times New Roman" w:hAnsi="Times New Roman"/>
          <w:bCs/>
          <w:lang w:val="fr-FR"/>
        </w:rPr>
        <w:t>Grâces aux projets, passés ou en cours, l’ADDS a acquis une expérience appréciable de la collaboration avec la société civile et les institutions communautaires. Ces différents projets</w:t>
      </w:r>
      <w:r w:rsidR="004A6C89">
        <w:rPr>
          <w:rFonts w:ascii="Times New Roman" w:hAnsi="Times New Roman"/>
          <w:bCs/>
          <w:lang w:val="fr-FR"/>
        </w:rPr>
        <w:t xml:space="preserve"> ont permis à l’ADDS de développer une solide expérience dans la gestion de projets générateurs de revenus, notamment dans les domaines de la </w:t>
      </w:r>
      <w:proofErr w:type="spellStart"/>
      <w:r w:rsidR="000A65E8">
        <w:rPr>
          <w:rFonts w:ascii="Times New Roman" w:hAnsi="Times New Roman"/>
          <w:bCs/>
          <w:lang w:val="fr-FR"/>
        </w:rPr>
        <w:t>micro-finance</w:t>
      </w:r>
      <w:proofErr w:type="spellEnd"/>
      <w:r w:rsidR="004A6C89">
        <w:rPr>
          <w:rFonts w:ascii="Times New Roman" w:hAnsi="Times New Roman"/>
          <w:bCs/>
          <w:lang w:val="fr-FR"/>
        </w:rPr>
        <w:t xml:space="preserve">, </w:t>
      </w:r>
      <w:r w:rsidR="000A65E8">
        <w:rPr>
          <w:rFonts w:ascii="Times New Roman" w:hAnsi="Times New Roman"/>
          <w:bCs/>
          <w:lang w:val="fr-FR"/>
        </w:rPr>
        <w:t>de l’Association de Villages d’Épargne et de Crédit, et de la formation.</w:t>
      </w:r>
    </w:p>
    <w:p w14:paraId="0E599194" w14:textId="77777777" w:rsidR="003347B7" w:rsidRPr="00574773" w:rsidRDefault="003347B7" w:rsidP="003347B7">
      <w:pPr>
        <w:ind w:left="720"/>
        <w:rPr>
          <w:b/>
          <w:lang w:val="fr-FR"/>
        </w:rPr>
      </w:pPr>
    </w:p>
    <w:p w14:paraId="1D3288D9" w14:textId="42A92BA5" w:rsidR="00F41703" w:rsidRPr="000A65E8" w:rsidRDefault="000A65E8" w:rsidP="00A126FA">
      <w:pPr>
        <w:numPr>
          <w:ilvl w:val="0"/>
          <w:numId w:val="24"/>
        </w:numPr>
        <w:rPr>
          <w:b/>
          <w:lang w:val="fr-FR"/>
        </w:rPr>
      </w:pPr>
      <w:r>
        <w:rPr>
          <w:b/>
          <w:lang w:val="fr-FR"/>
        </w:rPr>
        <w:t>Politiques de Sauvegarde susceptibles de s’appliquer</w:t>
      </w:r>
    </w:p>
    <w:p w14:paraId="36B8BB82" w14:textId="77777777" w:rsidR="00480DDF" w:rsidRPr="00574773" w:rsidRDefault="00480DDF" w:rsidP="00480DDF">
      <w:pPr>
        <w:rPr>
          <w:b/>
          <w:lang w:val="fr-FR"/>
        </w:rPr>
      </w:pPr>
    </w:p>
    <w:p w14:paraId="22A35FA3" w14:textId="28CA1BA3" w:rsidR="00303FDC" w:rsidRPr="00303FDC" w:rsidRDefault="00303FDC" w:rsidP="0060237C">
      <w:pPr>
        <w:pStyle w:val="ListParagraphChar"/>
        <w:numPr>
          <w:ilvl w:val="0"/>
          <w:numId w:val="40"/>
        </w:numPr>
        <w:ind w:left="0" w:firstLine="0"/>
        <w:jc w:val="both"/>
        <w:rPr>
          <w:rFonts w:ascii="Times New Roman" w:hAnsi="Times New Roman"/>
          <w:b/>
          <w:color w:val="auto"/>
          <w:lang w:val="fr-FR"/>
        </w:rPr>
      </w:pPr>
      <w:r>
        <w:rPr>
          <w:rFonts w:ascii="Times New Roman" w:hAnsi="Times New Roman"/>
          <w:b/>
          <w:color w:val="auto"/>
          <w:lang w:val="fr-FR"/>
        </w:rPr>
        <w:t>P</w:t>
      </w:r>
      <w:r w:rsidRPr="00303FDC">
        <w:rPr>
          <w:rFonts w:ascii="Times New Roman" w:hAnsi="Times New Roman"/>
          <w:b/>
          <w:color w:val="auto"/>
          <w:lang w:val="fr-FR"/>
        </w:rPr>
        <w:t>olitiques</w:t>
      </w:r>
      <w:r w:rsidR="00A467EC">
        <w:rPr>
          <w:rFonts w:ascii="Times New Roman" w:hAnsi="Times New Roman"/>
          <w:b/>
          <w:color w:val="auto"/>
          <w:lang w:val="fr-FR"/>
        </w:rPr>
        <w:t xml:space="preserve"> de sauvegarde sociales et env</w:t>
      </w:r>
      <w:r>
        <w:rPr>
          <w:rFonts w:ascii="Times New Roman" w:hAnsi="Times New Roman"/>
          <w:b/>
          <w:color w:val="auto"/>
          <w:lang w:val="fr-FR"/>
        </w:rPr>
        <w:t>i</w:t>
      </w:r>
      <w:r w:rsidR="00A467EC">
        <w:rPr>
          <w:rFonts w:ascii="Times New Roman" w:hAnsi="Times New Roman"/>
          <w:b/>
          <w:color w:val="auto"/>
          <w:lang w:val="fr-FR"/>
        </w:rPr>
        <w:t>r</w:t>
      </w:r>
      <w:r>
        <w:rPr>
          <w:rFonts w:ascii="Times New Roman" w:hAnsi="Times New Roman"/>
          <w:b/>
          <w:color w:val="auto"/>
          <w:lang w:val="fr-FR"/>
        </w:rPr>
        <w:t>onnementales</w:t>
      </w:r>
      <w:r w:rsidR="00A467EC">
        <w:rPr>
          <w:rFonts w:ascii="Times New Roman" w:hAnsi="Times New Roman"/>
          <w:b/>
          <w:color w:val="auto"/>
          <w:lang w:val="fr-FR"/>
        </w:rPr>
        <w:t xml:space="preserve">. </w:t>
      </w:r>
      <w:r w:rsidR="00A467EC">
        <w:rPr>
          <w:rFonts w:ascii="Times New Roman" w:hAnsi="Times New Roman"/>
          <w:color w:val="auto"/>
          <w:lang w:val="fr-FR"/>
        </w:rPr>
        <w:t>Le risque environnemental du pro</w:t>
      </w:r>
      <w:r w:rsidR="002C5F17">
        <w:rPr>
          <w:rFonts w:ascii="Times New Roman" w:hAnsi="Times New Roman"/>
          <w:color w:val="auto"/>
          <w:lang w:val="fr-FR"/>
        </w:rPr>
        <w:t>jet est classé C, du fait d’</w:t>
      </w:r>
      <w:r w:rsidR="00A467EC">
        <w:rPr>
          <w:rFonts w:ascii="Times New Roman" w:hAnsi="Times New Roman"/>
          <w:color w:val="auto"/>
          <w:lang w:val="fr-FR"/>
        </w:rPr>
        <w:t>impacts environnementaux potentiels minimaux ou nuls.</w:t>
      </w:r>
      <w:r w:rsidR="008B0763">
        <w:rPr>
          <w:rFonts w:ascii="Times New Roman" w:hAnsi="Times New Roman"/>
          <w:color w:val="auto"/>
          <w:lang w:val="fr-FR"/>
        </w:rPr>
        <w:t xml:space="preserve"> Le projet ne déclenche aucune politique de sauvegarde. Les activités du projet se concentrent sur le développement des capacités et l’accès à des fonds d’amorçage restreints, ce qui ne devrait pas avoir d’impact  social ou environnemental négatif. Le Fonds de Subsistance appuiera des activités à petite échelle, neutres pour l’environnement. Le faible niveau de risque impliqué dans l’offre de développement des capacités et d’</w:t>
      </w:r>
      <w:r w:rsidR="009D5D82">
        <w:rPr>
          <w:rFonts w:ascii="Times New Roman" w:hAnsi="Times New Roman"/>
          <w:color w:val="auto"/>
          <w:lang w:val="fr-FR"/>
        </w:rPr>
        <w:t>accès au finance</w:t>
      </w:r>
      <w:r w:rsidR="008B0763">
        <w:rPr>
          <w:rFonts w:ascii="Times New Roman" w:hAnsi="Times New Roman"/>
          <w:color w:val="auto"/>
          <w:lang w:val="fr-FR"/>
        </w:rPr>
        <w:t>ment correspond au cla</w:t>
      </w:r>
      <w:r w:rsidR="009D5D82">
        <w:rPr>
          <w:rFonts w:ascii="Times New Roman" w:hAnsi="Times New Roman"/>
          <w:color w:val="auto"/>
          <w:lang w:val="fr-FR"/>
        </w:rPr>
        <w:t>ssement en catégorie C</w:t>
      </w:r>
      <w:r w:rsidR="008B0763">
        <w:rPr>
          <w:rFonts w:ascii="Times New Roman" w:hAnsi="Times New Roman"/>
          <w:color w:val="auto"/>
          <w:lang w:val="fr-FR"/>
        </w:rPr>
        <w:t>.</w:t>
      </w:r>
    </w:p>
    <w:p w14:paraId="1EEDE437" w14:textId="77777777" w:rsidR="00F41703" w:rsidRPr="00657DED" w:rsidRDefault="00F41703" w:rsidP="0060237C">
      <w:pPr>
        <w:pStyle w:val="ListParagraph"/>
        <w:ind w:left="360"/>
        <w:jc w:val="both"/>
        <w:rPr>
          <w:bCs/>
          <w:color w:val="00000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6"/>
        <w:gridCol w:w="1260"/>
        <w:gridCol w:w="1094"/>
        <w:gridCol w:w="1094"/>
      </w:tblGrid>
      <w:tr w:rsidR="00F41703" w:rsidRPr="00690F9A" w14:paraId="0E47E7FA" w14:textId="77777777" w:rsidTr="00690F9A">
        <w:tc>
          <w:tcPr>
            <w:tcW w:w="6066" w:type="dxa"/>
          </w:tcPr>
          <w:p w14:paraId="2758CEC0" w14:textId="31FE2FD2" w:rsidR="00F41703" w:rsidRPr="00574773" w:rsidRDefault="00F64EA7" w:rsidP="00F41703">
            <w:pPr>
              <w:rPr>
                <w:b/>
                <w:bCs/>
                <w:sz w:val="22"/>
                <w:szCs w:val="22"/>
                <w:lang w:val="fr-FR"/>
              </w:rPr>
            </w:pPr>
            <w:r>
              <w:rPr>
                <w:b/>
                <w:bCs/>
                <w:sz w:val="22"/>
                <w:szCs w:val="22"/>
                <w:lang w:val="fr-FR"/>
              </w:rPr>
              <w:t>Politiques de Sauvegarde déclenchées par le projet</w:t>
            </w:r>
          </w:p>
        </w:tc>
        <w:tc>
          <w:tcPr>
            <w:tcW w:w="1260" w:type="dxa"/>
          </w:tcPr>
          <w:p w14:paraId="15005B24" w14:textId="3F4F18ED" w:rsidR="00F41703" w:rsidRPr="00690F9A" w:rsidRDefault="001972C6" w:rsidP="00690F9A">
            <w:pPr>
              <w:jc w:val="center"/>
              <w:rPr>
                <w:sz w:val="22"/>
                <w:szCs w:val="22"/>
              </w:rPr>
            </w:pPr>
            <w:proofErr w:type="spellStart"/>
            <w:r>
              <w:rPr>
                <w:sz w:val="22"/>
                <w:szCs w:val="22"/>
              </w:rPr>
              <w:t>Oui</w:t>
            </w:r>
            <w:proofErr w:type="spellEnd"/>
          </w:p>
        </w:tc>
        <w:tc>
          <w:tcPr>
            <w:tcW w:w="1094" w:type="dxa"/>
          </w:tcPr>
          <w:p w14:paraId="49B5412E" w14:textId="587C0F31" w:rsidR="00F41703" w:rsidRPr="00690F9A" w:rsidRDefault="00F41703" w:rsidP="00690F9A">
            <w:pPr>
              <w:jc w:val="center"/>
              <w:rPr>
                <w:sz w:val="22"/>
                <w:szCs w:val="22"/>
              </w:rPr>
            </w:pPr>
            <w:r w:rsidRPr="00690F9A">
              <w:rPr>
                <w:sz w:val="22"/>
                <w:szCs w:val="22"/>
              </w:rPr>
              <w:t>No</w:t>
            </w:r>
            <w:r w:rsidR="001972C6">
              <w:rPr>
                <w:sz w:val="22"/>
                <w:szCs w:val="22"/>
              </w:rPr>
              <w:t>n</w:t>
            </w:r>
          </w:p>
        </w:tc>
        <w:tc>
          <w:tcPr>
            <w:tcW w:w="1094" w:type="dxa"/>
          </w:tcPr>
          <w:p w14:paraId="49925807" w14:textId="2DB8F70A" w:rsidR="00F41703" w:rsidRPr="00690F9A" w:rsidRDefault="001972C6" w:rsidP="00690F9A">
            <w:pPr>
              <w:jc w:val="center"/>
              <w:rPr>
                <w:sz w:val="22"/>
                <w:szCs w:val="22"/>
              </w:rPr>
            </w:pPr>
            <w:r>
              <w:rPr>
                <w:sz w:val="22"/>
                <w:szCs w:val="22"/>
                <w:lang w:val="fr-FR"/>
              </w:rPr>
              <w:t xml:space="preserve">À </w:t>
            </w:r>
            <w:proofErr w:type="spellStart"/>
            <w:r>
              <w:rPr>
                <w:sz w:val="22"/>
                <w:szCs w:val="22"/>
                <w:lang w:val="fr-FR"/>
              </w:rPr>
              <w:t>Dét</w:t>
            </w:r>
            <w:proofErr w:type="spellEnd"/>
            <w:r>
              <w:rPr>
                <w:sz w:val="22"/>
                <w:szCs w:val="22"/>
                <w:lang w:val="fr-FR"/>
              </w:rPr>
              <w:t>.</w:t>
            </w:r>
          </w:p>
        </w:tc>
      </w:tr>
      <w:tr w:rsidR="00F64EA7" w:rsidRPr="00690F9A" w14:paraId="0738ABA6" w14:textId="77777777" w:rsidTr="00690F9A">
        <w:trPr>
          <w:trHeight w:val="20"/>
        </w:trPr>
        <w:tc>
          <w:tcPr>
            <w:tcW w:w="6066" w:type="dxa"/>
          </w:tcPr>
          <w:p w14:paraId="779B16B7" w14:textId="40B27375" w:rsidR="00F64EA7" w:rsidRPr="00690F9A" w:rsidRDefault="00F64EA7" w:rsidP="00F41703">
            <w:pPr>
              <w:rPr>
                <w:sz w:val="22"/>
                <w:szCs w:val="22"/>
              </w:rPr>
            </w:pPr>
            <w:bookmarkStart w:id="7" w:name="OPBPGP401" w:colFirst="1" w:colLast="1"/>
            <w:bookmarkStart w:id="8" w:name="OPBPGP401No" w:colFirst="2" w:colLast="2"/>
            <w:r w:rsidRPr="001972C6">
              <w:rPr>
                <w:sz w:val="22"/>
                <w:szCs w:val="22"/>
                <w:lang w:val="fr-FR"/>
              </w:rPr>
              <w:t>Évaluation</w:t>
            </w:r>
            <w:r>
              <w:rPr>
                <w:sz w:val="22"/>
                <w:szCs w:val="22"/>
                <w:lang w:val="fr-FR"/>
              </w:rPr>
              <w:t xml:space="preserve"> environnementale</w:t>
            </w:r>
            <w:r w:rsidRPr="00E17361">
              <w:rPr>
                <w:sz w:val="22"/>
                <w:szCs w:val="22"/>
                <w:lang w:val="fr-FR"/>
              </w:rPr>
              <w:t xml:space="preserve"> (</w:t>
            </w:r>
            <w:hyperlink r:id="rId8" w:history="1">
              <w:r w:rsidRPr="00E17361">
                <w:rPr>
                  <w:rStyle w:val="Hyperlink"/>
                  <w:sz w:val="22"/>
                  <w:szCs w:val="22"/>
                  <w:lang w:val="fr-FR"/>
                </w:rPr>
                <w:t>OP</w:t>
              </w:r>
            </w:hyperlink>
            <w:r w:rsidRPr="00E17361">
              <w:rPr>
                <w:sz w:val="22"/>
                <w:szCs w:val="22"/>
                <w:lang w:val="fr-FR"/>
              </w:rPr>
              <w:t>/</w:t>
            </w:r>
            <w:hyperlink r:id="rId9" w:history="1">
              <w:r w:rsidRPr="00E17361">
                <w:rPr>
                  <w:rStyle w:val="Hyperlink"/>
                  <w:sz w:val="22"/>
                  <w:szCs w:val="22"/>
                  <w:lang w:val="fr-FR"/>
                </w:rPr>
                <w:t>BP</w:t>
              </w:r>
            </w:hyperlink>
            <w:r w:rsidRPr="00E17361">
              <w:rPr>
                <w:sz w:val="22"/>
                <w:szCs w:val="22"/>
                <w:lang w:val="fr-FR"/>
              </w:rPr>
              <w:t xml:space="preserve"> 4.01)</w:t>
            </w:r>
          </w:p>
        </w:tc>
        <w:tc>
          <w:tcPr>
            <w:tcW w:w="1260" w:type="dxa"/>
          </w:tcPr>
          <w:p w14:paraId="13C373D4" w14:textId="77777777" w:rsidR="00F64EA7" w:rsidRPr="00690F9A" w:rsidRDefault="00F64EA7" w:rsidP="00690F9A">
            <w:pPr>
              <w:jc w:val="center"/>
              <w:rPr>
                <w:sz w:val="22"/>
                <w:szCs w:val="22"/>
              </w:rPr>
            </w:pPr>
          </w:p>
        </w:tc>
        <w:tc>
          <w:tcPr>
            <w:tcW w:w="1094" w:type="dxa"/>
          </w:tcPr>
          <w:p w14:paraId="4C3F3D8B" w14:textId="77777777" w:rsidR="00F64EA7" w:rsidRPr="00690F9A" w:rsidRDefault="00F64EA7" w:rsidP="00690F9A">
            <w:pPr>
              <w:jc w:val="center"/>
              <w:rPr>
                <w:sz w:val="22"/>
                <w:szCs w:val="22"/>
              </w:rPr>
            </w:pPr>
            <w:r>
              <w:rPr>
                <w:sz w:val="22"/>
                <w:szCs w:val="22"/>
              </w:rPr>
              <w:t>X</w:t>
            </w:r>
          </w:p>
        </w:tc>
        <w:tc>
          <w:tcPr>
            <w:tcW w:w="1094" w:type="dxa"/>
          </w:tcPr>
          <w:p w14:paraId="3128D9CF" w14:textId="77777777" w:rsidR="00F64EA7" w:rsidRPr="00690F9A" w:rsidRDefault="00F64EA7" w:rsidP="00690F9A">
            <w:pPr>
              <w:jc w:val="center"/>
              <w:rPr>
                <w:sz w:val="22"/>
                <w:szCs w:val="22"/>
              </w:rPr>
            </w:pPr>
          </w:p>
        </w:tc>
      </w:tr>
      <w:tr w:rsidR="00F64EA7" w:rsidRPr="00690F9A" w14:paraId="6D20B4BD" w14:textId="77777777" w:rsidTr="00690F9A">
        <w:trPr>
          <w:trHeight w:val="20"/>
        </w:trPr>
        <w:tc>
          <w:tcPr>
            <w:tcW w:w="6066" w:type="dxa"/>
          </w:tcPr>
          <w:p w14:paraId="241DC3CB" w14:textId="4CE7347B" w:rsidR="00F64EA7" w:rsidRPr="00690F9A" w:rsidRDefault="00F64EA7" w:rsidP="00F41703">
            <w:pPr>
              <w:rPr>
                <w:sz w:val="22"/>
                <w:szCs w:val="22"/>
              </w:rPr>
            </w:pPr>
            <w:bookmarkStart w:id="9" w:name="OPBP404" w:colFirst="1" w:colLast="1"/>
            <w:bookmarkStart w:id="10" w:name="OPBP404No" w:colFirst="2" w:colLast="2"/>
            <w:bookmarkEnd w:id="7"/>
            <w:bookmarkEnd w:id="8"/>
            <w:r w:rsidRPr="00E11D15">
              <w:rPr>
                <w:sz w:val="22"/>
                <w:szCs w:val="22"/>
                <w:lang w:val="fr-FR"/>
              </w:rPr>
              <w:t>Habitats</w:t>
            </w:r>
            <w:r>
              <w:rPr>
                <w:sz w:val="22"/>
                <w:szCs w:val="22"/>
                <w:lang w:val="fr-FR"/>
              </w:rPr>
              <w:t xml:space="preserve"> naturels</w:t>
            </w:r>
            <w:r w:rsidRPr="00E11D15">
              <w:rPr>
                <w:sz w:val="22"/>
                <w:szCs w:val="22"/>
                <w:lang w:val="fr-FR"/>
              </w:rPr>
              <w:t xml:space="preserve"> </w:t>
            </w:r>
            <w:r w:rsidRPr="00E17361">
              <w:rPr>
                <w:sz w:val="22"/>
                <w:szCs w:val="22"/>
                <w:lang w:val="fr-FR"/>
              </w:rPr>
              <w:t>(</w:t>
            </w:r>
            <w:hyperlink r:id="rId10" w:history="1">
              <w:r w:rsidRPr="00E17361">
                <w:rPr>
                  <w:rStyle w:val="Hyperlink"/>
                  <w:sz w:val="22"/>
                  <w:szCs w:val="22"/>
                  <w:lang w:val="fr-FR"/>
                </w:rPr>
                <w:t>OP</w:t>
              </w:r>
            </w:hyperlink>
            <w:r w:rsidRPr="00E17361">
              <w:rPr>
                <w:sz w:val="22"/>
                <w:szCs w:val="22"/>
                <w:lang w:val="fr-FR"/>
              </w:rPr>
              <w:t>/</w:t>
            </w:r>
            <w:hyperlink r:id="rId11" w:history="1">
              <w:r w:rsidRPr="00E17361">
                <w:rPr>
                  <w:rStyle w:val="Hyperlink"/>
                  <w:sz w:val="22"/>
                  <w:szCs w:val="22"/>
                  <w:lang w:val="fr-FR"/>
                </w:rPr>
                <w:t>BP</w:t>
              </w:r>
            </w:hyperlink>
            <w:r w:rsidRPr="00E17361">
              <w:rPr>
                <w:sz w:val="22"/>
                <w:szCs w:val="22"/>
                <w:lang w:val="fr-FR"/>
              </w:rPr>
              <w:t xml:space="preserve"> 4.04)</w:t>
            </w:r>
          </w:p>
        </w:tc>
        <w:tc>
          <w:tcPr>
            <w:tcW w:w="1260" w:type="dxa"/>
          </w:tcPr>
          <w:p w14:paraId="24ECF6F9" w14:textId="77777777" w:rsidR="00F64EA7" w:rsidRPr="00690F9A" w:rsidRDefault="00F64EA7" w:rsidP="00690F9A">
            <w:pPr>
              <w:jc w:val="center"/>
              <w:rPr>
                <w:sz w:val="22"/>
                <w:szCs w:val="22"/>
              </w:rPr>
            </w:pPr>
          </w:p>
        </w:tc>
        <w:tc>
          <w:tcPr>
            <w:tcW w:w="1094" w:type="dxa"/>
          </w:tcPr>
          <w:p w14:paraId="31CB7916" w14:textId="77777777" w:rsidR="00F64EA7" w:rsidRPr="00690F9A" w:rsidRDefault="00F64EA7" w:rsidP="00690F9A">
            <w:pPr>
              <w:jc w:val="center"/>
              <w:rPr>
                <w:sz w:val="22"/>
                <w:szCs w:val="22"/>
              </w:rPr>
            </w:pPr>
            <w:r>
              <w:rPr>
                <w:sz w:val="22"/>
                <w:szCs w:val="22"/>
              </w:rPr>
              <w:t>X</w:t>
            </w:r>
          </w:p>
        </w:tc>
        <w:tc>
          <w:tcPr>
            <w:tcW w:w="1094" w:type="dxa"/>
          </w:tcPr>
          <w:p w14:paraId="65F11788" w14:textId="77777777" w:rsidR="00F64EA7" w:rsidRPr="00690F9A" w:rsidRDefault="00F64EA7" w:rsidP="00690F9A">
            <w:pPr>
              <w:jc w:val="center"/>
              <w:rPr>
                <w:sz w:val="22"/>
                <w:szCs w:val="22"/>
              </w:rPr>
            </w:pPr>
          </w:p>
        </w:tc>
      </w:tr>
      <w:tr w:rsidR="00F64EA7" w:rsidRPr="00690F9A" w14:paraId="0E900088" w14:textId="77777777" w:rsidTr="00690F9A">
        <w:trPr>
          <w:trHeight w:val="20"/>
        </w:trPr>
        <w:tc>
          <w:tcPr>
            <w:tcW w:w="6066" w:type="dxa"/>
          </w:tcPr>
          <w:p w14:paraId="1AC2ABED" w14:textId="77EC0FED" w:rsidR="00F64EA7" w:rsidRPr="00690F9A" w:rsidRDefault="00F64EA7" w:rsidP="00F41703">
            <w:pPr>
              <w:rPr>
                <w:sz w:val="22"/>
                <w:szCs w:val="22"/>
              </w:rPr>
            </w:pPr>
            <w:bookmarkStart w:id="11" w:name="OP409" w:colFirst="1" w:colLast="1"/>
            <w:bookmarkStart w:id="12" w:name="OP409No" w:colFirst="2" w:colLast="2"/>
            <w:bookmarkEnd w:id="9"/>
            <w:bookmarkEnd w:id="10"/>
            <w:r>
              <w:rPr>
                <w:sz w:val="22"/>
                <w:szCs w:val="22"/>
                <w:lang w:val="fr-FR"/>
              </w:rPr>
              <w:t>Lutte antiparasitaire</w:t>
            </w:r>
            <w:r w:rsidRPr="00E11D15">
              <w:rPr>
                <w:sz w:val="22"/>
                <w:szCs w:val="22"/>
                <w:lang w:val="fr-FR"/>
              </w:rPr>
              <w:t xml:space="preserve"> </w:t>
            </w:r>
            <w:r w:rsidRPr="00E17361">
              <w:rPr>
                <w:sz w:val="22"/>
                <w:szCs w:val="22"/>
                <w:lang w:val="fr-FR"/>
              </w:rPr>
              <w:t>(</w:t>
            </w:r>
            <w:hyperlink r:id="rId12" w:history="1">
              <w:r w:rsidRPr="00E17361">
                <w:rPr>
                  <w:rStyle w:val="Hyperlink"/>
                  <w:sz w:val="22"/>
                  <w:szCs w:val="22"/>
                  <w:lang w:val="fr-FR"/>
                </w:rPr>
                <w:t>OP 4.09</w:t>
              </w:r>
            </w:hyperlink>
            <w:r w:rsidRPr="00E17361">
              <w:rPr>
                <w:sz w:val="22"/>
                <w:szCs w:val="22"/>
                <w:lang w:val="fr-FR"/>
              </w:rPr>
              <w:t>)</w:t>
            </w:r>
          </w:p>
        </w:tc>
        <w:tc>
          <w:tcPr>
            <w:tcW w:w="1260" w:type="dxa"/>
          </w:tcPr>
          <w:p w14:paraId="394A60EA" w14:textId="77777777" w:rsidR="00F64EA7" w:rsidRPr="00690F9A" w:rsidRDefault="00F64EA7" w:rsidP="00690F9A">
            <w:pPr>
              <w:jc w:val="center"/>
              <w:rPr>
                <w:sz w:val="22"/>
                <w:szCs w:val="22"/>
              </w:rPr>
            </w:pPr>
          </w:p>
        </w:tc>
        <w:tc>
          <w:tcPr>
            <w:tcW w:w="1094" w:type="dxa"/>
          </w:tcPr>
          <w:p w14:paraId="7574C539" w14:textId="77777777" w:rsidR="00F64EA7" w:rsidRPr="00690F9A" w:rsidRDefault="00F64EA7" w:rsidP="00690F9A">
            <w:pPr>
              <w:jc w:val="center"/>
              <w:rPr>
                <w:sz w:val="22"/>
                <w:szCs w:val="22"/>
              </w:rPr>
            </w:pPr>
            <w:r>
              <w:rPr>
                <w:sz w:val="22"/>
                <w:szCs w:val="22"/>
              </w:rPr>
              <w:t>X</w:t>
            </w:r>
          </w:p>
        </w:tc>
        <w:tc>
          <w:tcPr>
            <w:tcW w:w="1094" w:type="dxa"/>
          </w:tcPr>
          <w:p w14:paraId="1BBF2235" w14:textId="77777777" w:rsidR="00F64EA7" w:rsidRPr="00690F9A" w:rsidRDefault="00F64EA7" w:rsidP="00690F9A">
            <w:pPr>
              <w:jc w:val="center"/>
              <w:rPr>
                <w:sz w:val="22"/>
                <w:szCs w:val="22"/>
              </w:rPr>
            </w:pPr>
          </w:p>
        </w:tc>
      </w:tr>
      <w:tr w:rsidR="00F64EA7" w:rsidRPr="00690F9A" w14:paraId="7F6C61E0" w14:textId="77777777" w:rsidTr="00690F9A">
        <w:trPr>
          <w:trHeight w:val="20"/>
        </w:trPr>
        <w:tc>
          <w:tcPr>
            <w:tcW w:w="6066" w:type="dxa"/>
          </w:tcPr>
          <w:p w14:paraId="45711A80" w14:textId="5144E4ED" w:rsidR="00F64EA7" w:rsidRPr="00574773" w:rsidRDefault="00F64EA7" w:rsidP="00F41703">
            <w:pPr>
              <w:rPr>
                <w:sz w:val="22"/>
                <w:szCs w:val="22"/>
                <w:lang w:val="fr-FR"/>
              </w:rPr>
            </w:pPr>
            <w:bookmarkStart w:id="13" w:name="OPN1103" w:colFirst="1" w:colLast="1"/>
            <w:bookmarkStart w:id="14" w:name="OPN1103No" w:colFirst="2" w:colLast="2"/>
            <w:bookmarkEnd w:id="11"/>
            <w:bookmarkEnd w:id="12"/>
            <w:r w:rsidRPr="00E11D15">
              <w:rPr>
                <w:sz w:val="22"/>
                <w:szCs w:val="22"/>
                <w:lang w:val="fr-FR"/>
              </w:rPr>
              <w:t>Re</w:t>
            </w:r>
            <w:r>
              <w:rPr>
                <w:sz w:val="22"/>
                <w:szCs w:val="22"/>
                <w:lang w:val="fr-FR"/>
              </w:rPr>
              <w:t>s</w:t>
            </w:r>
            <w:r w:rsidRPr="00E11D15">
              <w:rPr>
                <w:sz w:val="22"/>
                <w:szCs w:val="22"/>
                <w:lang w:val="fr-FR"/>
              </w:rPr>
              <w:t>sources</w:t>
            </w:r>
            <w:r>
              <w:rPr>
                <w:sz w:val="22"/>
                <w:szCs w:val="22"/>
                <w:lang w:val="fr-FR"/>
              </w:rPr>
              <w:t xml:space="preserve"> culturelles physiques</w:t>
            </w:r>
            <w:r w:rsidRPr="00E11D15">
              <w:rPr>
                <w:sz w:val="22"/>
                <w:szCs w:val="22"/>
                <w:lang w:val="fr-FR"/>
              </w:rPr>
              <w:t xml:space="preserve"> </w:t>
            </w:r>
            <w:r w:rsidRPr="00E17361">
              <w:rPr>
                <w:sz w:val="22"/>
                <w:szCs w:val="22"/>
                <w:lang w:val="fr-FR"/>
              </w:rPr>
              <w:t>(OP/BP 4.11)</w:t>
            </w:r>
          </w:p>
        </w:tc>
        <w:tc>
          <w:tcPr>
            <w:tcW w:w="1260" w:type="dxa"/>
          </w:tcPr>
          <w:p w14:paraId="1F128A14" w14:textId="77777777" w:rsidR="00F64EA7" w:rsidRPr="00574773" w:rsidRDefault="00F64EA7" w:rsidP="00690F9A">
            <w:pPr>
              <w:jc w:val="center"/>
              <w:rPr>
                <w:sz w:val="22"/>
                <w:szCs w:val="22"/>
                <w:lang w:val="fr-FR"/>
              </w:rPr>
            </w:pPr>
          </w:p>
        </w:tc>
        <w:tc>
          <w:tcPr>
            <w:tcW w:w="1094" w:type="dxa"/>
          </w:tcPr>
          <w:p w14:paraId="2547D21F" w14:textId="77777777" w:rsidR="00F64EA7" w:rsidRPr="00690F9A" w:rsidRDefault="00F64EA7" w:rsidP="00690F9A">
            <w:pPr>
              <w:jc w:val="center"/>
              <w:rPr>
                <w:sz w:val="22"/>
                <w:szCs w:val="22"/>
              </w:rPr>
            </w:pPr>
            <w:r>
              <w:rPr>
                <w:sz w:val="22"/>
                <w:szCs w:val="22"/>
              </w:rPr>
              <w:t>X</w:t>
            </w:r>
          </w:p>
        </w:tc>
        <w:tc>
          <w:tcPr>
            <w:tcW w:w="1094" w:type="dxa"/>
          </w:tcPr>
          <w:p w14:paraId="4F54B339" w14:textId="77777777" w:rsidR="00F64EA7" w:rsidRPr="00690F9A" w:rsidRDefault="00F64EA7" w:rsidP="00690F9A">
            <w:pPr>
              <w:jc w:val="center"/>
              <w:rPr>
                <w:sz w:val="22"/>
                <w:szCs w:val="22"/>
              </w:rPr>
            </w:pPr>
          </w:p>
        </w:tc>
      </w:tr>
      <w:tr w:rsidR="00F64EA7" w:rsidRPr="00690F9A" w14:paraId="0EE958C8" w14:textId="77777777" w:rsidTr="00690F9A">
        <w:trPr>
          <w:trHeight w:val="20"/>
        </w:trPr>
        <w:tc>
          <w:tcPr>
            <w:tcW w:w="6066" w:type="dxa"/>
          </w:tcPr>
          <w:p w14:paraId="7BF3DC36" w14:textId="728B23E1" w:rsidR="00F64EA7" w:rsidRPr="00574773" w:rsidRDefault="00F64EA7" w:rsidP="00F41703">
            <w:pPr>
              <w:rPr>
                <w:sz w:val="22"/>
                <w:szCs w:val="22"/>
                <w:lang w:val="fr-FR"/>
              </w:rPr>
            </w:pPr>
            <w:bookmarkStart w:id="15" w:name="OPBP412" w:colFirst="1" w:colLast="1"/>
            <w:bookmarkStart w:id="16" w:name="OPBP412No" w:colFirst="2" w:colLast="2"/>
            <w:bookmarkEnd w:id="13"/>
            <w:bookmarkEnd w:id="14"/>
            <w:r>
              <w:rPr>
                <w:sz w:val="22"/>
                <w:szCs w:val="22"/>
                <w:lang w:val="fr-FR"/>
              </w:rPr>
              <w:t>Réinstallation involontaire de personnes</w:t>
            </w:r>
            <w:r w:rsidRPr="00E11D15">
              <w:rPr>
                <w:sz w:val="22"/>
                <w:szCs w:val="22"/>
                <w:lang w:val="fr-FR"/>
              </w:rPr>
              <w:t xml:space="preserve"> </w:t>
            </w:r>
            <w:r w:rsidRPr="00E17361">
              <w:rPr>
                <w:sz w:val="22"/>
                <w:szCs w:val="22"/>
                <w:lang w:val="fr-FR"/>
              </w:rPr>
              <w:t>(</w:t>
            </w:r>
            <w:hyperlink r:id="rId13" w:history="1">
              <w:r w:rsidRPr="00E17361">
                <w:rPr>
                  <w:rStyle w:val="Hyperlink"/>
                  <w:sz w:val="22"/>
                  <w:szCs w:val="22"/>
                  <w:lang w:val="fr-FR"/>
                </w:rPr>
                <w:t>OP</w:t>
              </w:r>
            </w:hyperlink>
            <w:r w:rsidRPr="00E17361">
              <w:rPr>
                <w:sz w:val="22"/>
                <w:szCs w:val="22"/>
                <w:lang w:val="fr-FR"/>
              </w:rPr>
              <w:t>/</w:t>
            </w:r>
            <w:hyperlink r:id="rId14" w:history="1">
              <w:r w:rsidRPr="00E17361">
                <w:rPr>
                  <w:rStyle w:val="Hyperlink"/>
                  <w:sz w:val="22"/>
                  <w:szCs w:val="22"/>
                  <w:lang w:val="fr-FR"/>
                </w:rPr>
                <w:t>BP</w:t>
              </w:r>
            </w:hyperlink>
            <w:r w:rsidRPr="00E17361">
              <w:rPr>
                <w:sz w:val="22"/>
                <w:szCs w:val="22"/>
                <w:lang w:val="fr-FR"/>
              </w:rPr>
              <w:t xml:space="preserve"> 4.12)</w:t>
            </w:r>
          </w:p>
        </w:tc>
        <w:tc>
          <w:tcPr>
            <w:tcW w:w="1260" w:type="dxa"/>
          </w:tcPr>
          <w:p w14:paraId="5553FDF9" w14:textId="77777777" w:rsidR="00F64EA7" w:rsidRPr="00574773" w:rsidRDefault="00F64EA7" w:rsidP="00690F9A">
            <w:pPr>
              <w:jc w:val="center"/>
              <w:rPr>
                <w:sz w:val="22"/>
                <w:szCs w:val="22"/>
                <w:lang w:val="fr-FR"/>
              </w:rPr>
            </w:pPr>
          </w:p>
        </w:tc>
        <w:tc>
          <w:tcPr>
            <w:tcW w:w="1094" w:type="dxa"/>
          </w:tcPr>
          <w:p w14:paraId="12432B20" w14:textId="77777777" w:rsidR="00F64EA7" w:rsidRPr="00690F9A" w:rsidRDefault="00F64EA7" w:rsidP="00690F9A">
            <w:pPr>
              <w:jc w:val="center"/>
              <w:rPr>
                <w:sz w:val="22"/>
                <w:szCs w:val="22"/>
              </w:rPr>
            </w:pPr>
            <w:r>
              <w:rPr>
                <w:sz w:val="22"/>
                <w:szCs w:val="22"/>
              </w:rPr>
              <w:t>X</w:t>
            </w:r>
          </w:p>
        </w:tc>
        <w:tc>
          <w:tcPr>
            <w:tcW w:w="1094" w:type="dxa"/>
          </w:tcPr>
          <w:p w14:paraId="35DA3328" w14:textId="77777777" w:rsidR="00F64EA7" w:rsidRPr="00690F9A" w:rsidRDefault="00F64EA7" w:rsidP="00690F9A">
            <w:pPr>
              <w:jc w:val="center"/>
              <w:rPr>
                <w:sz w:val="22"/>
                <w:szCs w:val="22"/>
              </w:rPr>
            </w:pPr>
          </w:p>
        </w:tc>
      </w:tr>
      <w:tr w:rsidR="00F64EA7" w:rsidRPr="00690F9A" w14:paraId="1BDE0431" w14:textId="77777777" w:rsidTr="00690F9A">
        <w:trPr>
          <w:trHeight w:val="20"/>
        </w:trPr>
        <w:tc>
          <w:tcPr>
            <w:tcW w:w="6066" w:type="dxa"/>
          </w:tcPr>
          <w:p w14:paraId="28FF9C91" w14:textId="2FBC4179" w:rsidR="00F64EA7" w:rsidRPr="00690F9A" w:rsidRDefault="00F64EA7" w:rsidP="00F41703">
            <w:pPr>
              <w:rPr>
                <w:sz w:val="22"/>
                <w:szCs w:val="22"/>
              </w:rPr>
            </w:pPr>
            <w:bookmarkStart w:id="17" w:name="OD420" w:colFirst="1" w:colLast="1"/>
            <w:bookmarkStart w:id="18" w:name="OD420No" w:colFirst="2" w:colLast="2"/>
            <w:bookmarkEnd w:id="15"/>
            <w:bookmarkEnd w:id="16"/>
            <w:r>
              <w:rPr>
                <w:sz w:val="22"/>
                <w:szCs w:val="22"/>
                <w:lang w:val="fr-FR"/>
              </w:rPr>
              <w:t>Populations autochtones</w:t>
            </w:r>
            <w:r w:rsidRPr="00E11D15">
              <w:rPr>
                <w:sz w:val="22"/>
                <w:szCs w:val="22"/>
                <w:lang w:val="fr-FR"/>
              </w:rPr>
              <w:t xml:space="preserve"> </w:t>
            </w:r>
            <w:proofErr w:type="gramStart"/>
            <w:r w:rsidRPr="00E17361">
              <w:rPr>
                <w:sz w:val="22"/>
                <w:szCs w:val="22"/>
                <w:lang w:val="fr-FR"/>
              </w:rPr>
              <w:t>(</w:t>
            </w:r>
            <w:r w:rsidRPr="00E17361">
              <w:rPr>
                <w:color w:val="3366FF"/>
                <w:sz w:val="22"/>
                <w:szCs w:val="22"/>
                <w:u w:val="single"/>
                <w:lang w:val="fr-FR"/>
              </w:rPr>
              <w:t xml:space="preserve"> OP</w:t>
            </w:r>
            <w:proofErr w:type="gramEnd"/>
            <w:r w:rsidRPr="00E17361">
              <w:rPr>
                <w:color w:val="3366FF"/>
                <w:sz w:val="22"/>
                <w:szCs w:val="22"/>
                <w:u w:val="single"/>
                <w:lang w:val="fr-FR"/>
              </w:rPr>
              <w:t xml:space="preserve">/BP </w:t>
            </w:r>
            <w:r w:rsidRPr="00E17361">
              <w:rPr>
                <w:sz w:val="22"/>
                <w:szCs w:val="22"/>
                <w:lang w:val="fr-FR"/>
              </w:rPr>
              <w:t>4.10)</w:t>
            </w:r>
          </w:p>
        </w:tc>
        <w:tc>
          <w:tcPr>
            <w:tcW w:w="1260" w:type="dxa"/>
          </w:tcPr>
          <w:p w14:paraId="71262B15" w14:textId="77777777" w:rsidR="00F64EA7" w:rsidRPr="00690F9A" w:rsidRDefault="00F64EA7" w:rsidP="00690F9A">
            <w:pPr>
              <w:jc w:val="center"/>
              <w:rPr>
                <w:sz w:val="22"/>
                <w:szCs w:val="22"/>
              </w:rPr>
            </w:pPr>
          </w:p>
        </w:tc>
        <w:tc>
          <w:tcPr>
            <w:tcW w:w="1094" w:type="dxa"/>
          </w:tcPr>
          <w:p w14:paraId="604FBE9C" w14:textId="77777777" w:rsidR="00F64EA7" w:rsidRPr="00690F9A" w:rsidRDefault="00F64EA7" w:rsidP="00690F9A">
            <w:pPr>
              <w:jc w:val="center"/>
              <w:rPr>
                <w:sz w:val="22"/>
                <w:szCs w:val="22"/>
              </w:rPr>
            </w:pPr>
            <w:r>
              <w:rPr>
                <w:sz w:val="22"/>
                <w:szCs w:val="22"/>
              </w:rPr>
              <w:t>X</w:t>
            </w:r>
          </w:p>
        </w:tc>
        <w:tc>
          <w:tcPr>
            <w:tcW w:w="1094" w:type="dxa"/>
          </w:tcPr>
          <w:p w14:paraId="6E505BC8" w14:textId="77777777" w:rsidR="00F64EA7" w:rsidRPr="00690F9A" w:rsidRDefault="00F64EA7" w:rsidP="00690F9A">
            <w:pPr>
              <w:jc w:val="center"/>
              <w:rPr>
                <w:sz w:val="22"/>
                <w:szCs w:val="22"/>
              </w:rPr>
            </w:pPr>
          </w:p>
        </w:tc>
      </w:tr>
      <w:tr w:rsidR="00F64EA7" w:rsidRPr="00690F9A" w14:paraId="1CE5AC00" w14:textId="77777777" w:rsidTr="00690F9A">
        <w:trPr>
          <w:trHeight w:val="20"/>
        </w:trPr>
        <w:tc>
          <w:tcPr>
            <w:tcW w:w="6066" w:type="dxa"/>
          </w:tcPr>
          <w:p w14:paraId="2F537B15" w14:textId="03BFC431" w:rsidR="00F64EA7" w:rsidRPr="00690F9A" w:rsidRDefault="00F64EA7" w:rsidP="00F41703">
            <w:pPr>
              <w:rPr>
                <w:sz w:val="22"/>
                <w:szCs w:val="22"/>
              </w:rPr>
            </w:pPr>
            <w:bookmarkStart w:id="19" w:name="OPBP436" w:colFirst="1" w:colLast="1"/>
            <w:bookmarkStart w:id="20" w:name="OPBP436No" w:colFirst="2" w:colLast="2"/>
            <w:bookmarkEnd w:id="17"/>
            <w:bookmarkEnd w:id="18"/>
            <w:r>
              <w:rPr>
                <w:sz w:val="22"/>
                <w:szCs w:val="22"/>
                <w:lang w:val="fr-FR"/>
              </w:rPr>
              <w:t>Forê</w:t>
            </w:r>
            <w:r w:rsidRPr="00E11D15">
              <w:rPr>
                <w:sz w:val="22"/>
                <w:szCs w:val="22"/>
                <w:lang w:val="fr-FR"/>
              </w:rPr>
              <w:t>ts</w:t>
            </w:r>
            <w:r w:rsidRPr="00E17361">
              <w:rPr>
                <w:sz w:val="22"/>
                <w:szCs w:val="22"/>
                <w:lang w:val="fr-FR"/>
              </w:rPr>
              <w:t xml:space="preserve"> (</w:t>
            </w:r>
            <w:hyperlink r:id="rId15" w:history="1">
              <w:r w:rsidRPr="00E17361">
                <w:rPr>
                  <w:rStyle w:val="Hyperlink"/>
                  <w:sz w:val="22"/>
                  <w:szCs w:val="22"/>
                  <w:lang w:val="fr-FR"/>
                </w:rPr>
                <w:t>OP</w:t>
              </w:r>
            </w:hyperlink>
            <w:r w:rsidRPr="00E17361">
              <w:rPr>
                <w:sz w:val="22"/>
                <w:szCs w:val="22"/>
                <w:lang w:val="fr-FR"/>
              </w:rPr>
              <w:t>/</w:t>
            </w:r>
            <w:hyperlink r:id="rId16" w:history="1">
              <w:r w:rsidRPr="00E17361">
                <w:rPr>
                  <w:rStyle w:val="Hyperlink"/>
                  <w:sz w:val="22"/>
                  <w:szCs w:val="22"/>
                  <w:lang w:val="fr-FR"/>
                </w:rPr>
                <w:t>BP</w:t>
              </w:r>
            </w:hyperlink>
            <w:r w:rsidRPr="00E17361">
              <w:rPr>
                <w:sz w:val="22"/>
                <w:szCs w:val="22"/>
                <w:lang w:val="fr-FR"/>
              </w:rPr>
              <w:t xml:space="preserve"> 4.36)</w:t>
            </w:r>
          </w:p>
        </w:tc>
        <w:tc>
          <w:tcPr>
            <w:tcW w:w="1260" w:type="dxa"/>
          </w:tcPr>
          <w:p w14:paraId="30A59FB5" w14:textId="77777777" w:rsidR="00F64EA7" w:rsidRPr="00690F9A" w:rsidRDefault="00F64EA7" w:rsidP="00690F9A">
            <w:pPr>
              <w:jc w:val="center"/>
              <w:rPr>
                <w:sz w:val="22"/>
                <w:szCs w:val="22"/>
              </w:rPr>
            </w:pPr>
          </w:p>
        </w:tc>
        <w:tc>
          <w:tcPr>
            <w:tcW w:w="1094" w:type="dxa"/>
          </w:tcPr>
          <w:p w14:paraId="5CECBCBE" w14:textId="77777777" w:rsidR="00F64EA7" w:rsidRPr="00690F9A" w:rsidRDefault="00F64EA7" w:rsidP="00690F9A">
            <w:pPr>
              <w:jc w:val="center"/>
              <w:rPr>
                <w:sz w:val="22"/>
                <w:szCs w:val="22"/>
              </w:rPr>
            </w:pPr>
            <w:r>
              <w:rPr>
                <w:sz w:val="22"/>
                <w:szCs w:val="22"/>
              </w:rPr>
              <w:t>X</w:t>
            </w:r>
          </w:p>
        </w:tc>
        <w:tc>
          <w:tcPr>
            <w:tcW w:w="1094" w:type="dxa"/>
          </w:tcPr>
          <w:p w14:paraId="0111A4A3" w14:textId="77777777" w:rsidR="00F64EA7" w:rsidRPr="00690F9A" w:rsidRDefault="00F64EA7" w:rsidP="00690F9A">
            <w:pPr>
              <w:jc w:val="center"/>
              <w:rPr>
                <w:sz w:val="22"/>
                <w:szCs w:val="22"/>
              </w:rPr>
            </w:pPr>
          </w:p>
        </w:tc>
      </w:tr>
      <w:tr w:rsidR="00F64EA7" w:rsidRPr="00690F9A" w14:paraId="7BEE8EE8" w14:textId="77777777" w:rsidTr="00690F9A">
        <w:trPr>
          <w:trHeight w:val="20"/>
        </w:trPr>
        <w:tc>
          <w:tcPr>
            <w:tcW w:w="6066" w:type="dxa"/>
          </w:tcPr>
          <w:p w14:paraId="32044AFA" w14:textId="2C1B3A68" w:rsidR="00F64EA7" w:rsidRPr="00574773" w:rsidRDefault="00F64EA7" w:rsidP="00F41703">
            <w:pPr>
              <w:rPr>
                <w:sz w:val="22"/>
                <w:szCs w:val="22"/>
                <w:lang w:val="fr-FR"/>
              </w:rPr>
            </w:pPr>
            <w:bookmarkStart w:id="21" w:name="OPBP437" w:colFirst="1" w:colLast="1"/>
            <w:bookmarkStart w:id="22" w:name="OPBP437No" w:colFirst="2" w:colLast="2"/>
            <w:bookmarkEnd w:id="19"/>
            <w:bookmarkEnd w:id="20"/>
            <w:r>
              <w:rPr>
                <w:sz w:val="22"/>
                <w:szCs w:val="22"/>
                <w:lang w:val="fr-FR"/>
              </w:rPr>
              <w:t>Sécurité des barrages</w:t>
            </w:r>
            <w:r w:rsidRPr="00E11D15">
              <w:rPr>
                <w:sz w:val="22"/>
                <w:szCs w:val="22"/>
                <w:lang w:val="fr-FR"/>
              </w:rPr>
              <w:t xml:space="preserve"> </w:t>
            </w:r>
            <w:r w:rsidRPr="00E17361">
              <w:rPr>
                <w:sz w:val="22"/>
                <w:szCs w:val="22"/>
                <w:lang w:val="fr-FR"/>
              </w:rPr>
              <w:t>(</w:t>
            </w:r>
            <w:hyperlink r:id="rId17" w:history="1">
              <w:r w:rsidRPr="00E17361">
                <w:rPr>
                  <w:rStyle w:val="Hyperlink"/>
                  <w:sz w:val="22"/>
                  <w:szCs w:val="22"/>
                  <w:lang w:val="fr-FR"/>
                </w:rPr>
                <w:t>OP</w:t>
              </w:r>
            </w:hyperlink>
            <w:r w:rsidRPr="00E17361">
              <w:rPr>
                <w:sz w:val="22"/>
                <w:szCs w:val="22"/>
                <w:lang w:val="fr-FR"/>
              </w:rPr>
              <w:t>/</w:t>
            </w:r>
            <w:hyperlink r:id="rId18" w:history="1">
              <w:r w:rsidRPr="00E17361">
                <w:rPr>
                  <w:rStyle w:val="Hyperlink"/>
                  <w:sz w:val="22"/>
                  <w:szCs w:val="22"/>
                  <w:lang w:val="fr-FR"/>
                </w:rPr>
                <w:t>BP</w:t>
              </w:r>
            </w:hyperlink>
            <w:r w:rsidRPr="00E17361">
              <w:rPr>
                <w:sz w:val="22"/>
                <w:szCs w:val="22"/>
                <w:lang w:val="fr-FR"/>
              </w:rPr>
              <w:t xml:space="preserve"> 4.37)</w:t>
            </w:r>
          </w:p>
        </w:tc>
        <w:tc>
          <w:tcPr>
            <w:tcW w:w="1260" w:type="dxa"/>
          </w:tcPr>
          <w:p w14:paraId="69BD2907" w14:textId="77777777" w:rsidR="00F64EA7" w:rsidRPr="00574773" w:rsidRDefault="00F64EA7" w:rsidP="00690F9A">
            <w:pPr>
              <w:jc w:val="center"/>
              <w:rPr>
                <w:sz w:val="22"/>
                <w:szCs w:val="22"/>
                <w:lang w:val="fr-FR"/>
              </w:rPr>
            </w:pPr>
          </w:p>
        </w:tc>
        <w:tc>
          <w:tcPr>
            <w:tcW w:w="1094" w:type="dxa"/>
          </w:tcPr>
          <w:p w14:paraId="18DBEFB0" w14:textId="77777777" w:rsidR="00F64EA7" w:rsidRPr="00690F9A" w:rsidRDefault="00F64EA7" w:rsidP="00690F9A">
            <w:pPr>
              <w:jc w:val="center"/>
              <w:rPr>
                <w:sz w:val="22"/>
                <w:szCs w:val="22"/>
              </w:rPr>
            </w:pPr>
            <w:r>
              <w:rPr>
                <w:sz w:val="22"/>
                <w:szCs w:val="22"/>
              </w:rPr>
              <w:t>X</w:t>
            </w:r>
          </w:p>
        </w:tc>
        <w:tc>
          <w:tcPr>
            <w:tcW w:w="1094" w:type="dxa"/>
          </w:tcPr>
          <w:p w14:paraId="4886F194" w14:textId="77777777" w:rsidR="00F64EA7" w:rsidRPr="00690F9A" w:rsidRDefault="00F64EA7" w:rsidP="00690F9A">
            <w:pPr>
              <w:jc w:val="center"/>
              <w:rPr>
                <w:sz w:val="22"/>
                <w:szCs w:val="22"/>
              </w:rPr>
            </w:pPr>
          </w:p>
        </w:tc>
      </w:tr>
      <w:tr w:rsidR="00F64EA7" w:rsidRPr="00690F9A" w14:paraId="32F9DFD6" w14:textId="77777777" w:rsidTr="00690F9A">
        <w:trPr>
          <w:trHeight w:val="20"/>
        </w:trPr>
        <w:tc>
          <w:tcPr>
            <w:tcW w:w="6066" w:type="dxa"/>
          </w:tcPr>
          <w:p w14:paraId="09ED59D0" w14:textId="2BDB1CD1" w:rsidR="00F64EA7" w:rsidRPr="00574773" w:rsidRDefault="00F64EA7" w:rsidP="00F41703">
            <w:pPr>
              <w:rPr>
                <w:sz w:val="22"/>
                <w:szCs w:val="22"/>
                <w:lang w:val="fr-FR"/>
              </w:rPr>
            </w:pPr>
            <w:bookmarkStart w:id="23" w:name="OPBPGP760" w:colFirst="1" w:colLast="1"/>
            <w:bookmarkStart w:id="24" w:name="OPBPGP760No" w:colFirst="2" w:colLast="2"/>
            <w:bookmarkEnd w:id="21"/>
            <w:bookmarkEnd w:id="22"/>
            <w:r>
              <w:rPr>
                <w:sz w:val="22"/>
                <w:szCs w:val="22"/>
                <w:lang w:val="fr-FR"/>
              </w:rPr>
              <w:t>Projets dans des zones en litige</w:t>
            </w:r>
            <w:r w:rsidRPr="00E11D15">
              <w:rPr>
                <w:sz w:val="22"/>
                <w:szCs w:val="22"/>
                <w:lang w:val="fr-FR"/>
              </w:rPr>
              <w:t xml:space="preserve"> </w:t>
            </w:r>
            <w:r w:rsidRPr="00E17361">
              <w:rPr>
                <w:sz w:val="22"/>
                <w:szCs w:val="22"/>
                <w:lang w:val="fr-FR"/>
              </w:rPr>
              <w:t>(</w:t>
            </w:r>
            <w:hyperlink r:id="rId19" w:history="1">
              <w:r w:rsidRPr="00E17361">
                <w:rPr>
                  <w:rStyle w:val="Hyperlink"/>
                  <w:sz w:val="22"/>
                  <w:szCs w:val="22"/>
                  <w:lang w:val="fr-FR"/>
                </w:rPr>
                <w:t>OP</w:t>
              </w:r>
            </w:hyperlink>
            <w:r w:rsidRPr="00E17361">
              <w:rPr>
                <w:sz w:val="22"/>
                <w:szCs w:val="22"/>
                <w:lang w:val="fr-FR"/>
              </w:rPr>
              <w:t>/</w:t>
            </w:r>
            <w:hyperlink r:id="rId20" w:history="1">
              <w:r w:rsidRPr="00E17361">
                <w:rPr>
                  <w:rStyle w:val="Hyperlink"/>
                  <w:sz w:val="22"/>
                  <w:szCs w:val="22"/>
                  <w:lang w:val="fr-FR"/>
                </w:rPr>
                <w:t>BP</w:t>
              </w:r>
            </w:hyperlink>
            <w:r w:rsidRPr="00E17361">
              <w:rPr>
                <w:sz w:val="22"/>
                <w:szCs w:val="22"/>
                <w:lang w:val="fr-FR"/>
              </w:rPr>
              <w:t xml:space="preserve"> 7.60)</w:t>
            </w:r>
            <w:r w:rsidRPr="00E17361">
              <w:rPr>
                <w:rStyle w:val="FootnoteReference"/>
                <w:sz w:val="22"/>
                <w:szCs w:val="22"/>
                <w:lang w:val="fr-FR"/>
              </w:rPr>
              <w:footnoteReference w:customMarkFollows="1" w:id="13"/>
              <w:t>*</w:t>
            </w:r>
          </w:p>
        </w:tc>
        <w:tc>
          <w:tcPr>
            <w:tcW w:w="1260" w:type="dxa"/>
          </w:tcPr>
          <w:p w14:paraId="719B3A08" w14:textId="77777777" w:rsidR="00F64EA7" w:rsidRPr="00574773" w:rsidRDefault="00F64EA7" w:rsidP="00690F9A">
            <w:pPr>
              <w:jc w:val="center"/>
              <w:rPr>
                <w:sz w:val="22"/>
                <w:szCs w:val="22"/>
                <w:lang w:val="fr-FR"/>
              </w:rPr>
            </w:pPr>
          </w:p>
        </w:tc>
        <w:tc>
          <w:tcPr>
            <w:tcW w:w="1094" w:type="dxa"/>
          </w:tcPr>
          <w:p w14:paraId="6B0E2AF5" w14:textId="77777777" w:rsidR="00F64EA7" w:rsidRPr="00690F9A" w:rsidRDefault="00F64EA7" w:rsidP="00690F9A">
            <w:pPr>
              <w:jc w:val="center"/>
              <w:rPr>
                <w:sz w:val="22"/>
                <w:szCs w:val="22"/>
              </w:rPr>
            </w:pPr>
            <w:r>
              <w:rPr>
                <w:sz w:val="22"/>
                <w:szCs w:val="22"/>
              </w:rPr>
              <w:t>X</w:t>
            </w:r>
          </w:p>
        </w:tc>
        <w:tc>
          <w:tcPr>
            <w:tcW w:w="1094" w:type="dxa"/>
          </w:tcPr>
          <w:p w14:paraId="1992E222" w14:textId="77777777" w:rsidR="00F64EA7" w:rsidRPr="00690F9A" w:rsidRDefault="00F64EA7" w:rsidP="00690F9A">
            <w:pPr>
              <w:jc w:val="center"/>
              <w:rPr>
                <w:sz w:val="22"/>
                <w:szCs w:val="22"/>
              </w:rPr>
            </w:pPr>
          </w:p>
        </w:tc>
      </w:tr>
      <w:tr w:rsidR="00F64EA7" w:rsidRPr="00690F9A" w14:paraId="7DA098C1" w14:textId="77777777" w:rsidTr="00690F9A">
        <w:trPr>
          <w:trHeight w:val="20"/>
        </w:trPr>
        <w:tc>
          <w:tcPr>
            <w:tcW w:w="6066" w:type="dxa"/>
          </w:tcPr>
          <w:p w14:paraId="370CD209" w14:textId="56757B3B" w:rsidR="00F64EA7" w:rsidRPr="00574773" w:rsidRDefault="00F64EA7" w:rsidP="00F41703">
            <w:pPr>
              <w:rPr>
                <w:sz w:val="22"/>
                <w:szCs w:val="22"/>
                <w:lang w:val="fr-FR"/>
              </w:rPr>
            </w:pPr>
            <w:bookmarkStart w:id="25" w:name="OPBPGP750" w:colFirst="1" w:colLast="1"/>
            <w:bookmarkStart w:id="26" w:name="OPBPGP750No" w:colFirst="2" w:colLast="2"/>
            <w:bookmarkEnd w:id="23"/>
            <w:bookmarkEnd w:id="24"/>
            <w:r>
              <w:rPr>
                <w:sz w:val="22"/>
                <w:szCs w:val="22"/>
                <w:lang w:val="fr-FR"/>
              </w:rPr>
              <w:t>Projets relatifs aux voies d’eau internationales</w:t>
            </w:r>
            <w:r w:rsidRPr="00E11D15">
              <w:rPr>
                <w:sz w:val="22"/>
                <w:szCs w:val="22"/>
                <w:lang w:val="fr-FR"/>
              </w:rPr>
              <w:t xml:space="preserve"> </w:t>
            </w:r>
            <w:r w:rsidRPr="00E17361">
              <w:rPr>
                <w:sz w:val="22"/>
                <w:szCs w:val="22"/>
                <w:lang w:val="fr-FR"/>
              </w:rPr>
              <w:t>(</w:t>
            </w:r>
            <w:hyperlink r:id="rId21" w:history="1">
              <w:r w:rsidRPr="00E17361">
                <w:rPr>
                  <w:rStyle w:val="Hyperlink"/>
                  <w:sz w:val="22"/>
                  <w:szCs w:val="22"/>
                  <w:lang w:val="fr-FR"/>
                </w:rPr>
                <w:t>OP</w:t>
              </w:r>
            </w:hyperlink>
            <w:r w:rsidRPr="00E17361">
              <w:rPr>
                <w:sz w:val="22"/>
                <w:szCs w:val="22"/>
                <w:lang w:val="fr-FR"/>
              </w:rPr>
              <w:t>/</w:t>
            </w:r>
            <w:hyperlink r:id="rId22" w:history="1">
              <w:r w:rsidRPr="00E17361">
                <w:rPr>
                  <w:rStyle w:val="Hyperlink"/>
                  <w:sz w:val="22"/>
                  <w:szCs w:val="22"/>
                  <w:lang w:val="fr-FR"/>
                </w:rPr>
                <w:t>BP</w:t>
              </w:r>
            </w:hyperlink>
            <w:r w:rsidRPr="00E17361">
              <w:rPr>
                <w:sz w:val="22"/>
                <w:szCs w:val="22"/>
                <w:lang w:val="fr-FR"/>
              </w:rPr>
              <w:t xml:space="preserve"> 7.50)</w:t>
            </w:r>
          </w:p>
        </w:tc>
        <w:tc>
          <w:tcPr>
            <w:tcW w:w="1260" w:type="dxa"/>
          </w:tcPr>
          <w:p w14:paraId="01E26D14" w14:textId="77777777" w:rsidR="00F64EA7" w:rsidRPr="00574773" w:rsidRDefault="00F64EA7" w:rsidP="00690F9A">
            <w:pPr>
              <w:jc w:val="center"/>
              <w:rPr>
                <w:sz w:val="22"/>
                <w:szCs w:val="22"/>
                <w:lang w:val="fr-FR"/>
              </w:rPr>
            </w:pPr>
          </w:p>
        </w:tc>
        <w:tc>
          <w:tcPr>
            <w:tcW w:w="1094" w:type="dxa"/>
          </w:tcPr>
          <w:p w14:paraId="667F4884" w14:textId="77777777" w:rsidR="00F64EA7" w:rsidRPr="00690F9A" w:rsidRDefault="00F64EA7" w:rsidP="00690F9A">
            <w:pPr>
              <w:jc w:val="center"/>
              <w:rPr>
                <w:sz w:val="22"/>
                <w:szCs w:val="22"/>
              </w:rPr>
            </w:pPr>
            <w:r>
              <w:rPr>
                <w:sz w:val="22"/>
                <w:szCs w:val="22"/>
              </w:rPr>
              <w:t>X</w:t>
            </w:r>
          </w:p>
        </w:tc>
        <w:tc>
          <w:tcPr>
            <w:tcW w:w="1094" w:type="dxa"/>
          </w:tcPr>
          <w:p w14:paraId="3C0DEF42" w14:textId="77777777" w:rsidR="00F64EA7" w:rsidRPr="00690F9A" w:rsidRDefault="00F64EA7" w:rsidP="00690F9A">
            <w:pPr>
              <w:jc w:val="center"/>
              <w:rPr>
                <w:sz w:val="22"/>
                <w:szCs w:val="22"/>
              </w:rPr>
            </w:pPr>
          </w:p>
        </w:tc>
      </w:tr>
      <w:bookmarkEnd w:id="25"/>
      <w:bookmarkEnd w:id="26"/>
    </w:tbl>
    <w:p w14:paraId="151125E4" w14:textId="77777777" w:rsidR="00A126FA" w:rsidRDefault="00A126FA" w:rsidP="00A126FA"/>
    <w:p w14:paraId="4DE76662" w14:textId="77777777" w:rsidR="006B7647" w:rsidRDefault="006B7647" w:rsidP="003723D9">
      <w:pPr>
        <w:rPr>
          <w:b/>
        </w:rPr>
      </w:pPr>
    </w:p>
    <w:p w14:paraId="1D18B574" w14:textId="4E5D4AB4" w:rsidR="001972C6" w:rsidRPr="001972C6" w:rsidRDefault="001972C6" w:rsidP="001972C6">
      <w:pPr>
        <w:numPr>
          <w:ilvl w:val="0"/>
          <w:numId w:val="24"/>
        </w:numPr>
        <w:rPr>
          <w:b/>
          <w:lang w:val="fr-FR"/>
        </w:rPr>
      </w:pPr>
      <w:r>
        <w:rPr>
          <w:b/>
          <w:lang w:val="fr-FR"/>
        </w:rPr>
        <w:t>Point de Contact</w:t>
      </w:r>
    </w:p>
    <w:p w14:paraId="0DDB15B4" w14:textId="77777777" w:rsidR="001972C6" w:rsidRDefault="001972C6" w:rsidP="001972C6">
      <w:pPr>
        <w:rPr>
          <w:b/>
          <w:lang w:val="fr-FR"/>
        </w:rPr>
      </w:pPr>
    </w:p>
    <w:p w14:paraId="28DC48B3" w14:textId="77777777" w:rsidR="001972C6" w:rsidRPr="001972C6" w:rsidRDefault="001972C6" w:rsidP="001972C6">
      <w:pPr>
        <w:rPr>
          <w:b/>
          <w:lang w:val="fr-FR"/>
        </w:rPr>
      </w:pPr>
      <w:r w:rsidRPr="001972C6">
        <w:rPr>
          <w:b/>
          <w:lang w:val="fr-FR"/>
        </w:rPr>
        <w:t>La Banque Mondiale</w:t>
      </w:r>
    </w:p>
    <w:p w14:paraId="0EC13694" w14:textId="6C07BD65" w:rsidR="008F0B46" w:rsidRPr="00BB31C9" w:rsidRDefault="001972C6" w:rsidP="001972C6">
      <w:pPr>
        <w:rPr>
          <w:lang w:val="fr-FR"/>
        </w:rPr>
      </w:pPr>
      <w:r w:rsidRPr="00BB31C9">
        <w:rPr>
          <w:lang w:val="fr-FR"/>
        </w:rPr>
        <w:t xml:space="preserve">Contact : </w:t>
      </w:r>
      <w:r w:rsidRPr="00BB31C9">
        <w:rPr>
          <w:lang w:val="fr-FR"/>
        </w:rPr>
        <w:tab/>
      </w:r>
      <w:r w:rsidR="000470F0" w:rsidRPr="00BB31C9">
        <w:rPr>
          <w:lang w:val="fr-FR"/>
        </w:rPr>
        <w:t xml:space="preserve">Stefanie </w:t>
      </w:r>
      <w:proofErr w:type="spellStart"/>
      <w:r w:rsidR="000470F0" w:rsidRPr="00BB31C9">
        <w:rPr>
          <w:lang w:val="fr-FR"/>
        </w:rPr>
        <w:t>Koettl-Brodmann</w:t>
      </w:r>
      <w:proofErr w:type="spellEnd"/>
    </w:p>
    <w:p w14:paraId="25578D08" w14:textId="77511D74" w:rsidR="008F0B46" w:rsidRPr="00BB31C9" w:rsidRDefault="001972C6" w:rsidP="008F0B46">
      <w:pPr>
        <w:rPr>
          <w:lang w:val="fr-FR"/>
        </w:rPr>
      </w:pPr>
      <w:r w:rsidRPr="00BB31C9">
        <w:rPr>
          <w:lang w:val="fr-FR"/>
        </w:rPr>
        <w:t>Titr</w:t>
      </w:r>
      <w:r w:rsidR="00CD589A" w:rsidRPr="00BB31C9">
        <w:rPr>
          <w:lang w:val="fr-FR"/>
        </w:rPr>
        <w:t>e:</w:t>
      </w:r>
      <w:r w:rsidR="00CD589A" w:rsidRPr="00BB31C9">
        <w:rPr>
          <w:lang w:val="fr-FR"/>
        </w:rPr>
        <w:tab/>
        <w:t xml:space="preserve">           </w:t>
      </w:r>
      <w:r w:rsidRPr="00BB31C9">
        <w:rPr>
          <w:lang w:val="fr-FR"/>
        </w:rPr>
        <w:tab/>
        <w:t>É</w:t>
      </w:r>
      <w:r w:rsidR="000470F0" w:rsidRPr="00BB31C9">
        <w:rPr>
          <w:lang w:val="fr-FR"/>
        </w:rPr>
        <w:t>conomist</w:t>
      </w:r>
      <w:r w:rsidR="00BB31C9">
        <w:rPr>
          <w:lang w:val="fr-FR"/>
        </w:rPr>
        <w:t>e</w:t>
      </w:r>
      <w:r w:rsidR="00BA3A7E">
        <w:rPr>
          <w:lang w:val="fr-FR"/>
        </w:rPr>
        <w:t xml:space="preserve"> Senior</w:t>
      </w:r>
    </w:p>
    <w:p w14:paraId="2ACA2767" w14:textId="67CD3DDB" w:rsidR="008F0B46" w:rsidRPr="00BB31C9" w:rsidRDefault="001972C6" w:rsidP="008F0B46">
      <w:pPr>
        <w:rPr>
          <w:lang w:val="fr-FR"/>
        </w:rPr>
      </w:pPr>
      <w:r w:rsidRPr="00BB31C9">
        <w:rPr>
          <w:lang w:val="fr-FR"/>
        </w:rPr>
        <w:t>Té</w:t>
      </w:r>
      <w:r w:rsidR="00CD589A" w:rsidRPr="00BB31C9">
        <w:rPr>
          <w:lang w:val="fr-FR"/>
        </w:rPr>
        <w:t>l:</w:t>
      </w:r>
      <w:r w:rsidR="00CD589A" w:rsidRPr="00BB31C9">
        <w:rPr>
          <w:lang w:val="fr-FR"/>
        </w:rPr>
        <w:tab/>
      </w:r>
      <w:r w:rsidR="00CD589A" w:rsidRPr="00BB31C9">
        <w:rPr>
          <w:lang w:val="fr-FR"/>
        </w:rPr>
        <w:tab/>
      </w:r>
      <w:r w:rsidR="000470F0" w:rsidRPr="00BB31C9">
        <w:rPr>
          <w:lang w:val="fr-FR"/>
        </w:rPr>
        <w:t>+</w:t>
      </w:r>
      <w:r w:rsidR="00CD589A" w:rsidRPr="00BB31C9">
        <w:rPr>
          <w:lang w:val="fr-FR"/>
        </w:rPr>
        <w:t>1 (202) 4</w:t>
      </w:r>
      <w:r w:rsidR="000470F0" w:rsidRPr="00BB31C9">
        <w:rPr>
          <w:lang w:val="fr-FR"/>
        </w:rPr>
        <w:t>73-7164</w:t>
      </w:r>
      <w:r w:rsidR="008F0B46" w:rsidRPr="00BB31C9">
        <w:rPr>
          <w:lang w:val="fr-FR"/>
        </w:rPr>
        <w:tab/>
      </w:r>
    </w:p>
    <w:p w14:paraId="28565670" w14:textId="77777777" w:rsidR="008F0B46" w:rsidRPr="00BB31C9" w:rsidRDefault="008F0B46" w:rsidP="008F0B46">
      <w:pPr>
        <w:rPr>
          <w:lang w:val="fr-FR"/>
        </w:rPr>
      </w:pPr>
      <w:r w:rsidRPr="00BB31C9">
        <w:rPr>
          <w:lang w:val="fr-FR"/>
        </w:rPr>
        <w:t>Email:</w:t>
      </w:r>
      <w:r w:rsidRPr="00BB31C9">
        <w:rPr>
          <w:lang w:val="fr-FR"/>
        </w:rPr>
        <w:tab/>
      </w:r>
      <w:r w:rsidRPr="00BB31C9">
        <w:rPr>
          <w:lang w:val="fr-FR"/>
        </w:rPr>
        <w:tab/>
      </w:r>
      <w:r w:rsidR="000470F0" w:rsidRPr="00BB31C9">
        <w:rPr>
          <w:lang w:val="fr-FR"/>
        </w:rPr>
        <w:t>sbrodmann</w:t>
      </w:r>
      <w:r w:rsidR="00CD589A" w:rsidRPr="00BB31C9">
        <w:rPr>
          <w:lang w:val="fr-FR"/>
        </w:rPr>
        <w:t>@worldbank.org</w:t>
      </w:r>
    </w:p>
    <w:p w14:paraId="133ECD20" w14:textId="77777777" w:rsidR="008F0B46" w:rsidRPr="00BB31C9" w:rsidRDefault="008F0B46" w:rsidP="008F0B46">
      <w:pPr>
        <w:rPr>
          <w:lang w:val="fr-FR"/>
        </w:rPr>
      </w:pPr>
    </w:p>
    <w:p w14:paraId="351D2F2A" w14:textId="77777777" w:rsidR="001972C6" w:rsidRPr="00BB31C9" w:rsidRDefault="001972C6" w:rsidP="001972C6">
      <w:pPr>
        <w:rPr>
          <w:b/>
          <w:lang w:val="fr-FR"/>
        </w:rPr>
      </w:pPr>
      <w:r w:rsidRPr="00BB31C9">
        <w:rPr>
          <w:b/>
          <w:lang w:val="fr-FR"/>
        </w:rPr>
        <w:t>Emprunteur / Client / Bénéficiaire</w:t>
      </w:r>
    </w:p>
    <w:p w14:paraId="7472602F" w14:textId="3BA71B66" w:rsidR="008F0B46" w:rsidRPr="00BB31C9" w:rsidRDefault="008F0B46" w:rsidP="00203273">
      <w:pPr>
        <w:rPr>
          <w:lang w:val="fr-FR"/>
        </w:rPr>
      </w:pPr>
      <w:r w:rsidRPr="00BB31C9">
        <w:rPr>
          <w:lang w:val="fr-FR"/>
        </w:rPr>
        <w:t>Contact:</w:t>
      </w:r>
      <w:r w:rsidR="00A83E3D" w:rsidRPr="00BB31C9">
        <w:rPr>
          <w:lang w:val="fr-FR"/>
        </w:rPr>
        <w:t xml:space="preserve">  </w:t>
      </w:r>
      <w:r w:rsidR="001972C6" w:rsidRPr="00BB31C9">
        <w:rPr>
          <w:lang w:val="fr-FR"/>
        </w:rPr>
        <w:tab/>
      </w:r>
      <w:r w:rsidR="00582066" w:rsidRPr="00BB31C9">
        <w:rPr>
          <w:szCs w:val="22"/>
          <w:lang w:val="fr-FR"/>
        </w:rPr>
        <w:t xml:space="preserve">S.E. M. </w:t>
      </w:r>
      <w:proofErr w:type="spellStart"/>
      <w:r w:rsidR="00582066" w:rsidRPr="00BB31C9">
        <w:rPr>
          <w:szCs w:val="22"/>
          <w:lang w:val="fr-FR"/>
        </w:rPr>
        <w:t>Ilyas</w:t>
      </w:r>
      <w:proofErr w:type="spellEnd"/>
      <w:r w:rsidR="00582066" w:rsidRPr="00BB31C9">
        <w:rPr>
          <w:szCs w:val="22"/>
          <w:lang w:val="fr-FR"/>
        </w:rPr>
        <w:t xml:space="preserve"> Moussa </w:t>
      </w:r>
      <w:proofErr w:type="spellStart"/>
      <w:r w:rsidR="00582066" w:rsidRPr="00BB31C9">
        <w:rPr>
          <w:szCs w:val="22"/>
          <w:lang w:val="fr-FR"/>
        </w:rPr>
        <w:t>Dawaleh</w:t>
      </w:r>
      <w:proofErr w:type="spellEnd"/>
    </w:p>
    <w:p w14:paraId="62E0F1DE" w14:textId="75FD5935" w:rsidR="008F0B46" w:rsidRPr="00BB31C9" w:rsidRDefault="001972C6" w:rsidP="00203273">
      <w:pPr>
        <w:rPr>
          <w:lang w:val="fr-FR"/>
        </w:rPr>
      </w:pPr>
      <w:r w:rsidRPr="00BB31C9">
        <w:rPr>
          <w:lang w:val="fr-FR"/>
        </w:rPr>
        <w:t>Titr</w:t>
      </w:r>
      <w:r w:rsidR="00A83E3D" w:rsidRPr="00BB31C9">
        <w:rPr>
          <w:lang w:val="fr-FR"/>
        </w:rPr>
        <w:t>e:</w:t>
      </w:r>
      <w:r w:rsidR="00A83E3D" w:rsidRPr="00BB31C9">
        <w:rPr>
          <w:lang w:val="fr-FR"/>
        </w:rPr>
        <w:tab/>
        <w:t xml:space="preserve">    </w:t>
      </w:r>
      <w:r w:rsidRPr="00BB31C9">
        <w:rPr>
          <w:lang w:val="fr-FR"/>
        </w:rPr>
        <w:tab/>
        <w:t>Minist</w:t>
      </w:r>
      <w:r w:rsidR="00582066" w:rsidRPr="00BB31C9">
        <w:rPr>
          <w:lang w:val="fr-FR"/>
        </w:rPr>
        <w:t>r</w:t>
      </w:r>
      <w:r w:rsidRPr="00BB31C9">
        <w:rPr>
          <w:lang w:val="fr-FR"/>
        </w:rPr>
        <w:t>e de</w:t>
      </w:r>
      <w:r w:rsidR="00582066" w:rsidRPr="00BB31C9">
        <w:rPr>
          <w:lang w:val="fr-FR"/>
        </w:rPr>
        <w:t xml:space="preserve"> </w:t>
      </w:r>
      <w:r w:rsidRPr="00BB31C9">
        <w:rPr>
          <w:lang w:val="fr-FR"/>
        </w:rPr>
        <w:t>l’Économie et des</w:t>
      </w:r>
      <w:r w:rsidR="00582066" w:rsidRPr="00BB31C9">
        <w:rPr>
          <w:lang w:val="fr-FR"/>
        </w:rPr>
        <w:t xml:space="preserve"> Finance</w:t>
      </w:r>
      <w:r w:rsidRPr="00BB31C9">
        <w:rPr>
          <w:lang w:val="fr-FR"/>
        </w:rPr>
        <w:t>s</w:t>
      </w:r>
    </w:p>
    <w:p w14:paraId="6AABC928" w14:textId="20C7035B" w:rsidR="008F0B46" w:rsidRPr="00BB31C9" w:rsidRDefault="001972C6" w:rsidP="00203273">
      <w:pPr>
        <w:rPr>
          <w:lang w:val="fr-FR"/>
        </w:rPr>
      </w:pPr>
      <w:r w:rsidRPr="00BB31C9">
        <w:rPr>
          <w:lang w:val="fr-FR"/>
        </w:rPr>
        <w:t>Té</w:t>
      </w:r>
      <w:r w:rsidR="008F0B46" w:rsidRPr="00BB31C9">
        <w:rPr>
          <w:lang w:val="fr-FR"/>
        </w:rPr>
        <w:t>l:</w:t>
      </w:r>
      <w:r w:rsidR="008F0B46" w:rsidRPr="00BB31C9">
        <w:rPr>
          <w:lang w:val="fr-FR"/>
        </w:rPr>
        <w:tab/>
      </w:r>
      <w:r w:rsidR="00A83E3D" w:rsidRPr="00BB31C9">
        <w:rPr>
          <w:lang w:val="fr-FR"/>
        </w:rPr>
        <w:t xml:space="preserve">    </w:t>
      </w:r>
      <w:r w:rsidR="008F0B46" w:rsidRPr="00BB31C9">
        <w:rPr>
          <w:lang w:val="fr-FR"/>
        </w:rPr>
        <w:tab/>
      </w:r>
      <w:r w:rsidR="008F0B46" w:rsidRPr="00BB31C9">
        <w:rPr>
          <w:lang w:val="fr-FR"/>
        </w:rPr>
        <w:tab/>
      </w:r>
    </w:p>
    <w:p w14:paraId="5B50F8DE" w14:textId="0DD88C55" w:rsidR="008F0B46" w:rsidRPr="00BB31C9" w:rsidRDefault="008F0B46" w:rsidP="008F0B46">
      <w:pPr>
        <w:rPr>
          <w:lang w:val="fr-FR"/>
        </w:rPr>
      </w:pPr>
      <w:r w:rsidRPr="00BB31C9">
        <w:rPr>
          <w:lang w:val="fr-FR"/>
        </w:rPr>
        <w:t>Email:</w:t>
      </w:r>
      <w:r w:rsidR="00582066" w:rsidRPr="00BB31C9">
        <w:rPr>
          <w:lang w:val="fr-FR"/>
        </w:rPr>
        <w:tab/>
        <w:t xml:space="preserve">   </w:t>
      </w:r>
      <w:r w:rsidR="001972C6" w:rsidRPr="00BB31C9">
        <w:rPr>
          <w:lang w:val="fr-FR"/>
        </w:rPr>
        <w:tab/>
      </w:r>
      <w:r w:rsidR="00582066" w:rsidRPr="00BB31C9">
        <w:rPr>
          <w:sz w:val="22"/>
          <w:szCs w:val="22"/>
          <w:lang w:val="fr-FR"/>
        </w:rPr>
        <w:t>cabinet@mefip.gov.dj</w:t>
      </w:r>
    </w:p>
    <w:p w14:paraId="4C6847B8" w14:textId="77777777" w:rsidR="0059349F" w:rsidRPr="00BB31C9" w:rsidRDefault="0059349F" w:rsidP="00A126FA">
      <w:pPr>
        <w:rPr>
          <w:lang w:val="fr-FR"/>
        </w:rPr>
      </w:pPr>
    </w:p>
    <w:p w14:paraId="57944D56" w14:textId="44350FC6" w:rsidR="004B2501" w:rsidRPr="00BB31C9" w:rsidRDefault="006973F0" w:rsidP="004B2501">
      <w:pPr>
        <w:rPr>
          <w:b/>
          <w:lang w:val="fr-FR"/>
        </w:rPr>
      </w:pPr>
      <w:r w:rsidRPr="00BB31C9">
        <w:rPr>
          <w:b/>
          <w:lang w:val="fr-FR"/>
        </w:rPr>
        <w:t>Agenc</w:t>
      </w:r>
      <w:r w:rsidR="004B2501" w:rsidRPr="00BB31C9">
        <w:rPr>
          <w:b/>
          <w:lang w:val="fr-FR"/>
        </w:rPr>
        <w:t>es</w:t>
      </w:r>
      <w:r w:rsidRPr="00BB31C9">
        <w:rPr>
          <w:b/>
          <w:lang w:val="fr-FR"/>
        </w:rPr>
        <w:t xml:space="preserve"> de mise en œuvre</w:t>
      </w:r>
    </w:p>
    <w:p w14:paraId="6F67C0DE" w14:textId="42AAFF36" w:rsidR="004B2501" w:rsidRPr="00BB31C9" w:rsidRDefault="004B2501" w:rsidP="004B2501">
      <w:pPr>
        <w:rPr>
          <w:lang w:val="fr-FR"/>
        </w:rPr>
      </w:pPr>
      <w:r w:rsidRPr="00BB31C9">
        <w:rPr>
          <w:lang w:val="fr-FR"/>
        </w:rPr>
        <w:t>Contact:</w:t>
      </w:r>
      <w:r w:rsidR="00203273" w:rsidRPr="00BB31C9">
        <w:rPr>
          <w:lang w:val="fr-FR"/>
        </w:rPr>
        <w:t xml:space="preserve"> </w:t>
      </w:r>
      <w:r w:rsidR="006973F0" w:rsidRPr="00BB31C9">
        <w:rPr>
          <w:lang w:val="fr-FR"/>
        </w:rPr>
        <w:tab/>
      </w:r>
      <w:r w:rsidR="000470F0" w:rsidRPr="00BB31C9">
        <w:rPr>
          <w:lang w:val="fr-FR"/>
        </w:rPr>
        <w:t xml:space="preserve">Mahdi Mohamed </w:t>
      </w:r>
      <w:proofErr w:type="spellStart"/>
      <w:r w:rsidR="000470F0" w:rsidRPr="00BB31C9">
        <w:rPr>
          <w:lang w:val="fr-FR"/>
        </w:rPr>
        <w:t>Djama</w:t>
      </w:r>
      <w:proofErr w:type="spellEnd"/>
      <w:r w:rsidRPr="00BB31C9">
        <w:rPr>
          <w:lang w:val="fr-FR"/>
        </w:rPr>
        <w:tab/>
      </w:r>
    </w:p>
    <w:p w14:paraId="7A5F02AD" w14:textId="3B7F77F4" w:rsidR="004B2501" w:rsidRPr="00BB31C9" w:rsidRDefault="006973F0" w:rsidP="00203273">
      <w:pPr>
        <w:rPr>
          <w:lang w:val="fr-FR"/>
        </w:rPr>
      </w:pPr>
      <w:r w:rsidRPr="00BB31C9">
        <w:rPr>
          <w:lang w:val="fr-FR"/>
        </w:rPr>
        <w:t>Titr</w:t>
      </w:r>
      <w:r w:rsidR="004B2501" w:rsidRPr="00BB31C9">
        <w:rPr>
          <w:lang w:val="fr-FR"/>
        </w:rPr>
        <w:t>e:</w:t>
      </w:r>
      <w:r w:rsidR="004B2501" w:rsidRPr="00BB31C9">
        <w:rPr>
          <w:lang w:val="fr-FR"/>
        </w:rPr>
        <w:tab/>
      </w:r>
      <w:r w:rsidR="00A83E3D" w:rsidRPr="00BB31C9">
        <w:rPr>
          <w:lang w:val="fr-FR"/>
        </w:rPr>
        <w:t xml:space="preserve">   </w:t>
      </w:r>
      <w:r w:rsidRPr="00BB31C9">
        <w:rPr>
          <w:lang w:val="fr-FR"/>
        </w:rPr>
        <w:tab/>
      </w:r>
      <w:r w:rsidR="000470F0" w:rsidRPr="00BB31C9">
        <w:rPr>
          <w:lang w:val="fr-FR"/>
        </w:rPr>
        <w:t xml:space="preserve">Directeur Général </w:t>
      </w:r>
      <w:r w:rsidRPr="00BB31C9">
        <w:rPr>
          <w:lang w:val="fr-FR"/>
        </w:rPr>
        <w:t>de l’</w:t>
      </w:r>
      <w:r w:rsidR="000470F0" w:rsidRPr="00BB31C9">
        <w:rPr>
          <w:lang w:val="fr-FR"/>
        </w:rPr>
        <w:t>ADDS</w:t>
      </w:r>
      <w:r w:rsidR="004B2501" w:rsidRPr="00BB31C9">
        <w:rPr>
          <w:lang w:val="fr-FR"/>
        </w:rPr>
        <w:tab/>
      </w:r>
    </w:p>
    <w:p w14:paraId="29F694C5" w14:textId="6C5C75C0" w:rsidR="004B2501" w:rsidRPr="00BB31C9" w:rsidRDefault="006973F0" w:rsidP="004B2501">
      <w:pPr>
        <w:rPr>
          <w:lang w:val="fr-FR"/>
        </w:rPr>
      </w:pPr>
      <w:r w:rsidRPr="00BB31C9">
        <w:rPr>
          <w:lang w:val="fr-FR"/>
        </w:rPr>
        <w:t>Té</w:t>
      </w:r>
      <w:r w:rsidR="004B2501" w:rsidRPr="00BB31C9">
        <w:rPr>
          <w:lang w:val="fr-FR"/>
        </w:rPr>
        <w:t>l:</w:t>
      </w:r>
      <w:r w:rsidR="004B2501" w:rsidRPr="00BB31C9">
        <w:rPr>
          <w:lang w:val="fr-FR"/>
        </w:rPr>
        <w:tab/>
      </w:r>
      <w:r w:rsidR="00A83E3D" w:rsidRPr="00BB31C9">
        <w:rPr>
          <w:lang w:val="fr-FR"/>
        </w:rPr>
        <w:t xml:space="preserve">   </w:t>
      </w:r>
      <w:r w:rsidRPr="00BB31C9">
        <w:rPr>
          <w:lang w:val="fr-FR"/>
        </w:rPr>
        <w:tab/>
      </w:r>
      <w:r w:rsidR="000470F0" w:rsidRPr="00BB31C9">
        <w:rPr>
          <w:lang w:val="fr-FR"/>
        </w:rPr>
        <w:t>(+253) 21 35 86 55</w:t>
      </w:r>
      <w:r w:rsidR="004B2501" w:rsidRPr="00BB31C9">
        <w:rPr>
          <w:lang w:val="fr-FR"/>
        </w:rPr>
        <w:tab/>
      </w:r>
    </w:p>
    <w:p w14:paraId="73B60F06" w14:textId="321E392B" w:rsidR="004B2501" w:rsidRPr="00574773" w:rsidRDefault="004B2501" w:rsidP="004B2501">
      <w:pPr>
        <w:rPr>
          <w:lang w:val="fr-FR"/>
        </w:rPr>
      </w:pPr>
      <w:r w:rsidRPr="00BB31C9">
        <w:rPr>
          <w:lang w:val="fr-FR"/>
        </w:rPr>
        <w:t>Email:</w:t>
      </w:r>
      <w:r w:rsidRPr="00BB31C9">
        <w:rPr>
          <w:sz w:val="22"/>
          <w:szCs w:val="22"/>
          <w:lang w:val="fr-FR"/>
        </w:rPr>
        <w:tab/>
      </w:r>
      <w:r w:rsidR="006973F0" w:rsidRPr="00BB31C9">
        <w:rPr>
          <w:sz w:val="22"/>
          <w:szCs w:val="22"/>
          <w:lang w:val="fr-FR"/>
        </w:rPr>
        <w:tab/>
      </w:r>
      <w:r w:rsidR="000470F0" w:rsidRPr="00BB31C9">
        <w:rPr>
          <w:lang w:val="fr-FR"/>
        </w:rPr>
        <w:t>direction@adds.dj</w:t>
      </w:r>
      <w:r w:rsidRPr="00574773">
        <w:rPr>
          <w:lang w:val="fr-FR"/>
        </w:rPr>
        <w:tab/>
      </w:r>
    </w:p>
    <w:p w14:paraId="2A6B41A2" w14:textId="77777777" w:rsidR="004B2501" w:rsidRPr="00574773" w:rsidRDefault="004B2501" w:rsidP="00A126FA">
      <w:pPr>
        <w:rPr>
          <w:lang w:val="fr-FR"/>
        </w:rPr>
      </w:pPr>
    </w:p>
    <w:p w14:paraId="6FC19F6B" w14:textId="77777777" w:rsidR="004B2501" w:rsidRPr="00574773" w:rsidRDefault="004B2501" w:rsidP="00A126FA">
      <w:pPr>
        <w:rPr>
          <w:lang w:val="fr-FR"/>
        </w:rPr>
      </w:pPr>
    </w:p>
    <w:p w14:paraId="720DB538" w14:textId="78E8760B" w:rsidR="0059349F" w:rsidRPr="00574773" w:rsidRDefault="00EC6FB5" w:rsidP="0059349F">
      <w:pPr>
        <w:numPr>
          <w:ilvl w:val="0"/>
          <w:numId w:val="24"/>
        </w:numPr>
        <w:rPr>
          <w:b/>
          <w:lang w:val="fr-FR"/>
        </w:rPr>
      </w:pPr>
      <w:r>
        <w:rPr>
          <w:b/>
          <w:lang w:val="fr-FR"/>
        </w:rPr>
        <w:t xml:space="preserve">Pour obtenir des renseignements supplémentaires contactez </w:t>
      </w:r>
      <w:r w:rsidR="0059349F" w:rsidRPr="00574773">
        <w:rPr>
          <w:b/>
          <w:lang w:val="fr-FR"/>
        </w:rPr>
        <w:t>:</w:t>
      </w:r>
    </w:p>
    <w:p w14:paraId="09057764" w14:textId="77777777" w:rsidR="00EC6FB5" w:rsidRPr="00574773" w:rsidRDefault="00EC6FB5" w:rsidP="008F0B46">
      <w:pPr>
        <w:rPr>
          <w:lang w:val="fr-FR"/>
        </w:rPr>
      </w:pPr>
    </w:p>
    <w:p w14:paraId="12EE0E2C" w14:textId="77777777" w:rsidR="0059349F" w:rsidRPr="00C82216" w:rsidRDefault="0059349F" w:rsidP="008F0B46">
      <w:r w:rsidRPr="00C82216">
        <w:t>The InfoShop</w:t>
      </w:r>
    </w:p>
    <w:p w14:paraId="51A265F4" w14:textId="77777777" w:rsidR="0059349F" w:rsidRPr="00C82216" w:rsidRDefault="0059349F" w:rsidP="008F0B46">
      <w:r w:rsidRPr="00C82216">
        <w:t>The World Bank</w:t>
      </w:r>
    </w:p>
    <w:p w14:paraId="5E2E35C7" w14:textId="77777777" w:rsidR="0059349F" w:rsidRPr="00C82216" w:rsidRDefault="0059349F" w:rsidP="008F0B46">
      <w:r w:rsidRPr="00C82216">
        <w:t>1818 H Street, NW</w:t>
      </w:r>
    </w:p>
    <w:p w14:paraId="2DD201F7" w14:textId="77777777" w:rsidR="0059349F" w:rsidRPr="00C82216" w:rsidRDefault="0059349F" w:rsidP="008F0B46">
      <w:r w:rsidRPr="00C82216">
        <w:t>Washington, D.C. 20433</w:t>
      </w:r>
    </w:p>
    <w:p w14:paraId="6CA21F12" w14:textId="596DE38C" w:rsidR="0059349F" w:rsidRPr="00C82216" w:rsidRDefault="00EC6FB5" w:rsidP="008F0B46">
      <w:proofErr w:type="spellStart"/>
      <w:proofErr w:type="gramStart"/>
      <w:r>
        <w:t>Tél</w:t>
      </w:r>
      <w:proofErr w:type="spellEnd"/>
      <w:r>
        <w:t xml:space="preserve"> </w:t>
      </w:r>
      <w:r w:rsidR="006B4727">
        <w:t>:</w:t>
      </w:r>
      <w:proofErr w:type="gramEnd"/>
      <w:r w:rsidR="006B4727">
        <w:t xml:space="preserve">  (202) 458-4500</w:t>
      </w:r>
    </w:p>
    <w:p w14:paraId="228ED42D" w14:textId="77777777" w:rsidR="0059349F" w:rsidRPr="00C82216" w:rsidRDefault="0059349F" w:rsidP="008F0B46">
      <w:r w:rsidRPr="00C82216">
        <w:t>Fax:  (202) 522-1500</w:t>
      </w:r>
    </w:p>
    <w:p w14:paraId="5C6E85B5" w14:textId="6F42F90C" w:rsidR="0059349F" w:rsidRDefault="0059349F" w:rsidP="008F0B46">
      <w:r w:rsidRPr="00C82216">
        <w:t xml:space="preserve">Web: </w:t>
      </w:r>
      <w:hyperlink r:id="rId23" w:history="1">
        <w:r w:rsidR="00C85C97" w:rsidRPr="003B5394">
          <w:rPr>
            <w:rStyle w:val="Hyperlink"/>
          </w:rPr>
          <w:t>http://www.worldbank.org/infoshop</w:t>
        </w:r>
      </w:hyperlink>
    </w:p>
    <w:p w14:paraId="69062CE0" w14:textId="77777777" w:rsidR="00C85C97" w:rsidRPr="00C82216" w:rsidRDefault="00C85C97" w:rsidP="008F0B46"/>
    <w:p w14:paraId="170C55E9" w14:textId="77777777" w:rsidR="0059349F" w:rsidRPr="00A30F2B" w:rsidRDefault="0059349F" w:rsidP="00A126FA"/>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B3938" w14:textId="77777777" w:rsidR="002606E6" w:rsidRDefault="002606E6">
      <w:r>
        <w:separator/>
      </w:r>
    </w:p>
  </w:endnote>
  <w:endnote w:type="continuationSeparator" w:id="0">
    <w:p w14:paraId="38532AFD" w14:textId="77777777" w:rsidR="002606E6" w:rsidRDefault="0026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nitor Lt">
    <w:altName w:val="Monitor 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74E6A" w14:textId="77777777" w:rsidR="002606E6" w:rsidRDefault="002606E6">
      <w:r>
        <w:separator/>
      </w:r>
    </w:p>
  </w:footnote>
  <w:footnote w:type="continuationSeparator" w:id="0">
    <w:p w14:paraId="5C384A51" w14:textId="77777777" w:rsidR="002606E6" w:rsidRDefault="002606E6">
      <w:r>
        <w:continuationSeparator/>
      </w:r>
    </w:p>
  </w:footnote>
  <w:footnote w:id="1">
    <w:p w14:paraId="1DD230EC" w14:textId="72A0A180" w:rsidR="00BE3AF6" w:rsidRPr="007A04C2" w:rsidRDefault="00BE3AF6" w:rsidP="00582066">
      <w:pPr>
        <w:pStyle w:val="FootnoteText"/>
        <w:rPr>
          <w:lang w:val="fr-FR"/>
        </w:rPr>
      </w:pPr>
      <w:r>
        <w:rPr>
          <w:rStyle w:val="FootnoteReference"/>
        </w:rPr>
        <w:footnoteRef/>
      </w:r>
      <w:r w:rsidRPr="007A04C2">
        <w:rPr>
          <w:lang w:val="fr-FR"/>
        </w:rPr>
        <w:t xml:space="preserve"> </w:t>
      </w:r>
      <w:r w:rsidRPr="00FA099B">
        <w:rPr>
          <w:lang w:val="fr-FR"/>
        </w:rPr>
        <w:t>Go</w:t>
      </w:r>
      <w:r>
        <w:rPr>
          <w:lang w:val="fr-FR"/>
        </w:rPr>
        <w:t>u</w:t>
      </w:r>
      <w:r w:rsidRPr="00FA099B">
        <w:rPr>
          <w:lang w:val="fr-FR"/>
        </w:rPr>
        <w:t>vern</w:t>
      </w:r>
      <w:r>
        <w:rPr>
          <w:lang w:val="fr-FR"/>
        </w:rPr>
        <w:t>ement de</w:t>
      </w:r>
      <w:r w:rsidRPr="00FA099B">
        <w:rPr>
          <w:lang w:val="fr-FR"/>
        </w:rPr>
        <w:t xml:space="preserve"> Djibouti (2012): Profil de la pauvreté en République de Djibouti. D</w:t>
      </w:r>
      <w:r>
        <w:rPr>
          <w:lang w:val="fr-FR"/>
        </w:rPr>
        <w:t>j</w:t>
      </w:r>
      <w:r w:rsidRPr="00FA099B">
        <w:rPr>
          <w:lang w:val="fr-FR"/>
        </w:rPr>
        <w:t>ibouti-ville</w:t>
      </w:r>
      <w:r>
        <w:rPr>
          <w:lang w:val="fr-FR"/>
        </w:rPr>
        <w:t xml:space="preserve"> </w:t>
      </w:r>
      <w:r w:rsidRPr="00FA099B">
        <w:rPr>
          <w:lang w:val="fr-FR"/>
        </w:rPr>
        <w:t>: Ministère de l’économie et des finances chargé de l’industrie et de la planification / Direction de la statistique et des études démographiques</w:t>
      </w:r>
      <w:r>
        <w:rPr>
          <w:lang w:val="fr-FR"/>
        </w:rPr>
        <w:t>.</w:t>
      </w:r>
    </w:p>
  </w:footnote>
  <w:footnote w:id="2">
    <w:p w14:paraId="23AB9AB0" w14:textId="113E938A" w:rsidR="00BE3AF6" w:rsidRPr="00574773" w:rsidRDefault="00BE3AF6" w:rsidP="00582066">
      <w:pPr>
        <w:pStyle w:val="FootnoteText"/>
        <w:rPr>
          <w:lang w:val="fr-FR"/>
        </w:rPr>
      </w:pPr>
      <w:r>
        <w:rPr>
          <w:rStyle w:val="FootnoteReference"/>
        </w:rPr>
        <w:footnoteRef/>
      </w:r>
      <w:r>
        <w:t xml:space="preserve"> </w:t>
      </w:r>
      <w:proofErr w:type="spellStart"/>
      <w:r w:rsidRPr="00574773">
        <w:t>Programme</w:t>
      </w:r>
      <w:proofErr w:type="spellEnd"/>
      <w:r w:rsidRPr="00574773">
        <w:t xml:space="preserve"> </w:t>
      </w:r>
      <w:proofErr w:type="spellStart"/>
      <w:r w:rsidRPr="00574773">
        <w:t>Alimentaire</w:t>
      </w:r>
      <w:proofErr w:type="spellEnd"/>
      <w:r w:rsidRPr="00574773">
        <w:t xml:space="preserve"> </w:t>
      </w:r>
      <w:proofErr w:type="spellStart"/>
      <w:r w:rsidRPr="00574773">
        <w:t>Mondial</w:t>
      </w:r>
      <w:proofErr w:type="spellEnd"/>
      <w:r>
        <w:t xml:space="preserve"> </w:t>
      </w:r>
      <w:r w:rsidRPr="008D79D3">
        <w:t xml:space="preserve">(2012): </w:t>
      </w:r>
      <w:r w:rsidRPr="00180CA0">
        <w:rPr>
          <w:i/>
        </w:rPr>
        <w:t>Emergency Food Security Assessment in Rural Areas: Djibouti</w:t>
      </w:r>
      <w:r w:rsidRPr="008D79D3">
        <w:t xml:space="preserve">. </w:t>
      </w:r>
      <w:r w:rsidRPr="00574773">
        <w:rPr>
          <w:lang w:val="fr-FR"/>
        </w:rPr>
        <w:t>Rome</w:t>
      </w:r>
    </w:p>
  </w:footnote>
  <w:footnote w:id="3">
    <w:p w14:paraId="095A1A52" w14:textId="33B55918" w:rsidR="00BE3AF6" w:rsidRPr="00574773" w:rsidRDefault="00BE3AF6" w:rsidP="00582066">
      <w:pPr>
        <w:pStyle w:val="FootnoteText"/>
        <w:rPr>
          <w:lang w:val="fr-FR"/>
        </w:rPr>
      </w:pPr>
      <w:r>
        <w:rPr>
          <w:rStyle w:val="FootnoteReference"/>
        </w:rPr>
        <w:footnoteRef/>
      </w:r>
      <w:r w:rsidRPr="00574773">
        <w:rPr>
          <w:lang w:val="fr-FR"/>
        </w:rPr>
        <w:t xml:space="preserve"> </w:t>
      </w:r>
      <w:r w:rsidRPr="004423A3">
        <w:rPr>
          <w:lang w:val="fr-FR"/>
        </w:rPr>
        <w:t>Enquête</w:t>
      </w:r>
      <w:r w:rsidRPr="00574773">
        <w:rPr>
          <w:lang w:val="fr-FR"/>
        </w:rPr>
        <w:t xml:space="preserve"> SMART 2013.</w:t>
      </w:r>
    </w:p>
  </w:footnote>
  <w:footnote w:id="4">
    <w:p w14:paraId="60B08119" w14:textId="161BD082" w:rsidR="00BE3AF6" w:rsidRPr="00574773" w:rsidRDefault="00BE3AF6" w:rsidP="0060237C">
      <w:pPr>
        <w:pStyle w:val="FootnoteText"/>
        <w:rPr>
          <w:lang w:val="fr-FR"/>
        </w:rPr>
      </w:pPr>
      <w:r>
        <w:rPr>
          <w:rStyle w:val="FootnoteReference"/>
        </w:rPr>
        <w:footnoteRef/>
      </w:r>
      <w:r w:rsidRPr="00574773">
        <w:rPr>
          <w:lang w:val="fr-FR"/>
        </w:rPr>
        <w:t xml:space="preserve"> INDS (2013): </w:t>
      </w:r>
      <w:r>
        <w:rPr>
          <w:lang w:val="fr-FR"/>
        </w:rPr>
        <w:t>É</w:t>
      </w:r>
      <w:r w:rsidRPr="001C481F">
        <w:rPr>
          <w:lang w:val="fr-FR"/>
        </w:rPr>
        <w:t>valuation globale de l’INDS</w:t>
      </w:r>
      <w:r w:rsidRPr="00574773">
        <w:rPr>
          <w:lang w:val="fr-FR"/>
        </w:rPr>
        <w:t xml:space="preserve"> 2008-2012</w:t>
      </w:r>
    </w:p>
  </w:footnote>
  <w:footnote w:id="5">
    <w:p w14:paraId="6E557698" w14:textId="6082B1A5" w:rsidR="00BE3AF6" w:rsidRPr="00574773" w:rsidRDefault="00BE3AF6" w:rsidP="0060237C">
      <w:pPr>
        <w:pStyle w:val="FootnoteText"/>
        <w:rPr>
          <w:lang w:val="fr-FR"/>
        </w:rPr>
      </w:pPr>
      <w:r>
        <w:rPr>
          <w:rStyle w:val="FootnoteReference"/>
        </w:rPr>
        <w:footnoteRef/>
      </w:r>
      <w:r w:rsidRPr="00574773">
        <w:rPr>
          <w:lang w:val="fr-FR"/>
        </w:rPr>
        <w:t xml:space="preserve"> UNESCO (2012): Education: Djibouti. Québec: UNESCO Institute for </w:t>
      </w:r>
      <w:proofErr w:type="spellStart"/>
      <w:r w:rsidRPr="00574773">
        <w:rPr>
          <w:lang w:val="fr-FR"/>
        </w:rPr>
        <w:t>Statistics</w:t>
      </w:r>
      <w:proofErr w:type="spellEnd"/>
      <w:r w:rsidRPr="00574773">
        <w:rPr>
          <w:lang w:val="fr-FR"/>
        </w:rPr>
        <w:t>.</w:t>
      </w:r>
    </w:p>
  </w:footnote>
  <w:footnote w:id="6">
    <w:p w14:paraId="5FB38F3E" w14:textId="034057DD" w:rsidR="00BE3AF6" w:rsidRPr="00574773" w:rsidRDefault="00BE3AF6" w:rsidP="0060237C">
      <w:pPr>
        <w:pStyle w:val="FootnoteText"/>
        <w:rPr>
          <w:lang w:val="fr-FR"/>
        </w:rPr>
      </w:pPr>
      <w:r>
        <w:rPr>
          <w:rStyle w:val="FootnoteReference"/>
        </w:rPr>
        <w:footnoteRef/>
      </w:r>
      <w:r w:rsidRPr="00574773">
        <w:rPr>
          <w:lang w:val="fr-FR"/>
        </w:rPr>
        <w:t xml:space="preserve"> </w:t>
      </w:r>
      <w:r w:rsidRPr="00A30A70">
        <w:rPr>
          <w:lang w:val="fr-FR"/>
        </w:rPr>
        <w:t>Gouvernement de Djibouti</w:t>
      </w:r>
      <w:r w:rsidRPr="00574773">
        <w:rPr>
          <w:lang w:val="fr-FR"/>
        </w:rPr>
        <w:t xml:space="preserve"> (2012).</w:t>
      </w:r>
    </w:p>
  </w:footnote>
  <w:footnote w:id="7">
    <w:p w14:paraId="068B1844" w14:textId="23D3E400" w:rsidR="00BE3AF6" w:rsidRPr="00574773" w:rsidRDefault="00BE3AF6" w:rsidP="0060237C">
      <w:pPr>
        <w:pStyle w:val="FootnoteText"/>
        <w:rPr>
          <w:lang w:val="fr-FR"/>
        </w:rPr>
      </w:pPr>
      <w:r>
        <w:rPr>
          <w:rStyle w:val="FootnoteReference"/>
        </w:rPr>
        <w:footnoteRef/>
      </w:r>
      <w:r w:rsidRPr="00574773">
        <w:rPr>
          <w:lang w:val="fr-FR"/>
        </w:rPr>
        <w:t xml:space="preserve"> </w:t>
      </w:r>
      <w:r w:rsidRPr="00850EDA">
        <w:rPr>
          <w:lang w:val="fr-FR"/>
        </w:rPr>
        <w:t>Banque mondiale</w:t>
      </w:r>
      <w:r w:rsidRPr="00574773">
        <w:rPr>
          <w:lang w:val="fr-FR"/>
        </w:rPr>
        <w:t xml:space="preserve"> (2014).</w:t>
      </w:r>
    </w:p>
  </w:footnote>
  <w:footnote w:id="8">
    <w:p w14:paraId="212E9AE8" w14:textId="0EDF2A83" w:rsidR="00BE3AF6" w:rsidRPr="00574773" w:rsidRDefault="00BE3AF6" w:rsidP="0060237C">
      <w:pPr>
        <w:pStyle w:val="FootnoteText"/>
        <w:rPr>
          <w:lang w:val="fr-FR"/>
        </w:rPr>
      </w:pPr>
      <w:r>
        <w:rPr>
          <w:rStyle w:val="FootnoteReference"/>
        </w:rPr>
        <w:footnoteRef/>
      </w:r>
      <w:r w:rsidRPr="00574773">
        <w:rPr>
          <w:lang w:val="fr-FR"/>
        </w:rPr>
        <w:t xml:space="preserve"> </w:t>
      </w:r>
      <w:r w:rsidRPr="00C72C8F">
        <w:rPr>
          <w:lang w:val="fr-FR"/>
        </w:rPr>
        <w:t>Gouvernement de Djibouti</w:t>
      </w:r>
      <w:r w:rsidRPr="00574773">
        <w:rPr>
          <w:lang w:val="fr-FR"/>
        </w:rPr>
        <w:t xml:space="preserve"> (2012).</w:t>
      </w:r>
    </w:p>
  </w:footnote>
  <w:footnote w:id="9">
    <w:p w14:paraId="616821D1" w14:textId="77777777" w:rsidR="00BE3AF6" w:rsidRPr="00574773" w:rsidRDefault="00BE3AF6" w:rsidP="00C71FA6">
      <w:pPr>
        <w:pStyle w:val="FootnoteText"/>
        <w:rPr>
          <w:lang w:val="fr-FR"/>
        </w:rPr>
      </w:pPr>
      <w:r>
        <w:rPr>
          <w:rStyle w:val="FootnoteReference"/>
        </w:rPr>
        <w:footnoteRef/>
      </w:r>
      <w:r w:rsidRPr="00574773">
        <w:rPr>
          <w:lang w:val="fr-FR"/>
        </w:rPr>
        <w:t xml:space="preserve"> Ibid.</w:t>
      </w:r>
    </w:p>
  </w:footnote>
  <w:footnote w:id="10">
    <w:p w14:paraId="66601AD9" w14:textId="503BBEC2" w:rsidR="00BE3AF6" w:rsidRPr="00C14C99" w:rsidRDefault="00BE3AF6" w:rsidP="0060237C">
      <w:pPr>
        <w:pStyle w:val="FootnoteText"/>
        <w:rPr>
          <w:lang w:val="fr-FR"/>
        </w:rPr>
      </w:pPr>
      <w:r>
        <w:rPr>
          <w:rStyle w:val="FootnoteReference"/>
        </w:rPr>
        <w:footnoteRef/>
      </w:r>
      <w:r w:rsidRPr="007A04C2">
        <w:rPr>
          <w:lang w:val="fr-FR"/>
        </w:rPr>
        <w:t xml:space="preserve"> </w:t>
      </w:r>
      <w:r w:rsidRPr="00C14C99">
        <w:rPr>
          <w:lang w:val="fr-FR"/>
        </w:rPr>
        <w:t>Unicef (2007)</w:t>
      </w:r>
      <w:r>
        <w:rPr>
          <w:lang w:val="fr-FR"/>
        </w:rPr>
        <w:t xml:space="preserve"> </w:t>
      </w:r>
      <w:r w:rsidRPr="00C14C99">
        <w:rPr>
          <w:lang w:val="fr-FR"/>
        </w:rPr>
        <w:t xml:space="preserve">: Analyse de la situation des femmes et des enfants </w:t>
      </w:r>
      <w:r>
        <w:rPr>
          <w:lang w:val="fr-FR"/>
        </w:rPr>
        <w:t>en République de Djibouti.</w:t>
      </w:r>
    </w:p>
  </w:footnote>
  <w:footnote w:id="11">
    <w:p w14:paraId="2DCE5D7D" w14:textId="1CC2A727" w:rsidR="00BE3AF6" w:rsidRPr="001A1D6E" w:rsidRDefault="00BE3AF6" w:rsidP="00C71FA6">
      <w:pPr>
        <w:pStyle w:val="FootnoteText"/>
        <w:rPr>
          <w:lang w:val="fr-FR"/>
        </w:rPr>
      </w:pPr>
      <w:r>
        <w:rPr>
          <w:rStyle w:val="FootnoteReference"/>
        </w:rPr>
        <w:footnoteRef/>
      </w:r>
      <w:r w:rsidRPr="00574773">
        <w:rPr>
          <w:lang w:val="fr-FR"/>
        </w:rPr>
        <w:t xml:space="preserve"> </w:t>
      </w:r>
      <w:r w:rsidRPr="00D53C26">
        <w:rPr>
          <w:lang w:val="fr-FR"/>
        </w:rPr>
        <w:t>Selon le niveau de référence du projet de filet de protection</w:t>
      </w:r>
      <w:r>
        <w:rPr>
          <w:lang w:val="fr-FR"/>
        </w:rPr>
        <w:t xml:space="preserve"> social </w:t>
      </w:r>
      <w:r w:rsidRPr="00574773">
        <w:rPr>
          <w:lang w:val="fr-FR"/>
        </w:rPr>
        <w:t xml:space="preserve">de la BM </w:t>
      </w:r>
      <w:r>
        <w:rPr>
          <w:lang w:val="fr-FR"/>
        </w:rPr>
        <w:t>pour Djibouti</w:t>
      </w:r>
      <w:r w:rsidRPr="00574773">
        <w:rPr>
          <w:lang w:val="fr-FR"/>
        </w:rPr>
        <w:t xml:space="preserve">, plus de 57 % des </w:t>
      </w:r>
      <w:r w:rsidRPr="001A1D6E">
        <w:rPr>
          <w:lang w:val="fr-FR"/>
        </w:rPr>
        <w:t xml:space="preserve">femmes inactives déclarent </w:t>
      </w:r>
      <w:r>
        <w:rPr>
          <w:lang w:val="fr-FR"/>
        </w:rPr>
        <w:t>ne pas travailler en raison de leurs responsabilités familiales et dans le ménage.</w:t>
      </w:r>
    </w:p>
  </w:footnote>
  <w:footnote w:id="12">
    <w:p w14:paraId="744A04FA" w14:textId="1FE63C34" w:rsidR="00BE3AF6" w:rsidRPr="00574773" w:rsidRDefault="00BE3AF6" w:rsidP="0060237C">
      <w:pPr>
        <w:pStyle w:val="FootnoteText"/>
        <w:rPr>
          <w:lang w:val="fr-FR"/>
        </w:rPr>
      </w:pPr>
      <w:r>
        <w:rPr>
          <w:rStyle w:val="FootnoteReference"/>
        </w:rPr>
        <w:footnoteRef/>
      </w:r>
      <w:r w:rsidRPr="00574773">
        <w:rPr>
          <w:lang w:val="fr-FR"/>
        </w:rPr>
        <w:t xml:space="preserve"> </w:t>
      </w:r>
      <w:r w:rsidRPr="005C0E30">
        <w:rPr>
          <w:rFonts w:eastAsia="MS Mincho"/>
          <w:lang w:val="fr-FR" w:eastAsia="ja-JP"/>
        </w:rPr>
        <w:t>Banque mondiale</w:t>
      </w:r>
      <w:r w:rsidRPr="00574773">
        <w:rPr>
          <w:rFonts w:eastAsia="MS Mincho"/>
          <w:lang w:val="fr-FR" w:eastAsia="ja-JP"/>
        </w:rPr>
        <w:t xml:space="preserve"> (2012a).</w:t>
      </w:r>
    </w:p>
  </w:footnote>
  <w:footnote w:id="13">
    <w:p w14:paraId="0FED5406" w14:textId="77777777" w:rsidR="00BE3AF6" w:rsidRPr="00574773" w:rsidRDefault="00BE3AF6" w:rsidP="00F41703">
      <w:pPr>
        <w:pStyle w:val="FootnoteText"/>
        <w:rPr>
          <w:lang w:val="fr-FR"/>
        </w:rPr>
      </w:pPr>
      <w:r w:rsidRPr="00574773">
        <w:rPr>
          <w:rStyle w:val="FootnoteReference"/>
          <w:lang w:val="fr-FR"/>
        </w:rPr>
        <w:t>*</w:t>
      </w:r>
      <w:r w:rsidRPr="00574773">
        <w:rPr>
          <w:lang w:val="fr-FR"/>
        </w:rPr>
        <w:t xml:space="preserve"> </w:t>
      </w:r>
      <w:r w:rsidRPr="00574773">
        <w:rPr>
          <w:i/>
          <w:snapToGrid w:val="0"/>
          <w:color w:val="000000"/>
          <w:sz w:val="18"/>
          <w:lang w:val="fr-FR"/>
        </w:rPr>
        <w:t xml:space="preserve">En </w:t>
      </w:r>
      <w:r w:rsidRPr="00DC1E44">
        <w:rPr>
          <w:i/>
          <w:snapToGrid w:val="0"/>
          <w:color w:val="000000"/>
          <w:sz w:val="18"/>
          <w:lang w:val="fr-FR"/>
        </w:rPr>
        <w:t>soutenant le projet proposé, la Banque n’entend pas préjuger de la décision finale quant aux revendications des parties sur les zones litigieuses.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C56701"/>
    <w:multiLevelType w:val="hybridMultilevel"/>
    <w:tmpl w:val="B85AD44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0C6ED9"/>
    <w:multiLevelType w:val="hybridMultilevel"/>
    <w:tmpl w:val="9FFC2E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790B18"/>
    <w:multiLevelType w:val="hybridMultilevel"/>
    <w:tmpl w:val="E87EB44C"/>
    <w:lvl w:ilvl="0" w:tplc="76F4FA30">
      <w:start w:val="1"/>
      <w:numFmt w:val="decimal"/>
      <w:pStyle w:val="CASPRtit3"/>
      <w:lvlText w:val="%1."/>
      <w:lvlJc w:val="left"/>
      <w:pPr>
        <w:tabs>
          <w:tab w:val="num" w:pos="720"/>
        </w:tabs>
        <w:ind w:left="720" w:hanging="360"/>
      </w:pPr>
      <w:rPr>
        <w:rFonts w:cs="Times New Roman"/>
        <w:b w:val="0"/>
      </w:rPr>
    </w:lvl>
    <w:lvl w:ilvl="1" w:tplc="04090019">
      <w:start w:val="1"/>
      <w:numFmt w:val="lowerLetter"/>
      <w:lvlText w:val="%2."/>
      <w:lvlJc w:val="left"/>
      <w:pPr>
        <w:tabs>
          <w:tab w:val="num" w:pos="4140"/>
        </w:tabs>
        <w:ind w:left="4140" w:hanging="360"/>
      </w:pPr>
      <w:rPr>
        <w:rFonts w:cs="Times New Roman"/>
      </w:rPr>
    </w:lvl>
    <w:lvl w:ilvl="2" w:tplc="044C1470">
      <w:start w:val="2"/>
      <w:numFmt w:val="upperLetter"/>
      <w:lvlText w:val="%3."/>
      <w:lvlJc w:val="left"/>
      <w:pPr>
        <w:tabs>
          <w:tab w:val="num" w:pos="5220"/>
        </w:tabs>
        <w:ind w:left="5220" w:hanging="360"/>
      </w:pPr>
      <w:rPr>
        <w:rFonts w:cs="Times New Roman" w:hint="default"/>
      </w:rPr>
    </w:lvl>
    <w:lvl w:ilvl="3" w:tplc="0409000F">
      <w:start w:val="1"/>
      <w:numFmt w:val="decimal"/>
      <w:lvlText w:val="%4."/>
      <w:lvlJc w:val="left"/>
      <w:pPr>
        <w:tabs>
          <w:tab w:val="num" w:pos="5580"/>
        </w:tabs>
        <w:ind w:left="5580" w:hanging="360"/>
      </w:pPr>
      <w:rPr>
        <w:rFonts w:cs="Times New Roman"/>
      </w:rPr>
    </w:lvl>
    <w:lvl w:ilvl="4" w:tplc="04090019">
      <w:start w:val="1"/>
      <w:numFmt w:val="lowerLetter"/>
      <w:lvlText w:val="%5."/>
      <w:lvlJc w:val="left"/>
      <w:pPr>
        <w:tabs>
          <w:tab w:val="num" w:pos="6300"/>
        </w:tabs>
        <w:ind w:left="6300" w:hanging="360"/>
      </w:pPr>
      <w:rPr>
        <w:rFonts w:cs="Times New Roman"/>
      </w:rPr>
    </w:lvl>
    <w:lvl w:ilvl="5" w:tplc="0409001B">
      <w:start w:val="1"/>
      <w:numFmt w:val="lowerRoman"/>
      <w:lvlText w:val="%6."/>
      <w:lvlJc w:val="right"/>
      <w:pPr>
        <w:tabs>
          <w:tab w:val="num" w:pos="7020"/>
        </w:tabs>
        <w:ind w:left="7020" w:hanging="180"/>
      </w:pPr>
      <w:rPr>
        <w:rFonts w:cs="Times New Roman"/>
      </w:rPr>
    </w:lvl>
    <w:lvl w:ilvl="6" w:tplc="0409000F">
      <w:start w:val="1"/>
      <w:numFmt w:val="decimal"/>
      <w:lvlText w:val="%7."/>
      <w:lvlJc w:val="left"/>
      <w:pPr>
        <w:tabs>
          <w:tab w:val="num" w:pos="7740"/>
        </w:tabs>
        <w:ind w:left="7740" w:hanging="360"/>
      </w:pPr>
      <w:rPr>
        <w:rFonts w:cs="Times New Roman"/>
      </w:rPr>
    </w:lvl>
    <w:lvl w:ilvl="7" w:tplc="04090019">
      <w:start w:val="1"/>
      <w:numFmt w:val="lowerLetter"/>
      <w:lvlText w:val="%8."/>
      <w:lvlJc w:val="left"/>
      <w:pPr>
        <w:tabs>
          <w:tab w:val="num" w:pos="8460"/>
        </w:tabs>
        <w:ind w:left="8460" w:hanging="360"/>
      </w:pPr>
      <w:rPr>
        <w:rFonts w:cs="Times New Roman"/>
      </w:rPr>
    </w:lvl>
    <w:lvl w:ilvl="8" w:tplc="0409001B">
      <w:start w:val="1"/>
      <w:numFmt w:val="lowerRoman"/>
      <w:lvlText w:val="%9."/>
      <w:lvlJc w:val="right"/>
      <w:pPr>
        <w:tabs>
          <w:tab w:val="num" w:pos="9180"/>
        </w:tabs>
        <w:ind w:left="9180" w:hanging="180"/>
      </w:pPr>
      <w:rPr>
        <w:rFonts w:cs="Times New Roman"/>
      </w:rPr>
    </w:lvl>
  </w:abstractNum>
  <w:abstractNum w:abstractNumId="11">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5A0BF9"/>
    <w:multiLevelType w:val="hybridMultilevel"/>
    <w:tmpl w:val="46D48B36"/>
    <w:lvl w:ilvl="0" w:tplc="0C16E35E">
      <w:start w:val="2"/>
      <w:numFmt w:val="decimal"/>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440E16"/>
    <w:multiLevelType w:val="hybridMultilevel"/>
    <w:tmpl w:val="7ECA9EB0"/>
    <w:lvl w:ilvl="0" w:tplc="69963876">
      <w:start w:val="1"/>
      <w:numFmt w:val="decimal"/>
      <w:lvlText w:val="%1."/>
      <w:lvlJc w:val="left"/>
      <w:pPr>
        <w:ind w:left="108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A82C49"/>
    <w:multiLevelType w:val="hybridMultilevel"/>
    <w:tmpl w:val="59487ACA"/>
    <w:lvl w:ilvl="0" w:tplc="D13A2F28">
      <w:start w:val="1"/>
      <w:numFmt w:val="lowerLetter"/>
      <w:lvlText w:val="(%1)"/>
      <w:lvlJc w:val="left"/>
      <w:pPr>
        <w:ind w:left="390" w:hanging="360"/>
      </w:pPr>
      <w:rPr>
        <w:rFonts w:cs="Times New Roman" w:hint="default"/>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1">
    <w:nsid w:val="414B20B0"/>
    <w:multiLevelType w:val="hybridMultilevel"/>
    <w:tmpl w:val="992CD21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8568C3"/>
    <w:multiLevelType w:val="hybridMultilevel"/>
    <w:tmpl w:val="BBA42688"/>
    <w:lvl w:ilvl="0" w:tplc="04070017">
      <w:start w:val="1"/>
      <w:numFmt w:val="lowerLetter"/>
      <w:lvlText w:val="%1)"/>
      <w:lvlJc w:val="left"/>
      <w:pPr>
        <w:ind w:left="63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250882"/>
    <w:multiLevelType w:val="hybridMultilevel"/>
    <w:tmpl w:val="59487ACA"/>
    <w:lvl w:ilvl="0" w:tplc="D13A2F28">
      <w:start w:val="1"/>
      <w:numFmt w:val="lowerLetter"/>
      <w:lvlText w:val="(%1)"/>
      <w:lvlJc w:val="left"/>
      <w:pPr>
        <w:ind w:left="390" w:hanging="360"/>
      </w:pPr>
      <w:rPr>
        <w:rFonts w:cs="Times New Roman" w:hint="default"/>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7">
    <w:nsid w:val="522066A7"/>
    <w:multiLevelType w:val="hybridMultilevel"/>
    <w:tmpl w:val="D29674E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397F19"/>
    <w:multiLevelType w:val="hybridMultilevel"/>
    <w:tmpl w:val="59487ACA"/>
    <w:lvl w:ilvl="0" w:tplc="D13A2F28">
      <w:start w:val="1"/>
      <w:numFmt w:val="lowerLetter"/>
      <w:lvlText w:val="(%1)"/>
      <w:lvlJc w:val="left"/>
      <w:pPr>
        <w:ind w:left="390" w:hanging="360"/>
      </w:pPr>
      <w:rPr>
        <w:rFonts w:cs="Times New Roman" w:hint="default"/>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31">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EC405B"/>
    <w:multiLevelType w:val="hybridMultilevel"/>
    <w:tmpl w:val="46D48B36"/>
    <w:lvl w:ilvl="0" w:tplc="0C16E35E">
      <w:start w:val="2"/>
      <w:numFmt w:val="decimal"/>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136265F"/>
    <w:multiLevelType w:val="hybridMultilevel"/>
    <w:tmpl w:val="6FBCE1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C3F6F81"/>
    <w:multiLevelType w:val="hybridMultilevel"/>
    <w:tmpl w:val="FB045E1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7">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39"/>
  </w:num>
  <w:num w:numId="4">
    <w:abstractNumId w:val="3"/>
  </w:num>
  <w:num w:numId="5">
    <w:abstractNumId w:val="19"/>
  </w:num>
  <w:num w:numId="6">
    <w:abstractNumId w:val="0"/>
  </w:num>
  <w:num w:numId="7">
    <w:abstractNumId w:val="31"/>
  </w:num>
  <w:num w:numId="8">
    <w:abstractNumId w:val="11"/>
  </w:num>
  <w:num w:numId="9">
    <w:abstractNumId w:val="23"/>
  </w:num>
  <w:num w:numId="10">
    <w:abstractNumId w:val="4"/>
  </w:num>
  <w:num w:numId="11">
    <w:abstractNumId w:val="15"/>
  </w:num>
  <w:num w:numId="12">
    <w:abstractNumId w:val="22"/>
  </w:num>
  <w:num w:numId="13">
    <w:abstractNumId w:val="14"/>
  </w:num>
  <w:num w:numId="14">
    <w:abstractNumId w:val="36"/>
  </w:num>
  <w:num w:numId="15">
    <w:abstractNumId w:val="40"/>
  </w:num>
  <w:num w:numId="16">
    <w:abstractNumId w:val="12"/>
  </w:num>
  <w:num w:numId="17">
    <w:abstractNumId w:val="17"/>
  </w:num>
  <w:num w:numId="18">
    <w:abstractNumId w:val="38"/>
  </w:num>
  <w:num w:numId="19">
    <w:abstractNumId w:val="25"/>
  </w:num>
  <w:num w:numId="20">
    <w:abstractNumId w:val="5"/>
  </w:num>
  <w:num w:numId="21">
    <w:abstractNumId w:val="35"/>
  </w:num>
  <w:num w:numId="22">
    <w:abstractNumId w:val="28"/>
  </w:num>
  <w:num w:numId="23">
    <w:abstractNumId w:val="7"/>
  </w:num>
  <w:num w:numId="24">
    <w:abstractNumId w:val="37"/>
  </w:num>
  <w:num w:numId="25">
    <w:abstractNumId w:val="29"/>
  </w:num>
  <w:num w:numId="26">
    <w:abstractNumId w:val="6"/>
  </w:num>
  <w:num w:numId="27">
    <w:abstractNumId w:val="10"/>
  </w:num>
  <w:num w:numId="28">
    <w:abstractNumId w:val="32"/>
  </w:num>
  <w:num w:numId="29">
    <w:abstractNumId w:val="33"/>
  </w:num>
  <w:num w:numId="30">
    <w:abstractNumId w:val="8"/>
  </w:num>
  <w:num w:numId="31">
    <w:abstractNumId w:val="21"/>
  </w:num>
  <w:num w:numId="32">
    <w:abstractNumId w:val="2"/>
  </w:num>
  <w:num w:numId="33">
    <w:abstractNumId w:val="26"/>
  </w:num>
  <w:num w:numId="34">
    <w:abstractNumId w:val="30"/>
  </w:num>
  <w:num w:numId="35">
    <w:abstractNumId w:val="20"/>
  </w:num>
  <w:num w:numId="36">
    <w:abstractNumId w:val="13"/>
  </w:num>
  <w:num w:numId="37">
    <w:abstractNumId w:val="34"/>
  </w:num>
  <w:num w:numId="38">
    <w:abstractNumId w:val="27"/>
  </w:num>
  <w:num w:numId="39">
    <w:abstractNumId w:val="1"/>
  </w:num>
  <w:num w:numId="40">
    <w:abstractNumId w:val="16"/>
  </w:num>
  <w:num w:numId="41">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3CC8"/>
    <w:rsid w:val="00016281"/>
    <w:rsid w:val="000172BC"/>
    <w:rsid w:val="000243E7"/>
    <w:rsid w:val="00027AC1"/>
    <w:rsid w:val="00030402"/>
    <w:rsid w:val="00036840"/>
    <w:rsid w:val="000371A3"/>
    <w:rsid w:val="000470F0"/>
    <w:rsid w:val="00052F21"/>
    <w:rsid w:val="00054DC8"/>
    <w:rsid w:val="00056D5C"/>
    <w:rsid w:val="00071B65"/>
    <w:rsid w:val="00081CDA"/>
    <w:rsid w:val="00086B57"/>
    <w:rsid w:val="00097B76"/>
    <w:rsid w:val="000A0E2E"/>
    <w:rsid w:val="000A65E8"/>
    <w:rsid w:val="000A7D2C"/>
    <w:rsid w:val="000B4B83"/>
    <w:rsid w:val="000B7DBB"/>
    <w:rsid w:val="00100E5F"/>
    <w:rsid w:val="001052CC"/>
    <w:rsid w:val="00105B55"/>
    <w:rsid w:val="00111EEA"/>
    <w:rsid w:val="00130231"/>
    <w:rsid w:val="00151A13"/>
    <w:rsid w:val="00151F43"/>
    <w:rsid w:val="001527BE"/>
    <w:rsid w:val="00164F42"/>
    <w:rsid w:val="00171E5D"/>
    <w:rsid w:val="001802DF"/>
    <w:rsid w:val="00180CA0"/>
    <w:rsid w:val="00180E33"/>
    <w:rsid w:val="001930F9"/>
    <w:rsid w:val="00193B01"/>
    <w:rsid w:val="00195165"/>
    <w:rsid w:val="00195EB2"/>
    <w:rsid w:val="001972C6"/>
    <w:rsid w:val="001977EC"/>
    <w:rsid w:val="001A1D6E"/>
    <w:rsid w:val="001A4469"/>
    <w:rsid w:val="001A6743"/>
    <w:rsid w:val="001B6648"/>
    <w:rsid w:val="001C481F"/>
    <w:rsid w:val="001D3FF8"/>
    <w:rsid w:val="001E27A0"/>
    <w:rsid w:val="001E638A"/>
    <w:rsid w:val="001F13E3"/>
    <w:rsid w:val="00203273"/>
    <w:rsid w:val="0020360A"/>
    <w:rsid w:val="00203659"/>
    <w:rsid w:val="0021776F"/>
    <w:rsid w:val="00226048"/>
    <w:rsid w:val="0023531B"/>
    <w:rsid w:val="0024449B"/>
    <w:rsid w:val="002606E6"/>
    <w:rsid w:val="00286EB8"/>
    <w:rsid w:val="002919B9"/>
    <w:rsid w:val="002B7076"/>
    <w:rsid w:val="002B7CD8"/>
    <w:rsid w:val="002C5F17"/>
    <w:rsid w:val="002D65CA"/>
    <w:rsid w:val="00303FDC"/>
    <w:rsid w:val="003103C4"/>
    <w:rsid w:val="00333C62"/>
    <w:rsid w:val="003347B7"/>
    <w:rsid w:val="00337CE7"/>
    <w:rsid w:val="003723D9"/>
    <w:rsid w:val="00376D70"/>
    <w:rsid w:val="00383CBB"/>
    <w:rsid w:val="003A44C4"/>
    <w:rsid w:val="003C12E2"/>
    <w:rsid w:val="003E1580"/>
    <w:rsid w:val="003E3E86"/>
    <w:rsid w:val="00400BD4"/>
    <w:rsid w:val="00401384"/>
    <w:rsid w:val="004034BC"/>
    <w:rsid w:val="00410372"/>
    <w:rsid w:val="004169C2"/>
    <w:rsid w:val="00417A9A"/>
    <w:rsid w:val="00422817"/>
    <w:rsid w:val="00424090"/>
    <w:rsid w:val="00441131"/>
    <w:rsid w:val="004423A3"/>
    <w:rsid w:val="00480DDF"/>
    <w:rsid w:val="004A0462"/>
    <w:rsid w:val="004A6C89"/>
    <w:rsid w:val="004B2501"/>
    <w:rsid w:val="004B2A0B"/>
    <w:rsid w:val="004B3157"/>
    <w:rsid w:val="004C6525"/>
    <w:rsid w:val="004C7260"/>
    <w:rsid w:val="004C776E"/>
    <w:rsid w:val="004F0F64"/>
    <w:rsid w:val="00515AA8"/>
    <w:rsid w:val="0053084F"/>
    <w:rsid w:val="00571D24"/>
    <w:rsid w:val="00574773"/>
    <w:rsid w:val="00577870"/>
    <w:rsid w:val="00582066"/>
    <w:rsid w:val="00587BB3"/>
    <w:rsid w:val="0059349F"/>
    <w:rsid w:val="005B50BF"/>
    <w:rsid w:val="005B6AA9"/>
    <w:rsid w:val="005C0E30"/>
    <w:rsid w:val="005C1239"/>
    <w:rsid w:val="005D041E"/>
    <w:rsid w:val="0060237C"/>
    <w:rsid w:val="00623FC2"/>
    <w:rsid w:val="00626F0E"/>
    <w:rsid w:val="00630B0A"/>
    <w:rsid w:val="00642561"/>
    <w:rsid w:val="00657DED"/>
    <w:rsid w:val="0067697E"/>
    <w:rsid w:val="00690DB0"/>
    <w:rsid w:val="00690F9A"/>
    <w:rsid w:val="00694FB0"/>
    <w:rsid w:val="006973F0"/>
    <w:rsid w:val="006B08CC"/>
    <w:rsid w:val="006B4727"/>
    <w:rsid w:val="006B7647"/>
    <w:rsid w:val="006D1DAA"/>
    <w:rsid w:val="006E2867"/>
    <w:rsid w:val="006E6D18"/>
    <w:rsid w:val="00701460"/>
    <w:rsid w:val="007146AC"/>
    <w:rsid w:val="007150F6"/>
    <w:rsid w:val="0072271D"/>
    <w:rsid w:val="00731BC4"/>
    <w:rsid w:val="00736C9C"/>
    <w:rsid w:val="0076056D"/>
    <w:rsid w:val="0076696F"/>
    <w:rsid w:val="00781703"/>
    <w:rsid w:val="007863D3"/>
    <w:rsid w:val="00787B7C"/>
    <w:rsid w:val="00793D7D"/>
    <w:rsid w:val="007A382F"/>
    <w:rsid w:val="007C2C4B"/>
    <w:rsid w:val="007C2E22"/>
    <w:rsid w:val="007F0D31"/>
    <w:rsid w:val="008451FE"/>
    <w:rsid w:val="00850EDA"/>
    <w:rsid w:val="00856EA5"/>
    <w:rsid w:val="0086513D"/>
    <w:rsid w:val="008B0763"/>
    <w:rsid w:val="008B37EA"/>
    <w:rsid w:val="008C6B11"/>
    <w:rsid w:val="008D209E"/>
    <w:rsid w:val="008E7C63"/>
    <w:rsid w:val="008F0B46"/>
    <w:rsid w:val="008F2C61"/>
    <w:rsid w:val="008F3B0E"/>
    <w:rsid w:val="008F51D6"/>
    <w:rsid w:val="0090497F"/>
    <w:rsid w:val="00914E33"/>
    <w:rsid w:val="00915DAE"/>
    <w:rsid w:val="00921E31"/>
    <w:rsid w:val="00923AC9"/>
    <w:rsid w:val="00923BF0"/>
    <w:rsid w:val="00925FEC"/>
    <w:rsid w:val="00930F7D"/>
    <w:rsid w:val="00931279"/>
    <w:rsid w:val="0093146A"/>
    <w:rsid w:val="00933657"/>
    <w:rsid w:val="00945DA7"/>
    <w:rsid w:val="00953358"/>
    <w:rsid w:val="00955E90"/>
    <w:rsid w:val="00963593"/>
    <w:rsid w:val="00963EE9"/>
    <w:rsid w:val="0099213F"/>
    <w:rsid w:val="00996EEB"/>
    <w:rsid w:val="009A19D3"/>
    <w:rsid w:val="009A50CA"/>
    <w:rsid w:val="009B1BF2"/>
    <w:rsid w:val="009D4F15"/>
    <w:rsid w:val="009D5D82"/>
    <w:rsid w:val="009E7037"/>
    <w:rsid w:val="009F5E4D"/>
    <w:rsid w:val="00A05BC0"/>
    <w:rsid w:val="00A126FA"/>
    <w:rsid w:val="00A16AA3"/>
    <w:rsid w:val="00A2522C"/>
    <w:rsid w:val="00A25C56"/>
    <w:rsid w:val="00A307D3"/>
    <w:rsid w:val="00A30A70"/>
    <w:rsid w:val="00A42C53"/>
    <w:rsid w:val="00A444A6"/>
    <w:rsid w:val="00A467EC"/>
    <w:rsid w:val="00A55476"/>
    <w:rsid w:val="00A56AA3"/>
    <w:rsid w:val="00A83E3D"/>
    <w:rsid w:val="00AB0F65"/>
    <w:rsid w:val="00AB0F93"/>
    <w:rsid w:val="00B07852"/>
    <w:rsid w:val="00B144B7"/>
    <w:rsid w:val="00B17C5F"/>
    <w:rsid w:val="00B34C33"/>
    <w:rsid w:val="00B52F3C"/>
    <w:rsid w:val="00B570C1"/>
    <w:rsid w:val="00B66E4B"/>
    <w:rsid w:val="00B677C4"/>
    <w:rsid w:val="00B8759F"/>
    <w:rsid w:val="00B8792D"/>
    <w:rsid w:val="00B966C3"/>
    <w:rsid w:val="00B97F4B"/>
    <w:rsid w:val="00BA0F64"/>
    <w:rsid w:val="00BA3A7E"/>
    <w:rsid w:val="00BA7794"/>
    <w:rsid w:val="00BB31C9"/>
    <w:rsid w:val="00BC1B5B"/>
    <w:rsid w:val="00BC6698"/>
    <w:rsid w:val="00BE3AF6"/>
    <w:rsid w:val="00BE7914"/>
    <w:rsid w:val="00BF650C"/>
    <w:rsid w:val="00C0398A"/>
    <w:rsid w:val="00C05A74"/>
    <w:rsid w:val="00C122FF"/>
    <w:rsid w:val="00C2355D"/>
    <w:rsid w:val="00C35666"/>
    <w:rsid w:val="00C418BA"/>
    <w:rsid w:val="00C43D8B"/>
    <w:rsid w:val="00C63E52"/>
    <w:rsid w:val="00C67E15"/>
    <w:rsid w:val="00C71FA6"/>
    <w:rsid w:val="00C72C8F"/>
    <w:rsid w:val="00C85C97"/>
    <w:rsid w:val="00C934BB"/>
    <w:rsid w:val="00CA274C"/>
    <w:rsid w:val="00CB0325"/>
    <w:rsid w:val="00CB50DD"/>
    <w:rsid w:val="00CC2365"/>
    <w:rsid w:val="00CC5E60"/>
    <w:rsid w:val="00CD589A"/>
    <w:rsid w:val="00CF3B68"/>
    <w:rsid w:val="00CF4748"/>
    <w:rsid w:val="00CF72FF"/>
    <w:rsid w:val="00D2365D"/>
    <w:rsid w:val="00D31853"/>
    <w:rsid w:val="00D33032"/>
    <w:rsid w:val="00D53C26"/>
    <w:rsid w:val="00D545E4"/>
    <w:rsid w:val="00D7569B"/>
    <w:rsid w:val="00DD131D"/>
    <w:rsid w:val="00DE29FE"/>
    <w:rsid w:val="00DE739D"/>
    <w:rsid w:val="00DF5486"/>
    <w:rsid w:val="00E05626"/>
    <w:rsid w:val="00E23501"/>
    <w:rsid w:val="00E2720A"/>
    <w:rsid w:val="00E442C3"/>
    <w:rsid w:val="00E528E0"/>
    <w:rsid w:val="00E5474E"/>
    <w:rsid w:val="00E57D53"/>
    <w:rsid w:val="00E82BC6"/>
    <w:rsid w:val="00E85103"/>
    <w:rsid w:val="00E92BEF"/>
    <w:rsid w:val="00EA2E0B"/>
    <w:rsid w:val="00EB113C"/>
    <w:rsid w:val="00EC6FB5"/>
    <w:rsid w:val="00ED2323"/>
    <w:rsid w:val="00ED3594"/>
    <w:rsid w:val="00EF4B74"/>
    <w:rsid w:val="00EF6412"/>
    <w:rsid w:val="00F0007C"/>
    <w:rsid w:val="00F006DA"/>
    <w:rsid w:val="00F0622C"/>
    <w:rsid w:val="00F2760B"/>
    <w:rsid w:val="00F41703"/>
    <w:rsid w:val="00F64EA7"/>
    <w:rsid w:val="00F675BF"/>
    <w:rsid w:val="00F77194"/>
    <w:rsid w:val="00F8769F"/>
    <w:rsid w:val="00FB416E"/>
    <w:rsid w:val="00FC360C"/>
    <w:rsid w:val="00FE5404"/>
    <w:rsid w:val="00FF20B0"/>
    <w:rsid w:val="00FF23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AF4AE"/>
  <w15:docId w15:val="{65CD026E-3927-4BAA-A107-247F104D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Error-Fuónotenzeichen5,Error-Fuónotenzeichen6,Error-Fuónotenzeichen3,16 Point,Superscript 6 Point,Ref,de nota al pie,Footnote Reference 2,BVI fnr,ftref,Char Char Char Char Car Char,SUPERS,Error-FuÛnotenzeichen5,Error-FuÛnotenzeichen6"/>
    <w:basedOn w:val="DefaultParagraphFont"/>
    <w:uiPriority w:val="99"/>
    <w:rsid w:val="00731BC4"/>
    <w:rPr>
      <w:vertAlign w:val="superscript"/>
    </w:rPr>
  </w:style>
  <w:style w:type="paragraph" w:styleId="FootnoteText">
    <w:name w:val="footnote text"/>
    <w:aliases w:val="FOOTNOTES,fn,single space,footnote text,Fußnotentext Char,Footnote Text Char1,Footnote Text Char2 Char,Footnote Text Char1 Char Char,Footnote Text Char2 Char Char Char,Footnote Text Char1 Char Char Char Char,ADB,fn Char Char Char Char,f,ft"/>
    <w:basedOn w:val="Normal"/>
    <w:link w:val="FootnoteTextChar"/>
    <w:uiPriority w:val="99"/>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ußnotentext Char Char,Footnote Text Char1 Char,Footnote Text Char2 Char Char,Footnote Text Char1 Char Char Char,Footnote Text Char2 Char Char Char Char,ADB Char,f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List Paragraph (numbered (a)) Char,List Paragraph Char Char Char,Bullet paras"/>
    <w:basedOn w:val="Normal"/>
    <w:uiPriority w:val="34"/>
    <w:qFormat/>
    <w:rsid w:val="00FF23CF"/>
    <w:pPr>
      <w:ind w:left="720"/>
      <w:contextualSpacing/>
    </w:pPr>
  </w:style>
  <w:style w:type="paragraph" w:customStyle="1" w:styleId="ListParagraphChar">
    <w:name w:val="List Paragraph Char"/>
    <w:basedOn w:val="Normal"/>
    <w:link w:val="ListParagraphCharChar"/>
    <w:rsid w:val="00333C62"/>
    <w:pPr>
      <w:widowControl w:val="0"/>
      <w:autoSpaceDE w:val="0"/>
      <w:autoSpaceDN w:val="0"/>
      <w:adjustRightInd w:val="0"/>
      <w:ind w:left="720"/>
    </w:pPr>
    <w:rPr>
      <w:rFonts w:ascii="Arial" w:hAnsi="Arial"/>
      <w:color w:val="000000"/>
    </w:rPr>
  </w:style>
  <w:style w:type="paragraph" w:customStyle="1" w:styleId="CASPRtit3">
    <w:name w:val="CASPRtit3"/>
    <w:basedOn w:val="Title"/>
    <w:rsid w:val="00333C62"/>
    <w:pPr>
      <w:numPr>
        <w:numId w:val="27"/>
      </w:numPr>
      <w:pBdr>
        <w:bottom w:val="none" w:sz="0" w:space="0" w:color="auto"/>
      </w:pBdr>
      <w:spacing w:before="240" w:after="0"/>
      <w:contextualSpacing w:val="0"/>
      <w:jc w:val="both"/>
    </w:pPr>
    <w:rPr>
      <w:rFonts w:ascii="Times New Roman" w:eastAsia="Times New Roman" w:hAnsi="Times New Roman" w:cs="Times New Roman"/>
      <w:b/>
      <w:bCs/>
      <w:color w:val="auto"/>
      <w:spacing w:val="0"/>
      <w:kern w:val="0"/>
      <w:sz w:val="22"/>
      <w:szCs w:val="24"/>
    </w:rPr>
  </w:style>
  <w:style w:type="character" w:customStyle="1" w:styleId="ListParagraphCharChar">
    <w:name w:val="List Paragraph Char Char"/>
    <w:link w:val="ListParagraphChar"/>
    <w:rsid w:val="00333C62"/>
    <w:rPr>
      <w:rFonts w:ascii="Arial" w:hAnsi="Arial"/>
      <w:color w:val="000000"/>
      <w:sz w:val="24"/>
      <w:szCs w:val="24"/>
    </w:rPr>
  </w:style>
  <w:style w:type="paragraph" w:styleId="Title">
    <w:name w:val="Title"/>
    <w:basedOn w:val="Normal"/>
    <w:next w:val="Normal"/>
    <w:link w:val="TitleChar"/>
    <w:qFormat/>
    <w:rsid w:val="00333C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33C62"/>
    <w:rPr>
      <w:rFonts w:asciiTheme="majorHAnsi" w:eastAsiaTheme="majorEastAsia" w:hAnsiTheme="majorHAnsi" w:cstheme="majorBidi"/>
      <w:color w:val="17365D" w:themeColor="text2" w:themeShade="BF"/>
      <w:spacing w:val="5"/>
      <w:kern w:val="28"/>
      <w:sz w:val="52"/>
      <w:szCs w:val="52"/>
    </w:rPr>
  </w:style>
  <w:style w:type="character" w:customStyle="1" w:styleId="A1">
    <w:name w:val="A1"/>
    <w:rsid w:val="001D3FF8"/>
    <w:rPr>
      <w:rFonts w:cs="Monitor Lt"/>
      <w:color w:val="000000"/>
      <w:sz w:val="22"/>
      <w:szCs w:val="22"/>
    </w:rPr>
  </w:style>
  <w:style w:type="paragraph" w:customStyle="1" w:styleId="ListParagraphCharCharCharChar">
    <w:name w:val="List Paragraph Char Char Char Char"/>
    <w:basedOn w:val="Normal"/>
    <w:link w:val="ListParagraphCharCharCharCharChar"/>
    <w:rsid w:val="00DF5486"/>
    <w:pPr>
      <w:widowControl w:val="0"/>
      <w:autoSpaceDE w:val="0"/>
      <w:autoSpaceDN w:val="0"/>
      <w:adjustRightInd w:val="0"/>
      <w:ind w:left="720"/>
    </w:pPr>
    <w:rPr>
      <w:rFonts w:ascii="Arial" w:hAnsi="Arial"/>
      <w:color w:val="000000"/>
      <w:lang w:val="x-none" w:eastAsia="x-none"/>
    </w:rPr>
  </w:style>
  <w:style w:type="character" w:customStyle="1" w:styleId="ListParagraphCharCharCharCharChar">
    <w:name w:val="List Paragraph Char Char Char Char Char"/>
    <w:link w:val="ListParagraphCharCharCharChar"/>
    <w:rsid w:val="00DF5486"/>
    <w:rPr>
      <w:rFonts w:ascii="Arial" w:hAnsi="Arial"/>
      <w:color w:val="000000"/>
      <w:sz w:val="24"/>
      <w:szCs w:val="24"/>
      <w:lang w:val="x-none" w:eastAsia="x-none"/>
    </w:rPr>
  </w:style>
  <w:style w:type="paragraph" w:customStyle="1" w:styleId="PDSHeading2">
    <w:name w:val="PDS Heading 2"/>
    <w:next w:val="Normal"/>
    <w:rsid w:val="00DE29FE"/>
    <w:pPr>
      <w:keepNext/>
      <w:numPr>
        <w:ilvl w:val="1"/>
        <w:numId w:val="39"/>
      </w:numPr>
    </w:pPr>
    <w:rPr>
      <w:b/>
      <w:sz w:val="24"/>
    </w:rPr>
  </w:style>
  <w:style w:type="paragraph" w:customStyle="1" w:styleId="PDSHeading1">
    <w:name w:val="PDS Heading 1"/>
    <w:next w:val="PDSHeading2"/>
    <w:rsid w:val="00DE29FE"/>
    <w:pPr>
      <w:keepNext/>
      <w:numPr>
        <w:numId w:val="39"/>
      </w:numPr>
      <w:outlineLvl w:val="0"/>
    </w:pPr>
    <w:rPr>
      <w:b/>
      <w:caps/>
      <w:sz w:val="24"/>
    </w:rPr>
  </w:style>
  <w:style w:type="character" w:customStyle="1" w:styleId="st">
    <w:name w:val="st"/>
    <w:basedOn w:val="DefaultParagraphFont"/>
    <w:rsid w:val="007A382F"/>
  </w:style>
  <w:style w:type="character" w:styleId="Emphasis">
    <w:name w:val="Emphasis"/>
    <w:basedOn w:val="DefaultParagraphFont"/>
    <w:uiPriority w:val="20"/>
    <w:qFormat/>
    <w:rsid w:val="007A382F"/>
    <w:rPr>
      <w:i/>
      <w:iCs/>
    </w:rPr>
  </w:style>
  <w:style w:type="paragraph" w:styleId="CommentSubject">
    <w:name w:val="annotation subject"/>
    <w:basedOn w:val="CommentText"/>
    <w:next w:val="CommentText"/>
    <w:link w:val="CommentSubjectChar"/>
    <w:semiHidden/>
    <w:unhideWhenUsed/>
    <w:rsid w:val="00EF6412"/>
    <w:rPr>
      <w:b/>
      <w:bCs/>
    </w:rPr>
  </w:style>
  <w:style w:type="character" w:customStyle="1" w:styleId="CommentTextChar">
    <w:name w:val="Comment Text Char"/>
    <w:basedOn w:val="DefaultParagraphFont"/>
    <w:link w:val="CommentText"/>
    <w:semiHidden/>
    <w:rsid w:val="00EF6412"/>
  </w:style>
  <w:style w:type="character" w:customStyle="1" w:styleId="CommentSubjectChar">
    <w:name w:val="Comment Subject Char"/>
    <w:basedOn w:val="CommentTextChar"/>
    <w:link w:val="CommentSubject"/>
    <w:semiHidden/>
    <w:rsid w:val="00EF6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bln0011.worldbank.org/Institutional/Manuals/OpManual.nsf/OPolw/9367A2A9D9DAEED38525672C007D0972?OpenDocument" TargetMode="External"/><Relationship Id="rId13" Type="http://schemas.openxmlformats.org/officeDocument/2006/relationships/hyperlink" Target="http://wbln0011.worldbank.org/Institutional/Manuals/OpManual.nsf/bytype/AA37778A8BCF64A585256B1800645AC5?OpenDocument" TargetMode="External"/><Relationship Id="rId18" Type="http://schemas.openxmlformats.org/officeDocument/2006/relationships/hyperlink" Target="http://wbln0011.worldbank.org/Institutional/Manuals/OpManual.nsf/BProw/D3448207C94C92628525672C007D0733?OpenDocument" TargetMode="External"/><Relationship Id="rId3" Type="http://schemas.openxmlformats.org/officeDocument/2006/relationships/styles" Target="styles.xml"/><Relationship Id="rId21" Type="http://schemas.openxmlformats.org/officeDocument/2006/relationships/hyperlink" Target="http://wbln0011.worldbank.org/Institutional/Manuals/OpManual.nsf/OPolw/5F511C57E7F3A3DD8525672C007D07A2?OpenDocument" TargetMode="External"/><Relationship Id="rId7" Type="http://schemas.openxmlformats.org/officeDocument/2006/relationships/endnotes" Target="endnotes.xml"/><Relationship Id="rId12" Type="http://schemas.openxmlformats.org/officeDocument/2006/relationships/hyperlink" Target="http://wbln0011.worldbank.org/Institutional/Manuals/OpManual.nsf/OPolw/665DA6CA847982168525672C007D07A3?OpenDocument" TargetMode="External"/><Relationship Id="rId17" Type="http://schemas.openxmlformats.org/officeDocument/2006/relationships/hyperlink" Target="http://wbln0011.worldbank.org/Institutional/Manuals/OpManual.nsf/OPolw/C12766B6C9D109548525672C007D07B9?OpenDocu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bln0011.worldbank.org/Institutional/Manuals/OpManual.nsf/GPraw/97FA41A3D754DE318525672C007D07EB?OpenDocument" TargetMode="External"/><Relationship Id="rId20" Type="http://schemas.openxmlformats.org/officeDocument/2006/relationships/hyperlink" Target="http://wbln0011.worldbank.org/Institutional/Manuals/OpManual.nsf/BProw/5DB8B30312AD33108525672C007D0788?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bln0011.worldbank.org/Institutional/Manuals/OpManual.nsf/BProw/62B0042EF3FBA64D8525672C007D0773?OpenDocu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bln0011.worldbank.org/Institutional/Manuals/OpManual.nsf/OPolw/C972D5438F4D1FB78525672C007D077A?OpenDocument" TargetMode="External"/><Relationship Id="rId23" Type="http://schemas.openxmlformats.org/officeDocument/2006/relationships/hyperlink" Target="http://www.worldbank.org/infoshop" TargetMode="External"/><Relationship Id="rId10" Type="http://schemas.openxmlformats.org/officeDocument/2006/relationships/hyperlink" Target="http://wbln0011.worldbank.org/Institutional/Manuals/OpManual.nsf/OPolw/71432937FA0B753F8525672C007D07AA?OpenDocument" TargetMode="External"/><Relationship Id="rId19" Type="http://schemas.openxmlformats.org/officeDocument/2006/relationships/hyperlink" Target="http://wbln0011.worldbank.org/Institutional/Manuals/OpManual.nsf/OPolw/72CC6840FC533D508525672C007D076B?OpenDocument" TargetMode="External"/><Relationship Id="rId4" Type="http://schemas.openxmlformats.org/officeDocument/2006/relationships/settings" Target="settings.xml"/><Relationship Id="rId9" Type="http://schemas.openxmlformats.org/officeDocument/2006/relationships/hyperlink" Target="http://wbln0011.worldbank.org/Institutional/Manuals/OpManual.nsf/BProw/C4241D657823FD818525672C007D096E?OpenDocument" TargetMode="External"/><Relationship Id="rId14" Type="http://schemas.openxmlformats.org/officeDocument/2006/relationships/hyperlink" Target="http://wbln0011.worldbank.org/Institutional/Manuals/OpManual.nsf/bytype/383197ED73D421A385256B180072D46D?OpenDocument" TargetMode="External"/><Relationship Id="rId22" Type="http://schemas.openxmlformats.org/officeDocument/2006/relationships/hyperlink" Target="http://wbln0011.worldbank.org/Institutional/Manuals/OpManual.nsf/BProw/47D35C1186367F338525672C007D07AE?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B0D2-71C3-4AB5-BA6C-78440FDF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22440</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Lina Janenaite</cp:lastModifiedBy>
  <cp:revision>3</cp:revision>
  <cp:lastPrinted>2014-11-17T21:46:00Z</cp:lastPrinted>
  <dcterms:created xsi:type="dcterms:W3CDTF">2014-11-15T04:52:00Z</dcterms:created>
  <dcterms:modified xsi:type="dcterms:W3CDTF">2014-11-17T21:46:00Z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AB2618</vt:lpwstr>
  </property>
  <property fmtid="{D5CDD505-2E9C-101B-9397-08002B2CF9AE}" pid="3" name="TEAMLEADER">
    <vt:lpwstr>Zafar Iqbal Raja</vt:lpwstr>
  </property>
</Properties>
</file>