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15CB" w:rsidRPr="00DF6826" w:rsidRDefault="00B578E1" w:rsidP="00DF6826">
      <w:pPr>
        <w:spacing w:after="0" w:line="276" w:lineRule="auto"/>
        <w:jc w:val="center"/>
        <w:rPr>
          <w:rFonts w:asciiTheme="minorHAnsi" w:hAnsiTheme="minorHAnsi"/>
          <w:spacing w:val="-2"/>
          <w:sz w:val="22"/>
        </w:rPr>
      </w:pPr>
      <w:r w:rsidRPr="00DF6826">
        <w:rPr>
          <w:rFonts w:asciiTheme="minorHAnsi" w:hAnsiTheme="minorHAnsi"/>
          <w:spacing w:val="-2"/>
          <w:sz w:val="22"/>
        </w:rPr>
        <w:t>Document of</w:t>
      </w:r>
    </w:p>
    <w:p w:rsidR="003615CB" w:rsidRPr="00DF6826" w:rsidRDefault="00B578E1" w:rsidP="00DF6826">
      <w:pPr>
        <w:spacing w:after="0" w:line="276" w:lineRule="auto"/>
        <w:jc w:val="center"/>
        <w:rPr>
          <w:rFonts w:asciiTheme="minorHAnsi" w:hAnsiTheme="minorHAnsi"/>
          <w:spacing w:val="-2"/>
          <w:sz w:val="28"/>
        </w:rPr>
      </w:pPr>
      <w:r w:rsidRPr="00DF6826">
        <w:rPr>
          <w:rFonts w:asciiTheme="minorHAnsi" w:hAnsiTheme="minorHAnsi"/>
          <w:spacing w:val="-1"/>
          <w:sz w:val="28"/>
        </w:rPr>
        <w:t>The World</w:t>
      </w:r>
      <w:r w:rsidRPr="00DF6826">
        <w:rPr>
          <w:rFonts w:asciiTheme="minorHAnsi" w:hAnsiTheme="minorHAnsi"/>
          <w:sz w:val="28"/>
        </w:rPr>
        <w:t xml:space="preserve"> </w:t>
      </w:r>
      <w:r w:rsidRPr="00DF6826">
        <w:rPr>
          <w:rFonts w:asciiTheme="minorHAnsi" w:hAnsiTheme="minorHAnsi"/>
          <w:spacing w:val="-2"/>
          <w:sz w:val="28"/>
        </w:rPr>
        <w:t>Bank</w:t>
      </w:r>
    </w:p>
    <w:p w:rsidR="003615CB" w:rsidRPr="00DF6826" w:rsidRDefault="00B578E1" w:rsidP="00DF6826">
      <w:pPr>
        <w:pStyle w:val="BodyText"/>
        <w:spacing w:after="0"/>
        <w:ind w:left="0"/>
        <w:jc w:val="center"/>
        <w:rPr>
          <w:rFonts w:asciiTheme="minorHAnsi" w:hAnsiTheme="minorHAnsi"/>
          <w:b w:val="0"/>
          <w:spacing w:val="-1"/>
        </w:rPr>
      </w:pPr>
      <w:r w:rsidRPr="00DF6826">
        <w:rPr>
          <w:rFonts w:asciiTheme="minorHAnsi" w:hAnsiTheme="minorHAnsi"/>
          <w:b w:val="0"/>
          <w:spacing w:val="-1"/>
        </w:rPr>
        <w:t>FOR OFFICIAL</w:t>
      </w:r>
      <w:r w:rsidRPr="00DF6826">
        <w:rPr>
          <w:rFonts w:asciiTheme="minorHAnsi" w:hAnsiTheme="minorHAnsi"/>
          <w:b w:val="0"/>
        </w:rPr>
        <w:t xml:space="preserve"> </w:t>
      </w:r>
      <w:r w:rsidRPr="00DF6826">
        <w:rPr>
          <w:rFonts w:asciiTheme="minorHAnsi" w:hAnsiTheme="minorHAnsi"/>
          <w:b w:val="0"/>
          <w:spacing w:val="-1"/>
        </w:rPr>
        <w:t>USE</w:t>
      </w:r>
      <w:r w:rsidRPr="00DF6826">
        <w:rPr>
          <w:rFonts w:asciiTheme="minorHAnsi" w:hAnsiTheme="minorHAnsi"/>
          <w:b w:val="0"/>
          <w:spacing w:val="3"/>
        </w:rPr>
        <w:t xml:space="preserve"> </w:t>
      </w:r>
      <w:r w:rsidRPr="00DF6826">
        <w:rPr>
          <w:rFonts w:asciiTheme="minorHAnsi" w:hAnsiTheme="minorHAnsi"/>
          <w:b w:val="0"/>
          <w:spacing w:val="-1"/>
        </w:rPr>
        <w:t>ONLY</w:t>
      </w:r>
    </w:p>
    <w:p w:rsidR="00875409" w:rsidRDefault="00875409" w:rsidP="00D846D2">
      <w:pPr>
        <w:pStyle w:val="BodyText"/>
        <w:ind w:left="0"/>
        <w:jc w:val="center"/>
        <w:rPr>
          <w:rFonts w:asciiTheme="minorHAnsi" w:hAnsiTheme="minorHAnsi"/>
          <w:spacing w:val="-1"/>
        </w:rPr>
      </w:pPr>
    </w:p>
    <w:p w:rsidR="00875409" w:rsidRDefault="00875409" w:rsidP="00875409">
      <w:pPr>
        <w:pStyle w:val="BodyText"/>
        <w:ind w:left="0"/>
        <w:jc w:val="right"/>
        <w:rPr>
          <w:rFonts w:asciiTheme="minorHAnsi" w:hAnsiTheme="minorHAnsi"/>
          <w:b w:val="0"/>
          <w:bCs w:val="0"/>
        </w:rPr>
      </w:pPr>
    </w:p>
    <w:p w:rsidR="003615CB" w:rsidRPr="00CF0E18" w:rsidRDefault="00B578E1" w:rsidP="00DF6826">
      <w:pPr>
        <w:jc w:val="right"/>
        <w:rPr>
          <w:rFonts w:asciiTheme="minorHAnsi" w:eastAsiaTheme="minorHAnsi" w:hAnsiTheme="minorHAnsi" w:cstheme="minorBidi"/>
          <w:color w:val="auto"/>
          <w:szCs w:val="22"/>
        </w:rPr>
      </w:pPr>
      <w:r w:rsidRPr="00CF0E18">
        <w:rPr>
          <w:rFonts w:asciiTheme="minorHAnsi" w:eastAsiaTheme="minorHAnsi" w:hAnsiTheme="minorHAnsi" w:cstheme="minorBidi"/>
          <w:color w:val="auto"/>
          <w:szCs w:val="22"/>
        </w:rPr>
        <w:t xml:space="preserve">Report No: </w:t>
      </w:r>
      <w:r w:rsidR="00720E9B">
        <w:rPr>
          <w:rFonts w:asciiTheme="minorHAnsi" w:eastAsiaTheme="minorHAnsi" w:hAnsiTheme="minorHAnsi" w:cstheme="minorBidi"/>
          <w:noProof/>
          <w:color w:val="auto"/>
          <w:szCs w:val="22"/>
        </w:rPr>
        <w:t>ICR00002582</w:t>
      </w:r>
    </w:p>
    <w:p w:rsidR="00875409" w:rsidRDefault="00875409" w:rsidP="00875409">
      <w:pPr>
        <w:rPr>
          <w:rFonts w:asciiTheme="minorHAnsi" w:hAnsiTheme="minorHAnsi"/>
          <w:spacing w:val="-1"/>
        </w:rPr>
      </w:pPr>
    </w:p>
    <w:p w:rsidR="00875409" w:rsidRDefault="00875409" w:rsidP="00875409">
      <w:pPr>
        <w:rPr>
          <w:rFonts w:asciiTheme="minorHAnsi" w:hAnsiTheme="minorHAnsi"/>
          <w:spacing w:val="-1"/>
        </w:rPr>
      </w:pPr>
    </w:p>
    <w:p w:rsidR="00875409" w:rsidRPr="00657FD5" w:rsidRDefault="00B578E1" w:rsidP="00F920C3">
      <w:pPr>
        <w:ind w:left="-720" w:right="-180"/>
        <w:jc w:val="center"/>
        <w:rPr>
          <w:rFonts w:asciiTheme="minorHAnsi" w:eastAsiaTheme="minorHAnsi" w:hAnsiTheme="minorHAnsi" w:cstheme="minorBidi"/>
          <w:color w:val="262626" w:themeColor="text1" w:themeTint="D9"/>
          <w:sz w:val="28"/>
          <w:szCs w:val="48"/>
        </w:rPr>
      </w:pPr>
      <w:r w:rsidRPr="00657FD5">
        <w:rPr>
          <w:rFonts w:asciiTheme="minorHAnsi" w:eastAsiaTheme="minorHAnsi" w:hAnsiTheme="minorHAnsi" w:cstheme="minorBidi"/>
          <w:color w:val="262626" w:themeColor="text1" w:themeTint="D9"/>
          <w:sz w:val="28"/>
          <w:szCs w:val="48"/>
        </w:rPr>
        <w:t>IMPLEMENTATION COMPLETION AND RESULTS REPORT</w:t>
      </w:r>
    </w:p>
    <w:p w:rsidR="003615CB" w:rsidRPr="00657FD5" w:rsidRDefault="00B578E1" w:rsidP="000D5B55">
      <w:pPr>
        <w:spacing w:after="240"/>
        <w:jc w:val="center"/>
        <w:rPr>
          <w:rFonts w:asciiTheme="minorHAnsi" w:eastAsiaTheme="minorHAnsi" w:hAnsiTheme="minorHAnsi" w:cstheme="minorBidi"/>
          <w:color w:val="auto"/>
        </w:rPr>
      </w:pPr>
      <w:r w:rsidRPr="00657FD5">
        <w:rPr>
          <w:rFonts w:asciiTheme="minorHAnsi" w:eastAsiaTheme="minorHAnsi" w:hAnsiTheme="minorHAnsi" w:cstheme="minorBidi"/>
          <w:color w:val="auto"/>
        </w:rPr>
        <w:t xml:space="preserve">ON </w:t>
      </w:r>
      <w:r w:rsidR="00ED1857">
        <w:rPr>
          <w:rFonts w:asciiTheme="minorHAnsi" w:eastAsiaTheme="minorHAnsi" w:hAnsiTheme="minorHAnsi" w:cstheme="minorBidi"/>
          <w:color w:val="auto"/>
        </w:rPr>
        <w:t>THE</w:t>
      </w:r>
    </w:p>
    <w:p w:rsidR="003615CB" w:rsidRDefault="00B578E1" w:rsidP="003615CB">
      <w:pPr>
        <w:jc w:val="center"/>
        <w:rPr>
          <w:rFonts w:asciiTheme="minorHAnsi" w:eastAsiaTheme="minorHAnsi" w:hAnsiTheme="minorHAnsi" w:cstheme="minorBidi"/>
          <w:color w:val="auto"/>
        </w:rPr>
      </w:pPr>
      <w:r w:rsidRPr="007C3E24">
        <w:rPr>
          <w:rFonts w:asciiTheme="minorHAnsi" w:eastAsiaTheme="minorHAnsi" w:hAnsiTheme="minorHAnsi" w:cstheme="minorBidi"/>
          <w:color w:val="auto"/>
        </w:rPr>
        <w:t>GRANT</w:t>
      </w:r>
      <w:r w:rsidR="00DF6826">
        <w:rPr>
          <w:rFonts w:asciiTheme="minorHAnsi" w:eastAsiaTheme="minorHAnsi" w:hAnsiTheme="minorHAnsi" w:cstheme="minorBidi"/>
          <w:color w:val="auto"/>
        </w:rPr>
        <w:t>S</w:t>
      </w:r>
    </w:p>
    <w:p w:rsidR="00C5248A" w:rsidRPr="00657FD5" w:rsidRDefault="00C5248A" w:rsidP="003615CB">
      <w:pPr>
        <w:jc w:val="center"/>
        <w:rPr>
          <w:rFonts w:asciiTheme="minorHAnsi" w:hAnsiTheme="minorHAnsi" w:cs="Times New Roman"/>
          <w:caps/>
        </w:rPr>
      </w:pPr>
    </w:p>
    <w:p w:rsidR="003615CB" w:rsidRPr="00657FD5" w:rsidRDefault="00B578E1" w:rsidP="000D5B55">
      <w:pPr>
        <w:spacing w:after="240"/>
        <w:jc w:val="center"/>
        <w:rPr>
          <w:rFonts w:asciiTheme="minorHAnsi" w:eastAsiaTheme="minorHAnsi" w:hAnsiTheme="minorHAnsi" w:cstheme="minorBidi"/>
          <w:color w:val="auto"/>
        </w:rPr>
      </w:pPr>
      <w:r w:rsidRPr="00657FD5">
        <w:rPr>
          <w:rFonts w:asciiTheme="minorHAnsi" w:eastAsiaTheme="minorHAnsi" w:hAnsiTheme="minorHAnsi" w:cstheme="minorBidi"/>
          <w:color w:val="auto"/>
        </w:rPr>
        <w:t xml:space="preserve">IN THE AMOUNT OF </w:t>
      </w:r>
      <w:r w:rsidR="00B73ABD">
        <w:rPr>
          <w:rFonts w:asciiTheme="minorHAnsi" w:eastAsiaTheme="minorHAnsi" w:hAnsiTheme="minorHAnsi" w:cstheme="minorBidi"/>
          <w:color w:val="auto"/>
        </w:rPr>
        <w:t>US$6.00</w:t>
      </w:r>
      <w:r w:rsidR="00B73ABD" w:rsidRPr="007C3E24">
        <w:rPr>
          <w:rFonts w:asciiTheme="minorHAnsi" w:eastAsiaTheme="minorHAnsi" w:hAnsiTheme="minorHAnsi" w:cstheme="minorBidi"/>
          <w:color w:val="auto"/>
        </w:rPr>
        <w:t xml:space="preserve"> </w:t>
      </w:r>
      <w:r w:rsidR="007C3E24" w:rsidRPr="007C3E24">
        <w:rPr>
          <w:rFonts w:asciiTheme="minorHAnsi" w:eastAsiaTheme="minorHAnsi" w:hAnsiTheme="minorHAnsi" w:cstheme="minorBidi"/>
          <w:color w:val="auto"/>
        </w:rPr>
        <w:t>MILLION</w:t>
      </w:r>
    </w:p>
    <w:p w:rsidR="003615CB" w:rsidRPr="00657FD5" w:rsidRDefault="00B578E1" w:rsidP="000D5B55">
      <w:pPr>
        <w:spacing w:after="240"/>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t xml:space="preserve">TO </w:t>
      </w:r>
      <w:r w:rsidR="00DF6826">
        <w:rPr>
          <w:rFonts w:asciiTheme="minorHAnsi" w:eastAsiaTheme="minorHAnsi" w:hAnsiTheme="minorHAnsi" w:cstheme="minorBidi"/>
          <w:noProof/>
          <w:color w:val="0D0D0D" w:themeColor="text1" w:themeTint="F2"/>
        </w:rPr>
        <w:t>THE</w:t>
      </w:r>
    </w:p>
    <w:p w:rsidR="003615CB" w:rsidRPr="00657FD5" w:rsidRDefault="00B578E1" w:rsidP="003615CB">
      <w:pPr>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t xml:space="preserve"> </w:t>
      </w:r>
      <w:r w:rsidR="00DF6826">
        <w:rPr>
          <w:rFonts w:asciiTheme="minorHAnsi" w:eastAsiaTheme="minorHAnsi" w:hAnsiTheme="minorHAnsi" w:cstheme="minorBidi"/>
          <w:noProof/>
          <w:color w:val="0D0D0D" w:themeColor="text1" w:themeTint="F2"/>
        </w:rPr>
        <w:t>PALESTINE LIBERATION ORGANIZATION</w:t>
      </w:r>
      <w:r w:rsidR="00B73ABD" w:rsidRPr="00657FD5">
        <w:rPr>
          <w:rFonts w:asciiTheme="minorHAnsi" w:eastAsiaTheme="minorHAnsi" w:hAnsiTheme="minorHAnsi" w:cstheme="minorBidi"/>
          <w:noProof/>
          <w:color w:val="0D0D0D" w:themeColor="text1" w:themeTint="F2"/>
        </w:rPr>
        <w:t xml:space="preserve"> </w:t>
      </w:r>
      <w:r>
        <w:rPr>
          <w:rFonts w:asciiTheme="minorHAnsi" w:eastAsiaTheme="minorHAnsi" w:hAnsiTheme="minorHAnsi" w:cstheme="minorBidi"/>
          <w:noProof/>
          <w:color w:val="0D0D0D" w:themeColor="text1" w:themeTint="F2"/>
        </w:rPr>
        <w:t>FOR THE BENEFIT OF THE PALESTINIAN AUTHORITY</w:t>
      </w:r>
    </w:p>
    <w:p w:rsidR="003615CB" w:rsidRPr="00657FD5" w:rsidRDefault="00B578E1" w:rsidP="003615CB">
      <w:pPr>
        <w:spacing w:line="360" w:lineRule="auto"/>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t xml:space="preserve">FOR </w:t>
      </w:r>
      <w:r>
        <w:rPr>
          <w:rFonts w:asciiTheme="minorHAnsi" w:eastAsiaTheme="minorHAnsi" w:hAnsiTheme="minorHAnsi" w:cstheme="minorBidi"/>
          <w:noProof/>
          <w:color w:val="0D0D0D" w:themeColor="text1" w:themeTint="F2"/>
        </w:rPr>
        <w:t>THE</w:t>
      </w:r>
    </w:p>
    <w:p w:rsidR="009457C7" w:rsidRPr="00657FD5" w:rsidRDefault="00B578E1" w:rsidP="003615CB">
      <w:pPr>
        <w:ind w:left="521" w:right="523"/>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fldChar w:fldCharType="begin"/>
      </w:r>
      <w:r w:rsidRPr="00657FD5">
        <w:rPr>
          <w:rFonts w:asciiTheme="minorHAnsi" w:eastAsiaTheme="minorHAnsi" w:hAnsiTheme="minorHAnsi" w:cstheme="minorBidi"/>
          <w:noProof/>
          <w:color w:val="0D0D0D" w:themeColor="text1" w:themeTint="F2"/>
        </w:rPr>
        <w:instrText xml:space="preserve"> IF </w:instrText>
      </w:r>
      <w:r w:rsidR="000E778D" w:rsidRPr="00657FD5">
        <w:rPr>
          <w:rFonts w:asciiTheme="minorHAnsi" w:eastAsiaTheme="minorHAnsi" w:hAnsiTheme="minorHAnsi" w:cstheme="minorBidi"/>
          <w:noProof/>
          <w:color w:val="0D0D0D" w:themeColor="text1" w:themeTint="F2"/>
        </w:rPr>
        <w:instrText>"GZ-WATER SECTOR CAPACITY BUILDING ( P117443 )"</w:instrText>
      </w:r>
      <w:r w:rsidRPr="00657FD5">
        <w:rPr>
          <w:rFonts w:asciiTheme="minorHAnsi" w:eastAsiaTheme="minorHAnsi" w:hAnsiTheme="minorHAnsi" w:cstheme="minorBidi"/>
          <w:noProof/>
          <w:color w:val="0D0D0D" w:themeColor="text1" w:themeTint="F2"/>
        </w:rPr>
        <w:instrText xml:space="preserve"> &lt;&gt; "" </w:instrText>
      </w:r>
      <w:r w:rsidR="000E778D" w:rsidRPr="00657FD5">
        <w:rPr>
          <w:rFonts w:asciiTheme="minorHAnsi" w:eastAsiaTheme="minorHAnsi" w:hAnsiTheme="minorHAnsi" w:cstheme="minorBidi"/>
          <w:noProof/>
          <w:color w:val="0D0D0D" w:themeColor="text1" w:themeTint="F2"/>
        </w:rPr>
        <w:instrText>"GZ-WATER SECTOR CAPACITY BUILDING ( P117443 )"</w:instrText>
      </w:r>
      <w:r w:rsidRPr="00657FD5">
        <w:rPr>
          <w:rFonts w:asciiTheme="minorHAnsi" w:eastAsiaTheme="minorHAnsi" w:hAnsiTheme="minorHAnsi" w:cstheme="minorBidi"/>
          <w:noProof/>
          <w:color w:val="0D0D0D" w:themeColor="text1" w:themeTint="F2"/>
        </w:rPr>
        <w:instrText xml:space="preserve"> </w:instrText>
      </w:r>
      <w:r w:rsidR="000E778D" w:rsidRPr="00657FD5">
        <w:rPr>
          <w:rFonts w:asciiTheme="minorHAnsi" w:eastAsiaTheme="minorHAnsi" w:hAnsiTheme="minorHAnsi" w:cstheme="minorBidi"/>
          <w:noProof/>
          <w:color w:val="0D0D0D" w:themeColor="text1" w:themeTint="F2"/>
        </w:rPr>
        <w:fldChar w:fldCharType="begin"/>
      </w:r>
      <w:r w:rsidR="000E778D" w:rsidRPr="00657FD5">
        <w:rPr>
          <w:rFonts w:asciiTheme="minorHAnsi" w:eastAsiaTheme="minorHAnsi" w:hAnsiTheme="minorHAnsi" w:cstheme="minorBidi"/>
          <w:noProof/>
          <w:color w:val="0D0D0D" w:themeColor="text1" w:themeTint="F2"/>
        </w:rPr>
        <w:instrText xml:space="preserve"> MERGEFIELD  PROJECTINFO~$~TITLE \* Upper  \* MERGEFORMAT </w:instrText>
      </w:r>
      <w:r w:rsidR="000E778D" w:rsidRPr="00657FD5">
        <w:rPr>
          <w:rFonts w:asciiTheme="minorHAnsi" w:eastAsiaTheme="minorHAnsi" w:hAnsiTheme="minorHAnsi" w:cstheme="minorBidi"/>
          <w:noProof/>
          <w:color w:val="0D0D0D" w:themeColor="text1" w:themeTint="F2"/>
        </w:rPr>
        <w:fldChar w:fldCharType="separate"/>
      </w:r>
      <w:r w:rsidR="000E778D" w:rsidRPr="00657FD5">
        <w:rPr>
          <w:rFonts w:asciiTheme="minorHAnsi" w:eastAsiaTheme="minorHAnsi" w:hAnsiTheme="minorHAnsi" w:cstheme="minorBidi"/>
          <w:noProof/>
          <w:color w:val="0D0D0D" w:themeColor="text1" w:themeTint="F2"/>
        </w:rPr>
        <w:instrText>«PROJECTINFO~$~TITLE»</w:instrText>
      </w:r>
      <w:r w:rsidR="000E778D" w:rsidRPr="00657FD5">
        <w:rPr>
          <w:rFonts w:asciiTheme="minorHAnsi" w:eastAsiaTheme="minorHAnsi" w:hAnsiTheme="minorHAnsi" w:cstheme="minorBidi"/>
          <w:noProof/>
          <w:color w:val="0D0D0D" w:themeColor="text1" w:themeTint="F2"/>
        </w:rPr>
        <w:fldChar w:fldCharType="end"/>
      </w:r>
      <w:r w:rsidRPr="00657FD5">
        <w:rPr>
          <w:rFonts w:asciiTheme="minorHAnsi" w:eastAsiaTheme="minorHAnsi" w:hAnsiTheme="minorHAnsi" w:cstheme="minorBidi"/>
          <w:noProof/>
          <w:color w:val="0D0D0D" w:themeColor="text1" w:themeTint="F2"/>
        </w:rPr>
        <w:fldChar w:fldCharType="separate"/>
      </w:r>
      <w:r w:rsidR="00F3570E" w:rsidRPr="00657FD5">
        <w:rPr>
          <w:rFonts w:asciiTheme="minorHAnsi" w:eastAsiaTheme="minorHAnsi" w:hAnsiTheme="minorHAnsi" w:cstheme="minorBidi"/>
          <w:noProof/>
          <w:color w:val="0D0D0D" w:themeColor="text1" w:themeTint="F2"/>
        </w:rPr>
        <w:t>GZ-WATER SECTOR CAPACITY BUILDING (P117443)</w:t>
      </w:r>
      <w:r w:rsidRPr="00657FD5">
        <w:rPr>
          <w:rFonts w:asciiTheme="minorHAnsi" w:eastAsiaTheme="minorHAnsi" w:hAnsiTheme="minorHAnsi" w:cstheme="minorBidi"/>
          <w:noProof/>
          <w:color w:val="0D0D0D" w:themeColor="text1" w:themeTint="F2"/>
        </w:rPr>
        <w:fldChar w:fldCharType="end"/>
      </w:r>
    </w:p>
    <w:p w:rsidR="003615CB" w:rsidRDefault="00B578E1" w:rsidP="003615CB">
      <w:pPr>
        <w:ind w:left="521" w:right="523"/>
        <w:jc w:val="center"/>
        <w:rPr>
          <w:rFonts w:asciiTheme="minorHAnsi" w:eastAsiaTheme="minorHAnsi" w:hAnsiTheme="minorHAnsi" w:cstheme="minorBidi"/>
          <w:noProof/>
          <w:color w:val="0D0D0D" w:themeColor="text1" w:themeTint="F2"/>
        </w:rPr>
      </w:pPr>
      <w:r w:rsidRPr="00657FD5">
        <w:rPr>
          <w:rFonts w:asciiTheme="minorHAnsi" w:eastAsiaTheme="minorHAnsi" w:hAnsiTheme="minorHAnsi" w:cstheme="minorBidi"/>
          <w:noProof/>
          <w:color w:val="0D0D0D" w:themeColor="text1" w:themeTint="F2"/>
        </w:rPr>
        <w:br/>
      </w:r>
      <w:r w:rsidR="00DF6826">
        <w:rPr>
          <w:rFonts w:asciiTheme="minorHAnsi" w:eastAsiaTheme="minorHAnsi" w:hAnsiTheme="minorHAnsi" w:cstheme="minorBidi"/>
          <w:noProof/>
          <w:color w:val="0D0D0D" w:themeColor="text1" w:themeTint="F2"/>
        </w:rPr>
        <w:t>June 11, 2018</w:t>
      </w:r>
    </w:p>
    <w:p w:rsidR="00DF6826" w:rsidRDefault="00DF6826" w:rsidP="003615CB">
      <w:pPr>
        <w:ind w:left="521" w:right="523"/>
        <w:jc w:val="center"/>
        <w:rPr>
          <w:rFonts w:asciiTheme="minorHAnsi" w:eastAsiaTheme="minorHAnsi" w:hAnsiTheme="minorHAnsi" w:cstheme="minorBidi"/>
          <w:noProof/>
          <w:color w:val="0D0D0D" w:themeColor="text1" w:themeTint="F2"/>
        </w:rPr>
      </w:pPr>
    </w:p>
    <w:p w:rsidR="00DF6826" w:rsidRDefault="00DF6826" w:rsidP="003615CB">
      <w:pPr>
        <w:ind w:left="521" w:right="523"/>
        <w:jc w:val="center"/>
        <w:rPr>
          <w:rFonts w:asciiTheme="minorHAnsi" w:eastAsiaTheme="minorHAnsi" w:hAnsiTheme="minorHAnsi" w:cstheme="minorBidi"/>
          <w:noProof/>
          <w:color w:val="0D0D0D" w:themeColor="text1" w:themeTint="F2"/>
        </w:rPr>
      </w:pPr>
    </w:p>
    <w:p w:rsidR="00DF6826" w:rsidRDefault="00DF6826" w:rsidP="003615CB">
      <w:pPr>
        <w:ind w:left="521" w:right="523"/>
        <w:jc w:val="center"/>
        <w:rPr>
          <w:rFonts w:asciiTheme="minorHAnsi" w:eastAsiaTheme="minorHAnsi" w:hAnsiTheme="minorHAnsi" w:cstheme="minorBidi"/>
          <w:noProof/>
          <w:color w:val="0D0D0D" w:themeColor="text1" w:themeTint="F2"/>
        </w:rPr>
      </w:pPr>
    </w:p>
    <w:p w:rsidR="00DF6826" w:rsidRPr="00657FD5" w:rsidRDefault="00B578E1" w:rsidP="003615CB">
      <w:pPr>
        <w:ind w:left="521" w:right="523"/>
        <w:jc w:val="center"/>
        <w:rPr>
          <w:rFonts w:asciiTheme="minorHAnsi" w:eastAsiaTheme="minorHAnsi" w:hAnsiTheme="minorHAnsi" w:cstheme="minorBidi"/>
          <w:noProof/>
          <w:color w:val="0D0D0D" w:themeColor="text1" w:themeTint="F2"/>
        </w:rPr>
      </w:pPr>
      <w:r>
        <w:rPr>
          <w:rFonts w:asciiTheme="minorHAnsi" w:eastAsiaTheme="minorHAnsi" w:hAnsiTheme="minorHAnsi" w:cstheme="minorBidi"/>
          <w:noProof/>
          <w:color w:val="0D0D0D" w:themeColor="text1" w:themeTint="F2"/>
        </w:rPr>
        <mc:AlternateContent>
          <mc:Choice Requires="wps">
            <w:drawing>
              <wp:anchor distT="0" distB="0" distL="114300" distR="114300" simplePos="0" relativeHeight="251672576" behindDoc="0" locked="1" layoutInCell="0" allowOverlap="0">
                <wp:simplePos x="0" y="0"/>
                <wp:positionH relativeFrom="margin">
                  <wp:align>center</wp:align>
                </wp:positionH>
                <wp:positionV relativeFrom="margin">
                  <wp:align>bottom</wp:align>
                </wp:positionV>
                <wp:extent cx="6501130" cy="300990"/>
                <wp:effectExtent l="0" t="3810" r="0" b="0"/>
                <wp:wrapNone/>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50113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78E1" w:rsidRPr="00174143" w:rsidRDefault="00B578E1" w:rsidP="00DF6826">
                            <w:pPr>
                              <w:pStyle w:val="Header"/>
                              <w:rPr>
                                <w:rFonts w:ascii="Calibri" w:hAnsi="Calibri" w:cs="Calibri"/>
                                <w:color w:val="A6A6A6"/>
                                <w:sz w:val="17"/>
                                <w:szCs w:val="17"/>
                              </w:rPr>
                            </w:pPr>
                            <w:r w:rsidRPr="00174143">
                              <w:rPr>
                                <w:rFonts w:ascii="Calibri" w:hAnsi="Calibri" w:cs="Calibri"/>
                                <w:color w:val="808080"/>
                                <w:kern w:val="24"/>
                                <w:sz w:val="17"/>
                                <w:szCs w:val="17"/>
                              </w:rPr>
                              <w:t>This document has a restricted distribution and may be used by recipients only in the performance of their official duties. Its contents may not otherwise be disclosed without World Bank authorization</w:t>
                            </w:r>
                            <w:r w:rsidRPr="00174143">
                              <w:rPr>
                                <w:rFonts w:ascii="Calibri" w:hAnsi="Calibri" w:cs="Calibri"/>
                                <w:color w:val="A6A6A6"/>
                                <w:kern w:val="24"/>
                                <w:sz w:val="17"/>
                                <w:szCs w:val="17"/>
                              </w:rPr>
                              <w:t>.</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0;width:511.9pt;height:23.7pt;z-index:2516725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" o:allowincell="f" o:allowoverlap="f" filled="f" stroked="f">
                <o:lock v:ext="edit" grouping="t"/>
                <v:textbox inset="0,0,0,0">
                  <w:txbxContent>
                    <w:p w:rsidR="00B578E1" w:rsidRPr="00174143" w:rsidRDefault="00B578E1" w:rsidP="00DF6826">
                      <w:pPr>
                        <w:pStyle w:val="Header"/>
                        <w:rPr>
                          <w:rFonts w:ascii="Calibri" w:hAnsi="Calibri" w:cs="Calibri"/>
                          <w:color w:val="A6A6A6"/>
                          <w:sz w:val="17"/>
                          <w:szCs w:val="17"/>
                        </w:rPr>
                      </w:pPr>
                      <w:r w:rsidRPr="00174143">
                        <w:rPr>
                          <w:rFonts w:ascii="Calibri" w:hAnsi="Calibri" w:cs="Calibri"/>
                          <w:color w:val="808080"/>
                          <w:kern w:val="24"/>
                          <w:sz w:val="17"/>
                          <w:szCs w:val="17"/>
                        </w:rPr>
                        <w:t>This document has a restricted distribution and may be used by recipients only in the performance of their official duties. Its contents may not otherwise be disclosed without World Bank authorization</w:t>
                      </w:r>
                      <w:r w:rsidRPr="00174143">
                        <w:rPr>
                          <w:rFonts w:ascii="Calibri" w:hAnsi="Calibri" w:cs="Calibri"/>
                          <w:color w:val="A6A6A6"/>
                          <w:kern w:val="24"/>
                          <w:sz w:val="17"/>
                          <w:szCs w:val="17"/>
                        </w:rPr>
                        <w:t>.</w:t>
                      </w:r>
                    </w:p>
                  </w:txbxContent>
                </v:textbox>
                <w10:wrap anchorx="margin" anchory="margin"/>
                <w10:anchorlock/>
              </v:rect>
            </w:pict>
          </mc:Fallback>
        </mc:AlternateContent>
      </w:r>
    </w:p>
    <w:p w:rsidR="003615CB" w:rsidRPr="00657FD5" w:rsidRDefault="003615CB" w:rsidP="003615CB">
      <w:pPr>
        <w:jc w:val="center"/>
        <w:rPr>
          <w:rFonts w:asciiTheme="minorHAnsi" w:hAnsiTheme="minorHAnsi"/>
        </w:rPr>
      </w:pPr>
    </w:p>
    <w:p w:rsidR="003615CB" w:rsidRPr="00657FD5" w:rsidRDefault="00B578E1" w:rsidP="003615CB">
      <w:pPr>
        <w:spacing w:line="276" w:lineRule="auto"/>
        <w:rPr>
          <w:rFonts w:asciiTheme="minorHAnsi" w:hAnsiTheme="minorHAnsi" w:cs="Times New Roman"/>
        </w:rPr>
      </w:pPr>
      <w:r w:rsidRPr="00657FD5">
        <w:rPr>
          <w:rFonts w:asciiTheme="minorHAnsi" w:hAnsiTheme="minorHAnsi" w:cs="Times New Roman"/>
          <w:noProof/>
        </w:rPr>
        <w:t>Water Global Practice</w:t>
      </w:r>
    </w:p>
    <w:p w:rsidR="003615CB" w:rsidRPr="00657FD5" w:rsidRDefault="00B578E1" w:rsidP="003615CB">
      <w:pPr>
        <w:spacing w:line="276" w:lineRule="auto"/>
        <w:rPr>
          <w:rFonts w:asciiTheme="minorHAnsi" w:hAnsiTheme="minorHAnsi" w:cs="Times New Roman"/>
        </w:rPr>
      </w:pPr>
      <w:r w:rsidRPr="00657FD5">
        <w:rPr>
          <w:rFonts w:asciiTheme="minorHAnsi" w:hAnsiTheme="minorHAnsi" w:cs="Times New Roman"/>
          <w:noProof/>
        </w:rPr>
        <w:t>Middle East And North Africa Region</w:t>
      </w:r>
    </w:p>
    <w:sdt>
      <w:sdtPr>
        <w:id w:val="929508544"/>
        <w:lock w:val="sdtContentLocked"/>
        <w:placeholder>
          <w:docPart w:val="DefaultPlaceholder_1081868574"/>
        </w:placeholder>
      </w:sdtPr>
      <w:sdtEndPr/>
      <w:sdtContent>
        <w:p w:rsidR="003615CB" w:rsidRDefault="00B578E1" w:rsidP="007A54C7">
          <w:pPr>
            <w:pStyle w:val="Normal1"/>
            <w:spacing w:after="0" w:line="20" w:lineRule="exact"/>
            <w:sectPr w:rsidR="003615CB" w:rsidSect="00BF4A1F">
              <w:footerReference w:type="default" r:id="rId12"/>
              <w:type w:val="continuous"/>
              <w:pgSz w:w="12240" w:h="15840"/>
              <w:pgMar w:top="1440" w:right="1440" w:bottom="1440" w:left="1440" w:header="720" w:footer="720" w:gutter="0"/>
              <w:cols w:space="720"/>
              <w:titlePg/>
              <w:docGrid w:linePitch="360"/>
            </w:sectPr>
          </w:pPr>
          <w:r>
            <w:t xml:space="preserve"> </w:t>
          </w:r>
        </w:p>
      </w:sdtContent>
    </w:sdt>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gridCol w:w="234"/>
      </w:tblGrid>
      <w:tr w:rsidR="0006032A" w:rsidTr="00805A19">
        <w:trPr>
          <w:gridAfter w:val="1"/>
          <w:wAfter w:w="234" w:type="dxa"/>
          <w:jc w:val="center"/>
        </w:trPr>
        <w:tc>
          <w:tcPr>
            <w:tcW w:w="9450" w:type="dxa"/>
            <w:vAlign w:val="center"/>
          </w:tcPr>
          <w:p w:rsidR="003615CB" w:rsidRDefault="00B578E1">
            <w:pPr>
              <w:spacing w:line="276" w:lineRule="auto"/>
              <w:jc w:val="center"/>
              <w:rPr>
                <w:rFonts w:asciiTheme="minorHAnsi" w:hAnsiTheme="minorHAnsi" w:cs="Times New Roman"/>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Pr>
                <w:rFonts w:asciiTheme="minorHAnsi" w:hAnsiTheme="minorHAnsi" w:cs="Times New Roman"/>
              </w:rPr>
              <w:t xml:space="preserve">CURRENCY EQUIVALENTS </w:t>
            </w:r>
          </w:p>
          <w:p w:rsidR="003615CB" w:rsidRDefault="003615CB">
            <w:pPr>
              <w:spacing w:line="276" w:lineRule="auto"/>
              <w:jc w:val="center"/>
              <w:rPr>
                <w:rFonts w:asciiTheme="minorHAnsi" w:hAnsiTheme="minorHAnsi" w:cs="Times New Roman"/>
              </w:rPr>
            </w:pPr>
          </w:p>
        </w:tc>
      </w:tr>
      <w:tr w:rsidR="0006032A" w:rsidTr="00805A19">
        <w:trPr>
          <w:gridAfter w:val="1"/>
          <w:wAfter w:w="234" w:type="dxa"/>
          <w:trHeight w:val="288"/>
          <w:jc w:val="center"/>
        </w:trPr>
        <w:tc>
          <w:tcPr>
            <w:tcW w:w="9450" w:type="dxa"/>
            <w:vAlign w:val="center"/>
            <w:hideMark/>
          </w:tcPr>
          <w:p w:rsidR="003615CB" w:rsidRDefault="00B578E1" w:rsidP="003615CB">
            <w:pPr>
              <w:spacing w:line="276" w:lineRule="auto"/>
              <w:jc w:val="center"/>
              <w:rPr>
                <w:rFonts w:asciiTheme="minorHAnsi" w:hAnsiTheme="minorHAnsi" w:cs="Times New Roman"/>
                <w:color w:val="595959" w:themeColor="text1" w:themeTint="A6"/>
              </w:rPr>
            </w:pPr>
            <w:r>
              <w:rPr>
                <w:rFonts w:asciiTheme="minorHAnsi" w:hAnsiTheme="minorHAnsi" w:cs="Times New Roman"/>
                <w:color w:val="595959" w:themeColor="text1" w:themeTint="A6"/>
              </w:rPr>
              <w:t xml:space="preserve">(Exchange Rate Effective </w:t>
            </w:r>
            <w:r w:rsidR="00F502DA">
              <w:rPr>
                <w:rFonts w:asciiTheme="minorHAnsi" w:hAnsiTheme="minorHAnsi" w:cs="Times New Roman"/>
                <w:noProof/>
                <w:color w:val="595959" w:themeColor="text1" w:themeTint="A6"/>
              </w:rPr>
              <w:t xml:space="preserve">March </w:t>
            </w:r>
            <w:r>
              <w:rPr>
                <w:rFonts w:asciiTheme="minorHAnsi" w:hAnsiTheme="minorHAnsi" w:cs="Times New Roman"/>
                <w:noProof/>
                <w:color w:val="595959" w:themeColor="text1" w:themeTint="A6"/>
              </w:rPr>
              <w:t>30, 2018</w:t>
            </w:r>
            <w:r>
              <w:rPr>
                <w:rFonts w:asciiTheme="minorHAnsi" w:hAnsiTheme="minorHAnsi" w:cs="Times New Roman"/>
                <w:color w:val="595959" w:themeColor="text1" w:themeTint="A6"/>
              </w:rPr>
              <w:t>)</w:t>
            </w:r>
          </w:p>
        </w:tc>
      </w:tr>
      <w:tr w:rsidR="0006032A" w:rsidTr="00805A19">
        <w:trPr>
          <w:gridAfter w:val="1"/>
          <w:wAfter w:w="234" w:type="dxa"/>
          <w:trHeight w:val="20"/>
          <w:jc w:val="center"/>
        </w:trPr>
        <w:tc>
          <w:tcPr>
            <w:tcW w:w="9450" w:type="dxa"/>
            <w:vAlign w:val="center"/>
          </w:tcPr>
          <w:p w:rsidR="003615CB" w:rsidRDefault="003615CB">
            <w:pPr>
              <w:spacing w:line="276" w:lineRule="auto"/>
              <w:jc w:val="center"/>
              <w:rPr>
                <w:rFonts w:asciiTheme="minorHAnsi" w:hAnsiTheme="minorHAnsi" w:cs="Times New Roman"/>
              </w:rPr>
            </w:pPr>
          </w:p>
        </w:tc>
      </w:tr>
      <w:tr w:rsidR="0006032A" w:rsidTr="00805A19">
        <w:trPr>
          <w:gridAfter w:val="1"/>
          <w:wAfter w:w="234" w:type="dxa"/>
          <w:jc w:val="center"/>
        </w:trPr>
        <w:tc>
          <w:tcPr>
            <w:tcW w:w="9450" w:type="dxa"/>
            <w:vAlign w:val="center"/>
            <w:hideMark/>
          </w:tcPr>
          <w:tbl>
            <w:tblPr>
              <w:tblStyle w:val="TableGrid"/>
              <w:tblW w:w="0" w:type="auto"/>
              <w:tblInd w:w="358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90"/>
              <w:gridCol w:w="2070"/>
            </w:tblGrid>
            <w:tr w:rsidR="0006032A">
              <w:trPr>
                <w:trHeight w:val="432"/>
              </w:trPr>
              <w:tc>
                <w:tcPr>
                  <w:tcW w:w="1890" w:type="dxa"/>
                  <w:tcBorders>
                    <w:top w:val="nil"/>
                    <w:left w:val="nil"/>
                    <w:bottom w:val="dashed" w:sz="4" w:space="0" w:color="D9D9D9" w:themeColor="background1" w:themeShade="D9"/>
                    <w:right w:val="nil"/>
                  </w:tcBorders>
                  <w:vAlign w:val="center"/>
                  <w:hideMark/>
                </w:tcPr>
                <w:p w:rsidR="003615CB" w:rsidRDefault="00B578E1">
                  <w:pPr>
                    <w:ind w:left="-900" w:firstLine="900"/>
                    <w:jc w:val="right"/>
                    <w:rPr>
                      <w:rFonts w:asciiTheme="minorHAnsi" w:hAnsiTheme="minorHAnsi" w:cs="Times New Roman"/>
                    </w:rPr>
                  </w:pPr>
                  <w:r>
                    <w:rPr>
                      <w:rFonts w:asciiTheme="minorHAnsi" w:hAnsiTheme="minorHAnsi" w:cs="Times New Roman"/>
                    </w:rPr>
                    <w:t>Currency Unit</w:t>
                  </w:r>
                  <w:r w:rsidR="000F13ED">
                    <w:rPr>
                      <w:rFonts w:asciiTheme="minorHAnsi" w:hAnsiTheme="minorHAnsi" w:cs="Times New Roman"/>
                    </w:rPr>
                    <w:t xml:space="preserve"> </w:t>
                  </w:r>
                  <w:r>
                    <w:rPr>
                      <w:rFonts w:asciiTheme="minorHAnsi" w:hAnsiTheme="minorHAnsi" w:cs="Times New Roman"/>
                    </w:rPr>
                    <w:t>=</w:t>
                  </w:r>
                  <w:r w:rsidR="000F13ED">
                    <w:rPr>
                      <w:rFonts w:asciiTheme="minorHAnsi" w:hAnsiTheme="minorHAnsi" w:cs="Times New Roman"/>
                    </w:rPr>
                    <w:t xml:space="preserve">    </w:t>
                  </w:r>
                  <w:r>
                    <w:rPr>
                      <w:rFonts w:asciiTheme="minorHAnsi" w:hAnsiTheme="minorHAnsi" w:cs="Times New Roman"/>
                    </w:rPr>
                    <w:t xml:space="preserve">           </w:t>
                  </w:r>
                </w:p>
              </w:tc>
              <w:tc>
                <w:tcPr>
                  <w:tcW w:w="2070" w:type="dxa"/>
                  <w:tcBorders>
                    <w:top w:val="nil"/>
                    <w:left w:val="nil"/>
                    <w:bottom w:val="dashed" w:sz="4" w:space="0" w:color="D9D9D9" w:themeColor="background1" w:themeShade="D9"/>
                    <w:right w:val="nil"/>
                  </w:tcBorders>
                  <w:vAlign w:val="center"/>
                </w:tcPr>
                <w:p w:rsidR="003615CB" w:rsidRDefault="00B578E1">
                  <w:pPr>
                    <w:rPr>
                      <w:rFonts w:asciiTheme="minorHAnsi" w:hAnsiTheme="minorHAnsi" w:cs="Times New Roman"/>
                    </w:rPr>
                  </w:pPr>
                  <w:r>
                    <w:rPr>
                      <w:rFonts w:asciiTheme="minorHAnsi" w:hAnsiTheme="minorHAnsi" w:cs="Times New Roman"/>
                    </w:rPr>
                    <w:t>US$</w:t>
                  </w:r>
                </w:p>
              </w:tc>
            </w:tr>
            <w:tr w:rsidR="0006032A">
              <w:trPr>
                <w:trHeight w:val="432"/>
              </w:trPr>
              <w:tc>
                <w:tcPr>
                  <w:tcW w:w="1890" w:type="dxa"/>
                  <w:tcBorders>
                    <w:top w:val="dashed" w:sz="4" w:space="0" w:color="D9D9D9" w:themeColor="background1" w:themeShade="D9"/>
                    <w:left w:val="nil"/>
                    <w:bottom w:val="dashed" w:sz="4" w:space="0" w:color="D9D9D9" w:themeColor="background1" w:themeShade="D9"/>
                    <w:right w:val="nil"/>
                  </w:tcBorders>
                  <w:vAlign w:val="center"/>
                  <w:hideMark/>
                </w:tcPr>
                <w:p w:rsidR="003615CB" w:rsidRDefault="00B578E1">
                  <w:pPr>
                    <w:jc w:val="right"/>
                    <w:rPr>
                      <w:rFonts w:asciiTheme="minorHAnsi" w:hAnsiTheme="minorHAnsi" w:cs="Times New Roman"/>
                    </w:rPr>
                  </w:pPr>
                  <w:r>
                    <w:rPr>
                      <w:rFonts w:asciiTheme="minorHAnsi" w:hAnsiTheme="minorHAnsi" w:cs="Times New Roman"/>
                    </w:rPr>
                    <w:t>SDR</w:t>
                  </w:r>
                  <w:r w:rsidRPr="00B10E25">
                    <w:rPr>
                      <w:rFonts w:asciiTheme="minorHAnsi" w:hAnsiTheme="minorHAnsi" w:cs="Times New Roman"/>
                    </w:rPr>
                    <w:t xml:space="preserve"> 0</w:t>
                  </w:r>
                  <w:r>
                    <w:rPr>
                      <w:rFonts w:asciiTheme="minorHAnsi" w:hAnsiTheme="minorHAnsi" w:cs="Times New Roman"/>
                    </w:rPr>
                    <w:t>.687212</w:t>
                  </w:r>
                  <w:r w:rsidR="009A0A87">
                    <w:rPr>
                      <w:rFonts w:asciiTheme="minorHAnsi" w:hAnsiTheme="minorHAnsi" w:cs="Times New Roman"/>
                    </w:rPr>
                    <w:t>=</w:t>
                  </w:r>
                </w:p>
              </w:tc>
              <w:tc>
                <w:tcPr>
                  <w:tcW w:w="2070" w:type="dxa"/>
                  <w:tcBorders>
                    <w:top w:val="dashed" w:sz="4" w:space="0" w:color="D9D9D9" w:themeColor="background1" w:themeShade="D9"/>
                    <w:left w:val="nil"/>
                    <w:bottom w:val="dashed" w:sz="4" w:space="0" w:color="D9D9D9" w:themeColor="background1" w:themeShade="D9"/>
                    <w:right w:val="nil"/>
                  </w:tcBorders>
                  <w:vAlign w:val="center"/>
                  <w:hideMark/>
                </w:tcPr>
                <w:p w:rsidR="003615CB" w:rsidRDefault="00B578E1">
                  <w:pPr>
                    <w:rPr>
                      <w:rFonts w:asciiTheme="minorHAnsi" w:hAnsiTheme="minorHAnsi" w:cs="Times New Roman"/>
                    </w:rPr>
                  </w:pPr>
                  <w:r>
                    <w:rPr>
                      <w:rFonts w:asciiTheme="minorHAnsi" w:hAnsiTheme="minorHAnsi" w:cs="Times New Roman"/>
                    </w:rPr>
                    <w:t>US$1</w:t>
                  </w:r>
                </w:p>
              </w:tc>
            </w:tr>
            <w:tr w:rsidR="0006032A">
              <w:trPr>
                <w:trHeight w:val="432"/>
              </w:trPr>
              <w:tc>
                <w:tcPr>
                  <w:tcW w:w="1890" w:type="dxa"/>
                  <w:tcBorders>
                    <w:top w:val="dashed" w:sz="4" w:space="0" w:color="D9D9D9" w:themeColor="background1" w:themeShade="D9"/>
                    <w:left w:val="nil"/>
                    <w:bottom w:val="nil"/>
                    <w:right w:val="nil"/>
                  </w:tcBorders>
                  <w:vAlign w:val="center"/>
                  <w:hideMark/>
                </w:tcPr>
                <w:p w:rsidR="003615CB" w:rsidRDefault="00B578E1">
                  <w:pPr>
                    <w:jc w:val="right"/>
                    <w:rPr>
                      <w:rFonts w:asciiTheme="minorHAnsi" w:hAnsiTheme="minorHAnsi" w:cs="Times New Roman"/>
                    </w:rPr>
                  </w:pPr>
                  <w:r>
                    <w:rPr>
                      <w:rFonts w:asciiTheme="minorHAnsi" w:hAnsiTheme="minorHAnsi" w:cs="Times New Roman"/>
                    </w:rPr>
                    <w:t>US$1.45516</w:t>
                  </w:r>
                  <w:r w:rsidRPr="006272C5">
                    <w:rPr>
                      <w:rFonts w:asciiTheme="minorHAnsi" w:hAnsiTheme="minorHAnsi" w:cs="Times New Roman"/>
                    </w:rPr>
                    <w:t xml:space="preserve"> </w:t>
                  </w:r>
                  <w:r w:rsidR="0088031C">
                    <w:rPr>
                      <w:rFonts w:asciiTheme="minorHAnsi" w:hAnsiTheme="minorHAnsi" w:cs="Times New Roman"/>
                    </w:rPr>
                    <w:t>=</w:t>
                  </w:r>
                </w:p>
              </w:tc>
              <w:tc>
                <w:tcPr>
                  <w:tcW w:w="2070" w:type="dxa"/>
                  <w:tcBorders>
                    <w:top w:val="dashed" w:sz="4" w:space="0" w:color="D9D9D9" w:themeColor="background1" w:themeShade="D9"/>
                    <w:left w:val="nil"/>
                    <w:bottom w:val="nil"/>
                    <w:right w:val="nil"/>
                  </w:tcBorders>
                  <w:vAlign w:val="center"/>
                  <w:hideMark/>
                </w:tcPr>
                <w:p w:rsidR="003615CB" w:rsidRDefault="00B578E1" w:rsidP="000047D4">
                  <w:pPr>
                    <w:rPr>
                      <w:rFonts w:asciiTheme="minorHAnsi" w:hAnsiTheme="minorHAnsi" w:cs="Times New Roman"/>
                    </w:rPr>
                  </w:pPr>
                  <w:r>
                    <w:rPr>
                      <w:rFonts w:asciiTheme="minorHAnsi" w:hAnsiTheme="minorHAnsi" w:cs="Times New Roman"/>
                    </w:rPr>
                    <w:t xml:space="preserve">SDR </w:t>
                  </w:r>
                  <w:r w:rsidR="000047D4">
                    <w:rPr>
                      <w:rFonts w:asciiTheme="minorHAnsi" w:hAnsiTheme="minorHAnsi" w:cs="Times New Roman"/>
                    </w:rPr>
                    <w:t>1</w:t>
                  </w:r>
                </w:p>
              </w:tc>
            </w:tr>
          </w:tbl>
          <w:p w:rsidR="003615CB" w:rsidRDefault="003615CB">
            <w:pPr>
              <w:spacing w:line="276" w:lineRule="auto"/>
              <w:jc w:val="center"/>
              <w:rPr>
                <w:rFonts w:asciiTheme="minorHAnsi" w:hAnsiTheme="minorHAnsi" w:cs="Times New Roman"/>
              </w:rPr>
            </w:pPr>
          </w:p>
        </w:tc>
      </w:tr>
      <w:tr w:rsidR="0006032A" w:rsidTr="00805A19">
        <w:trPr>
          <w:gridAfter w:val="1"/>
          <w:wAfter w:w="234" w:type="dxa"/>
          <w:jc w:val="center"/>
        </w:trPr>
        <w:tc>
          <w:tcPr>
            <w:tcW w:w="9450" w:type="dxa"/>
            <w:vAlign w:val="center"/>
          </w:tcPr>
          <w:p w:rsidR="003615CB" w:rsidRDefault="003615CB">
            <w:pPr>
              <w:ind w:left="-900" w:firstLine="900"/>
              <w:jc w:val="center"/>
              <w:rPr>
                <w:rFonts w:asciiTheme="minorHAnsi" w:hAnsiTheme="minorHAnsi" w:cs="Times New Roman"/>
              </w:rPr>
            </w:pPr>
          </w:p>
          <w:p w:rsidR="003615CB" w:rsidRDefault="00B578E1">
            <w:pPr>
              <w:ind w:left="-900" w:firstLine="900"/>
              <w:jc w:val="center"/>
              <w:rPr>
                <w:rFonts w:asciiTheme="minorHAnsi" w:hAnsiTheme="minorHAnsi" w:cs="Times New Roman"/>
              </w:rPr>
            </w:pPr>
            <w:r>
              <w:rPr>
                <w:rFonts w:asciiTheme="minorHAnsi" w:hAnsiTheme="minorHAnsi" w:cs="Times New Roman"/>
              </w:rPr>
              <w:t>FISCAL YEAR</w:t>
            </w:r>
          </w:p>
        </w:tc>
      </w:tr>
      <w:tr w:rsidR="0006032A" w:rsidTr="00805A19">
        <w:trPr>
          <w:gridAfter w:val="1"/>
          <w:wAfter w:w="234" w:type="dxa"/>
          <w:trHeight w:val="297"/>
          <w:jc w:val="center"/>
        </w:trPr>
        <w:tc>
          <w:tcPr>
            <w:tcW w:w="9450" w:type="dxa"/>
            <w:vAlign w:val="center"/>
            <w:hideMark/>
          </w:tcPr>
          <w:p w:rsidR="003615CB" w:rsidRDefault="00B578E1" w:rsidP="00E351FA">
            <w:pPr>
              <w:ind w:left="-900" w:firstLine="900"/>
              <w:jc w:val="center"/>
              <w:rPr>
                <w:rFonts w:asciiTheme="minorHAnsi" w:hAnsiTheme="minorHAnsi" w:cs="Times New Roman"/>
              </w:rPr>
            </w:pPr>
            <w:r>
              <w:rPr>
                <w:rFonts w:asciiTheme="minorHAnsi" w:hAnsiTheme="minorHAnsi" w:cs="Times New Roman"/>
              </w:rPr>
              <w:t>J</w:t>
            </w:r>
            <w:r w:rsidR="00E351FA">
              <w:rPr>
                <w:rFonts w:asciiTheme="minorHAnsi" w:hAnsiTheme="minorHAnsi" w:cs="Times New Roman"/>
              </w:rPr>
              <w:t>uly</w:t>
            </w:r>
            <w:r>
              <w:rPr>
                <w:rFonts w:asciiTheme="minorHAnsi" w:hAnsiTheme="minorHAnsi" w:cs="Times New Roman"/>
              </w:rPr>
              <w:t xml:space="preserve"> 1 - </w:t>
            </w:r>
            <w:r w:rsidR="00E351FA">
              <w:rPr>
                <w:rFonts w:asciiTheme="minorHAnsi" w:hAnsiTheme="minorHAnsi" w:cs="Times New Roman"/>
              </w:rPr>
              <w:t>June</w:t>
            </w:r>
            <w:r>
              <w:rPr>
                <w:rFonts w:asciiTheme="minorHAnsi" w:hAnsiTheme="minorHAnsi" w:cs="Times New Roman"/>
              </w:rPr>
              <w:t xml:space="preserve"> 3</w:t>
            </w:r>
            <w:r w:rsidR="00E351FA">
              <w:rPr>
                <w:rFonts w:asciiTheme="minorHAnsi" w:hAnsiTheme="minorHAnsi" w:cs="Times New Roman"/>
              </w:rPr>
              <w:t>0</w:t>
            </w:r>
          </w:p>
        </w:tc>
      </w:tr>
      <w:tr w:rsidR="0006032A" w:rsidTr="00805A19">
        <w:trPr>
          <w:jc w:val="center"/>
        </w:trPr>
        <w:tc>
          <w:tcPr>
            <w:tcW w:w="9684" w:type="dxa"/>
            <w:gridSpan w:val="2"/>
            <w:vAlign w:val="center"/>
            <w:hideMark/>
          </w:tcPr>
          <w:p w:rsidR="00805A19" w:rsidRPr="009609C0" w:rsidRDefault="00B578E1" w:rsidP="0005006E">
            <w:pPr>
              <w:ind w:left="-900" w:firstLine="900"/>
              <w:jc w:val="center"/>
              <w:rPr>
                <w:rFonts w:asciiTheme="minorHAnsi" w:hAnsiTheme="minorHAnsi" w:cs="Times New Roman"/>
                <w:b/>
              </w:rPr>
            </w:pPr>
            <w:r w:rsidRPr="009609C0">
              <w:rPr>
                <w:rFonts w:asciiTheme="minorHAnsi" w:hAnsiTheme="minorHAnsi" w:cs="Times New Roman"/>
                <w:b/>
              </w:rPr>
              <w:t>ABBREVIATIONS AND ACRONYMS</w:t>
            </w:r>
          </w:p>
        </w:tc>
      </w:tr>
      <w:tr w:rsidR="0006032A" w:rsidTr="00805A19">
        <w:trPr>
          <w:jc w:val="center"/>
        </w:trPr>
        <w:tc>
          <w:tcPr>
            <w:tcW w:w="9684" w:type="dxa"/>
            <w:gridSpan w:val="2"/>
          </w:tcPr>
          <w:p w:rsidR="00805A19" w:rsidRDefault="00805A19" w:rsidP="0005006E">
            <w:pPr>
              <w:spacing w:line="276" w:lineRule="auto"/>
              <w:rPr>
                <w:rFonts w:asciiTheme="minorHAnsi" w:hAnsiTheme="minorHAnsi" w:cs="Times New Roman"/>
                <w:b/>
                <w:sz w:val="22"/>
                <w:szCs w:val="22"/>
              </w:rPr>
            </w:pPr>
          </w:p>
        </w:tc>
      </w:tr>
    </w:tbl>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5"/>
        <w:gridCol w:w="7740"/>
      </w:tblGrid>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bookmarkStart w:id="0" w:name="SECTION3"/>
            <w:bookmarkEnd w:id="0"/>
            <w:r w:rsidRPr="00802B50">
              <w:rPr>
                <w:rFonts w:ascii="Calibri" w:eastAsia="Times New Roman" w:hAnsi="Calibri" w:cs="Calibri"/>
                <w:sz w:val="22"/>
                <w:szCs w:val="22"/>
                <w:lang w:eastAsia="es-CO"/>
              </w:rPr>
              <w:t>AF</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Additional Financing</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AFD</w:t>
            </w:r>
          </w:p>
        </w:tc>
        <w:tc>
          <w:tcPr>
            <w:tcW w:w="7740" w:type="dxa"/>
            <w:shd w:val="clear" w:color="auto" w:fill="auto"/>
            <w:noWrap/>
            <w:vAlign w:val="bottom"/>
            <w:hideMark/>
          </w:tcPr>
          <w:p w:rsidR="00805A19" w:rsidRPr="006961EE" w:rsidRDefault="00B578E1" w:rsidP="0005006E">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French Development Agency (</w:t>
            </w:r>
            <w:r w:rsidRPr="000975FB">
              <w:rPr>
                <w:rFonts w:ascii="Calibri" w:eastAsia="Times New Roman" w:hAnsi="Calibri" w:cs="Calibri"/>
                <w:i/>
                <w:sz w:val="22"/>
                <w:szCs w:val="22"/>
                <w:lang w:eastAsia="es-CO"/>
              </w:rPr>
              <w:t>Agence Francaise de Development</w:t>
            </w:r>
            <w:r>
              <w:rPr>
                <w:rFonts w:ascii="Calibri" w:eastAsia="Times New Roman" w:hAnsi="Calibri" w:cs="Calibri"/>
                <w:sz w:val="22"/>
                <w:szCs w:val="22"/>
                <w:lang w:eastAsia="es-CO"/>
              </w:rPr>
              <w: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CoM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Cabinet of Ministers </w:t>
            </w:r>
          </w:p>
        </w:tc>
      </w:tr>
      <w:tr w:rsidR="0006032A" w:rsidTr="000975FB">
        <w:trPr>
          <w:trHeight w:val="288"/>
        </w:trPr>
        <w:tc>
          <w:tcPr>
            <w:tcW w:w="1255" w:type="dxa"/>
            <w:shd w:val="clear" w:color="auto" w:fill="auto"/>
            <w:noWrap/>
          </w:tcPr>
          <w:p w:rsidR="00574968"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DFID</w:t>
            </w:r>
          </w:p>
        </w:tc>
        <w:tc>
          <w:tcPr>
            <w:tcW w:w="7740" w:type="dxa"/>
            <w:shd w:val="clear" w:color="auto" w:fill="auto"/>
            <w:noWrap/>
            <w:vAlign w:val="bottom"/>
          </w:tcPr>
          <w:p w:rsidR="00574968" w:rsidRPr="00802B50" w:rsidRDefault="00B578E1" w:rsidP="0005006E">
            <w:pPr>
              <w:spacing w:after="0" w:line="240" w:lineRule="auto"/>
              <w:rPr>
                <w:rFonts w:ascii="Calibri" w:eastAsia="Times New Roman" w:hAnsi="Calibri" w:cs="Calibri"/>
                <w:sz w:val="22"/>
                <w:szCs w:val="22"/>
                <w:lang w:eastAsia="es-CO"/>
              </w:rPr>
            </w:pPr>
            <w:r w:rsidRPr="00574968">
              <w:rPr>
                <w:sz w:val="20"/>
              </w:rPr>
              <w:t>U.K. Department for International Development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EQA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Environmental Quality Authority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EU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European Union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IBNET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International Benchmarking Network </w:t>
            </w:r>
          </w:p>
        </w:tc>
      </w:tr>
      <w:tr w:rsidR="0006032A" w:rsidTr="000975FB">
        <w:trPr>
          <w:trHeight w:val="288"/>
        </w:trPr>
        <w:tc>
          <w:tcPr>
            <w:tcW w:w="1255" w:type="dxa"/>
            <w:shd w:val="clear" w:color="auto" w:fill="auto"/>
            <w:noWrap/>
          </w:tcPr>
          <w:p w:rsidR="00950C8C"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ICR</w:t>
            </w:r>
          </w:p>
        </w:tc>
        <w:tc>
          <w:tcPr>
            <w:tcW w:w="7740" w:type="dxa"/>
            <w:shd w:val="clear" w:color="auto" w:fill="auto"/>
            <w:noWrap/>
            <w:vAlign w:val="bottom"/>
          </w:tcPr>
          <w:p w:rsidR="00950C8C" w:rsidRPr="00802B50" w:rsidRDefault="00B578E1" w:rsidP="0005006E">
            <w:pPr>
              <w:spacing w:after="0" w:line="240" w:lineRule="auto"/>
              <w:rPr>
                <w:rFonts w:ascii="Calibri" w:eastAsia="Times New Roman" w:hAnsi="Calibri" w:cs="Calibri"/>
                <w:sz w:val="22"/>
                <w:szCs w:val="22"/>
                <w:lang w:eastAsia="es-CO"/>
              </w:rPr>
            </w:pPr>
            <w:r w:rsidRPr="00950C8C">
              <w:rPr>
                <w:rFonts w:ascii="Calibri" w:eastAsia="Times New Roman" w:hAnsi="Calibri" w:cs="Calibri"/>
                <w:sz w:val="22"/>
                <w:szCs w:val="22"/>
                <w:lang w:eastAsia="es-CO"/>
              </w:rPr>
              <w:t>Implementation Completion and Results Report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IFR</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Interim Financial Report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IWSR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Institutional Water Sector Review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GDP</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Gross Domestic Product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GoI</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Government of Israel</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GIZ </w:t>
            </w:r>
          </w:p>
        </w:tc>
        <w:tc>
          <w:tcPr>
            <w:tcW w:w="7740" w:type="dxa"/>
            <w:shd w:val="clear" w:color="auto" w:fill="auto"/>
            <w:noWrap/>
            <w:vAlign w:val="bottom"/>
            <w:hideMark/>
          </w:tcPr>
          <w:p w:rsidR="00805A19" w:rsidRPr="006961EE" w:rsidRDefault="00B578E1" w:rsidP="0005006E">
            <w:pPr>
              <w:spacing w:after="0" w:line="240" w:lineRule="auto"/>
              <w:rPr>
                <w:rFonts w:ascii="Calibri" w:eastAsia="Times New Roman" w:hAnsi="Calibri" w:cs="Calibri"/>
                <w:sz w:val="22"/>
                <w:szCs w:val="22"/>
                <w:lang w:eastAsia="es-CO"/>
              </w:rPr>
            </w:pPr>
            <w:r w:rsidRPr="005B4BDB">
              <w:rPr>
                <w:rFonts w:asciiTheme="minorHAnsi" w:eastAsiaTheme="minorHAnsi" w:hAnsiTheme="minorHAnsi" w:cstheme="minorBidi"/>
                <w:color w:val="auto"/>
                <w:sz w:val="22"/>
                <w:szCs w:val="22"/>
              </w:rPr>
              <w:t>German Agency for</w:t>
            </w:r>
            <w:r>
              <w:rPr>
                <w:rFonts w:ascii="Avenir-Book" w:eastAsia="Avenir-Book" w:hAnsiTheme="minorHAnsi" w:cs="Avenir-Book"/>
                <w:color w:val="auto"/>
                <w:sz w:val="16"/>
                <w:szCs w:val="16"/>
              </w:rPr>
              <w:t xml:space="preserve"> </w:t>
            </w:r>
            <w:r w:rsidRPr="007C7C2B">
              <w:rPr>
                <w:rFonts w:asciiTheme="minorHAnsi" w:eastAsiaTheme="minorHAnsi" w:hAnsiTheme="minorHAnsi" w:cstheme="minorBidi"/>
                <w:color w:val="auto"/>
                <w:sz w:val="22"/>
                <w:szCs w:val="22"/>
              </w:rPr>
              <w:t>International Cooperation</w:t>
            </w:r>
            <w:r w:rsidRPr="00802B50">
              <w:rPr>
                <w:rFonts w:ascii="Calibri" w:eastAsia="Times New Roman" w:hAnsi="Calibri" w:cs="Calibri"/>
                <w:sz w:val="22"/>
                <w:szCs w:val="22"/>
                <w:lang w:val="sv-SE" w:eastAsia="es-CO"/>
              </w:rPr>
              <w:t xml:space="preserve"> </w:t>
            </w:r>
            <w:r>
              <w:rPr>
                <w:rFonts w:ascii="Calibri" w:eastAsia="Times New Roman" w:hAnsi="Calibri" w:cs="Calibri"/>
                <w:sz w:val="22"/>
                <w:szCs w:val="22"/>
                <w:lang w:val="sv-SE" w:eastAsia="es-CO"/>
              </w:rPr>
              <w:t>(</w:t>
            </w:r>
            <w:r w:rsidRPr="000975FB">
              <w:rPr>
                <w:rFonts w:ascii="Calibri" w:eastAsia="Times New Roman" w:hAnsi="Calibri" w:cs="Calibri"/>
                <w:i/>
                <w:sz w:val="22"/>
                <w:szCs w:val="22"/>
                <w:lang w:val="sv-SE" w:eastAsia="es-CO"/>
              </w:rPr>
              <w:t>Deutsche Gesellschaft für internationale Zusammenarbeit)</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KPIs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Key Performance Indicators </w:t>
            </w:r>
          </w:p>
        </w:tc>
      </w:tr>
      <w:tr w:rsidR="0006032A" w:rsidTr="000975FB">
        <w:trPr>
          <w:trHeight w:val="288"/>
        </w:trPr>
        <w:tc>
          <w:tcPr>
            <w:tcW w:w="1255" w:type="dxa"/>
            <w:shd w:val="clear" w:color="auto" w:fill="auto"/>
            <w:noWrap/>
          </w:tcPr>
          <w:p w:rsidR="00853480"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M&amp;E</w:t>
            </w:r>
          </w:p>
        </w:tc>
        <w:tc>
          <w:tcPr>
            <w:tcW w:w="7740" w:type="dxa"/>
            <w:shd w:val="clear" w:color="auto" w:fill="auto"/>
            <w:noWrap/>
            <w:vAlign w:val="bottom"/>
          </w:tcPr>
          <w:p w:rsidR="00853480" w:rsidRPr="00853480" w:rsidRDefault="00B578E1" w:rsidP="0005006E">
            <w:pPr>
              <w:spacing w:after="0" w:line="240" w:lineRule="auto"/>
              <w:rPr>
                <w:rFonts w:asciiTheme="minorHAnsi" w:eastAsia="Times New Roman" w:hAnsiTheme="minorHAnsi" w:cstheme="minorHAnsi"/>
                <w:sz w:val="22"/>
                <w:szCs w:val="22"/>
                <w:lang w:eastAsia="es-CO"/>
              </w:rPr>
            </w:pPr>
            <w:r w:rsidRPr="00853480">
              <w:rPr>
                <w:rFonts w:asciiTheme="minorHAnsi" w:hAnsiTheme="minorHAnsi" w:cstheme="minorHAnsi"/>
                <w:sz w:val="22"/>
              </w:rPr>
              <w:t>Monitoring and Evaluation</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MDTF</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Multi-Donor Trust Fund</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MOA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Ministry of Agriculture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MOH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Ministry of Health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MOLG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Ministry of Local Governments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NGO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Non-Governmental Organization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NRW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Non</w:t>
            </w:r>
            <w:r w:rsidR="00E646A7">
              <w:rPr>
                <w:rFonts w:ascii="Calibri" w:eastAsia="Times New Roman" w:hAnsi="Calibri" w:cs="Calibri"/>
                <w:sz w:val="22"/>
                <w:szCs w:val="22"/>
                <w:lang w:eastAsia="es-CO"/>
              </w:rPr>
              <w:t>r</w:t>
            </w:r>
            <w:r w:rsidRPr="00802B50">
              <w:rPr>
                <w:rFonts w:ascii="Calibri" w:eastAsia="Times New Roman" w:hAnsi="Calibri" w:cs="Calibri"/>
                <w:sz w:val="22"/>
                <w:szCs w:val="22"/>
                <w:lang w:eastAsia="es-CO"/>
              </w:rPr>
              <w:t xml:space="preserve">evenue Water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NWC</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National Water Council</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PCBS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Palestinian</w:t>
            </w:r>
            <w:r w:rsidRPr="00802B50">
              <w:rPr>
                <w:rFonts w:ascii="Calibri" w:eastAsia="Times New Roman" w:hAnsi="Calibri" w:cs="Calibri"/>
                <w:sz w:val="22"/>
                <w:szCs w:val="22"/>
                <w:lang w:eastAsia="es-CO"/>
              </w:rPr>
              <w:t xml:space="preserve"> Central Bureau of Statistics</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PA</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Palestinian Authority</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PAD</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Project Appraisal Document</w:t>
            </w:r>
          </w:p>
        </w:tc>
      </w:tr>
      <w:tr w:rsidR="0006032A" w:rsidTr="000975FB">
        <w:trPr>
          <w:trHeight w:val="288"/>
        </w:trPr>
        <w:tc>
          <w:tcPr>
            <w:tcW w:w="1255" w:type="dxa"/>
            <w:shd w:val="clear" w:color="auto" w:fill="auto"/>
            <w:noWrap/>
          </w:tcPr>
          <w:p w:rsidR="00BC6BF3"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PDO</w:t>
            </w:r>
          </w:p>
        </w:tc>
        <w:tc>
          <w:tcPr>
            <w:tcW w:w="7740" w:type="dxa"/>
            <w:shd w:val="clear" w:color="auto" w:fill="auto"/>
            <w:noWrap/>
            <w:vAlign w:val="bottom"/>
          </w:tcPr>
          <w:p w:rsidR="00BC6BF3" w:rsidRPr="00BC6BF3" w:rsidRDefault="00B578E1" w:rsidP="0005006E">
            <w:pPr>
              <w:spacing w:after="0" w:line="240" w:lineRule="auto"/>
              <w:rPr>
                <w:rFonts w:ascii="Calibri" w:eastAsia="Times New Roman" w:hAnsi="Calibri" w:cs="Calibri"/>
                <w:sz w:val="22"/>
                <w:szCs w:val="22"/>
                <w:lang w:eastAsia="es-CO"/>
              </w:rPr>
            </w:pPr>
            <w:r w:rsidRPr="00BC6BF3">
              <w:rPr>
                <w:rFonts w:asciiTheme="minorHAnsi" w:hAnsiTheme="minorHAnsi"/>
                <w:color w:val="auto"/>
                <w:sz w:val="22"/>
                <w:szCs w:val="22"/>
              </w:rPr>
              <w:t>Project Development Objective</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PDG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Program Development Goal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PID-MDTF</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eastAsia="es-CO"/>
              </w:rPr>
            </w:pPr>
            <w:r w:rsidRPr="00802B50">
              <w:rPr>
                <w:rFonts w:ascii="Calibri" w:eastAsia="Times New Roman" w:hAnsi="Calibri" w:cs="Calibri"/>
                <w:sz w:val="22"/>
                <w:szCs w:val="22"/>
                <w:lang w:eastAsia="es-CO"/>
              </w:rPr>
              <w:t>Partnership for Infrastructure Development of the Multi- Donor Trust Fund</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lastRenderedPageBreak/>
              <w:t>PMU</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Project Management Unit</w:t>
            </w:r>
          </w:p>
        </w:tc>
      </w:tr>
      <w:tr w:rsidR="0006032A" w:rsidTr="000975FB">
        <w:trPr>
          <w:trHeight w:val="288"/>
        </w:trPr>
        <w:tc>
          <w:tcPr>
            <w:tcW w:w="1255" w:type="dxa"/>
            <w:shd w:val="clear" w:color="auto" w:fill="auto"/>
            <w:noWrap/>
          </w:tcPr>
          <w:p w:rsidR="00AC1DA3"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PSC</w:t>
            </w:r>
          </w:p>
        </w:tc>
        <w:tc>
          <w:tcPr>
            <w:tcW w:w="7740" w:type="dxa"/>
            <w:shd w:val="clear" w:color="auto" w:fill="auto"/>
            <w:noWrap/>
            <w:vAlign w:val="bottom"/>
          </w:tcPr>
          <w:p w:rsidR="00AC1DA3" w:rsidRPr="00802B50" w:rsidRDefault="00B578E1" w:rsidP="0005006E">
            <w:pPr>
              <w:spacing w:after="0" w:line="240" w:lineRule="auto"/>
              <w:rPr>
                <w:rFonts w:ascii="Calibri" w:eastAsia="Times New Roman" w:hAnsi="Calibri" w:cs="Calibri"/>
                <w:sz w:val="22"/>
                <w:szCs w:val="22"/>
                <w:lang w:eastAsia="es-CO"/>
              </w:rPr>
            </w:pPr>
            <w:r w:rsidRPr="000975FB">
              <w:rPr>
                <w:rFonts w:ascii="Calibri" w:eastAsia="Times New Roman" w:hAnsi="Calibri" w:cs="Calibri"/>
                <w:sz w:val="22"/>
                <w:szCs w:val="22"/>
                <w:lang w:eastAsia="es-CO"/>
              </w:rPr>
              <w:t>Project Steering Committee</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PWA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Palestinian Water Authority </w:t>
            </w:r>
          </w:p>
        </w:tc>
      </w:tr>
      <w:tr w:rsidR="0006032A" w:rsidTr="000975FB">
        <w:trPr>
          <w:trHeight w:val="288"/>
        </w:trPr>
        <w:tc>
          <w:tcPr>
            <w:tcW w:w="1255" w:type="dxa"/>
            <w:shd w:val="clear" w:color="auto" w:fill="auto"/>
            <w:noWrap/>
          </w:tcPr>
          <w:p w:rsidR="0045173E"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RWU</w:t>
            </w:r>
          </w:p>
        </w:tc>
        <w:tc>
          <w:tcPr>
            <w:tcW w:w="7740" w:type="dxa"/>
            <w:shd w:val="clear" w:color="auto" w:fill="auto"/>
            <w:noWrap/>
            <w:vAlign w:val="bottom"/>
          </w:tcPr>
          <w:p w:rsidR="0045173E" w:rsidRPr="00802B50" w:rsidRDefault="00B578E1" w:rsidP="0005006E">
            <w:pPr>
              <w:spacing w:after="0" w:line="240" w:lineRule="auto"/>
              <w:rPr>
                <w:rFonts w:ascii="Calibri" w:eastAsia="Times New Roman" w:hAnsi="Calibri" w:cs="Calibri"/>
                <w:sz w:val="22"/>
                <w:szCs w:val="22"/>
                <w:lang w:eastAsia="es-CO"/>
              </w:rPr>
            </w:pPr>
            <w:r w:rsidRPr="00221192">
              <w:rPr>
                <w:rFonts w:ascii="Calibri" w:eastAsia="Times New Roman" w:hAnsi="Calibri" w:cs="Calibri"/>
                <w:sz w:val="22"/>
                <w:szCs w:val="22"/>
                <w:lang w:eastAsia="es-CO"/>
              </w:rPr>
              <w:t>Regional Water Utility</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SIDA</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eastAsia="es-CO"/>
              </w:rPr>
            </w:pPr>
            <w:r w:rsidRPr="00802B50">
              <w:rPr>
                <w:rFonts w:ascii="Calibri" w:eastAsia="Times New Roman" w:hAnsi="Calibri" w:cs="Calibri"/>
                <w:sz w:val="22"/>
                <w:szCs w:val="22"/>
                <w:lang w:val="en" w:eastAsia="es-CO"/>
              </w:rPr>
              <w:t>Swedish International Development Cooperation Agency</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SP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Service Provider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TA</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Technical Assistance</w:t>
            </w:r>
          </w:p>
        </w:tc>
      </w:tr>
      <w:tr w:rsidR="0006032A" w:rsidTr="000975FB">
        <w:trPr>
          <w:trHeight w:val="288"/>
        </w:trPr>
        <w:tc>
          <w:tcPr>
            <w:tcW w:w="1255" w:type="dxa"/>
            <w:shd w:val="clear" w:color="auto" w:fill="auto"/>
            <w:noWrap/>
          </w:tcPr>
          <w:p w:rsidR="0043067C"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TOR</w:t>
            </w:r>
          </w:p>
        </w:tc>
        <w:tc>
          <w:tcPr>
            <w:tcW w:w="7740" w:type="dxa"/>
            <w:shd w:val="clear" w:color="auto" w:fill="auto"/>
            <w:noWrap/>
            <w:vAlign w:val="bottom"/>
          </w:tcPr>
          <w:p w:rsidR="0043067C" w:rsidRPr="00802B50" w:rsidRDefault="00B578E1" w:rsidP="0005006E">
            <w:pPr>
              <w:spacing w:after="0" w:line="240" w:lineRule="auto"/>
              <w:rPr>
                <w:rFonts w:ascii="Calibri" w:eastAsia="Times New Roman" w:hAnsi="Calibri" w:cs="Calibri"/>
                <w:sz w:val="22"/>
                <w:szCs w:val="22"/>
                <w:lang w:eastAsia="es-CO"/>
              </w:rPr>
            </w:pPr>
            <w:r w:rsidRPr="0043067C">
              <w:rPr>
                <w:rFonts w:ascii="Calibri" w:eastAsia="Times New Roman" w:hAnsi="Calibri" w:cs="Calibri"/>
                <w:sz w:val="22"/>
                <w:szCs w:val="22"/>
                <w:lang w:eastAsia="es-CO"/>
              </w:rPr>
              <w:t>Terms of Reference</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TPAT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Technical Planning Advisory Team </w:t>
            </w:r>
          </w:p>
        </w:tc>
      </w:tr>
      <w:tr w:rsidR="0006032A" w:rsidTr="000975FB">
        <w:trPr>
          <w:trHeight w:val="288"/>
        </w:trPr>
        <w:tc>
          <w:tcPr>
            <w:tcW w:w="1255" w:type="dxa"/>
            <w:shd w:val="clear" w:color="auto" w:fill="auto"/>
            <w:noWrap/>
          </w:tcPr>
          <w:p w:rsidR="00950C8C"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TTL</w:t>
            </w:r>
          </w:p>
        </w:tc>
        <w:tc>
          <w:tcPr>
            <w:tcW w:w="7740" w:type="dxa"/>
            <w:shd w:val="clear" w:color="auto" w:fill="auto"/>
            <w:noWrap/>
            <w:vAlign w:val="bottom"/>
          </w:tcPr>
          <w:p w:rsidR="00950C8C" w:rsidRPr="00950C8C" w:rsidRDefault="00B578E1" w:rsidP="0005006E">
            <w:pPr>
              <w:spacing w:after="0" w:line="240" w:lineRule="auto"/>
              <w:rPr>
                <w:rFonts w:ascii="Calibri" w:eastAsia="Times New Roman" w:hAnsi="Calibri" w:cs="Calibri"/>
                <w:sz w:val="22"/>
                <w:szCs w:val="22"/>
                <w:lang w:eastAsia="es-CO"/>
              </w:rPr>
            </w:pPr>
            <w:r w:rsidRPr="00950C8C">
              <w:rPr>
                <w:rFonts w:ascii="Calibri" w:eastAsia="Times New Roman" w:hAnsi="Calibri" w:cs="Calibri"/>
                <w:sz w:val="22"/>
                <w:szCs w:val="22"/>
                <w:lang w:eastAsia="es-CO"/>
              </w:rPr>
              <w:t>Task Team Leader</w:t>
            </w:r>
          </w:p>
        </w:tc>
      </w:tr>
      <w:tr w:rsidR="0006032A" w:rsidTr="000975FB">
        <w:trPr>
          <w:trHeight w:val="288"/>
        </w:trPr>
        <w:tc>
          <w:tcPr>
            <w:tcW w:w="1255" w:type="dxa"/>
            <w:shd w:val="clear" w:color="auto" w:fill="auto"/>
            <w:noWrap/>
          </w:tcPr>
          <w:p w:rsidR="004F148C" w:rsidRPr="00802B50" w:rsidRDefault="00B578E1" w:rsidP="005B4BDB">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VFM</w:t>
            </w:r>
          </w:p>
        </w:tc>
        <w:tc>
          <w:tcPr>
            <w:tcW w:w="7740" w:type="dxa"/>
            <w:shd w:val="clear" w:color="auto" w:fill="auto"/>
            <w:noWrap/>
            <w:vAlign w:val="bottom"/>
          </w:tcPr>
          <w:p w:rsidR="004F148C" w:rsidRPr="00802B50" w:rsidRDefault="00B578E1" w:rsidP="0005006E">
            <w:pPr>
              <w:spacing w:after="0" w:line="240" w:lineRule="auto"/>
              <w:rPr>
                <w:rFonts w:ascii="Calibri" w:eastAsia="Times New Roman" w:hAnsi="Calibri" w:cs="Calibri"/>
                <w:sz w:val="22"/>
                <w:szCs w:val="22"/>
                <w:lang w:eastAsia="es-CO"/>
              </w:rPr>
            </w:pPr>
            <w:r w:rsidRPr="004F148C">
              <w:rPr>
                <w:rFonts w:ascii="Calibri" w:eastAsia="Times New Roman" w:hAnsi="Calibri" w:cs="Calibri"/>
                <w:sz w:val="22"/>
                <w:szCs w:val="22"/>
                <w:lang w:eastAsia="es-CO"/>
              </w:rPr>
              <w:t>Value for Money</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WRIS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Water Regulator Information System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WSP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Water Service Provider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WSRC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Water Sector Regulatory Council </w:t>
            </w:r>
          </w:p>
        </w:tc>
      </w:tr>
      <w:tr w:rsidR="0006032A" w:rsidTr="000975FB">
        <w:trPr>
          <w:trHeight w:val="288"/>
        </w:trPr>
        <w:tc>
          <w:tcPr>
            <w:tcW w:w="1255" w:type="dxa"/>
            <w:shd w:val="clear" w:color="auto" w:fill="auto"/>
            <w:noWrap/>
            <w:hideMark/>
          </w:tcPr>
          <w:p w:rsidR="00805A19" w:rsidRPr="00802B50" w:rsidRDefault="00B578E1" w:rsidP="005B4BDB">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WUA </w:t>
            </w:r>
          </w:p>
        </w:tc>
        <w:tc>
          <w:tcPr>
            <w:tcW w:w="7740" w:type="dxa"/>
            <w:shd w:val="clear" w:color="auto" w:fill="auto"/>
            <w:noWrap/>
            <w:vAlign w:val="bottom"/>
            <w:hideMark/>
          </w:tcPr>
          <w:p w:rsidR="00805A19" w:rsidRPr="00802B50" w:rsidRDefault="00B578E1" w:rsidP="0005006E">
            <w:pPr>
              <w:spacing w:after="0" w:line="240" w:lineRule="auto"/>
              <w:rPr>
                <w:rFonts w:ascii="Calibri" w:eastAsia="Times New Roman" w:hAnsi="Calibri" w:cs="Calibri"/>
                <w:sz w:val="22"/>
                <w:szCs w:val="22"/>
                <w:lang w:val="es-CO" w:eastAsia="es-CO"/>
              </w:rPr>
            </w:pPr>
            <w:r w:rsidRPr="00802B50">
              <w:rPr>
                <w:rFonts w:ascii="Calibri" w:eastAsia="Times New Roman" w:hAnsi="Calibri" w:cs="Calibri"/>
                <w:sz w:val="22"/>
                <w:szCs w:val="22"/>
                <w:lang w:eastAsia="es-CO"/>
              </w:rPr>
              <w:t xml:space="preserve">Water User Association </w:t>
            </w:r>
          </w:p>
        </w:tc>
      </w:tr>
    </w:tbl>
    <w:p w:rsidR="00805A19" w:rsidRDefault="00805A19" w:rsidP="00E5257C">
      <w:pPr>
        <w:keepNext/>
        <w:keepLines/>
        <w:spacing w:before="240"/>
        <w:jc w:val="center"/>
        <w:rPr>
          <w:rFonts w:asciiTheme="minorHAnsi" w:eastAsiaTheme="minorHAnsi" w:hAnsiTheme="minorHAnsi" w:cstheme="minorBidi"/>
          <w:color w:val="auto"/>
          <w:sz w:val="22"/>
          <w:szCs w:val="22"/>
        </w:rPr>
      </w:pPr>
    </w:p>
    <w:p w:rsidR="00805A19" w:rsidRDefault="00805A19">
      <w:pPr>
        <w:rPr>
          <w:rFonts w:asciiTheme="minorHAnsi" w:eastAsiaTheme="minorHAnsi" w:hAnsiTheme="minorHAnsi" w:cstheme="minorBidi"/>
          <w:color w:val="auto"/>
          <w:sz w:val="22"/>
          <w:szCs w:val="22"/>
        </w:rPr>
      </w:pPr>
    </w:p>
    <w:p w:rsidR="00805A19" w:rsidRDefault="00B578E1" w:rsidP="00E5257C">
      <w:pPr>
        <w:keepNext/>
        <w:keepLines/>
        <w:spacing w:before="240"/>
        <w:jc w:val="center"/>
        <w:rPr>
          <w:rFonts w:asciiTheme="minorHAnsi" w:eastAsiaTheme="minorHAnsi" w:hAnsiTheme="minorHAnsi" w:cstheme="minorBidi"/>
          <w:color w:val="auto"/>
          <w:sz w:val="22"/>
          <w:szCs w:val="22"/>
        </w:rPr>
      </w:pPr>
      <w:r>
        <w:rPr>
          <w:rFonts w:ascii="Times New Roman" w:eastAsiaTheme="minorHAnsi" w:hAnsi="Times New Roman" w:cs="Times New Roman"/>
          <w:noProof/>
          <w:color w:val="auto"/>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margin">
                  <wp:align>bottom</wp:align>
                </wp:positionV>
                <wp:extent cx="6108192" cy="1938528"/>
                <wp:effectExtent l="0" t="0" r="26035" b="2413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938528"/>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rsidR="00B578E1" w:rsidRPr="00962ECA" w:rsidRDefault="00B578E1" w:rsidP="00005F5F">
                                  <w:pPr>
                                    <w:rPr>
                                      <w:rFonts w:asciiTheme="minorHAnsi" w:hAnsiTheme="minorHAnsi"/>
                                      <w:szCs w:val="22"/>
                                    </w:rPr>
                                  </w:pPr>
                                  <w:r>
                                    <w:rPr>
                                      <w:rFonts w:asciiTheme="minorHAnsi" w:hAnsiTheme="minorHAnsi"/>
                                      <w:noProof/>
                                      <w:szCs w:val="22"/>
                                    </w:rPr>
                                    <w:t>Hafez M. H. Ghanem</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Marina Wes</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Guang Zhe Chen</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Carmen Nonay</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Iyad Rammal</w:t>
                                  </w:r>
                                </w:p>
                              </w:tc>
                            </w:tr>
                            <w:tr w:rsidR="00B578E1" w:rsidTr="00C56E36">
                              <w:trPr>
                                <w:trHeight w:val="459"/>
                                <w:jc w:val="center"/>
                              </w:trPr>
                              <w:tc>
                                <w:tcPr>
                                  <w:tcW w:w="3713" w:type="dxa"/>
                                  <w:vAlign w:val="center"/>
                                </w:tcPr>
                                <w:p w:rsidR="00B578E1" w:rsidRPr="008E27D4" w:rsidRDefault="00B578E1" w:rsidP="008E27D4">
                                  <w:pPr>
                                    <w:jc w:val="right"/>
                                    <w:rPr>
                                      <w:rFonts w:asciiTheme="minorHAnsi" w:hAnsiTheme="minorHAnsi"/>
                                      <w:color w:val="595959" w:themeColor="text1" w:themeTint="A6"/>
                                      <w:szCs w:val="22"/>
                                    </w:rPr>
                                  </w:pPr>
                                  <w:r w:rsidRPr="001E5449">
                                    <w:rPr>
                                      <w:rFonts w:asciiTheme="minorHAnsi" w:hAnsiTheme="minorHAnsi"/>
                                      <w:color w:val="595959" w:themeColor="text1" w:themeTint="A6"/>
                                      <w:szCs w:val="22"/>
                                    </w:rPr>
                                    <w:t>ICR Main Contributor</w:t>
                                  </w:r>
                                  <w:r w:rsidRPr="008E27D4">
                                    <w:rPr>
                                      <w:rFonts w:asciiTheme="minorHAnsi" w:hAnsiTheme="minorHAnsi"/>
                                      <w:color w:val="595959" w:themeColor="text1" w:themeTint="A6"/>
                                      <w:szCs w:val="22"/>
                                    </w:rPr>
                                    <w:t>:</w:t>
                                  </w:r>
                                </w:p>
                              </w:tc>
                              <w:tc>
                                <w:tcPr>
                                  <w:tcW w:w="5711" w:type="dxa"/>
                                  <w:vAlign w:val="center"/>
                                </w:tcPr>
                                <w:p w:rsidR="00B578E1" w:rsidRPr="00962ECA" w:rsidRDefault="00B578E1" w:rsidP="00267D23">
                                  <w:pPr>
                                    <w:rPr>
                                      <w:rFonts w:asciiTheme="minorHAnsi" w:hAnsiTheme="minorHAnsi"/>
                                      <w:noProof/>
                                      <w:szCs w:val="22"/>
                                    </w:rPr>
                                  </w:pPr>
                                  <w:r>
                                    <w:rPr>
                                      <w:rFonts w:asciiTheme="minorHAnsi" w:hAnsiTheme="minorHAnsi"/>
                                      <w:noProof/>
                                      <w:szCs w:val="22"/>
                                    </w:rPr>
                                    <w:t>Lars Anders Jagerskog</w:t>
                                  </w:r>
                                </w:p>
                              </w:tc>
                            </w:tr>
                          </w:tbl>
                          <w:p w:rsidR="00B578E1" w:rsidRPr="00501672" w:rsidRDefault="00B578E1" w:rsidP="00005F5F">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0;width:480.95pt;height:152.65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" filled="f" strokecolor="#d8d8d8 [2732]">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rsidR="00B578E1" w:rsidRPr="00962ECA" w:rsidRDefault="00B578E1" w:rsidP="00005F5F">
                            <w:pPr>
                              <w:rPr>
                                <w:rFonts w:asciiTheme="minorHAnsi" w:hAnsiTheme="minorHAnsi"/>
                                <w:szCs w:val="22"/>
                              </w:rPr>
                            </w:pPr>
                            <w:r>
                              <w:rPr>
                                <w:rFonts w:asciiTheme="minorHAnsi" w:hAnsiTheme="minorHAnsi"/>
                                <w:noProof/>
                                <w:szCs w:val="22"/>
                              </w:rPr>
                              <w:t>Hafez M. H. Ghanem</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Marina Wes</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Senior Global Practice Director: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Guang Zhe Chen</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Carmen Nonay</w:t>
                            </w:r>
                          </w:p>
                        </w:tc>
                      </w:tr>
                      <w:tr w:rsidR="00B578E1" w:rsidTr="00C56E36">
                        <w:trPr>
                          <w:trHeight w:val="459"/>
                          <w:jc w:val="center"/>
                        </w:trPr>
                        <w:tc>
                          <w:tcPr>
                            <w:tcW w:w="3713" w:type="dxa"/>
                            <w:vAlign w:val="center"/>
                            <w:hideMark/>
                          </w:tcPr>
                          <w:p w:rsidR="00B578E1" w:rsidRPr="00962ECA" w:rsidRDefault="00B578E1" w:rsidP="00005F5F">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rsidR="00B578E1" w:rsidRPr="00962ECA" w:rsidRDefault="00B578E1" w:rsidP="00005F5F">
                            <w:pPr>
                              <w:rPr>
                                <w:rFonts w:asciiTheme="minorHAnsi" w:hAnsiTheme="minorHAnsi"/>
                                <w:noProof/>
                                <w:szCs w:val="22"/>
                              </w:rPr>
                            </w:pPr>
                            <w:r>
                              <w:rPr>
                                <w:rFonts w:asciiTheme="minorHAnsi" w:hAnsiTheme="minorHAnsi"/>
                                <w:noProof/>
                                <w:szCs w:val="22"/>
                              </w:rPr>
                              <w:t>Iyad Rammal</w:t>
                            </w:r>
                          </w:p>
                        </w:tc>
                      </w:tr>
                      <w:tr w:rsidR="00B578E1" w:rsidTr="00C56E36">
                        <w:trPr>
                          <w:trHeight w:val="459"/>
                          <w:jc w:val="center"/>
                        </w:trPr>
                        <w:tc>
                          <w:tcPr>
                            <w:tcW w:w="3713" w:type="dxa"/>
                            <w:vAlign w:val="center"/>
                          </w:tcPr>
                          <w:p w:rsidR="00B578E1" w:rsidRPr="008E27D4" w:rsidRDefault="00B578E1" w:rsidP="008E27D4">
                            <w:pPr>
                              <w:jc w:val="right"/>
                              <w:rPr>
                                <w:rFonts w:asciiTheme="minorHAnsi" w:hAnsiTheme="minorHAnsi"/>
                                <w:color w:val="595959" w:themeColor="text1" w:themeTint="A6"/>
                                <w:szCs w:val="22"/>
                              </w:rPr>
                            </w:pPr>
                            <w:r w:rsidRPr="001E5449">
                              <w:rPr>
                                <w:rFonts w:asciiTheme="minorHAnsi" w:hAnsiTheme="minorHAnsi"/>
                                <w:color w:val="595959" w:themeColor="text1" w:themeTint="A6"/>
                                <w:szCs w:val="22"/>
                              </w:rPr>
                              <w:t>ICR Main Contributor</w:t>
                            </w:r>
                            <w:r w:rsidRPr="008E27D4">
                              <w:rPr>
                                <w:rFonts w:asciiTheme="minorHAnsi" w:hAnsiTheme="minorHAnsi"/>
                                <w:color w:val="595959" w:themeColor="text1" w:themeTint="A6"/>
                                <w:szCs w:val="22"/>
                              </w:rPr>
                              <w:t>:</w:t>
                            </w:r>
                          </w:p>
                        </w:tc>
                        <w:tc>
                          <w:tcPr>
                            <w:tcW w:w="5711" w:type="dxa"/>
                            <w:vAlign w:val="center"/>
                          </w:tcPr>
                          <w:p w:rsidR="00B578E1" w:rsidRPr="00962ECA" w:rsidRDefault="00B578E1" w:rsidP="00267D23">
                            <w:pPr>
                              <w:rPr>
                                <w:rFonts w:asciiTheme="minorHAnsi" w:hAnsiTheme="minorHAnsi"/>
                                <w:noProof/>
                                <w:szCs w:val="22"/>
                              </w:rPr>
                            </w:pPr>
                            <w:r>
                              <w:rPr>
                                <w:rFonts w:asciiTheme="minorHAnsi" w:hAnsiTheme="minorHAnsi"/>
                                <w:noProof/>
                                <w:szCs w:val="22"/>
                              </w:rPr>
                              <w:t>Lars Anders Jagerskog</w:t>
                            </w:r>
                          </w:p>
                        </w:tc>
                      </w:tr>
                    </w:tbl>
                    <w:p w:rsidR="00B578E1" w:rsidRPr="00501672" w:rsidRDefault="00B578E1" w:rsidP="00005F5F">
                      <w:pPr>
                        <w:spacing w:line="14" w:lineRule="exact"/>
                        <w:rPr>
                          <w:rFonts w:asciiTheme="minorHAnsi" w:hAnsiTheme="minorHAnsi"/>
                        </w:rPr>
                      </w:pPr>
                    </w:p>
                  </w:txbxContent>
                </v:textbox>
                <w10:wrap type="topAndBottom" anchory="margin"/>
              </v:shape>
            </w:pict>
          </mc:Fallback>
        </mc:AlternateContent>
      </w:r>
    </w:p>
    <w:p w:rsidR="00805A19" w:rsidRDefault="00B578E1">
      <w:pPr>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br w:type="page"/>
      </w:r>
    </w:p>
    <w:p w:rsidR="00805A19" w:rsidRDefault="00805A19" w:rsidP="00E5257C">
      <w:pPr>
        <w:keepNext/>
        <w:keepLines/>
        <w:spacing w:before="240"/>
        <w:jc w:val="center"/>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1049429953"/>
        <w:docPartObj>
          <w:docPartGallery w:val="Table of Contents"/>
          <w:docPartUnique/>
        </w:docPartObj>
      </w:sdtPr>
      <w:sdtEndPr>
        <w:rPr>
          <w:b/>
          <w:bCs/>
          <w:noProof/>
        </w:rPr>
      </w:sdtEndPr>
      <w:sdtContent>
        <w:p w:rsidR="00E5257C" w:rsidRPr="00E5257C" w:rsidRDefault="00B578E1" w:rsidP="00805A19">
          <w:pPr>
            <w:ind w:left="-907"/>
            <w:jc w:val="center"/>
            <w:rPr>
              <w:rFonts w:asciiTheme="majorHAnsi" w:eastAsiaTheme="majorEastAsia" w:hAnsiTheme="majorHAnsi" w:cstheme="majorBidi"/>
              <w:b/>
              <w:color w:val="auto"/>
              <w:sz w:val="22"/>
              <w:szCs w:val="32"/>
            </w:rPr>
          </w:pPr>
          <w:r w:rsidRPr="00E5257C">
            <w:rPr>
              <w:rFonts w:asciiTheme="majorHAnsi" w:eastAsiaTheme="majorEastAsia" w:hAnsiTheme="majorHAnsi" w:cstheme="majorBidi"/>
              <w:b/>
              <w:color w:val="auto"/>
              <w:sz w:val="22"/>
              <w:szCs w:val="32"/>
            </w:rPr>
            <w:t>TABLE OF CONTENTS</w:t>
          </w:r>
        </w:p>
        <w:p w:rsidR="00E5257C" w:rsidRPr="00E5257C" w:rsidRDefault="00E5257C" w:rsidP="00BC0A32">
          <w:pPr>
            <w:ind w:right="-180"/>
            <w:rPr>
              <w:rFonts w:asciiTheme="minorHAnsi" w:eastAsiaTheme="minorHAnsi" w:hAnsiTheme="minorHAnsi" w:cstheme="minorBidi"/>
              <w:color w:val="auto"/>
              <w:sz w:val="20"/>
              <w:szCs w:val="22"/>
            </w:rPr>
          </w:pPr>
        </w:p>
        <w:p w:rsidR="00EF7044" w:rsidRDefault="00B578E1">
          <w:pPr>
            <w:pStyle w:val="TOC1"/>
            <w:rPr>
              <w:rFonts w:asciiTheme="minorHAnsi" w:eastAsiaTheme="minorEastAsia" w:hAnsiTheme="minorHAnsi" w:cstheme="minorBidi"/>
              <w:b w:val="0"/>
              <w:caps w:val="0"/>
              <w:color w:val="auto"/>
              <w:sz w:val="22"/>
              <w:szCs w:val="22"/>
            </w:rPr>
          </w:pPr>
          <w:r>
            <w:rPr>
              <w:rFonts w:cs="Times New Roman"/>
              <w:sz w:val="20"/>
            </w:rPr>
            <w:fldChar w:fldCharType="begin"/>
          </w:r>
          <w:r>
            <w:rPr>
              <w:rFonts w:cs="Times New Roman"/>
              <w:sz w:val="20"/>
            </w:rPr>
            <w:instrText xml:space="preserve"> TOC \o "1-2" \h \z \u </w:instrText>
          </w:r>
          <w:r>
            <w:rPr>
              <w:rFonts w:cs="Times New Roman"/>
              <w:sz w:val="20"/>
            </w:rPr>
            <w:fldChar w:fldCharType="separate"/>
          </w:r>
          <w:hyperlink w:anchor="_Toc516132491" w:history="1">
            <w:r w:rsidRPr="007B7A8E">
              <w:rPr>
                <w:rStyle w:val="Hyperlink"/>
              </w:rPr>
              <w:t>DATA SHEET</w:t>
            </w:r>
            <w:r>
              <w:rPr>
                <w:webHidden/>
              </w:rPr>
              <w:tab/>
            </w:r>
            <w:r>
              <w:rPr>
                <w:webHidden/>
              </w:rPr>
              <w:fldChar w:fldCharType="begin"/>
            </w:r>
            <w:r>
              <w:rPr>
                <w:webHidden/>
              </w:rPr>
              <w:instrText xml:space="preserve"> PAGEREF _Toc516132491 \h </w:instrText>
            </w:r>
            <w:r>
              <w:rPr>
                <w:webHidden/>
              </w:rPr>
            </w:r>
            <w:r>
              <w:rPr>
                <w:webHidden/>
              </w:rPr>
              <w:fldChar w:fldCharType="separate"/>
            </w:r>
            <w:r>
              <w:rPr>
                <w:webHidden/>
              </w:rPr>
              <w:t>4</w:t>
            </w:r>
            <w:r>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492" w:history="1">
            <w:r w:rsidR="00B578E1" w:rsidRPr="007B7A8E">
              <w:rPr>
                <w:rStyle w:val="Hyperlink"/>
              </w:rPr>
              <w:t>I.</w:t>
            </w:r>
            <w:r w:rsidR="00B578E1">
              <w:rPr>
                <w:rFonts w:asciiTheme="minorHAnsi" w:eastAsiaTheme="minorEastAsia" w:hAnsiTheme="minorHAnsi" w:cstheme="minorBidi"/>
                <w:b w:val="0"/>
                <w:caps w:val="0"/>
                <w:color w:val="auto"/>
                <w:sz w:val="22"/>
                <w:szCs w:val="22"/>
              </w:rPr>
              <w:tab/>
            </w:r>
            <w:r w:rsidR="00B578E1" w:rsidRPr="007B7A8E">
              <w:rPr>
                <w:rStyle w:val="Hyperlink"/>
              </w:rPr>
              <w:t>PROJECT CONTEXT AND DEVELOPMENT OBJECTIVES</w:t>
            </w:r>
            <w:r w:rsidR="00B578E1">
              <w:rPr>
                <w:webHidden/>
              </w:rPr>
              <w:tab/>
            </w:r>
            <w:r w:rsidR="00B578E1">
              <w:rPr>
                <w:webHidden/>
              </w:rPr>
              <w:fldChar w:fldCharType="begin"/>
            </w:r>
            <w:r w:rsidR="00B578E1">
              <w:rPr>
                <w:webHidden/>
              </w:rPr>
              <w:instrText xml:space="preserve"> PAGEREF _Toc516132492 \h </w:instrText>
            </w:r>
            <w:r w:rsidR="00B578E1">
              <w:rPr>
                <w:webHidden/>
              </w:rPr>
            </w:r>
            <w:r w:rsidR="00B578E1">
              <w:rPr>
                <w:webHidden/>
              </w:rPr>
              <w:fldChar w:fldCharType="separate"/>
            </w:r>
            <w:r w:rsidR="00B578E1">
              <w:rPr>
                <w:webHidden/>
              </w:rPr>
              <w:t>8</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3" w:history="1">
            <w:r w:rsidR="00B578E1" w:rsidRPr="007B7A8E">
              <w:rPr>
                <w:rStyle w:val="Hyperlink"/>
              </w:rPr>
              <w:t>A. CONTEXT AT APPRAISAL</w:t>
            </w:r>
            <w:r w:rsidR="00B578E1">
              <w:rPr>
                <w:webHidden/>
              </w:rPr>
              <w:tab/>
            </w:r>
            <w:r w:rsidR="00B578E1">
              <w:rPr>
                <w:webHidden/>
              </w:rPr>
              <w:fldChar w:fldCharType="begin"/>
            </w:r>
            <w:r w:rsidR="00B578E1">
              <w:rPr>
                <w:webHidden/>
              </w:rPr>
              <w:instrText xml:space="preserve"> PAGEREF _Toc516132493 \h </w:instrText>
            </w:r>
            <w:r w:rsidR="00B578E1">
              <w:rPr>
                <w:webHidden/>
              </w:rPr>
            </w:r>
            <w:r w:rsidR="00B578E1">
              <w:rPr>
                <w:webHidden/>
              </w:rPr>
              <w:fldChar w:fldCharType="separate"/>
            </w:r>
            <w:r w:rsidR="00B578E1">
              <w:rPr>
                <w:webHidden/>
              </w:rPr>
              <w:t>8</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4" w:history="1">
            <w:r w:rsidR="00B578E1" w:rsidRPr="007B7A8E">
              <w:rPr>
                <w:rStyle w:val="Hyperlink"/>
              </w:rPr>
              <w:t>B. SIGNIFICANT CHANGES DURING IMPLEMENTATION (IF APPLICABLE)</w:t>
            </w:r>
            <w:r w:rsidR="00B578E1">
              <w:rPr>
                <w:webHidden/>
              </w:rPr>
              <w:tab/>
            </w:r>
            <w:r w:rsidR="00B578E1">
              <w:rPr>
                <w:webHidden/>
              </w:rPr>
              <w:fldChar w:fldCharType="begin"/>
            </w:r>
            <w:r w:rsidR="00B578E1">
              <w:rPr>
                <w:webHidden/>
              </w:rPr>
              <w:instrText xml:space="preserve"> PAGEREF _Toc516132494 \h </w:instrText>
            </w:r>
            <w:r w:rsidR="00B578E1">
              <w:rPr>
                <w:webHidden/>
              </w:rPr>
            </w:r>
            <w:r w:rsidR="00B578E1">
              <w:rPr>
                <w:webHidden/>
              </w:rPr>
              <w:fldChar w:fldCharType="separate"/>
            </w:r>
            <w:r w:rsidR="00B578E1">
              <w:rPr>
                <w:webHidden/>
              </w:rPr>
              <w:t>13</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495" w:history="1">
            <w:r w:rsidR="00B578E1" w:rsidRPr="007B7A8E">
              <w:rPr>
                <w:rStyle w:val="Hyperlink"/>
              </w:rPr>
              <w:t>II.</w:t>
            </w:r>
            <w:r w:rsidR="00B578E1">
              <w:rPr>
                <w:rFonts w:asciiTheme="minorHAnsi" w:eastAsiaTheme="minorEastAsia" w:hAnsiTheme="minorHAnsi" w:cstheme="minorBidi"/>
                <w:b w:val="0"/>
                <w:caps w:val="0"/>
                <w:color w:val="auto"/>
                <w:sz w:val="22"/>
                <w:szCs w:val="22"/>
              </w:rPr>
              <w:tab/>
            </w:r>
            <w:r w:rsidR="00B578E1" w:rsidRPr="007B7A8E">
              <w:rPr>
                <w:rStyle w:val="Hyperlink"/>
              </w:rPr>
              <w:t>OUTCOMES</w:t>
            </w:r>
            <w:r w:rsidR="00B578E1">
              <w:rPr>
                <w:webHidden/>
              </w:rPr>
              <w:tab/>
            </w:r>
            <w:r w:rsidR="00B578E1">
              <w:rPr>
                <w:webHidden/>
              </w:rPr>
              <w:fldChar w:fldCharType="begin"/>
            </w:r>
            <w:r w:rsidR="00B578E1">
              <w:rPr>
                <w:webHidden/>
              </w:rPr>
              <w:instrText xml:space="preserve"> PAGEREF _Toc516132495 \h </w:instrText>
            </w:r>
            <w:r w:rsidR="00B578E1">
              <w:rPr>
                <w:webHidden/>
              </w:rPr>
            </w:r>
            <w:r w:rsidR="00B578E1">
              <w:rPr>
                <w:webHidden/>
              </w:rPr>
              <w:fldChar w:fldCharType="separate"/>
            </w:r>
            <w:r w:rsidR="00B578E1">
              <w:rPr>
                <w:webHidden/>
              </w:rPr>
              <w:t>14</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6" w:history="1">
            <w:r w:rsidR="00B578E1" w:rsidRPr="007B7A8E">
              <w:rPr>
                <w:rStyle w:val="Hyperlink"/>
              </w:rPr>
              <w:t>A. RELEVANCE OF PDOs</w:t>
            </w:r>
            <w:r w:rsidR="00B578E1">
              <w:rPr>
                <w:webHidden/>
              </w:rPr>
              <w:tab/>
            </w:r>
            <w:r w:rsidR="00B578E1">
              <w:rPr>
                <w:webHidden/>
              </w:rPr>
              <w:fldChar w:fldCharType="begin"/>
            </w:r>
            <w:r w:rsidR="00B578E1">
              <w:rPr>
                <w:webHidden/>
              </w:rPr>
              <w:instrText xml:space="preserve"> PAGEREF _Toc516132496 \h </w:instrText>
            </w:r>
            <w:r w:rsidR="00B578E1">
              <w:rPr>
                <w:webHidden/>
              </w:rPr>
            </w:r>
            <w:r w:rsidR="00B578E1">
              <w:rPr>
                <w:webHidden/>
              </w:rPr>
              <w:fldChar w:fldCharType="separate"/>
            </w:r>
            <w:r w:rsidR="00B578E1">
              <w:rPr>
                <w:webHidden/>
              </w:rPr>
              <w:t>14</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7" w:history="1">
            <w:r w:rsidR="00B578E1" w:rsidRPr="007B7A8E">
              <w:rPr>
                <w:rStyle w:val="Hyperlink"/>
              </w:rPr>
              <w:t>B. ACHIEVEMENT OF PDOs (EFFICACY)</w:t>
            </w:r>
            <w:r w:rsidR="00B578E1">
              <w:rPr>
                <w:webHidden/>
              </w:rPr>
              <w:tab/>
            </w:r>
            <w:r w:rsidR="00B578E1">
              <w:rPr>
                <w:webHidden/>
              </w:rPr>
              <w:fldChar w:fldCharType="begin"/>
            </w:r>
            <w:r w:rsidR="00B578E1">
              <w:rPr>
                <w:webHidden/>
              </w:rPr>
              <w:instrText xml:space="preserve"> PAGEREF _Toc516132497 \h </w:instrText>
            </w:r>
            <w:r w:rsidR="00B578E1">
              <w:rPr>
                <w:webHidden/>
              </w:rPr>
            </w:r>
            <w:r w:rsidR="00B578E1">
              <w:rPr>
                <w:webHidden/>
              </w:rPr>
              <w:fldChar w:fldCharType="separate"/>
            </w:r>
            <w:r w:rsidR="00B578E1">
              <w:rPr>
                <w:webHidden/>
              </w:rPr>
              <w:t>15</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8" w:history="1">
            <w:r w:rsidR="00B578E1" w:rsidRPr="007B7A8E">
              <w:rPr>
                <w:rStyle w:val="Hyperlink"/>
              </w:rPr>
              <w:t>C. EFFICIENCY</w:t>
            </w:r>
            <w:r w:rsidR="00B578E1">
              <w:rPr>
                <w:webHidden/>
              </w:rPr>
              <w:tab/>
            </w:r>
            <w:r w:rsidR="00B578E1">
              <w:rPr>
                <w:webHidden/>
              </w:rPr>
              <w:fldChar w:fldCharType="begin"/>
            </w:r>
            <w:r w:rsidR="00B578E1">
              <w:rPr>
                <w:webHidden/>
              </w:rPr>
              <w:instrText xml:space="preserve"> PAGEREF _Toc516132498 \h </w:instrText>
            </w:r>
            <w:r w:rsidR="00B578E1">
              <w:rPr>
                <w:webHidden/>
              </w:rPr>
            </w:r>
            <w:r w:rsidR="00B578E1">
              <w:rPr>
                <w:webHidden/>
              </w:rPr>
              <w:fldChar w:fldCharType="separate"/>
            </w:r>
            <w:r w:rsidR="00B578E1">
              <w:rPr>
                <w:webHidden/>
              </w:rPr>
              <w:t>20</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499" w:history="1">
            <w:r w:rsidR="00B578E1" w:rsidRPr="007B7A8E">
              <w:rPr>
                <w:rStyle w:val="Hyperlink"/>
              </w:rPr>
              <w:t>D. JUSTIFICATION OF OVERALL OUTCOME RATING</w:t>
            </w:r>
            <w:r w:rsidR="00B578E1">
              <w:rPr>
                <w:webHidden/>
              </w:rPr>
              <w:tab/>
            </w:r>
            <w:r w:rsidR="00B578E1">
              <w:rPr>
                <w:webHidden/>
              </w:rPr>
              <w:fldChar w:fldCharType="begin"/>
            </w:r>
            <w:r w:rsidR="00B578E1">
              <w:rPr>
                <w:webHidden/>
              </w:rPr>
              <w:instrText xml:space="preserve"> PAGEREF _Toc516132499 \h </w:instrText>
            </w:r>
            <w:r w:rsidR="00B578E1">
              <w:rPr>
                <w:webHidden/>
              </w:rPr>
            </w:r>
            <w:r w:rsidR="00B578E1">
              <w:rPr>
                <w:webHidden/>
              </w:rPr>
              <w:fldChar w:fldCharType="separate"/>
            </w:r>
            <w:r w:rsidR="00B578E1">
              <w:rPr>
                <w:webHidden/>
              </w:rPr>
              <w:t>22</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0" w:history="1">
            <w:r w:rsidR="00B578E1" w:rsidRPr="007B7A8E">
              <w:rPr>
                <w:rStyle w:val="Hyperlink"/>
              </w:rPr>
              <w:t>E. OTHER OUTCOMES AND IMPACTS (IF ANY)</w:t>
            </w:r>
            <w:r w:rsidR="00B578E1">
              <w:rPr>
                <w:webHidden/>
              </w:rPr>
              <w:tab/>
            </w:r>
            <w:r w:rsidR="00B578E1">
              <w:rPr>
                <w:webHidden/>
              </w:rPr>
              <w:fldChar w:fldCharType="begin"/>
            </w:r>
            <w:r w:rsidR="00B578E1">
              <w:rPr>
                <w:webHidden/>
              </w:rPr>
              <w:instrText xml:space="preserve"> PAGEREF _Toc516132500 \h </w:instrText>
            </w:r>
            <w:r w:rsidR="00B578E1">
              <w:rPr>
                <w:webHidden/>
              </w:rPr>
            </w:r>
            <w:r w:rsidR="00B578E1">
              <w:rPr>
                <w:webHidden/>
              </w:rPr>
              <w:fldChar w:fldCharType="separate"/>
            </w:r>
            <w:r w:rsidR="00B578E1">
              <w:rPr>
                <w:webHidden/>
              </w:rPr>
              <w:t>23</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01" w:history="1">
            <w:r w:rsidR="00B578E1" w:rsidRPr="007B7A8E">
              <w:rPr>
                <w:rStyle w:val="Hyperlink"/>
              </w:rPr>
              <w:t>III.</w:t>
            </w:r>
            <w:r w:rsidR="00B578E1">
              <w:rPr>
                <w:rFonts w:asciiTheme="minorHAnsi" w:eastAsiaTheme="minorEastAsia" w:hAnsiTheme="minorHAnsi" w:cstheme="minorBidi"/>
                <w:b w:val="0"/>
                <w:caps w:val="0"/>
                <w:color w:val="auto"/>
                <w:sz w:val="22"/>
                <w:szCs w:val="22"/>
              </w:rPr>
              <w:tab/>
            </w:r>
            <w:r w:rsidR="00B578E1" w:rsidRPr="007B7A8E">
              <w:rPr>
                <w:rStyle w:val="Hyperlink"/>
              </w:rPr>
              <w:t>KEY FACTORS THAT AFFECTED IMPLEMENTATION AND OUTCOME</w:t>
            </w:r>
            <w:r w:rsidR="00B578E1">
              <w:rPr>
                <w:webHidden/>
              </w:rPr>
              <w:tab/>
            </w:r>
            <w:r w:rsidR="00B578E1">
              <w:rPr>
                <w:webHidden/>
              </w:rPr>
              <w:fldChar w:fldCharType="begin"/>
            </w:r>
            <w:r w:rsidR="00B578E1">
              <w:rPr>
                <w:webHidden/>
              </w:rPr>
              <w:instrText xml:space="preserve"> PAGEREF _Toc516132501 \h </w:instrText>
            </w:r>
            <w:r w:rsidR="00B578E1">
              <w:rPr>
                <w:webHidden/>
              </w:rPr>
            </w:r>
            <w:r w:rsidR="00B578E1">
              <w:rPr>
                <w:webHidden/>
              </w:rPr>
              <w:fldChar w:fldCharType="separate"/>
            </w:r>
            <w:r w:rsidR="00B578E1">
              <w:rPr>
                <w:webHidden/>
              </w:rPr>
              <w:t>24</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2" w:history="1">
            <w:r w:rsidR="00B578E1" w:rsidRPr="007B7A8E">
              <w:rPr>
                <w:rStyle w:val="Hyperlink"/>
              </w:rPr>
              <w:t>A. KEY FACTORS DURING PREPARATION</w:t>
            </w:r>
            <w:r w:rsidR="00B578E1">
              <w:rPr>
                <w:webHidden/>
              </w:rPr>
              <w:tab/>
            </w:r>
            <w:r w:rsidR="00B578E1">
              <w:rPr>
                <w:webHidden/>
              </w:rPr>
              <w:fldChar w:fldCharType="begin"/>
            </w:r>
            <w:r w:rsidR="00B578E1">
              <w:rPr>
                <w:webHidden/>
              </w:rPr>
              <w:instrText xml:space="preserve"> PAGEREF _Toc516132502 \h </w:instrText>
            </w:r>
            <w:r w:rsidR="00B578E1">
              <w:rPr>
                <w:webHidden/>
              </w:rPr>
            </w:r>
            <w:r w:rsidR="00B578E1">
              <w:rPr>
                <w:webHidden/>
              </w:rPr>
              <w:fldChar w:fldCharType="separate"/>
            </w:r>
            <w:r w:rsidR="00B578E1">
              <w:rPr>
                <w:webHidden/>
              </w:rPr>
              <w:t>24</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3" w:history="1">
            <w:r w:rsidR="00B578E1" w:rsidRPr="007B7A8E">
              <w:rPr>
                <w:rStyle w:val="Hyperlink"/>
              </w:rPr>
              <w:t>B. KEY FACTORS DURING IMPLEMENTATION</w:t>
            </w:r>
            <w:r w:rsidR="00B578E1">
              <w:rPr>
                <w:webHidden/>
              </w:rPr>
              <w:tab/>
            </w:r>
            <w:r w:rsidR="00B578E1">
              <w:rPr>
                <w:webHidden/>
              </w:rPr>
              <w:fldChar w:fldCharType="begin"/>
            </w:r>
            <w:r w:rsidR="00B578E1">
              <w:rPr>
                <w:webHidden/>
              </w:rPr>
              <w:instrText xml:space="preserve"> PAGEREF _Toc516132503 \h </w:instrText>
            </w:r>
            <w:r w:rsidR="00B578E1">
              <w:rPr>
                <w:webHidden/>
              </w:rPr>
            </w:r>
            <w:r w:rsidR="00B578E1">
              <w:rPr>
                <w:webHidden/>
              </w:rPr>
              <w:fldChar w:fldCharType="separate"/>
            </w:r>
            <w:r w:rsidR="00B578E1">
              <w:rPr>
                <w:webHidden/>
              </w:rPr>
              <w:t>24</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04" w:history="1">
            <w:r w:rsidR="00B578E1" w:rsidRPr="007B7A8E">
              <w:rPr>
                <w:rStyle w:val="Hyperlink"/>
              </w:rPr>
              <w:t>IV.</w:t>
            </w:r>
            <w:r w:rsidR="00B578E1">
              <w:rPr>
                <w:rFonts w:asciiTheme="minorHAnsi" w:eastAsiaTheme="minorEastAsia" w:hAnsiTheme="minorHAnsi" w:cstheme="minorBidi"/>
                <w:b w:val="0"/>
                <w:caps w:val="0"/>
                <w:color w:val="auto"/>
                <w:sz w:val="22"/>
                <w:szCs w:val="22"/>
              </w:rPr>
              <w:tab/>
            </w:r>
            <w:r w:rsidR="00B578E1" w:rsidRPr="007B7A8E">
              <w:rPr>
                <w:rStyle w:val="Hyperlink"/>
              </w:rPr>
              <w:t>BANK PERFORMANCE, COMPLIANCE ISSUES, AND RISK TO DEVELOPMENT OUTCOME</w:t>
            </w:r>
            <w:r w:rsidR="00B578E1">
              <w:rPr>
                <w:webHidden/>
              </w:rPr>
              <w:tab/>
            </w:r>
            <w:r w:rsidR="00B578E1">
              <w:rPr>
                <w:webHidden/>
              </w:rPr>
              <w:fldChar w:fldCharType="begin"/>
            </w:r>
            <w:r w:rsidR="00B578E1">
              <w:rPr>
                <w:webHidden/>
              </w:rPr>
              <w:instrText xml:space="preserve"> PAGEREF _Toc516132504 \h </w:instrText>
            </w:r>
            <w:r w:rsidR="00B578E1">
              <w:rPr>
                <w:webHidden/>
              </w:rPr>
            </w:r>
            <w:r w:rsidR="00B578E1">
              <w:rPr>
                <w:webHidden/>
              </w:rPr>
              <w:fldChar w:fldCharType="separate"/>
            </w:r>
            <w:r w:rsidR="00B578E1">
              <w:rPr>
                <w:webHidden/>
              </w:rPr>
              <w:t>25</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5" w:history="1">
            <w:r w:rsidR="00B578E1" w:rsidRPr="007B7A8E">
              <w:rPr>
                <w:rStyle w:val="Hyperlink"/>
              </w:rPr>
              <w:t>A. QUALITY OF MONITORING AND EVALUATION (M&amp;E)</w:t>
            </w:r>
            <w:r w:rsidR="00B578E1">
              <w:rPr>
                <w:webHidden/>
              </w:rPr>
              <w:tab/>
            </w:r>
            <w:r w:rsidR="00B578E1">
              <w:rPr>
                <w:webHidden/>
              </w:rPr>
              <w:fldChar w:fldCharType="begin"/>
            </w:r>
            <w:r w:rsidR="00B578E1">
              <w:rPr>
                <w:webHidden/>
              </w:rPr>
              <w:instrText xml:space="preserve"> PAGEREF _Toc516132505 \h </w:instrText>
            </w:r>
            <w:r w:rsidR="00B578E1">
              <w:rPr>
                <w:webHidden/>
              </w:rPr>
            </w:r>
            <w:r w:rsidR="00B578E1">
              <w:rPr>
                <w:webHidden/>
              </w:rPr>
              <w:fldChar w:fldCharType="separate"/>
            </w:r>
            <w:r w:rsidR="00B578E1">
              <w:rPr>
                <w:webHidden/>
              </w:rPr>
              <w:t>25</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6" w:history="1">
            <w:r w:rsidR="00B578E1" w:rsidRPr="007B7A8E">
              <w:rPr>
                <w:rStyle w:val="Hyperlink"/>
              </w:rPr>
              <w:t>B. ENVIRONMENTAL, SOCIAL, AND FIDUCIARY COMPLIANCE</w:t>
            </w:r>
            <w:r w:rsidR="00B578E1">
              <w:rPr>
                <w:webHidden/>
              </w:rPr>
              <w:tab/>
            </w:r>
            <w:r w:rsidR="00B578E1">
              <w:rPr>
                <w:webHidden/>
              </w:rPr>
              <w:fldChar w:fldCharType="begin"/>
            </w:r>
            <w:r w:rsidR="00B578E1">
              <w:rPr>
                <w:webHidden/>
              </w:rPr>
              <w:instrText xml:space="preserve"> PAGEREF _Toc516132506 \h </w:instrText>
            </w:r>
            <w:r w:rsidR="00B578E1">
              <w:rPr>
                <w:webHidden/>
              </w:rPr>
            </w:r>
            <w:r w:rsidR="00B578E1">
              <w:rPr>
                <w:webHidden/>
              </w:rPr>
              <w:fldChar w:fldCharType="separate"/>
            </w:r>
            <w:r w:rsidR="00B578E1">
              <w:rPr>
                <w:webHidden/>
              </w:rPr>
              <w:t>26</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7" w:history="1">
            <w:r w:rsidR="00B578E1" w:rsidRPr="007B7A8E">
              <w:rPr>
                <w:rStyle w:val="Hyperlink"/>
              </w:rPr>
              <w:t>C. BANK PERFORMANCE</w:t>
            </w:r>
            <w:r w:rsidR="00B578E1">
              <w:rPr>
                <w:webHidden/>
              </w:rPr>
              <w:tab/>
            </w:r>
            <w:r w:rsidR="00B578E1">
              <w:rPr>
                <w:webHidden/>
              </w:rPr>
              <w:fldChar w:fldCharType="begin"/>
            </w:r>
            <w:r w:rsidR="00B578E1">
              <w:rPr>
                <w:webHidden/>
              </w:rPr>
              <w:instrText xml:space="preserve"> PAGEREF _Toc516132507 \h </w:instrText>
            </w:r>
            <w:r w:rsidR="00B578E1">
              <w:rPr>
                <w:webHidden/>
              </w:rPr>
            </w:r>
            <w:r w:rsidR="00B578E1">
              <w:rPr>
                <w:webHidden/>
              </w:rPr>
              <w:fldChar w:fldCharType="separate"/>
            </w:r>
            <w:r w:rsidR="00B578E1">
              <w:rPr>
                <w:webHidden/>
              </w:rPr>
              <w:t>26</w:t>
            </w:r>
            <w:r w:rsidR="00B578E1">
              <w:rPr>
                <w:webHidden/>
              </w:rPr>
              <w:fldChar w:fldCharType="end"/>
            </w:r>
          </w:hyperlink>
        </w:p>
        <w:p w:rsidR="00EF7044" w:rsidRDefault="000636D9">
          <w:pPr>
            <w:pStyle w:val="TOC2"/>
            <w:rPr>
              <w:rFonts w:asciiTheme="minorHAnsi" w:hAnsiTheme="minorHAnsi" w:cstheme="minorBidi"/>
              <w:b w:val="0"/>
              <w:bCs w:val="0"/>
              <w:szCs w:val="22"/>
            </w:rPr>
          </w:pPr>
          <w:hyperlink w:anchor="_Toc516132508" w:history="1">
            <w:r w:rsidR="00B578E1" w:rsidRPr="007B7A8E">
              <w:rPr>
                <w:rStyle w:val="Hyperlink"/>
              </w:rPr>
              <w:t>D. RISK TO DEVELOPMENT OUTCOME</w:t>
            </w:r>
            <w:r w:rsidR="00B578E1">
              <w:rPr>
                <w:webHidden/>
              </w:rPr>
              <w:tab/>
            </w:r>
            <w:r w:rsidR="00B578E1">
              <w:rPr>
                <w:webHidden/>
              </w:rPr>
              <w:fldChar w:fldCharType="begin"/>
            </w:r>
            <w:r w:rsidR="00B578E1">
              <w:rPr>
                <w:webHidden/>
              </w:rPr>
              <w:instrText xml:space="preserve"> PAGEREF _Toc516132508 \h </w:instrText>
            </w:r>
            <w:r w:rsidR="00B578E1">
              <w:rPr>
                <w:webHidden/>
              </w:rPr>
            </w:r>
            <w:r w:rsidR="00B578E1">
              <w:rPr>
                <w:webHidden/>
              </w:rPr>
              <w:fldChar w:fldCharType="separate"/>
            </w:r>
            <w:r w:rsidR="00B578E1">
              <w:rPr>
                <w:webHidden/>
              </w:rPr>
              <w:t>27</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09" w:history="1">
            <w:r w:rsidR="00B578E1" w:rsidRPr="007B7A8E">
              <w:rPr>
                <w:rStyle w:val="Hyperlink"/>
              </w:rPr>
              <w:t>V.</w:t>
            </w:r>
            <w:r w:rsidR="00B578E1">
              <w:rPr>
                <w:rFonts w:asciiTheme="minorHAnsi" w:eastAsiaTheme="minorEastAsia" w:hAnsiTheme="minorHAnsi" w:cstheme="minorBidi"/>
                <w:b w:val="0"/>
                <w:caps w:val="0"/>
                <w:color w:val="auto"/>
                <w:sz w:val="22"/>
                <w:szCs w:val="22"/>
              </w:rPr>
              <w:tab/>
            </w:r>
            <w:r w:rsidR="00B578E1" w:rsidRPr="007B7A8E">
              <w:rPr>
                <w:rStyle w:val="Hyperlink"/>
              </w:rPr>
              <w:t>LESSONS AND RECOMMENDATIONS</w:t>
            </w:r>
            <w:r w:rsidR="00B578E1">
              <w:rPr>
                <w:webHidden/>
              </w:rPr>
              <w:tab/>
            </w:r>
            <w:r w:rsidR="00B578E1">
              <w:rPr>
                <w:webHidden/>
              </w:rPr>
              <w:fldChar w:fldCharType="begin"/>
            </w:r>
            <w:r w:rsidR="00B578E1">
              <w:rPr>
                <w:webHidden/>
              </w:rPr>
              <w:instrText xml:space="preserve"> PAGEREF _Toc516132509 \h </w:instrText>
            </w:r>
            <w:r w:rsidR="00B578E1">
              <w:rPr>
                <w:webHidden/>
              </w:rPr>
            </w:r>
            <w:r w:rsidR="00B578E1">
              <w:rPr>
                <w:webHidden/>
              </w:rPr>
              <w:fldChar w:fldCharType="separate"/>
            </w:r>
            <w:r w:rsidR="00B578E1">
              <w:rPr>
                <w:webHidden/>
              </w:rPr>
              <w:t>28</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0" w:history="1">
            <w:r w:rsidR="00B578E1" w:rsidRPr="007B7A8E">
              <w:rPr>
                <w:rStyle w:val="Hyperlink"/>
              </w:rPr>
              <w:t>ANNEX 1. RESULTS FRAMEWORK AND KEY OUTPUTS</w:t>
            </w:r>
            <w:r w:rsidR="00B578E1">
              <w:rPr>
                <w:webHidden/>
              </w:rPr>
              <w:tab/>
            </w:r>
            <w:r w:rsidR="00B578E1">
              <w:rPr>
                <w:webHidden/>
              </w:rPr>
              <w:fldChar w:fldCharType="begin"/>
            </w:r>
            <w:r w:rsidR="00B578E1">
              <w:rPr>
                <w:webHidden/>
              </w:rPr>
              <w:instrText xml:space="preserve"> PAGEREF _Toc516132510 \h </w:instrText>
            </w:r>
            <w:r w:rsidR="00B578E1">
              <w:rPr>
                <w:webHidden/>
              </w:rPr>
            </w:r>
            <w:r w:rsidR="00B578E1">
              <w:rPr>
                <w:webHidden/>
              </w:rPr>
              <w:fldChar w:fldCharType="separate"/>
            </w:r>
            <w:r w:rsidR="00B578E1">
              <w:rPr>
                <w:webHidden/>
              </w:rPr>
              <w:t>29</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1" w:history="1">
            <w:r w:rsidR="00B578E1" w:rsidRPr="007B7A8E">
              <w:rPr>
                <w:rStyle w:val="Hyperlink"/>
              </w:rPr>
              <w:t>ANNEX 2. BANK LENDING AND IMPLEMENTATION SUPPORT/SUPERVISION</w:t>
            </w:r>
            <w:r w:rsidR="00B578E1">
              <w:rPr>
                <w:webHidden/>
              </w:rPr>
              <w:tab/>
            </w:r>
            <w:r w:rsidR="00B578E1">
              <w:rPr>
                <w:webHidden/>
              </w:rPr>
              <w:fldChar w:fldCharType="begin"/>
            </w:r>
            <w:r w:rsidR="00B578E1">
              <w:rPr>
                <w:webHidden/>
              </w:rPr>
              <w:instrText xml:space="preserve"> PAGEREF _Toc516132511 \h </w:instrText>
            </w:r>
            <w:r w:rsidR="00B578E1">
              <w:rPr>
                <w:webHidden/>
              </w:rPr>
            </w:r>
            <w:r w:rsidR="00B578E1">
              <w:rPr>
                <w:webHidden/>
              </w:rPr>
              <w:fldChar w:fldCharType="separate"/>
            </w:r>
            <w:r w:rsidR="00B578E1">
              <w:rPr>
                <w:webHidden/>
              </w:rPr>
              <w:t>46</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2" w:history="1">
            <w:r w:rsidR="00B578E1" w:rsidRPr="007B7A8E">
              <w:rPr>
                <w:rStyle w:val="Hyperlink"/>
              </w:rPr>
              <w:t>ANNEX 3. PROJECT COST BY COMPONENT</w:t>
            </w:r>
            <w:r w:rsidR="00B578E1">
              <w:rPr>
                <w:webHidden/>
              </w:rPr>
              <w:tab/>
            </w:r>
            <w:r w:rsidR="00B578E1">
              <w:rPr>
                <w:webHidden/>
              </w:rPr>
              <w:fldChar w:fldCharType="begin"/>
            </w:r>
            <w:r w:rsidR="00B578E1">
              <w:rPr>
                <w:webHidden/>
              </w:rPr>
              <w:instrText xml:space="preserve"> PAGEREF _Toc516132512 \h </w:instrText>
            </w:r>
            <w:r w:rsidR="00B578E1">
              <w:rPr>
                <w:webHidden/>
              </w:rPr>
            </w:r>
            <w:r w:rsidR="00B578E1">
              <w:rPr>
                <w:webHidden/>
              </w:rPr>
              <w:fldChar w:fldCharType="separate"/>
            </w:r>
            <w:r w:rsidR="00B578E1">
              <w:rPr>
                <w:webHidden/>
              </w:rPr>
              <w:t>48</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3" w:history="1">
            <w:r w:rsidR="00B578E1" w:rsidRPr="007B7A8E">
              <w:rPr>
                <w:rStyle w:val="Hyperlink"/>
              </w:rPr>
              <w:t>ANNEX 4. EFFICIENCY ANALYSIS</w:t>
            </w:r>
            <w:r w:rsidR="00B578E1">
              <w:rPr>
                <w:webHidden/>
              </w:rPr>
              <w:tab/>
            </w:r>
            <w:r w:rsidR="00B578E1">
              <w:rPr>
                <w:webHidden/>
              </w:rPr>
              <w:fldChar w:fldCharType="begin"/>
            </w:r>
            <w:r w:rsidR="00B578E1">
              <w:rPr>
                <w:webHidden/>
              </w:rPr>
              <w:instrText xml:space="preserve"> PAGEREF _Toc516132513 \h </w:instrText>
            </w:r>
            <w:r w:rsidR="00B578E1">
              <w:rPr>
                <w:webHidden/>
              </w:rPr>
            </w:r>
            <w:r w:rsidR="00B578E1">
              <w:rPr>
                <w:webHidden/>
              </w:rPr>
              <w:fldChar w:fldCharType="separate"/>
            </w:r>
            <w:r w:rsidR="00B578E1">
              <w:rPr>
                <w:webHidden/>
              </w:rPr>
              <w:t>49</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4" w:history="1">
            <w:r w:rsidR="00B578E1" w:rsidRPr="007B7A8E">
              <w:rPr>
                <w:rStyle w:val="Hyperlink"/>
              </w:rPr>
              <w:t>ANNEX 5. BORROWER, CO-FINANCIER AND OTHER PARTNER/STAKEHOLDER COMMENTS</w:t>
            </w:r>
            <w:r w:rsidR="00B578E1">
              <w:rPr>
                <w:webHidden/>
              </w:rPr>
              <w:tab/>
            </w:r>
            <w:r w:rsidR="00B578E1">
              <w:rPr>
                <w:webHidden/>
              </w:rPr>
              <w:fldChar w:fldCharType="begin"/>
            </w:r>
            <w:r w:rsidR="00B578E1">
              <w:rPr>
                <w:webHidden/>
              </w:rPr>
              <w:instrText xml:space="preserve"> PAGEREF _Toc516132514 \h </w:instrText>
            </w:r>
            <w:r w:rsidR="00B578E1">
              <w:rPr>
                <w:webHidden/>
              </w:rPr>
            </w:r>
            <w:r w:rsidR="00B578E1">
              <w:rPr>
                <w:webHidden/>
              </w:rPr>
              <w:fldChar w:fldCharType="separate"/>
            </w:r>
            <w:r w:rsidR="00B578E1">
              <w:rPr>
                <w:webHidden/>
              </w:rPr>
              <w:t>56</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5" w:history="1">
            <w:r w:rsidR="00B578E1" w:rsidRPr="007B7A8E">
              <w:rPr>
                <w:rStyle w:val="Hyperlink"/>
              </w:rPr>
              <w:t>ANNEX 6. CLIENT ICR REPORT - WATER SECTOR REGULATORY COUNCIL</w:t>
            </w:r>
            <w:r w:rsidR="00B578E1">
              <w:rPr>
                <w:webHidden/>
              </w:rPr>
              <w:tab/>
            </w:r>
            <w:r w:rsidR="00B578E1">
              <w:rPr>
                <w:webHidden/>
              </w:rPr>
              <w:fldChar w:fldCharType="begin"/>
            </w:r>
            <w:r w:rsidR="00B578E1">
              <w:rPr>
                <w:webHidden/>
              </w:rPr>
              <w:instrText xml:space="preserve"> PAGEREF _Toc516132515 \h </w:instrText>
            </w:r>
            <w:r w:rsidR="00B578E1">
              <w:rPr>
                <w:webHidden/>
              </w:rPr>
            </w:r>
            <w:r w:rsidR="00B578E1">
              <w:rPr>
                <w:webHidden/>
              </w:rPr>
              <w:fldChar w:fldCharType="separate"/>
            </w:r>
            <w:r w:rsidR="00B578E1">
              <w:rPr>
                <w:webHidden/>
              </w:rPr>
              <w:t>60</w:t>
            </w:r>
            <w:r w:rsidR="00B578E1">
              <w:rPr>
                <w:webHidden/>
              </w:rPr>
              <w:fldChar w:fldCharType="end"/>
            </w:r>
          </w:hyperlink>
        </w:p>
        <w:p w:rsidR="00EF7044" w:rsidRDefault="000636D9">
          <w:pPr>
            <w:pStyle w:val="TOC1"/>
            <w:rPr>
              <w:rFonts w:asciiTheme="minorHAnsi" w:eastAsiaTheme="minorEastAsia" w:hAnsiTheme="minorHAnsi" w:cstheme="minorBidi"/>
              <w:b w:val="0"/>
              <w:caps w:val="0"/>
              <w:color w:val="auto"/>
              <w:sz w:val="22"/>
              <w:szCs w:val="22"/>
            </w:rPr>
          </w:pPr>
          <w:hyperlink w:anchor="_Toc516132516" w:history="1">
            <w:r w:rsidR="00B578E1" w:rsidRPr="007B7A8E">
              <w:rPr>
                <w:rStyle w:val="Hyperlink"/>
              </w:rPr>
              <w:t>ANNEX 7. CLIENT ICR REPORT - PALESTINIAN WATER AUTHORITY</w:t>
            </w:r>
            <w:r w:rsidR="00B578E1">
              <w:rPr>
                <w:webHidden/>
              </w:rPr>
              <w:tab/>
            </w:r>
            <w:r w:rsidR="00B578E1">
              <w:rPr>
                <w:webHidden/>
              </w:rPr>
              <w:fldChar w:fldCharType="begin"/>
            </w:r>
            <w:r w:rsidR="00B578E1">
              <w:rPr>
                <w:webHidden/>
              </w:rPr>
              <w:instrText xml:space="preserve"> PAGEREF _Toc516132516 \h </w:instrText>
            </w:r>
            <w:r w:rsidR="00B578E1">
              <w:rPr>
                <w:webHidden/>
              </w:rPr>
            </w:r>
            <w:r w:rsidR="00B578E1">
              <w:rPr>
                <w:webHidden/>
              </w:rPr>
              <w:fldChar w:fldCharType="separate"/>
            </w:r>
            <w:r w:rsidR="00B578E1">
              <w:rPr>
                <w:webHidden/>
              </w:rPr>
              <w:t>64</w:t>
            </w:r>
            <w:r w:rsidR="00B578E1">
              <w:rPr>
                <w:webHidden/>
              </w:rPr>
              <w:fldChar w:fldCharType="end"/>
            </w:r>
          </w:hyperlink>
        </w:p>
        <w:p w:rsidR="00A94D95" w:rsidRDefault="00B578E1" w:rsidP="00E5257C">
          <w:pPr>
            <w:rPr>
              <w:rFonts w:ascii="Calibri" w:eastAsia="Times New Roman" w:hAnsi="Calibri" w:cs="Times New Roman"/>
              <w:noProof/>
              <w:sz w:val="20"/>
            </w:rPr>
          </w:pPr>
          <w:r>
            <w:rPr>
              <w:rFonts w:ascii="Calibri" w:eastAsia="Times New Roman" w:hAnsi="Calibri" w:cs="Times New Roman"/>
              <w:noProof/>
              <w:sz w:val="20"/>
            </w:rPr>
            <w:fldChar w:fldCharType="end"/>
          </w:r>
        </w:p>
      </w:sdtContent>
    </w:sdt>
    <w:sdt>
      <w:sdtPr>
        <w:id w:val="626624414"/>
        <w:lock w:val="sdtContentLocked"/>
        <w:placeholder>
          <w:docPart w:val="DB60AA0EC3F04ED1B6BF69E317051BE1"/>
        </w:placeholder>
        <w:showingPlcHdr/>
      </w:sdtPr>
      <w:sdtEndPr/>
      <w:sdtContent>
        <w:p w:rsidR="003615CB" w:rsidRPr="0014533D" w:rsidRDefault="00B578E1" w:rsidP="0014533D">
          <w:pPr>
            <w:pStyle w:val="Normal5"/>
            <w:spacing w:after="0" w:line="14" w:lineRule="exact"/>
            <w:ind w:left="-907"/>
            <w:rPr>
              <w:rFonts w:ascii="Arial" w:eastAsiaTheme="minorEastAsia" w:hAnsi="Arial" w:cs="Arial"/>
              <w:color w:val="000000"/>
              <w:sz w:val="24"/>
              <w:szCs w:val="24"/>
            </w:rPr>
            <w:sectPr w:rsidR="003615CB" w:rsidRPr="0014533D" w:rsidSect="00DF6ADB">
              <w:headerReference w:type="default" r:id="rId13"/>
              <w:footerReference w:type="default" r:id="rId14"/>
              <w:pgSz w:w="12240" w:h="15840"/>
              <w:pgMar w:top="1440" w:right="1440" w:bottom="1440" w:left="1440" w:header="720" w:footer="720" w:gutter="0"/>
              <w:pgNumType w:start="1"/>
              <w:cols w:space="720"/>
              <w:docGrid w:linePitch="360"/>
            </w:sectPr>
          </w:pPr>
          <w:r>
            <w:t xml:space="preserve"> </w:t>
          </w:r>
        </w:p>
      </w:sdtContent>
    </w:sdt>
    <w:p w:rsidR="006F7012" w:rsidRDefault="00B578E1" w:rsidP="0014533D">
      <w:pPr>
        <w:ind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8" style="mso-width-percent:0;mso-width-relative:margin;mso-wrap-distance-bottom:0;mso-wrap-distance-left:9pt;mso-wrap-distance-right:9pt;mso-wrap-distance-top:0;mso-wrap-style:square;position:absolute;visibility:visible;z-index:251667456" from="-73.85pt,11.4pt" to="540.3pt,11.4pt" strokecolor="gray">
                <v:stroke joinstyle="miter" dashstyle="dash" opacity="26214f"/>
              </v:line>
            </w:pict>
          </mc:Fallback>
        </mc:AlternateContent>
      </w:r>
      <w:sdt>
        <w:sdtPr>
          <w:id w:val="495875378"/>
          <w:lock w:val="sdtContentLocked"/>
          <w:placeholder>
            <w:docPart w:val="490D1E9AEDE246E6ABF3999F198C0468"/>
          </w:placeholder>
        </w:sdtPr>
        <w:sdtEndPr/>
        <w:sdtContent>
          <w:r>
            <w:t xml:space="preserve"> </w:t>
          </w:r>
        </w:sdtContent>
      </w:sdt>
    </w:p>
    <w:p w:rsidR="006F7012" w:rsidRPr="00856F5A" w:rsidRDefault="006F7012" w:rsidP="006F7012">
      <w:pPr>
        <w:spacing w:line="14" w:lineRule="exact"/>
        <w:ind w:left="-691" w:right="-518"/>
        <w:rPr>
          <w:rFonts w:asciiTheme="minorHAnsi" w:hAnsiTheme="minorHAnsi"/>
          <w:color w:val="767171" w:themeColor="background2" w:themeShade="80"/>
          <w:sz w:val="22"/>
          <w:szCs w:val="22"/>
        </w:rPr>
      </w:pPr>
    </w:p>
    <w:p w:rsidR="006F7012" w:rsidRDefault="006F7012" w:rsidP="006F7012">
      <w:pPr>
        <w:spacing w:line="14" w:lineRule="exact"/>
        <w:ind w:left="-691" w:right="-518"/>
        <w:rPr>
          <w:rFonts w:asciiTheme="minorHAnsi" w:hAnsiTheme="minorHAnsi"/>
          <w:color w:val="767171" w:themeColor="background2" w:themeShade="80"/>
          <w:sz w:val="22"/>
          <w:szCs w:val="22"/>
        </w:rPr>
      </w:pPr>
    </w:p>
    <w:sdt>
      <w:sdtPr>
        <w:tag w:val="OPS_CORE_DATA_BLOCK"/>
        <w:id w:val="1411901568"/>
        <w:lock w:val="sdtContentLocked"/>
        <w:placeholder>
          <w:docPart w:val="DefaultPlaceholder_22675703"/>
        </w:placeholder>
        <w:group/>
      </w:sdtPr>
      <w:sdtEndPr/>
      <w:sdtContent>
        <w:sdt>
          <w:sdtPr>
            <w:tag w:val="OPS_CORE_SECTION_START_5"/>
            <w:id w:val="2143965350"/>
            <w:lock w:val="sdtContentLocked"/>
            <w:placeholder>
              <w:docPart w:val="C093F2CC829F4C438FE893B2CCAC0B4F"/>
            </w:placeholder>
          </w:sdtPr>
          <w:sdtEndPr/>
          <w:sdtContent>
            <w:p w:rsidR="006F7012" w:rsidRDefault="00B578E1" w:rsidP="006F7012">
              <w:pPr>
                <w:pStyle w:val="Normal3"/>
                <w:spacing w:after="0" w:line="14" w:lineRule="exact"/>
                <w:ind w:left="-691" w:right="-518"/>
              </w:pPr>
              <w:r>
                <w:t xml:space="preserve"> </w:t>
              </w:r>
            </w:p>
          </w:sdtContent>
        </w:sdt>
        <w:p w:rsidR="006F7012" w:rsidRDefault="006F7012" w:rsidP="006F7012">
          <w:pPr>
            <w:pStyle w:val="Normal75"/>
            <w:ind w:left="-691" w:right="-518"/>
            <w:rPr>
              <w:rFonts w:ascii="Calibri" w:hAnsi="Calibri"/>
              <w:color w:val="767171"/>
              <w:sz w:val="22"/>
              <w:szCs w:val="22"/>
            </w:rPr>
          </w:pPr>
        </w:p>
        <w:tbl>
          <w:tblPr>
            <w:tblStyle w:val="TableGrid13"/>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06032A" w:rsidTr="005A32D5">
            <w:trPr>
              <w:trHeight w:val="432"/>
            </w:trPr>
            <w:tc>
              <w:tcPr>
                <w:tcW w:w="10620" w:type="dxa"/>
                <w:shd w:val="clear" w:color="auto" w:fill="F2F7FC"/>
                <w:vAlign w:val="center"/>
              </w:tcPr>
              <w:p w:rsidR="00702394" w:rsidRPr="00C608FA" w:rsidRDefault="00B578E1" w:rsidP="00702394">
                <w:pPr>
                  <w:pStyle w:val="NoSpacing11"/>
                  <w:outlineLvl w:val="0"/>
                  <w:rPr>
                    <w:rFonts w:ascii="Calibri" w:hAnsi="Calibri"/>
                    <w:b/>
                    <w:sz w:val="22"/>
                    <w:szCs w:val="22"/>
                  </w:rPr>
                </w:pPr>
                <w:bookmarkStart w:id="1" w:name="_Toc256000000"/>
                <w:bookmarkStart w:id="2" w:name="_Toc485984566"/>
                <w:r>
                  <w:rPr>
                    <w:rFonts w:ascii="Calibri" w:hAnsi="Calibri"/>
                    <w:b/>
                    <w:sz w:val="22"/>
                    <w:szCs w:val="22"/>
                  </w:rPr>
                  <w:t>DATA</w:t>
                </w:r>
                <w:r w:rsidR="006B7728">
                  <w:rPr>
                    <w:rFonts w:ascii="Calibri" w:hAnsi="Calibri"/>
                    <w:b/>
                    <w:sz w:val="22"/>
                    <w:szCs w:val="22"/>
                  </w:rPr>
                  <w:t xml:space="preserve"> </w:t>
                </w:r>
                <w:r>
                  <w:rPr>
                    <w:rFonts w:ascii="Calibri" w:hAnsi="Calibri"/>
                    <w:b/>
                    <w:sz w:val="22"/>
                    <w:szCs w:val="22"/>
                  </w:rPr>
                  <w:t>SHEET</w:t>
                </w:r>
                <w:bookmarkEnd w:id="1"/>
                <w:bookmarkEnd w:id="2"/>
              </w:p>
            </w:tc>
          </w:tr>
        </w:tbl>
        <w:p w:rsidR="00276C43" w:rsidRDefault="00276C43" w:rsidP="006F7012">
          <w:pPr>
            <w:pStyle w:val="Normal75"/>
            <w:ind w:left="-691" w:right="-518"/>
            <w:rPr>
              <w:rFonts w:ascii="Calibri" w:hAnsi="Calibri"/>
              <w:color w:val="767171"/>
              <w:sz w:val="22"/>
              <w:szCs w:val="22"/>
            </w:rPr>
          </w:pPr>
        </w:p>
        <w:tbl>
          <w:tblPr>
            <w:tblStyle w:val="TableGrid13"/>
            <w:tblW w:w="10620"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firstRow="1" w:lastRow="0" w:firstColumn="1" w:lastColumn="0" w:noHBand="0" w:noVBand="1"/>
          </w:tblPr>
          <w:tblGrid>
            <w:gridCol w:w="10620"/>
          </w:tblGrid>
          <w:tr w:rsidR="0006032A" w:rsidTr="008B685B">
            <w:trPr>
              <w:trHeight w:val="378"/>
            </w:trPr>
            <w:tc>
              <w:tcPr>
                <w:tcW w:w="10620" w:type="dxa"/>
                <w:shd w:val="clear" w:color="auto" w:fill="E7E6E6"/>
                <w:vAlign w:val="center"/>
                <w:hideMark/>
              </w:tcPr>
              <w:p w:rsidR="006F7012" w:rsidRPr="00656279" w:rsidRDefault="00B578E1" w:rsidP="008B685B">
                <w:pPr>
                  <w:pStyle w:val="Normal75"/>
                </w:pPr>
                <w:r w:rsidRPr="007D4E7E">
                  <w:rPr>
                    <w:rFonts w:ascii="Calibri" w:hAnsi="Calibri"/>
                    <w:b/>
                    <w:bCs/>
                    <w:sz w:val="22"/>
                    <w:szCs w:val="22"/>
                  </w:rPr>
                  <w:t>BASIC INFORMATION</w:t>
                </w:r>
              </w:p>
            </w:tc>
          </w:tr>
        </w:tbl>
        <w:p w:rsidR="006F7012" w:rsidRDefault="006F7012" w:rsidP="006F7012">
          <w:pPr>
            <w:pStyle w:val="Normal75"/>
            <w:shd w:val="clear" w:color="auto" w:fill="F7F7F7"/>
            <w:ind w:left="-691" w:right="-518"/>
            <w:rPr>
              <w:rFonts w:ascii="Calibri" w:hAnsi="Calibri"/>
              <w:noProof/>
              <w:sz w:val="22"/>
              <w:szCs w:val="22"/>
            </w:rPr>
          </w:pPr>
        </w:p>
        <w:tbl>
          <w:tblPr>
            <w:tblStyle w:val="TableGrid13"/>
            <w:tblW w:w="10602" w:type="dxa"/>
            <w:tblInd w:w="-702" w:type="dxa"/>
            <w:shd w:val="clear" w:color="auto" w:fill="F7F7F7"/>
            <w:tblLayout w:type="fixed"/>
            <w:tblLook w:val="04A0" w:firstRow="1" w:lastRow="0" w:firstColumn="1" w:lastColumn="0" w:noHBand="0" w:noVBand="1"/>
          </w:tblPr>
          <w:tblGrid>
            <w:gridCol w:w="10602"/>
          </w:tblGrid>
          <w:tr w:rsidR="0006032A" w:rsidTr="008B685B">
            <w:trPr>
              <w:trHeight w:val="117"/>
            </w:trPr>
            <w:tc>
              <w:tcPr>
                <w:tcW w:w="10602" w:type="dxa"/>
                <w:tcBorders>
                  <w:top w:val="nil"/>
                  <w:left w:val="nil"/>
                  <w:bottom w:val="nil"/>
                  <w:right w:val="nil"/>
                </w:tcBorders>
                <w:shd w:val="clear" w:color="auto" w:fill="F7F7F7"/>
                <w:hideMark/>
              </w:tcPr>
              <w:p w:rsidR="006F7012" w:rsidRDefault="00B578E1" w:rsidP="008B685B">
                <w:pPr>
                  <w:pStyle w:val="Normal75"/>
                  <w:keepNext/>
                  <w:widowControl/>
                  <w:shd w:val="clear" w:color="auto" w:fill="F7F7F7"/>
                  <w:tabs>
                    <w:tab w:val="left" w:pos="3709"/>
                  </w:tabs>
                  <w:rPr>
                    <w:rFonts w:ascii="Calibri" w:hAnsi="Calibri"/>
                    <w:b/>
                    <w:color w:val="172D5F"/>
                    <w:sz w:val="22"/>
                    <w:szCs w:val="22"/>
                  </w:rPr>
                </w:pPr>
                <w:r w:rsidRPr="00D825D9">
                  <w:rPr>
                    <w:rFonts w:ascii="Calibri" w:hAnsi="Calibri"/>
                    <w:b/>
                    <w:color w:val="172D5F"/>
                    <w:sz w:val="22"/>
                    <w:szCs w:val="22"/>
                  </w:rPr>
                  <w:t>Product Information</w:t>
                </w:r>
              </w:p>
            </w:tc>
          </w:tr>
        </w:tbl>
        <w:tbl>
          <w:tblPr>
            <w:tblW w:w="10620" w:type="dxa"/>
            <w:tblInd w:w="-720" w:type="dxa"/>
            <w:shd w:val="clear" w:color="auto" w:fill="F7F7F7"/>
            <w:tblLayout w:type="fixed"/>
            <w:tblCellMar>
              <w:left w:w="115" w:type="dxa"/>
              <w:right w:w="115" w:type="dxa"/>
            </w:tblCellMar>
            <w:tblLook w:val="04A0" w:firstRow="1" w:lastRow="0" w:firstColumn="1" w:lastColumn="0" w:noHBand="0" w:noVBand="1"/>
          </w:tblPr>
          <w:tblGrid>
            <w:gridCol w:w="5220"/>
            <w:gridCol w:w="5400"/>
          </w:tblGrid>
          <w:tr w:rsidR="0006032A" w:rsidTr="008B685B">
            <w:trPr>
              <w:trHeight w:val="374"/>
            </w:trPr>
            <w:tc>
              <w:tcPr>
                <w:tcW w:w="5220" w:type="dxa"/>
                <w:tcBorders>
                  <w:top w:val="single" w:sz="4" w:space="0" w:color="D0CECE"/>
                  <w:righ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14" w:hanging="14"/>
                  <w:rPr>
                    <w:rFonts w:ascii="Calibri" w:eastAsia="Calibri" w:hAnsi="Calibri" w:cs="Times New Roman"/>
                    <w:color w:val="767171"/>
                    <w:sz w:val="22"/>
                    <w:szCs w:val="22"/>
                  </w:rPr>
                </w:pPr>
                <w:r w:rsidRPr="00D825D9">
                  <w:rPr>
                    <w:rFonts w:ascii="Calibri" w:eastAsia="Calibri" w:hAnsi="Calibri" w:cs="Times New Roman"/>
                    <w:color w:val="767171"/>
                    <w:sz w:val="22"/>
                    <w:szCs w:val="22"/>
                  </w:rPr>
                  <w:t>Project ID</w:t>
                </w:r>
              </w:p>
            </w:tc>
            <w:tc>
              <w:tcPr>
                <w:tcW w:w="5400" w:type="dxa"/>
                <w:tcBorders>
                  <w:top w:val="single" w:sz="4" w:space="0" w:color="D0CECE"/>
                  <w:lef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86" w:hanging="14"/>
                  <w:rPr>
                    <w:rFonts w:ascii="Calibri" w:eastAsia="Calibri" w:hAnsi="Calibri" w:cs="Times New Roman"/>
                    <w:color w:val="767171"/>
                    <w:sz w:val="22"/>
                    <w:szCs w:val="22"/>
                  </w:rPr>
                </w:pPr>
                <w:r w:rsidRPr="00D825D9">
                  <w:rPr>
                    <w:rFonts w:ascii="Calibri" w:eastAsia="Calibri" w:hAnsi="Calibri" w:cs="Times New Roman"/>
                    <w:color w:val="767171"/>
                    <w:sz w:val="22"/>
                    <w:szCs w:val="22"/>
                  </w:rPr>
                  <w:t>Project Name</w:t>
                </w:r>
              </w:p>
            </w:tc>
          </w:tr>
          <w:tr w:rsidR="0006032A" w:rsidTr="008B685B">
            <w:trPr>
              <w:trHeight w:val="432"/>
            </w:trPr>
            <w:tc>
              <w:tcPr>
                <w:tcW w:w="5220" w:type="dxa"/>
                <w:tcBorders>
                  <w:bottom w:val="single" w:sz="4" w:space="0" w:color="D0CECE"/>
                  <w:right w:val="single" w:sz="4" w:space="0" w:color="D0CECE"/>
                </w:tcBorders>
                <w:shd w:val="clear" w:color="auto" w:fill="F7F7F7"/>
                <w:vAlign w:val="center"/>
              </w:tcPr>
              <w:p w:rsidR="006F7012" w:rsidRPr="00C07877" w:rsidRDefault="00B578E1" w:rsidP="008B685B">
                <w:pPr>
                  <w:pStyle w:val="Normal75"/>
                  <w:widowControl/>
                  <w:autoSpaceDE/>
                  <w:autoSpaceDN/>
                  <w:adjustRightInd/>
                  <w:spacing w:after="160" w:line="259" w:lineRule="auto"/>
                  <w:ind w:left="14"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P117443</w:t>
                </w:r>
              </w:p>
            </w:tc>
            <w:tc>
              <w:tcPr>
                <w:tcW w:w="5400" w:type="dxa"/>
                <w:tcBorders>
                  <w:left w:val="single" w:sz="4" w:space="0" w:color="D0CECE"/>
                  <w:bottom w:val="single" w:sz="4" w:space="0" w:color="D0CECE"/>
                </w:tcBorders>
                <w:shd w:val="clear" w:color="auto" w:fill="F7F7F7"/>
                <w:vAlign w:val="center"/>
              </w:tcPr>
              <w:p w:rsidR="006F7012" w:rsidRPr="00C07877" w:rsidRDefault="00B578E1" w:rsidP="008B685B">
                <w:pPr>
                  <w:pStyle w:val="Normal75"/>
                  <w:widowControl/>
                  <w:autoSpaceDE/>
                  <w:autoSpaceDN/>
                  <w:adjustRightInd/>
                  <w:spacing w:after="160" w:line="259" w:lineRule="auto"/>
                  <w:ind w:left="110"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GZ-Water Sector Capacity Building</w:t>
                </w:r>
              </w:p>
            </w:tc>
          </w:tr>
          <w:tr w:rsidR="0006032A" w:rsidTr="008B685B">
            <w:trPr>
              <w:trHeight w:val="432"/>
            </w:trPr>
            <w:tc>
              <w:tcPr>
                <w:tcW w:w="5220" w:type="dxa"/>
                <w:tcBorders>
                  <w:top w:val="single" w:sz="4" w:space="0" w:color="D0CECE"/>
                  <w:righ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14" w:hanging="14"/>
                  <w:rPr>
                    <w:rFonts w:ascii="Calibri" w:eastAsia="Calibri" w:hAnsi="Calibri" w:cs="Times New Roman"/>
                    <w:color w:val="767171"/>
                    <w:sz w:val="22"/>
                    <w:szCs w:val="22"/>
                  </w:rPr>
                </w:pPr>
                <w:r w:rsidRPr="00D825D9">
                  <w:rPr>
                    <w:rFonts w:ascii="Calibri" w:eastAsia="Calibri" w:hAnsi="Calibri" w:cs="Times New Roman"/>
                    <w:color w:val="767171"/>
                    <w:sz w:val="22"/>
                    <w:szCs w:val="22"/>
                  </w:rPr>
                  <w:t>Country</w:t>
                </w:r>
              </w:p>
            </w:tc>
            <w:tc>
              <w:tcPr>
                <w:tcW w:w="5400" w:type="dxa"/>
                <w:tcBorders>
                  <w:top w:val="single" w:sz="4" w:space="0" w:color="D0CECE"/>
                  <w:lef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86" w:hanging="14"/>
                  <w:rPr>
                    <w:rFonts w:ascii="Calibri" w:eastAsia="Calibri" w:hAnsi="Calibri" w:cs="Times New Roman"/>
                    <w:color w:val="767171"/>
                    <w:sz w:val="22"/>
                    <w:szCs w:val="22"/>
                  </w:rPr>
                </w:pPr>
                <w:r w:rsidRPr="00AA1FB9">
                  <w:rPr>
                    <w:rFonts w:ascii="Calibri" w:eastAsia="Calibri" w:hAnsi="Calibri" w:cs="Times New Roman"/>
                    <w:color w:val="767171"/>
                    <w:sz w:val="22"/>
                    <w:szCs w:val="22"/>
                  </w:rPr>
                  <w:t>Financing Instrument</w:t>
                </w:r>
              </w:p>
            </w:tc>
          </w:tr>
          <w:tr w:rsidR="0006032A" w:rsidTr="008B685B">
            <w:trPr>
              <w:trHeight w:val="432"/>
            </w:trPr>
            <w:tc>
              <w:tcPr>
                <w:tcW w:w="5220" w:type="dxa"/>
                <w:tcBorders>
                  <w:bottom w:val="single" w:sz="4" w:space="0" w:color="D0CECE"/>
                  <w:righ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14" w:hanging="14"/>
                  <w:rPr>
                    <w:rFonts w:ascii="Calibri" w:eastAsia="Calibri" w:hAnsi="Calibri" w:cs="Times New Roman"/>
                    <w:noProof/>
                    <w:color w:val="auto"/>
                    <w:sz w:val="22"/>
                    <w:szCs w:val="22"/>
                  </w:rPr>
                </w:pPr>
                <w:r w:rsidRPr="00360093">
                  <w:rPr>
                    <w:rFonts w:ascii="Calibri" w:eastAsia="Calibri" w:hAnsi="Calibri" w:cs="Times New Roman"/>
                    <w:noProof/>
                    <w:color w:val="auto"/>
                    <w:sz w:val="22"/>
                    <w:szCs w:val="22"/>
                  </w:rPr>
                  <w:t>West Bank and Gaza</w:t>
                </w:r>
              </w:p>
            </w:tc>
            <w:tc>
              <w:tcPr>
                <w:tcW w:w="5400" w:type="dxa"/>
                <w:tcBorders>
                  <w:left w:val="single" w:sz="4" w:space="0" w:color="D0CECE"/>
                  <w:bottom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86"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Investment Project Financing</w:t>
                </w:r>
              </w:p>
            </w:tc>
          </w:tr>
          <w:tr w:rsidR="0006032A" w:rsidTr="008B685B">
            <w:trPr>
              <w:trHeight w:val="432"/>
            </w:trPr>
            <w:tc>
              <w:tcPr>
                <w:tcW w:w="5220" w:type="dxa"/>
                <w:tcBorders>
                  <w:top w:val="single" w:sz="4" w:space="0" w:color="D0CECE"/>
                  <w:righ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14" w:hanging="14"/>
                  <w:rPr>
                    <w:rFonts w:ascii="Calibri" w:eastAsia="Calibri" w:hAnsi="Calibri" w:cs="Times New Roman"/>
                    <w:color w:val="767171"/>
                    <w:sz w:val="22"/>
                    <w:szCs w:val="22"/>
                  </w:rPr>
                </w:pPr>
                <w:r w:rsidRPr="00D825D9">
                  <w:rPr>
                    <w:rFonts w:ascii="Calibri" w:eastAsia="Calibri" w:hAnsi="Calibri" w:cs="Times New Roman"/>
                    <w:color w:val="767171"/>
                    <w:sz w:val="22"/>
                    <w:szCs w:val="22"/>
                  </w:rPr>
                  <w:t>Original EA Category</w:t>
                </w:r>
              </w:p>
            </w:tc>
            <w:tc>
              <w:tcPr>
                <w:tcW w:w="5400" w:type="dxa"/>
                <w:tcBorders>
                  <w:top w:val="single" w:sz="4" w:space="0" w:color="D0CECE"/>
                  <w:lef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86" w:hanging="14"/>
                  <w:rPr>
                    <w:rFonts w:ascii="Calibri" w:eastAsia="Calibri" w:hAnsi="Calibri" w:cs="Times New Roman"/>
                    <w:color w:val="767171"/>
                    <w:sz w:val="22"/>
                    <w:szCs w:val="22"/>
                  </w:rPr>
                </w:pPr>
                <w:r w:rsidRPr="00D825D9">
                  <w:rPr>
                    <w:rFonts w:ascii="Calibri" w:eastAsia="Calibri" w:hAnsi="Calibri" w:cs="Times New Roman"/>
                    <w:color w:val="767171"/>
                    <w:sz w:val="22"/>
                    <w:szCs w:val="22"/>
                  </w:rPr>
                  <w:t>Revised EA Category</w:t>
                </w:r>
              </w:p>
            </w:tc>
          </w:tr>
          <w:tr w:rsidR="0006032A" w:rsidTr="008B685B">
            <w:trPr>
              <w:trHeight w:val="432"/>
            </w:trPr>
            <w:tc>
              <w:tcPr>
                <w:tcW w:w="5220" w:type="dxa"/>
                <w:tcBorders>
                  <w:bottom w:val="single" w:sz="4" w:space="0" w:color="D0CECE"/>
                  <w:right w:val="single" w:sz="4" w:space="0" w:color="D0CECE"/>
                </w:tcBorders>
                <w:shd w:val="clear" w:color="auto" w:fill="F7F7F7"/>
                <w:vAlign w:val="center"/>
              </w:tcPr>
              <w:p w:rsidR="006F7012" w:rsidRPr="00D825D9" w:rsidRDefault="00B578E1" w:rsidP="008B685B">
                <w:pPr>
                  <w:pStyle w:val="Normal75"/>
                  <w:widowControl/>
                  <w:autoSpaceDE/>
                  <w:autoSpaceDN/>
                  <w:adjustRightInd/>
                  <w:spacing w:after="160" w:line="259" w:lineRule="auto"/>
                  <w:ind w:left="14"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Not Required (C)</w:t>
                </w:r>
              </w:p>
            </w:tc>
            <w:tc>
              <w:tcPr>
                <w:tcW w:w="5400" w:type="dxa"/>
                <w:tcBorders>
                  <w:left w:val="single" w:sz="4" w:space="0" w:color="D0CECE"/>
                  <w:bottom w:val="single" w:sz="4" w:space="0" w:color="D0CECE"/>
                </w:tcBorders>
                <w:shd w:val="clear" w:color="auto" w:fill="F7F7F7"/>
                <w:vAlign w:val="center"/>
              </w:tcPr>
              <w:p w:rsidR="006F7012" w:rsidRPr="00D825D9" w:rsidRDefault="006F7012" w:rsidP="008B685B">
                <w:pPr>
                  <w:pStyle w:val="Normal75"/>
                  <w:widowControl/>
                  <w:autoSpaceDE/>
                  <w:autoSpaceDN/>
                  <w:adjustRightInd/>
                  <w:spacing w:after="160" w:line="259" w:lineRule="auto"/>
                  <w:ind w:left="86" w:hanging="14"/>
                  <w:rPr>
                    <w:rFonts w:ascii="Calibri" w:eastAsia="Calibri" w:hAnsi="Calibri" w:cs="Times New Roman"/>
                    <w:noProof/>
                    <w:color w:val="auto"/>
                    <w:sz w:val="22"/>
                    <w:szCs w:val="22"/>
                  </w:rPr>
                </w:pPr>
              </w:p>
            </w:tc>
          </w:tr>
        </w:tbl>
        <w:p w:rsidR="006F7012" w:rsidRDefault="006F7012" w:rsidP="006F7012">
          <w:pPr>
            <w:pStyle w:val="Normal75"/>
            <w:shd w:val="clear" w:color="auto" w:fill="F7F7F7"/>
            <w:ind w:left="-691" w:right="-518"/>
            <w:rPr>
              <w:sz w:val="20"/>
            </w:rPr>
          </w:pPr>
        </w:p>
        <w:tbl>
          <w:tblPr>
            <w:tblStyle w:val="TableGrid311"/>
            <w:tblW w:w="10620" w:type="dxa"/>
            <w:tblInd w:w="-720" w:type="dxa"/>
            <w:tblBorders>
              <w:top w:val="nil"/>
              <w:left w:val="nil"/>
              <w:bottom w:val="nil"/>
              <w:right w:val="nil"/>
              <w:insideH w:val="nil"/>
              <w:insideV w:val="nil"/>
            </w:tblBorders>
            <w:shd w:val="clear" w:color="auto" w:fill="F7F7F7"/>
            <w:tblLayout w:type="fixed"/>
            <w:tblCellMar>
              <w:left w:w="115" w:type="dxa"/>
              <w:right w:w="115" w:type="dxa"/>
            </w:tblCellMar>
            <w:tblLook w:val="04A0" w:firstRow="1" w:lastRow="0" w:firstColumn="1" w:lastColumn="0" w:noHBand="0" w:noVBand="1"/>
          </w:tblPr>
          <w:tblGrid>
            <w:gridCol w:w="6"/>
            <w:gridCol w:w="1596"/>
            <w:gridCol w:w="998"/>
            <w:gridCol w:w="2249"/>
            <w:gridCol w:w="134"/>
            <w:gridCol w:w="1035"/>
            <w:gridCol w:w="1349"/>
            <w:gridCol w:w="270"/>
            <w:gridCol w:w="1799"/>
            <w:gridCol w:w="1184"/>
          </w:tblGrid>
          <w:tr w:rsidR="0006032A" w:rsidTr="008B685B">
            <w:trPr>
              <w:trHeight w:val="80"/>
            </w:trPr>
            <w:tc>
              <w:tcPr>
                <w:tcW w:w="10620" w:type="dxa"/>
                <w:gridSpan w:val="10"/>
                <w:shd w:val="clear" w:color="auto" w:fill="F7F7F7"/>
                <w:vAlign w:val="center"/>
              </w:tcPr>
              <w:p w:rsidR="006F7012" w:rsidRPr="00D77748" w:rsidRDefault="00B578E1" w:rsidP="008B685B">
                <w:pPr>
                  <w:pStyle w:val="Normal75"/>
                  <w:keepNext/>
                  <w:widowControl/>
                  <w:autoSpaceDE/>
                  <w:autoSpaceDN/>
                  <w:adjustRightInd/>
                  <w:rPr>
                    <w:rFonts w:ascii="Calibri" w:eastAsia="Calibri" w:hAnsi="Calibri" w:cs="Times New Roman"/>
                    <w:color w:val="auto"/>
                    <w:sz w:val="22"/>
                    <w:szCs w:val="22"/>
                  </w:rPr>
                </w:pPr>
                <w:r w:rsidRPr="00D77748">
                  <w:rPr>
                    <w:rFonts w:ascii="Calibri" w:eastAsia="Calibri" w:hAnsi="Calibri" w:cs="Times New Roman"/>
                    <w:b/>
                    <w:color w:val="002060"/>
                    <w:sz w:val="22"/>
                    <w:szCs w:val="22"/>
                  </w:rPr>
                  <w:t>Related Projects</w:t>
                </w:r>
              </w:p>
            </w:tc>
          </w:tr>
          <w:tr w:rsidR="0006032A" w:rsidTr="008B685B">
            <w:trPr>
              <w:gridBefore w:val="1"/>
              <w:wBefore w:w="6" w:type="dxa"/>
              <w:trHeight w:val="80"/>
            </w:trPr>
            <w:tc>
              <w:tcPr>
                <w:tcW w:w="1596" w:type="dxa"/>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c>
              <w:tcPr>
                <w:tcW w:w="3247" w:type="dxa"/>
                <w:gridSpan w:val="2"/>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c>
              <w:tcPr>
                <w:tcW w:w="1169" w:type="dxa"/>
                <w:gridSpan w:val="2"/>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c>
              <w:tcPr>
                <w:tcW w:w="1619" w:type="dxa"/>
                <w:gridSpan w:val="2"/>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c>
              <w:tcPr>
                <w:tcW w:w="1799" w:type="dxa"/>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c>
              <w:tcPr>
                <w:tcW w:w="1184" w:type="dxa"/>
                <w:tcBorders>
                  <w:top w:val="nil"/>
                  <w:left w:val="nil"/>
                  <w:bottom w:val="nil"/>
                  <w:right w:val="nil"/>
                </w:tcBorders>
                <w:shd w:val="clear" w:color="auto" w:fill="F7F7F7"/>
                <w:vAlign w:val="center"/>
              </w:tcPr>
              <w:p w:rsidR="006F7012" w:rsidRPr="00D77748" w:rsidRDefault="006F7012" w:rsidP="008B685B">
                <w:pPr>
                  <w:pStyle w:val="Normal75"/>
                  <w:keepNext/>
                  <w:widowControl/>
                  <w:autoSpaceDE/>
                  <w:autoSpaceDN/>
                  <w:adjustRightInd/>
                  <w:rPr>
                    <w:rFonts w:ascii="Calibri" w:eastAsia="Calibri" w:hAnsi="Calibri" w:cs="Times New Roman"/>
                    <w:b/>
                    <w:bCs/>
                    <w:color w:val="7F7F7F"/>
                    <w:sz w:val="22"/>
                    <w:szCs w:val="22"/>
                  </w:rPr>
                </w:pPr>
              </w:p>
            </w:tc>
          </w:tr>
          <w:tr w:rsidR="0006032A" w:rsidTr="008B685B">
            <w:trPr>
              <w:gridBefore w:val="1"/>
              <w:wBefore w:w="6" w:type="dxa"/>
              <w:trHeight w:val="413"/>
            </w:trPr>
            <w:tc>
              <w:tcPr>
                <w:tcW w:w="2594" w:type="dxa"/>
                <w:gridSpan w:val="2"/>
                <w:tcBorders>
                  <w:top w:val="nil"/>
                  <w:bottom w:val="single" w:sz="12" w:space="0" w:color="D9D9D9"/>
                </w:tcBorders>
                <w:shd w:val="clear" w:color="auto" w:fill="F7F7F7"/>
                <w:vAlign w:val="center"/>
              </w:tcPr>
              <w:p w:rsidR="006F7012" w:rsidRPr="00D77748" w:rsidRDefault="00B578E1" w:rsidP="008B685B">
                <w:pPr>
                  <w:pStyle w:val="Normal75"/>
                  <w:keepNext/>
                  <w:widowControl/>
                  <w:autoSpaceDE/>
                  <w:autoSpaceDN/>
                  <w:adjustRightInd/>
                  <w:rPr>
                    <w:rFonts w:ascii="Calibri" w:eastAsia="Calibri" w:hAnsi="Calibri" w:cs="Times New Roman"/>
                    <w:b/>
                    <w:color w:val="auto"/>
                    <w:sz w:val="22"/>
                    <w:szCs w:val="22"/>
                  </w:rPr>
                </w:pPr>
                <w:r w:rsidRPr="00D77748">
                  <w:rPr>
                    <w:rFonts w:ascii="Calibri" w:eastAsia="Calibri" w:hAnsi="Calibri" w:cs="Times New Roman"/>
                    <w:b/>
                    <w:bCs/>
                    <w:color w:val="7F7F7F"/>
                    <w:sz w:val="22"/>
                    <w:szCs w:val="22"/>
                  </w:rPr>
                  <w:t>Relationship</w:t>
                </w:r>
              </w:p>
            </w:tc>
            <w:tc>
              <w:tcPr>
                <w:tcW w:w="2383" w:type="dxa"/>
                <w:gridSpan w:val="2"/>
                <w:tcBorders>
                  <w:top w:val="nil"/>
                  <w:bottom w:val="single" w:sz="12" w:space="0" w:color="D9D9D9"/>
                </w:tcBorders>
                <w:shd w:val="clear" w:color="auto" w:fill="F7F7F7"/>
                <w:vAlign w:val="center"/>
              </w:tcPr>
              <w:p w:rsidR="006F7012" w:rsidRPr="00D77748" w:rsidRDefault="00B578E1" w:rsidP="008B685B">
                <w:pPr>
                  <w:pStyle w:val="Normal75"/>
                  <w:keepNext/>
                  <w:widowControl/>
                  <w:autoSpaceDE/>
                  <w:autoSpaceDN/>
                  <w:adjustRightInd/>
                  <w:rPr>
                    <w:rFonts w:ascii="Calibri" w:eastAsia="Calibri" w:hAnsi="Calibri" w:cs="Times New Roman"/>
                    <w:b/>
                    <w:color w:val="auto"/>
                    <w:sz w:val="22"/>
                    <w:szCs w:val="22"/>
                  </w:rPr>
                </w:pPr>
                <w:r w:rsidRPr="00D77748">
                  <w:rPr>
                    <w:rFonts w:ascii="Calibri" w:eastAsia="Calibri" w:hAnsi="Calibri" w:cs="Times New Roman"/>
                    <w:b/>
                    <w:bCs/>
                    <w:color w:val="7F7F7F"/>
                    <w:sz w:val="22"/>
                    <w:szCs w:val="22"/>
                  </w:rPr>
                  <w:t>Project</w:t>
                </w:r>
              </w:p>
            </w:tc>
            <w:tc>
              <w:tcPr>
                <w:tcW w:w="2384" w:type="dxa"/>
                <w:gridSpan w:val="2"/>
                <w:tcBorders>
                  <w:top w:val="nil"/>
                  <w:bottom w:val="single" w:sz="12" w:space="0" w:color="D9D9D9"/>
                </w:tcBorders>
                <w:shd w:val="clear" w:color="auto" w:fill="F7F7F7"/>
                <w:vAlign w:val="center"/>
              </w:tcPr>
              <w:p w:rsidR="006F7012" w:rsidRPr="00D77748" w:rsidRDefault="00B578E1" w:rsidP="008B685B">
                <w:pPr>
                  <w:pStyle w:val="Normal75"/>
                  <w:keepNext/>
                  <w:widowControl/>
                  <w:autoSpaceDE/>
                  <w:autoSpaceDN/>
                  <w:adjustRightInd/>
                  <w:rPr>
                    <w:rFonts w:ascii="Calibri" w:eastAsia="Calibri" w:hAnsi="Calibri" w:cs="Times New Roman"/>
                    <w:b/>
                    <w:color w:val="auto"/>
                    <w:sz w:val="22"/>
                    <w:szCs w:val="22"/>
                  </w:rPr>
                </w:pPr>
                <w:r w:rsidRPr="00716F7A">
                  <w:rPr>
                    <w:rFonts w:ascii="Calibri" w:eastAsia="Calibri" w:hAnsi="Calibri" w:cs="Times New Roman"/>
                    <w:b/>
                    <w:bCs/>
                    <w:color w:val="7F7F7F"/>
                    <w:sz w:val="22"/>
                    <w:szCs w:val="22"/>
                  </w:rPr>
                  <w:t>Approval</w:t>
                </w:r>
              </w:p>
            </w:tc>
            <w:tc>
              <w:tcPr>
                <w:tcW w:w="3253" w:type="dxa"/>
                <w:gridSpan w:val="3"/>
                <w:tcBorders>
                  <w:top w:val="nil"/>
                  <w:bottom w:val="single" w:sz="12" w:space="0" w:color="D9D9D9"/>
                </w:tcBorders>
                <w:shd w:val="clear" w:color="auto" w:fill="F7F7F7"/>
                <w:vAlign w:val="center"/>
              </w:tcPr>
              <w:p w:rsidR="006F7012" w:rsidRPr="00D77748" w:rsidRDefault="00B578E1" w:rsidP="008B685B">
                <w:pPr>
                  <w:pStyle w:val="Normal75"/>
                  <w:keepNext/>
                  <w:widowControl/>
                  <w:autoSpaceDE/>
                  <w:autoSpaceDN/>
                  <w:adjustRightInd/>
                  <w:rPr>
                    <w:rFonts w:ascii="Calibri" w:eastAsia="Calibri" w:hAnsi="Calibri" w:cs="Times New Roman"/>
                    <w:b/>
                    <w:bCs/>
                    <w:color w:val="7F7F7F"/>
                    <w:sz w:val="22"/>
                    <w:szCs w:val="22"/>
                  </w:rPr>
                </w:pPr>
                <w:r w:rsidRPr="00D77748">
                  <w:rPr>
                    <w:rFonts w:ascii="Calibri" w:eastAsia="Calibri" w:hAnsi="Calibri" w:cs="Times New Roman"/>
                    <w:b/>
                    <w:bCs/>
                    <w:color w:val="7F7F7F"/>
                    <w:sz w:val="22"/>
                    <w:szCs w:val="22"/>
                  </w:rPr>
                  <w:t>Product Line</w:t>
                </w:r>
              </w:p>
            </w:tc>
          </w:tr>
          <w:tr w:rsidR="0006032A" w:rsidTr="008B685B">
            <w:trPr>
              <w:gridBefore w:val="1"/>
              <w:wBefore w:w="6" w:type="dxa"/>
              <w:trHeight w:val="413"/>
            </w:trPr>
            <w:tc>
              <w:tcPr>
                <w:tcW w:w="2594" w:type="dxa"/>
                <w:gridSpan w:val="2"/>
                <w:tcBorders>
                  <w:top w:val="single" w:sz="12" w:space="0" w:color="D9D9D9"/>
                  <w:bottom w:val="single" w:sz="8" w:space="0" w:color="D9D9D9"/>
                </w:tcBorders>
                <w:shd w:val="clear" w:color="auto" w:fill="F7F7F7"/>
              </w:tcPr>
              <w:p w:rsidR="006F7012" w:rsidRPr="00D77748"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Supplement</w:t>
                </w:r>
              </w:p>
            </w:tc>
            <w:tc>
              <w:tcPr>
                <w:tcW w:w="2383" w:type="dxa"/>
                <w:gridSpan w:val="2"/>
                <w:tcBorders>
                  <w:top w:val="single" w:sz="12" w:space="0" w:color="D9D9D9"/>
                  <w:bottom w:val="single" w:sz="8" w:space="0" w:color="D9D9D9"/>
                </w:tcBorders>
                <w:shd w:val="clear" w:color="auto" w:fill="F7F7F7"/>
              </w:tcPr>
              <w:p w:rsidR="006F7012" w:rsidRPr="00D77748"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P153889- Water Sector Capacity Building Project Additional Financing</w:t>
                </w:r>
              </w:p>
            </w:tc>
            <w:tc>
              <w:tcPr>
                <w:tcW w:w="2384" w:type="dxa"/>
                <w:gridSpan w:val="2"/>
                <w:tcBorders>
                  <w:top w:val="single" w:sz="12" w:space="0" w:color="D9D9D9"/>
                  <w:bottom w:val="single" w:sz="8" w:space="0" w:color="D9D9D9"/>
                </w:tcBorders>
                <w:shd w:val="clear" w:color="auto" w:fill="F7F7F7"/>
              </w:tcPr>
              <w:p w:rsidR="006F7012" w:rsidRPr="00D77748"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24-Jun-2015</w:t>
                </w:r>
              </w:p>
            </w:tc>
            <w:tc>
              <w:tcPr>
                <w:tcW w:w="3253" w:type="dxa"/>
                <w:gridSpan w:val="3"/>
                <w:tcBorders>
                  <w:top w:val="single" w:sz="12" w:space="0" w:color="D9D9D9"/>
                  <w:bottom w:val="single" w:sz="8" w:space="0" w:color="D9D9D9"/>
                </w:tcBorders>
                <w:shd w:val="clear" w:color="auto" w:fill="F7F7F7"/>
              </w:tcPr>
              <w:p w:rsidR="006F7012" w:rsidRPr="00D77748"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Recipient Executed Activities</w:t>
                </w:r>
              </w:p>
            </w:tc>
          </w:tr>
        </w:tbl>
        <w:p w:rsidR="006F7012" w:rsidRDefault="006F7012" w:rsidP="006F7012">
          <w:pPr>
            <w:pStyle w:val="Normal75"/>
            <w:shd w:val="clear" w:color="auto" w:fill="F7F7F7"/>
            <w:ind w:left="-691" w:right="-518"/>
            <w:rPr>
              <w:sz w:val="20"/>
            </w:rPr>
          </w:pPr>
        </w:p>
        <w:tbl>
          <w:tblPr>
            <w:tblW w:w="10620" w:type="dxa"/>
            <w:tblInd w:w="-720" w:type="dxa"/>
            <w:shd w:val="clear" w:color="auto" w:fill="F7F7F7"/>
            <w:tblLayout w:type="fixed"/>
            <w:tblCellMar>
              <w:left w:w="115" w:type="dxa"/>
              <w:right w:w="115" w:type="dxa"/>
            </w:tblCellMar>
            <w:tblLook w:val="04A0" w:firstRow="1" w:lastRow="0" w:firstColumn="1" w:lastColumn="0" w:noHBand="0" w:noVBand="1"/>
          </w:tblPr>
          <w:tblGrid>
            <w:gridCol w:w="5220"/>
            <w:gridCol w:w="5400"/>
          </w:tblGrid>
          <w:tr w:rsidR="0006032A" w:rsidTr="008B685B">
            <w:trPr>
              <w:trHeight w:val="495"/>
            </w:trPr>
            <w:tc>
              <w:tcPr>
                <w:tcW w:w="10620" w:type="dxa"/>
                <w:gridSpan w:val="2"/>
                <w:tcBorders>
                  <w:bottom w:val="single" w:sz="4" w:space="0" w:color="D0CECE"/>
                </w:tcBorders>
                <w:shd w:val="clear" w:color="auto" w:fill="F7F7F7"/>
                <w:vAlign w:val="center"/>
              </w:tcPr>
              <w:p w:rsidR="006F7012" w:rsidRPr="00BF628C" w:rsidRDefault="00B578E1" w:rsidP="008B685B">
                <w:pPr>
                  <w:pStyle w:val="Normal75"/>
                  <w:widowControl/>
                  <w:autoSpaceDE/>
                  <w:autoSpaceDN/>
                  <w:adjustRightInd/>
                  <w:spacing w:after="160" w:line="259" w:lineRule="auto"/>
                  <w:ind w:left="14" w:hanging="14"/>
                  <w:rPr>
                    <w:rFonts w:ascii="Calibri" w:eastAsia="Calibri" w:hAnsi="Calibri" w:cs="Times New Roman"/>
                    <w:b/>
                    <w:color w:val="002060"/>
                    <w:sz w:val="22"/>
                    <w:szCs w:val="22"/>
                  </w:rPr>
                </w:pPr>
                <w:r w:rsidRPr="00BF628C">
                  <w:rPr>
                    <w:rFonts w:ascii="Calibri" w:eastAsia="Calibri" w:hAnsi="Calibri" w:cs="Times New Roman"/>
                    <w:b/>
                    <w:color w:val="002060"/>
                    <w:sz w:val="22"/>
                    <w:szCs w:val="22"/>
                  </w:rPr>
                  <w:t>Organizations</w:t>
                </w:r>
              </w:p>
            </w:tc>
          </w:tr>
          <w:tr w:rsidR="0006032A" w:rsidTr="008B685B">
            <w:trPr>
              <w:trHeight w:val="374"/>
            </w:trPr>
            <w:tc>
              <w:tcPr>
                <w:tcW w:w="5220" w:type="dxa"/>
                <w:tcBorders>
                  <w:top w:val="single" w:sz="4" w:space="0" w:color="D0CECE"/>
                  <w:right w:val="single" w:sz="4" w:space="0" w:color="D0CECE"/>
                </w:tcBorders>
                <w:shd w:val="clear" w:color="auto" w:fill="F7F7F7"/>
                <w:vAlign w:val="center"/>
              </w:tcPr>
              <w:p w:rsidR="006F7012" w:rsidRPr="00BF628C" w:rsidRDefault="00B578E1" w:rsidP="008B685B">
                <w:pPr>
                  <w:pStyle w:val="Normal75"/>
                  <w:widowControl/>
                  <w:autoSpaceDE/>
                  <w:autoSpaceDN/>
                  <w:adjustRightInd/>
                  <w:spacing w:after="160" w:line="259" w:lineRule="auto"/>
                  <w:ind w:left="14" w:hanging="14"/>
                  <w:rPr>
                    <w:rFonts w:ascii="Calibri" w:eastAsia="Calibri" w:hAnsi="Calibri" w:cs="Times New Roman"/>
                    <w:color w:val="767171"/>
                    <w:sz w:val="22"/>
                    <w:szCs w:val="22"/>
                  </w:rPr>
                </w:pPr>
                <w:r w:rsidRPr="00BF628C">
                  <w:rPr>
                    <w:rFonts w:ascii="Calibri" w:eastAsia="Calibri" w:hAnsi="Calibri" w:cs="Times New Roman"/>
                    <w:color w:val="767171"/>
                    <w:sz w:val="22"/>
                    <w:szCs w:val="22"/>
                  </w:rPr>
                  <w:t>Borrower</w:t>
                </w:r>
              </w:p>
            </w:tc>
            <w:tc>
              <w:tcPr>
                <w:tcW w:w="5400" w:type="dxa"/>
                <w:tcBorders>
                  <w:top w:val="single" w:sz="4" w:space="0" w:color="D0CECE"/>
                  <w:left w:val="single" w:sz="4" w:space="0" w:color="D0CECE"/>
                </w:tcBorders>
                <w:shd w:val="clear" w:color="auto" w:fill="F7F7F7"/>
                <w:vAlign w:val="center"/>
              </w:tcPr>
              <w:p w:rsidR="006F7012" w:rsidRPr="00BF628C" w:rsidRDefault="00B578E1" w:rsidP="008B685B">
                <w:pPr>
                  <w:pStyle w:val="Normal75"/>
                  <w:widowControl/>
                  <w:autoSpaceDE/>
                  <w:autoSpaceDN/>
                  <w:adjustRightInd/>
                  <w:spacing w:after="160" w:line="259" w:lineRule="auto"/>
                  <w:ind w:left="100" w:hanging="14"/>
                  <w:rPr>
                    <w:rFonts w:ascii="Calibri" w:eastAsia="Calibri" w:hAnsi="Calibri" w:cs="Times New Roman"/>
                    <w:color w:val="767171"/>
                    <w:sz w:val="22"/>
                    <w:szCs w:val="22"/>
                  </w:rPr>
                </w:pPr>
                <w:r w:rsidRPr="00BF628C">
                  <w:rPr>
                    <w:rFonts w:ascii="Calibri" w:eastAsia="Calibri" w:hAnsi="Calibri" w:cs="Times New Roman"/>
                    <w:color w:val="767171"/>
                    <w:sz w:val="22"/>
                    <w:szCs w:val="22"/>
                  </w:rPr>
                  <w:t>Implementing Agency</w:t>
                </w:r>
              </w:p>
            </w:tc>
          </w:tr>
          <w:tr w:rsidR="0006032A" w:rsidTr="008B685B">
            <w:trPr>
              <w:trHeight w:val="432"/>
            </w:trPr>
            <w:tc>
              <w:tcPr>
                <w:tcW w:w="5220" w:type="dxa"/>
                <w:tcBorders>
                  <w:bottom w:val="single" w:sz="4" w:space="0" w:color="D0CECE"/>
                  <w:right w:val="single" w:sz="4" w:space="0" w:color="D0CECE"/>
                </w:tcBorders>
                <w:shd w:val="clear" w:color="auto" w:fill="F7F7F7"/>
                <w:vAlign w:val="center"/>
              </w:tcPr>
              <w:p w:rsidR="006F7012" w:rsidRPr="00BF628C" w:rsidRDefault="00B578E1" w:rsidP="008B685B">
                <w:pPr>
                  <w:pStyle w:val="Normal75"/>
                  <w:widowControl/>
                  <w:autoSpaceDE/>
                  <w:autoSpaceDN/>
                  <w:adjustRightInd/>
                  <w:spacing w:after="160" w:line="259" w:lineRule="auto"/>
                  <w:ind w:hanging="14"/>
                  <w:rPr>
                    <w:rFonts w:ascii="Calibri" w:eastAsia="Calibri" w:hAnsi="Calibri" w:cs="Times New Roman"/>
                    <w:noProof/>
                    <w:color w:val="auto"/>
                    <w:sz w:val="22"/>
                    <w:szCs w:val="22"/>
                  </w:rPr>
                </w:pPr>
                <w:r>
                  <w:rPr>
                    <w:rFonts w:ascii="Calibri" w:eastAsia="Calibri" w:hAnsi="Calibri" w:cs="Times New Roman"/>
                    <w:noProof/>
                    <w:color w:val="auto"/>
                    <w:sz w:val="22"/>
                    <w:szCs w:val="22"/>
                  </w:rPr>
                  <w:t>Ministry of Finance</w:t>
                </w:r>
              </w:p>
            </w:tc>
            <w:tc>
              <w:tcPr>
                <w:tcW w:w="5400" w:type="dxa"/>
                <w:tcBorders>
                  <w:left w:val="single" w:sz="4" w:space="0" w:color="D0CECE"/>
                  <w:bottom w:val="single" w:sz="2" w:space="0" w:color="DFDFDF"/>
                </w:tcBorders>
                <w:shd w:val="clear" w:color="auto" w:fill="F7F7F7"/>
                <w:vAlign w:val="center"/>
              </w:tcPr>
              <w:p w:rsidR="006F7012" w:rsidRPr="00BF628C" w:rsidRDefault="00B578E1" w:rsidP="008B685B">
                <w:pPr>
                  <w:pStyle w:val="Normal75"/>
                  <w:widowControl/>
                  <w:autoSpaceDE/>
                  <w:autoSpaceDN/>
                  <w:adjustRightInd/>
                  <w:spacing w:after="160" w:line="259" w:lineRule="auto"/>
                  <w:ind w:left="100" w:hanging="14"/>
                  <w:rPr>
                    <w:rFonts w:ascii="Calibri" w:eastAsia="Calibri" w:hAnsi="Calibri" w:cs="Times New Roman"/>
                    <w:noProof/>
                    <w:color w:val="auto"/>
                    <w:sz w:val="22"/>
                    <w:szCs w:val="22"/>
                    <w:lang w:val="es-VE"/>
                  </w:rPr>
                </w:pPr>
                <w:r>
                  <w:rPr>
                    <w:rFonts w:ascii="Calibri" w:eastAsia="Calibri" w:hAnsi="Calibri" w:cs="Times New Roman"/>
                    <w:noProof/>
                    <w:color w:val="auto"/>
                    <w:sz w:val="22"/>
                    <w:szCs w:val="22"/>
                    <w:lang w:val="es-VE"/>
                  </w:rPr>
                  <w:t>Palestinian Water Authority</w:t>
                </w:r>
              </w:p>
            </w:tc>
          </w:tr>
        </w:tbl>
        <w:p w:rsidR="006F7012" w:rsidRDefault="006F7012" w:rsidP="006F7012">
          <w:pPr>
            <w:pStyle w:val="Normal75"/>
            <w:shd w:val="clear" w:color="auto" w:fill="F7F7F7"/>
            <w:ind w:left="-691" w:right="-518"/>
            <w:rPr>
              <w:sz w:val="20"/>
            </w:rPr>
          </w:pPr>
        </w:p>
        <w:tbl>
          <w:tblPr>
            <w:tblStyle w:val="TableGrid13"/>
            <w:tblW w:w="10602" w:type="dxa"/>
            <w:tblInd w:w="-702" w:type="dxa"/>
            <w:shd w:val="clear" w:color="auto" w:fill="F7F7F7"/>
            <w:tblLayout w:type="fixed"/>
            <w:tblLook w:val="04A0" w:firstRow="1" w:lastRow="0" w:firstColumn="1" w:lastColumn="0" w:noHBand="0" w:noVBand="1"/>
          </w:tblPr>
          <w:tblGrid>
            <w:gridCol w:w="10602"/>
          </w:tblGrid>
          <w:tr w:rsidR="0006032A" w:rsidTr="008B685B">
            <w:trPr>
              <w:trHeight w:val="117"/>
            </w:trPr>
            <w:tc>
              <w:tcPr>
                <w:tcW w:w="10602" w:type="dxa"/>
                <w:tcBorders>
                  <w:top w:val="nil"/>
                  <w:left w:val="nil"/>
                  <w:bottom w:val="nil"/>
                  <w:right w:val="nil"/>
                </w:tcBorders>
                <w:shd w:val="clear" w:color="auto" w:fill="F7F7F7"/>
                <w:hideMark/>
              </w:tcPr>
              <w:p w:rsidR="006F7012" w:rsidRDefault="00B578E1" w:rsidP="008B685B">
                <w:pPr>
                  <w:pStyle w:val="Normal75"/>
                  <w:keepNext/>
                  <w:widowControl/>
                  <w:shd w:val="clear" w:color="auto" w:fill="F7F7F7"/>
                  <w:tabs>
                    <w:tab w:val="left" w:pos="3709"/>
                  </w:tabs>
                  <w:rPr>
                    <w:rFonts w:ascii="Calibri" w:hAnsi="Calibri"/>
                    <w:b/>
                    <w:color w:val="172D5F"/>
                    <w:sz w:val="22"/>
                    <w:szCs w:val="22"/>
                  </w:rPr>
                </w:pPr>
                <w:r>
                  <w:rPr>
                    <w:rFonts w:ascii="Calibri" w:hAnsi="Calibri"/>
                    <w:b/>
                    <w:color w:val="172D5F"/>
                    <w:sz w:val="22"/>
                    <w:szCs w:val="22"/>
                  </w:rPr>
                  <w:t>Project Development Objective (PDO)</w:t>
                </w:r>
              </w:p>
            </w:tc>
          </w:tr>
        </w:tbl>
        <w:p w:rsidR="006F7012" w:rsidRPr="00C40572" w:rsidRDefault="006F7012" w:rsidP="006F7012">
          <w:pPr>
            <w:pStyle w:val="Normal75"/>
            <w:keepNext/>
            <w:widowControl/>
            <w:shd w:val="clear" w:color="auto" w:fill="F7F7F7"/>
            <w:ind w:left="-691" w:right="-518"/>
            <w:rPr>
              <w:rFonts w:ascii="Calibri" w:hAnsi="Calibri"/>
              <w:noProof/>
              <w:sz w:val="22"/>
              <w:szCs w:val="22"/>
            </w:rPr>
          </w:pPr>
        </w:p>
        <w:tbl>
          <w:tblPr>
            <w:tblStyle w:val="TableGrid13"/>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firstRow="1" w:lastRow="0" w:firstColumn="1" w:lastColumn="0" w:noHBand="0" w:noVBand="1"/>
          </w:tblPr>
          <w:tblGrid>
            <w:gridCol w:w="10602"/>
          </w:tblGrid>
          <w:tr w:rsidR="0006032A" w:rsidTr="008B685B">
            <w:trPr>
              <w:trHeight w:val="144"/>
            </w:trPr>
            <w:tc>
              <w:tcPr>
                <w:tcW w:w="10602" w:type="dxa"/>
                <w:shd w:val="clear" w:color="auto" w:fill="F2F2F2"/>
                <w:vAlign w:val="center"/>
              </w:tcPr>
              <w:p w:rsidR="006F7012" w:rsidRPr="00501672" w:rsidRDefault="00B578E1" w:rsidP="00E73292">
                <w:pPr>
                  <w:pStyle w:val="Normal75"/>
                  <w:keepNext/>
                  <w:widowControl/>
                  <w:autoSpaceDE/>
                  <w:autoSpaceDN/>
                  <w:adjustRightInd/>
                  <w:spacing w:line="259" w:lineRule="auto"/>
                  <w:ind w:hanging="14"/>
                  <w:rPr>
                    <w:rFonts w:ascii="Calibri" w:hAnsi="Calibri"/>
                    <w:noProof/>
                    <w:sz w:val="22"/>
                    <w:szCs w:val="18"/>
                  </w:rPr>
                </w:pPr>
                <w:r w:rsidRPr="00126542">
                  <w:rPr>
                    <w:rFonts w:ascii="Calibri" w:eastAsia="Calibri" w:hAnsi="Calibri" w:cs="Times New Roman"/>
                    <w:color w:val="767171"/>
                    <w:sz w:val="22"/>
                    <w:szCs w:val="22"/>
                  </w:rPr>
                  <w:t>Original PDO</w:t>
                </w:r>
              </w:p>
            </w:tc>
          </w:tr>
          <w:tr w:rsidR="0006032A" w:rsidTr="008B685B">
            <w:trPr>
              <w:trHeight w:val="144"/>
            </w:trPr>
            <w:tc>
              <w:tcPr>
                <w:tcW w:w="10602" w:type="dxa"/>
                <w:shd w:val="clear" w:color="auto" w:fill="F2F2F2"/>
                <w:hideMark/>
              </w:tcPr>
              <w:p w:rsidR="006F7012" w:rsidRDefault="00B578E1" w:rsidP="00E73292">
                <w:pPr>
                  <w:pStyle w:val="Normal75"/>
                  <w:keepNext/>
                  <w:widowControl/>
                  <w:shd w:val="clear" w:color="auto" w:fill="F7F7F7"/>
                  <w:rPr>
                    <w:rFonts w:ascii="Calibri" w:hAnsi="Calibri"/>
                    <w:bCs/>
                    <w:color w:val="002060"/>
                    <w:sz w:val="22"/>
                    <w:szCs w:val="22"/>
                  </w:rPr>
                </w:pPr>
                <w:r>
                  <w:rPr>
                    <w:rFonts w:ascii="Calibri" w:hAnsi="Calibri"/>
                    <w:noProof/>
                    <w:sz w:val="22"/>
                    <w:szCs w:val="18"/>
                  </w:rPr>
                  <w:t>The Project’s development objective is to strengthen the capacity of the PWA to more effectively plan, monitor, and regulate water sector development in the West Bank and Gaza.</w:t>
                </w:r>
              </w:p>
            </w:tc>
          </w:tr>
          <w:tr w:rsidR="0006032A" w:rsidTr="008B685B">
            <w:trPr>
              <w:trHeight w:val="144"/>
            </w:trPr>
            <w:tc>
              <w:tcPr>
                <w:tcW w:w="10602" w:type="dxa"/>
                <w:shd w:val="clear" w:color="auto" w:fill="F2F2F2"/>
              </w:tcPr>
              <w:p w:rsidR="006F7012" w:rsidRPr="00501672" w:rsidRDefault="006F7012" w:rsidP="008B685B">
                <w:pPr>
                  <w:pStyle w:val="Normal75"/>
                  <w:shd w:val="clear" w:color="auto" w:fill="F7F7F7"/>
                  <w:rPr>
                    <w:rFonts w:ascii="Calibri" w:hAnsi="Calibri"/>
                    <w:noProof/>
                    <w:sz w:val="22"/>
                    <w:szCs w:val="18"/>
                  </w:rPr>
                </w:pPr>
              </w:p>
            </w:tc>
          </w:tr>
          <w:tr w:rsidR="0006032A" w:rsidTr="008B685B">
            <w:trPr>
              <w:trHeight w:val="144"/>
            </w:trPr>
            <w:tc>
              <w:tcPr>
                <w:tcW w:w="10602" w:type="dxa"/>
                <w:shd w:val="clear" w:color="auto" w:fill="F2F2F2"/>
              </w:tcPr>
              <w:p w:rsidR="008B685B" w:rsidRPr="00E3145D" w:rsidRDefault="00B578E1" w:rsidP="007C2214">
                <w:pPr>
                  <w:pStyle w:val="Normal75"/>
                  <w:keepNext/>
                  <w:widowControl/>
                  <w:autoSpaceDE/>
                  <w:autoSpaceDN/>
                  <w:adjustRightInd/>
                  <w:spacing w:line="259" w:lineRule="auto"/>
                  <w:ind w:hanging="14"/>
                  <w:rPr>
                    <w:rFonts w:ascii="Calibri" w:eastAsia="Calibri" w:hAnsi="Calibri" w:cs="Times New Roman"/>
                    <w:color w:val="767171"/>
                    <w:sz w:val="22"/>
                    <w:szCs w:val="22"/>
                  </w:rPr>
                </w:pPr>
                <w:r w:rsidRPr="00FF2A1C">
                  <w:rPr>
                    <w:rFonts w:ascii="Calibri" w:eastAsia="Calibri" w:hAnsi="Calibri" w:cs="Times New Roman"/>
                    <w:color w:val="767171"/>
                    <w:sz w:val="22"/>
                    <w:szCs w:val="22"/>
                  </w:rPr>
                  <w:t>PDO as stated in the legal agreement</w:t>
                </w:r>
              </w:p>
            </w:tc>
          </w:tr>
          <w:tr w:rsidR="0006032A" w:rsidTr="008B685B">
            <w:trPr>
              <w:trHeight w:val="144"/>
            </w:trPr>
            <w:tc>
              <w:tcPr>
                <w:tcW w:w="10602" w:type="dxa"/>
                <w:shd w:val="clear" w:color="auto" w:fill="F2F2F2"/>
              </w:tcPr>
              <w:p w:rsidR="008B685B" w:rsidRPr="00501672" w:rsidRDefault="00B578E1" w:rsidP="007C2214">
                <w:pPr>
                  <w:pStyle w:val="Normal75"/>
                  <w:keepNext/>
                  <w:widowControl/>
                  <w:shd w:val="clear" w:color="auto" w:fill="F7F7F7"/>
                  <w:rPr>
                    <w:rFonts w:ascii="Calibri" w:hAnsi="Calibri"/>
                    <w:noProof/>
                    <w:sz w:val="22"/>
                    <w:szCs w:val="18"/>
                  </w:rPr>
                </w:pPr>
                <w:r>
                  <w:rPr>
                    <w:rFonts w:ascii="Calibri" w:hAnsi="Calibri"/>
                    <w:noProof/>
                    <w:sz w:val="22"/>
                    <w:szCs w:val="18"/>
                  </w:rPr>
                  <w:t>The objective of the Project is to strengthen and improve the capacity of the Palestinian Water Authority to effectively plan, monitor, and regulate water sector development in the West Bank and Gaza.</w:t>
                </w:r>
              </w:p>
            </w:tc>
          </w:tr>
          <w:tr w:rsidR="0006032A" w:rsidTr="008B685B">
            <w:trPr>
              <w:trHeight w:val="144"/>
            </w:trPr>
            <w:tc>
              <w:tcPr>
                <w:tcW w:w="10602" w:type="dxa"/>
                <w:shd w:val="clear" w:color="auto" w:fill="F2F2F2"/>
              </w:tcPr>
              <w:p w:rsidR="008B685B" w:rsidRPr="00501672" w:rsidRDefault="008B685B" w:rsidP="008B685B">
                <w:pPr>
                  <w:pStyle w:val="Normal75"/>
                  <w:shd w:val="clear" w:color="auto" w:fill="F7F7F7"/>
                  <w:rPr>
                    <w:rFonts w:ascii="Calibri" w:hAnsi="Calibri"/>
                    <w:noProof/>
                    <w:sz w:val="22"/>
                    <w:szCs w:val="18"/>
                  </w:rPr>
                </w:pPr>
              </w:p>
            </w:tc>
          </w:tr>
        </w:tbl>
        <w:p w:rsidR="006F7012" w:rsidRPr="00C4057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5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0C19EF" w:rsidRDefault="00B578E1" w:rsidP="008B685B">
                <w:pPr>
                  <w:pStyle w:val="Normal75"/>
                  <w:keepNext/>
                  <w:widowControl/>
                  <w:rPr>
                    <w:rFonts w:ascii="Calibri" w:hAnsi="Calibri"/>
                  </w:rPr>
                </w:pPr>
                <w:r>
                  <w:rPr>
                    <w:rFonts w:ascii="Calibri" w:hAnsi="Calibri"/>
                    <w:b/>
                    <w:bCs/>
                    <w:sz w:val="22"/>
                    <w:szCs w:val="22"/>
                  </w:rPr>
                  <w:t>FINANCING</w:t>
                </w:r>
              </w:p>
            </w:tc>
          </w:tr>
        </w:tbl>
        <w:p w:rsidR="006F701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13"/>
            <w:tblW w:w="10620" w:type="dxa"/>
            <w:tblInd w:w="-720" w:type="dxa"/>
            <w:shd w:val="clear" w:color="auto" w:fill="F7F7F7"/>
            <w:tblLayout w:type="fixed"/>
            <w:tblLook w:val="04A0" w:firstRow="1" w:lastRow="0" w:firstColumn="1" w:lastColumn="0" w:noHBand="0" w:noVBand="1"/>
          </w:tblPr>
          <w:tblGrid>
            <w:gridCol w:w="18"/>
            <w:gridCol w:w="10602"/>
          </w:tblGrid>
          <w:tr w:rsidR="0006032A" w:rsidTr="008B685B">
            <w:trPr>
              <w:gridBefore w:val="1"/>
              <w:wBefore w:w="18" w:type="dxa"/>
              <w:trHeight w:val="342"/>
            </w:trPr>
            <w:tc>
              <w:tcPr>
                <w:tcW w:w="10602" w:type="dxa"/>
                <w:tcBorders>
                  <w:top w:val="nil"/>
                  <w:left w:val="nil"/>
                  <w:bottom w:val="nil"/>
                  <w:right w:val="nil"/>
                </w:tcBorders>
                <w:shd w:val="clear" w:color="auto" w:fill="F7F7F7"/>
                <w:vAlign w:val="center"/>
              </w:tcPr>
              <w:tbl>
                <w:tblPr>
                  <w:tblStyle w:val="TableGrid9111"/>
                  <w:tblW w:w="10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firstRow="1" w:lastRow="0" w:firstColumn="1" w:lastColumn="0" w:noHBand="0" w:noVBand="1"/>
                </w:tblPr>
                <w:tblGrid>
                  <w:gridCol w:w="1044"/>
                  <w:gridCol w:w="350"/>
                  <w:gridCol w:w="1316"/>
                  <w:gridCol w:w="2617"/>
                  <w:gridCol w:w="2617"/>
                  <w:gridCol w:w="2550"/>
                </w:tblGrid>
                <w:tr w:rsidR="0006032A" w:rsidTr="008B685B">
                  <w:trPr>
                    <w:trHeight w:val="360"/>
                  </w:trPr>
                  <w:tc>
                    <w:tcPr>
                      <w:tcW w:w="1291" w:type="pct"/>
                      <w:gridSpan w:val="3"/>
                      <w:tcBorders>
                        <w:bottom w:val="single" w:sz="12" w:space="0" w:color="D0CECE"/>
                      </w:tcBorders>
                      <w:shd w:val="clear" w:color="auto" w:fill="F7F7F7"/>
                      <w:vAlign w:val="center"/>
                    </w:tcPr>
                    <w:p w:rsidR="006F7012" w:rsidRPr="000C19EF" w:rsidRDefault="006F7012" w:rsidP="008B685B">
                      <w:pPr>
                        <w:pStyle w:val="Normal75"/>
                        <w:keepNext/>
                        <w:widowControl/>
                        <w:rPr>
                          <w:rFonts w:ascii="Calibri" w:hAnsi="Calibri"/>
                          <w:b/>
                          <w:sz w:val="22"/>
                          <w:szCs w:val="22"/>
                        </w:rPr>
                      </w:pPr>
                    </w:p>
                  </w:tc>
                  <w:tc>
                    <w:tcPr>
                      <w:tcW w:w="1247" w:type="pct"/>
                      <w:tcBorders>
                        <w:bottom w:val="single" w:sz="12" w:space="0" w:color="D0CECE"/>
                      </w:tcBorders>
                      <w:shd w:val="clear" w:color="auto" w:fill="F7F7F7"/>
                      <w:vAlign w:val="center"/>
                    </w:tcPr>
                    <w:p w:rsidR="006F7012" w:rsidRPr="000C19EF" w:rsidRDefault="00B578E1" w:rsidP="008B685B">
                      <w:pPr>
                        <w:pStyle w:val="Normal75"/>
                        <w:keepNext/>
                        <w:widowControl/>
                        <w:tabs>
                          <w:tab w:val="left" w:pos="984"/>
                        </w:tabs>
                        <w:jc w:val="right"/>
                        <w:rPr>
                          <w:rFonts w:ascii="Calibri" w:hAnsi="Calibri"/>
                          <w:b/>
                          <w:sz w:val="22"/>
                          <w:szCs w:val="22"/>
                        </w:rPr>
                      </w:pPr>
                      <w:r w:rsidRPr="000C19EF">
                        <w:rPr>
                          <w:rFonts w:ascii="Calibri" w:hAnsi="Calibri"/>
                          <w:b/>
                          <w:sz w:val="22"/>
                          <w:szCs w:val="22"/>
                        </w:rPr>
                        <w:t xml:space="preserve">Original Amount (US$) </w:t>
                      </w:r>
                    </w:p>
                  </w:tc>
                  <w:tc>
                    <w:tcPr>
                      <w:tcW w:w="1247" w:type="pct"/>
                      <w:tcBorders>
                        <w:bottom w:val="single" w:sz="12" w:space="0" w:color="D0CECE"/>
                      </w:tcBorders>
                      <w:shd w:val="clear" w:color="auto" w:fill="F7F7F7"/>
                      <w:vAlign w:val="center"/>
                    </w:tcPr>
                    <w:p w:rsidR="006F7012" w:rsidRPr="000C19EF" w:rsidRDefault="00B578E1" w:rsidP="008B685B">
                      <w:pPr>
                        <w:pStyle w:val="Normal75"/>
                        <w:keepNext/>
                        <w:widowControl/>
                        <w:jc w:val="right"/>
                        <w:rPr>
                          <w:rFonts w:ascii="Calibri" w:hAnsi="Calibri"/>
                          <w:b/>
                          <w:sz w:val="22"/>
                          <w:szCs w:val="22"/>
                        </w:rPr>
                      </w:pPr>
                      <w:r w:rsidRPr="000C19EF">
                        <w:rPr>
                          <w:rFonts w:ascii="Calibri" w:hAnsi="Calibri"/>
                          <w:b/>
                          <w:sz w:val="22"/>
                          <w:szCs w:val="22"/>
                        </w:rPr>
                        <w:t>Revised Amount (US$)</w:t>
                      </w:r>
                    </w:p>
                  </w:tc>
                  <w:tc>
                    <w:tcPr>
                      <w:tcW w:w="1215" w:type="pct"/>
                      <w:tcBorders>
                        <w:bottom w:val="single" w:sz="12" w:space="0" w:color="D0CECE"/>
                      </w:tcBorders>
                      <w:shd w:val="clear" w:color="auto" w:fill="F7F7F7"/>
                      <w:vAlign w:val="center"/>
                    </w:tcPr>
                    <w:p w:rsidR="006F7012" w:rsidRPr="000C19EF" w:rsidRDefault="00B578E1" w:rsidP="008B685B">
                      <w:pPr>
                        <w:pStyle w:val="Normal75"/>
                        <w:keepNext/>
                        <w:widowControl/>
                        <w:jc w:val="right"/>
                        <w:rPr>
                          <w:rFonts w:ascii="Calibri" w:hAnsi="Calibri"/>
                          <w:b/>
                          <w:sz w:val="22"/>
                          <w:szCs w:val="22"/>
                        </w:rPr>
                      </w:pPr>
                      <w:r w:rsidRPr="000C19EF">
                        <w:rPr>
                          <w:rFonts w:ascii="Calibri" w:hAnsi="Calibri"/>
                          <w:b/>
                          <w:sz w:val="22"/>
                          <w:szCs w:val="22"/>
                        </w:rPr>
                        <w:t>Actual Disbursed (US$)</w:t>
                      </w:r>
                    </w:p>
                  </w:tc>
                </w:tr>
                <w:tr w:rsidR="0006032A" w:rsidTr="008B685B">
                  <w:trPr>
                    <w:trHeight w:val="288"/>
                  </w:trPr>
                  <w:tc>
                    <w:tcPr>
                      <w:tcW w:w="1291" w:type="pct"/>
                      <w:gridSpan w:val="3"/>
                      <w:tcBorders>
                        <w:top w:val="single" w:sz="12" w:space="0" w:color="D0CECE"/>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World Bank Financing</w:t>
                      </w:r>
                    </w:p>
                  </w:tc>
                  <w:tc>
                    <w:tcPr>
                      <w:tcW w:w="1247" w:type="pct"/>
                      <w:tcBorders>
                        <w:top w:val="single" w:sz="12" w:space="0" w:color="D0CECE"/>
                      </w:tcBorders>
                      <w:shd w:val="clear" w:color="auto" w:fill="F7F7F7"/>
                      <w:vAlign w:val="center"/>
                    </w:tcPr>
                    <w:p w:rsidR="006F7012" w:rsidRPr="000C19EF" w:rsidRDefault="006F7012" w:rsidP="008B685B">
                      <w:pPr>
                        <w:pStyle w:val="Normal75"/>
                        <w:keepNext/>
                        <w:widowControl/>
                        <w:rPr>
                          <w:rFonts w:ascii="Calibri" w:hAnsi="Calibri"/>
                          <w:b/>
                          <w:sz w:val="22"/>
                          <w:szCs w:val="22"/>
                        </w:rPr>
                      </w:pPr>
                    </w:p>
                  </w:tc>
                  <w:tc>
                    <w:tcPr>
                      <w:tcW w:w="1247" w:type="pct"/>
                      <w:tcBorders>
                        <w:top w:val="single" w:sz="12" w:space="0" w:color="D0CECE"/>
                      </w:tcBorders>
                      <w:shd w:val="clear" w:color="auto" w:fill="F7F7F7"/>
                      <w:vAlign w:val="center"/>
                    </w:tcPr>
                    <w:p w:rsidR="006F7012" w:rsidRPr="000C19EF" w:rsidRDefault="006F7012" w:rsidP="008B685B">
                      <w:pPr>
                        <w:pStyle w:val="Normal75"/>
                        <w:keepNext/>
                        <w:widowControl/>
                        <w:rPr>
                          <w:rFonts w:ascii="Calibri" w:hAnsi="Calibri"/>
                          <w:b/>
                          <w:sz w:val="22"/>
                          <w:szCs w:val="22"/>
                        </w:rPr>
                      </w:pPr>
                    </w:p>
                  </w:tc>
                  <w:tc>
                    <w:tcPr>
                      <w:tcW w:w="1215" w:type="pct"/>
                      <w:tcBorders>
                        <w:top w:val="single" w:sz="12" w:space="0" w:color="D0CECE"/>
                      </w:tcBorders>
                      <w:shd w:val="clear" w:color="auto" w:fill="F7F7F7"/>
                      <w:vAlign w:val="center"/>
                    </w:tcPr>
                    <w:p w:rsidR="006F7012" w:rsidRPr="000C19EF" w:rsidRDefault="006F7012" w:rsidP="008B685B">
                      <w:pPr>
                        <w:pStyle w:val="Normal75"/>
                        <w:keepNext/>
                        <w:widowControl/>
                        <w:rPr>
                          <w:rFonts w:ascii="Calibri" w:hAnsi="Calibri"/>
                          <w:b/>
                          <w:sz w:val="22"/>
                          <w:szCs w:val="22"/>
                        </w:rPr>
                      </w:pPr>
                    </w:p>
                  </w:tc>
                </w:tr>
                <w:tr w:rsidR="0006032A" w:rsidTr="008B685B">
                  <w:trPr>
                    <w:trHeight w:val="432"/>
                  </w:trPr>
                  <w:tc>
                    <w:tcPr>
                      <w:tcW w:w="497" w:type="pct"/>
                      <w:shd w:val="clear" w:color="auto" w:fill="F7F7F7"/>
                      <w:vAlign w:val="center"/>
                    </w:tcPr>
                    <w:p w:rsidR="006F7012" w:rsidRPr="000C19EF" w:rsidRDefault="00B578E1" w:rsidP="008B685B">
                      <w:pPr>
                        <w:pStyle w:val="Normal75"/>
                        <w:keepNext/>
                        <w:widowControl/>
                        <w:rPr>
                          <w:rFonts w:ascii="Calibri" w:hAnsi="Calibri"/>
                          <w:noProof/>
                          <w:sz w:val="22"/>
                          <w:szCs w:val="22"/>
                        </w:rPr>
                      </w:pPr>
                      <w:r>
                        <w:rPr>
                          <w:rFonts w:ascii="Calibri" w:hAnsi="Calibri"/>
                          <w:noProof/>
                          <w:sz w:val="22"/>
                          <w:szCs w:val="22"/>
                        </w:rPr>
                        <w:t>P117443</w:t>
                      </w:r>
                    </w:p>
                  </w:tc>
                  <w:tc>
                    <w:tcPr>
                      <w:tcW w:w="794" w:type="pct"/>
                      <w:gridSpan w:val="2"/>
                      <w:shd w:val="clear" w:color="auto" w:fill="F7F7F7"/>
                      <w:vAlign w:val="center"/>
                    </w:tcPr>
                    <w:p w:rsidR="006F7012" w:rsidRPr="000C19EF" w:rsidRDefault="00B578E1" w:rsidP="008B685B">
                      <w:pPr>
                        <w:pStyle w:val="Normal75"/>
                        <w:keepNext/>
                        <w:widowControl/>
                        <w:rPr>
                          <w:rFonts w:ascii="Calibri" w:hAnsi="Calibri"/>
                          <w:noProof/>
                          <w:sz w:val="22"/>
                          <w:szCs w:val="22"/>
                        </w:rPr>
                      </w:pPr>
                      <w:r>
                        <w:rPr>
                          <w:rFonts w:ascii="Calibri" w:hAnsi="Calibri"/>
                          <w:bCs/>
                          <w:noProof/>
                          <w:sz w:val="22"/>
                          <w:szCs w:val="22"/>
                        </w:rPr>
                        <w:t>TF-99491</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3,000,000</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3,000,000</w:t>
                      </w:r>
                    </w:p>
                  </w:tc>
                  <w:tc>
                    <w:tcPr>
                      <w:tcW w:w="1215"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3,000,000</w:t>
                      </w:r>
                    </w:p>
                  </w:tc>
                </w:tr>
                <w:tr w:rsidR="0006032A" w:rsidTr="008B685B">
                  <w:trPr>
                    <w:trHeight w:val="432"/>
                  </w:trPr>
                  <w:tc>
                    <w:tcPr>
                      <w:tcW w:w="497" w:type="pct"/>
                      <w:shd w:val="clear" w:color="auto" w:fill="F7F7F7"/>
                      <w:vAlign w:val="center"/>
                    </w:tcPr>
                    <w:p w:rsidR="006F7012" w:rsidRPr="000C19EF" w:rsidRDefault="00B578E1" w:rsidP="008B685B">
                      <w:pPr>
                        <w:pStyle w:val="Normal75"/>
                        <w:keepNext/>
                        <w:widowControl/>
                        <w:rPr>
                          <w:rFonts w:ascii="Calibri" w:hAnsi="Calibri"/>
                          <w:noProof/>
                          <w:sz w:val="22"/>
                          <w:szCs w:val="22"/>
                        </w:rPr>
                      </w:pPr>
                      <w:r>
                        <w:rPr>
                          <w:rFonts w:ascii="Calibri" w:hAnsi="Calibri"/>
                          <w:noProof/>
                          <w:sz w:val="22"/>
                          <w:szCs w:val="22"/>
                        </w:rPr>
                        <w:t>P117443</w:t>
                      </w:r>
                    </w:p>
                  </w:tc>
                  <w:tc>
                    <w:tcPr>
                      <w:tcW w:w="794" w:type="pct"/>
                      <w:gridSpan w:val="2"/>
                      <w:shd w:val="clear" w:color="auto" w:fill="F7F7F7"/>
                      <w:vAlign w:val="center"/>
                    </w:tcPr>
                    <w:p w:rsidR="006F7012" w:rsidRPr="000C19EF" w:rsidRDefault="00B578E1" w:rsidP="008B685B">
                      <w:pPr>
                        <w:pStyle w:val="Normal75"/>
                        <w:keepNext/>
                        <w:widowControl/>
                        <w:rPr>
                          <w:rFonts w:ascii="Calibri" w:hAnsi="Calibri"/>
                          <w:noProof/>
                          <w:sz w:val="22"/>
                          <w:szCs w:val="22"/>
                        </w:rPr>
                      </w:pPr>
                      <w:r>
                        <w:rPr>
                          <w:rFonts w:ascii="Calibri" w:hAnsi="Calibri"/>
                          <w:bCs/>
                          <w:noProof/>
                          <w:sz w:val="22"/>
                          <w:szCs w:val="22"/>
                        </w:rPr>
                        <w:t>TF-15756</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3,000,000</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2,852,452</w:t>
                      </w:r>
                    </w:p>
                  </w:tc>
                  <w:tc>
                    <w:tcPr>
                      <w:tcW w:w="1215"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2,852,452</w:t>
                      </w:r>
                    </w:p>
                  </w:tc>
                </w:tr>
                <w:tr w:rsidR="0006032A" w:rsidTr="008B685B">
                  <w:trPr>
                    <w:trHeight w:val="432"/>
                  </w:trPr>
                  <w:tc>
                    <w:tcPr>
                      <w:tcW w:w="664" w:type="pct"/>
                      <w:gridSpan w:val="2"/>
                      <w:shd w:val="clear" w:color="auto" w:fill="F7F7F7"/>
                      <w:vAlign w:val="center"/>
                    </w:tcPr>
                    <w:p w:rsidR="006F7012" w:rsidRPr="000C19EF" w:rsidRDefault="00B578E1" w:rsidP="008B685B">
                      <w:pPr>
                        <w:pStyle w:val="Normal75"/>
                        <w:keepNext/>
                        <w:widowControl/>
                        <w:rPr>
                          <w:rFonts w:ascii="Calibri" w:hAnsi="Calibri"/>
                          <w:b/>
                          <w:bCs/>
                          <w:noProof/>
                          <w:sz w:val="22"/>
                          <w:szCs w:val="22"/>
                        </w:rPr>
                      </w:pPr>
                      <w:r w:rsidRPr="000C19EF">
                        <w:rPr>
                          <w:rFonts w:ascii="Calibri" w:hAnsi="Calibri"/>
                          <w:b/>
                          <w:bCs/>
                          <w:noProof/>
                          <w:sz w:val="22"/>
                          <w:szCs w:val="22"/>
                        </w:rPr>
                        <w:t>Total</w:t>
                      </w:r>
                    </w:p>
                  </w:tc>
                  <w:tc>
                    <w:tcPr>
                      <w:tcW w:w="627" w:type="pct"/>
                      <w:shd w:val="clear" w:color="auto" w:fill="F7F7F7"/>
                      <w:vAlign w:val="center"/>
                    </w:tcPr>
                    <w:p w:rsidR="006F7012" w:rsidRPr="000C19EF" w:rsidRDefault="006F7012" w:rsidP="008B685B">
                      <w:pPr>
                        <w:pStyle w:val="Normal75"/>
                        <w:keepNext/>
                        <w:widowControl/>
                        <w:rPr>
                          <w:rFonts w:ascii="Calibri" w:hAnsi="Calibri"/>
                          <w:b/>
                          <w:bCs/>
                          <w:noProof/>
                          <w:sz w:val="22"/>
                          <w:szCs w:val="22"/>
                        </w:rPr>
                      </w:pP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6,000,000</w:t>
                      </w:r>
                      <w:r>
                        <w:rPr>
                          <w:rFonts w:ascii="Calibri" w:hAnsi="Calibri"/>
                          <w:b/>
                          <w:sz w:val="22"/>
                          <w:szCs w:val="22"/>
                        </w:rPr>
                        <w:fldChar w:fldCharType="end"/>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5,852,452</w:t>
                      </w:r>
                      <w:r>
                        <w:rPr>
                          <w:rFonts w:ascii="Calibri" w:hAnsi="Calibri"/>
                          <w:b/>
                          <w:sz w:val="22"/>
                          <w:szCs w:val="22"/>
                        </w:rPr>
                        <w:fldChar w:fldCharType="end"/>
                      </w:r>
                    </w:p>
                  </w:tc>
                  <w:tc>
                    <w:tcPr>
                      <w:tcW w:w="1215" w:type="pct"/>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5,852,452</w:t>
                      </w:r>
                      <w:r>
                        <w:rPr>
                          <w:rFonts w:ascii="Calibri" w:hAnsi="Calibri"/>
                          <w:b/>
                          <w:sz w:val="22"/>
                          <w:szCs w:val="22"/>
                        </w:rPr>
                        <w:fldChar w:fldCharType="end"/>
                      </w:r>
                    </w:p>
                  </w:tc>
                </w:tr>
                <w:tr w:rsidR="0006032A" w:rsidTr="008B685B">
                  <w:trPr>
                    <w:trHeight w:val="438"/>
                  </w:trPr>
                  <w:tc>
                    <w:tcPr>
                      <w:tcW w:w="1291" w:type="pct"/>
                      <w:gridSpan w:val="3"/>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Non-World Bank Financing</w:t>
                      </w:r>
                    </w:p>
                  </w:tc>
                  <w:tc>
                    <w:tcPr>
                      <w:tcW w:w="1247" w:type="pct"/>
                      <w:shd w:val="clear" w:color="auto" w:fill="F7F7F7"/>
                      <w:vAlign w:val="bottom"/>
                    </w:tcPr>
                    <w:p w:rsidR="006F7012" w:rsidRPr="000C19EF" w:rsidRDefault="006F7012" w:rsidP="008B685B">
                      <w:pPr>
                        <w:pStyle w:val="Normal75"/>
                        <w:keepNext/>
                        <w:widowControl/>
                        <w:jc w:val="right"/>
                        <w:rPr>
                          <w:rFonts w:ascii="Calibri" w:hAnsi="Calibri"/>
                          <w:b/>
                          <w:sz w:val="22"/>
                          <w:szCs w:val="22"/>
                        </w:rPr>
                      </w:pPr>
                    </w:p>
                  </w:tc>
                  <w:tc>
                    <w:tcPr>
                      <w:tcW w:w="1247" w:type="pct"/>
                      <w:shd w:val="clear" w:color="auto" w:fill="F7F7F7"/>
                      <w:vAlign w:val="bottom"/>
                    </w:tcPr>
                    <w:p w:rsidR="006F7012" w:rsidRPr="000C19EF" w:rsidRDefault="006F7012" w:rsidP="008B685B">
                      <w:pPr>
                        <w:pStyle w:val="Normal75"/>
                        <w:keepNext/>
                        <w:widowControl/>
                        <w:jc w:val="right"/>
                        <w:rPr>
                          <w:rFonts w:ascii="Calibri" w:hAnsi="Calibri"/>
                          <w:b/>
                          <w:sz w:val="22"/>
                          <w:szCs w:val="22"/>
                        </w:rPr>
                      </w:pPr>
                    </w:p>
                  </w:tc>
                  <w:tc>
                    <w:tcPr>
                      <w:tcW w:w="1215" w:type="pct"/>
                      <w:shd w:val="clear" w:color="auto" w:fill="F7F7F7"/>
                      <w:vAlign w:val="bottom"/>
                    </w:tcPr>
                    <w:p w:rsidR="006F7012" w:rsidRPr="000C19EF" w:rsidRDefault="006F7012" w:rsidP="008B685B">
                      <w:pPr>
                        <w:pStyle w:val="Normal75"/>
                        <w:keepNext/>
                        <w:widowControl/>
                        <w:jc w:val="right"/>
                        <w:rPr>
                          <w:rFonts w:ascii="Calibri" w:hAnsi="Calibri"/>
                          <w:b/>
                          <w:sz w:val="22"/>
                          <w:szCs w:val="22"/>
                        </w:rPr>
                      </w:pPr>
                    </w:p>
                  </w:tc>
                </w:tr>
                <w:tr w:rsidR="0006032A" w:rsidTr="008B685B">
                  <w:trPr>
                    <w:trHeight w:val="432"/>
                  </w:trPr>
                  <w:tc>
                    <w:tcPr>
                      <w:tcW w:w="1291" w:type="pct"/>
                      <w:gridSpan w:val="3"/>
                      <w:shd w:val="clear" w:color="auto" w:fill="F7F7F7"/>
                      <w:vAlign w:val="center"/>
                    </w:tcPr>
                    <w:p w:rsidR="006F7012" w:rsidRPr="000C19EF" w:rsidRDefault="00B578E1" w:rsidP="008B685B">
                      <w:pPr>
                        <w:pStyle w:val="Normal75"/>
                        <w:keepNext/>
                        <w:widowControl/>
                        <w:rPr>
                          <w:rFonts w:ascii="Calibri" w:hAnsi="Calibri"/>
                          <w:noProof/>
                          <w:sz w:val="22"/>
                          <w:szCs w:val="22"/>
                        </w:rPr>
                      </w:pPr>
                      <w:r>
                        <w:rPr>
                          <w:rFonts w:ascii="Calibri" w:hAnsi="Calibri"/>
                          <w:noProof/>
                          <w:sz w:val="22"/>
                          <w:szCs w:val="22"/>
                        </w:rPr>
                        <w:t>Borrower</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 xml:space="preserve">   0</w:t>
                      </w:r>
                    </w:p>
                  </w:tc>
                  <w:tc>
                    <w:tcPr>
                      <w:tcW w:w="1247"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 xml:space="preserve">   0</w:t>
                      </w:r>
                    </w:p>
                  </w:tc>
                  <w:tc>
                    <w:tcPr>
                      <w:tcW w:w="1215" w:type="pct"/>
                      <w:shd w:val="clear" w:color="auto" w:fill="F7F7F7"/>
                      <w:vAlign w:val="center"/>
                    </w:tcPr>
                    <w:p w:rsidR="006F7012" w:rsidRPr="000C19EF" w:rsidRDefault="00B578E1" w:rsidP="008B685B">
                      <w:pPr>
                        <w:pStyle w:val="Normal75"/>
                        <w:keepNext/>
                        <w:widowControl/>
                        <w:jc w:val="right"/>
                        <w:rPr>
                          <w:rFonts w:ascii="Calibri" w:hAnsi="Calibri"/>
                          <w:noProof/>
                          <w:sz w:val="22"/>
                          <w:szCs w:val="22"/>
                        </w:rPr>
                      </w:pPr>
                      <w:r>
                        <w:rPr>
                          <w:rFonts w:ascii="Calibri" w:hAnsi="Calibri"/>
                          <w:noProof/>
                          <w:sz w:val="22"/>
                          <w:szCs w:val="22"/>
                        </w:rPr>
                        <w:t xml:space="preserve">   0</w:t>
                      </w:r>
                    </w:p>
                  </w:tc>
                </w:tr>
                <w:tr w:rsidR="0006032A" w:rsidTr="008B685B">
                  <w:trPr>
                    <w:trHeight w:val="432"/>
                  </w:trPr>
                  <w:tc>
                    <w:tcPr>
                      <w:tcW w:w="1291" w:type="pct"/>
                      <w:gridSpan w:val="3"/>
                      <w:tcBorders>
                        <w:bottom w:val="single" w:sz="4" w:space="0" w:color="D9D9D9"/>
                      </w:tcBorders>
                      <w:shd w:val="clear" w:color="auto" w:fill="F7F7F7"/>
                      <w:vAlign w:val="center"/>
                    </w:tcPr>
                    <w:p w:rsidR="006F7012" w:rsidRPr="000C19EF" w:rsidRDefault="00B578E1" w:rsidP="008B685B">
                      <w:pPr>
                        <w:pStyle w:val="Normal75"/>
                        <w:keepNext/>
                        <w:widowControl/>
                        <w:rPr>
                          <w:rFonts w:ascii="Calibri" w:hAnsi="Calibri"/>
                          <w:b/>
                          <w:bCs/>
                          <w:noProof/>
                          <w:sz w:val="22"/>
                          <w:szCs w:val="22"/>
                        </w:rPr>
                      </w:pPr>
                      <w:r w:rsidRPr="000C19EF">
                        <w:rPr>
                          <w:rFonts w:ascii="Calibri" w:hAnsi="Calibri"/>
                          <w:b/>
                          <w:bCs/>
                          <w:noProof/>
                          <w:sz w:val="22"/>
                          <w:szCs w:val="22"/>
                        </w:rPr>
                        <w:t>Total</w:t>
                      </w:r>
                    </w:p>
                  </w:tc>
                  <w:tc>
                    <w:tcPr>
                      <w:tcW w:w="1247" w:type="pct"/>
                      <w:tcBorders>
                        <w:bottom w:val="single" w:sz="4" w:space="0" w:color="D9D9D9"/>
                      </w:tcBorders>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 xml:space="preserve">   0</w:t>
                      </w:r>
                      <w:r>
                        <w:rPr>
                          <w:rFonts w:ascii="Calibri" w:hAnsi="Calibri"/>
                          <w:b/>
                          <w:sz w:val="22"/>
                          <w:szCs w:val="22"/>
                        </w:rPr>
                        <w:fldChar w:fldCharType="end"/>
                      </w:r>
                    </w:p>
                  </w:tc>
                  <w:tc>
                    <w:tcPr>
                      <w:tcW w:w="1247" w:type="pct"/>
                      <w:tcBorders>
                        <w:bottom w:val="single" w:sz="4" w:space="0" w:color="D9D9D9"/>
                      </w:tcBorders>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 xml:space="preserve">   0</w:t>
                      </w:r>
                      <w:r>
                        <w:rPr>
                          <w:rFonts w:ascii="Calibri" w:hAnsi="Calibri"/>
                          <w:b/>
                          <w:sz w:val="22"/>
                          <w:szCs w:val="22"/>
                        </w:rPr>
                        <w:fldChar w:fldCharType="end"/>
                      </w:r>
                    </w:p>
                  </w:tc>
                  <w:tc>
                    <w:tcPr>
                      <w:tcW w:w="1215" w:type="pct"/>
                      <w:tcBorders>
                        <w:bottom w:val="single" w:sz="4" w:space="0" w:color="D9D9D9"/>
                      </w:tcBorders>
                      <w:shd w:val="clear" w:color="auto" w:fill="F7F7F7"/>
                      <w:vAlign w:val="center"/>
                    </w:tcPr>
                    <w:p w:rsidR="006F7012" w:rsidRPr="000C19EF" w:rsidRDefault="00B578E1" w:rsidP="008B685B">
                      <w:pPr>
                        <w:pStyle w:val="Normal75"/>
                        <w:keepNext/>
                        <w:widowControl/>
                        <w:jc w:val="right"/>
                        <w:rPr>
                          <w:rFonts w:ascii="Calibri" w:hAnsi="Calibri"/>
                          <w:b/>
                          <w:noProof/>
                          <w:sz w:val="22"/>
                          <w:szCs w:val="22"/>
                        </w:rPr>
                      </w:pPr>
                      <w:r>
                        <w:rPr>
                          <w:rFonts w:ascii="Calibri" w:hAnsi="Calibri"/>
                          <w:b/>
                          <w:sz w:val="22"/>
                          <w:szCs w:val="22"/>
                        </w:rPr>
                        <w:fldChar w:fldCharType="begin"/>
                      </w:r>
                      <w:r>
                        <w:rPr>
                          <w:rFonts w:ascii="Calibri" w:hAnsi="Calibri"/>
                          <w:b/>
                          <w:sz w:val="22"/>
                          <w:szCs w:val="22"/>
                        </w:rPr>
                        <w:instrText xml:space="preserve"> =SUM(ABOVE) \# “#,##0” </w:instrText>
                      </w:r>
                      <w:r>
                        <w:rPr>
                          <w:rFonts w:ascii="Calibri" w:hAnsi="Calibri"/>
                          <w:b/>
                          <w:sz w:val="22"/>
                          <w:szCs w:val="22"/>
                        </w:rPr>
                        <w:fldChar w:fldCharType="separate"/>
                      </w:r>
                      <w:r>
                        <w:rPr>
                          <w:rFonts w:ascii="Calibri" w:hAnsi="Calibri"/>
                          <w:b/>
                          <w:sz w:val="22"/>
                          <w:szCs w:val="22"/>
                        </w:rPr>
                        <w:t xml:space="preserve">   0</w:t>
                      </w:r>
                      <w:r>
                        <w:rPr>
                          <w:rFonts w:ascii="Calibri" w:hAnsi="Calibri"/>
                          <w:b/>
                          <w:sz w:val="22"/>
                          <w:szCs w:val="22"/>
                        </w:rPr>
                        <w:fldChar w:fldCharType="end"/>
                      </w:r>
                    </w:p>
                  </w:tc>
                </w:tr>
                <w:tr w:rsidR="0006032A" w:rsidTr="008B685B">
                  <w:trPr>
                    <w:trHeight w:val="432"/>
                  </w:trPr>
                  <w:tc>
                    <w:tcPr>
                      <w:tcW w:w="1291" w:type="pct"/>
                      <w:gridSpan w:val="3"/>
                      <w:tcBorders>
                        <w:top w:val="single" w:sz="4" w:space="0" w:color="D9D9D9"/>
                        <w:bottom w:val="single" w:sz="4" w:space="0" w:color="D9D9D9"/>
                      </w:tcBorders>
                      <w:shd w:val="clear" w:color="auto" w:fill="F7F7F7"/>
                      <w:vAlign w:val="center"/>
                    </w:tcPr>
                    <w:p w:rsidR="006F7012" w:rsidRPr="00B63285" w:rsidRDefault="00B578E1" w:rsidP="008B685B">
                      <w:pPr>
                        <w:pStyle w:val="Normal75"/>
                        <w:keepNext/>
                        <w:widowControl/>
                        <w:rPr>
                          <w:rFonts w:ascii="Calibri" w:hAnsi="Calibri"/>
                          <w:b/>
                          <w:bCs/>
                          <w:noProof/>
                          <w:sz w:val="22"/>
                          <w:szCs w:val="22"/>
                        </w:rPr>
                      </w:pPr>
                      <w:r w:rsidRPr="00B63285">
                        <w:rPr>
                          <w:rFonts w:ascii="Calibri" w:hAnsi="Calibri"/>
                          <w:b/>
                          <w:noProof/>
                          <w:sz w:val="22"/>
                          <w:szCs w:val="22"/>
                        </w:rPr>
                        <w:t>Total Project Cost</w:t>
                      </w:r>
                    </w:p>
                  </w:tc>
                  <w:tc>
                    <w:tcPr>
                      <w:tcW w:w="1247" w:type="pct"/>
                      <w:tcBorders>
                        <w:top w:val="single" w:sz="4" w:space="0" w:color="D9D9D9"/>
                        <w:bottom w:val="single" w:sz="4" w:space="0" w:color="D9D9D9"/>
                      </w:tcBorders>
                      <w:shd w:val="clear" w:color="auto" w:fill="F7F7F7"/>
                      <w:vAlign w:val="center"/>
                    </w:tcPr>
                    <w:p w:rsidR="006F7012" w:rsidRPr="00B63285" w:rsidRDefault="00B578E1" w:rsidP="008B685B">
                      <w:pPr>
                        <w:pStyle w:val="Normal75"/>
                        <w:keepNext/>
                        <w:widowControl/>
                        <w:jc w:val="right"/>
                        <w:rPr>
                          <w:rFonts w:ascii="Calibri" w:hAnsi="Calibri"/>
                          <w:b/>
                          <w:noProof/>
                          <w:sz w:val="22"/>
                          <w:szCs w:val="22"/>
                        </w:rPr>
                      </w:pPr>
                      <w:r>
                        <w:rPr>
                          <w:rFonts w:ascii="Calibri" w:hAnsi="Calibri"/>
                          <w:b/>
                          <w:noProof/>
                          <w:sz w:val="22"/>
                          <w:szCs w:val="22"/>
                        </w:rPr>
                        <w:t>6,000,000</w:t>
                      </w:r>
                    </w:p>
                  </w:tc>
                  <w:tc>
                    <w:tcPr>
                      <w:tcW w:w="1247" w:type="pct"/>
                      <w:tcBorders>
                        <w:top w:val="single" w:sz="4" w:space="0" w:color="D9D9D9"/>
                        <w:bottom w:val="single" w:sz="4" w:space="0" w:color="D9D9D9"/>
                      </w:tcBorders>
                      <w:shd w:val="clear" w:color="auto" w:fill="F7F7F7"/>
                      <w:vAlign w:val="center"/>
                    </w:tcPr>
                    <w:p w:rsidR="006F7012" w:rsidRPr="00B63285" w:rsidRDefault="00B578E1" w:rsidP="008B685B">
                      <w:pPr>
                        <w:pStyle w:val="Normal75"/>
                        <w:keepNext/>
                        <w:widowControl/>
                        <w:jc w:val="right"/>
                        <w:rPr>
                          <w:rFonts w:ascii="Calibri" w:hAnsi="Calibri"/>
                          <w:b/>
                          <w:noProof/>
                          <w:sz w:val="22"/>
                          <w:szCs w:val="22"/>
                        </w:rPr>
                      </w:pPr>
                      <w:r>
                        <w:rPr>
                          <w:rFonts w:ascii="Calibri" w:hAnsi="Calibri"/>
                          <w:b/>
                          <w:noProof/>
                          <w:sz w:val="22"/>
                          <w:szCs w:val="22"/>
                        </w:rPr>
                        <w:t>5,852,452</w:t>
                      </w:r>
                    </w:p>
                  </w:tc>
                  <w:tc>
                    <w:tcPr>
                      <w:tcW w:w="1215" w:type="pct"/>
                      <w:tcBorders>
                        <w:top w:val="single" w:sz="4" w:space="0" w:color="D9D9D9"/>
                        <w:bottom w:val="single" w:sz="4" w:space="0" w:color="D9D9D9"/>
                      </w:tcBorders>
                      <w:shd w:val="clear" w:color="auto" w:fill="F7F7F7"/>
                      <w:vAlign w:val="center"/>
                    </w:tcPr>
                    <w:p w:rsidR="006F7012" w:rsidRPr="00B63285" w:rsidRDefault="00B578E1" w:rsidP="008B685B">
                      <w:pPr>
                        <w:pStyle w:val="Normal75"/>
                        <w:keepNext/>
                        <w:widowControl/>
                        <w:jc w:val="right"/>
                        <w:rPr>
                          <w:rFonts w:ascii="Calibri" w:hAnsi="Calibri"/>
                          <w:b/>
                          <w:noProof/>
                          <w:sz w:val="22"/>
                          <w:szCs w:val="22"/>
                        </w:rPr>
                      </w:pPr>
                      <w:r>
                        <w:rPr>
                          <w:rFonts w:ascii="Calibri" w:hAnsi="Calibri"/>
                          <w:b/>
                          <w:noProof/>
                          <w:sz w:val="22"/>
                          <w:szCs w:val="22"/>
                        </w:rPr>
                        <w:t>5,852,452</w:t>
                      </w:r>
                    </w:p>
                  </w:tc>
                </w:tr>
              </w:tbl>
              <w:p w:rsidR="006F7012" w:rsidRPr="007D4E7E" w:rsidRDefault="006F7012" w:rsidP="008B685B">
                <w:pPr>
                  <w:pStyle w:val="Normal75"/>
                  <w:keepNext/>
                  <w:widowControl/>
                  <w:autoSpaceDE/>
                  <w:autoSpaceDN/>
                  <w:adjustRightInd/>
                  <w:spacing w:after="160" w:line="259" w:lineRule="auto"/>
                  <w:rPr>
                    <w:rFonts w:ascii="Calibri" w:hAnsi="Calibri"/>
                    <w:sz w:val="22"/>
                    <w:szCs w:val="22"/>
                  </w:rPr>
                </w:pPr>
              </w:p>
            </w:tc>
          </w:tr>
          <w:tr w:rsidR="0006032A" w:rsidTr="008B685B">
            <w:trPr>
              <w:gridBefore w:val="1"/>
              <w:wBefore w:w="18" w:type="dxa"/>
              <w:trHeight w:val="342"/>
            </w:trPr>
            <w:tc>
              <w:tcPr>
                <w:tcW w:w="10602" w:type="dxa"/>
                <w:tcBorders>
                  <w:top w:val="nil"/>
                  <w:left w:val="nil"/>
                  <w:bottom w:val="nil"/>
                  <w:right w:val="nil"/>
                </w:tcBorders>
                <w:shd w:val="clear" w:color="auto" w:fill="F7F7F7"/>
                <w:vAlign w:val="center"/>
              </w:tcPr>
              <w:p w:rsidR="006F7012" w:rsidRPr="007D4E7E" w:rsidRDefault="006F7012" w:rsidP="008B685B">
                <w:pPr>
                  <w:pStyle w:val="Normal75"/>
                  <w:rPr>
                    <w:rFonts w:ascii="Calibri" w:hAnsi="Calibri"/>
                    <w:sz w:val="22"/>
                    <w:szCs w:val="22"/>
                  </w:rPr>
                </w:pPr>
              </w:p>
            </w:tc>
          </w:tr>
          <w:tr w:rsidR="0006032A" w:rsidTr="008B685B">
            <w:tblPrEx>
              <w:tblBorders>
                <w:top w:val="nil"/>
                <w:left w:val="nil"/>
                <w:bottom w:val="nil"/>
                <w:right w:val="nil"/>
                <w:insideH w:val="nil"/>
                <w:insideV w:val="nil"/>
              </w:tblBorders>
              <w:tblCellMar>
                <w:left w:w="0" w:type="dxa"/>
                <w:right w:w="0" w:type="dxa"/>
              </w:tblCellMar>
            </w:tblPrEx>
            <w:trPr>
              <w:trHeight w:val="450"/>
            </w:trPr>
            <w:tc>
              <w:tcPr>
                <w:tcW w:w="10620" w:type="dxa"/>
                <w:gridSpan w:val="2"/>
                <w:shd w:val="clear" w:color="auto" w:fill="F7F7F7"/>
                <w:vAlign w:val="center"/>
              </w:tcPr>
              <w:p w:rsidR="006F7012" w:rsidRDefault="006F7012" w:rsidP="008B685B">
                <w:pPr>
                  <w:pStyle w:val="Normal75"/>
                  <w:keepNext/>
                  <w:widowControl/>
                  <w:spacing w:line="14" w:lineRule="exact"/>
                  <w:rPr>
                    <w:rFonts w:ascii="Calibri" w:hAnsi="Calibri"/>
                    <w:b/>
                    <w:bCs/>
                    <w:sz w:val="22"/>
                    <w:szCs w:val="22"/>
                  </w:rPr>
                </w:pPr>
              </w:p>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0C19EF" w:rsidRDefault="00B578E1" w:rsidP="008B685B">
                      <w:pPr>
                        <w:pStyle w:val="Normal75"/>
                        <w:keepNext/>
                        <w:widowControl/>
                        <w:rPr>
                          <w:rFonts w:ascii="Calibri" w:hAnsi="Calibri"/>
                        </w:rPr>
                      </w:pPr>
                      <w:r w:rsidRPr="000C19EF">
                        <w:rPr>
                          <w:rFonts w:ascii="Calibri" w:hAnsi="Calibri"/>
                          <w:b/>
                          <w:bCs/>
                          <w:sz w:val="22"/>
                          <w:szCs w:val="22"/>
                        </w:rPr>
                        <w:t>KEY DATES</w:t>
                      </w:r>
                    </w:p>
                  </w:tc>
                </w:tr>
              </w:tbl>
              <w:p w:rsidR="006F7012" w:rsidRPr="00692E93" w:rsidRDefault="006F7012" w:rsidP="008B685B">
                <w:pPr>
                  <w:pStyle w:val="Normal75"/>
                  <w:keepNext/>
                  <w:widowControl/>
                  <w:rPr>
                    <w:rFonts w:ascii="Calibri" w:hAnsi="Calibri"/>
                    <w:sz w:val="22"/>
                    <w:szCs w:val="22"/>
                  </w:rPr>
                </w:pPr>
              </w:p>
            </w:tc>
          </w:tr>
        </w:tbl>
        <w:p w:rsidR="006F7012" w:rsidRPr="00D52CF0" w:rsidRDefault="006F7012" w:rsidP="006F7012">
          <w:pPr>
            <w:pStyle w:val="Normal75"/>
            <w:keepNext/>
            <w:widowControl/>
            <w:shd w:val="clear" w:color="auto" w:fill="F7F7F7"/>
            <w:spacing w:line="14" w:lineRule="exact"/>
            <w:ind w:left="-691" w:right="-518"/>
            <w:rPr>
              <w:rFonts w:ascii="Calibri" w:hAnsi="Calibri"/>
              <w:color w:val="F7F7F7"/>
              <w:sz w:val="22"/>
              <w:szCs w:val="22"/>
            </w:rPr>
          </w:pPr>
        </w:p>
        <w:tbl>
          <w:tblPr>
            <w:tblStyle w:val="TableGrid13"/>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firstRow="1" w:lastRow="0" w:firstColumn="1" w:lastColumn="0" w:noHBand="0" w:noVBand="1"/>
          </w:tblPr>
          <w:tblGrid>
            <w:gridCol w:w="1710"/>
            <w:gridCol w:w="1170"/>
            <w:gridCol w:w="2430"/>
            <w:gridCol w:w="2430"/>
            <w:gridCol w:w="1620"/>
            <w:gridCol w:w="1260"/>
          </w:tblGrid>
          <w:tr w:rsidR="0006032A" w:rsidTr="008B685B">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rsidR="006F7012" w:rsidRDefault="00B578E1" w:rsidP="008B685B">
                <w:pPr>
                  <w:pStyle w:val="Normal75"/>
                  <w:keepNext/>
                  <w:widowControl/>
                  <w:rPr>
                    <w:rFonts w:ascii="Calibri" w:hAnsi="Calibri"/>
                    <w:sz w:val="22"/>
                    <w:szCs w:val="22"/>
                  </w:rPr>
                </w:pPr>
                <w:r>
                  <w:rPr>
                    <w:rFonts w:ascii="Calibri" w:hAnsi="Calibri"/>
                    <w:sz w:val="22"/>
                    <w:szCs w:val="22"/>
                  </w:rPr>
                  <w:t>FIN_TABLE_DATA</w:t>
                </w:r>
              </w:p>
              <w:p w:rsidR="006F7012" w:rsidRDefault="006F7012" w:rsidP="008B685B">
                <w:pPr>
                  <w:pStyle w:val="Normal75"/>
                  <w:keepNext/>
                  <w:widowControl/>
                  <w:rPr>
                    <w:rFonts w:ascii="Calibri" w:hAnsi="Calibri"/>
                    <w:sz w:val="22"/>
                    <w:szCs w:val="22"/>
                  </w:rPr>
                </w:pPr>
              </w:p>
            </w:tc>
            <w:tc>
              <w:tcPr>
                <w:tcW w:w="1170" w:type="dxa"/>
                <w:tcBorders>
                  <w:top w:val="nil"/>
                  <w:left w:val="nil"/>
                  <w:bottom w:val="nil"/>
                  <w:right w:val="nil"/>
                </w:tcBorders>
                <w:shd w:val="clear" w:color="auto" w:fill="F7F7F7"/>
              </w:tcPr>
              <w:p w:rsidR="006F7012" w:rsidRDefault="006F7012" w:rsidP="008B685B">
                <w:pPr>
                  <w:pStyle w:val="Normal75"/>
                  <w:keepNext/>
                  <w:widowControl/>
                  <w:rPr>
                    <w:rFonts w:ascii="Calibri" w:hAnsi="Calibri"/>
                    <w:sz w:val="22"/>
                    <w:szCs w:val="22"/>
                  </w:rPr>
                </w:pPr>
              </w:p>
            </w:tc>
            <w:tc>
              <w:tcPr>
                <w:tcW w:w="2430" w:type="dxa"/>
                <w:tcBorders>
                  <w:top w:val="nil"/>
                  <w:left w:val="nil"/>
                  <w:bottom w:val="nil"/>
                  <w:right w:val="nil"/>
                </w:tcBorders>
                <w:shd w:val="clear" w:color="auto" w:fill="F7F7F7"/>
              </w:tcPr>
              <w:p w:rsidR="006F7012" w:rsidRDefault="006F7012" w:rsidP="008B685B">
                <w:pPr>
                  <w:pStyle w:val="Normal75"/>
                  <w:keepNext/>
                  <w:widowControl/>
                  <w:rPr>
                    <w:rFonts w:ascii="Calibri" w:hAnsi="Calibri"/>
                    <w:sz w:val="22"/>
                    <w:szCs w:val="22"/>
                  </w:rPr>
                </w:pPr>
              </w:p>
            </w:tc>
            <w:tc>
              <w:tcPr>
                <w:tcW w:w="2430" w:type="dxa"/>
                <w:tcBorders>
                  <w:top w:val="nil"/>
                  <w:left w:val="nil"/>
                  <w:bottom w:val="nil"/>
                  <w:right w:val="nil"/>
                </w:tcBorders>
                <w:shd w:val="clear" w:color="auto" w:fill="F7F7F7"/>
              </w:tcPr>
              <w:p w:rsidR="006F7012" w:rsidRDefault="006F7012" w:rsidP="008B685B">
                <w:pPr>
                  <w:pStyle w:val="Normal75"/>
                  <w:keepNext/>
                  <w:widowControl/>
                  <w:rPr>
                    <w:rFonts w:ascii="Calibri" w:hAnsi="Calibri"/>
                    <w:sz w:val="22"/>
                    <w:szCs w:val="22"/>
                  </w:rPr>
                </w:pPr>
              </w:p>
            </w:tc>
            <w:tc>
              <w:tcPr>
                <w:tcW w:w="1620" w:type="dxa"/>
                <w:tcBorders>
                  <w:top w:val="nil"/>
                  <w:left w:val="nil"/>
                  <w:bottom w:val="nil"/>
                  <w:right w:val="nil"/>
                </w:tcBorders>
                <w:shd w:val="clear" w:color="auto" w:fill="F7F7F7"/>
              </w:tcPr>
              <w:p w:rsidR="006F7012" w:rsidRDefault="006F7012" w:rsidP="008B685B">
                <w:pPr>
                  <w:pStyle w:val="Normal75"/>
                  <w:keepNext/>
                  <w:widowControl/>
                  <w:rPr>
                    <w:rFonts w:ascii="Calibri" w:hAnsi="Calibri"/>
                    <w:sz w:val="22"/>
                    <w:szCs w:val="22"/>
                  </w:rPr>
                </w:pPr>
              </w:p>
            </w:tc>
            <w:tc>
              <w:tcPr>
                <w:tcW w:w="1260" w:type="dxa"/>
                <w:tcBorders>
                  <w:top w:val="nil"/>
                  <w:left w:val="nil"/>
                  <w:bottom w:val="nil"/>
                  <w:right w:val="nil"/>
                </w:tcBorders>
                <w:shd w:val="clear" w:color="auto" w:fill="F7F7F7"/>
              </w:tcPr>
              <w:p w:rsidR="006F7012" w:rsidRDefault="006F7012" w:rsidP="008B685B">
                <w:pPr>
                  <w:pStyle w:val="Normal75"/>
                  <w:keepNext/>
                  <w:widowControl/>
                  <w:rPr>
                    <w:rFonts w:ascii="Calibri" w:hAnsi="Calibri"/>
                    <w:sz w:val="22"/>
                    <w:szCs w:val="22"/>
                  </w:rPr>
                </w:pPr>
              </w:p>
            </w:tc>
          </w:tr>
        </w:tbl>
        <w:tbl>
          <w:tblPr>
            <w:tblStyle w:val="TableGrid9111"/>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firstRow="1" w:lastRow="0" w:firstColumn="1" w:lastColumn="0" w:noHBand="0" w:noVBand="1"/>
          </w:tblPr>
          <w:tblGrid>
            <w:gridCol w:w="1890"/>
            <w:gridCol w:w="1746"/>
            <w:gridCol w:w="1746"/>
            <w:gridCol w:w="1746"/>
            <w:gridCol w:w="1746"/>
            <w:gridCol w:w="1746"/>
          </w:tblGrid>
          <w:tr w:rsidR="0006032A" w:rsidTr="008B685B">
            <w:trPr>
              <w:trHeight w:val="353"/>
            </w:trPr>
            <w:tc>
              <w:tcPr>
                <w:tcW w:w="890" w:type="pct"/>
                <w:tcBorders>
                  <w:top w:val="nil"/>
                  <w:bottom w:val="single" w:sz="12" w:space="0" w:color="D0CECE"/>
                  <w:right w:val="single" w:sz="4" w:space="0" w:color="D9D9D9"/>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Project</w:t>
                </w:r>
              </w:p>
            </w:tc>
            <w:tc>
              <w:tcPr>
                <w:tcW w:w="822" w:type="pct"/>
                <w:tcBorders>
                  <w:top w:val="nil"/>
                  <w:left w:val="single" w:sz="4" w:space="0" w:color="D9D9D9"/>
                  <w:bottom w:val="single" w:sz="12" w:space="0" w:color="D0CECE"/>
                  <w:right w:val="single" w:sz="4" w:space="0" w:color="D9D9D9"/>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Approval</w:t>
                </w:r>
              </w:p>
            </w:tc>
            <w:tc>
              <w:tcPr>
                <w:tcW w:w="822" w:type="pct"/>
                <w:tcBorders>
                  <w:top w:val="nil"/>
                  <w:left w:val="single" w:sz="4" w:space="0" w:color="D9D9D9"/>
                  <w:bottom w:val="single" w:sz="12" w:space="0" w:color="D0CECE"/>
                  <w:right w:val="single" w:sz="4" w:space="0" w:color="D9D9D9"/>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Effectiveness</w:t>
                </w:r>
              </w:p>
            </w:tc>
            <w:tc>
              <w:tcPr>
                <w:tcW w:w="822" w:type="pct"/>
                <w:tcBorders>
                  <w:top w:val="nil"/>
                  <w:left w:val="single" w:sz="4" w:space="0" w:color="D9D9D9"/>
                  <w:bottom w:val="single" w:sz="12" w:space="0" w:color="D0CECE"/>
                  <w:right w:val="single" w:sz="4" w:space="0" w:color="D9D9D9"/>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MTR Review</w:t>
                </w:r>
              </w:p>
            </w:tc>
            <w:tc>
              <w:tcPr>
                <w:tcW w:w="822" w:type="pct"/>
                <w:tcBorders>
                  <w:top w:val="nil"/>
                  <w:left w:val="single" w:sz="4" w:space="0" w:color="D9D9D9"/>
                  <w:bottom w:val="single" w:sz="12" w:space="0" w:color="D0CECE"/>
                  <w:right w:val="single" w:sz="4" w:space="0" w:color="D9D9D9"/>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Original Closing</w:t>
                </w:r>
              </w:p>
            </w:tc>
            <w:tc>
              <w:tcPr>
                <w:tcW w:w="822" w:type="pct"/>
                <w:tcBorders>
                  <w:top w:val="nil"/>
                  <w:left w:val="single" w:sz="4" w:space="0" w:color="D9D9D9"/>
                  <w:bottom w:val="single" w:sz="12" w:space="0" w:color="D0CECE"/>
                </w:tcBorders>
                <w:shd w:val="clear" w:color="auto" w:fill="F7F7F7"/>
                <w:vAlign w:val="center"/>
              </w:tcPr>
              <w:p w:rsidR="006F7012" w:rsidRPr="000C19EF" w:rsidRDefault="00B578E1" w:rsidP="008B685B">
                <w:pPr>
                  <w:pStyle w:val="Normal75"/>
                  <w:keepNext/>
                  <w:widowControl/>
                  <w:rPr>
                    <w:rFonts w:ascii="Calibri" w:hAnsi="Calibri"/>
                    <w:b/>
                    <w:sz w:val="22"/>
                    <w:szCs w:val="22"/>
                  </w:rPr>
                </w:pPr>
                <w:r w:rsidRPr="000C19EF">
                  <w:rPr>
                    <w:rFonts w:ascii="Calibri" w:hAnsi="Calibri"/>
                    <w:b/>
                    <w:sz w:val="22"/>
                    <w:szCs w:val="22"/>
                  </w:rPr>
                  <w:t>Actual Closing</w:t>
                </w:r>
              </w:p>
            </w:tc>
          </w:tr>
          <w:tr w:rsidR="0006032A" w:rsidTr="008B685B">
            <w:trPr>
              <w:trHeight w:val="353"/>
            </w:trPr>
            <w:tc>
              <w:tcPr>
                <w:tcW w:w="890" w:type="pct"/>
                <w:tcBorders>
                  <w:top w:val="single" w:sz="4" w:space="0" w:color="D0CECE"/>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P117443</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31-Mar-2011</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29-Jul-2011</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22-Apr-2013</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31-Dec-2015</w:t>
                </w:r>
              </w:p>
            </w:tc>
            <w:tc>
              <w:tcPr>
                <w:tcW w:w="822" w:type="pct"/>
                <w:tcBorders>
                  <w:top w:val="single" w:sz="4" w:space="0" w:color="D0CECE"/>
                  <w:left w:val="single" w:sz="4" w:space="0" w:color="D9D9D9"/>
                  <w:bottom w:val="single" w:sz="4" w:space="0" w:color="D0CECE"/>
                </w:tcBorders>
                <w:shd w:val="clear" w:color="auto" w:fill="F7F7F7"/>
                <w:vAlign w:val="center"/>
              </w:tcPr>
              <w:p w:rsidR="006F7012" w:rsidRPr="000C19EF" w:rsidRDefault="00B578E1" w:rsidP="008B685B">
                <w:pPr>
                  <w:pStyle w:val="Normal75"/>
                  <w:rPr>
                    <w:rFonts w:ascii="Calibri" w:hAnsi="Calibri"/>
                    <w:b/>
                    <w:sz w:val="22"/>
                    <w:szCs w:val="22"/>
                  </w:rPr>
                </w:pPr>
                <w:r>
                  <w:rPr>
                    <w:rFonts w:ascii="Calibri" w:hAnsi="Calibri"/>
                    <w:noProof/>
                    <w:sz w:val="22"/>
                    <w:szCs w:val="22"/>
                  </w:rPr>
                  <w:t>31-Dec-2017</w:t>
                </w:r>
              </w:p>
            </w:tc>
          </w:tr>
          <w:tr w:rsidR="0006032A" w:rsidTr="008B685B">
            <w:trPr>
              <w:trHeight w:val="353"/>
            </w:trPr>
            <w:tc>
              <w:tcPr>
                <w:tcW w:w="890" w:type="pct"/>
                <w:tcBorders>
                  <w:top w:val="single" w:sz="4" w:space="0" w:color="D0CECE"/>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P153889</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24-Jun-2015</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08-Jul-2015</w:t>
                </w: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6F7012" w:rsidP="008B685B">
                <w:pPr>
                  <w:pStyle w:val="Normal75"/>
                  <w:rPr>
                    <w:rFonts w:ascii="Calibri" w:hAnsi="Calibri"/>
                    <w:sz w:val="22"/>
                    <w:szCs w:val="22"/>
                  </w:rPr>
                </w:pPr>
              </w:p>
            </w:tc>
            <w:tc>
              <w:tcPr>
                <w:tcW w:w="822" w:type="pct"/>
                <w:tcBorders>
                  <w:top w:val="single" w:sz="4" w:space="0" w:color="D0CECE"/>
                  <w:left w:val="single" w:sz="4" w:space="0" w:color="D9D9D9"/>
                  <w:bottom w:val="single" w:sz="4" w:space="0" w:color="D0CECE"/>
                  <w:right w:val="single" w:sz="4" w:space="0" w:color="D9D9D9"/>
                </w:tcBorders>
                <w:shd w:val="clear" w:color="auto" w:fill="F7F7F7"/>
                <w:vAlign w:val="center"/>
              </w:tcPr>
              <w:p w:rsidR="006F7012" w:rsidRPr="000C19EF" w:rsidRDefault="00B578E1" w:rsidP="008B685B">
                <w:pPr>
                  <w:pStyle w:val="Normal75"/>
                  <w:rPr>
                    <w:rFonts w:ascii="Calibri" w:hAnsi="Calibri"/>
                    <w:sz w:val="22"/>
                    <w:szCs w:val="22"/>
                  </w:rPr>
                </w:pPr>
                <w:r>
                  <w:rPr>
                    <w:rFonts w:ascii="Calibri" w:hAnsi="Calibri"/>
                    <w:noProof/>
                    <w:sz w:val="22"/>
                    <w:szCs w:val="22"/>
                  </w:rPr>
                  <w:t>31-Dec-2017</w:t>
                </w:r>
              </w:p>
            </w:tc>
            <w:tc>
              <w:tcPr>
                <w:tcW w:w="822" w:type="pct"/>
                <w:tcBorders>
                  <w:top w:val="single" w:sz="4" w:space="0" w:color="D0CECE"/>
                  <w:left w:val="single" w:sz="4" w:space="0" w:color="D9D9D9"/>
                  <w:bottom w:val="single" w:sz="4" w:space="0" w:color="D0CECE"/>
                </w:tcBorders>
                <w:shd w:val="clear" w:color="auto" w:fill="F7F7F7"/>
                <w:vAlign w:val="center"/>
              </w:tcPr>
              <w:p w:rsidR="006F7012" w:rsidRPr="000C19EF" w:rsidRDefault="00B578E1" w:rsidP="008B685B">
                <w:pPr>
                  <w:pStyle w:val="Normal75"/>
                  <w:rPr>
                    <w:rFonts w:ascii="Calibri" w:hAnsi="Calibri"/>
                    <w:b/>
                    <w:sz w:val="22"/>
                    <w:szCs w:val="22"/>
                  </w:rPr>
                </w:pPr>
                <w:r>
                  <w:rPr>
                    <w:rFonts w:ascii="Calibri" w:hAnsi="Calibri"/>
                    <w:noProof/>
                    <w:sz w:val="22"/>
                    <w:szCs w:val="22"/>
                  </w:rPr>
                  <w:t>30-Oct-2015</w:t>
                </w:r>
              </w:p>
            </w:tc>
          </w:tr>
        </w:tbl>
        <w:p w:rsidR="006F7012" w:rsidRDefault="006F7012" w:rsidP="006F7012">
          <w:pPr>
            <w:pStyle w:val="Normal75"/>
            <w:shd w:val="clear" w:color="auto" w:fill="F7F7F7"/>
            <w:ind w:left="-691" w:right="-518"/>
            <w:rPr>
              <w:rFonts w:ascii="Calibri" w:hAnsi="Calibri"/>
              <w:color w:val="767171"/>
              <w:sz w:val="22"/>
              <w:szCs w:val="22"/>
            </w:rPr>
          </w:pPr>
        </w:p>
        <w:p w:rsidR="006F701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06032A" w:rsidTr="008B685B">
            <w:trPr>
              <w:trHeight w:val="450"/>
            </w:trPr>
            <w:tc>
              <w:tcPr>
                <w:tcW w:w="10620" w:type="dxa"/>
                <w:shd w:val="clear" w:color="auto" w:fill="F7F7F7"/>
                <w:vAlign w:val="center"/>
              </w:tcPr>
              <w:p w:rsidR="006F7012" w:rsidRDefault="006F7012" w:rsidP="008B685B">
                <w:pPr>
                  <w:pStyle w:val="Normal75"/>
                  <w:keepNext/>
                  <w:widowControl/>
                  <w:spacing w:line="14" w:lineRule="exact"/>
                  <w:rPr>
                    <w:rFonts w:ascii="Calibri" w:hAnsi="Calibri"/>
                    <w:b/>
                    <w:bCs/>
                    <w:sz w:val="22"/>
                    <w:szCs w:val="22"/>
                  </w:rPr>
                </w:pPr>
              </w:p>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E166E7" w:rsidRDefault="00B578E1" w:rsidP="008B685B">
                      <w:pPr>
                        <w:pStyle w:val="Normal75"/>
                        <w:keepNext/>
                        <w:widowControl/>
                        <w:rPr>
                          <w:rFonts w:ascii="Calibri" w:hAnsi="Calibri"/>
                        </w:rPr>
                      </w:pPr>
                      <w:r w:rsidRPr="00380AA7">
                        <w:rPr>
                          <w:rFonts w:ascii="Calibri" w:hAnsi="Calibri"/>
                          <w:b/>
                          <w:bCs/>
                          <w:sz w:val="22"/>
                          <w:szCs w:val="22"/>
                        </w:rPr>
                        <w:t>RESTRUCTURING AND/OR ADDITIONAL FINANCING</w:t>
                      </w:r>
                    </w:p>
                  </w:tc>
                </w:tr>
              </w:tbl>
              <w:p w:rsidR="006F7012" w:rsidRPr="00692E93" w:rsidRDefault="006F7012" w:rsidP="008B685B">
                <w:pPr>
                  <w:pStyle w:val="Normal75"/>
                  <w:keepNext/>
                  <w:widowControl/>
                  <w:rPr>
                    <w:rFonts w:ascii="Calibri" w:hAnsi="Calibri"/>
                    <w:sz w:val="22"/>
                    <w:szCs w:val="22"/>
                  </w:rPr>
                </w:pPr>
              </w:p>
            </w:tc>
          </w:tr>
        </w:tbl>
        <w:p w:rsidR="006F7012" w:rsidRPr="00E1443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9111"/>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firstRow="1" w:lastRow="0" w:firstColumn="1" w:lastColumn="0" w:noHBand="0" w:noVBand="1"/>
          </w:tblPr>
          <w:tblGrid>
            <w:gridCol w:w="2576"/>
            <w:gridCol w:w="2648"/>
            <w:gridCol w:w="5386"/>
          </w:tblGrid>
          <w:tr w:rsidR="0006032A" w:rsidTr="008B685B">
            <w:trPr>
              <w:trHeight w:val="281"/>
            </w:trPr>
            <w:tc>
              <w:tcPr>
                <w:tcW w:w="1214" w:type="pct"/>
                <w:shd w:val="clear" w:color="auto" w:fill="F7F7F7"/>
                <w:vAlign w:val="center"/>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sidRPr="00D21396">
                  <w:rPr>
                    <w:rFonts w:ascii="Calibri" w:hAnsi="Calibri" w:cs="Times New Roman"/>
                    <w:b/>
                    <w:color w:val="auto"/>
                    <w:sz w:val="22"/>
                    <w:szCs w:val="22"/>
                  </w:rPr>
                  <w:t>Date(s)</w:t>
                </w:r>
              </w:p>
            </w:tc>
            <w:tc>
              <w:tcPr>
                <w:tcW w:w="1248" w:type="pct"/>
                <w:shd w:val="clear" w:color="auto" w:fill="F7F7F7"/>
                <w:vAlign w:val="center"/>
              </w:tcPr>
              <w:p w:rsidR="006F7012" w:rsidRPr="00D21396" w:rsidRDefault="00B578E1" w:rsidP="008B685B">
                <w:pPr>
                  <w:pStyle w:val="Normal75"/>
                  <w:keepNext/>
                  <w:widowControl/>
                  <w:autoSpaceDE/>
                  <w:autoSpaceDN/>
                  <w:adjustRightInd/>
                  <w:jc w:val="right"/>
                  <w:rPr>
                    <w:rFonts w:ascii="Calibri" w:hAnsi="Calibri" w:cs="Times New Roman"/>
                    <w:b/>
                    <w:color w:val="auto"/>
                    <w:sz w:val="22"/>
                    <w:szCs w:val="22"/>
                  </w:rPr>
                </w:pPr>
                <w:r w:rsidRPr="00D21396">
                  <w:rPr>
                    <w:rFonts w:ascii="Calibri" w:hAnsi="Calibri" w:cs="Times New Roman"/>
                    <w:b/>
                    <w:color w:val="auto"/>
                    <w:sz w:val="22"/>
                    <w:szCs w:val="22"/>
                  </w:rPr>
                  <w:t xml:space="preserve">Amount Disbursed </w:t>
                </w:r>
                <w:r>
                  <w:rPr>
                    <w:rFonts w:ascii="Calibri" w:hAnsi="Calibri" w:cs="Times New Roman"/>
                    <w:b/>
                    <w:color w:val="auto"/>
                    <w:sz w:val="22"/>
                    <w:szCs w:val="22"/>
                  </w:rPr>
                  <w:t>(</w:t>
                </w:r>
                <w:r w:rsidRPr="00D21396">
                  <w:rPr>
                    <w:rFonts w:ascii="Calibri" w:hAnsi="Calibri" w:cs="Times New Roman"/>
                    <w:b/>
                    <w:color w:val="auto"/>
                    <w:sz w:val="22"/>
                    <w:szCs w:val="22"/>
                  </w:rPr>
                  <w:t>US$M)</w:t>
                </w:r>
              </w:p>
            </w:tc>
            <w:tc>
              <w:tcPr>
                <w:tcW w:w="2538" w:type="pct"/>
                <w:shd w:val="clear" w:color="auto" w:fill="F7F7F7"/>
                <w:vAlign w:val="center"/>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sidRPr="00D21396">
                  <w:rPr>
                    <w:rFonts w:ascii="Calibri" w:hAnsi="Calibri" w:cs="Times New Roman"/>
                    <w:b/>
                    <w:color w:val="auto"/>
                    <w:sz w:val="22"/>
                    <w:szCs w:val="22"/>
                  </w:rPr>
                  <w:t>Key Revisions</w:t>
                </w:r>
              </w:p>
            </w:tc>
          </w:tr>
          <w:tr w:rsidR="0006032A" w:rsidTr="008B685B">
            <w:trPr>
              <w:trHeight w:val="281"/>
            </w:trPr>
            <w:tc>
              <w:tcPr>
                <w:tcW w:w="1214" w:type="pct"/>
                <w:shd w:val="clear" w:color="auto" w:fill="F7F7F7"/>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Pr>
                    <w:rFonts w:ascii="Calibri" w:hAnsi="Calibri" w:cs="Times New Roman"/>
                    <w:noProof/>
                    <w:color w:val="auto"/>
                    <w:sz w:val="22"/>
                    <w:szCs w:val="22"/>
                  </w:rPr>
                  <w:t>18-Feb-2014</w:t>
                </w:r>
              </w:p>
            </w:tc>
            <w:tc>
              <w:tcPr>
                <w:tcW w:w="1248" w:type="pct"/>
                <w:shd w:val="clear" w:color="auto" w:fill="F7F7F7"/>
              </w:tcPr>
              <w:p w:rsidR="006F7012" w:rsidRPr="00D21396" w:rsidRDefault="00B578E1" w:rsidP="008B685B">
                <w:pPr>
                  <w:pStyle w:val="Normal75"/>
                  <w:keepNext/>
                  <w:widowControl/>
                  <w:autoSpaceDE/>
                  <w:autoSpaceDN/>
                  <w:adjustRightInd/>
                  <w:jc w:val="right"/>
                  <w:rPr>
                    <w:rFonts w:ascii="Calibri" w:hAnsi="Calibri" w:cs="Times New Roman"/>
                    <w:b/>
                    <w:color w:val="auto"/>
                    <w:sz w:val="22"/>
                    <w:szCs w:val="22"/>
                  </w:rPr>
                </w:pPr>
                <w:r>
                  <w:rPr>
                    <w:rFonts w:ascii="Calibri" w:hAnsi="Calibri" w:cs="Times New Roman"/>
                    <w:noProof/>
                    <w:color w:val="auto"/>
                    <w:sz w:val="22"/>
                    <w:szCs w:val="22"/>
                  </w:rPr>
                  <w:t>2.67</w:t>
                </w:r>
              </w:p>
            </w:tc>
            <w:tc>
              <w:tcPr>
                <w:tcW w:w="2538" w:type="pct"/>
                <w:shd w:val="clear" w:color="auto" w:fill="F7F7F7"/>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Pr>
                    <w:rFonts w:ascii="Calibri" w:hAnsi="Calibri"/>
                    <w:noProof/>
                    <w:sz w:val="22"/>
                    <w:szCs w:val="22"/>
                  </w:rPr>
                  <w:t>Change in Results Framework</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Change in Loan Closing Date(s)</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Reallocation between Disbursement Categories</w:t>
                </w:r>
              </w:p>
            </w:tc>
          </w:tr>
          <w:tr w:rsidR="0006032A" w:rsidTr="008B685B">
            <w:trPr>
              <w:trHeight w:val="281"/>
            </w:trPr>
            <w:tc>
              <w:tcPr>
                <w:tcW w:w="1214" w:type="pct"/>
                <w:shd w:val="clear" w:color="auto" w:fill="F7F7F7"/>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Pr>
                    <w:rFonts w:ascii="Calibri" w:hAnsi="Calibri" w:cs="Times New Roman"/>
                    <w:noProof/>
                    <w:color w:val="auto"/>
                    <w:sz w:val="22"/>
                    <w:szCs w:val="22"/>
                  </w:rPr>
                  <w:t>24-Jun-2015</w:t>
                </w:r>
              </w:p>
            </w:tc>
            <w:tc>
              <w:tcPr>
                <w:tcW w:w="1248" w:type="pct"/>
                <w:shd w:val="clear" w:color="auto" w:fill="F7F7F7"/>
              </w:tcPr>
              <w:p w:rsidR="006F7012" w:rsidRPr="00D21396" w:rsidRDefault="00B578E1" w:rsidP="008B685B">
                <w:pPr>
                  <w:pStyle w:val="Normal75"/>
                  <w:keepNext/>
                  <w:widowControl/>
                  <w:autoSpaceDE/>
                  <w:autoSpaceDN/>
                  <w:adjustRightInd/>
                  <w:jc w:val="right"/>
                  <w:rPr>
                    <w:rFonts w:ascii="Calibri" w:hAnsi="Calibri" w:cs="Times New Roman"/>
                    <w:b/>
                    <w:color w:val="auto"/>
                    <w:sz w:val="22"/>
                    <w:szCs w:val="22"/>
                  </w:rPr>
                </w:pPr>
                <w:r>
                  <w:rPr>
                    <w:rFonts w:ascii="Calibri" w:hAnsi="Calibri" w:cs="Times New Roman"/>
                    <w:noProof/>
                    <w:color w:val="auto"/>
                    <w:sz w:val="22"/>
                    <w:szCs w:val="22"/>
                  </w:rPr>
                  <w:t>3.20</w:t>
                </w:r>
              </w:p>
            </w:tc>
            <w:tc>
              <w:tcPr>
                <w:tcW w:w="2538" w:type="pct"/>
                <w:shd w:val="clear" w:color="auto" w:fill="F7F7F7"/>
              </w:tcPr>
              <w:p w:rsidR="006F7012" w:rsidRPr="00D21396" w:rsidRDefault="00B578E1" w:rsidP="008B685B">
                <w:pPr>
                  <w:pStyle w:val="Normal75"/>
                  <w:keepNext/>
                  <w:widowControl/>
                  <w:autoSpaceDE/>
                  <w:autoSpaceDN/>
                  <w:adjustRightInd/>
                  <w:rPr>
                    <w:rFonts w:ascii="Calibri" w:hAnsi="Calibri" w:cs="Times New Roman"/>
                    <w:b/>
                    <w:color w:val="auto"/>
                    <w:sz w:val="22"/>
                    <w:szCs w:val="22"/>
                  </w:rPr>
                </w:pPr>
                <w:r>
                  <w:rPr>
                    <w:rFonts w:ascii="Calibri" w:hAnsi="Calibri"/>
                    <w:noProof/>
                    <w:sz w:val="22"/>
                    <w:szCs w:val="22"/>
                  </w:rPr>
                  <w:t>Additional Financing</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Change in Results Framework</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Change in Components and Cost</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Change in Loan Closing Date(s)</w:t>
                </w:r>
              </w:p>
              <w:p w:rsidR="0006032A" w:rsidRDefault="00B578E1" w:rsidP="008B685B">
                <w:pPr>
                  <w:pStyle w:val="Normal75"/>
                  <w:keepNext/>
                  <w:widowControl/>
                  <w:autoSpaceDE/>
                  <w:autoSpaceDN/>
                  <w:adjustRightInd/>
                  <w:rPr>
                    <w:rFonts w:ascii="Calibri" w:hAnsi="Calibri"/>
                    <w:sz w:val="22"/>
                    <w:szCs w:val="22"/>
                  </w:rPr>
                </w:pPr>
                <w:r>
                  <w:rPr>
                    <w:rFonts w:ascii="Calibri" w:hAnsi="Calibri"/>
                    <w:noProof/>
                    <w:sz w:val="22"/>
                    <w:szCs w:val="22"/>
                  </w:rPr>
                  <w:t>Reallocation between Disbursement Categories</w:t>
                </w:r>
              </w:p>
            </w:tc>
          </w:tr>
        </w:tbl>
        <w:p w:rsidR="006F7012" w:rsidRDefault="006F7012" w:rsidP="006F7012">
          <w:pPr>
            <w:pStyle w:val="Normal75"/>
            <w:shd w:val="clear" w:color="auto" w:fill="F7F7F7"/>
            <w:ind w:left="-691" w:right="-518"/>
            <w:rPr>
              <w:rFonts w:ascii="Calibri" w:hAnsi="Calibri"/>
              <w:color w:val="767171"/>
              <w:sz w:val="22"/>
              <w:szCs w:val="22"/>
            </w:rPr>
          </w:pPr>
        </w:p>
        <w:p w:rsidR="006F701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06032A" w:rsidTr="008B685B">
            <w:trPr>
              <w:trHeight w:val="450"/>
            </w:trPr>
            <w:tc>
              <w:tcPr>
                <w:tcW w:w="10620" w:type="dxa"/>
                <w:shd w:val="clear" w:color="auto" w:fill="F7F7F7"/>
                <w:vAlign w:val="center"/>
              </w:tcPr>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A71781" w:rsidRDefault="00B578E1" w:rsidP="008B685B">
                      <w:pPr>
                        <w:pStyle w:val="Normal75"/>
                        <w:keepNext/>
                        <w:widowControl/>
                        <w:tabs>
                          <w:tab w:val="center" w:pos="4680"/>
                          <w:tab w:val="right" w:pos="9360"/>
                        </w:tabs>
                        <w:rPr>
                          <w:rFonts w:ascii="Calibri" w:hAnsi="Calibri"/>
                          <w:b/>
                          <w:sz w:val="22"/>
                          <w:szCs w:val="22"/>
                        </w:rPr>
                      </w:pPr>
                      <w:r w:rsidRPr="00A71781">
                        <w:rPr>
                          <w:rFonts w:ascii="Calibri" w:hAnsi="Calibri"/>
                          <w:b/>
                          <w:bCs/>
                          <w:sz w:val="22"/>
                          <w:szCs w:val="22"/>
                        </w:rPr>
                        <w:lastRenderedPageBreak/>
                        <w:t>KEY RATINGS</w:t>
                      </w:r>
                    </w:p>
                  </w:tc>
                </w:tr>
              </w:tbl>
              <w:p w:rsidR="006F7012" w:rsidRPr="00692E93" w:rsidRDefault="006F7012" w:rsidP="008B685B">
                <w:pPr>
                  <w:pStyle w:val="Normal75"/>
                  <w:keepNext/>
                  <w:widowControl/>
                  <w:rPr>
                    <w:rFonts w:ascii="Calibri" w:hAnsi="Calibri"/>
                    <w:sz w:val="22"/>
                    <w:szCs w:val="22"/>
                  </w:rPr>
                </w:pPr>
              </w:p>
            </w:tc>
          </w:tr>
        </w:tbl>
        <w:p w:rsidR="006F7012" w:rsidRPr="00E1443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91110"/>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firstRow="1" w:lastRow="0" w:firstColumn="1" w:lastColumn="0" w:noHBand="0" w:noVBand="1"/>
          </w:tblPr>
          <w:tblGrid>
            <w:gridCol w:w="3630"/>
            <w:gridCol w:w="3632"/>
            <w:gridCol w:w="3358"/>
          </w:tblGrid>
          <w:tr w:rsidR="0006032A" w:rsidTr="008B685B">
            <w:trPr>
              <w:trHeight w:val="281"/>
            </w:trPr>
            <w:tc>
              <w:tcPr>
                <w:tcW w:w="1709" w:type="pct"/>
                <w:tcBorders>
                  <w:top w:val="nil"/>
                  <w:bottom w:val="single" w:sz="12" w:space="0" w:color="D9D9D9"/>
                </w:tcBorders>
                <w:shd w:val="clear" w:color="auto" w:fill="F7F7F7"/>
                <w:vAlign w:val="center"/>
              </w:tcPr>
              <w:p w:rsidR="006F7012" w:rsidRPr="00F62555" w:rsidRDefault="00B578E1" w:rsidP="008B685B">
                <w:pPr>
                  <w:pStyle w:val="Normal75"/>
                  <w:keepNext/>
                  <w:widowControl/>
                  <w:rPr>
                    <w:rFonts w:ascii="Calibri" w:hAnsi="Calibri"/>
                    <w:b/>
                    <w:sz w:val="22"/>
                    <w:szCs w:val="22"/>
                  </w:rPr>
                </w:pPr>
                <w:r w:rsidRPr="00F62555">
                  <w:rPr>
                    <w:rFonts w:ascii="Calibri" w:hAnsi="Calibri"/>
                    <w:b/>
                    <w:sz w:val="22"/>
                    <w:szCs w:val="22"/>
                  </w:rPr>
                  <w:t>Outcome</w:t>
                </w:r>
              </w:p>
            </w:tc>
            <w:tc>
              <w:tcPr>
                <w:tcW w:w="1710" w:type="pct"/>
                <w:tcBorders>
                  <w:top w:val="nil"/>
                  <w:bottom w:val="single" w:sz="12" w:space="0" w:color="D9D9D9"/>
                </w:tcBorders>
                <w:shd w:val="clear" w:color="auto" w:fill="F7F7F7"/>
                <w:vAlign w:val="center"/>
              </w:tcPr>
              <w:p w:rsidR="006F7012" w:rsidRPr="00F62555" w:rsidRDefault="00B578E1" w:rsidP="008B685B">
                <w:pPr>
                  <w:pStyle w:val="Normal75"/>
                  <w:keepNext/>
                  <w:widowControl/>
                  <w:rPr>
                    <w:rFonts w:ascii="Calibri" w:hAnsi="Calibri"/>
                    <w:b/>
                    <w:sz w:val="22"/>
                    <w:szCs w:val="22"/>
                  </w:rPr>
                </w:pPr>
                <w:r w:rsidRPr="00F62555">
                  <w:rPr>
                    <w:rFonts w:ascii="Calibri" w:hAnsi="Calibri"/>
                    <w:b/>
                    <w:sz w:val="22"/>
                    <w:szCs w:val="22"/>
                  </w:rPr>
                  <w:t>Bank Performance</w:t>
                </w:r>
              </w:p>
            </w:tc>
            <w:tc>
              <w:tcPr>
                <w:tcW w:w="1581" w:type="pct"/>
                <w:tcBorders>
                  <w:top w:val="nil"/>
                  <w:bottom w:val="single" w:sz="12" w:space="0" w:color="D9D9D9"/>
                </w:tcBorders>
                <w:shd w:val="clear" w:color="auto" w:fill="F7F7F7"/>
                <w:vAlign w:val="center"/>
              </w:tcPr>
              <w:p w:rsidR="006F7012" w:rsidRPr="00F62555" w:rsidRDefault="00B578E1" w:rsidP="008B685B">
                <w:pPr>
                  <w:pStyle w:val="Normal75"/>
                  <w:keepNext/>
                  <w:widowControl/>
                  <w:rPr>
                    <w:rFonts w:ascii="Calibri" w:hAnsi="Calibri"/>
                    <w:b/>
                    <w:sz w:val="22"/>
                    <w:szCs w:val="22"/>
                  </w:rPr>
                </w:pPr>
                <w:r w:rsidRPr="00F62555">
                  <w:rPr>
                    <w:rFonts w:ascii="Calibri" w:hAnsi="Calibri"/>
                    <w:b/>
                    <w:sz w:val="22"/>
                    <w:szCs w:val="22"/>
                  </w:rPr>
                  <w:t>M&amp;E Quality</w:t>
                </w:r>
              </w:p>
            </w:tc>
          </w:tr>
          <w:tr w:rsidR="0006032A" w:rsidTr="008B685B">
            <w:trPr>
              <w:trHeight w:val="422"/>
            </w:trPr>
            <w:tc>
              <w:tcPr>
                <w:tcW w:w="1709" w:type="pct"/>
                <w:tcBorders>
                  <w:top w:val="single" w:sz="12" w:space="0" w:color="D9D9D9"/>
                  <w:bottom w:val="single" w:sz="4" w:space="0" w:color="D0CECE"/>
                </w:tcBorders>
                <w:shd w:val="clear" w:color="auto" w:fill="F7F7F7"/>
                <w:vAlign w:val="center"/>
              </w:tcPr>
              <w:p w:rsidR="006F7012" w:rsidRPr="00F62555" w:rsidRDefault="00B578E1" w:rsidP="008B685B">
                <w:pPr>
                  <w:pStyle w:val="Normal75"/>
                  <w:rPr>
                    <w:rFonts w:ascii="Calibri" w:hAnsi="Calibri"/>
                    <w:sz w:val="22"/>
                    <w:szCs w:val="22"/>
                  </w:rPr>
                </w:pPr>
                <w:r>
                  <w:rPr>
                    <w:rFonts w:ascii="Calibri" w:hAnsi="Calibri"/>
                    <w:noProof/>
                    <w:sz w:val="22"/>
                    <w:szCs w:val="22"/>
                  </w:rPr>
                  <w:t>Moderately Satisfactory</w:t>
                </w:r>
              </w:p>
            </w:tc>
            <w:tc>
              <w:tcPr>
                <w:tcW w:w="1710" w:type="pct"/>
                <w:tcBorders>
                  <w:top w:val="single" w:sz="12" w:space="0" w:color="D9D9D9"/>
                  <w:bottom w:val="single" w:sz="4" w:space="0" w:color="D0CECE"/>
                </w:tcBorders>
                <w:shd w:val="clear" w:color="auto" w:fill="F7F7F7"/>
                <w:vAlign w:val="center"/>
              </w:tcPr>
              <w:p w:rsidR="006F7012" w:rsidRPr="00F62555" w:rsidRDefault="00B578E1" w:rsidP="008B685B">
                <w:pPr>
                  <w:pStyle w:val="Normal75"/>
                  <w:rPr>
                    <w:rFonts w:ascii="Calibri" w:hAnsi="Calibri"/>
                    <w:sz w:val="22"/>
                    <w:szCs w:val="22"/>
                  </w:rPr>
                </w:pPr>
                <w:r>
                  <w:rPr>
                    <w:rFonts w:ascii="Calibri" w:hAnsi="Calibri"/>
                    <w:noProof/>
                    <w:sz w:val="22"/>
                    <w:szCs w:val="22"/>
                  </w:rPr>
                  <w:t>Moderately Satisfactory</w:t>
                </w:r>
              </w:p>
            </w:tc>
            <w:tc>
              <w:tcPr>
                <w:tcW w:w="1581" w:type="pct"/>
                <w:tcBorders>
                  <w:top w:val="single" w:sz="12" w:space="0" w:color="D9D9D9"/>
                  <w:bottom w:val="single" w:sz="4" w:space="0" w:color="D0CECE"/>
                </w:tcBorders>
                <w:shd w:val="clear" w:color="auto" w:fill="F7F7F7"/>
                <w:vAlign w:val="center"/>
              </w:tcPr>
              <w:p w:rsidR="006F7012" w:rsidRPr="00F62555" w:rsidRDefault="00B578E1" w:rsidP="008B685B">
                <w:pPr>
                  <w:pStyle w:val="Normal75"/>
                  <w:rPr>
                    <w:rFonts w:ascii="Calibri" w:hAnsi="Calibri"/>
                    <w:sz w:val="22"/>
                    <w:szCs w:val="22"/>
                  </w:rPr>
                </w:pPr>
                <w:r>
                  <w:rPr>
                    <w:rFonts w:ascii="Calibri" w:hAnsi="Calibri"/>
                    <w:noProof/>
                    <w:sz w:val="22"/>
                    <w:szCs w:val="22"/>
                  </w:rPr>
                  <w:t>Modest</w:t>
                </w:r>
              </w:p>
            </w:tc>
          </w:tr>
        </w:tbl>
        <w:p w:rsidR="006F701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06032A" w:rsidTr="008B685B">
            <w:trPr>
              <w:trHeight w:val="450"/>
            </w:trPr>
            <w:tc>
              <w:tcPr>
                <w:tcW w:w="10620" w:type="dxa"/>
                <w:shd w:val="clear" w:color="auto" w:fill="F7F7F7"/>
                <w:vAlign w:val="center"/>
              </w:tcPr>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275670" w:rsidRDefault="00B578E1" w:rsidP="008B685B">
                      <w:pPr>
                        <w:pStyle w:val="Normal75"/>
                        <w:keepNext/>
                        <w:widowControl/>
                        <w:rPr>
                          <w:rFonts w:ascii="Calibri" w:hAnsi="Calibri"/>
                        </w:rPr>
                      </w:pPr>
                      <w:r w:rsidRPr="00275670">
                        <w:rPr>
                          <w:rFonts w:ascii="Calibri" w:hAnsi="Calibri"/>
                          <w:b/>
                          <w:bCs/>
                          <w:sz w:val="22"/>
                          <w:szCs w:val="22"/>
                        </w:rPr>
                        <w:t>RATINGS OF PROJECT PERFORMANCE IN ISRs</w:t>
                      </w:r>
                    </w:p>
                  </w:tc>
                </w:tr>
              </w:tbl>
              <w:p w:rsidR="006F7012" w:rsidRPr="00692E93" w:rsidRDefault="006F7012" w:rsidP="008B685B">
                <w:pPr>
                  <w:pStyle w:val="Normal75"/>
                  <w:keepNext/>
                  <w:widowControl/>
                  <w:rPr>
                    <w:rFonts w:ascii="Calibri" w:hAnsi="Calibri"/>
                    <w:sz w:val="22"/>
                    <w:szCs w:val="22"/>
                  </w:rPr>
                </w:pPr>
              </w:p>
            </w:tc>
          </w:tr>
        </w:tbl>
        <w:p w:rsidR="006F7012" w:rsidRPr="00E1443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1440"/>
            <w:gridCol w:w="2160"/>
            <w:gridCol w:w="2520"/>
            <w:gridCol w:w="2610"/>
            <w:gridCol w:w="1890"/>
          </w:tblGrid>
          <w:tr w:rsidR="0006032A" w:rsidTr="008B685B">
            <w:trPr>
              <w:trHeight w:val="372"/>
            </w:trPr>
            <w:tc>
              <w:tcPr>
                <w:tcW w:w="1440" w:type="dxa"/>
                <w:tcBorders>
                  <w:top w:val="nil"/>
                  <w:bottom w:val="single" w:sz="12" w:space="0" w:color="DFDFDF"/>
                  <w:right w:val="single" w:sz="4" w:space="0" w:color="DFDFDF"/>
                </w:tcBorders>
                <w:shd w:val="clear" w:color="auto" w:fill="F7F7F7"/>
                <w:vAlign w:val="center"/>
              </w:tcPr>
              <w:p w:rsidR="006F7012" w:rsidRPr="00113F16" w:rsidRDefault="00B578E1" w:rsidP="008B685B">
                <w:pPr>
                  <w:pStyle w:val="Normal75"/>
                  <w:keepNext/>
                  <w:widowControl/>
                  <w:autoSpaceDE/>
                  <w:autoSpaceDN/>
                  <w:adjustRightInd/>
                  <w:ind w:left="65"/>
                  <w:rPr>
                    <w:rFonts w:ascii="Calibri" w:hAnsi="Calibri" w:cs="Times New Roman"/>
                    <w:b/>
                    <w:color w:val="auto"/>
                    <w:sz w:val="22"/>
                    <w:szCs w:val="22"/>
                  </w:rPr>
                </w:pPr>
                <w:r w:rsidRPr="00113F16">
                  <w:rPr>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rsidR="006F7012" w:rsidRPr="00113F16" w:rsidRDefault="00B578E1" w:rsidP="008B685B">
                <w:pPr>
                  <w:pStyle w:val="Normal75"/>
                  <w:keepNext/>
                  <w:widowControl/>
                  <w:autoSpaceDE/>
                  <w:autoSpaceDN/>
                  <w:adjustRightInd/>
                  <w:ind w:left="-115" w:firstLine="97"/>
                  <w:jc w:val="center"/>
                  <w:rPr>
                    <w:rFonts w:ascii="Calibri" w:hAnsi="Calibri" w:cs="Times New Roman"/>
                    <w:b/>
                    <w:bCs/>
                    <w:color w:val="auto"/>
                    <w:sz w:val="22"/>
                    <w:szCs w:val="22"/>
                  </w:rPr>
                </w:pPr>
                <w:r w:rsidRPr="00113F16">
                  <w:rPr>
                    <w:rFonts w:ascii="Calibri" w:hAnsi="Calibri" w:cs="Times New Roman"/>
                    <w:b/>
                    <w:bCs/>
                    <w:color w:val="auto"/>
                    <w:sz w:val="22"/>
                    <w:szCs w:val="22"/>
                  </w:rPr>
                  <w:t>Date ISR Archived</w:t>
                </w:r>
              </w:p>
            </w:tc>
            <w:tc>
              <w:tcPr>
                <w:tcW w:w="2520" w:type="dxa"/>
                <w:tcBorders>
                  <w:top w:val="nil"/>
                  <w:left w:val="single" w:sz="4" w:space="0" w:color="DFDFDF"/>
                  <w:bottom w:val="single" w:sz="12" w:space="0" w:color="DFDFDF"/>
                </w:tcBorders>
                <w:shd w:val="clear" w:color="auto" w:fill="F7F7F7"/>
                <w:vAlign w:val="center"/>
              </w:tcPr>
              <w:p w:rsidR="006F7012" w:rsidRPr="00113F16" w:rsidRDefault="00B578E1" w:rsidP="008B685B">
                <w:pPr>
                  <w:pStyle w:val="Normal75"/>
                  <w:keepNext/>
                  <w:widowControl/>
                  <w:autoSpaceDE/>
                  <w:autoSpaceDN/>
                  <w:adjustRightInd/>
                  <w:ind w:left="-133" w:firstLine="97"/>
                  <w:jc w:val="center"/>
                  <w:rPr>
                    <w:rFonts w:ascii="Calibri" w:hAnsi="Calibri" w:cs="Times New Roman"/>
                    <w:b/>
                    <w:color w:val="auto"/>
                    <w:sz w:val="22"/>
                    <w:szCs w:val="22"/>
                  </w:rPr>
                </w:pPr>
                <w:r w:rsidRPr="00113F16">
                  <w:rPr>
                    <w:rFonts w:ascii="Calibri" w:hAnsi="Calibri" w:cs="Times New Roman"/>
                    <w:b/>
                    <w:color w:val="auto"/>
                    <w:sz w:val="22"/>
                    <w:szCs w:val="22"/>
                  </w:rPr>
                  <w:t>DO Rating</w:t>
                </w:r>
              </w:p>
            </w:tc>
            <w:tc>
              <w:tcPr>
                <w:tcW w:w="2610" w:type="dxa"/>
                <w:tcBorders>
                  <w:top w:val="nil"/>
                  <w:left w:val="single" w:sz="4" w:space="0" w:color="DFDFDF"/>
                  <w:bottom w:val="single" w:sz="12" w:space="0" w:color="DFDFDF"/>
                </w:tcBorders>
                <w:shd w:val="clear" w:color="auto" w:fill="F7F7F7"/>
                <w:vAlign w:val="center"/>
              </w:tcPr>
              <w:p w:rsidR="006F7012" w:rsidRPr="00113F16" w:rsidRDefault="00B578E1" w:rsidP="008B685B">
                <w:pPr>
                  <w:pStyle w:val="Normal75"/>
                  <w:keepNext/>
                  <w:widowControl/>
                  <w:autoSpaceDE/>
                  <w:autoSpaceDN/>
                  <w:adjustRightInd/>
                  <w:ind w:left="-133" w:firstLine="97"/>
                  <w:jc w:val="center"/>
                  <w:rPr>
                    <w:rFonts w:ascii="Calibri" w:hAnsi="Calibri" w:cs="Times New Roman"/>
                    <w:b/>
                    <w:bCs/>
                    <w:color w:val="auto"/>
                    <w:sz w:val="21"/>
                    <w:szCs w:val="21"/>
                  </w:rPr>
                </w:pPr>
                <w:r w:rsidRPr="00113F16">
                  <w:rPr>
                    <w:rFonts w:ascii="Calibri" w:hAnsi="Calibri" w:cs="Times New Roman"/>
                    <w:b/>
                    <w:bCs/>
                    <w:color w:val="auto"/>
                    <w:sz w:val="21"/>
                    <w:szCs w:val="21"/>
                  </w:rPr>
                  <w:t>IP Rating</w:t>
                </w:r>
              </w:p>
            </w:tc>
            <w:tc>
              <w:tcPr>
                <w:tcW w:w="1890" w:type="dxa"/>
                <w:tcBorders>
                  <w:top w:val="nil"/>
                  <w:left w:val="single" w:sz="4" w:space="0" w:color="DFDFDF"/>
                  <w:bottom w:val="single" w:sz="12" w:space="0" w:color="DFDFDF"/>
                </w:tcBorders>
                <w:shd w:val="clear" w:color="auto" w:fill="F7F7F7"/>
                <w:vAlign w:val="center"/>
              </w:tcPr>
              <w:p w:rsidR="006F7012" w:rsidRPr="00113F16" w:rsidRDefault="00B578E1" w:rsidP="008B685B">
                <w:pPr>
                  <w:pStyle w:val="Normal75"/>
                  <w:keepNext/>
                  <w:widowControl/>
                  <w:autoSpaceDE/>
                  <w:autoSpaceDN/>
                  <w:adjustRightInd/>
                  <w:ind w:left="-133" w:firstLine="97"/>
                  <w:jc w:val="center"/>
                  <w:rPr>
                    <w:rFonts w:ascii="Calibri" w:hAnsi="Calibri" w:cs="Times New Roman"/>
                    <w:b/>
                    <w:bCs/>
                    <w:color w:val="auto"/>
                    <w:sz w:val="21"/>
                    <w:szCs w:val="21"/>
                  </w:rPr>
                </w:pPr>
                <w:r w:rsidRPr="00113F16">
                  <w:rPr>
                    <w:rFonts w:ascii="Calibri" w:hAnsi="Calibri" w:cs="Times New Roman"/>
                    <w:b/>
                    <w:bCs/>
                    <w:color w:val="auto"/>
                    <w:sz w:val="21"/>
                    <w:szCs w:val="21"/>
                  </w:rPr>
                  <w:t>Actual Disbursements (US$M)</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01</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25-May-2011</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0</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01-Jan-2012</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.31</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03</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21-Aug-2012</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.75</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04</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04-Feb-2013</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1.69</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05</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07-Jul-2013</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1.94</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06</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30-Dec-2013</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2.48</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07</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16-Jun-2014</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2.79</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08</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22-Nov-2014</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3.07</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09</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22-Apr-2015</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3.13</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10</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09-Oct-2015</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3.40</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11</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06-Jun-2016</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3.63</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12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28-Nov-2016</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3.82</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13</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01-Jun-2017</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4.18</w:t>
                </w:r>
              </w:p>
            </w:tc>
          </w:tr>
          <w:tr w:rsidR="0006032A" w:rsidTr="008B685B">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tabs>
                    <w:tab w:val="left" w:pos="4310"/>
                  </w:tabs>
                  <w:autoSpaceDE/>
                  <w:autoSpaceDN/>
                  <w:adjustRightInd/>
                  <w:ind w:left="65"/>
                  <w:rPr>
                    <w:rFonts w:ascii="Calibri" w:hAnsi="Calibri" w:cs="Times New Roman"/>
                    <w:noProof/>
                    <w:color w:val="auto"/>
                    <w:sz w:val="22"/>
                    <w:szCs w:val="22"/>
                  </w:rPr>
                </w:pPr>
                <w:r>
                  <w:rPr>
                    <w:rFonts w:ascii="Calibri" w:hAnsi="Calibri" w:cs="Times New Roman"/>
                    <w:noProof/>
                    <w:color w:val="auto"/>
                    <w:sz w:val="22"/>
                    <w:szCs w:val="22"/>
                  </w:rPr>
                  <w:t>14</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22-Dec-2017</w:t>
                </w:r>
              </w:p>
            </w:tc>
            <w:tc>
              <w:tcPr>
                <w:tcW w:w="252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noProof/>
                    <w:color w:val="auto"/>
                    <w:sz w:val="22"/>
                    <w:szCs w:val="22"/>
                  </w:rPr>
                </w:pPr>
                <w:r>
                  <w:rPr>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center"/>
                  <w:rPr>
                    <w:rFonts w:ascii="Calibri" w:hAnsi="Calibri" w:cs="Times New Roman"/>
                    <w:sz w:val="21"/>
                    <w:szCs w:val="21"/>
                  </w:rPr>
                </w:pPr>
                <w:r>
                  <w:rPr>
                    <w:rFonts w:ascii="Calibri" w:hAnsi="Calibri" w:cs="Times New Roman"/>
                    <w:noProof/>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6F7012" w:rsidRPr="00113F16" w:rsidRDefault="00B578E1" w:rsidP="008B685B">
                <w:pPr>
                  <w:pStyle w:val="Normal75"/>
                  <w:widowControl/>
                  <w:autoSpaceDE/>
                  <w:autoSpaceDN/>
                  <w:adjustRightInd/>
                  <w:jc w:val="right"/>
                  <w:rPr>
                    <w:rFonts w:ascii="Calibri" w:hAnsi="Calibri" w:cs="Times New Roman"/>
                    <w:color w:val="auto"/>
                    <w:sz w:val="21"/>
                    <w:szCs w:val="21"/>
                  </w:rPr>
                </w:pPr>
                <w:r>
                  <w:rPr>
                    <w:rFonts w:ascii="Calibri" w:hAnsi="Calibri"/>
                    <w:noProof/>
                    <w:sz w:val="22"/>
                    <w:szCs w:val="22"/>
                  </w:rPr>
                  <w:t>5.16</w:t>
                </w:r>
              </w:p>
            </w:tc>
          </w:tr>
        </w:tbl>
        <w:p w:rsidR="006F701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06032A" w:rsidTr="008B685B">
            <w:trPr>
              <w:trHeight w:val="450"/>
            </w:trPr>
            <w:tc>
              <w:tcPr>
                <w:tcW w:w="10620" w:type="dxa"/>
                <w:shd w:val="clear" w:color="auto" w:fill="F7F7F7"/>
                <w:vAlign w:val="center"/>
              </w:tcPr>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2F6FFF" w:rsidRDefault="00B578E1" w:rsidP="008B685B">
                      <w:pPr>
                        <w:pStyle w:val="Normal75"/>
                        <w:keepNext/>
                        <w:widowControl/>
                        <w:rPr>
                          <w:rFonts w:ascii="Calibri" w:hAnsi="Calibri"/>
                        </w:rPr>
                      </w:pPr>
                      <w:r w:rsidRPr="002F6FFF">
                        <w:rPr>
                          <w:rFonts w:ascii="Calibri" w:hAnsi="Calibri"/>
                          <w:b/>
                          <w:sz w:val="22"/>
                          <w:szCs w:val="22"/>
                        </w:rPr>
                        <w:lastRenderedPageBreak/>
                        <w:t>SECTORS AND THEMES</w:t>
                      </w:r>
                    </w:p>
                  </w:tc>
                </w:tr>
              </w:tbl>
              <w:p w:rsidR="006F7012" w:rsidRPr="00692E93" w:rsidRDefault="006F7012" w:rsidP="008B685B">
                <w:pPr>
                  <w:pStyle w:val="Normal75"/>
                  <w:keepNext/>
                  <w:widowControl/>
                  <w:rPr>
                    <w:rFonts w:ascii="Calibri" w:hAnsi="Calibri"/>
                    <w:sz w:val="22"/>
                    <w:szCs w:val="22"/>
                  </w:rPr>
                </w:pPr>
              </w:p>
            </w:tc>
          </w:tr>
        </w:tbl>
        <w:p w:rsidR="006F701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445"/>
            <w:gridCol w:w="5175"/>
          </w:tblGrid>
          <w:tr w:rsidR="0006032A" w:rsidTr="008B685B">
            <w:trPr>
              <w:trHeight w:val="243"/>
            </w:trPr>
            <w:tc>
              <w:tcPr>
                <w:tcW w:w="10620" w:type="dxa"/>
                <w:gridSpan w:val="2"/>
                <w:tcBorders>
                  <w:top w:val="nil"/>
                  <w:bottom w:val="nil"/>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002060"/>
                    <w:sz w:val="21"/>
                    <w:szCs w:val="21"/>
                  </w:rPr>
                </w:pPr>
                <w:r w:rsidRPr="00A14B41">
                  <w:rPr>
                    <w:rFonts w:ascii="Calibri" w:hAnsi="Calibri" w:cs="Times New Roman"/>
                    <w:b/>
                    <w:color w:val="002060"/>
                    <w:sz w:val="21"/>
                    <w:szCs w:val="21"/>
                  </w:rPr>
                  <w:t>Sectors</w:t>
                </w:r>
              </w:p>
            </w:tc>
          </w:tr>
          <w:tr w:rsidR="0006032A" w:rsidTr="008B685B">
            <w:trPr>
              <w:trHeight w:val="243"/>
            </w:trPr>
            <w:tc>
              <w:tcPr>
                <w:tcW w:w="5445" w:type="dxa"/>
                <w:tcBorders>
                  <w:top w:val="nil"/>
                  <w:bottom w:val="single" w:sz="12" w:space="0" w:color="D9D9D9"/>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002060"/>
                    <w:sz w:val="21"/>
                    <w:szCs w:val="21"/>
                  </w:rPr>
                </w:pPr>
                <w:r w:rsidRPr="00A14B41">
                  <w:rPr>
                    <w:rFonts w:ascii="Calibri" w:hAnsi="Calibri" w:cs="Times New Roman"/>
                    <w:b/>
                    <w:color w:val="767171"/>
                    <w:sz w:val="21"/>
                    <w:szCs w:val="21"/>
                  </w:rPr>
                  <w:t>Major Sector/Sector</w:t>
                </w:r>
              </w:p>
            </w:tc>
            <w:tc>
              <w:tcPr>
                <w:tcW w:w="5175" w:type="dxa"/>
                <w:tcBorders>
                  <w:top w:val="nil"/>
                  <w:bottom w:val="single" w:sz="12" w:space="0" w:color="D9D9D9"/>
                </w:tcBorders>
                <w:shd w:val="clear" w:color="auto" w:fill="F7F7F7"/>
                <w:vAlign w:val="center"/>
              </w:tcPr>
              <w:p w:rsidR="006F7012" w:rsidRPr="00A14B41" w:rsidRDefault="00B578E1" w:rsidP="008B685B">
                <w:pPr>
                  <w:pStyle w:val="Normal75"/>
                  <w:keepNext/>
                  <w:widowControl/>
                  <w:autoSpaceDE/>
                  <w:autoSpaceDN/>
                  <w:adjustRightInd/>
                  <w:ind w:left="-115" w:firstLine="101"/>
                  <w:jc w:val="right"/>
                  <w:rPr>
                    <w:rFonts w:ascii="Calibri" w:hAnsi="Calibri" w:cs="Times New Roman"/>
                    <w:b/>
                    <w:color w:val="767171"/>
                    <w:sz w:val="21"/>
                    <w:szCs w:val="21"/>
                  </w:rPr>
                </w:pPr>
                <w:r w:rsidRPr="00A14B41">
                  <w:rPr>
                    <w:rFonts w:ascii="Calibri" w:hAnsi="Calibri" w:cs="Times New Roman"/>
                    <w:b/>
                    <w:color w:val="767171"/>
                    <w:sz w:val="21"/>
                    <w:szCs w:val="21"/>
                  </w:rPr>
                  <w:t>(%)</w:t>
                </w:r>
              </w:p>
            </w:tc>
          </w:tr>
        </w:tbl>
        <w:p w:rsidR="006F7012" w:rsidRDefault="006F7012" w:rsidP="006F7012">
          <w:pPr>
            <w:pStyle w:val="Normal75"/>
            <w:keepNext/>
            <w:widowControl/>
            <w:shd w:val="clear" w:color="auto" w:fill="F7F7F7"/>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554"/>
            <w:gridCol w:w="5066"/>
          </w:tblGrid>
          <w:tr w:rsidR="0006032A" w:rsidTr="008B685B">
            <w:trPr>
              <w:trHeight w:val="372"/>
            </w:trPr>
            <w:tc>
              <w:tcPr>
                <w:tcW w:w="5554" w:type="dxa"/>
                <w:tcBorders>
                  <w:top w:val="nil"/>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rPr>
                    <w:rFonts w:ascii="Calibri" w:hAnsi="Calibri" w:cs="Times New Roman"/>
                    <w:b/>
                    <w:color w:val="auto"/>
                    <w:sz w:val="21"/>
                    <w:szCs w:val="21"/>
                  </w:rPr>
                </w:pPr>
                <w:r>
                  <w:rPr>
                    <w:rFonts w:ascii="Calibri" w:hAnsi="Calibri" w:cs="Times New Roman"/>
                    <w:b/>
                    <w:noProof/>
                    <w:color w:val="auto"/>
                    <w:sz w:val="22"/>
                    <w:szCs w:val="22"/>
                  </w:rPr>
                  <w:t>Water, Sanitation and Waste Management</w:t>
                </w:r>
              </w:p>
            </w:tc>
            <w:tc>
              <w:tcPr>
                <w:tcW w:w="5066" w:type="dxa"/>
                <w:tcBorders>
                  <w:top w:val="nil"/>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b/>
                    <w:color w:val="auto"/>
                    <w:sz w:val="22"/>
                    <w:szCs w:val="22"/>
                  </w:rPr>
                </w:pPr>
                <w:r>
                  <w:rPr>
                    <w:rFonts w:ascii="Calibri" w:hAnsi="Calibri" w:cs="Times New Roman"/>
                    <w:b/>
                    <w:color w:val="auto"/>
                    <w:sz w:val="22"/>
                    <w:szCs w:val="22"/>
                  </w:rPr>
                  <w:fldChar w:fldCharType="begin"/>
                </w:r>
                <w:r>
                  <w:rPr>
                    <w:rFonts w:ascii="Calibri" w:hAnsi="Calibri" w:cs="Times New Roman"/>
                    <w:b/>
                    <w:color w:val="auto"/>
                    <w:sz w:val="22"/>
                    <w:szCs w:val="22"/>
                  </w:rPr>
                  <w:instrText xml:space="preserve"> =SUM(below) \# "#,##0" </w:instrText>
                </w:r>
                <w:r>
                  <w:rPr>
                    <w:rFonts w:ascii="Calibri" w:hAnsi="Calibri" w:cs="Times New Roman"/>
                    <w:b/>
                    <w:color w:val="auto"/>
                    <w:sz w:val="22"/>
                    <w:szCs w:val="22"/>
                  </w:rPr>
                  <w:fldChar w:fldCharType="separate"/>
                </w:r>
                <w:r>
                  <w:rPr>
                    <w:rFonts w:ascii="Calibri" w:hAnsi="Calibri" w:cs="Times New Roman"/>
                    <w:b/>
                    <w:color w:val="auto"/>
                    <w:sz w:val="22"/>
                    <w:szCs w:val="22"/>
                  </w:rPr>
                  <w:t xml:space="preserve"> 100</w:t>
                </w:r>
                <w:r>
                  <w:rPr>
                    <w:rFonts w:ascii="Calibri" w:hAnsi="Calibri" w:cs="Times New Roman"/>
                    <w:b/>
                    <w:color w:val="auto"/>
                    <w:sz w:val="22"/>
                    <w:szCs w:val="22"/>
                  </w:rPr>
                  <w:fldChar w:fldCharType="end"/>
                </w:r>
              </w:p>
            </w:tc>
          </w:tr>
          <w:tr w:rsidR="0006032A" w:rsidTr="008B685B">
            <w:trPr>
              <w:trHeight w:val="184"/>
            </w:trPr>
            <w:tc>
              <w:tcPr>
                <w:tcW w:w="5554" w:type="dxa"/>
                <w:tcBorders>
                  <w:top w:val="single" w:sz="4" w:space="0" w:color="D0CECE"/>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Public Administration - Water, Sanitation and Waste Management</w:t>
                </w:r>
              </w:p>
            </w:tc>
            <w:tc>
              <w:tcPr>
                <w:tcW w:w="5066" w:type="dxa"/>
                <w:tcBorders>
                  <w:top w:val="single" w:sz="4" w:space="0" w:color="D0CECE"/>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50</w:t>
                </w:r>
              </w:p>
            </w:tc>
          </w:tr>
          <w:tr w:rsidR="0006032A" w:rsidTr="008B685B">
            <w:trPr>
              <w:trHeight w:val="184"/>
            </w:trPr>
            <w:tc>
              <w:tcPr>
                <w:tcW w:w="5554" w:type="dxa"/>
                <w:tcBorders>
                  <w:top w:val="single" w:sz="4" w:space="0" w:color="D0CECE"/>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Other Water Supply, Sanitation and Waste Management</w:t>
                </w:r>
              </w:p>
            </w:tc>
            <w:tc>
              <w:tcPr>
                <w:tcW w:w="5066" w:type="dxa"/>
                <w:tcBorders>
                  <w:top w:val="single" w:sz="4" w:space="0" w:color="D0CECE"/>
                  <w:bottom w:val="single" w:sz="4" w:space="0" w:color="D0CECE"/>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50</w:t>
                </w:r>
              </w:p>
            </w:tc>
          </w:tr>
        </w:tbl>
        <w:p w:rsidR="006F7012" w:rsidRDefault="006F7012" w:rsidP="006F7012">
          <w:pPr>
            <w:pStyle w:val="Normal75"/>
            <w:shd w:val="clear" w:color="auto" w:fill="F7F7F7"/>
            <w:ind w:left="-691" w:right="-518"/>
            <w:rPr>
              <w:rFonts w:ascii="Calibri" w:hAnsi="Calibri"/>
              <w:color w:val="767171"/>
              <w:sz w:val="22"/>
              <w:szCs w:val="22"/>
            </w:rPr>
          </w:pPr>
        </w:p>
        <w:p w:rsidR="006F7012" w:rsidRDefault="006F7012" w:rsidP="006F7012">
          <w:pPr>
            <w:pStyle w:val="Normal75"/>
            <w:shd w:val="clear" w:color="auto" w:fill="F7F7F7"/>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554"/>
            <w:gridCol w:w="5066"/>
          </w:tblGrid>
          <w:tr w:rsidR="0006032A" w:rsidTr="008B685B">
            <w:trPr>
              <w:trHeight w:val="184"/>
            </w:trPr>
            <w:tc>
              <w:tcPr>
                <w:tcW w:w="5554" w:type="dxa"/>
                <w:tcBorders>
                  <w:top w:val="nil"/>
                  <w:bottom w:val="nil"/>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color w:val="auto"/>
                    <w:sz w:val="21"/>
                    <w:szCs w:val="21"/>
                  </w:rPr>
                </w:pPr>
                <w:r w:rsidRPr="00A14B41">
                  <w:rPr>
                    <w:rFonts w:ascii="Calibri" w:hAnsi="Calibri" w:cs="Times New Roman"/>
                    <w:b/>
                    <w:color w:val="002060"/>
                    <w:sz w:val="21"/>
                    <w:szCs w:val="21"/>
                  </w:rPr>
                  <w:t>Themes</w:t>
                </w:r>
              </w:p>
            </w:tc>
            <w:tc>
              <w:tcPr>
                <w:tcW w:w="5066" w:type="dxa"/>
                <w:tcBorders>
                  <w:top w:val="nil"/>
                  <w:bottom w:val="nil"/>
                </w:tcBorders>
                <w:shd w:val="clear" w:color="auto" w:fill="F7F7F7"/>
                <w:vAlign w:val="center"/>
              </w:tcPr>
              <w:p w:rsidR="006F7012" w:rsidRPr="00A14B41" w:rsidRDefault="006F7012" w:rsidP="008B685B">
                <w:pPr>
                  <w:pStyle w:val="Normal75"/>
                  <w:keepNext/>
                  <w:widowControl/>
                  <w:autoSpaceDE/>
                  <w:autoSpaceDN/>
                  <w:adjustRightInd/>
                  <w:rPr>
                    <w:rFonts w:ascii="Calibri" w:hAnsi="Calibri" w:cs="Times New Roman"/>
                    <w:color w:val="auto"/>
                    <w:sz w:val="21"/>
                    <w:szCs w:val="21"/>
                  </w:rPr>
                </w:pPr>
              </w:p>
            </w:tc>
          </w:tr>
          <w:tr w:rsidR="0006032A" w:rsidTr="008B685B">
            <w:trPr>
              <w:trHeight w:val="184"/>
            </w:trPr>
            <w:tc>
              <w:tcPr>
                <w:tcW w:w="5554" w:type="dxa"/>
                <w:tcBorders>
                  <w:top w:val="nil"/>
                  <w:bottom w:val="single" w:sz="12" w:space="0" w:color="D9D9D9"/>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767171"/>
                    <w:sz w:val="21"/>
                    <w:szCs w:val="21"/>
                  </w:rPr>
                </w:pPr>
                <w:r w:rsidRPr="00A14B41">
                  <w:rPr>
                    <w:rFonts w:ascii="Calibri" w:hAnsi="Calibri" w:cs="Times New Roman"/>
                    <w:b/>
                    <w:color w:val="767171"/>
                    <w:sz w:val="21"/>
                    <w:szCs w:val="21"/>
                  </w:rPr>
                  <w:t>Major Theme/ Theme (Level 2)/ Theme (Level 3)</w:t>
                </w:r>
              </w:p>
            </w:tc>
            <w:tc>
              <w:tcPr>
                <w:tcW w:w="5066" w:type="dxa"/>
                <w:tcBorders>
                  <w:top w:val="nil"/>
                  <w:bottom w:val="single" w:sz="12" w:space="0" w:color="D9D9D9"/>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sidRPr="00A14B41">
                  <w:rPr>
                    <w:rFonts w:ascii="Calibri" w:hAnsi="Calibri" w:cs="Times New Roman"/>
                    <w:b/>
                    <w:color w:val="767171"/>
                    <w:sz w:val="21"/>
                    <w:szCs w:val="21"/>
                  </w:rPr>
                  <w:t>(%)</w:t>
                </w:r>
              </w:p>
            </w:tc>
          </w:tr>
        </w:tbl>
        <w:p w:rsidR="006F7012" w:rsidRDefault="006F7012" w:rsidP="006F7012">
          <w:pPr>
            <w:pStyle w:val="Normal75"/>
            <w:shd w:val="clear" w:color="auto" w:fill="F7F7F7"/>
            <w:spacing w:line="14" w:lineRule="exact"/>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06032A" w:rsidTr="008B685B">
            <w:trPr>
              <w:trHeight w:val="184"/>
            </w:trPr>
            <w:tc>
              <w:tcPr>
                <w:tcW w:w="6027"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auto"/>
                    <w:sz w:val="21"/>
                    <w:szCs w:val="21"/>
                  </w:rPr>
                </w:pPr>
                <w:r>
                  <w:rPr>
                    <w:rFonts w:ascii="Calibri" w:hAnsi="Calibri" w:cs="Times New Roman"/>
                    <w:b/>
                    <w:noProof/>
                    <w:color w:val="auto"/>
                    <w:sz w:val="22"/>
                    <w:szCs w:val="22"/>
                  </w:rPr>
                  <w:t>Public Sector Management</w:t>
                </w:r>
              </w:p>
            </w:tc>
            <w:tc>
              <w:tcPr>
                <w:tcW w:w="4593"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b/>
                    <w:color w:val="auto"/>
                    <w:sz w:val="21"/>
                    <w:szCs w:val="21"/>
                  </w:rPr>
                </w:pPr>
                <w:r>
                  <w:rPr>
                    <w:rFonts w:ascii="Calibri" w:hAnsi="Calibri" w:cs="Times New Roman"/>
                    <w:b/>
                    <w:noProof/>
                    <w:color w:val="auto"/>
                    <w:sz w:val="21"/>
                    <w:szCs w:val="21"/>
                  </w:rPr>
                  <w:t>20</w:t>
                </w:r>
              </w:p>
            </w:tc>
          </w:tr>
          <w:tr w:rsidR="0006032A" w:rsidTr="008B685B">
            <w:trPr>
              <w:trHeight w:val="184"/>
            </w:trPr>
            <w:tc>
              <w:tcPr>
                <w:tcW w:w="10620" w:type="dxa"/>
                <w:gridSpan w:val="2"/>
                <w:tcBorders>
                  <w:top w:val="single" w:sz="12" w:space="0" w:color="BFBFBF"/>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cs="Times New Roman"/>
                    <w:color w:val="auto"/>
                    <w:sz w:val="21"/>
                    <w:szCs w:val="21"/>
                  </w:rPr>
                </w:pPr>
              </w:p>
              <w:tbl>
                <w:tblPr>
                  <w:tblStyle w:val="TableGrid141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06032A" w:rsidTr="008B685B">
                  <w:trPr>
                    <w:trHeight w:val="184"/>
                  </w:trPr>
                  <w:tc>
                    <w:tcPr>
                      <w:tcW w:w="5905"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Public Administration</w:t>
                      </w:r>
                    </w:p>
                  </w:tc>
                  <w:tc>
                    <w:tcPr>
                      <w:tcW w:w="4590"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20</w:t>
                      </w:r>
                    </w:p>
                  </w:tc>
                </w:tr>
                <w:tr w:rsidR="0006032A" w:rsidTr="008B685B">
                  <w:trPr>
                    <w:trHeight w:val="183"/>
                  </w:trPr>
                  <w:tc>
                    <w:tcPr>
                      <w:tcW w:w="10495" w:type="dxa"/>
                      <w:gridSpan w:val="2"/>
                      <w:tcBorders>
                        <w:top w:val="single" w:sz="8" w:space="0" w:color="D9D9D9"/>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sz w:val="22"/>
                          <w:szCs w:val="22"/>
                        </w:rPr>
                      </w:pPr>
                    </w:p>
                    <w:tbl>
                      <w:tblPr>
                        <w:tblStyle w:val="TableGrid13"/>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06032A" w:rsidTr="008B685B">
                        <w:trPr>
                          <w:trHeight w:val="440"/>
                        </w:trPr>
                        <w:tc>
                          <w:tcPr>
                            <w:tcW w:w="5790" w:type="dxa"/>
                            <w:vAlign w:val="center"/>
                          </w:tcPr>
                          <w:p w:rsidR="006F7012" w:rsidRPr="00A14B41" w:rsidRDefault="00B578E1" w:rsidP="008B685B">
                            <w:pPr>
                              <w:pStyle w:val="Normal75"/>
                              <w:keepNext/>
                              <w:widowControl/>
                              <w:autoSpaceDE/>
                              <w:autoSpaceDN/>
                              <w:adjustRightInd/>
                              <w:ind w:left="1505"/>
                              <w:rPr>
                                <w:rFonts w:ascii="Calibri" w:hAnsi="Calibri" w:cs="Times New Roman"/>
                                <w:color w:val="auto"/>
                                <w:sz w:val="21"/>
                                <w:szCs w:val="21"/>
                              </w:rPr>
                            </w:pPr>
                            <w:r>
                              <w:rPr>
                                <w:rFonts w:ascii="Calibri" w:hAnsi="Calibri" w:cs="Times New Roman"/>
                                <w:noProof/>
                                <w:color w:val="auto"/>
                                <w:sz w:val="21"/>
                                <w:szCs w:val="21"/>
                              </w:rPr>
                              <w:t>Administrative and Civil Service Reform</w:t>
                            </w:r>
                          </w:p>
                        </w:tc>
                        <w:tc>
                          <w:tcPr>
                            <w:tcW w:w="4590" w:type="dxa"/>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6</w:t>
                            </w: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p w:rsidR="006F7012" w:rsidRDefault="006F7012" w:rsidP="008B685B">
                      <w:pPr>
                        <w:pStyle w:val="Normal75"/>
                        <w:keepNext/>
                        <w:widowControl/>
                        <w:autoSpaceDE/>
                        <w:autoSpaceDN/>
                        <w:adjustRightInd/>
                        <w:spacing w:line="14" w:lineRule="exact"/>
                        <w:rPr>
                          <w:rFonts w:ascii="Calibri" w:hAnsi="Calibri"/>
                          <w:sz w:val="22"/>
                          <w:szCs w:val="22"/>
                        </w:rPr>
                      </w:pPr>
                    </w:p>
                    <w:tbl>
                      <w:tblPr>
                        <w:tblStyle w:val="TableGrid13"/>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06032A" w:rsidTr="008B685B">
                        <w:trPr>
                          <w:trHeight w:val="440"/>
                        </w:trPr>
                        <w:tc>
                          <w:tcPr>
                            <w:tcW w:w="5790" w:type="dxa"/>
                            <w:vAlign w:val="center"/>
                          </w:tcPr>
                          <w:p w:rsidR="006F7012" w:rsidRPr="00A14B41" w:rsidRDefault="00B578E1" w:rsidP="008B685B">
                            <w:pPr>
                              <w:pStyle w:val="Normal75"/>
                              <w:keepNext/>
                              <w:widowControl/>
                              <w:autoSpaceDE/>
                              <w:autoSpaceDN/>
                              <w:adjustRightInd/>
                              <w:ind w:left="1505"/>
                              <w:rPr>
                                <w:rFonts w:ascii="Calibri" w:hAnsi="Calibri" w:cs="Times New Roman"/>
                                <w:color w:val="auto"/>
                                <w:sz w:val="21"/>
                                <w:szCs w:val="21"/>
                              </w:rPr>
                            </w:pPr>
                            <w:r>
                              <w:rPr>
                                <w:rFonts w:ascii="Calibri" w:hAnsi="Calibri" w:cs="Times New Roman"/>
                                <w:noProof/>
                                <w:color w:val="auto"/>
                                <w:sz w:val="21"/>
                                <w:szCs w:val="21"/>
                              </w:rPr>
                              <w:t>Municipal Institution Building</w:t>
                            </w:r>
                          </w:p>
                        </w:tc>
                        <w:tc>
                          <w:tcPr>
                            <w:tcW w:w="4590" w:type="dxa"/>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14</w:t>
                            </w: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Default="006F7012" w:rsidP="006F7012">
          <w:pPr>
            <w:pStyle w:val="Normal75"/>
            <w:shd w:val="clear" w:color="auto" w:fill="F7F7F7"/>
            <w:spacing w:line="14" w:lineRule="exact"/>
            <w:ind w:left="-691" w:right="-518"/>
            <w:rPr>
              <w:rFonts w:ascii="Calibri" w:hAnsi="Calibri"/>
              <w:color w:val="767171"/>
              <w:sz w:val="22"/>
              <w:szCs w:val="22"/>
            </w:rPr>
          </w:pPr>
        </w:p>
        <w:p w:rsidR="006F7012" w:rsidRDefault="006F7012" w:rsidP="006F7012">
          <w:pPr>
            <w:pStyle w:val="Normal75"/>
            <w:shd w:val="clear" w:color="auto" w:fill="F7F7F7"/>
            <w:spacing w:line="14" w:lineRule="exact"/>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06032A" w:rsidTr="008B685B">
            <w:trPr>
              <w:trHeight w:val="184"/>
            </w:trPr>
            <w:tc>
              <w:tcPr>
                <w:tcW w:w="6027"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auto"/>
                    <w:sz w:val="21"/>
                    <w:szCs w:val="21"/>
                  </w:rPr>
                </w:pPr>
                <w:r>
                  <w:rPr>
                    <w:rFonts w:ascii="Calibri" w:hAnsi="Calibri" w:cs="Times New Roman"/>
                    <w:b/>
                    <w:noProof/>
                    <w:color w:val="auto"/>
                    <w:sz w:val="22"/>
                    <w:szCs w:val="22"/>
                  </w:rPr>
                  <w:t>Urban and Rural Development</w:t>
                </w:r>
              </w:p>
            </w:tc>
            <w:tc>
              <w:tcPr>
                <w:tcW w:w="4593"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b/>
                    <w:color w:val="auto"/>
                    <w:sz w:val="21"/>
                    <w:szCs w:val="21"/>
                  </w:rPr>
                </w:pPr>
                <w:r>
                  <w:rPr>
                    <w:rFonts w:ascii="Calibri" w:hAnsi="Calibri" w:cs="Times New Roman"/>
                    <w:b/>
                    <w:noProof/>
                    <w:color w:val="auto"/>
                    <w:sz w:val="21"/>
                    <w:szCs w:val="21"/>
                  </w:rPr>
                  <w:t>50</w:t>
                </w:r>
              </w:p>
            </w:tc>
          </w:tr>
          <w:tr w:rsidR="0006032A" w:rsidTr="008B685B">
            <w:trPr>
              <w:trHeight w:val="184"/>
            </w:trPr>
            <w:tc>
              <w:tcPr>
                <w:tcW w:w="10620" w:type="dxa"/>
                <w:gridSpan w:val="2"/>
                <w:tcBorders>
                  <w:top w:val="single" w:sz="12" w:space="0" w:color="BFBFBF"/>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cs="Times New Roman"/>
                    <w:color w:val="auto"/>
                    <w:sz w:val="21"/>
                    <w:szCs w:val="21"/>
                  </w:rPr>
                </w:pPr>
              </w:p>
              <w:tbl>
                <w:tblPr>
                  <w:tblStyle w:val="TableGrid141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06032A" w:rsidTr="008B685B">
                  <w:trPr>
                    <w:trHeight w:val="184"/>
                  </w:trPr>
                  <w:tc>
                    <w:tcPr>
                      <w:tcW w:w="5905"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Urban Development</w:t>
                      </w:r>
                    </w:p>
                  </w:tc>
                  <w:tc>
                    <w:tcPr>
                      <w:tcW w:w="4590"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30</w:t>
                      </w:r>
                    </w:p>
                  </w:tc>
                </w:tr>
                <w:tr w:rsidR="0006032A" w:rsidTr="008B685B">
                  <w:trPr>
                    <w:trHeight w:val="183"/>
                  </w:trPr>
                  <w:tc>
                    <w:tcPr>
                      <w:tcW w:w="10495" w:type="dxa"/>
                      <w:gridSpan w:val="2"/>
                      <w:tcBorders>
                        <w:top w:val="single" w:sz="8" w:space="0" w:color="D9D9D9"/>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sz w:val="22"/>
                          <w:szCs w:val="22"/>
                        </w:rPr>
                      </w:pPr>
                    </w:p>
                    <w:tbl>
                      <w:tblPr>
                        <w:tblStyle w:val="TableGrid13"/>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06032A" w:rsidTr="008B685B">
                        <w:trPr>
                          <w:trHeight w:val="440"/>
                        </w:trPr>
                        <w:tc>
                          <w:tcPr>
                            <w:tcW w:w="5790" w:type="dxa"/>
                            <w:vAlign w:val="center"/>
                          </w:tcPr>
                          <w:p w:rsidR="006F7012" w:rsidRPr="00A14B41" w:rsidRDefault="00B578E1" w:rsidP="008B685B">
                            <w:pPr>
                              <w:pStyle w:val="Normal75"/>
                              <w:keepNext/>
                              <w:widowControl/>
                              <w:autoSpaceDE/>
                              <w:autoSpaceDN/>
                              <w:adjustRightInd/>
                              <w:ind w:left="1505"/>
                              <w:rPr>
                                <w:rFonts w:ascii="Calibri" w:hAnsi="Calibri" w:cs="Times New Roman"/>
                                <w:color w:val="auto"/>
                                <w:sz w:val="21"/>
                                <w:szCs w:val="21"/>
                              </w:rPr>
                            </w:pPr>
                            <w:r>
                              <w:rPr>
                                <w:rFonts w:ascii="Calibri" w:hAnsi="Calibri" w:cs="Times New Roman"/>
                                <w:noProof/>
                                <w:color w:val="auto"/>
                                <w:sz w:val="21"/>
                                <w:szCs w:val="21"/>
                              </w:rPr>
                              <w:t>Urban Infrastructure and Service Delivery</w:t>
                            </w:r>
                          </w:p>
                        </w:tc>
                        <w:tc>
                          <w:tcPr>
                            <w:tcW w:w="4590" w:type="dxa"/>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30</w:t>
                            </w: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p w:rsidR="006F7012" w:rsidRDefault="006F7012" w:rsidP="008B685B">
                <w:pPr>
                  <w:pStyle w:val="Normal75"/>
                  <w:keepNext/>
                  <w:widowControl/>
                  <w:autoSpaceDE/>
                  <w:autoSpaceDN/>
                  <w:adjustRightInd/>
                  <w:spacing w:line="14" w:lineRule="exact"/>
                  <w:rPr>
                    <w:rFonts w:ascii="Calibri" w:hAnsi="Calibri" w:cs="Times New Roman"/>
                    <w:color w:val="auto"/>
                    <w:sz w:val="21"/>
                    <w:szCs w:val="21"/>
                  </w:rPr>
                </w:pPr>
              </w:p>
              <w:tbl>
                <w:tblPr>
                  <w:tblStyle w:val="TableGrid141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06032A" w:rsidTr="008B685B">
                  <w:trPr>
                    <w:trHeight w:val="184"/>
                  </w:trPr>
                  <w:tc>
                    <w:tcPr>
                      <w:tcW w:w="5905"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20</w:t>
                      </w:r>
                    </w:p>
                  </w:tc>
                </w:tr>
                <w:tr w:rsidR="0006032A" w:rsidTr="008B685B">
                  <w:trPr>
                    <w:trHeight w:val="183"/>
                  </w:trPr>
                  <w:tc>
                    <w:tcPr>
                      <w:tcW w:w="10495" w:type="dxa"/>
                      <w:gridSpan w:val="2"/>
                      <w:tcBorders>
                        <w:top w:val="single" w:sz="8" w:space="0" w:color="D9D9D9"/>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sz w:val="22"/>
                          <w:szCs w:val="22"/>
                        </w:rPr>
                      </w:pPr>
                    </w:p>
                    <w:tbl>
                      <w:tblPr>
                        <w:tblStyle w:val="TableGrid13"/>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06032A" w:rsidTr="008B685B">
                        <w:trPr>
                          <w:trHeight w:val="440"/>
                        </w:trPr>
                        <w:tc>
                          <w:tcPr>
                            <w:tcW w:w="5790" w:type="dxa"/>
                            <w:vAlign w:val="center"/>
                          </w:tcPr>
                          <w:p w:rsidR="006F7012" w:rsidRPr="00A14B41" w:rsidRDefault="00B578E1" w:rsidP="008B685B">
                            <w:pPr>
                              <w:pStyle w:val="Normal75"/>
                              <w:keepNext/>
                              <w:widowControl/>
                              <w:autoSpaceDE/>
                              <w:autoSpaceDN/>
                              <w:adjustRightInd/>
                              <w:ind w:left="1505"/>
                              <w:rPr>
                                <w:rFonts w:ascii="Calibri" w:hAnsi="Calibri" w:cs="Times New Roman"/>
                                <w:color w:val="auto"/>
                                <w:sz w:val="21"/>
                                <w:szCs w:val="21"/>
                              </w:rPr>
                            </w:pPr>
                            <w:r>
                              <w:rPr>
                                <w:rFonts w:ascii="Calibri" w:hAnsi="Calibri" w:cs="Times New Roman"/>
                                <w:noProof/>
                                <w:color w:val="auto"/>
                                <w:sz w:val="21"/>
                                <w:szCs w:val="21"/>
                              </w:rPr>
                              <w:t>Rural Infrastructure and service delivery</w:t>
                            </w:r>
                          </w:p>
                        </w:tc>
                        <w:tc>
                          <w:tcPr>
                            <w:tcW w:w="4590" w:type="dxa"/>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20</w:t>
                            </w: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Default="006F7012" w:rsidP="006F7012">
          <w:pPr>
            <w:pStyle w:val="Normal75"/>
            <w:shd w:val="clear" w:color="auto" w:fill="F7F7F7"/>
            <w:spacing w:line="14" w:lineRule="exact"/>
            <w:ind w:left="-691" w:right="-518"/>
            <w:rPr>
              <w:rFonts w:ascii="Calibri" w:hAnsi="Calibri"/>
              <w:color w:val="767171"/>
              <w:sz w:val="22"/>
              <w:szCs w:val="22"/>
            </w:rPr>
          </w:pPr>
        </w:p>
        <w:p w:rsidR="006F7012" w:rsidRDefault="006F7012" w:rsidP="006F7012">
          <w:pPr>
            <w:pStyle w:val="Normal75"/>
            <w:shd w:val="clear" w:color="auto" w:fill="F7F7F7"/>
            <w:spacing w:line="14" w:lineRule="exact"/>
            <w:ind w:left="-691" w:right="-518"/>
            <w:rPr>
              <w:rFonts w:ascii="Calibri" w:hAnsi="Calibri"/>
              <w:color w:val="767171"/>
              <w:sz w:val="22"/>
              <w:szCs w:val="22"/>
            </w:rPr>
          </w:pPr>
        </w:p>
        <w:tbl>
          <w:tblPr>
            <w:tblStyle w:val="TableGrid1411"/>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6027"/>
            <w:gridCol w:w="4593"/>
          </w:tblGrid>
          <w:tr w:rsidR="0006032A" w:rsidTr="008B685B">
            <w:trPr>
              <w:trHeight w:val="184"/>
            </w:trPr>
            <w:tc>
              <w:tcPr>
                <w:tcW w:w="6027"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ind w:left="-115" w:firstLine="101"/>
                  <w:rPr>
                    <w:rFonts w:ascii="Calibri" w:hAnsi="Calibri" w:cs="Times New Roman"/>
                    <w:b/>
                    <w:color w:val="auto"/>
                    <w:sz w:val="21"/>
                    <w:szCs w:val="21"/>
                  </w:rPr>
                </w:pPr>
                <w:r>
                  <w:rPr>
                    <w:rFonts w:ascii="Calibri" w:hAnsi="Calibri" w:cs="Times New Roman"/>
                    <w:b/>
                    <w:noProof/>
                    <w:color w:val="auto"/>
                    <w:sz w:val="22"/>
                    <w:szCs w:val="22"/>
                  </w:rPr>
                  <w:t>Environment and Natural Resource Management</w:t>
                </w:r>
              </w:p>
            </w:tc>
            <w:tc>
              <w:tcPr>
                <w:tcW w:w="4593" w:type="dxa"/>
                <w:tcBorders>
                  <w:bottom w:val="single" w:sz="12" w:space="0" w:color="BFBFBF"/>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b/>
                    <w:color w:val="auto"/>
                    <w:sz w:val="21"/>
                    <w:szCs w:val="21"/>
                  </w:rPr>
                </w:pPr>
                <w:r>
                  <w:rPr>
                    <w:rFonts w:ascii="Calibri" w:hAnsi="Calibri" w:cs="Times New Roman"/>
                    <w:b/>
                    <w:noProof/>
                    <w:color w:val="auto"/>
                    <w:sz w:val="21"/>
                    <w:szCs w:val="21"/>
                  </w:rPr>
                  <w:t>30</w:t>
                </w:r>
              </w:p>
            </w:tc>
          </w:tr>
          <w:tr w:rsidR="0006032A" w:rsidTr="008B685B">
            <w:trPr>
              <w:trHeight w:val="184"/>
            </w:trPr>
            <w:tc>
              <w:tcPr>
                <w:tcW w:w="10620" w:type="dxa"/>
                <w:gridSpan w:val="2"/>
                <w:tcBorders>
                  <w:top w:val="single" w:sz="12" w:space="0" w:color="BFBFBF"/>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cs="Times New Roman"/>
                    <w:color w:val="auto"/>
                    <w:sz w:val="21"/>
                    <w:szCs w:val="21"/>
                  </w:rPr>
                </w:pPr>
              </w:p>
              <w:tbl>
                <w:tblPr>
                  <w:tblStyle w:val="TableGrid1411"/>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firstRow="1" w:lastRow="0" w:firstColumn="1" w:lastColumn="0" w:noHBand="0" w:noVBand="1"/>
                </w:tblPr>
                <w:tblGrid>
                  <w:gridCol w:w="5905"/>
                  <w:gridCol w:w="4590"/>
                </w:tblGrid>
                <w:tr w:rsidR="0006032A" w:rsidTr="008B685B">
                  <w:trPr>
                    <w:trHeight w:val="184"/>
                  </w:trPr>
                  <w:tc>
                    <w:tcPr>
                      <w:tcW w:w="5905"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ind w:left="720"/>
                        <w:rPr>
                          <w:rFonts w:ascii="Calibri" w:hAnsi="Calibri" w:cs="Times New Roman"/>
                          <w:color w:val="auto"/>
                          <w:sz w:val="21"/>
                          <w:szCs w:val="21"/>
                        </w:rPr>
                      </w:pPr>
                      <w:r>
                        <w:rPr>
                          <w:rFonts w:ascii="Calibri" w:hAnsi="Calibri" w:cs="Times New Roman"/>
                          <w:noProof/>
                          <w:color w:val="auto"/>
                          <w:sz w:val="21"/>
                          <w:szCs w:val="21"/>
                        </w:rPr>
                        <w:t>Water Resource Management</w:t>
                      </w:r>
                    </w:p>
                  </w:tc>
                  <w:tc>
                    <w:tcPr>
                      <w:tcW w:w="4590" w:type="dxa"/>
                      <w:tcBorders>
                        <w:bottom w:val="single" w:sz="8" w:space="0" w:color="D9D9D9"/>
                      </w:tcBorders>
                      <w:shd w:val="clear" w:color="auto" w:fill="F7F7F7"/>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30</w:t>
                      </w:r>
                    </w:p>
                  </w:tc>
                </w:tr>
                <w:tr w:rsidR="0006032A" w:rsidTr="008B685B">
                  <w:trPr>
                    <w:trHeight w:val="183"/>
                  </w:trPr>
                  <w:tc>
                    <w:tcPr>
                      <w:tcW w:w="10495" w:type="dxa"/>
                      <w:gridSpan w:val="2"/>
                      <w:tcBorders>
                        <w:top w:val="single" w:sz="8" w:space="0" w:color="D9D9D9"/>
                      </w:tcBorders>
                      <w:shd w:val="clear" w:color="auto" w:fill="F7F7F7"/>
                      <w:vAlign w:val="center"/>
                    </w:tcPr>
                    <w:p w:rsidR="006F7012" w:rsidRDefault="006F7012" w:rsidP="008B685B">
                      <w:pPr>
                        <w:pStyle w:val="Normal75"/>
                        <w:keepNext/>
                        <w:widowControl/>
                        <w:autoSpaceDE/>
                        <w:autoSpaceDN/>
                        <w:adjustRightInd/>
                        <w:spacing w:line="14" w:lineRule="exact"/>
                        <w:rPr>
                          <w:rFonts w:ascii="Calibri" w:hAnsi="Calibri"/>
                          <w:sz w:val="22"/>
                          <w:szCs w:val="22"/>
                        </w:rPr>
                      </w:pPr>
                    </w:p>
                    <w:tbl>
                      <w:tblPr>
                        <w:tblStyle w:val="TableGrid13"/>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firstRow="1" w:lastRow="0" w:firstColumn="1" w:lastColumn="0" w:noHBand="0" w:noVBand="1"/>
                      </w:tblPr>
                      <w:tblGrid>
                        <w:gridCol w:w="5790"/>
                        <w:gridCol w:w="4590"/>
                      </w:tblGrid>
                      <w:tr w:rsidR="0006032A" w:rsidTr="008B685B">
                        <w:trPr>
                          <w:trHeight w:val="440"/>
                        </w:trPr>
                        <w:tc>
                          <w:tcPr>
                            <w:tcW w:w="5790" w:type="dxa"/>
                            <w:vAlign w:val="center"/>
                          </w:tcPr>
                          <w:p w:rsidR="006F7012" w:rsidRPr="00A14B41" w:rsidRDefault="00B578E1" w:rsidP="008B685B">
                            <w:pPr>
                              <w:pStyle w:val="Normal75"/>
                              <w:keepNext/>
                              <w:widowControl/>
                              <w:autoSpaceDE/>
                              <w:autoSpaceDN/>
                              <w:adjustRightInd/>
                              <w:ind w:left="1505"/>
                              <w:rPr>
                                <w:rFonts w:ascii="Calibri" w:hAnsi="Calibri" w:cs="Times New Roman"/>
                                <w:color w:val="auto"/>
                                <w:sz w:val="21"/>
                                <w:szCs w:val="21"/>
                              </w:rPr>
                            </w:pPr>
                            <w:r>
                              <w:rPr>
                                <w:rFonts w:ascii="Calibri" w:hAnsi="Calibri" w:cs="Times New Roman"/>
                                <w:noProof/>
                                <w:color w:val="auto"/>
                                <w:sz w:val="21"/>
                                <w:szCs w:val="21"/>
                              </w:rPr>
                              <w:t>Water Institutions, Policies and Reform</w:t>
                            </w:r>
                          </w:p>
                        </w:tc>
                        <w:tc>
                          <w:tcPr>
                            <w:tcW w:w="4590" w:type="dxa"/>
                            <w:vAlign w:val="center"/>
                          </w:tcPr>
                          <w:p w:rsidR="006F7012" w:rsidRPr="00A14B41" w:rsidRDefault="00B578E1" w:rsidP="008B685B">
                            <w:pPr>
                              <w:pStyle w:val="Normal75"/>
                              <w:keepNext/>
                              <w:widowControl/>
                              <w:autoSpaceDE/>
                              <w:autoSpaceDN/>
                              <w:adjustRightInd/>
                              <w:jc w:val="right"/>
                              <w:rPr>
                                <w:rFonts w:ascii="Calibri" w:hAnsi="Calibri" w:cs="Times New Roman"/>
                                <w:color w:val="auto"/>
                                <w:sz w:val="21"/>
                                <w:szCs w:val="21"/>
                              </w:rPr>
                            </w:pPr>
                            <w:r>
                              <w:rPr>
                                <w:rFonts w:ascii="Calibri" w:hAnsi="Calibri" w:cs="Times New Roman"/>
                                <w:noProof/>
                                <w:color w:val="auto"/>
                                <w:sz w:val="21"/>
                                <w:szCs w:val="21"/>
                              </w:rPr>
                              <w:t>30</w:t>
                            </w: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Pr="00A14B41" w:rsidRDefault="006F7012" w:rsidP="008B685B">
                <w:pPr>
                  <w:pStyle w:val="Normal75"/>
                  <w:keepNext/>
                  <w:widowControl/>
                  <w:autoSpaceDE/>
                  <w:autoSpaceDN/>
                  <w:adjustRightInd/>
                  <w:spacing w:line="14" w:lineRule="exact"/>
                  <w:rPr>
                    <w:rFonts w:ascii="Calibri" w:hAnsi="Calibri" w:cs="Times New Roman"/>
                    <w:color w:val="auto"/>
                    <w:sz w:val="21"/>
                    <w:szCs w:val="21"/>
                  </w:rPr>
                </w:pPr>
              </w:p>
            </w:tc>
          </w:tr>
        </w:tbl>
        <w:p w:rsidR="006F7012" w:rsidRDefault="006F7012" w:rsidP="006F7012">
          <w:pPr>
            <w:pStyle w:val="Normal75"/>
            <w:shd w:val="clear" w:color="auto" w:fill="F7F7F7"/>
            <w:spacing w:line="14" w:lineRule="exact"/>
            <w:ind w:left="-691" w:right="-518"/>
            <w:rPr>
              <w:rFonts w:ascii="Calibri" w:hAnsi="Calibri"/>
              <w:color w:val="767171"/>
              <w:sz w:val="22"/>
              <w:szCs w:val="22"/>
            </w:rPr>
          </w:pPr>
        </w:p>
        <w:p w:rsidR="006F7012" w:rsidRDefault="006F7012" w:rsidP="006F7012">
          <w:pPr>
            <w:pStyle w:val="Normal75"/>
            <w:shd w:val="clear" w:color="auto" w:fill="F7F7F7"/>
            <w:ind w:left="-691" w:right="-518"/>
            <w:rPr>
              <w:rFonts w:ascii="Calibri" w:hAnsi="Calibri"/>
              <w:color w:val="767171"/>
              <w:sz w:val="22"/>
              <w:szCs w:val="22"/>
            </w:rPr>
          </w:pPr>
        </w:p>
        <w:tbl>
          <w:tblPr>
            <w:tblStyle w:val="TableGrid13"/>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06032A" w:rsidTr="008B685B">
            <w:trPr>
              <w:trHeight w:val="450"/>
            </w:trPr>
            <w:tc>
              <w:tcPr>
                <w:tcW w:w="10620" w:type="dxa"/>
                <w:shd w:val="clear" w:color="auto" w:fill="F7F7F7"/>
                <w:vAlign w:val="center"/>
              </w:tcPr>
              <w:tbl>
                <w:tblPr>
                  <w:tblStyle w:val="TableGrid13"/>
                  <w:tblW w:w="10620" w:type="dxa"/>
                  <w:shd w:val="clear" w:color="auto" w:fill="F7F7F7"/>
                  <w:tblLayout w:type="fixed"/>
                  <w:tblLook w:val="04A0" w:firstRow="1" w:lastRow="0" w:firstColumn="1" w:lastColumn="0" w:noHBand="0" w:noVBand="1"/>
                </w:tblPr>
                <w:tblGrid>
                  <w:gridCol w:w="10620"/>
                </w:tblGrid>
                <w:tr w:rsidR="0006032A" w:rsidTr="008B685B">
                  <w:trPr>
                    <w:trHeight w:val="378"/>
                  </w:trPr>
                  <w:tc>
                    <w:tcPr>
                      <w:tcW w:w="10620" w:type="dxa"/>
                      <w:tcBorders>
                        <w:top w:val="nil"/>
                        <w:left w:val="single" w:sz="24" w:space="0" w:color="BFBFBF"/>
                        <w:bottom w:val="nil"/>
                        <w:right w:val="nil"/>
                      </w:tcBorders>
                      <w:shd w:val="clear" w:color="auto" w:fill="E7E6E6"/>
                      <w:vAlign w:val="center"/>
                      <w:hideMark/>
                    </w:tcPr>
                    <w:p w:rsidR="006F7012" w:rsidRPr="00A14B41" w:rsidRDefault="00B578E1" w:rsidP="008B685B">
                      <w:pPr>
                        <w:pStyle w:val="Normal75"/>
                        <w:keepNext/>
                        <w:widowControl/>
                        <w:rPr>
                          <w:rFonts w:ascii="Calibri" w:hAnsi="Calibri"/>
                        </w:rPr>
                      </w:pPr>
                      <w:r>
                        <w:rPr>
                          <w:rFonts w:ascii="Calibri" w:hAnsi="Calibri"/>
                          <w:b/>
                          <w:bCs/>
                        </w:rPr>
                        <w:t xml:space="preserve">ADM </w:t>
                      </w:r>
                      <w:r w:rsidRPr="00A14B41">
                        <w:rPr>
                          <w:rFonts w:ascii="Calibri" w:hAnsi="Calibri"/>
                          <w:b/>
                          <w:bCs/>
                        </w:rPr>
                        <w:t>STAFF</w:t>
                      </w:r>
                    </w:p>
                  </w:tc>
                </w:tr>
              </w:tbl>
              <w:p w:rsidR="006F7012" w:rsidRPr="00692E93" w:rsidRDefault="006F7012" w:rsidP="008B685B">
                <w:pPr>
                  <w:pStyle w:val="Normal75"/>
                  <w:keepNext/>
                  <w:widowControl/>
                  <w:rPr>
                    <w:rFonts w:ascii="Calibri" w:hAnsi="Calibri"/>
                    <w:sz w:val="22"/>
                    <w:szCs w:val="22"/>
                  </w:rPr>
                </w:pPr>
              </w:p>
            </w:tc>
          </w:tr>
        </w:tbl>
        <w:tbl>
          <w:tblPr>
            <w:tblStyle w:val="TableGrid411"/>
            <w:tblW w:w="10604" w:type="dxa"/>
            <w:tblInd w:w="-720" w:type="dxa"/>
            <w:tblBorders>
              <w:top w:val="nil"/>
              <w:left w:val="nil"/>
              <w:bottom w:val="nil"/>
              <w:right w:val="nil"/>
              <w:insideH w:val="nil"/>
              <w:insideV w:val="nil"/>
            </w:tblBorders>
            <w:shd w:val="clear" w:color="auto" w:fill="F7F7F7"/>
            <w:tblLayout w:type="fixed"/>
            <w:tblLook w:val="04A0" w:firstRow="1" w:lastRow="0" w:firstColumn="1" w:lastColumn="0" w:noHBand="0" w:noVBand="1"/>
          </w:tblPr>
          <w:tblGrid>
            <w:gridCol w:w="4200"/>
            <w:gridCol w:w="3330"/>
            <w:gridCol w:w="3074"/>
          </w:tblGrid>
          <w:tr w:rsidR="0006032A" w:rsidTr="008B685B">
            <w:trPr>
              <w:trHeight w:val="413"/>
            </w:trPr>
            <w:tc>
              <w:tcPr>
                <w:tcW w:w="4200" w:type="dxa"/>
                <w:tcBorders>
                  <w:top w:val="nil"/>
                  <w:left w:val="nil"/>
                  <w:bottom w:val="single" w:sz="12" w:space="0" w:color="D9D9D9"/>
                  <w:right w:val="nil"/>
                </w:tcBorders>
                <w:shd w:val="clear" w:color="auto" w:fill="F7F7F7"/>
                <w:vAlign w:val="center"/>
              </w:tcPr>
              <w:p w:rsidR="006F7012" w:rsidRPr="00B03C9A" w:rsidRDefault="00B578E1" w:rsidP="008B685B">
                <w:pPr>
                  <w:pStyle w:val="Normal75"/>
                  <w:keepNext/>
                  <w:widowControl/>
                  <w:autoSpaceDE/>
                  <w:autoSpaceDN/>
                  <w:adjustRightInd/>
                  <w:rPr>
                    <w:rFonts w:ascii="Calibri" w:eastAsia="Calibri" w:hAnsi="Calibri" w:cs="Times New Roman"/>
                    <w:b/>
                    <w:color w:val="auto"/>
                    <w:sz w:val="22"/>
                    <w:szCs w:val="22"/>
                  </w:rPr>
                </w:pPr>
                <w:r w:rsidRPr="00B03C9A">
                  <w:rPr>
                    <w:rFonts w:ascii="Calibri" w:eastAsia="Calibri" w:hAnsi="Calibri" w:cs="Times New Roman"/>
                    <w:b/>
                    <w:bCs/>
                    <w:color w:val="7F7F7F"/>
                    <w:sz w:val="22"/>
                    <w:szCs w:val="22"/>
                  </w:rPr>
                  <w:t>Role</w:t>
                </w:r>
              </w:p>
            </w:tc>
            <w:tc>
              <w:tcPr>
                <w:tcW w:w="3330" w:type="dxa"/>
                <w:tcBorders>
                  <w:top w:val="nil"/>
                  <w:left w:val="nil"/>
                  <w:bottom w:val="single" w:sz="12" w:space="0" w:color="D9D9D9"/>
                  <w:right w:val="nil"/>
                </w:tcBorders>
                <w:shd w:val="clear" w:color="auto" w:fill="F7F7F7"/>
                <w:vAlign w:val="center"/>
              </w:tcPr>
              <w:p w:rsidR="006F7012" w:rsidRPr="00B03C9A" w:rsidRDefault="00B578E1" w:rsidP="008B685B">
                <w:pPr>
                  <w:pStyle w:val="Normal75"/>
                  <w:keepNext/>
                  <w:widowControl/>
                  <w:autoSpaceDE/>
                  <w:autoSpaceDN/>
                  <w:adjustRightInd/>
                  <w:rPr>
                    <w:rFonts w:ascii="Calibri" w:eastAsia="Calibri" w:hAnsi="Calibri" w:cs="Times New Roman"/>
                    <w:b/>
                    <w:color w:val="auto"/>
                    <w:sz w:val="22"/>
                    <w:szCs w:val="22"/>
                  </w:rPr>
                </w:pPr>
                <w:r w:rsidRPr="00B03C9A">
                  <w:rPr>
                    <w:rFonts w:ascii="Calibri" w:eastAsia="Calibri" w:hAnsi="Calibri" w:cs="Times New Roman"/>
                    <w:b/>
                    <w:bCs/>
                    <w:color w:val="7F7F7F"/>
                    <w:sz w:val="22"/>
                    <w:szCs w:val="22"/>
                  </w:rPr>
                  <w:t>At Approval</w:t>
                </w:r>
              </w:p>
            </w:tc>
            <w:tc>
              <w:tcPr>
                <w:tcW w:w="3074" w:type="dxa"/>
                <w:tcBorders>
                  <w:top w:val="nil"/>
                  <w:left w:val="nil"/>
                  <w:bottom w:val="single" w:sz="12" w:space="0" w:color="D9D9D9"/>
                  <w:right w:val="nil"/>
                </w:tcBorders>
                <w:shd w:val="clear" w:color="auto" w:fill="F7F7F7"/>
                <w:vAlign w:val="center"/>
              </w:tcPr>
              <w:p w:rsidR="006F7012" w:rsidRPr="00B03C9A" w:rsidRDefault="00B578E1" w:rsidP="008B685B">
                <w:pPr>
                  <w:pStyle w:val="Normal75"/>
                  <w:keepNext/>
                  <w:widowControl/>
                  <w:autoSpaceDE/>
                  <w:autoSpaceDN/>
                  <w:adjustRightInd/>
                  <w:rPr>
                    <w:rFonts w:ascii="Calibri" w:eastAsia="Calibri" w:hAnsi="Calibri" w:cs="Times New Roman"/>
                    <w:b/>
                    <w:color w:val="auto"/>
                    <w:sz w:val="22"/>
                    <w:szCs w:val="22"/>
                  </w:rPr>
                </w:pPr>
                <w:r w:rsidRPr="00B03C9A">
                  <w:rPr>
                    <w:rFonts w:ascii="Calibri" w:eastAsia="Calibri" w:hAnsi="Calibri" w:cs="Times New Roman"/>
                    <w:b/>
                    <w:bCs/>
                    <w:color w:val="7F7F7F"/>
                    <w:sz w:val="22"/>
                    <w:szCs w:val="22"/>
                  </w:rPr>
                  <w:t>At ICR</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t>Regional Vice President:</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Shamshad Akhtar</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Hafez M. H. Ghanem</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t>Country Director: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Mariam J. Sherman</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Marina Wes</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lastRenderedPageBreak/>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Laszlo Lovei</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Guang Zhe Chen</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t>Practice Manager: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Francis Ato Brown</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Carmen Nonay</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t>Task Team Leader(s):</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eastAsia="Calibri" w:hAnsi="Calibri" w:cs="Times New Roman"/>
                    <w:noProof/>
                    <w:color w:val="auto"/>
                    <w:sz w:val="22"/>
                    <w:szCs w:val="22"/>
                  </w:rPr>
                  <w:t>Richard W. Pollard</w:t>
                </w: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Iyad Rammal</w:t>
                </w:r>
              </w:p>
            </w:tc>
          </w:tr>
          <w:tr w:rsidR="0006032A" w:rsidTr="008B685B">
            <w:trPr>
              <w:trHeight w:val="413"/>
            </w:trPr>
            <w:tc>
              <w:tcPr>
                <w:tcW w:w="4200"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cs="Times New Roman"/>
                    <w:noProof/>
                    <w:color w:val="auto"/>
                    <w:sz w:val="22"/>
                    <w:szCs w:val="22"/>
                  </w:rPr>
                  <w:t>ICR Contributing Author:</w:t>
                </w:r>
              </w:p>
            </w:tc>
            <w:tc>
              <w:tcPr>
                <w:tcW w:w="3330" w:type="dxa"/>
                <w:tcBorders>
                  <w:top w:val="single" w:sz="12" w:space="0" w:color="D9D9D9"/>
                  <w:left w:val="nil"/>
                  <w:bottom w:val="single" w:sz="8" w:space="0" w:color="D9D9D9"/>
                  <w:right w:val="nil"/>
                </w:tcBorders>
                <w:shd w:val="clear" w:color="auto" w:fill="F7F7F7"/>
                <w:vAlign w:val="center"/>
              </w:tcPr>
              <w:p w:rsidR="006F7012" w:rsidRPr="00B03C9A" w:rsidRDefault="006F7012" w:rsidP="008B685B">
                <w:pPr>
                  <w:pStyle w:val="Normal75"/>
                  <w:widowControl/>
                  <w:autoSpaceDE/>
                  <w:autoSpaceDN/>
                  <w:adjustRightInd/>
                  <w:rPr>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rsidR="006F7012" w:rsidRPr="00B03C9A" w:rsidRDefault="00B578E1" w:rsidP="008B685B">
                <w:pPr>
                  <w:pStyle w:val="Normal75"/>
                  <w:widowControl/>
                  <w:autoSpaceDE/>
                  <w:autoSpaceDN/>
                  <w:adjustRightInd/>
                  <w:rPr>
                    <w:rFonts w:ascii="Calibri" w:eastAsia="Calibri" w:hAnsi="Calibri" w:cs="Times New Roman"/>
                    <w:color w:val="auto"/>
                    <w:sz w:val="22"/>
                    <w:szCs w:val="22"/>
                  </w:rPr>
                </w:pPr>
                <w:r>
                  <w:rPr>
                    <w:rFonts w:ascii="Calibri" w:hAnsi="Calibri"/>
                    <w:noProof/>
                    <w:sz w:val="22"/>
                    <w:szCs w:val="22"/>
                  </w:rPr>
                  <w:t>Lars Anders Jagerskog</w:t>
                </w:r>
              </w:p>
            </w:tc>
          </w:tr>
        </w:tbl>
        <w:p w:rsidR="006F7012" w:rsidRDefault="006F7012" w:rsidP="006F7012">
          <w:pPr>
            <w:pStyle w:val="Normal75"/>
            <w:shd w:val="clear" w:color="auto" w:fill="F7F7F7"/>
            <w:ind w:left="-691" w:right="-518"/>
            <w:rPr>
              <w:rFonts w:ascii="Calibri" w:hAnsi="Calibri"/>
              <w:color w:val="767171"/>
              <w:sz w:val="22"/>
              <w:szCs w:val="22"/>
            </w:rPr>
          </w:pPr>
        </w:p>
        <w:p w:rsidR="006F7012" w:rsidRDefault="006F7012" w:rsidP="006F7012">
          <w:pPr>
            <w:pStyle w:val="Normal311"/>
            <w:widowControl w:val="0"/>
            <w:spacing w:after="0" w:line="240" w:lineRule="auto"/>
            <w:ind w:left="-907"/>
          </w:pPr>
        </w:p>
        <w:sdt>
          <w:sdtPr>
            <w:tag w:val="OPS_CORE_SECTION_END_5"/>
            <w:id w:val="1258684674"/>
            <w:lock w:val="sdtContentLocked"/>
            <w:placeholder>
              <w:docPart w:val="4A29799E0C274704AD849551F60EEAC9"/>
            </w:placeholder>
          </w:sdtPr>
          <w:sdtEndPr/>
          <w:sdtContent>
            <w:p w:rsidR="006F7012" w:rsidRDefault="00B578E1" w:rsidP="006F7012">
              <w:pPr>
                <w:pStyle w:val="Normal3"/>
                <w:widowControl w:val="0"/>
                <w:spacing w:after="0" w:line="14" w:lineRule="exact"/>
                <w:ind w:left="-907"/>
              </w:pPr>
              <w:r>
                <w:t xml:space="preserve"> </w:t>
              </w:r>
            </w:p>
          </w:sdtContent>
        </w:sdt>
      </w:sdtContent>
    </w:sdt>
    <w:p w:rsidR="006F7012" w:rsidRDefault="006F7012" w:rsidP="006F7012">
      <w:pPr>
        <w:pStyle w:val="Normal3"/>
        <w:widowControl w:val="0"/>
        <w:spacing w:after="0" w:line="14" w:lineRule="exact"/>
        <w:ind w:left="-907"/>
      </w:pPr>
    </w:p>
    <w:p w:rsidR="006F7012" w:rsidRDefault="006F7012" w:rsidP="006F7012">
      <w:pPr>
        <w:pStyle w:val="Normal3"/>
        <w:widowControl w:val="0"/>
        <w:spacing w:after="0" w:line="14" w:lineRule="exact"/>
        <w:ind w:left="-907"/>
        <w:sectPr w:rsidR="006F7012" w:rsidSect="00BF4A1F">
          <w:headerReference w:type="default" r:id="rId15"/>
          <w:footerReference w:type="default" r:id="rId16"/>
          <w:type w:val="continuous"/>
          <w:pgSz w:w="12240" w:h="15840"/>
          <w:pgMar w:top="1440" w:right="1440" w:bottom="1440" w:left="1440" w:header="720" w:footer="720" w:gutter="0"/>
          <w:cols w:space="720"/>
          <w:docGrid w:linePitch="360"/>
        </w:sectPr>
      </w:pPr>
    </w:p>
    <w:p w:rsidR="006F7012" w:rsidRDefault="00B578E1" w:rsidP="006F7012">
      <w:pPr>
        <w:pStyle w:val="Normal3"/>
        <w:widowControl w:val="0"/>
        <w:spacing w:after="0" w:line="240" w:lineRule="auto"/>
        <w:ind w:left="-907"/>
      </w:pPr>
      <w:r>
        <w:rPr>
          <w:noProof/>
        </w:rPr>
        <mc:AlternateContent>
          <mc:Choice Requires="wps">
            <w:drawing>
              <wp:anchor distT="0" distB="0" distL="114300" distR="114300" simplePos="0" relativeHeight="251668480"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9" style="mso-width-percent:0;mso-width-relative:margin;mso-wrap-distance-bottom:0;mso-wrap-distance-left:9pt;mso-wrap-distance-right:9pt;mso-wrap-distance-top:0;mso-wrap-style:square;position:absolute;visibility:visible;z-index:251669504" from="-73.9pt,13.4pt" to="540.3pt,13.4pt" strokecolor="gray">
                <v:stroke joinstyle="miter" dashstyle="dash" opacity="26214f"/>
              </v:line>
            </w:pict>
          </mc:Fallback>
        </mc:AlternateContent>
      </w:r>
    </w:p>
    <w:p w:rsidR="006F7012" w:rsidRDefault="006F7012" w:rsidP="006F7012">
      <w:pPr>
        <w:pStyle w:val="Normal3"/>
        <w:widowControl w:val="0"/>
        <w:spacing w:after="0" w:line="240" w:lineRule="auto"/>
        <w:ind w:left="-907"/>
      </w:pPr>
    </w:p>
    <w:p w:rsidR="006F7012" w:rsidRDefault="006F7012" w:rsidP="006F7012">
      <w:pPr>
        <w:pStyle w:val="Normal3"/>
        <w:widowControl w:val="0"/>
        <w:spacing w:after="0" w:line="240" w:lineRule="auto"/>
        <w:ind w:left="-720"/>
      </w:pPr>
    </w:p>
    <w:sdt>
      <w:sdtPr>
        <w:id w:val="2079773984"/>
        <w:lock w:val="sdtContentLocked"/>
        <w:placeholder>
          <w:docPart w:val="56B451CC62634E4C82A21F3864CB8327"/>
        </w:placeholder>
        <w:showingPlcHdr/>
      </w:sdtPr>
      <w:sdtEndPr/>
      <w:sdtContent>
        <w:p w:rsidR="006F7012" w:rsidRPr="007F0644" w:rsidRDefault="00B578E1" w:rsidP="008472BF">
          <w:pPr>
            <w:pStyle w:val="Normal3"/>
            <w:widowControl w:val="0"/>
            <w:spacing w:after="0" w:line="20" w:lineRule="exact"/>
            <w:sectPr w:rsidR="006F7012" w:rsidRPr="007F0644" w:rsidSect="00BF4A1F">
              <w:type w:val="continuous"/>
              <w:pgSz w:w="12240" w:h="15840"/>
              <w:pgMar w:top="1440" w:right="1440" w:bottom="1440" w:left="1440" w:header="720" w:footer="720" w:gutter="0"/>
              <w:cols w:space="720"/>
              <w:docGrid w:linePitch="360"/>
            </w:sectPr>
          </w:pPr>
          <w:r>
            <w:t xml:space="preserve"> </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72"/>
        <w:gridCol w:w="9145"/>
        <w:gridCol w:w="43"/>
      </w:tblGrid>
      <w:tr w:rsidR="0006032A" w:rsidTr="008472BF">
        <w:trPr>
          <w:trHeight w:val="432"/>
        </w:trPr>
        <w:tc>
          <w:tcPr>
            <w:tcW w:w="5000" w:type="pct"/>
            <w:gridSpan w:val="3"/>
            <w:shd w:val="clear" w:color="auto" w:fill="F2F7FC"/>
            <w:vAlign w:val="center"/>
          </w:tcPr>
          <w:p w:rsidR="003615CB" w:rsidRPr="009212BE" w:rsidRDefault="00B578E1" w:rsidP="00BE4579">
            <w:pPr>
              <w:pStyle w:val="NoSpacing"/>
              <w:numPr>
                <w:ilvl w:val="0"/>
                <w:numId w:val="1"/>
              </w:numPr>
              <w:ind w:left="288" w:hanging="288"/>
              <w:outlineLvl w:val="0"/>
              <w:rPr>
                <w:rFonts w:asciiTheme="minorHAnsi" w:hAnsiTheme="minorHAnsi"/>
                <w:b/>
                <w:sz w:val="22"/>
              </w:rPr>
            </w:pPr>
            <w:bookmarkStart w:id="3" w:name="_Toc256000001"/>
            <w:bookmarkStart w:id="4" w:name="_Toc480984848"/>
            <w:bookmarkStart w:id="5" w:name="_Toc485984567"/>
            <w:bookmarkStart w:id="6" w:name="_Toc510969680"/>
            <w:bookmarkStart w:id="7" w:name="_Toc516132492"/>
            <w:r w:rsidRPr="009212BE">
              <w:rPr>
                <w:rFonts w:asciiTheme="minorHAnsi" w:hAnsiTheme="minorHAnsi"/>
                <w:b/>
                <w:sz w:val="22"/>
              </w:rPr>
              <w:lastRenderedPageBreak/>
              <w:t>PROJECT CONTEXT AND DEVELOPMENT OBJECTIVES</w:t>
            </w:r>
            <w:bookmarkEnd w:id="3"/>
            <w:bookmarkEnd w:id="4"/>
            <w:bookmarkEnd w:id="5"/>
            <w:bookmarkEnd w:id="6"/>
            <w:bookmarkEnd w:id="7"/>
          </w:p>
        </w:tc>
      </w:tr>
      <w:tr w:rsidR="0006032A" w:rsidTr="008472BF">
        <w:tblPrEx>
          <w:shd w:val="clear" w:color="auto" w:fill="auto"/>
        </w:tblPrEx>
        <w:trPr>
          <w:gridBefore w:val="1"/>
          <w:gridAfter w:val="1"/>
          <w:wBefore w:w="164" w:type="dxa"/>
          <w:wAfter w:w="41" w:type="dxa"/>
          <w:trHeight w:val="80"/>
        </w:trPr>
        <w:tc>
          <w:tcPr>
            <w:tcW w:w="4885" w:type="pct"/>
          </w:tcPr>
          <w:p w:rsidR="003615CB" w:rsidRPr="009212BE" w:rsidRDefault="00B578E1" w:rsidP="00E6336E">
            <w:pPr>
              <w:pStyle w:val="Heading2"/>
              <w:spacing w:before="240"/>
              <w:outlineLvl w:val="1"/>
            </w:pPr>
            <w:bookmarkStart w:id="8" w:name="_Toc256000002"/>
            <w:bookmarkStart w:id="9" w:name="_Toc433982405"/>
            <w:bookmarkStart w:id="10" w:name="_Toc460509188"/>
            <w:bookmarkStart w:id="11" w:name="_Toc485984568"/>
            <w:bookmarkStart w:id="12" w:name="_Toc510969681"/>
            <w:bookmarkStart w:id="13" w:name="_Toc516132493"/>
            <w:r w:rsidRPr="009212BE">
              <w:t xml:space="preserve">A. </w:t>
            </w:r>
            <w:r w:rsidR="00271EB3" w:rsidRPr="009212BE">
              <w:t xml:space="preserve">CONTEXT AT </w:t>
            </w:r>
            <w:r w:rsidR="00271EB3" w:rsidRPr="00E6336E">
              <w:t>APPRAISAL</w:t>
            </w:r>
            <w:bookmarkEnd w:id="8"/>
            <w:bookmarkEnd w:id="9"/>
            <w:bookmarkEnd w:id="10"/>
            <w:bookmarkEnd w:id="11"/>
            <w:bookmarkEnd w:id="12"/>
            <w:bookmarkEnd w:id="13"/>
          </w:p>
        </w:tc>
      </w:tr>
    </w:tbl>
    <w:p w:rsidR="008472BF" w:rsidRPr="00805A19" w:rsidRDefault="00B578E1" w:rsidP="00805A19">
      <w:pPr>
        <w:spacing w:before="240" w:after="240" w:line="240" w:lineRule="auto"/>
        <w:rPr>
          <w:rFonts w:asciiTheme="minorHAnsi" w:hAnsiTheme="minorHAnsi"/>
          <w:b/>
          <w:color w:val="auto"/>
          <w:sz w:val="22"/>
        </w:rPr>
      </w:pPr>
      <w:bookmarkStart w:id="14" w:name="_Toc480984850"/>
      <w:bookmarkStart w:id="15" w:name="_Toc510969682"/>
      <w:r w:rsidRPr="00805A19">
        <w:rPr>
          <w:rFonts w:asciiTheme="minorHAnsi" w:hAnsiTheme="minorHAnsi"/>
          <w:b/>
          <w:color w:val="auto"/>
          <w:sz w:val="22"/>
        </w:rPr>
        <w:t>Context</w:t>
      </w:r>
      <w:bookmarkEnd w:id="14"/>
      <w:bookmarkEnd w:id="15"/>
    </w:p>
    <w:p w:rsidR="008472BF" w:rsidRPr="00F318AE" w:rsidRDefault="00B578E1" w:rsidP="00A63A6F">
      <w:pPr>
        <w:pStyle w:val="Normal0"/>
        <w:numPr>
          <w:ilvl w:val="0"/>
          <w:numId w:val="7"/>
        </w:numPr>
        <w:spacing w:after="240" w:line="240" w:lineRule="auto"/>
        <w:ind w:left="0" w:firstLine="0"/>
        <w:jc w:val="both"/>
        <w:rPr>
          <w:sz w:val="22"/>
        </w:rPr>
      </w:pPr>
      <w:bookmarkStart w:id="16" w:name="_Hlk515535041"/>
      <w:r w:rsidRPr="00F318AE">
        <w:rPr>
          <w:b/>
          <w:sz w:val="22"/>
        </w:rPr>
        <w:t xml:space="preserve">The economic situation in </w:t>
      </w:r>
      <w:r w:rsidR="0034414C" w:rsidRPr="00574968">
        <w:rPr>
          <w:b/>
          <w:sz w:val="22"/>
        </w:rPr>
        <w:t xml:space="preserve">the </w:t>
      </w:r>
      <w:r w:rsidRPr="00574968">
        <w:rPr>
          <w:b/>
          <w:sz w:val="22"/>
        </w:rPr>
        <w:t>W</w:t>
      </w:r>
      <w:r w:rsidRPr="00F318AE">
        <w:rPr>
          <w:b/>
          <w:sz w:val="22"/>
        </w:rPr>
        <w:t>est Bank and Gaza changed dramatically from the late 1990s, when the peace process was initiated, and has been in a negative spiral after the collapse of the peace process in 2000 and the onset of the second intifada</w:t>
      </w:r>
      <w:r w:rsidRPr="00F318AE">
        <w:rPr>
          <w:sz w:val="22"/>
        </w:rPr>
        <w:t>. The West Bank and Gaza’s economy had earlier been characterized by economic growth spurred by foreign direct investment and private sector involvement</w:t>
      </w:r>
      <w:r w:rsidR="00755BDA">
        <w:rPr>
          <w:sz w:val="22"/>
        </w:rPr>
        <w:t>,</w:t>
      </w:r>
      <w:r w:rsidRPr="00F318AE">
        <w:rPr>
          <w:sz w:val="22"/>
        </w:rPr>
        <w:t xml:space="preserve"> but at the time of appraisal (2010</w:t>
      </w:r>
      <w:r w:rsidR="00755BDA">
        <w:rPr>
          <w:sz w:val="22"/>
        </w:rPr>
        <w:t>–</w:t>
      </w:r>
      <w:r w:rsidRPr="00F318AE">
        <w:rPr>
          <w:sz w:val="22"/>
        </w:rPr>
        <w:t xml:space="preserve">2011) </w:t>
      </w:r>
      <w:r w:rsidR="0034414C">
        <w:rPr>
          <w:sz w:val="22"/>
        </w:rPr>
        <w:t xml:space="preserve">was </w:t>
      </w:r>
      <w:r w:rsidRPr="00F318AE">
        <w:rPr>
          <w:sz w:val="22"/>
        </w:rPr>
        <w:t>mainly led by government spending and heavy reliance on foreign aid.</w:t>
      </w:r>
      <w:r w:rsidRPr="00F318AE">
        <w:rPr>
          <w:i/>
          <w:sz w:val="22"/>
        </w:rPr>
        <w:t xml:space="preserve"> </w:t>
      </w:r>
      <w:r w:rsidRPr="00F318AE">
        <w:rPr>
          <w:sz w:val="22"/>
        </w:rPr>
        <w:t xml:space="preserve">During the first </w:t>
      </w:r>
      <w:r>
        <w:rPr>
          <w:sz w:val="22"/>
        </w:rPr>
        <w:t>five</w:t>
      </w:r>
      <w:r w:rsidRPr="00F318AE">
        <w:rPr>
          <w:sz w:val="22"/>
        </w:rPr>
        <w:t xml:space="preserve"> years of the peace process (1994</w:t>
      </w:r>
      <w:r w:rsidR="00755BDA">
        <w:rPr>
          <w:sz w:val="22"/>
        </w:rPr>
        <w:t>–</w:t>
      </w:r>
      <w:r w:rsidRPr="00F318AE">
        <w:rPr>
          <w:sz w:val="22"/>
        </w:rPr>
        <w:t>1999)</w:t>
      </w:r>
      <w:r>
        <w:rPr>
          <w:sz w:val="22"/>
        </w:rPr>
        <w:t>,</w:t>
      </w:r>
      <w:r w:rsidRPr="00F318AE">
        <w:rPr>
          <w:sz w:val="22"/>
        </w:rPr>
        <w:t xml:space="preserve"> the West Bank and Gaza’s economy grew by </w:t>
      </w:r>
      <w:r w:rsidR="00755BDA">
        <w:rPr>
          <w:sz w:val="22"/>
        </w:rPr>
        <w:t>6</w:t>
      </w:r>
      <w:r w:rsidR="00755BDA" w:rsidRPr="00F318AE">
        <w:rPr>
          <w:sz w:val="22"/>
        </w:rPr>
        <w:t xml:space="preserve"> </w:t>
      </w:r>
      <w:r w:rsidRPr="00F318AE">
        <w:rPr>
          <w:sz w:val="22"/>
        </w:rPr>
        <w:t xml:space="preserve">percent annually on average. The second intifada largely put </w:t>
      </w:r>
      <w:r w:rsidR="0034414C">
        <w:rPr>
          <w:sz w:val="22"/>
        </w:rPr>
        <w:t xml:space="preserve">on hold the </w:t>
      </w:r>
      <w:r w:rsidRPr="00F318AE">
        <w:rPr>
          <w:sz w:val="22"/>
        </w:rPr>
        <w:t xml:space="preserve">economic growth as well as investment and private sector activity. Unemployment in the West Bank, as reported by the Palestinian Central Bureau of Statistics (PCBS), rose from 17.7 percent in 2007 to 20.7 percent in the third quarter of 2008. Unemployment in Gaza, however, increased from 29.7 percent to nearly 41.9 percent. Although data on poverty are limited, there are clear indications that overall poverty in both the West Bank and Gaza has risen since 2000. </w:t>
      </w:r>
      <w:r w:rsidR="0034414C">
        <w:rPr>
          <w:sz w:val="22"/>
        </w:rPr>
        <w:t xml:space="preserve">The </w:t>
      </w:r>
      <w:r w:rsidRPr="00F318AE">
        <w:rPr>
          <w:sz w:val="22"/>
        </w:rPr>
        <w:t>PCBS report</w:t>
      </w:r>
      <w:r>
        <w:rPr>
          <w:sz w:val="22"/>
        </w:rPr>
        <w:t>ed</w:t>
      </w:r>
      <w:r w:rsidRPr="00F318AE">
        <w:rPr>
          <w:sz w:val="22"/>
        </w:rPr>
        <w:t xml:space="preserve"> that poverty rates increased in Gaza from 47.9 percent in 2006 to 51.8 percent in 2007.</w:t>
      </w:r>
    </w:p>
    <w:bookmarkEnd w:id="16"/>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755BDA">
        <w:rPr>
          <w:b/>
          <w:sz w:val="22"/>
        </w:rPr>
        <w:t>p</w:t>
      </w:r>
      <w:r w:rsidRPr="00F318AE">
        <w:rPr>
          <w:b/>
          <w:sz w:val="22"/>
        </w:rPr>
        <w:t>roject was prepared under challenging circumstances, following the end of the peace process, internal Palestinian division in the West Bank and Gaza</w:t>
      </w:r>
      <w:r w:rsidR="0034414C">
        <w:rPr>
          <w:b/>
          <w:sz w:val="22"/>
        </w:rPr>
        <w:t>,</w:t>
      </w:r>
      <w:r w:rsidRPr="00F318AE">
        <w:rPr>
          <w:b/>
          <w:sz w:val="22"/>
        </w:rPr>
        <w:t xml:space="preserve"> and a </w:t>
      </w:r>
      <w:r w:rsidR="00755BDA" w:rsidRPr="006961EE">
        <w:rPr>
          <w:b/>
          <w:sz w:val="22"/>
        </w:rPr>
        <w:t>Government of Israel</w:t>
      </w:r>
      <w:r w:rsidR="00755BDA">
        <w:rPr>
          <w:sz w:val="22"/>
        </w:rPr>
        <w:t xml:space="preserve"> (</w:t>
      </w:r>
      <w:r w:rsidRPr="00F318AE">
        <w:rPr>
          <w:b/>
          <w:sz w:val="22"/>
        </w:rPr>
        <w:t>GoI</w:t>
      </w:r>
      <w:r w:rsidR="00755BDA">
        <w:rPr>
          <w:b/>
          <w:sz w:val="22"/>
        </w:rPr>
        <w:t>)</w:t>
      </w:r>
      <w:r w:rsidRPr="00F318AE">
        <w:rPr>
          <w:b/>
          <w:sz w:val="22"/>
        </w:rPr>
        <w:t xml:space="preserve"> military operation in Gaza between December 2008 and January 2009.</w:t>
      </w:r>
      <w:r w:rsidRPr="00F318AE">
        <w:rPr>
          <w:sz w:val="22"/>
        </w:rPr>
        <w:t xml:space="preserve"> The political situation at appraisal was one characterized by political division, leading to increasing isolation and a deteriorating economic and social situation particularly in Gaza as the GoI imposed heavier economic and security restrictions. In early 2006, a Hamas-led government won the elections in the West Bank and Gaza through what is widely regarded as a fair and transparent process. In response, many donors withdrew their assistance to the Palestinian Authority (PA), while the GoI intensified its economic and security restrictions. In June 2007, President Abbas dissolved the Hamas-led government. In response, Hamas took complete control of Gaza by force. In the West Bank, a caretaker government of technocrats was sworn in until new presidential and parliamentary elections </w:t>
      </w:r>
      <w:r w:rsidR="00755BDA">
        <w:rPr>
          <w:sz w:val="22"/>
        </w:rPr>
        <w:t>are</w:t>
      </w:r>
      <w:r w:rsidRPr="00F318AE">
        <w:rPr>
          <w:sz w:val="22"/>
        </w:rPr>
        <w:t xml:space="preserve"> held. The caretaker government, headquartered in Ramallah, runs the West Bank and continues to provide basic services in Gaza through </w:t>
      </w:r>
      <w:r w:rsidR="004E0ECB">
        <w:rPr>
          <w:sz w:val="22"/>
        </w:rPr>
        <w:t xml:space="preserve">the </w:t>
      </w:r>
      <w:r w:rsidRPr="00F318AE">
        <w:rPr>
          <w:sz w:val="22"/>
        </w:rPr>
        <w:t>PA civil servants who report to and are paid by the caretaker government. The international community restored full cooperation with the PA in Ramallah.</w:t>
      </w:r>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The continued deterioration in operational conditions in Gaza is also leading to a widening political, social, and economic gap between the West Bank and Gaza.</w:t>
      </w:r>
      <w:r w:rsidRPr="00F318AE">
        <w:rPr>
          <w:sz w:val="22"/>
        </w:rPr>
        <w:t xml:space="preserve"> Following these developments, </w:t>
      </w:r>
      <w:r w:rsidRPr="00F318AE">
        <w:rPr>
          <w:bCs/>
          <w:iCs/>
          <w:sz w:val="22"/>
        </w:rPr>
        <w:t xml:space="preserve">Gaza </w:t>
      </w:r>
      <w:r w:rsidRPr="008472BF">
        <w:rPr>
          <w:sz w:val="22"/>
        </w:rPr>
        <w:t>had</w:t>
      </w:r>
      <w:r w:rsidRPr="00F318AE">
        <w:rPr>
          <w:bCs/>
          <w:iCs/>
          <w:sz w:val="22"/>
        </w:rPr>
        <w:t xml:space="preserve"> been isolated by a strict closure policy by the GoI, crippling the local economy and leading to deterioration of public infrastructure and services. </w:t>
      </w:r>
      <w:r w:rsidRPr="00F318AE">
        <w:rPr>
          <w:sz w:val="22"/>
        </w:rPr>
        <w:t xml:space="preserve">Under the closure, only basic foodstuffs and other necessities could enter Gaza and there were no exports. The lack of spare parts and materials necessary for maintenance of infrastructure has severely </w:t>
      </w:r>
      <w:r w:rsidR="00A820E7">
        <w:rPr>
          <w:sz w:val="22"/>
        </w:rPr>
        <w:t>affe</w:t>
      </w:r>
      <w:r w:rsidRPr="00F318AE">
        <w:rPr>
          <w:sz w:val="22"/>
        </w:rPr>
        <w:t xml:space="preserve">cted </w:t>
      </w:r>
      <w:r w:rsidR="004E0ECB">
        <w:rPr>
          <w:sz w:val="22"/>
        </w:rPr>
        <w:t xml:space="preserve">the </w:t>
      </w:r>
      <w:r w:rsidRPr="00F318AE">
        <w:rPr>
          <w:sz w:val="22"/>
        </w:rPr>
        <w:t xml:space="preserve">PA’s ability to deliver services. This deterioration has been exacerbated by the GoI’s military operation in Gaza between December 2008 and </w:t>
      </w:r>
      <w:r w:rsidRPr="00F318AE">
        <w:rPr>
          <w:sz w:val="22"/>
        </w:rPr>
        <w:lastRenderedPageBreak/>
        <w:t xml:space="preserve">January 2009 that resulted in a large loss of life and over US$1.3 billion in total damages according to the </w:t>
      </w:r>
      <w:r w:rsidRPr="00F318AE">
        <w:rPr>
          <w:iCs/>
          <w:sz w:val="22"/>
        </w:rPr>
        <w:t>Palestinian National Early Recovery and Reconstruction Plan</w:t>
      </w:r>
      <w:r w:rsidRPr="00F318AE">
        <w:rPr>
          <w:sz w:val="22"/>
        </w:rPr>
        <w:t>.</w:t>
      </w:r>
    </w:p>
    <w:p w:rsidR="008472BF" w:rsidRDefault="00B578E1" w:rsidP="00A63A6F">
      <w:pPr>
        <w:pStyle w:val="Normal0"/>
        <w:numPr>
          <w:ilvl w:val="0"/>
          <w:numId w:val="7"/>
        </w:numPr>
        <w:spacing w:after="240" w:line="240" w:lineRule="auto"/>
        <w:ind w:left="0" w:firstLine="0"/>
        <w:jc w:val="both"/>
        <w:rPr>
          <w:sz w:val="22"/>
        </w:rPr>
      </w:pPr>
      <w:r w:rsidRPr="00F318AE">
        <w:rPr>
          <w:b/>
          <w:sz w:val="22"/>
        </w:rPr>
        <w:t>At project appraisal</w:t>
      </w:r>
      <w:r w:rsidR="0034414C">
        <w:rPr>
          <w:b/>
          <w:sz w:val="22"/>
        </w:rPr>
        <w:t>,</w:t>
      </w:r>
      <w:r w:rsidRPr="00F318AE">
        <w:rPr>
          <w:b/>
          <w:sz w:val="22"/>
        </w:rPr>
        <w:t xml:space="preserve"> at the sector level, water resources management and service delivery were considered as a key humanitarian and economic outcome </w:t>
      </w:r>
      <w:r w:rsidR="0034414C">
        <w:rPr>
          <w:b/>
          <w:sz w:val="22"/>
        </w:rPr>
        <w:t>and</w:t>
      </w:r>
      <w:r w:rsidRPr="00F318AE">
        <w:rPr>
          <w:b/>
          <w:sz w:val="22"/>
        </w:rPr>
        <w:t xml:space="preserve"> also as a political outcome, as one of five key areas to be negotiated (including Palestinian water rights) in the final status negotiations of the Oslo peace process</w:t>
      </w:r>
      <w:r w:rsidRPr="00F318AE">
        <w:rPr>
          <w:sz w:val="22"/>
        </w:rPr>
        <w:t xml:space="preserve">. </w:t>
      </w:r>
      <w:r w:rsidR="00BC3F91">
        <w:rPr>
          <w:sz w:val="22"/>
        </w:rPr>
        <w:t xml:space="preserve">Because </w:t>
      </w:r>
      <w:r w:rsidRPr="00F318AE">
        <w:rPr>
          <w:sz w:val="22"/>
        </w:rPr>
        <w:t xml:space="preserve">of restrictions accompanying Israeli control of the territory and obsolescence of the 1995 Oslo II interim accord water provisions (Article 40 Water and Sewage), Palestinians were set to cope with one of the lowest levels of per capita water resource availability in </w:t>
      </w:r>
      <w:r>
        <w:rPr>
          <w:sz w:val="22"/>
        </w:rPr>
        <w:t xml:space="preserve">Middle East and North Africa </w:t>
      </w:r>
      <w:r w:rsidRPr="00F318AE">
        <w:rPr>
          <w:sz w:val="22"/>
        </w:rPr>
        <w:t xml:space="preserve">and effectively </w:t>
      </w:r>
      <w:r>
        <w:rPr>
          <w:sz w:val="22"/>
        </w:rPr>
        <w:t xml:space="preserve">in </w:t>
      </w:r>
      <w:r w:rsidRPr="00F318AE">
        <w:rPr>
          <w:sz w:val="22"/>
        </w:rPr>
        <w:t>the world. In the West Bank, development of water uses and infrastructure was (and to a large degree still is) subject to Israeli veto power under the Joint Water Committee. In Gaza, it was (and still is) curtailed by the security blockade. These restrictions, along with inefficient Palestinian institutions and operators</w:t>
      </w:r>
      <w:r>
        <w:rPr>
          <w:rStyle w:val="FootnoteReference"/>
          <w:rFonts w:ascii="Calibri" w:hAnsi="Calibri" w:cs="Calibri"/>
          <w:sz w:val="22"/>
        </w:rPr>
        <w:footnoteReference w:id="2"/>
      </w:r>
      <w:r w:rsidRPr="00F318AE">
        <w:rPr>
          <w:sz w:val="22"/>
        </w:rPr>
        <w:t xml:space="preserve"> and rapid demographic growth, perpetuated water supply and sanitation infrastructure and service deficits as well as operational inefficiencies</w:t>
      </w:r>
      <w:r w:rsidR="00BC3F91">
        <w:rPr>
          <w:sz w:val="22"/>
        </w:rPr>
        <w:t>.</w:t>
      </w:r>
      <w:r>
        <w:rPr>
          <w:rStyle w:val="FootnoteReference"/>
          <w:rFonts w:ascii="Calibri" w:hAnsi="Calibri" w:cs="Calibri"/>
          <w:sz w:val="22"/>
        </w:rPr>
        <w:footnoteReference w:id="3"/>
      </w:r>
      <w:r w:rsidRPr="00F318AE">
        <w:rPr>
          <w:sz w:val="22"/>
        </w:rPr>
        <w:t xml:space="preserve"> The</w:t>
      </w:r>
      <w:r>
        <w:rPr>
          <w:sz w:val="22"/>
        </w:rPr>
        <w:t>se</w:t>
      </w:r>
      <w:r w:rsidRPr="00F318AE">
        <w:rPr>
          <w:sz w:val="22"/>
        </w:rPr>
        <w:t xml:space="preserve"> resulted in heavy reliance on water trucking, makeshift arrangements for desalination of brackish water</w:t>
      </w:r>
      <w:r w:rsidR="0034414C">
        <w:rPr>
          <w:sz w:val="22"/>
        </w:rPr>
        <w:t>,</w:t>
      </w:r>
      <w:r w:rsidRPr="00F318AE">
        <w:rPr>
          <w:sz w:val="22"/>
        </w:rPr>
        <w:t xml:space="preserve"> and treatment of other non-potable water supplies, while also increasing dependence on the Israeli bulk water utility</w:t>
      </w:r>
      <w:r w:rsidR="0034414C">
        <w:rPr>
          <w:sz w:val="22"/>
        </w:rPr>
        <w:t>,</w:t>
      </w:r>
      <w:r w:rsidRPr="00F318AE">
        <w:rPr>
          <w:sz w:val="22"/>
        </w:rPr>
        <w:t xml:space="preserve"> Mekorot. The impacts of this situation were strongest in Gaza, in area C of the West Bank, and on the poor. The lack of wastewater treatment also contributes to widespread aquifer contamination. Furthermore, irrigation was estimated to consume 60</w:t>
      </w:r>
      <w:r w:rsidR="007F6F39">
        <w:rPr>
          <w:sz w:val="22"/>
        </w:rPr>
        <w:t>–</w:t>
      </w:r>
      <w:r w:rsidRPr="00F318AE">
        <w:rPr>
          <w:sz w:val="22"/>
        </w:rPr>
        <w:t>70</w:t>
      </w:r>
      <w:r>
        <w:rPr>
          <w:sz w:val="22"/>
        </w:rPr>
        <w:t xml:space="preserve"> percent</w:t>
      </w:r>
      <w:r w:rsidRPr="00F318AE">
        <w:rPr>
          <w:sz w:val="22"/>
        </w:rPr>
        <w:t xml:space="preserve"> of water resources in the West Bank and Gaza mainly using inefficient practices and deteriorating infrastructure. Irrigated agriculture is an important economic sector, which was contributing around 12</w:t>
      </w:r>
      <w:r>
        <w:rPr>
          <w:sz w:val="22"/>
        </w:rPr>
        <w:t xml:space="preserve"> percent</w:t>
      </w:r>
      <w:r w:rsidRPr="00F318AE">
        <w:rPr>
          <w:sz w:val="22"/>
        </w:rPr>
        <w:t xml:space="preserve"> to </w:t>
      </w:r>
      <w:r w:rsidR="0034414C">
        <w:rPr>
          <w:sz w:val="22"/>
        </w:rPr>
        <w:t>g</w:t>
      </w:r>
      <w:r>
        <w:rPr>
          <w:sz w:val="22"/>
        </w:rPr>
        <w:t xml:space="preserve">ross </w:t>
      </w:r>
      <w:r w:rsidR="0034414C">
        <w:rPr>
          <w:sz w:val="22"/>
        </w:rPr>
        <w:t>d</w:t>
      </w:r>
      <w:r>
        <w:rPr>
          <w:sz w:val="22"/>
        </w:rPr>
        <w:t xml:space="preserve">omestic </w:t>
      </w:r>
      <w:r w:rsidR="0034414C">
        <w:rPr>
          <w:sz w:val="22"/>
        </w:rPr>
        <w:t>p</w:t>
      </w:r>
      <w:r>
        <w:rPr>
          <w:sz w:val="22"/>
        </w:rPr>
        <w:t>roduct (</w:t>
      </w:r>
      <w:r w:rsidRPr="00F318AE">
        <w:rPr>
          <w:sz w:val="22"/>
        </w:rPr>
        <w:t>GDP</w:t>
      </w:r>
      <w:r>
        <w:rPr>
          <w:sz w:val="22"/>
        </w:rPr>
        <w:t>)</w:t>
      </w:r>
      <w:r w:rsidRPr="00F318AE">
        <w:rPr>
          <w:sz w:val="22"/>
        </w:rPr>
        <w:t xml:space="preserve"> and employing about 117,000 people. However, with the restrictions on movement and export of goods, dwindling water availability, inefficient irrigation practices, and almost no new or replacement water sources receiving permits, the economic cost of foregone opportunity in irrigated agriculture w</w:t>
      </w:r>
      <w:r>
        <w:rPr>
          <w:sz w:val="22"/>
        </w:rPr>
        <w:t>as</w:t>
      </w:r>
      <w:r w:rsidRPr="00F318AE">
        <w:rPr>
          <w:sz w:val="22"/>
        </w:rPr>
        <w:t xml:space="preserve"> deemed significant. Furthermore, at the institutional level, planning and regulation of water resources was deemed to be very weak, and the potential of the irrigation sector remained largely underdeveloped.</w:t>
      </w:r>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At project appraisal, the water sector was one of the key sectors in the West Bank and Gaza in need of institutional and capacity development.</w:t>
      </w:r>
      <w:r w:rsidRPr="00F318AE">
        <w:rPr>
          <w:sz w:val="22"/>
        </w:rPr>
        <w:t xml:space="preserve"> </w:t>
      </w:r>
      <w:r w:rsidR="004E0ECB">
        <w:rPr>
          <w:sz w:val="22"/>
        </w:rPr>
        <w:t>The following f</w:t>
      </w:r>
      <w:r w:rsidRPr="00F318AE">
        <w:rPr>
          <w:sz w:val="22"/>
        </w:rPr>
        <w:t xml:space="preserve">our key sector issues in need of enhancement were identified: </w:t>
      </w:r>
    </w:p>
    <w:p w:rsidR="008472BF" w:rsidRPr="0005006E" w:rsidRDefault="00B578E1" w:rsidP="00A63A6F">
      <w:pPr>
        <w:pStyle w:val="Normal0"/>
        <w:numPr>
          <w:ilvl w:val="0"/>
          <w:numId w:val="8"/>
        </w:numPr>
        <w:spacing w:after="240" w:line="240" w:lineRule="auto"/>
        <w:ind w:left="1195" w:hanging="475"/>
        <w:jc w:val="both"/>
        <w:rPr>
          <w:sz w:val="22"/>
        </w:rPr>
      </w:pPr>
      <w:r w:rsidRPr="0005006E">
        <w:rPr>
          <w:iCs/>
          <w:sz w:val="22"/>
        </w:rPr>
        <w:t>Lack of sovereign control over West Bank and Gaza water resources and water infrastructure development</w:t>
      </w:r>
    </w:p>
    <w:p w:rsidR="008472BF" w:rsidRPr="0005006E" w:rsidRDefault="00B578E1" w:rsidP="00A63A6F">
      <w:pPr>
        <w:pStyle w:val="Normal0"/>
        <w:numPr>
          <w:ilvl w:val="0"/>
          <w:numId w:val="8"/>
        </w:numPr>
        <w:spacing w:after="240" w:line="240" w:lineRule="auto"/>
        <w:ind w:left="1195" w:hanging="475"/>
        <w:jc w:val="both"/>
        <w:rPr>
          <w:sz w:val="22"/>
        </w:rPr>
      </w:pPr>
      <w:r w:rsidRPr="0005006E">
        <w:rPr>
          <w:iCs/>
          <w:sz w:val="22"/>
        </w:rPr>
        <w:t xml:space="preserve">Major </w:t>
      </w:r>
      <w:r w:rsidR="00BC3F91" w:rsidRPr="00F318AE">
        <w:rPr>
          <w:sz w:val="22"/>
        </w:rPr>
        <w:t xml:space="preserve">water supply and sanitation </w:t>
      </w:r>
      <w:r w:rsidRPr="0005006E">
        <w:rPr>
          <w:iCs/>
          <w:sz w:val="22"/>
        </w:rPr>
        <w:t>infrastructure deficits and inefficiencies in the West Bank and Gaza</w:t>
      </w:r>
    </w:p>
    <w:p w:rsidR="008472BF" w:rsidRPr="0005006E" w:rsidRDefault="00B578E1" w:rsidP="00A63A6F">
      <w:pPr>
        <w:pStyle w:val="Normal0"/>
        <w:numPr>
          <w:ilvl w:val="0"/>
          <w:numId w:val="8"/>
        </w:numPr>
        <w:spacing w:after="240" w:line="240" w:lineRule="auto"/>
        <w:ind w:left="1195" w:hanging="475"/>
        <w:jc w:val="both"/>
        <w:rPr>
          <w:sz w:val="22"/>
        </w:rPr>
      </w:pPr>
      <w:r w:rsidRPr="0005006E">
        <w:rPr>
          <w:iCs/>
          <w:sz w:val="22"/>
        </w:rPr>
        <w:lastRenderedPageBreak/>
        <w:t>Impending environmental and public</w:t>
      </w:r>
      <w:r w:rsidR="00D908DF">
        <w:rPr>
          <w:iCs/>
          <w:sz w:val="22"/>
        </w:rPr>
        <w:t xml:space="preserve"> </w:t>
      </w:r>
      <w:r w:rsidRPr="0005006E">
        <w:rPr>
          <w:iCs/>
          <w:sz w:val="22"/>
        </w:rPr>
        <w:t>health collapse in Gaza</w:t>
      </w:r>
      <w:r w:rsidRPr="0005006E">
        <w:rPr>
          <w:sz w:val="22"/>
        </w:rPr>
        <w:t xml:space="preserve"> </w:t>
      </w:r>
    </w:p>
    <w:p w:rsidR="008472BF" w:rsidRPr="0005006E" w:rsidRDefault="00B578E1" w:rsidP="00A63A6F">
      <w:pPr>
        <w:pStyle w:val="Normal0"/>
        <w:numPr>
          <w:ilvl w:val="0"/>
          <w:numId w:val="8"/>
        </w:numPr>
        <w:spacing w:after="240" w:line="240" w:lineRule="auto"/>
        <w:ind w:left="1195" w:hanging="475"/>
        <w:jc w:val="both"/>
        <w:rPr>
          <w:sz w:val="22"/>
        </w:rPr>
      </w:pPr>
      <w:r w:rsidRPr="0005006E">
        <w:rPr>
          <w:iCs/>
          <w:sz w:val="22"/>
        </w:rPr>
        <w:t>Governance and capacity weaknesses in the Palestinian water sector</w:t>
      </w:r>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4E0ECB">
        <w:rPr>
          <w:b/>
          <w:sz w:val="22"/>
        </w:rPr>
        <w:t>p</w:t>
      </w:r>
      <w:r w:rsidRPr="00F318AE">
        <w:rPr>
          <w:b/>
          <w:sz w:val="22"/>
        </w:rPr>
        <w:t xml:space="preserve">roject aimed to address the challenges at the institutional level, in terms of structure and capacity of the sector and followed on from a comprehensive audit in 2008 that led the </w:t>
      </w:r>
      <w:r w:rsidR="004E0ECB" w:rsidRPr="004E0ECB">
        <w:rPr>
          <w:rFonts w:ascii="Calibri" w:eastAsia="Times New Roman" w:hAnsi="Calibri" w:cs="Calibri"/>
          <w:b/>
          <w:sz w:val="22"/>
          <w:lang w:eastAsia="es-CO"/>
        </w:rPr>
        <w:t>Palestinian Water Authority (</w:t>
      </w:r>
      <w:r w:rsidRPr="00F318AE">
        <w:rPr>
          <w:b/>
          <w:sz w:val="22"/>
        </w:rPr>
        <w:t>PWA</w:t>
      </w:r>
      <w:r w:rsidR="004E0ECB">
        <w:rPr>
          <w:b/>
          <w:sz w:val="22"/>
        </w:rPr>
        <w:t>)</w:t>
      </w:r>
      <w:r w:rsidRPr="00F318AE">
        <w:rPr>
          <w:b/>
          <w:sz w:val="22"/>
        </w:rPr>
        <w:t xml:space="preserve"> to start engaging in a significant reform effort of the sector</w:t>
      </w:r>
      <w:r w:rsidRPr="00F318AE">
        <w:rPr>
          <w:sz w:val="22"/>
        </w:rPr>
        <w:t xml:space="preserve">. The audit found that </w:t>
      </w:r>
      <w:r w:rsidR="00AE30F9">
        <w:rPr>
          <w:sz w:val="22"/>
        </w:rPr>
        <w:t xml:space="preserve">the </w:t>
      </w:r>
      <w:r w:rsidRPr="00F318AE">
        <w:rPr>
          <w:sz w:val="22"/>
        </w:rPr>
        <w:t xml:space="preserve">existing water sector programs and institutions did not sufficiently address the needs of the Palestinian people. The Water Law establishing </w:t>
      </w:r>
      <w:r w:rsidR="00D908DF">
        <w:rPr>
          <w:sz w:val="22"/>
        </w:rPr>
        <w:t xml:space="preserve">the </w:t>
      </w:r>
      <w:r w:rsidRPr="00F318AE">
        <w:rPr>
          <w:sz w:val="22"/>
        </w:rPr>
        <w:t>PWA and the National Water Co</w:t>
      </w:r>
      <w:r w:rsidR="006961EE">
        <w:rPr>
          <w:sz w:val="22"/>
        </w:rPr>
        <w:t>mpany</w:t>
      </w:r>
      <w:r w:rsidRPr="00F318AE">
        <w:rPr>
          <w:sz w:val="22"/>
        </w:rPr>
        <w:t xml:space="preserve"> (NWC) failed to identify the roles of other institutions, in particular</w:t>
      </w:r>
      <w:r>
        <w:rPr>
          <w:sz w:val="22"/>
        </w:rPr>
        <w:t>,</w:t>
      </w:r>
      <w:r w:rsidRPr="00F318AE">
        <w:rPr>
          <w:sz w:val="22"/>
        </w:rPr>
        <w:t xml:space="preserve"> municipalities and service providers</w:t>
      </w:r>
      <w:r w:rsidR="008D27C7">
        <w:rPr>
          <w:sz w:val="22"/>
        </w:rPr>
        <w:t xml:space="preserve"> (SPs)</w:t>
      </w:r>
      <w:r w:rsidRPr="00F318AE">
        <w:rPr>
          <w:sz w:val="22"/>
        </w:rPr>
        <w:t xml:space="preserve">, and define a sector architecture which </w:t>
      </w:r>
      <w:r w:rsidR="00AE30F9">
        <w:rPr>
          <w:sz w:val="22"/>
        </w:rPr>
        <w:t xml:space="preserve">the </w:t>
      </w:r>
      <w:r w:rsidRPr="00F318AE">
        <w:rPr>
          <w:sz w:val="22"/>
        </w:rPr>
        <w:t>NWC and PWA must lead, support, and regulate. Policy and strategy development in the sector was deemed highly inadequate; ongoing projects appeared to have been developed in a largely donor-driven, ad</w:t>
      </w:r>
      <w:r w:rsidR="00AE30F9">
        <w:rPr>
          <w:sz w:val="22"/>
        </w:rPr>
        <w:t xml:space="preserve"> </w:t>
      </w:r>
      <w:r w:rsidRPr="00F318AE">
        <w:rPr>
          <w:sz w:val="22"/>
        </w:rPr>
        <w:t xml:space="preserve">hoc emergency fashion, distorted by Israeli restrictions. The </w:t>
      </w:r>
      <w:r w:rsidR="00AE30F9">
        <w:rPr>
          <w:iCs/>
          <w:sz w:val="22"/>
        </w:rPr>
        <w:t>a</w:t>
      </w:r>
      <w:r w:rsidRPr="00D908DF">
        <w:rPr>
          <w:iCs/>
          <w:sz w:val="22"/>
        </w:rPr>
        <w:t xml:space="preserve">udit </w:t>
      </w:r>
      <w:r w:rsidRPr="00F318AE">
        <w:rPr>
          <w:sz w:val="22"/>
        </w:rPr>
        <w:t xml:space="preserve">called for a major strategy and institutional refocusing effort. </w:t>
      </w:r>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World Bank had established itself as a key partner in assisting the </w:t>
      </w:r>
      <w:r w:rsidR="00BC3F91">
        <w:rPr>
          <w:b/>
          <w:sz w:val="22"/>
        </w:rPr>
        <w:t>PA</w:t>
      </w:r>
      <w:r w:rsidRPr="00F318AE">
        <w:rPr>
          <w:b/>
          <w:sz w:val="22"/>
        </w:rPr>
        <w:t xml:space="preserve"> responding to water emergencies and was requested to support </w:t>
      </w:r>
      <w:r w:rsidR="009163BD">
        <w:rPr>
          <w:b/>
          <w:sz w:val="22"/>
        </w:rPr>
        <w:t xml:space="preserve">the </w:t>
      </w:r>
      <w:r w:rsidRPr="00F318AE">
        <w:rPr>
          <w:b/>
          <w:sz w:val="22"/>
        </w:rPr>
        <w:t>PWA in their efforts to reform the sector.</w:t>
      </w:r>
      <w:r w:rsidRPr="00F318AE">
        <w:rPr>
          <w:sz w:val="22"/>
        </w:rPr>
        <w:t xml:space="preserve"> This included operations such as</w:t>
      </w:r>
      <w:r>
        <w:rPr>
          <w:sz w:val="22"/>
        </w:rPr>
        <w:t xml:space="preserve"> the</w:t>
      </w:r>
      <w:r w:rsidRPr="00F318AE">
        <w:rPr>
          <w:sz w:val="22"/>
        </w:rPr>
        <w:t xml:space="preserve"> (</w:t>
      </w:r>
      <w:r w:rsidR="009163BD">
        <w:rPr>
          <w:sz w:val="22"/>
        </w:rPr>
        <w:t>a</w:t>
      </w:r>
      <w:r w:rsidRPr="00F318AE">
        <w:rPr>
          <w:sz w:val="22"/>
        </w:rPr>
        <w:t>) Gaza Water and Sanitation Services Improvement Project (1996), (</w:t>
      </w:r>
      <w:r w:rsidR="009163BD">
        <w:rPr>
          <w:sz w:val="22"/>
        </w:rPr>
        <w:t>b</w:t>
      </w:r>
      <w:r w:rsidRPr="00F318AE">
        <w:rPr>
          <w:sz w:val="22"/>
        </w:rPr>
        <w:t>) Water Sector Strategy Planning Study (2000)</w:t>
      </w:r>
      <w:r w:rsidR="009163BD">
        <w:rPr>
          <w:sz w:val="22"/>
        </w:rPr>
        <w:t>,</w:t>
      </w:r>
      <w:r w:rsidRPr="00F318AE">
        <w:rPr>
          <w:sz w:val="22"/>
        </w:rPr>
        <w:t xml:space="preserve"> (</w:t>
      </w:r>
      <w:r w:rsidR="009163BD">
        <w:rPr>
          <w:sz w:val="22"/>
        </w:rPr>
        <w:t>c</w:t>
      </w:r>
      <w:r w:rsidRPr="00F318AE">
        <w:rPr>
          <w:sz w:val="22"/>
        </w:rPr>
        <w:t>) Emergency Water Project in southern West Bank (completed in 2008), (</w:t>
      </w:r>
      <w:r w:rsidR="009163BD">
        <w:rPr>
          <w:sz w:val="22"/>
        </w:rPr>
        <w:t>d</w:t>
      </w:r>
      <w:r w:rsidRPr="00F318AE">
        <w:rPr>
          <w:sz w:val="22"/>
        </w:rPr>
        <w:t>) North Gaza Emergency Sewage Treatment Project (since 2004), (</w:t>
      </w:r>
      <w:r w:rsidR="00BB2A5E">
        <w:rPr>
          <w:sz w:val="22"/>
        </w:rPr>
        <w:t>e</w:t>
      </w:r>
      <w:r w:rsidRPr="00F318AE">
        <w:rPr>
          <w:sz w:val="22"/>
        </w:rPr>
        <w:t>) Gaza Emergency Water Project (since 2004), and (</w:t>
      </w:r>
      <w:r w:rsidR="00BB2A5E">
        <w:rPr>
          <w:sz w:val="22"/>
        </w:rPr>
        <w:t>f</w:t>
      </w:r>
      <w:r w:rsidRPr="00F318AE">
        <w:rPr>
          <w:sz w:val="22"/>
        </w:rPr>
        <w:t xml:space="preserve">) Hebron Wastewater Management Project. Following the governance turnaround at </w:t>
      </w:r>
      <w:r w:rsidR="00BB2A5E">
        <w:rPr>
          <w:sz w:val="22"/>
        </w:rPr>
        <w:t xml:space="preserve">the </w:t>
      </w:r>
      <w:r w:rsidRPr="00F318AE">
        <w:rPr>
          <w:sz w:val="22"/>
        </w:rPr>
        <w:t xml:space="preserve">PWA and the release of the </w:t>
      </w:r>
      <w:r w:rsidRPr="00D908DF">
        <w:rPr>
          <w:iCs/>
          <w:sz w:val="22"/>
        </w:rPr>
        <w:t>Water Restrictions Study</w:t>
      </w:r>
      <w:r w:rsidRPr="00F318AE">
        <w:rPr>
          <w:sz w:val="22"/>
        </w:rPr>
        <w:t xml:space="preserve">, the PA had requested greater </w:t>
      </w:r>
      <w:r w:rsidR="00BB2A5E">
        <w:rPr>
          <w:sz w:val="22"/>
        </w:rPr>
        <w:t xml:space="preserve">World </w:t>
      </w:r>
      <w:r w:rsidRPr="00F318AE">
        <w:rPr>
          <w:sz w:val="22"/>
        </w:rPr>
        <w:t xml:space="preserve">Bank involvement in institutional support to </w:t>
      </w:r>
      <w:r w:rsidR="00BB2A5E">
        <w:rPr>
          <w:sz w:val="22"/>
        </w:rPr>
        <w:t xml:space="preserve">the </w:t>
      </w:r>
      <w:r w:rsidRPr="00F318AE">
        <w:rPr>
          <w:sz w:val="22"/>
        </w:rPr>
        <w:t xml:space="preserve">PWA, which was supported by key sector donors. </w:t>
      </w:r>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This </w:t>
      </w:r>
      <w:r w:rsidR="00BB2A5E">
        <w:rPr>
          <w:b/>
          <w:sz w:val="22"/>
        </w:rPr>
        <w:t>p</w:t>
      </w:r>
      <w:r w:rsidRPr="00F318AE">
        <w:rPr>
          <w:b/>
          <w:sz w:val="22"/>
        </w:rPr>
        <w:t xml:space="preserve">roject was developed to complement ongoing and planned infrastructure-focused </w:t>
      </w:r>
      <w:r w:rsidR="00BB2A5E">
        <w:rPr>
          <w:b/>
          <w:sz w:val="22"/>
        </w:rPr>
        <w:t xml:space="preserve">World </w:t>
      </w:r>
      <w:r w:rsidRPr="00F318AE">
        <w:rPr>
          <w:b/>
          <w:sz w:val="22"/>
        </w:rPr>
        <w:t xml:space="preserve">Bank projects. </w:t>
      </w:r>
      <w:r w:rsidRPr="00F318AE">
        <w:rPr>
          <w:sz w:val="22"/>
        </w:rPr>
        <w:t xml:space="preserve">This </w:t>
      </w:r>
      <w:r w:rsidR="00BB2A5E">
        <w:rPr>
          <w:sz w:val="22"/>
        </w:rPr>
        <w:t>p</w:t>
      </w:r>
      <w:r w:rsidRPr="00F318AE">
        <w:rPr>
          <w:sz w:val="22"/>
        </w:rPr>
        <w:t xml:space="preserve">roject was designed and developed within the context and lessons learned of previous </w:t>
      </w:r>
      <w:r w:rsidR="00BB2A5E">
        <w:rPr>
          <w:sz w:val="22"/>
        </w:rPr>
        <w:t xml:space="preserve">World </w:t>
      </w:r>
      <w:r w:rsidRPr="00F318AE">
        <w:rPr>
          <w:sz w:val="22"/>
        </w:rPr>
        <w:t xml:space="preserve">Bank engagement, which had demonstrated the importance of strengthening key water sector players as </w:t>
      </w:r>
      <w:r w:rsidR="00BB2A5E" w:rsidRPr="00F318AE">
        <w:rPr>
          <w:sz w:val="22"/>
        </w:rPr>
        <w:t>crucial</w:t>
      </w:r>
      <w:r w:rsidRPr="00F318AE">
        <w:rPr>
          <w:sz w:val="22"/>
        </w:rPr>
        <w:t xml:space="preserve"> to ensure lasting water sector change.</w:t>
      </w:r>
      <w:r w:rsidR="000F13ED">
        <w:rPr>
          <w:b/>
          <w:sz w:val="22"/>
        </w:rPr>
        <w:t xml:space="preserve"> </w:t>
      </w:r>
      <w:r w:rsidRPr="00F318AE">
        <w:rPr>
          <w:sz w:val="22"/>
        </w:rPr>
        <w:t xml:space="preserve">The capacity building was one program </w:t>
      </w:r>
      <w:r w:rsidR="00D908DF">
        <w:rPr>
          <w:sz w:val="22"/>
        </w:rPr>
        <w:t>among</w:t>
      </w:r>
      <w:r w:rsidR="00D908DF" w:rsidRPr="00F318AE">
        <w:rPr>
          <w:sz w:val="22"/>
        </w:rPr>
        <w:t xml:space="preserve"> </w:t>
      </w:r>
      <w:r w:rsidRPr="00F318AE">
        <w:rPr>
          <w:sz w:val="22"/>
        </w:rPr>
        <w:t>several others complementary to ongoing water sector reforms, and it was intended to play a role in keeping the process of reform running.</w:t>
      </w:r>
      <w:r w:rsidR="000F13ED">
        <w:rPr>
          <w:b/>
          <w:sz w:val="22"/>
        </w:rPr>
        <w:t xml:space="preserve"> </w:t>
      </w:r>
    </w:p>
    <w:p w:rsidR="008472BF" w:rsidRDefault="00B578E1" w:rsidP="00A63A6F">
      <w:pPr>
        <w:pStyle w:val="Normal0"/>
        <w:numPr>
          <w:ilvl w:val="0"/>
          <w:numId w:val="7"/>
        </w:numPr>
        <w:spacing w:after="240" w:line="240" w:lineRule="auto"/>
        <w:ind w:left="0" w:firstLine="0"/>
        <w:jc w:val="both"/>
        <w:rPr>
          <w:sz w:val="22"/>
        </w:rPr>
      </w:pPr>
      <w:r w:rsidRPr="00F318AE">
        <w:rPr>
          <w:b/>
          <w:sz w:val="22"/>
        </w:rPr>
        <w:t>Additional financing was sought in 2015.</w:t>
      </w:r>
      <w:r w:rsidR="000F13ED">
        <w:rPr>
          <w:b/>
          <w:sz w:val="22"/>
        </w:rPr>
        <w:t xml:space="preserve"> </w:t>
      </w:r>
      <w:r w:rsidRPr="00F318AE">
        <w:rPr>
          <w:sz w:val="22"/>
        </w:rPr>
        <w:t xml:space="preserve">As the </w:t>
      </w:r>
      <w:r w:rsidR="00BB2A5E">
        <w:rPr>
          <w:sz w:val="22"/>
        </w:rPr>
        <w:t>p</w:t>
      </w:r>
      <w:r w:rsidRPr="00F318AE">
        <w:rPr>
          <w:sz w:val="22"/>
        </w:rPr>
        <w:t>roject progressed and led to reforms of the water sector</w:t>
      </w:r>
      <w:r>
        <w:rPr>
          <w:sz w:val="22"/>
        </w:rPr>
        <w:t>,</w:t>
      </w:r>
      <w:r w:rsidRPr="00F318AE">
        <w:rPr>
          <w:sz w:val="22"/>
        </w:rPr>
        <w:t xml:space="preserve"> </w:t>
      </w:r>
      <w:r w:rsidR="00225474">
        <w:rPr>
          <w:sz w:val="22"/>
        </w:rPr>
        <w:t>a</w:t>
      </w:r>
      <w:r w:rsidRPr="00F318AE">
        <w:rPr>
          <w:sz w:val="22"/>
        </w:rPr>
        <w:t xml:space="preserve">dditional </w:t>
      </w:r>
      <w:r w:rsidR="00225474">
        <w:rPr>
          <w:sz w:val="22"/>
        </w:rPr>
        <w:t>f</w:t>
      </w:r>
      <w:r w:rsidRPr="00F318AE">
        <w:rPr>
          <w:sz w:val="22"/>
        </w:rPr>
        <w:t xml:space="preserve">inancing (AF) was sought for the following two activities: </w:t>
      </w:r>
      <w:r w:rsidR="00225474">
        <w:rPr>
          <w:sz w:val="22"/>
        </w:rPr>
        <w:t>(a</w:t>
      </w:r>
      <w:r w:rsidRPr="00F318AE">
        <w:rPr>
          <w:sz w:val="22"/>
        </w:rPr>
        <w:t>) institutional building of the Water Sector Regulatory Council (WSRC) to monitor and regulate the service provisio</w:t>
      </w:r>
      <w:r>
        <w:rPr>
          <w:sz w:val="22"/>
        </w:rPr>
        <w:t xml:space="preserve">n in </w:t>
      </w:r>
      <w:r w:rsidR="00D908DF">
        <w:rPr>
          <w:sz w:val="22"/>
        </w:rPr>
        <w:t xml:space="preserve">the </w:t>
      </w:r>
      <w:r w:rsidR="004E0ECB" w:rsidRPr="00D908DF">
        <w:rPr>
          <w:sz w:val="22"/>
        </w:rPr>
        <w:t>West Bank and Gaza</w:t>
      </w:r>
      <w:r>
        <w:rPr>
          <w:sz w:val="22"/>
        </w:rPr>
        <w:t xml:space="preserve"> and </w:t>
      </w:r>
      <w:r w:rsidR="00225474">
        <w:rPr>
          <w:sz w:val="22"/>
        </w:rPr>
        <w:t>(b</w:t>
      </w:r>
      <w:r>
        <w:rPr>
          <w:sz w:val="22"/>
        </w:rPr>
        <w:t xml:space="preserve">) </w:t>
      </w:r>
      <w:r w:rsidRPr="00F318AE">
        <w:rPr>
          <w:sz w:val="22"/>
        </w:rPr>
        <w:t>enhance</w:t>
      </w:r>
      <w:r>
        <w:rPr>
          <w:sz w:val="22"/>
        </w:rPr>
        <w:t>d</w:t>
      </w:r>
      <w:r w:rsidRPr="00F318AE">
        <w:rPr>
          <w:sz w:val="22"/>
        </w:rPr>
        <w:t xml:space="preserve"> capacity of the PWA in planning and policy formulation and implementing the water sector reform process. The AF was taking the reforms from the original project and aimed at further institutionaliz</w:t>
      </w:r>
      <w:r w:rsidR="00225474">
        <w:rPr>
          <w:sz w:val="22"/>
        </w:rPr>
        <w:t>ing</w:t>
      </w:r>
      <w:r w:rsidRPr="00F318AE">
        <w:rPr>
          <w:sz w:val="22"/>
        </w:rPr>
        <w:t xml:space="preserve"> the reform efforts already achieved during the original financing.</w:t>
      </w:r>
    </w:p>
    <w:p w:rsidR="0005006E" w:rsidRPr="0005006E" w:rsidRDefault="00B578E1" w:rsidP="0005006E">
      <w:pPr>
        <w:pStyle w:val="Normal0"/>
        <w:spacing w:after="240" w:line="240" w:lineRule="auto"/>
        <w:jc w:val="both"/>
        <w:rPr>
          <w:b/>
          <w:sz w:val="20"/>
        </w:rPr>
      </w:pPr>
      <w:bookmarkStart w:id="17" w:name="_Toc480984851"/>
      <w:bookmarkStart w:id="18" w:name="_Toc510969683"/>
      <w:r w:rsidRPr="0005006E">
        <w:rPr>
          <w:b/>
          <w:sz w:val="22"/>
        </w:rPr>
        <w:t>Theory of Change (Results Chain)</w:t>
      </w:r>
      <w:bookmarkEnd w:id="17"/>
      <w:bookmarkEnd w:id="18"/>
    </w:p>
    <w:p w:rsidR="008472BF" w:rsidRPr="00223967" w:rsidRDefault="00B578E1" w:rsidP="00A63A6F">
      <w:pPr>
        <w:pStyle w:val="Normal0"/>
        <w:numPr>
          <w:ilvl w:val="0"/>
          <w:numId w:val="7"/>
        </w:numPr>
        <w:spacing w:after="240" w:line="240" w:lineRule="auto"/>
        <w:ind w:left="0" w:firstLine="0"/>
        <w:jc w:val="both"/>
        <w:rPr>
          <w:sz w:val="22"/>
        </w:rPr>
      </w:pPr>
      <w:r w:rsidRPr="00F318AE">
        <w:rPr>
          <w:b/>
          <w:iCs/>
          <w:sz w:val="22"/>
        </w:rPr>
        <w:t>T</w:t>
      </w:r>
      <w:r w:rsidRPr="00F318AE">
        <w:rPr>
          <w:b/>
          <w:sz w:val="22"/>
        </w:rPr>
        <w:t>he underlying logic of the project expressed in the theory of chain is show</w:t>
      </w:r>
      <w:r w:rsidR="006413FA">
        <w:rPr>
          <w:b/>
          <w:sz w:val="22"/>
        </w:rPr>
        <w:t>n</w:t>
      </w:r>
      <w:r w:rsidRPr="00F318AE">
        <w:rPr>
          <w:b/>
          <w:sz w:val="22"/>
        </w:rPr>
        <w:t xml:space="preserve"> </w:t>
      </w:r>
      <w:r w:rsidR="000F085A">
        <w:rPr>
          <w:b/>
          <w:sz w:val="22"/>
        </w:rPr>
        <w:t>in figure 1</w:t>
      </w:r>
      <w:r w:rsidRPr="00F318AE">
        <w:rPr>
          <w:b/>
          <w:sz w:val="22"/>
        </w:rPr>
        <w:t xml:space="preserve">. </w:t>
      </w:r>
      <w:r w:rsidRPr="00223967">
        <w:rPr>
          <w:sz w:val="22"/>
        </w:rPr>
        <w:t xml:space="preserve">Two sets </w:t>
      </w:r>
      <w:r w:rsidR="000F085A">
        <w:rPr>
          <w:sz w:val="22"/>
        </w:rPr>
        <w:t xml:space="preserve">of </w:t>
      </w:r>
      <w:r w:rsidRPr="00223967">
        <w:rPr>
          <w:sz w:val="22"/>
        </w:rPr>
        <w:t xml:space="preserve">activities contributed to </w:t>
      </w:r>
      <w:r w:rsidR="006413FA">
        <w:rPr>
          <w:sz w:val="22"/>
        </w:rPr>
        <w:t xml:space="preserve">the </w:t>
      </w:r>
      <w:r w:rsidRPr="00223967">
        <w:rPr>
          <w:sz w:val="22"/>
        </w:rPr>
        <w:t xml:space="preserve">intermediate results and achievement of the outcomes. A first set of activities were carried out directly by the </w:t>
      </w:r>
      <w:r w:rsidR="00AC2A08" w:rsidRPr="00802B50">
        <w:rPr>
          <w:rFonts w:ascii="Calibri" w:eastAsia="Times New Roman" w:hAnsi="Calibri" w:cs="Calibri"/>
          <w:sz w:val="22"/>
          <w:lang w:eastAsia="es-CO"/>
        </w:rPr>
        <w:t>Technical Planning Advisory Team</w:t>
      </w:r>
      <w:r w:rsidR="00AC2A08" w:rsidRPr="00223967">
        <w:rPr>
          <w:sz w:val="22"/>
        </w:rPr>
        <w:t xml:space="preserve"> </w:t>
      </w:r>
      <w:r w:rsidR="00AC2A08">
        <w:rPr>
          <w:sz w:val="22"/>
        </w:rPr>
        <w:t>(</w:t>
      </w:r>
      <w:r w:rsidRPr="00223967">
        <w:rPr>
          <w:sz w:val="22"/>
        </w:rPr>
        <w:t>TPAT</w:t>
      </w:r>
      <w:r w:rsidR="00AC2A08">
        <w:rPr>
          <w:sz w:val="22"/>
        </w:rPr>
        <w:t>)</w:t>
      </w:r>
      <w:r w:rsidRPr="00223967">
        <w:rPr>
          <w:sz w:val="22"/>
        </w:rPr>
        <w:t xml:space="preserve"> and they resulted in </w:t>
      </w:r>
      <w:r w:rsidRPr="00223967">
        <w:rPr>
          <w:sz w:val="22"/>
        </w:rPr>
        <w:lastRenderedPageBreak/>
        <w:t>key results such as (</w:t>
      </w:r>
      <w:r w:rsidR="000F085A">
        <w:rPr>
          <w:sz w:val="22"/>
        </w:rPr>
        <w:t>a</w:t>
      </w:r>
      <w:r w:rsidRPr="00223967">
        <w:rPr>
          <w:sz w:val="22"/>
        </w:rPr>
        <w:t xml:space="preserve">) a detailed reform planning document for all </w:t>
      </w:r>
      <w:r w:rsidR="000F085A">
        <w:rPr>
          <w:sz w:val="22"/>
        </w:rPr>
        <w:t>s</w:t>
      </w:r>
      <w:r w:rsidRPr="00223967">
        <w:rPr>
          <w:sz w:val="22"/>
        </w:rPr>
        <w:t xml:space="preserve">ector </w:t>
      </w:r>
      <w:r w:rsidR="000F085A">
        <w:rPr>
          <w:sz w:val="22"/>
        </w:rPr>
        <w:t>r</w:t>
      </w:r>
      <w:r w:rsidRPr="00223967">
        <w:rPr>
          <w:sz w:val="22"/>
        </w:rPr>
        <w:t>eform processes, (</w:t>
      </w:r>
      <w:r w:rsidR="000F085A">
        <w:rPr>
          <w:sz w:val="22"/>
        </w:rPr>
        <w:t>b</w:t>
      </w:r>
      <w:r w:rsidRPr="00223967">
        <w:rPr>
          <w:sz w:val="22"/>
        </w:rPr>
        <w:t>) an Action Plan to ensure appropriate transition of the sector</w:t>
      </w:r>
      <w:r w:rsidR="006413FA">
        <w:rPr>
          <w:sz w:val="22"/>
        </w:rPr>
        <w:t>,</w:t>
      </w:r>
      <w:r w:rsidRPr="00223967">
        <w:rPr>
          <w:sz w:val="22"/>
        </w:rPr>
        <w:t xml:space="preserve"> approved and adopted by the sector institutions, and (</w:t>
      </w:r>
      <w:r w:rsidR="000F085A">
        <w:rPr>
          <w:sz w:val="22"/>
        </w:rPr>
        <w:t>c</w:t>
      </w:r>
      <w:r w:rsidRPr="00223967">
        <w:rPr>
          <w:sz w:val="22"/>
        </w:rPr>
        <w:t xml:space="preserve">) monitoring tools necessary for an efficient management interface with </w:t>
      </w:r>
      <w:r w:rsidR="008D27C7">
        <w:rPr>
          <w:sz w:val="22"/>
        </w:rPr>
        <w:t>SP</w:t>
      </w:r>
      <w:r w:rsidRPr="00223967">
        <w:rPr>
          <w:sz w:val="22"/>
        </w:rPr>
        <w:t>s. A second set of activities included studies, training</w:t>
      </w:r>
      <w:r w:rsidR="006413FA">
        <w:rPr>
          <w:sz w:val="22"/>
        </w:rPr>
        <w:t>,</w:t>
      </w:r>
      <w:r w:rsidRPr="00223967">
        <w:rPr>
          <w:sz w:val="22"/>
        </w:rPr>
        <w:t xml:space="preserve"> and capacity building </w:t>
      </w:r>
      <w:r w:rsidR="006413FA">
        <w:rPr>
          <w:sz w:val="22"/>
        </w:rPr>
        <w:t xml:space="preserve">for </w:t>
      </w:r>
      <w:r w:rsidRPr="00223967">
        <w:rPr>
          <w:sz w:val="22"/>
        </w:rPr>
        <w:t xml:space="preserve">the </w:t>
      </w:r>
      <w:r w:rsidR="004601C9">
        <w:rPr>
          <w:sz w:val="22"/>
        </w:rPr>
        <w:t>WSRC</w:t>
      </w:r>
      <w:r w:rsidRPr="00223967">
        <w:rPr>
          <w:sz w:val="22"/>
        </w:rPr>
        <w:t>. These activities mainly helped support sector regulatory oversight.</w:t>
      </w:r>
    </w:p>
    <w:p w:rsidR="000F085A" w:rsidRPr="00AC2A08" w:rsidRDefault="00B578E1" w:rsidP="00AC2A08">
      <w:pPr>
        <w:pStyle w:val="Caption"/>
      </w:pPr>
      <w:r w:rsidRPr="00AC2A08">
        <w:t xml:space="preserve">Figure </w:t>
      </w:r>
      <w:r w:rsidRPr="00AC2A08">
        <w:fldChar w:fldCharType="begin"/>
      </w:r>
      <w:r>
        <w:instrText xml:space="preserve"> SEQ Figure \* ARABIC </w:instrText>
      </w:r>
      <w:r w:rsidRPr="00AC2A08">
        <w:fldChar w:fldCharType="separate"/>
      </w:r>
      <w:r w:rsidRPr="00AC2A08">
        <w:t>1</w:t>
      </w:r>
      <w:r w:rsidRPr="00AC2A08">
        <w:fldChar w:fldCharType="end"/>
      </w:r>
      <w:r w:rsidRPr="00AC2A08">
        <w:t>. Causal Chain</w:t>
      </w:r>
    </w:p>
    <w:p w:rsidR="008472BF" w:rsidRDefault="00B578E1" w:rsidP="00AC2A08">
      <w:pPr>
        <w:jc w:val="center"/>
      </w:pPr>
      <w:r>
        <w:rPr>
          <w:noProof/>
        </w:rPr>
        <w:drawing>
          <wp:inline distT="0" distB="0" distL="0" distR="0">
            <wp:extent cx="5464145" cy="56534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57002"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73689" cy="5663280"/>
                    </a:xfrm>
                    <a:prstGeom prst="rect">
                      <a:avLst/>
                    </a:prstGeom>
                    <a:noFill/>
                  </pic:spPr>
                </pic:pic>
              </a:graphicData>
            </a:graphic>
          </wp:inline>
        </w:drawing>
      </w:r>
    </w:p>
    <w:p w:rsidR="008472BF" w:rsidRPr="00273143" w:rsidRDefault="00B578E1" w:rsidP="00667D04">
      <w:pPr>
        <w:keepNext/>
        <w:spacing w:after="240" w:line="240" w:lineRule="auto"/>
        <w:rPr>
          <w:rFonts w:asciiTheme="minorHAnsi" w:hAnsiTheme="minorHAnsi"/>
          <w:b/>
          <w:color w:val="auto"/>
          <w:sz w:val="22"/>
          <w:szCs w:val="22"/>
        </w:rPr>
      </w:pPr>
      <w:bookmarkStart w:id="19" w:name="_Toc480984852"/>
      <w:bookmarkStart w:id="20" w:name="_Toc510969684"/>
      <w:r w:rsidRPr="00273143">
        <w:rPr>
          <w:rFonts w:asciiTheme="minorHAnsi" w:hAnsiTheme="minorHAnsi"/>
          <w:b/>
          <w:color w:val="auto"/>
          <w:sz w:val="22"/>
          <w:szCs w:val="22"/>
        </w:rPr>
        <w:lastRenderedPageBreak/>
        <w:t>Project Development Objectives (PDOs)</w:t>
      </w:r>
      <w:bookmarkEnd w:id="19"/>
      <w:bookmarkEnd w:id="20"/>
    </w:p>
    <w:p w:rsidR="008472BF" w:rsidRDefault="00B578E1" w:rsidP="00A63A6F">
      <w:pPr>
        <w:pStyle w:val="Normal0"/>
        <w:numPr>
          <w:ilvl w:val="0"/>
          <w:numId w:val="7"/>
        </w:numPr>
        <w:spacing w:after="240" w:line="240" w:lineRule="auto"/>
        <w:ind w:left="0" w:firstLine="0"/>
        <w:jc w:val="both"/>
        <w:rPr>
          <w:b/>
          <w:sz w:val="22"/>
        </w:rPr>
      </w:pPr>
      <w:r w:rsidRPr="00BD6DCF">
        <w:rPr>
          <w:b/>
          <w:sz w:val="22"/>
        </w:rPr>
        <w:t xml:space="preserve">The </w:t>
      </w:r>
      <w:r w:rsidR="00BC6BF3">
        <w:rPr>
          <w:b/>
          <w:sz w:val="22"/>
        </w:rPr>
        <w:t>PDO</w:t>
      </w:r>
      <w:r w:rsidRPr="00F318AE">
        <w:rPr>
          <w:b/>
          <w:sz w:val="22"/>
        </w:rPr>
        <w:t xml:space="preserve"> was to strengthen the capacity of the PWA to more effectively plan, monitor, and regulate water sector development in the West Bank and Gaza.</w:t>
      </w:r>
    </w:p>
    <w:p w:rsidR="008472BF" w:rsidRPr="00273143" w:rsidRDefault="00B578E1" w:rsidP="00273143">
      <w:pPr>
        <w:spacing w:after="240" w:line="240" w:lineRule="auto"/>
        <w:rPr>
          <w:rFonts w:asciiTheme="minorHAnsi" w:hAnsiTheme="minorHAnsi"/>
          <w:b/>
          <w:color w:val="auto"/>
          <w:sz w:val="22"/>
          <w:szCs w:val="22"/>
        </w:rPr>
      </w:pPr>
      <w:bookmarkStart w:id="21" w:name="_Toc480984853"/>
      <w:bookmarkStart w:id="22" w:name="_Toc510969685"/>
      <w:r w:rsidRPr="00273143">
        <w:rPr>
          <w:rFonts w:asciiTheme="minorHAnsi" w:hAnsiTheme="minorHAnsi"/>
          <w:b/>
          <w:color w:val="auto"/>
          <w:sz w:val="22"/>
          <w:szCs w:val="22"/>
        </w:rPr>
        <w:t>Key Expected Outcomes and Outcome Indicators</w:t>
      </w:r>
      <w:bookmarkEnd w:id="21"/>
      <w:bookmarkEnd w:id="22"/>
    </w:p>
    <w:p w:rsidR="008472BF" w:rsidRDefault="00B578E1" w:rsidP="00A63A6F">
      <w:pPr>
        <w:pStyle w:val="Normal0"/>
        <w:numPr>
          <w:ilvl w:val="0"/>
          <w:numId w:val="7"/>
        </w:numPr>
        <w:spacing w:after="240" w:line="240" w:lineRule="auto"/>
        <w:ind w:left="0" w:firstLine="0"/>
        <w:jc w:val="both"/>
        <w:rPr>
          <w:sz w:val="22"/>
        </w:rPr>
      </w:pPr>
      <w:r>
        <w:rPr>
          <w:sz w:val="22"/>
        </w:rPr>
        <w:t>Three key expected outcomes were identified at the preparation stage. These include the following:</w:t>
      </w:r>
    </w:p>
    <w:p w:rsidR="008472BF" w:rsidRDefault="00B578E1" w:rsidP="00A63A6F">
      <w:pPr>
        <w:pStyle w:val="ListParagraph"/>
        <w:numPr>
          <w:ilvl w:val="0"/>
          <w:numId w:val="14"/>
        </w:numPr>
        <w:autoSpaceDE w:val="0"/>
        <w:autoSpaceDN w:val="0"/>
        <w:adjustRightInd w:val="0"/>
        <w:spacing w:after="240" w:line="240" w:lineRule="auto"/>
        <w:ind w:left="1195" w:hanging="475"/>
        <w:contextualSpacing w:val="0"/>
        <w:jc w:val="both"/>
        <w:rPr>
          <w:sz w:val="22"/>
        </w:rPr>
      </w:pPr>
      <w:r w:rsidRPr="00D74217">
        <w:rPr>
          <w:rFonts w:asciiTheme="minorHAnsi" w:eastAsiaTheme="minorHAnsi" w:hAnsiTheme="minorHAnsi" w:cstheme="minorBidi"/>
          <w:color w:val="auto"/>
          <w:sz w:val="22"/>
          <w:szCs w:val="22"/>
        </w:rPr>
        <w:t xml:space="preserve">Progress of the water sector reform process as measured by the delivery of key contributions from </w:t>
      </w:r>
      <w:r w:rsidR="007202B9">
        <w:rPr>
          <w:rFonts w:asciiTheme="minorHAnsi" w:eastAsiaTheme="minorHAnsi" w:hAnsiTheme="minorHAnsi" w:cstheme="minorBidi"/>
          <w:color w:val="auto"/>
          <w:sz w:val="22"/>
          <w:szCs w:val="22"/>
        </w:rPr>
        <w:t xml:space="preserve">the </w:t>
      </w:r>
      <w:r w:rsidRPr="00D74217">
        <w:rPr>
          <w:rFonts w:asciiTheme="minorHAnsi" w:eastAsiaTheme="minorHAnsi" w:hAnsiTheme="minorHAnsi" w:cstheme="minorBidi"/>
          <w:color w:val="auto"/>
          <w:sz w:val="22"/>
          <w:szCs w:val="22"/>
        </w:rPr>
        <w:t xml:space="preserve">TPAT. These expected contributions from </w:t>
      </w:r>
      <w:r w:rsidR="007202B9">
        <w:rPr>
          <w:rFonts w:asciiTheme="minorHAnsi" w:eastAsiaTheme="minorHAnsi" w:hAnsiTheme="minorHAnsi" w:cstheme="minorBidi"/>
          <w:color w:val="auto"/>
          <w:sz w:val="22"/>
          <w:szCs w:val="22"/>
        </w:rPr>
        <w:t xml:space="preserve">the </w:t>
      </w:r>
      <w:r w:rsidRPr="00D74217">
        <w:rPr>
          <w:rFonts w:asciiTheme="minorHAnsi" w:eastAsiaTheme="minorHAnsi" w:hAnsiTheme="minorHAnsi" w:cstheme="minorBidi"/>
          <w:color w:val="auto"/>
          <w:sz w:val="22"/>
          <w:szCs w:val="22"/>
        </w:rPr>
        <w:t>TPAT to the water sector reform process include (</w:t>
      </w:r>
      <w:r w:rsidR="007202B9">
        <w:rPr>
          <w:rFonts w:asciiTheme="minorHAnsi" w:eastAsiaTheme="minorHAnsi" w:hAnsiTheme="minorHAnsi" w:cstheme="minorBidi"/>
          <w:color w:val="auto"/>
          <w:sz w:val="22"/>
          <w:szCs w:val="22"/>
        </w:rPr>
        <w:t>a</w:t>
      </w:r>
      <w:r w:rsidRPr="00D74217">
        <w:rPr>
          <w:rFonts w:asciiTheme="minorHAnsi" w:eastAsiaTheme="minorHAnsi" w:hAnsiTheme="minorHAnsi" w:cstheme="minorBidi"/>
          <w:color w:val="auto"/>
          <w:sz w:val="22"/>
          <w:szCs w:val="22"/>
        </w:rPr>
        <w:t xml:space="preserve">) a detailed reform planning document for all </w:t>
      </w:r>
      <w:r w:rsidR="007202B9">
        <w:rPr>
          <w:rFonts w:asciiTheme="minorHAnsi" w:eastAsiaTheme="minorHAnsi" w:hAnsiTheme="minorHAnsi" w:cstheme="minorBidi"/>
          <w:color w:val="auto"/>
          <w:sz w:val="22"/>
          <w:szCs w:val="22"/>
        </w:rPr>
        <w:t>s</w:t>
      </w:r>
      <w:r w:rsidRPr="00D74217">
        <w:rPr>
          <w:rFonts w:asciiTheme="minorHAnsi" w:eastAsiaTheme="minorHAnsi" w:hAnsiTheme="minorHAnsi" w:cstheme="minorBidi"/>
          <w:color w:val="auto"/>
          <w:sz w:val="22"/>
          <w:szCs w:val="22"/>
        </w:rPr>
        <w:t xml:space="preserve">ector </w:t>
      </w:r>
      <w:r w:rsidR="007202B9">
        <w:rPr>
          <w:rFonts w:asciiTheme="minorHAnsi" w:eastAsiaTheme="minorHAnsi" w:hAnsiTheme="minorHAnsi" w:cstheme="minorBidi"/>
          <w:color w:val="auto"/>
          <w:sz w:val="22"/>
          <w:szCs w:val="22"/>
        </w:rPr>
        <w:t>r</w:t>
      </w:r>
      <w:r w:rsidRPr="00D74217">
        <w:rPr>
          <w:rFonts w:asciiTheme="minorHAnsi" w:eastAsiaTheme="minorHAnsi" w:hAnsiTheme="minorHAnsi" w:cstheme="minorBidi"/>
          <w:color w:val="auto"/>
          <w:sz w:val="22"/>
          <w:szCs w:val="22"/>
        </w:rPr>
        <w:t>eform processes, (</w:t>
      </w:r>
      <w:r w:rsidR="007202B9">
        <w:rPr>
          <w:rFonts w:asciiTheme="minorHAnsi" w:eastAsiaTheme="minorHAnsi" w:hAnsiTheme="minorHAnsi" w:cstheme="minorBidi"/>
          <w:color w:val="auto"/>
          <w:sz w:val="22"/>
          <w:szCs w:val="22"/>
        </w:rPr>
        <w:t>b</w:t>
      </w:r>
      <w:r w:rsidRPr="00D74217">
        <w:rPr>
          <w:rFonts w:asciiTheme="minorHAnsi" w:eastAsiaTheme="minorHAnsi" w:hAnsiTheme="minorHAnsi" w:cstheme="minorBidi"/>
          <w:color w:val="auto"/>
          <w:sz w:val="22"/>
          <w:szCs w:val="22"/>
        </w:rPr>
        <w:t>) an Action Plan to ensure appropriate transition of the sector</w:t>
      </w:r>
      <w:r w:rsidR="006413FA">
        <w:rPr>
          <w:rFonts w:asciiTheme="minorHAnsi" w:eastAsiaTheme="minorHAnsi" w:hAnsiTheme="minorHAnsi" w:cstheme="minorBidi"/>
          <w:color w:val="auto"/>
          <w:sz w:val="22"/>
          <w:szCs w:val="22"/>
        </w:rPr>
        <w:t>,</w:t>
      </w:r>
      <w:r w:rsidRPr="00D74217">
        <w:rPr>
          <w:rFonts w:asciiTheme="minorHAnsi" w:eastAsiaTheme="minorHAnsi" w:hAnsiTheme="minorHAnsi" w:cstheme="minorBidi"/>
          <w:color w:val="auto"/>
          <w:sz w:val="22"/>
          <w:szCs w:val="22"/>
        </w:rPr>
        <w:t xml:space="preserve"> approved and adopted by the sector institutions, </w:t>
      </w:r>
      <w:r w:rsidR="007202B9">
        <w:rPr>
          <w:rFonts w:asciiTheme="minorHAnsi" w:eastAsiaTheme="minorHAnsi" w:hAnsiTheme="minorHAnsi" w:cstheme="minorBidi"/>
          <w:color w:val="auto"/>
          <w:sz w:val="22"/>
          <w:szCs w:val="22"/>
        </w:rPr>
        <w:t xml:space="preserve">and </w:t>
      </w:r>
      <w:r w:rsidRPr="00D74217">
        <w:rPr>
          <w:rFonts w:asciiTheme="minorHAnsi" w:eastAsiaTheme="minorHAnsi" w:hAnsiTheme="minorHAnsi" w:cstheme="minorBidi"/>
          <w:color w:val="auto"/>
          <w:sz w:val="22"/>
          <w:szCs w:val="22"/>
        </w:rPr>
        <w:t>(</w:t>
      </w:r>
      <w:r w:rsidR="007202B9">
        <w:rPr>
          <w:rFonts w:asciiTheme="minorHAnsi" w:eastAsiaTheme="minorHAnsi" w:hAnsiTheme="minorHAnsi" w:cstheme="minorBidi"/>
          <w:color w:val="auto"/>
          <w:sz w:val="22"/>
          <w:szCs w:val="22"/>
        </w:rPr>
        <w:t>c</w:t>
      </w:r>
      <w:r w:rsidRPr="00D74217">
        <w:rPr>
          <w:rFonts w:asciiTheme="minorHAnsi" w:eastAsiaTheme="minorHAnsi" w:hAnsiTheme="minorHAnsi" w:cstheme="minorBidi"/>
          <w:color w:val="auto"/>
          <w:sz w:val="22"/>
          <w:szCs w:val="22"/>
        </w:rPr>
        <w:t xml:space="preserve">) monitoring tools necessary for an efficient management interface with </w:t>
      </w:r>
      <w:r w:rsidR="008D27C7">
        <w:rPr>
          <w:rFonts w:asciiTheme="minorHAnsi" w:eastAsiaTheme="minorHAnsi" w:hAnsiTheme="minorHAnsi" w:cstheme="minorBidi"/>
          <w:color w:val="auto"/>
          <w:sz w:val="22"/>
          <w:szCs w:val="22"/>
        </w:rPr>
        <w:t>SP</w:t>
      </w:r>
      <w:r w:rsidRPr="00D74217">
        <w:rPr>
          <w:rFonts w:asciiTheme="minorHAnsi" w:eastAsiaTheme="minorHAnsi" w:hAnsiTheme="minorHAnsi" w:cstheme="minorBidi"/>
          <w:color w:val="auto"/>
          <w:sz w:val="22"/>
          <w:szCs w:val="22"/>
        </w:rPr>
        <w:t>s.</w:t>
      </w:r>
    </w:p>
    <w:p w:rsidR="008472BF" w:rsidRPr="00D74217" w:rsidRDefault="00B578E1" w:rsidP="00A63A6F">
      <w:pPr>
        <w:pStyle w:val="ListParagraph"/>
        <w:numPr>
          <w:ilvl w:val="0"/>
          <w:numId w:val="14"/>
        </w:numPr>
        <w:autoSpaceDE w:val="0"/>
        <w:autoSpaceDN w:val="0"/>
        <w:adjustRightInd w:val="0"/>
        <w:spacing w:after="240" w:line="240" w:lineRule="auto"/>
        <w:ind w:left="1195" w:hanging="475"/>
        <w:contextualSpacing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C</w:t>
      </w:r>
      <w:r w:rsidRPr="00D74217">
        <w:rPr>
          <w:rFonts w:asciiTheme="minorHAnsi" w:eastAsiaTheme="minorHAnsi" w:hAnsiTheme="minorHAnsi" w:cstheme="minorBidi"/>
          <w:color w:val="auto"/>
          <w:sz w:val="22"/>
          <w:szCs w:val="22"/>
        </w:rPr>
        <w:t>omprehensive updating of the PWA policies, strategies, and guidelines and technical planning tools</w:t>
      </w:r>
      <w:r>
        <w:rPr>
          <w:rFonts w:asciiTheme="minorHAnsi" w:eastAsiaTheme="minorHAnsi" w:hAnsiTheme="minorHAnsi" w:cstheme="minorBidi"/>
          <w:color w:val="auto"/>
          <w:sz w:val="22"/>
          <w:szCs w:val="22"/>
        </w:rPr>
        <w:t>.</w:t>
      </w:r>
    </w:p>
    <w:p w:rsidR="008472BF" w:rsidRPr="00D74217" w:rsidRDefault="00B578E1" w:rsidP="00A63A6F">
      <w:pPr>
        <w:pStyle w:val="ListParagraph"/>
        <w:numPr>
          <w:ilvl w:val="0"/>
          <w:numId w:val="14"/>
        </w:numPr>
        <w:autoSpaceDE w:val="0"/>
        <w:autoSpaceDN w:val="0"/>
        <w:adjustRightInd w:val="0"/>
        <w:spacing w:after="240" w:line="240" w:lineRule="auto"/>
        <w:ind w:left="1195" w:hanging="475"/>
        <w:contextualSpacing w:val="0"/>
        <w:jc w:val="both"/>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I</w:t>
      </w:r>
      <w:r w:rsidRPr="00D74217">
        <w:rPr>
          <w:rFonts w:asciiTheme="minorHAnsi" w:eastAsiaTheme="minorHAnsi" w:hAnsiTheme="minorHAnsi" w:cstheme="minorBidi"/>
          <w:color w:val="auto"/>
          <w:sz w:val="22"/>
          <w:szCs w:val="22"/>
        </w:rPr>
        <w:t xml:space="preserve">ncreased capacities of </w:t>
      </w:r>
      <w:r>
        <w:rPr>
          <w:rFonts w:asciiTheme="minorHAnsi" w:eastAsiaTheme="minorHAnsi" w:hAnsiTheme="minorHAnsi" w:cstheme="minorBidi"/>
          <w:color w:val="auto"/>
          <w:sz w:val="22"/>
          <w:szCs w:val="22"/>
        </w:rPr>
        <w:t xml:space="preserve">the </w:t>
      </w:r>
      <w:r w:rsidRPr="00D74217">
        <w:rPr>
          <w:rFonts w:asciiTheme="minorHAnsi" w:eastAsiaTheme="minorHAnsi" w:hAnsiTheme="minorHAnsi" w:cstheme="minorBidi"/>
          <w:color w:val="auto"/>
          <w:sz w:val="22"/>
          <w:szCs w:val="22"/>
        </w:rPr>
        <w:t>PWA as measured by data collected in semiannual progress reports.</w:t>
      </w:r>
    </w:p>
    <w:p w:rsidR="008472BF" w:rsidRPr="00273143" w:rsidRDefault="00B578E1" w:rsidP="00273143">
      <w:pPr>
        <w:spacing w:after="240" w:line="240" w:lineRule="auto"/>
        <w:rPr>
          <w:rFonts w:asciiTheme="minorHAnsi" w:hAnsiTheme="minorHAnsi"/>
          <w:b/>
          <w:color w:val="auto"/>
          <w:sz w:val="22"/>
          <w:szCs w:val="22"/>
        </w:rPr>
      </w:pPr>
      <w:bookmarkStart w:id="23" w:name="_Toc480984854"/>
      <w:bookmarkStart w:id="24" w:name="_Toc510969686"/>
      <w:r w:rsidRPr="00273143">
        <w:rPr>
          <w:rFonts w:asciiTheme="minorHAnsi" w:hAnsiTheme="minorHAnsi"/>
          <w:b/>
          <w:color w:val="auto"/>
          <w:sz w:val="22"/>
          <w:szCs w:val="22"/>
        </w:rPr>
        <w:t>Components</w:t>
      </w:r>
      <w:bookmarkEnd w:id="23"/>
      <w:bookmarkEnd w:id="24"/>
    </w:p>
    <w:p w:rsidR="008472BF"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7202B9">
        <w:rPr>
          <w:b/>
          <w:sz w:val="22"/>
        </w:rPr>
        <w:t>p</w:t>
      </w:r>
      <w:r w:rsidRPr="00F318AE">
        <w:rPr>
          <w:b/>
          <w:sz w:val="22"/>
        </w:rPr>
        <w:t>roject had three main components, as summarized in table</w:t>
      </w:r>
      <w:r w:rsidRPr="00F318AE">
        <w:rPr>
          <w:sz w:val="22"/>
        </w:rPr>
        <w:t xml:space="preserve"> </w:t>
      </w:r>
      <w:r w:rsidRPr="008525AF">
        <w:rPr>
          <w:b/>
          <w:sz w:val="22"/>
        </w:rPr>
        <w:t>1</w:t>
      </w:r>
      <w:r w:rsidRPr="006413FA">
        <w:rPr>
          <w:b/>
          <w:sz w:val="22"/>
        </w:rPr>
        <w:t>.</w:t>
      </w:r>
      <w:r w:rsidRPr="00F318AE">
        <w:rPr>
          <w:sz w:val="22"/>
        </w:rPr>
        <w:t xml:space="preserve"> </w:t>
      </w:r>
      <w:r>
        <w:rPr>
          <w:sz w:val="22"/>
        </w:rPr>
        <w:t xml:space="preserve">At approval, the total project cost was estimated at US$6 million, with </w:t>
      </w:r>
      <w:r w:rsidRPr="00925DAF">
        <w:rPr>
          <w:sz w:val="22"/>
        </w:rPr>
        <w:t>US$2.1 million from the Trust Fund for</w:t>
      </w:r>
      <w:r>
        <w:rPr>
          <w:sz w:val="22"/>
        </w:rPr>
        <w:t xml:space="preserve"> </w:t>
      </w:r>
      <w:r w:rsidRPr="00925DAF">
        <w:rPr>
          <w:sz w:val="22"/>
        </w:rPr>
        <w:t>Gaza and West Bank, plus US$2.8 million co-financing f</w:t>
      </w:r>
      <w:r>
        <w:rPr>
          <w:sz w:val="22"/>
        </w:rPr>
        <w:t xml:space="preserve">rom </w:t>
      </w:r>
      <w:r w:rsidR="007202B9">
        <w:rPr>
          <w:sz w:val="22"/>
        </w:rPr>
        <w:t xml:space="preserve">the </w:t>
      </w:r>
      <w:r w:rsidR="007202B9">
        <w:rPr>
          <w:rFonts w:ascii="Calibri" w:eastAsia="Times New Roman" w:hAnsi="Calibri" w:cs="Calibri"/>
          <w:sz w:val="22"/>
          <w:lang w:eastAsia="es-CO"/>
        </w:rPr>
        <w:t>French Development Agency (</w:t>
      </w:r>
      <w:r w:rsidRPr="006413FA">
        <w:rPr>
          <w:i/>
          <w:sz w:val="22"/>
        </w:rPr>
        <w:t>Agence Française de Developement</w:t>
      </w:r>
      <w:r w:rsidRPr="00925DAF">
        <w:rPr>
          <w:sz w:val="22"/>
        </w:rPr>
        <w:t xml:space="preserve"> AFD</w:t>
      </w:r>
      <w:r>
        <w:rPr>
          <w:sz w:val="22"/>
        </w:rPr>
        <w:t>)</w:t>
      </w:r>
      <w:r w:rsidRPr="00925DAF">
        <w:rPr>
          <w:sz w:val="22"/>
        </w:rPr>
        <w:t xml:space="preserve"> and Swedish International Development Cooperation Agency</w:t>
      </w:r>
      <w:r>
        <w:rPr>
          <w:sz w:val="22"/>
        </w:rPr>
        <w:t xml:space="preserve"> (</w:t>
      </w:r>
      <w:r w:rsidRPr="00925DAF">
        <w:rPr>
          <w:sz w:val="22"/>
        </w:rPr>
        <w:t>S</w:t>
      </w:r>
      <w:r w:rsidR="007202B9">
        <w:rPr>
          <w:sz w:val="22"/>
        </w:rPr>
        <w:t>IDA</w:t>
      </w:r>
      <w:r>
        <w:rPr>
          <w:sz w:val="22"/>
        </w:rPr>
        <w:t xml:space="preserve">). </w:t>
      </w:r>
      <w:r w:rsidRPr="00925DAF">
        <w:rPr>
          <w:sz w:val="22"/>
        </w:rPr>
        <w:t xml:space="preserve">The first component focused on capacity building and advisory support. The second component supplemented some of the work of </w:t>
      </w:r>
      <w:r w:rsidR="00DA5912">
        <w:rPr>
          <w:sz w:val="22"/>
        </w:rPr>
        <w:t>C</w:t>
      </w:r>
      <w:r w:rsidRPr="00925DAF">
        <w:rPr>
          <w:sz w:val="22"/>
        </w:rPr>
        <w:t xml:space="preserve">omponent 1 with </w:t>
      </w:r>
      <w:r w:rsidR="00BB2A5E">
        <w:rPr>
          <w:sz w:val="22"/>
        </w:rPr>
        <w:t>AF</w:t>
      </w:r>
      <w:r w:rsidRPr="00925DAF">
        <w:rPr>
          <w:sz w:val="22"/>
        </w:rPr>
        <w:t xml:space="preserve"> for studies and training. The third component relates to project management. </w:t>
      </w:r>
      <w:r>
        <w:rPr>
          <w:sz w:val="22"/>
        </w:rPr>
        <w:t xml:space="preserve">At restructuring in 2015, the project received additional funds </w:t>
      </w:r>
      <w:r w:rsidR="00DA5912">
        <w:rPr>
          <w:sz w:val="22"/>
        </w:rPr>
        <w:t xml:space="preserve">of US$2 million and US$0.3 million </w:t>
      </w:r>
      <w:r>
        <w:rPr>
          <w:sz w:val="22"/>
        </w:rPr>
        <w:t xml:space="preserve">from the </w:t>
      </w:r>
      <w:r w:rsidR="00DA5912" w:rsidRPr="00F318AE">
        <w:rPr>
          <w:sz w:val="22"/>
        </w:rPr>
        <w:t>Multi</w:t>
      </w:r>
      <w:r w:rsidR="00DA5912">
        <w:rPr>
          <w:sz w:val="22"/>
        </w:rPr>
        <w:t>-</w:t>
      </w:r>
      <w:r w:rsidR="00DA5912" w:rsidRPr="00F318AE">
        <w:rPr>
          <w:sz w:val="22"/>
        </w:rPr>
        <w:t>Donor Trust Fund</w:t>
      </w:r>
      <w:r w:rsidR="00DA5912">
        <w:rPr>
          <w:sz w:val="22"/>
        </w:rPr>
        <w:t xml:space="preserve"> (</w:t>
      </w:r>
      <w:r>
        <w:rPr>
          <w:sz w:val="22"/>
        </w:rPr>
        <w:t>MDTF</w:t>
      </w:r>
      <w:r w:rsidR="00DA5912">
        <w:rPr>
          <w:sz w:val="22"/>
        </w:rPr>
        <w:t>)</w:t>
      </w:r>
      <w:r>
        <w:rPr>
          <w:sz w:val="22"/>
        </w:rPr>
        <w:t xml:space="preserve"> and </w:t>
      </w:r>
      <w:r w:rsidR="007C7C2B" w:rsidRPr="005B4BDB">
        <w:rPr>
          <w:sz w:val="22"/>
        </w:rPr>
        <w:t>German Agency for</w:t>
      </w:r>
      <w:r w:rsidR="007C7C2B">
        <w:rPr>
          <w:rFonts w:ascii="Avenir-Book" w:eastAsia="Avenir-Book" w:cs="Avenir-Book"/>
          <w:sz w:val="16"/>
          <w:szCs w:val="16"/>
        </w:rPr>
        <w:t xml:space="preserve"> </w:t>
      </w:r>
      <w:r w:rsidR="007C7C2B" w:rsidRPr="007C7C2B">
        <w:rPr>
          <w:sz w:val="22"/>
        </w:rPr>
        <w:t>International Cooperation (</w:t>
      </w:r>
      <w:r w:rsidRPr="007C7C2B">
        <w:rPr>
          <w:i/>
          <w:sz w:val="22"/>
        </w:rPr>
        <w:t>Gesellschaft für Internationale Zusammenarbeit</w:t>
      </w:r>
      <w:r w:rsidR="007C7C2B" w:rsidRPr="007C7C2B">
        <w:rPr>
          <w:sz w:val="22"/>
        </w:rPr>
        <w:t>,</w:t>
      </w:r>
      <w:r>
        <w:rPr>
          <w:sz w:val="22"/>
        </w:rPr>
        <w:t xml:space="preserve"> GIZ)</w:t>
      </w:r>
      <w:r w:rsidR="006413FA">
        <w:rPr>
          <w:sz w:val="22"/>
        </w:rPr>
        <w:t>,</w:t>
      </w:r>
      <w:r>
        <w:rPr>
          <w:sz w:val="22"/>
        </w:rPr>
        <w:t xml:space="preserve"> respectively. </w:t>
      </w:r>
    </w:p>
    <w:p w:rsidR="008A63BA" w:rsidRPr="008A63BA" w:rsidRDefault="00B578E1" w:rsidP="008A63BA">
      <w:pPr>
        <w:pStyle w:val="Caption"/>
      </w:pPr>
      <w:r w:rsidRPr="008A63BA">
        <w:t xml:space="preserve">Table </w:t>
      </w:r>
      <w:r w:rsidRPr="008A63BA">
        <w:fldChar w:fldCharType="begin"/>
      </w:r>
      <w:r>
        <w:instrText xml:space="preserve"> SEQ Table \* ARABIC </w:instrText>
      </w:r>
      <w:r w:rsidRPr="008A63BA">
        <w:fldChar w:fldCharType="separate"/>
      </w:r>
      <w:r w:rsidRPr="008A63BA">
        <w:t>1</w:t>
      </w:r>
      <w:r w:rsidRPr="008A63BA">
        <w:fldChar w:fldCharType="end"/>
      </w:r>
      <w:r w:rsidRPr="008A63BA">
        <w:t xml:space="preserve">. Project </w:t>
      </w:r>
      <w:r>
        <w:t>C</w:t>
      </w:r>
      <w:r w:rsidRPr="008A63BA">
        <w:t xml:space="preserve">omponents </w:t>
      </w:r>
      <w:r>
        <w:t>(</w:t>
      </w:r>
      <w:r w:rsidRPr="008A63BA">
        <w:t>All costs in US$</w:t>
      </w:r>
      <w:r>
        <w:t>, millions)</w:t>
      </w:r>
    </w:p>
    <w:tbl>
      <w:tblPr>
        <w:tblW w:w="5000" w:type="pct"/>
        <w:jc w:val="center"/>
        <w:tblCellMar>
          <w:left w:w="70" w:type="dxa"/>
          <w:right w:w="70" w:type="dxa"/>
        </w:tblCellMar>
        <w:tblLook w:val="04A0" w:firstRow="1" w:lastRow="0" w:firstColumn="1" w:lastColumn="0" w:noHBand="0" w:noVBand="1"/>
      </w:tblPr>
      <w:tblGrid>
        <w:gridCol w:w="2054"/>
        <w:gridCol w:w="776"/>
        <w:gridCol w:w="1062"/>
        <w:gridCol w:w="853"/>
        <w:gridCol w:w="668"/>
        <w:gridCol w:w="866"/>
        <w:gridCol w:w="845"/>
        <w:gridCol w:w="868"/>
        <w:gridCol w:w="1358"/>
      </w:tblGrid>
      <w:tr w:rsidR="0006032A" w:rsidTr="00CB37CD">
        <w:trPr>
          <w:trHeight w:val="20"/>
          <w:tblHeader/>
          <w:jc w:val="center"/>
        </w:trPr>
        <w:tc>
          <w:tcPr>
            <w:tcW w:w="10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2BF" w:rsidRPr="008A63BA" w:rsidRDefault="00B578E1" w:rsidP="008472BF">
            <w:pPr>
              <w:spacing w:after="0" w:line="240" w:lineRule="auto"/>
              <w:jc w:val="center"/>
              <w:rPr>
                <w:rFonts w:asciiTheme="minorHAnsi" w:eastAsia="Times New Roman" w:hAnsiTheme="minorHAnsi" w:cs="Calibri"/>
                <w:b/>
                <w:sz w:val="20"/>
                <w:szCs w:val="20"/>
                <w:lang w:val="es-CO" w:eastAsia="es-CO"/>
              </w:rPr>
            </w:pPr>
            <w:r w:rsidRPr="008A63BA">
              <w:rPr>
                <w:rFonts w:asciiTheme="minorHAnsi" w:eastAsia="Times New Roman" w:hAnsiTheme="minorHAnsi" w:cs="Calibri"/>
                <w:b/>
                <w:sz w:val="20"/>
                <w:szCs w:val="20"/>
                <w:lang w:val="es-CO" w:eastAsia="es-CO"/>
              </w:rPr>
              <w:t>Activity</w:t>
            </w:r>
          </w:p>
        </w:tc>
        <w:tc>
          <w:tcPr>
            <w:tcW w:w="2259" w:type="pct"/>
            <w:gridSpan w:val="5"/>
            <w:tcBorders>
              <w:top w:val="single" w:sz="4" w:space="0" w:color="auto"/>
              <w:left w:val="nil"/>
              <w:bottom w:val="single" w:sz="4" w:space="0" w:color="auto"/>
              <w:right w:val="single" w:sz="4" w:space="0" w:color="auto"/>
            </w:tcBorders>
            <w:shd w:val="clear" w:color="auto" w:fill="auto"/>
            <w:noWrap/>
            <w:vAlign w:val="bottom"/>
            <w:hideMark/>
          </w:tcPr>
          <w:p w:rsidR="008472BF" w:rsidRPr="008A63BA" w:rsidRDefault="00B578E1" w:rsidP="008472BF">
            <w:pPr>
              <w:spacing w:after="0" w:line="240" w:lineRule="auto"/>
              <w:jc w:val="center"/>
              <w:rPr>
                <w:rFonts w:asciiTheme="minorHAnsi" w:eastAsia="Times New Roman" w:hAnsiTheme="minorHAnsi" w:cs="Calibri"/>
                <w:b/>
                <w:sz w:val="20"/>
                <w:szCs w:val="20"/>
                <w:lang w:val="es-CO" w:eastAsia="es-CO"/>
              </w:rPr>
            </w:pPr>
            <w:r w:rsidRPr="008A63BA">
              <w:rPr>
                <w:rFonts w:asciiTheme="minorHAnsi" w:eastAsia="Times New Roman" w:hAnsiTheme="minorHAnsi" w:cs="Calibri"/>
                <w:b/>
                <w:sz w:val="20"/>
                <w:szCs w:val="20"/>
                <w:lang w:val="es-CO" w:eastAsia="es-CO"/>
              </w:rPr>
              <w:t xml:space="preserve">Original </w:t>
            </w:r>
            <w:r w:rsidR="00CB37CD">
              <w:rPr>
                <w:rFonts w:asciiTheme="minorHAnsi" w:eastAsia="Times New Roman" w:hAnsiTheme="minorHAnsi" w:cs="Calibri"/>
                <w:b/>
                <w:sz w:val="20"/>
                <w:szCs w:val="20"/>
                <w:lang w:val="es-CO" w:eastAsia="es-CO"/>
              </w:rPr>
              <w:t>C</w:t>
            </w:r>
            <w:r w:rsidRPr="008A63BA">
              <w:rPr>
                <w:rFonts w:asciiTheme="minorHAnsi" w:eastAsia="Times New Roman" w:hAnsiTheme="minorHAnsi" w:cs="Calibri"/>
                <w:b/>
                <w:sz w:val="20"/>
                <w:szCs w:val="20"/>
                <w:lang w:val="es-CO" w:eastAsia="es-CO"/>
              </w:rPr>
              <w:t>osts</w:t>
            </w:r>
          </w:p>
        </w:tc>
        <w:tc>
          <w:tcPr>
            <w:tcW w:w="916" w:type="pct"/>
            <w:gridSpan w:val="2"/>
            <w:tcBorders>
              <w:top w:val="single" w:sz="4" w:space="0" w:color="auto"/>
              <w:left w:val="nil"/>
              <w:bottom w:val="single" w:sz="4" w:space="0" w:color="auto"/>
              <w:right w:val="single" w:sz="4" w:space="0" w:color="auto"/>
            </w:tcBorders>
            <w:shd w:val="clear" w:color="auto" w:fill="auto"/>
            <w:noWrap/>
            <w:vAlign w:val="bottom"/>
            <w:hideMark/>
          </w:tcPr>
          <w:p w:rsidR="008472BF" w:rsidRPr="008A63BA" w:rsidRDefault="00B578E1" w:rsidP="008472BF">
            <w:pPr>
              <w:spacing w:after="0" w:line="240" w:lineRule="auto"/>
              <w:jc w:val="center"/>
              <w:rPr>
                <w:rFonts w:asciiTheme="minorHAnsi" w:eastAsia="Times New Roman" w:hAnsiTheme="minorHAnsi" w:cs="Calibri"/>
                <w:b/>
                <w:sz w:val="20"/>
                <w:szCs w:val="20"/>
                <w:lang w:val="es-CO" w:eastAsia="es-CO"/>
              </w:rPr>
            </w:pPr>
            <w:r w:rsidRPr="008A63BA">
              <w:rPr>
                <w:rFonts w:asciiTheme="minorHAnsi" w:eastAsia="Times New Roman" w:hAnsiTheme="minorHAnsi" w:cs="Calibri"/>
                <w:b/>
                <w:sz w:val="20"/>
                <w:szCs w:val="20"/>
                <w:lang w:val="es-CO" w:eastAsia="es-CO"/>
              </w:rPr>
              <w:t>Changes with AF</w:t>
            </w:r>
          </w:p>
        </w:tc>
        <w:tc>
          <w:tcPr>
            <w:tcW w:w="726" w:type="pct"/>
            <w:tcBorders>
              <w:top w:val="single" w:sz="4" w:space="0" w:color="auto"/>
              <w:left w:val="nil"/>
              <w:bottom w:val="single" w:sz="4" w:space="0" w:color="auto"/>
              <w:right w:val="single" w:sz="4" w:space="0" w:color="auto"/>
            </w:tcBorders>
            <w:shd w:val="clear" w:color="auto" w:fill="auto"/>
            <w:noWrap/>
            <w:vAlign w:val="bottom"/>
            <w:hideMark/>
          </w:tcPr>
          <w:p w:rsidR="008472BF" w:rsidRPr="008A63BA" w:rsidRDefault="00B578E1" w:rsidP="008472BF">
            <w:pPr>
              <w:spacing w:after="0" w:line="240" w:lineRule="auto"/>
              <w:jc w:val="center"/>
              <w:rPr>
                <w:rFonts w:asciiTheme="minorHAnsi" w:eastAsia="Times New Roman" w:hAnsiTheme="minorHAnsi" w:cs="Calibri"/>
                <w:b/>
                <w:sz w:val="20"/>
                <w:szCs w:val="20"/>
                <w:lang w:val="es-CO" w:eastAsia="es-CO"/>
              </w:rPr>
            </w:pPr>
            <w:r w:rsidRPr="008A63BA">
              <w:rPr>
                <w:rFonts w:asciiTheme="minorHAnsi" w:eastAsia="Times New Roman" w:hAnsiTheme="minorHAnsi" w:cs="Calibri"/>
                <w:b/>
                <w:sz w:val="20"/>
                <w:szCs w:val="20"/>
                <w:lang w:val="es-CO" w:eastAsia="es-CO"/>
              </w:rPr>
              <w:t xml:space="preserve">Revised </w:t>
            </w:r>
            <w:r w:rsidR="008A63BA">
              <w:rPr>
                <w:rFonts w:asciiTheme="minorHAnsi" w:eastAsia="Times New Roman" w:hAnsiTheme="minorHAnsi" w:cs="Calibri"/>
                <w:b/>
                <w:sz w:val="20"/>
                <w:szCs w:val="20"/>
                <w:lang w:val="es-CO" w:eastAsia="es-CO"/>
              </w:rPr>
              <w:t>C</w:t>
            </w:r>
            <w:r w:rsidRPr="008A63BA">
              <w:rPr>
                <w:rFonts w:asciiTheme="minorHAnsi" w:eastAsia="Times New Roman" w:hAnsiTheme="minorHAnsi" w:cs="Calibri"/>
                <w:b/>
                <w:sz w:val="20"/>
                <w:szCs w:val="20"/>
                <w:lang w:val="es-CO" w:eastAsia="es-CO"/>
              </w:rPr>
              <w:t>osts</w:t>
            </w:r>
          </w:p>
        </w:tc>
      </w:tr>
      <w:tr w:rsidR="0006032A" w:rsidTr="00CB37CD">
        <w:trPr>
          <w:trHeight w:val="20"/>
          <w:tblHeader/>
          <w:jc w:val="center"/>
        </w:trPr>
        <w:tc>
          <w:tcPr>
            <w:tcW w:w="1099" w:type="pct"/>
            <w:vMerge/>
            <w:tcBorders>
              <w:top w:val="single" w:sz="4" w:space="0" w:color="auto"/>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41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TFWBG</w:t>
            </w:r>
          </w:p>
        </w:tc>
        <w:tc>
          <w:tcPr>
            <w:tcW w:w="568" w:type="pct"/>
            <w:vMerge w:val="restart"/>
            <w:tcBorders>
              <w:top w:val="nil"/>
              <w:left w:val="single" w:sz="4" w:space="0" w:color="auto"/>
              <w:bottom w:val="single" w:sz="4" w:space="0" w:color="auto"/>
              <w:right w:val="single" w:sz="4" w:space="0" w:color="auto"/>
            </w:tcBorders>
            <w:shd w:val="clear" w:color="auto" w:fill="auto"/>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AFD (</w:t>
            </w:r>
            <w:r w:rsidR="00F66668">
              <w:rPr>
                <w:rFonts w:asciiTheme="minorHAnsi" w:eastAsia="Times New Roman" w:hAnsiTheme="minorHAnsi" w:cs="Calibri"/>
                <w:sz w:val="20"/>
                <w:szCs w:val="20"/>
                <w:lang w:val="es-CO" w:eastAsia="es-CO"/>
              </w:rPr>
              <w:t>P</w:t>
            </w:r>
            <w:r w:rsidRPr="008A63BA">
              <w:rPr>
                <w:rFonts w:asciiTheme="minorHAnsi" w:eastAsia="Times New Roman" w:hAnsiTheme="minorHAnsi" w:cs="Calibri"/>
                <w:sz w:val="20"/>
                <w:szCs w:val="20"/>
                <w:lang w:val="es-CO" w:eastAsia="es-CO"/>
              </w:rPr>
              <w:t xml:space="preserve">arallel </w:t>
            </w:r>
            <w:r w:rsidR="00F66668">
              <w:rPr>
                <w:rFonts w:asciiTheme="minorHAnsi" w:eastAsia="Times New Roman" w:hAnsiTheme="minorHAnsi" w:cs="Calibri"/>
                <w:sz w:val="20"/>
                <w:szCs w:val="20"/>
                <w:lang w:val="es-CO" w:eastAsia="es-CO"/>
              </w:rPr>
              <w:t>F</w:t>
            </w:r>
            <w:r w:rsidRPr="008A63BA">
              <w:rPr>
                <w:rFonts w:asciiTheme="minorHAnsi" w:eastAsia="Times New Roman" w:hAnsiTheme="minorHAnsi" w:cs="Calibri"/>
                <w:sz w:val="20"/>
                <w:szCs w:val="20"/>
                <w:lang w:val="es-CO" w:eastAsia="es-CO"/>
              </w:rPr>
              <w:t>inancing)</w:t>
            </w:r>
          </w:p>
        </w:tc>
        <w:tc>
          <w:tcPr>
            <w:tcW w:w="813" w:type="pct"/>
            <w:gridSpan w:val="2"/>
            <w:tcBorders>
              <w:top w:val="single" w:sz="4" w:space="0" w:color="auto"/>
              <w:left w:val="nil"/>
              <w:bottom w:val="single" w:sz="4" w:space="0" w:color="auto"/>
              <w:right w:val="single" w:sz="4" w:space="0" w:color="auto"/>
            </w:tcBorders>
            <w:shd w:val="clear" w:color="auto" w:fill="auto"/>
            <w:noWrap/>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 xml:space="preserve">PID MDTF </w:t>
            </w:r>
          </w:p>
        </w:tc>
        <w:tc>
          <w:tcPr>
            <w:tcW w:w="463" w:type="pct"/>
            <w:vMerge w:val="restart"/>
            <w:tcBorders>
              <w:top w:val="nil"/>
              <w:left w:val="single" w:sz="4" w:space="0" w:color="auto"/>
              <w:bottom w:val="single" w:sz="4" w:space="0" w:color="auto"/>
              <w:right w:val="single" w:sz="4" w:space="0" w:color="auto"/>
            </w:tcBorders>
            <w:shd w:val="clear" w:color="auto" w:fill="auto"/>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 xml:space="preserve">Total </w:t>
            </w:r>
            <w:r w:rsidR="00F66668">
              <w:rPr>
                <w:rFonts w:asciiTheme="minorHAnsi" w:eastAsia="Times New Roman" w:hAnsiTheme="minorHAnsi" w:cs="Calibri"/>
                <w:sz w:val="20"/>
                <w:szCs w:val="20"/>
                <w:lang w:val="es-CO" w:eastAsia="es-CO"/>
              </w:rPr>
              <w:t>(</w:t>
            </w:r>
            <w:r w:rsidR="009B4B53">
              <w:rPr>
                <w:rFonts w:asciiTheme="minorHAnsi" w:eastAsia="Times New Roman" w:hAnsiTheme="minorHAnsi" w:cs="Calibri"/>
                <w:sz w:val="20"/>
                <w:szCs w:val="20"/>
                <w:lang w:val="es-CO" w:eastAsia="es-CO"/>
              </w:rPr>
              <w:t>A</w:t>
            </w:r>
            <w:r w:rsidRPr="008A63BA">
              <w:rPr>
                <w:rFonts w:asciiTheme="minorHAnsi" w:eastAsia="Times New Roman" w:hAnsiTheme="minorHAnsi" w:cs="Calibri"/>
                <w:sz w:val="20"/>
                <w:szCs w:val="20"/>
                <w:lang w:val="es-CO" w:eastAsia="es-CO"/>
              </w:rPr>
              <w:t xml:space="preserve">ctual </w:t>
            </w:r>
            <w:r w:rsidR="009B4B53">
              <w:rPr>
                <w:rFonts w:asciiTheme="minorHAnsi" w:eastAsia="Times New Roman" w:hAnsiTheme="minorHAnsi" w:cs="Calibri"/>
                <w:sz w:val="20"/>
                <w:szCs w:val="20"/>
                <w:lang w:val="es-CO" w:eastAsia="es-CO"/>
              </w:rPr>
              <w:t>C</w:t>
            </w:r>
            <w:r w:rsidRPr="008A63BA">
              <w:rPr>
                <w:rFonts w:asciiTheme="minorHAnsi" w:eastAsia="Times New Roman" w:hAnsiTheme="minorHAnsi" w:cs="Calibri"/>
                <w:sz w:val="20"/>
                <w:szCs w:val="20"/>
                <w:lang w:val="es-CO" w:eastAsia="es-CO"/>
              </w:rPr>
              <w:t>ost</w:t>
            </w:r>
            <w:r w:rsidR="00F66668">
              <w:rPr>
                <w:rFonts w:asciiTheme="minorHAnsi" w:eastAsia="Times New Roman" w:hAnsiTheme="minorHAnsi" w:cs="Calibri"/>
                <w:sz w:val="20"/>
                <w:szCs w:val="20"/>
                <w:lang w:val="es-CO" w:eastAsia="es-CO"/>
              </w:rPr>
              <w:t>)</w:t>
            </w:r>
          </w:p>
        </w:tc>
        <w:tc>
          <w:tcPr>
            <w:tcW w:w="452" w:type="pct"/>
            <w:vMerge w:val="restart"/>
            <w:tcBorders>
              <w:top w:val="nil"/>
              <w:left w:val="single" w:sz="4" w:space="0" w:color="auto"/>
              <w:bottom w:val="single" w:sz="4" w:space="0" w:color="auto"/>
              <w:right w:val="single" w:sz="4" w:space="0" w:color="auto"/>
            </w:tcBorders>
            <w:shd w:val="clear" w:color="auto" w:fill="auto"/>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AF PID MDTF</w:t>
            </w:r>
          </w:p>
        </w:tc>
        <w:tc>
          <w:tcPr>
            <w:tcW w:w="464" w:type="pct"/>
            <w:vMerge w:val="restart"/>
            <w:tcBorders>
              <w:top w:val="nil"/>
              <w:left w:val="single" w:sz="4" w:space="0" w:color="auto"/>
              <w:bottom w:val="single" w:sz="4" w:space="0" w:color="auto"/>
              <w:right w:val="single" w:sz="4" w:space="0" w:color="auto"/>
            </w:tcBorders>
            <w:shd w:val="clear" w:color="auto" w:fill="auto"/>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AF GIZ (Parallel)</w:t>
            </w:r>
          </w:p>
        </w:tc>
        <w:tc>
          <w:tcPr>
            <w:tcW w:w="726" w:type="pct"/>
            <w:vMerge w:val="restart"/>
            <w:tcBorders>
              <w:top w:val="nil"/>
              <w:left w:val="single" w:sz="4" w:space="0" w:color="auto"/>
              <w:bottom w:val="single" w:sz="4" w:space="0" w:color="auto"/>
              <w:right w:val="single" w:sz="4" w:space="0" w:color="auto"/>
            </w:tcBorders>
            <w:shd w:val="clear" w:color="auto" w:fill="auto"/>
            <w:vAlign w:val="center"/>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 xml:space="preserve">Total with AF </w:t>
            </w:r>
          </w:p>
        </w:tc>
      </w:tr>
      <w:tr w:rsidR="0006032A" w:rsidTr="00CB37CD">
        <w:trPr>
          <w:trHeight w:val="20"/>
          <w:tblHeader/>
          <w:jc w:val="center"/>
        </w:trPr>
        <w:tc>
          <w:tcPr>
            <w:tcW w:w="1099" w:type="pct"/>
            <w:vMerge/>
            <w:tcBorders>
              <w:top w:val="single" w:sz="4" w:space="0" w:color="auto"/>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415"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568"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456" w:type="pct"/>
            <w:tcBorders>
              <w:top w:val="nil"/>
              <w:left w:val="nil"/>
              <w:bottom w:val="single" w:sz="4" w:space="0" w:color="auto"/>
              <w:right w:val="single" w:sz="4" w:space="0" w:color="auto"/>
            </w:tcBorders>
            <w:shd w:val="clear" w:color="auto" w:fill="auto"/>
            <w:noWrap/>
            <w:vAlign w:val="bottom"/>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Planned</w:t>
            </w:r>
          </w:p>
        </w:tc>
        <w:tc>
          <w:tcPr>
            <w:tcW w:w="357" w:type="pct"/>
            <w:tcBorders>
              <w:top w:val="nil"/>
              <w:left w:val="nil"/>
              <w:bottom w:val="single" w:sz="4" w:space="0" w:color="auto"/>
              <w:right w:val="single" w:sz="4" w:space="0" w:color="auto"/>
            </w:tcBorders>
            <w:shd w:val="clear" w:color="auto" w:fill="auto"/>
            <w:noWrap/>
            <w:vAlign w:val="bottom"/>
            <w:hideMark/>
          </w:tcPr>
          <w:p w:rsidR="008472BF" w:rsidRPr="008A63BA" w:rsidRDefault="00B578E1" w:rsidP="008472BF">
            <w:pPr>
              <w:spacing w:after="0" w:line="240" w:lineRule="auto"/>
              <w:jc w:val="center"/>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Actual</w:t>
            </w:r>
          </w:p>
        </w:tc>
        <w:tc>
          <w:tcPr>
            <w:tcW w:w="463"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452"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464"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c>
          <w:tcPr>
            <w:tcW w:w="726" w:type="pct"/>
            <w:vMerge/>
            <w:tcBorders>
              <w:top w:val="nil"/>
              <w:left w:val="single" w:sz="4" w:space="0" w:color="auto"/>
              <w:bottom w:val="single" w:sz="4" w:space="0" w:color="auto"/>
              <w:right w:val="single" w:sz="4" w:space="0" w:color="auto"/>
            </w:tcBorders>
            <w:vAlign w:val="center"/>
            <w:hideMark/>
          </w:tcPr>
          <w:p w:rsidR="008472BF" w:rsidRPr="008A63BA" w:rsidRDefault="008472BF" w:rsidP="008472BF">
            <w:pPr>
              <w:spacing w:after="0" w:line="240" w:lineRule="auto"/>
              <w:rPr>
                <w:rFonts w:asciiTheme="minorHAnsi" w:eastAsia="Times New Roman" w:hAnsiTheme="minorHAnsi" w:cs="Calibri"/>
                <w:sz w:val="20"/>
                <w:szCs w:val="20"/>
                <w:lang w:val="es-CO" w:eastAsia="es-CO"/>
              </w:rPr>
            </w:pP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8A63BA" w:rsidRDefault="00B578E1" w:rsidP="008472BF">
            <w:pPr>
              <w:spacing w:after="0" w:line="240" w:lineRule="auto"/>
              <w:rPr>
                <w:rFonts w:asciiTheme="minorHAnsi" w:eastAsia="Times New Roman" w:hAnsiTheme="minorHAnsi" w:cs="Calibri"/>
                <w:b/>
                <w:sz w:val="20"/>
                <w:szCs w:val="20"/>
                <w:lang w:eastAsia="es-CO"/>
              </w:rPr>
            </w:pPr>
            <w:r w:rsidRPr="008A63BA">
              <w:rPr>
                <w:rFonts w:asciiTheme="minorHAnsi" w:eastAsia="Times New Roman" w:hAnsiTheme="minorHAnsi" w:cs="Calibri"/>
                <w:b/>
                <w:sz w:val="20"/>
                <w:szCs w:val="20"/>
                <w:lang w:eastAsia="es-CO"/>
              </w:rPr>
              <w:t>Comp</w:t>
            </w:r>
            <w:r w:rsidR="00B25671">
              <w:rPr>
                <w:rFonts w:asciiTheme="minorHAnsi" w:eastAsia="Times New Roman" w:hAnsiTheme="minorHAnsi" w:cs="Calibri"/>
                <w:b/>
                <w:sz w:val="20"/>
                <w:szCs w:val="20"/>
                <w:lang w:eastAsia="es-CO"/>
              </w:rPr>
              <w:t>onent</w:t>
            </w:r>
            <w:r w:rsidRPr="008A63BA">
              <w:rPr>
                <w:rFonts w:asciiTheme="minorHAnsi" w:eastAsia="Times New Roman" w:hAnsiTheme="minorHAnsi" w:cs="Calibri"/>
                <w:b/>
                <w:sz w:val="20"/>
                <w:szCs w:val="20"/>
                <w:lang w:eastAsia="es-CO"/>
              </w:rPr>
              <w:t xml:space="preserve"> 1</w:t>
            </w:r>
            <w:r w:rsidR="00B25671">
              <w:rPr>
                <w:rFonts w:asciiTheme="minorHAnsi" w:eastAsia="Times New Roman" w:hAnsiTheme="minorHAnsi" w:cs="Calibri"/>
                <w:b/>
                <w:sz w:val="20"/>
                <w:szCs w:val="20"/>
                <w:lang w:eastAsia="es-CO"/>
              </w:rPr>
              <w:t>:</w:t>
            </w:r>
            <w:r w:rsidR="00CB37CD">
              <w:rPr>
                <w:rFonts w:asciiTheme="minorHAnsi" w:eastAsia="Times New Roman" w:hAnsiTheme="minorHAnsi" w:cs="Calibri"/>
                <w:b/>
                <w:sz w:val="20"/>
                <w:szCs w:val="20"/>
                <w:lang w:eastAsia="es-CO"/>
              </w:rPr>
              <w:t xml:space="preserve"> </w:t>
            </w:r>
            <w:r w:rsidRPr="008A63BA">
              <w:rPr>
                <w:rFonts w:asciiTheme="minorHAnsi" w:eastAsia="Times New Roman" w:hAnsiTheme="minorHAnsi" w:cs="Calibri"/>
                <w:b/>
                <w:sz w:val="20"/>
                <w:szCs w:val="20"/>
                <w:lang w:eastAsia="es-CO"/>
              </w:rPr>
              <w:t xml:space="preserve">Advisory </w:t>
            </w:r>
            <w:r w:rsidR="00DF6826">
              <w:rPr>
                <w:rFonts w:asciiTheme="minorHAnsi" w:eastAsia="Times New Roman" w:hAnsiTheme="minorHAnsi" w:cs="Calibri"/>
                <w:b/>
                <w:sz w:val="20"/>
                <w:szCs w:val="20"/>
                <w:lang w:eastAsia="es-CO"/>
              </w:rPr>
              <w:t>services</w:t>
            </w:r>
            <w:r w:rsidRPr="008A63BA">
              <w:rPr>
                <w:rFonts w:asciiTheme="minorHAnsi" w:eastAsia="Times New Roman" w:hAnsiTheme="minorHAnsi" w:cs="Calibri"/>
                <w:b/>
                <w:sz w:val="20"/>
                <w:szCs w:val="20"/>
                <w:lang w:eastAsia="es-CO"/>
              </w:rPr>
              <w:t xml:space="preserve">, technical assistance, and capacity building </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2.1</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1.4</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1.4</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0.8</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4.3</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0.7</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5</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8A63BA" w:rsidRDefault="00B578E1" w:rsidP="008472BF">
            <w:pPr>
              <w:spacing w:after="0" w:line="240" w:lineRule="auto"/>
              <w:rPr>
                <w:rFonts w:asciiTheme="minorHAnsi" w:eastAsia="Times New Roman" w:hAnsiTheme="minorHAnsi" w:cs="Calibri"/>
                <w:b/>
                <w:sz w:val="20"/>
                <w:szCs w:val="20"/>
                <w:lang w:eastAsia="es-CO"/>
              </w:rPr>
            </w:pPr>
            <w:r w:rsidRPr="008A63BA">
              <w:rPr>
                <w:rFonts w:asciiTheme="minorHAnsi" w:eastAsia="Times New Roman" w:hAnsiTheme="minorHAnsi" w:cs="Calibri"/>
                <w:b/>
                <w:sz w:val="20"/>
                <w:szCs w:val="20"/>
                <w:lang w:eastAsia="es-CO"/>
              </w:rPr>
              <w:lastRenderedPageBreak/>
              <w:t>Comp</w:t>
            </w:r>
            <w:r w:rsidR="00B25671">
              <w:rPr>
                <w:rFonts w:asciiTheme="minorHAnsi" w:eastAsia="Times New Roman" w:hAnsiTheme="minorHAnsi" w:cs="Calibri"/>
                <w:b/>
                <w:sz w:val="20"/>
                <w:szCs w:val="20"/>
                <w:lang w:eastAsia="es-CO"/>
              </w:rPr>
              <w:t xml:space="preserve">onent </w:t>
            </w:r>
            <w:r w:rsidRPr="008A63BA">
              <w:rPr>
                <w:rFonts w:asciiTheme="minorHAnsi" w:eastAsia="Times New Roman" w:hAnsiTheme="minorHAnsi" w:cs="Calibri"/>
                <w:b/>
                <w:sz w:val="20"/>
                <w:szCs w:val="20"/>
                <w:lang w:eastAsia="es-CO"/>
              </w:rPr>
              <w:t>2</w:t>
            </w:r>
            <w:r w:rsidR="00B25671">
              <w:rPr>
                <w:rFonts w:asciiTheme="minorHAnsi" w:eastAsia="Times New Roman" w:hAnsiTheme="minorHAnsi" w:cs="Calibri"/>
                <w:b/>
                <w:sz w:val="20"/>
                <w:szCs w:val="20"/>
                <w:lang w:eastAsia="es-CO"/>
              </w:rPr>
              <w:t>:</w:t>
            </w:r>
            <w:r w:rsidRPr="008A63BA">
              <w:rPr>
                <w:rFonts w:asciiTheme="minorHAnsi" w:eastAsia="Times New Roman" w:hAnsiTheme="minorHAnsi" w:cs="Calibri"/>
                <w:b/>
                <w:sz w:val="20"/>
                <w:szCs w:val="20"/>
                <w:lang w:eastAsia="es-CO"/>
              </w:rPr>
              <w:t xml:space="preserve"> Supplementary</w:t>
            </w:r>
            <w:r w:rsidRPr="008A63BA">
              <w:rPr>
                <w:rFonts w:asciiTheme="minorHAnsi" w:eastAsia="Times New Roman" w:hAnsiTheme="minorHAnsi" w:cs="Calibri"/>
                <w:b/>
                <w:sz w:val="20"/>
                <w:szCs w:val="20"/>
                <w:lang w:eastAsia="es-CO"/>
              </w:rPr>
              <w:br/>
              <w:t>Assistance for Studies,</w:t>
            </w:r>
            <w:r w:rsidRPr="008A63BA">
              <w:rPr>
                <w:rFonts w:asciiTheme="minorHAnsi" w:eastAsia="Times New Roman" w:hAnsiTheme="minorHAnsi" w:cs="Calibri"/>
                <w:b/>
                <w:sz w:val="20"/>
                <w:szCs w:val="20"/>
                <w:lang w:eastAsia="es-CO"/>
              </w:rPr>
              <w:br/>
              <w:t>Training and Institutional</w:t>
            </w:r>
            <w:r w:rsidRPr="008A63BA">
              <w:rPr>
                <w:rFonts w:asciiTheme="minorHAnsi" w:eastAsia="Times New Roman" w:hAnsiTheme="minorHAnsi" w:cs="Calibri"/>
                <w:b/>
                <w:sz w:val="20"/>
                <w:szCs w:val="20"/>
                <w:lang w:eastAsia="es-CO"/>
              </w:rPr>
              <w:br/>
              <w:t>Building</w:t>
            </w:r>
            <w:r w:rsidR="00DF6826">
              <w:rPr>
                <w:rFonts w:asciiTheme="minorHAnsi" w:eastAsia="Times New Roman" w:hAnsiTheme="minorHAnsi" w:cs="Calibri"/>
                <w:b/>
                <w:sz w:val="20"/>
                <w:szCs w:val="20"/>
                <w:lang w:eastAsia="es-CO"/>
              </w:rPr>
              <w:t xml:space="preserve"> of the WSRC</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0.1</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0.2</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0.2</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0.2</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0.6</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1.2</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6413FA" w:rsidRDefault="00B578E1" w:rsidP="008472BF">
            <w:pPr>
              <w:spacing w:after="0" w:line="240" w:lineRule="auto"/>
              <w:rPr>
                <w:rFonts w:asciiTheme="minorHAnsi" w:eastAsia="Times New Roman" w:hAnsiTheme="minorHAnsi" w:cs="Calibri"/>
                <w:sz w:val="20"/>
                <w:szCs w:val="20"/>
                <w:lang w:eastAsia="es-CO"/>
              </w:rPr>
            </w:pPr>
            <w:r>
              <w:rPr>
                <w:rFonts w:asciiTheme="minorHAnsi" w:eastAsia="Times New Roman" w:hAnsiTheme="minorHAnsi" w:cs="Calibri"/>
                <w:sz w:val="20"/>
                <w:szCs w:val="20"/>
                <w:lang w:eastAsia="es-CO"/>
              </w:rPr>
              <w:t>Subc</w:t>
            </w:r>
            <w:r w:rsidRPr="006413FA">
              <w:rPr>
                <w:rFonts w:asciiTheme="minorHAnsi" w:eastAsia="Times New Roman" w:hAnsiTheme="minorHAnsi" w:cs="Calibri"/>
                <w:sz w:val="20"/>
                <w:szCs w:val="20"/>
                <w:lang w:eastAsia="es-CO"/>
              </w:rPr>
              <w:t>omp</w:t>
            </w:r>
            <w:r w:rsidR="00B25671" w:rsidRPr="006413FA">
              <w:rPr>
                <w:rFonts w:asciiTheme="minorHAnsi" w:eastAsia="Times New Roman" w:hAnsiTheme="minorHAnsi" w:cs="Calibri"/>
                <w:sz w:val="20"/>
                <w:szCs w:val="20"/>
                <w:lang w:eastAsia="es-CO"/>
              </w:rPr>
              <w:t>onent</w:t>
            </w:r>
            <w:r w:rsidRPr="006413FA">
              <w:rPr>
                <w:rFonts w:asciiTheme="minorHAnsi" w:eastAsia="Times New Roman" w:hAnsiTheme="minorHAnsi" w:cs="Calibri"/>
                <w:sz w:val="20"/>
                <w:szCs w:val="20"/>
                <w:lang w:eastAsia="es-CO"/>
              </w:rPr>
              <w:t xml:space="preserve"> 2a</w:t>
            </w:r>
            <w:r w:rsidR="00B25671" w:rsidRPr="006413FA">
              <w:rPr>
                <w:rFonts w:asciiTheme="minorHAnsi" w:eastAsia="Times New Roman" w:hAnsiTheme="minorHAnsi" w:cs="Calibri"/>
                <w:sz w:val="20"/>
                <w:szCs w:val="20"/>
                <w:lang w:eastAsia="es-CO"/>
              </w:rPr>
              <w:t>:</w:t>
            </w:r>
            <w:r w:rsidRPr="006413FA">
              <w:rPr>
                <w:rFonts w:asciiTheme="minorHAnsi" w:eastAsia="Times New Roman" w:hAnsiTheme="minorHAnsi" w:cs="Calibri"/>
                <w:sz w:val="20"/>
                <w:szCs w:val="20"/>
                <w:lang w:eastAsia="es-CO"/>
              </w:rPr>
              <w:t xml:space="preserve"> Studies </w:t>
            </w:r>
            <w:r w:rsidR="00B25671" w:rsidRPr="006413FA">
              <w:rPr>
                <w:rFonts w:asciiTheme="minorHAnsi" w:eastAsia="Times New Roman" w:hAnsiTheme="minorHAnsi" w:cs="Calibri"/>
                <w:sz w:val="20"/>
                <w:szCs w:val="20"/>
                <w:lang w:eastAsia="es-CO"/>
              </w:rPr>
              <w:t>and</w:t>
            </w:r>
            <w:r w:rsidRPr="006413FA">
              <w:rPr>
                <w:rFonts w:asciiTheme="minorHAnsi" w:eastAsia="Times New Roman" w:hAnsiTheme="minorHAnsi" w:cs="Calibri"/>
                <w:sz w:val="20"/>
                <w:szCs w:val="20"/>
                <w:lang w:eastAsia="es-CO"/>
              </w:rPr>
              <w:t xml:space="preserve"> Training</w:t>
            </w:r>
            <w:r w:rsidRPr="006413FA">
              <w:rPr>
                <w:rFonts w:asciiTheme="minorHAnsi" w:eastAsia="Times New Roman" w:hAnsiTheme="minorHAnsi" w:cs="Calibri"/>
                <w:sz w:val="20"/>
                <w:szCs w:val="20"/>
                <w:lang w:eastAsia="es-CO"/>
              </w:rPr>
              <w:br/>
              <w:t>Fund</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0.1</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0.2</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0.2</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6413FA" w:rsidRDefault="00B578E1" w:rsidP="008472BF">
            <w:pPr>
              <w:spacing w:after="0" w:line="240" w:lineRule="auto"/>
              <w:rPr>
                <w:rFonts w:asciiTheme="minorHAnsi" w:eastAsia="Times New Roman" w:hAnsiTheme="minorHAnsi" w:cs="Calibri"/>
                <w:sz w:val="20"/>
                <w:szCs w:val="20"/>
                <w:lang w:eastAsia="es-CO"/>
              </w:rPr>
            </w:pPr>
            <w:r>
              <w:rPr>
                <w:rFonts w:asciiTheme="minorHAnsi" w:eastAsia="Times New Roman" w:hAnsiTheme="minorHAnsi" w:cs="Calibri"/>
                <w:sz w:val="20"/>
                <w:szCs w:val="20"/>
                <w:lang w:eastAsia="es-CO"/>
              </w:rPr>
              <w:t>Subc</w:t>
            </w:r>
            <w:r w:rsidRPr="006413FA">
              <w:rPr>
                <w:rFonts w:asciiTheme="minorHAnsi" w:eastAsia="Times New Roman" w:hAnsiTheme="minorHAnsi" w:cs="Calibri"/>
                <w:sz w:val="20"/>
                <w:szCs w:val="20"/>
                <w:lang w:eastAsia="es-CO"/>
              </w:rPr>
              <w:t>omp</w:t>
            </w:r>
            <w:r w:rsidR="00B25671" w:rsidRPr="006413FA">
              <w:rPr>
                <w:rFonts w:asciiTheme="minorHAnsi" w:eastAsia="Times New Roman" w:hAnsiTheme="minorHAnsi" w:cs="Calibri"/>
                <w:sz w:val="20"/>
                <w:szCs w:val="20"/>
                <w:lang w:eastAsia="es-CO"/>
              </w:rPr>
              <w:t>onent</w:t>
            </w:r>
            <w:r w:rsidRPr="006413FA">
              <w:rPr>
                <w:rFonts w:asciiTheme="minorHAnsi" w:eastAsia="Times New Roman" w:hAnsiTheme="minorHAnsi" w:cs="Calibri"/>
                <w:sz w:val="20"/>
                <w:szCs w:val="20"/>
                <w:lang w:eastAsia="es-CO"/>
              </w:rPr>
              <w:t xml:space="preserve"> 2b</w:t>
            </w:r>
            <w:r w:rsidR="00B25671" w:rsidRPr="006413FA">
              <w:rPr>
                <w:rFonts w:asciiTheme="minorHAnsi" w:eastAsia="Times New Roman" w:hAnsiTheme="minorHAnsi" w:cs="Calibri"/>
                <w:sz w:val="20"/>
                <w:szCs w:val="20"/>
                <w:lang w:eastAsia="es-CO"/>
              </w:rPr>
              <w:t>:</w:t>
            </w:r>
            <w:r w:rsidRPr="006413FA">
              <w:rPr>
                <w:rFonts w:asciiTheme="minorHAnsi" w:eastAsia="Times New Roman" w:hAnsiTheme="minorHAnsi" w:cs="Calibri"/>
                <w:sz w:val="20"/>
                <w:szCs w:val="20"/>
                <w:lang w:eastAsia="es-CO"/>
              </w:rPr>
              <w:t xml:space="preserve"> Institutional</w:t>
            </w:r>
            <w:r w:rsidRPr="006413FA">
              <w:rPr>
                <w:rFonts w:asciiTheme="minorHAnsi" w:eastAsia="Times New Roman" w:hAnsiTheme="minorHAnsi" w:cs="Calibri"/>
                <w:sz w:val="20"/>
                <w:szCs w:val="20"/>
                <w:lang w:eastAsia="es-CO"/>
              </w:rPr>
              <w:br/>
              <w:t>Build</w:t>
            </w:r>
            <w:r w:rsidR="00B25671" w:rsidRPr="006413FA">
              <w:rPr>
                <w:rFonts w:asciiTheme="minorHAnsi" w:eastAsia="Times New Roman" w:hAnsiTheme="minorHAnsi" w:cs="Calibri"/>
                <w:sz w:val="20"/>
                <w:szCs w:val="20"/>
                <w:lang w:eastAsia="es-CO"/>
              </w:rPr>
              <w:t>i</w:t>
            </w:r>
            <w:r w:rsidRPr="006413FA">
              <w:rPr>
                <w:rFonts w:asciiTheme="minorHAnsi" w:eastAsia="Times New Roman" w:hAnsiTheme="minorHAnsi" w:cs="Calibri"/>
                <w:sz w:val="20"/>
                <w:szCs w:val="20"/>
                <w:lang w:eastAsia="es-CO"/>
              </w:rPr>
              <w:t>ng of the WSRC</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0.6</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0.9</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8A63BA" w:rsidRDefault="00B578E1" w:rsidP="008472BF">
            <w:pPr>
              <w:spacing w:after="0" w:line="240" w:lineRule="auto"/>
              <w:rPr>
                <w:rFonts w:asciiTheme="minorHAnsi" w:eastAsia="Times New Roman" w:hAnsiTheme="minorHAnsi" w:cs="Calibri"/>
                <w:b/>
                <w:sz w:val="20"/>
                <w:szCs w:val="20"/>
                <w:lang w:val="es-CO" w:eastAsia="es-CO"/>
              </w:rPr>
            </w:pPr>
            <w:r w:rsidRPr="008A63BA">
              <w:rPr>
                <w:rFonts w:asciiTheme="minorHAnsi" w:eastAsia="Times New Roman" w:hAnsiTheme="minorHAnsi" w:cs="Calibri"/>
                <w:b/>
                <w:sz w:val="20"/>
                <w:szCs w:val="20"/>
                <w:lang w:val="es-CO" w:eastAsia="es-CO"/>
              </w:rPr>
              <w:t>Comp</w:t>
            </w:r>
            <w:r w:rsidR="00B25671">
              <w:rPr>
                <w:rFonts w:asciiTheme="minorHAnsi" w:eastAsia="Times New Roman" w:hAnsiTheme="minorHAnsi" w:cs="Calibri"/>
                <w:b/>
                <w:sz w:val="20"/>
                <w:szCs w:val="20"/>
                <w:lang w:val="es-CO" w:eastAsia="es-CO"/>
              </w:rPr>
              <w:t>onent</w:t>
            </w:r>
            <w:r w:rsidRPr="008A63BA">
              <w:rPr>
                <w:rFonts w:asciiTheme="minorHAnsi" w:eastAsia="Times New Roman" w:hAnsiTheme="minorHAnsi" w:cs="Calibri"/>
                <w:b/>
                <w:sz w:val="20"/>
                <w:szCs w:val="20"/>
                <w:lang w:val="es-CO" w:eastAsia="es-CO"/>
              </w:rPr>
              <w:t xml:space="preserve"> 3</w:t>
            </w:r>
            <w:r w:rsidR="00B25671">
              <w:rPr>
                <w:rFonts w:asciiTheme="minorHAnsi" w:eastAsia="Times New Roman" w:hAnsiTheme="minorHAnsi" w:cs="Calibri"/>
                <w:b/>
                <w:sz w:val="20"/>
                <w:szCs w:val="20"/>
                <w:lang w:val="es-CO" w:eastAsia="es-CO"/>
              </w:rPr>
              <w:t>:</w:t>
            </w:r>
            <w:r w:rsidRPr="008A63BA">
              <w:rPr>
                <w:rFonts w:asciiTheme="minorHAnsi" w:eastAsia="Times New Roman" w:hAnsiTheme="minorHAnsi" w:cs="Calibri"/>
                <w:b/>
                <w:sz w:val="20"/>
                <w:szCs w:val="20"/>
                <w:lang w:val="es-CO" w:eastAsia="es-CO"/>
              </w:rPr>
              <w:t xml:space="preserve"> Project</w:t>
            </w:r>
            <w:r w:rsidRPr="008A63BA">
              <w:rPr>
                <w:rFonts w:asciiTheme="minorHAnsi" w:eastAsia="Times New Roman" w:hAnsiTheme="minorHAnsi" w:cs="Calibri"/>
                <w:b/>
                <w:sz w:val="20"/>
                <w:szCs w:val="20"/>
                <w:lang w:val="es-CO" w:eastAsia="es-CO"/>
              </w:rPr>
              <w:br/>
              <w:t>Management</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0.8</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0.8</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0.7</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1.5</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6413FA" w:rsidRDefault="00B578E1" w:rsidP="008472BF">
            <w:pPr>
              <w:spacing w:after="0" w:line="240" w:lineRule="auto"/>
              <w:rPr>
                <w:rFonts w:asciiTheme="minorHAnsi" w:eastAsia="Times New Roman" w:hAnsiTheme="minorHAnsi" w:cs="Calibri"/>
                <w:sz w:val="20"/>
                <w:szCs w:val="20"/>
                <w:lang w:eastAsia="es-CO"/>
              </w:rPr>
            </w:pPr>
            <w:r>
              <w:rPr>
                <w:rFonts w:asciiTheme="minorHAnsi" w:eastAsia="Times New Roman" w:hAnsiTheme="minorHAnsi" w:cs="Calibri"/>
                <w:sz w:val="20"/>
                <w:szCs w:val="20"/>
                <w:lang w:eastAsia="es-CO"/>
              </w:rPr>
              <w:t>Original project</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0.8</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0.8</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1.1</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6413FA" w:rsidRDefault="00B578E1" w:rsidP="008472BF">
            <w:pPr>
              <w:spacing w:after="0" w:line="240" w:lineRule="auto"/>
              <w:rPr>
                <w:rFonts w:asciiTheme="minorHAnsi" w:eastAsia="Times New Roman" w:hAnsiTheme="minorHAnsi" w:cs="Calibri"/>
                <w:sz w:val="20"/>
                <w:szCs w:val="20"/>
                <w:lang w:val="es-CO" w:eastAsia="es-CO"/>
              </w:rPr>
            </w:pPr>
            <w:r>
              <w:rPr>
                <w:rFonts w:asciiTheme="minorHAnsi" w:eastAsia="Times New Roman" w:hAnsiTheme="minorHAnsi" w:cs="Calibri"/>
                <w:sz w:val="20"/>
                <w:szCs w:val="20"/>
                <w:lang w:val="es-CO" w:eastAsia="es-CO"/>
              </w:rPr>
              <w:t>Additional financing</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0.4</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0.4</w:t>
            </w:r>
          </w:p>
        </w:tc>
      </w:tr>
      <w:tr w:rsidR="0006032A" w:rsidTr="00CB37CD">
        <w:trPr>
          <w:trHeight w:val="20"/>
          <w:jc w:val="center"/>
        </w:trPr>
        <w:tc>
          <w:tcPr>
            <w:tcW w:w="1099" w:type="pct"/>
            <w:tcBorders>
              <w:top w:val="nil"/>
              <w:left w:val="single" w:sz="4" w:space="0" w:color="auto"/>
              <w:bottom w:val="single" w:sz="4" w:space="0" w:color="auto"/>
              <w:right w:val="single" w:sz="4" w:space="0" w:color="auto"/>
            </w:tcBorders>
            <w:shd w:val="clear" w:color="auto" w:fill="auto"/>
            <w:vAlign w:val="bottom"/>
            <w:hideMark/>
          </w:tcPr>
          <w:p w:rsidR="008472BF" w:rsidRPr="008A63BA" w:rsidRDefault="00B578E1" w:rsidP="008472BF">
            <w:pPr>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Total</w:t>
            </w:r>
          </w:p>
        </w:tc>
        <w:tc>
          <w:tcPr>
            <w:tcW w:w="415"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3</w:t>
            </w:r>
          </w:p>
        </w:tc>
        <w:tc>
          <w:tcPr>
            <w:tcW w:w="568"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1.4</w:t>
            </w:r>
          </w:p>
        </w:tc>
        <w:tc>
          <w:tcPr>
            <w:tcW w:w="45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1.6</w:t>
            </w:r>
          </w:p>
        </w:tc>
        <w:tc>
          <w:tcPr>
            <w:tcW w:w="357"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1</w:t>
            </w:r>
          </w:p>
        </w:tc>
        <w:tc>
          <w:tcPr>
            <w:tcW w:w="463"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5.4</w:t>
            </w:r>
          </w:p>
        </w:tc>
        <w:tc>
          <w:tcPr>
            <w:tcW w:w="452"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2</w:t>
            </w:r>
          </w:p>
        </w:tc>
        <w:tc>
          <w:tcPr>
            <w:tcW w:w="464"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0.3</w:t>
            </w:r>
          </w:p>
        </w:tc>
        <w:tc>
          <w:tcPr>
            <w:tcW w:w="726" w:type="pct"/>
            <w:tcBorders>
              <w:top w:val="nil"/>
              <w:left w:val="nil"/>
              <w:bottom w:val="single" w:sz="4" w:space="0" w:color="auto"/>
              <w:right w:val="single" w:sz="4" w:space="0" w:color="auto"/>
            </w:tcBorders>
            <w:shd w:val="clear" w:color="auto" w:fill="auto"/>
            <w:noWrap/>
            <w:vAlign w:val="center"/>
            <w:hideMark/>
          </w:tcPr>
          <w:p w:rsidR="008472BF" w:rsidRPr="008A63BA" w:rsidRDefault="00B578E1" w:rsidP="008A63BA">
            <w:pPr>
              <w:tabs>
                <w:tab w:val="decimal" w:pos="352"/>
              </w:tabs>
              <w:spacing w:after="0" w:line="240" w:lineRule="auto"/>
              <w:rPr>
                <w:rFonts w:asciiTheme="minorHAnsi" w:eastAsia="Times New Roman" w:hAnsiTheme="minorHAnsi" w:cs="Calibri"/>
                <w:sz w:val="20"/>
                <w:szCs w:val="20"/>
                <w:lang w:val="es-CO" w:eastAsia="es-CO"/>
              </w:rPr>
            </w:pPr>
            <w:r w:rsidRPr="008A63BA">
              <w:rPr>
                <w:rFonts w:asciiTheme="minorHAnsi" w:eastAsia="Times New Roman" w:hAnsiTheme="minorHAnsi" w:cs="Calibri"/>
                <w:sz w:val="20"/>
                <w:szCs w:val="20"/>
                <w:lang w:val="es-CO" w:eastAsia="es-CO"/>
              </w:rPr>
              <w:t>7.7</w:t>
            </w:r>
          </w:p>
        </w:tc>
      </w:tr>
    </w:tbl>
    <w:p w:rsidR="009B4B53" w:rsidRPr="009B4B53" w:rsidRDefault="00B578E1" w:rsidP="00667D04">
      <w:pPr>
        <w:spacing w:after="240" w:line="240" w:lineRule="auto"/>
        <w:rPr>
          <w:rFonts w:asciiTheme="minorHAnsi" w:hAnsiTheme="minorHAnsi" w:cstheme="minorHAnsi"/>
          <w:sz w:val="20"/>
          <w:szCs w:val="20"/>
        </w:rPr>
      </w:pPr>
      <w:r w:rsidRPr="009B4B53">
        <w:rPr>
          <w:rFonts w:asciiTheme="minorHAnsi" w:hAnsiTheme="minorHAnsi" w:cstheme="minorHAnsi"/>
          <w:i/>
          <w:sz w:val="20"/>
          <w:szCs w:val="20"/>
        </w:rPr>
        <w:t>Note:</w:t>
      </w:r>
      <w:r w:rsidRPr="009B4B53">
        <w:rPr>
          <w:rFonts w:asciiTheme="minorHAnsi" w:hAnsiTheme="minorHAnsi" w:cstheme="minorHAnsi"/>
          <w:sz w:val="20"/>
          <w:szCs w:val="20"/>
        </w:rPr>
        <w:t xml:space="preserve"> </w:t>
      </w:r>
      <w:r w:rsidRPr="006961EE">
        <w:rPr>
          <w:rFonts w:asciiTheme="minorHAnsi" w:eastAsia="Times New Roman" w:hAnsiTheme="minorHAnsi" w:cstheme="minorHAnsi"/>
          <w:sz w:val="20"/>
          <w:szCs w:val="20"/>
          <w:lang w:eastAsia="es-CO"/>
        </w:rPr>
        <w:t>TFWBG</w:t>
      </w:r>
      <w:r w:rsidRPr="009B4B53">
        <w:rPr>
          <w:rFonts w:asciiTheme="minorHAnsi" w:hAnsiTheme="minorHAnsi" w:cstheme="minorHAnsi"/>
          <w:sz w:val="20"/>
          <w:szCs w:val="20"/>
        </w:rPr>
        <w:t xml:space="preserve"> = Trust Fund for </w:t>
      </w:r>
      <w:r w:rsidRPr="00574968">
        <w:rPr>
          <w:rFonts w:asciiTheme="minorHAnsi" w:hAnsiTheme="minorHAnsi" w:cstheme="minorHAnsi"/>
          <w:sz w:val="20"/>
          <w:szCs w:val="20"/>
        </w:rPr>
        <w:t>West Bank</w:t>
      </w:r>
      <w:r w:rsidR="00574968" w:rsidRPr="00574968">
        <w:rPr>
          <w:rFonts w:asciiTheme="minorHAnsi" w:hAnsiTheme="minorHAnsi" w:cstheme="minorHAnsi"/>
          <w:sz w:val="20"/>
          <w:szCs w:val="20"/>
        </w:rPr>
        <w:t xml:space="preserve"> </w:t>
      </w:r>
      <w:r w:rsidR="00574968">
        <w:rPr>
          <w:rFonts w:asciiTheme="minorHAnsi" w:hAnsiTheme="minorHAnsi" w:cstheme="minorHAnsi"/>
          <w:sz w:val="20"/>
          <w:szCs w:val="20"/>
        </w:rPr>
        <w:t xml:space="preserve">and </w:t>
      </w:r>
      <w:r w:rsidR="00574968" w:rsidRPr="00574968">
        <w:rPr>
          <w:rFonts w:asciiTheme="minorHAnsi" w:hAnsiTheme="minorHAnsi" w:cstheme="minorHAnsi"/>
          <w:sz w:val="20"/>
          <w:szCs w:val="20"/>
        </w:rPr>
        <w:t>Gaza</w:t>
      </w:r>
      <w:r w:rsidR="00AD5C8B">
        <w:rPr>
          <w:rFonts w:asciiTheme="minorHAnsi" w:hAnsiTheme="minorHAnsi" w:cstheme="minorHAnsi"/>
          <w:sz w:val="20"/>
          <w:szCs w:val="20"/>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273143">
        <w:trPr>
          <w:trHeight w:val="80"/>
        </w:trPr>
        <w:tc>
          <w:tcPr>
            <w:tcW w:w="5000" w:type="pct"/>
          </w:tcPr>
          <w:p w:rsidR="006056DF" w:rsidRDefault="006056DF" w:rsidP="00667D04">
            <w:pPr>
              <w:pStyle w:val="Heading2"/>
              <w:outlineLvl w:val="1"/>
            </w:pPr>
            <w:bookmarkStart w:id="25" w:name="_Toc256000003"/>
            <w:bookmarkStart w:id="26" w:name="_Toc433982407"/>
            <w:bookmarkStart w:id="27" w:name="_Toc460509189"/>
            <w:bookmarkStart w:id="28" w:name="_Toc485984569"/>
            <w:bookmarkStart w:id="29" w:name="_Toc510969687"/>
            <w:bookmarkStart w:id="30" w:name="_Toc516132494"/>
          </w:p>
          <w:p w:rsidR="003615CB" w:rsidRPr="009212BE" w:rsidRDefault="00B578E1" w:rsidP="00667D04">
            <w:pPr>
              <w:pStyle w:val="Heading2"/>
              <w:outlineLvl w:val="1"/>
            </w:pPr>
            <w:r w:rsidRPr="009212BE">
              <w:t>B.</w:t>
            </w:r>
            <w:r w:rsidRPr="00E6336E">
              <w:t xml:space="preserve"> </w:t>
            </w:r>
            <w:r w:rsidR="00271EB3" w:rsidRPr="00E6336E">
              <w:t xml:space="preserve">SIGNIFICANT CHANGES DURING IMPLEMENTATION (IF </w:t>
            </w:r>
            <w:r w:rsidR="00271EB3" w:rsidRPr="00667D04">
              <w:t>APPLICABLE</w:t>
            </w:r>
            <w:r w:rsidR="00271EB3" w:rsidRPr="00E6336E">
              <w:t>)</w:t>
            </w:r>
            <w:bookmarkEnd w:id="25"/>
            <w:bookmarkEnd w:id="26"/>
            <w:bookmarkEnd w:id="27"/>
            <w:bookmarkEnd w:id="28"/>
            <w:bookmarkEnd w:id="29"/>
            <w:bookmarkEnd w:id="30"/>
          </w:p>
        </w:tc>
      </w:tr>
    </w:tbl>
    <w:p w:rsidR="008472BF" w:rsidRPr="00273143" w:rsidRDefault="00B578E1" w:rsidP="00273143">
      <w:pPr>
        <w:spacing w:before="240" w:after="240" w:line="240" w:lineRule="auto"/>
        <w:rPr>
          <w:rFonts w:asciiTheme="minorHAnsi" w:hAnsiTheme="minorHAnsi"/>
          <w:b/>
          <w:color w:val="auto"/>
          <w:sz w:val="22"/>
        </w:rPr>
      </w:pPr>
      <w:bookmarkStart w:id="31" w:name="_Toc510969688"/>
      <w:r w:rsidRPr="00273143">
        <w:rPr>
          <w:rFonts w:asciiTheme="minorHAnsi" w:hAnsiTheme="minorHAnsi"/>
          <w:b/>
          <w:color w:val="auto"/>
          <w:sz w:val="22"/>
        </w:rPr>
        <w:t>Revised PDOs and Outcome Targets</w:t>
      </w:r>
      <w:bookmarkEnd w:id="31"/>
    </w:p>
    <w:p w:rsidR="008472BF" w:rsidRDefault="00B578E1" w:rsidP="00A63A6F">
      <w:pPr>
        <w:pStyle w:val="Normal0"/>
        <w:numPr>
          <w:ilvl w:val="0"/>
          <w:numId w:val="7"/>
        </w:numPr>
        <w:spacing w:after="240" w:line="240" w:lineRule="auto"/>
        <w:ind w:left="0" w:firstLine="0"/>
        <w:jc w:val="both"/>
        <w:rPr>
          <w:sz w:val="22"/>
        </w:rPr>
      </w:pPr>
      <w:r w:rsidRPr="00F318AE">
        <w:rPr>
          <w:b/>
          <w:sz w:val="22"/>
        </w:rPr>
        <w:t>There have been no changes to the PDO but changes to the project design were introduced in May 2015.</w:t>
      </w:r>
      <w:r w:rsidRPr="00F318AE">
        <w:rPr>
          <w:sz w:val="22"/>
        </w:rPr>
        <w:t xml:space="preserve"> The changes were applied to the project design and restructured </w:t>
      </w:r>
      <w:r w:rsidR="00CB37CD">
        <w:rPr>
          <w:sz w:val="22"/>
        </w:rPr>
        <w:t>C</w:t>
      </w:r>
      <w:r w:rsidRPr="00F318AE">
        <w:rPr>
          <w:sz w:val="22"/>
        </w:rPr>
        <w:t xml:space="preserve">omponent 1 to focus on advisory support and capacity building for </w:t>
      </w:r>
      <w:r w:rsidR="00CB37CD">
        <w:rPr>
          <w:sz w:val="22"/>
        </w:rPr>
        <w:t xml:space="preserve">the </w:t>
      </w:r>
      <w:r w:rsidRPr="00F318AE">
        <w:rPr>
          <w:sz w:val="22"/>
        </w:rPr>
        <w:t>PWA to strengthen the institution as a policy and planning entity, develop its internal system</w:t>
      </w:r>
      <w:r w:rsidR="00CB37CD">
        <w:rPr>
          <w:sz w:val="22"/>
        </w:rPr>
        <w:t>,</w:t>
      </w:r>
      <w:r w:rsidRPr="00F318AE">
        <w:rPr>
          <w:sz w:val="22"/>
        </w:rPr>
        <w:t xml:space="preserve"> and support the reform process. </w:t>
      </w:r>
      <w:r w:rsidR="00CB37CD">
        <w:rPr>
          <w:sz w:val="22"/>
        </w:rPr>
        <w:t>I</w:t>
      </w:r>
      <w:r w:rsidRPr="00F318AE">
        <w:rPr>
          <w:sz w:val="22"/>
        </w:rPr>
        <w:t xml:space="preserve">n </w:t>
      </w:r>
      <w:r w:rsidR="00CB37CD">
        <w:rPr>
          <w:sz w:val="22"/>
        </w:rPr>
        <w:t>C</w:t>
      </w:r>
      <w:r w:rsidRPr="00F318AE">
        <w:rPr>
          <w:sz w:val="22"/>
        </w:rPr>
        <w:t xml:space="preserve">omponent 2, the </w:t>
      </w:r>
      <w:r w:rsidR="00CB37CD">
        <w:rPr>
          <w:sz w:val="22"/>
        </w:rPr>
        <w:t>p</w:t>
      </w:r>
      <w:r w:rsidRPr="00F318AE">
        <w:rPr>
          <w:sz w:val="22"/>
        </w:rPr>
        <w:t xml:space="preserve">roject focused on strengthening the newly established WSRC to </w:t>
      </w:r>
      <w:r w:rsidR="00CB37CD">
        <w:rPr>
          <w:sz w:val="22"/>
        </w:rPr>
        <w:t>perform</w:t>
      </w:r>
      <w:r w:rsidR="00CB37CD" w:rsidRPr="00F318AE">
        <w:rPr>
          <w:sz w:val="22"/>
        </w:rPr>
        <w:t xml:space="preserve"> </w:t>
      </w:r>
      <w:r w:rsidRPr="00F318AE">
        <w:rPr>
          <w:sz w:val="22"/>
        </w:rPr>
        <w:t>the monitoring and regulatory function effectively.</w:t>
      </w:r>
    </w:p>
    <w:p w:rsidR="008472BF" w:rsidRPr="00273143" w:rsidRDefault="00B578E1" w:rsidP="00B14E06">
      <w:pPr>
        <w:keepNext/>
        <w:spacing w:before="240" w:after="240" w:line="240" w:lineRule="auto"/>
        <w:rPr>
          <w:rFonts w:asciiTheme="minorHAnsi" w:hAnsiTheme="minorHAnsi"/>
          <w:b/>
          <w:color w:val="auto"/>
          <w:sz w:val="22"/>
        </w:rPr>
      </w:pPr>
      <w:bookmarkStart w:id="32" w:name="_Toc480984857"/>
      <w:bookmarkStart w:id="33" w:name="_Toc510969689"/>
      <w:r w:rsidRPr="00273143">
        <w:rPr>
          <w:rFonts w:asciiTheme="minorHAnsi" w:hAnsiTheme="minorHAnsi"/>
          <w:b/>
          <w:color w:val="auto"/>
          <w:sz w:val="22"/>
        </w:rPr>
        <w:t>Revised PDO Indicators</w:t>
      </w:r>
      <w:bookmarkEnd w:id="32"/>
      <w:bookmarkEnd w:id="33"/>
    </w:p>
    <w:p w:rsidR="008472BF" w:rsidRDefault="00B578E1" w:rsidP="00A63A6F">
      <w:pPr>
        <w:pStyle w:val="Normal0"/>
        <w:numPr>
          <w:ilvl w:val="0"/>
          <w:numId w:val="7"/>
        </w:numPr>
        <w:spacing w:after="240" w:line="240" w:lineRule="auto"/>
        <w:ind w:left="0" w:firstLine="0"/>
        <w:jc w:val="both"/>
        <w:rPr>
          <w:rFonts w:cstheme="minorHAnsi"/>
          <w:sz w:val="22"/>
        </w:rPr>
      </w:pPr>
      <w:r w:rsidRPr="00CB7F08">
        <w:rPr>
          <w:rFonts w:cstheme="minorHAnsi"/>
          <w:b/>
          <w:sz w:val="22"/>
        </w:rPr>
        <w:t xml:space="preserve">New indicators were added to the </w:t>
      </w:r>
      <w:r w:rsidR="00CB37CD">
        <w:rPr>
          <w:rFonts w:cstheme="minorHAnsi"/>
          <w:b/>
          <w:sz w:val="22"/>
        </w:rPr>
        <w:t>R</w:t>
      </w:r>
      <w:r w:rsidRPr="00CB7F08">
        <w:rPr>
          <w:rFonts w:cstheme="minorHAnsi"/>
          <w:b/>
          <w:sz w:val="22"/>
        </w:rPr>
        <w:t xml:space="preserve">esults </w:t>
      </w:r>
      <w:r w:rsidR="00CB37CD">
        <w:rPr>
          <w:rFonts w:cstheme="minorHAnsi"/>
          <w:b/>
          <w:sz w:val="22"/>
        </w:rPr>
        <w:t>F</w:t>
      </w:r>
      <w:r w:rsidRPr="00CB7F08">
        <w:rPr>
          <w:rFonts w:cstheme="minorHAnsi"/>
          <w:b/>
          <w:sz w:val="22"/>
        </w:rPr>
        <w:t xml:space="preserve">ramework to reflect the scaling up of the </w:t>
      </w:r>
      <w:r w:rsidR="00CB37CD">
        <w:rPr>
          <w:rFonts w:cstheme="minorHAnsi"/>
          <w:b/>
          <w:sz w:val="22"/>
        </w:rPr>
        <w:t>p</w:t>
      </w:r>
      <w:r w:rsidRPr="00CB7F08">
        <w:rPr>
          <w:rFonts w:cstheme="minorHAnsi"/>
          <w:b/>
          <w:sz w:val="22"/>
        </w:rPr>
        <w:t>roject concerning the institutional building of the WSRC</w:t>
      </w:r>
      <w:r w:rsidRPr="00CB7F08">
        <w:rPr>
          <w:rFonts w:cstheme="minorHAnsi"/>
          <w:sz w:val="22"/>
        </w:rPr>
        <w:t xml:space="preserve">. Additional outcome indicators related to the scaling up of the </w:t>
      </w:r>
      <w:r w:rsidR="00CB37CD">
        <w:rPr>
          <w:rFonts w:cstheme="minorHAnsi"/>
          <w:sz w:val="22"/>
        </w:rPr>
        <w:t>p</w:t>
      </w:r>
      <w:r w:rsidRPr="00CB7F08">
        <w:rPr>
          <w:rFonts w:cstheme="minorHAnsi"/>
          <w:sz w:val="22"/>
        </w:rPr>
        <w:t>roject include (</w:t>
      </w:r>
      <w:r w:rsidR="00CB37CD">
        <w:rPr>
          <w:rFonts w:cstheme="minorHAnsi"/>
          <w:sz w:val="22"/>
        </w:rPr>
        <w:t>a</w:t>
      </w:r>
      <w:r w:rsidRPr="00CB7F08">
        <w:rPr>
          <w:rFonts w:cstheme="minorHAnsi"/>
          <w:sz w:val="22"/>
        </w:rPr>
        <w:t xml:space="preserve">) </w:t>
      </w:r>
      <w:r w:rsidRPr="00D27A32">
        <w:rPr>
          <w:rFonts w:cstheme="minorHAnsi"/>
          <w:sz w:val="22"/>
        </w:rPr>
        <w:t>t</w:t>
      </w:r>
      <w:r w:rsidRPr="00CB7F08">
        <w:rPr>
          <w:rFonts w:cstheme="minorHAnsi"/>
          <w:sz w:val="22"/>
        </w:rPr>
        <w:t>he WSRC is strengthened (physical and institutional set up</w:t>
      </w:r>
      <w:r w:rsidR="00CB37CD">
        <w:rPr>
          <w:rFonts w:cstheme="minorHAnsi"/>
          <w:sz w:val="22"/>
        </w:rPr>
        <w:t>,</w:t>
      </w:r>
      <w:r w:rsidRPr="00CB7F08">
        <w:rPr>
          <w:rFonts w:cstheme="minorHAnsi"/>
          <w:sz w:val="22"/>
        </w:rPr>
        <w:t xml:space="preserve"> </w:t>
      </w:r>
      <w:r w:rsidRPr="008472BF">
        <w:rPr>
          <w:sz w:val="22"/>
        </w:rPr>
        <w:t>including</w:t>
      </w:r>
      <w:r w:rsidRPr="00CB7F08">
        <w:rPr>
          <w:rFonts w:cstheme="minorHAnsi"/>
          <w:sz w:val="22"/>
        </w:rPr>
        <w:t xml:space="preserve"> defining vision, mission, and objectives, hiring of key staff</w:t>
      </w:r>
      <w:r w:rsidR="00304380">
        <w:rPr>
          <w:rFonts w:cstheme="minorHAnsi"/>
          <w:sz w:val="22"/>
        </w:rPr>
        <w:t xml:space="preserve">, </w:t>
      </w:r>
      <w:r w:rsidRPr="00CB7F08">
        <w:rPr>
          <w:rFonts w:cstheme="minorHAnsi"/>
          <w:sz w:val="22"/>
        </w:rPr>
        <w:t xml:space="preserve">and developing of working procedures), (ii) Strategic </w:t>
      </w:r>
      <w:r w:rsidR="00294AB5">
        <w:rPr>
          <w:rFonts w:cstheme="minorHAnsi"/>
          <w:sz w:val="22"/>
        </w:rPr>
        <w:t>D</w:t>
      </w:r>
      <w:r w:rsidRPr="00CB7F08">
        <w:rPr>
          <w:rFonts w:cstheme="minorHAnsi"/>
          <w:sz w:val="22"/>
        </w:rPr>
        <w:t xml:space="preserve">evelopment </w:t>
      </w:r>
      <w:r w:rsidR="00294AB5">
        <w:rPr>
          <w:rFonts w:cstheme="minorHAnsi"/>
          <w:sz w:val="22"/>
        </w:rPr>
        <w:t>P</w:t>
      </w:r>
      <w:r w:rsidRPr="00CB7F08">
        <w:rPr>
          <w:rFonts w:cstheme="minorHAnsi"/>
          <w:sz w:val="22"/>
        </w:rPr>
        <w:t>lan and business plan is completed, approved</w:t>
      </w:r>
      <w:r w:rsidR="00304380">
        <w:rPr>
          <w:rFonts w:cstheme="minorHAnsi"/>
          <w:sz w:val="22"/>
        </w:rPr>
        <w:t>,</w:t>
      </w:r>
      <w:r w:rsidRPr="00CB7F08">
        <w:rPr>
          <w:rFonts w:cstheme="minorHAnsi"/>
          <w:sz w:val="22"/>
        </w:rPr>
        <w:t xml:space="preserve"> and implemented; and (</w:t>
      </w:r>
      <w:r w:rsidR="00F468A4">
        <w:rPr>
          <w:rFonts w:cstheme="minorHAnsi"/>
          <w:sz w:val="22"/>
        </w:rPr>
        <w:t>c</w:t>
      </w:r>
      <w:r w:rsidRPr="00CB7F08">
        <w:rPr>
          <w:rFonts w:cstheme="minorHAnsi"/>
          <w:sz w:val="22"/>
        </w:rPr>
        <w:t>) Related legal framework and documents developed and approved.</w:t>
      </w:r>
    </w:p>
    <w:p w:rsidR="008472BF" w:rsidRPr="00273143" w:rsidRDefault="00B578E1" w:rsidP="0005006E">
      <w:pPr>
        <w:keepNext/>
        <w:spacing w:after="240" w:line="240" w:lineRule="auto"/>
        <w:rPr>
          <w:rFonts w:asciiTheme="minorHAnsi" w:hAnsiTheme="minorHAnsi"/>
          <w:b/>
          <w:color w:val="auto"/>
          <w:sz w:val="22"/>
        </w:rPr>
      </w:pPr>
      <w:bookmarkStart w:id="34" w:name="_Toc480984858"/>
      <w:bookmarkStart w:id="35" w:name="_Toc510969690"/>
      <w:r w:rsidRPr="00273143">
        <w:rPr>
          <w:rFonts w:asciiTheme="minorHAnsi" w:hAnsiTheme="minorHAnsi"/>
          <w:b/>
          <w:color w:val="auto"/>
          <w:sz w:val="22"/>
        </w:rPr>
        <w:lastRenderedPageBreak/>
        <w:t>Revised Components</w:t>
      </w:r>
      <w:bookmarkEnd w:id="34"/>
      <w:bookmarkEnd w:id="35"/>
    </w:p>
    <w:p w:rsidR="008472BF" w:rsidRDefault="00B578E1" w:rsidP="00A63A6F">
      <w:pPr>
        <w:pStyle w:val="Normal0"/>
        <w:numPr>
          <w:ilvl w:val="0"/>
          <w:numId w:val="7"/>
        </w:numPr>
        <w:spacing w:after="240" w:line="240" w:lineRule="auto"/>
        <w:ind w:left="0" w:firstLine="0"/>
        <w:jc w:val="both"/>
        <w:rPr>
          <w:sz w:val="22"/>
        </w:rPr>
      </w:pPr>
      <w:r w:rsidRPr="00F318AE">
        <w:rPr>
          <w:b/>
          <w:sz w:val="22"/>
        </w:rPr>
        <w:t>Under the restructuring, some components were scaled</w:t>
      </w:r>
      <w:r w:rsidR="00B2502B">
        <w:rPr>
          <w:b/>
          <w:sz w:val="22"/>
        </w:rPr>
        <w:t xml:space="preserve"> </w:t>
      </w:r>
      <w:r w:rsidRPr="00F318AE">
        <w:rPr>
          <w:b/>
          <w:sz w:val="22"/>
        </w:rPr>
        <w:t xml:space="preserve">up to respond to the need to operationalize a functional WSRC. </w:t>
      </w:r>
      <w:r w:rsidRPr="00F318AE">
        <w:rPr>
          <w:sz w:val="22"/>
        </w:rPr>
        <w:t>The major changes proposed under the AF are restructuring and scaling up of Component 1 (</w:t>
      </w:r>
      <w:r w:rsidR="00B2502B">
        <w:rPr>
          <w:sz w:val="22"/>
        </w:rPr>
        <w:t>a</w:t>
      </w:r>
      <w:r w:rsidRPr="00F318AE">
        <w:rPr>
          <w:sz w:val="22"/>
        </w:rPr>
        <w:t xml:space="preserve">dvisory </w:t>
      </w:r>
      <w:r w:rsidR="00B2502B">
        <w:rPr>
          <w:sz w:val="22"/>
        </w:rPr>
        <w:t>s</w:t>
      </w:r>
      <w:r w:rsidRPr="00F318AE">
        <w:rPr>
          <w:sz w:val="22"/>
        </w:rPr>
        <w:t xml:space="preserve">upport, </w:t>
      </w:r>
      <w:r w:rsidR="00B2502B">
        <w:rPr>
          <w:sz w:val="22"/>
        </w:rPr>
        <w:t>t</w:t>
      </w:r>
      <w:r w:rsidRPr="00F318AE">
        <w:rPr>
          <w:sz w:val="22"/>
        </w:rPr>
        <w:t xml:space="preserve">echnical </w:t>
      </w:r>
      <w:r w:rsidR="00B2502B">
        <w:rPr>
          <w:sz w:val="22"/>
        </w:rPr>
        <w:t>a</w:t>
      </w:r>
      <w:r w:rsidRPr="00F318AE">
        <w:rPr>
          <w:sz w:val="22"/>
        </w:rPr>
        <w:t>ssistance</w:t>
      </w:r>
      <w:r w:rsidR="00B2502B">
        <w:rPr>
          <w:sz w:val="22"/>
        </w:rPr>
        <w:t>,</w:t>
      </w:r>
      <w:r w:rsidRPr="00F318AE">
        <w:rPr>
          <w:sz w:val="22"/>
        </w:rPr>
        <w:t xml:space="preserve"> and </w:t>
      </w:r>
      <w:r w:rsidR="00B2502B">
        <w:rPr>
          <w:sz w:val="22"/>
        </w:rPr>
        <w:t>c</w:t>
      </w:r>
      <w:r w:rsidRPr="00F318AE">
        <w:rPr>
          <w:sz w:val="22"/>
        </w:rPr>
        <w:t xml:space="preserve">apacity </w:t>
      </w:r>
      <w:r w:rsidR="00B2502B">
        <w:rPr>
          <w:sz w:val="22"/>
        </w:rPr>
        <w:t>b</w:t>
      </w:r>
      <w:r w:rsidRPr="00F318AE">
        <w:rPr>
          <w:sz w:val="22"/>
        </w:rPr>
        <w:t>uilding) and Component 2 (</w:t>
      </w:r>
      <w:r w:rsidR="00B2502B">
        <w:rPr>
          <w:sz w:val="22"/>
        </w:rPr>
        <w:t>s</w:t>
      </w:r>
      <w:r w:rsidRPr="00F318AE">
        <w:rPr>
          <w:sz w:val="22"/>
        </w:rPr>
        <w:t>upplementary assistance for studies and training), corresponding changes to Component 3 (</w:t>
      </w:r>
      <w:r w:rsidR="00B2502B">
        <w:rPr>
          <w:sz w:val="22"/>
        </w:rPr>
        <w:t>p</w:t>
      </w:r>
      <w:r w:rsidRPr="00F318AE">
        <w:rPr>
          <w:sz w:val="22"/>
        </w:rPr>
        <w:t xml:space="preserve">roject </w:t>
      </w:r>
      <w:r w:rsidR="00B2502B">
        <w:rPr>
          <w:sz w:val="22"/>
        </w:rPr>
        <w:t>m</w:t>
      </w:r>
      <w:r w:rsidRPr="00F318AE">
        <w:rPr>
          <w:sz w:val="22"/>
        </w:rPr>
        <w:t>anagement)</w:t>
      </w:r>
      <w:r w:rsidR="00B2502B">
        <w:rPr>
          <w:sz w:val="22"/>
        </w:rPr>
        <w:t>,</w:t>
      </w:r>
      <w:r w:rsidRPr="00F318AE">
        <w:rPr>
          <w:sz w:val="22"/>
        </w:rPr>
        <w:t xml:space="preserve"> and an extension of the end implementation date by 24 months from December 31, 2015</w:t>
      </w:r>
      <w:r w:rsidR="00B2502B">
        <w:rPr>
          <w:sz w:val="22"/>
        </w:rPr>
        <w:t>,</w:t>
      </w:r>
      <w:r w:rsidRPr="00F318AE">
        <w:rPr>
          <w:sz w:val="22"/>
        </w:rPr>
        <w:t xml:space="preserve"> to December 31, 2017.</w:t>
      </w:r>
    </w:p>
    <w:p w:rsidR="008472BF" w:rsidRPr="00273143" w:rsidRDefault="00B578E1" w:rsidP="00273143">
      <w:pPr>
        <w:spacing w:before="240" w:after="240" w:line="240" w:lineRule="auto"/>
        <w:rPr>
          <w:rFonts w:asciiTheme="minorHAnsi" w:hAnsiTheme="minorHAnsi"/>
          <w:b/>
          <w:color w:val="auto"/>
          <w:sz w:val="22"/>
        </w:rPr>
      </w:pPr>
      <w:bookmarkStart w:id="36" w:name="_Toc480984860"/>
      <w:bookmarkStart w:id="37" w:name="_Toc510969691"/>
      <w:r w:rsidRPr="00273143">
        <w:rPr>
          <w:rFonts w:asciiTheme="minorHAnsi" w:hAnsiTheme="minorHAnsi"/>
          <w:b/>
          <w:color w:val="auto"/>
          <w:sz w:val="22"/>
        </w:rPr>
        <w:t>Rationale for Changes and Their Implication on the Original Theory of Change</w:t>
      </w:r>
      <w:bookmarkEnd w:id="36"/>
      <w:bookmarkEnd w:id="37"/>
    </w:p>
    <w:p w:rsidR="008472BF" w:rsidRPr="00F318AE" w:rsidRDefault="00B578E1" w:rsidP="00A63A6F">
      <w:pPr>
        <w:pStyle w:val="Normal0"/>
        <w:numPr>
          <w:ilvl w:val="0"/>
          <w:numId w:val="7"/>
        </w:numPr>
        <w:spacing w:after="240" w:line="240" w:lineRule="auto"/>
        <w:ind w:left="0" w:firstLine="0"/>
        <w:jc w:val="both"/>
        <w:rPr>
          <w:sz w:val="22"/>
        </w:rPr>
      </w:pPr>
      <w:r w:rsidRPr="00F318AE">
        <w:rPr>
          <w:b/>
          <w:sz w:val="22"/>
        </w:rPr>
        <w:t>The proposed changes were implemented to respond to an already existing financing gap.</w:t>
      </w:r>
      <w:r w:rsidRPr="00F318AE">
        <w:rPr>
          <w:sz w:val="22"/>
        </w:rPr>
        <w:t xml:space="preserve"> T</w:t>
      </w:r>
      <w:r>
        <w:rPr>
          <w:sz w:val="22"/>
        </w:rPr>
        <w:t xml:space="preserve">his </w:t>
      </w:r>
      <w:r w:rsidR="00B2502B">
        <w:rPr>
          <w:sz w:val="22"/>
        </w:rPr>
        <w:t>p</w:t>
      </w:r>
      <w:r>
        <w:rPr>
          <w:sz w:val="22"/>
        </w:rPr>
        <w:t xml:space="preserve">roject </w:t>
      </w:r>
      <w:r w:rsidRPr="00F318AE">
        <w:rPr>
          <w:sz w:val="22"/>
        </w:rPr>
        <w:t xml:space="preserve">was designed to improve the </w:t>
      </w:r>
      <w:r w:rsidR="00B2502B">
        <w:rPr>
          <w:sz w:val="22"/>
        </w:rPr>
        <w:t xml:space="preserve">PWA’s </w:t>
      </w:r>
      <w:r w:rsidRPr="00F318AE">
        <w:rPr>
          <w:sz w:val="22"/>
        </w:rPr>
        <w:t xml:space="preserve">capacity and support its attempt to reform the water sector. At project design in 2011, the </w:t>
      </w:r>
      <w:r>
        <w:rPr>
          <w:sz w:val="22"/>
        </w:rPr>
        <w:t xml:space="preserve">estimated </w:t>
      </w:r>
      <w:r w:rsidRPr="00F318AE">
        <w:rPr>
          <w:sz w:val="22"/>
        </w:rPr>
        <w:t xml:space="preserve">project cost was </w:t>
      </w:r>
      <w:r>
        <w:rPr>
          <w:sz w:val="22"/>
        </w:rPr>
        <w:t>US</w:t>
      </w:r>
      <w:r w:rsidRPr="00F318AE">
        <w:rPr>
          <w:sz w:val="22"/>
        </w:rPr>
        <w:t>$6.0</w:t>
      </w:r>
      <w:r>
        <w:rPr>
          <w:sz w:val="22"/>
        </w:rPr>
        <w:t xml:space="preserve"> million</w:t>
      </w:r>
      <w:r w:rsidRPr="00F318AE">
        <w:rPr>
          <w:sz w:val="22"/>
        </w:rPr>
        <w:t xml:space="preserve"> with the World Bank financing </w:t>
      </w:r>
      <w:r>
        <w:rPr>
          <w:sz w:val="22"/>
        </w:rPr>
        <w:t>US</w:t>
      </w:r>
      <w:r w:rsidRPr="00F318AE">
        <w:rPr>
          <w:sz w:val="22"/>
        </w:rPr>
        <w:t>$3.0</w:t>
      </w:r>
      <w:r>
        <w:rPr>
          <w:sz w:val="22"/>
        </w:rPr>
        <w:t xml:space="preserve"> million</w:t>
      </w:r>
      <w:r w:rsidRPr="00F318AE">
        <w:rPr>
          <w:sz w:val="22"/>
        </w:rPr>
        <w:t xml:space="preserve"> and AFD and SIDA contributing </w:t>
      </w:r>
      <w:r>
        <w:rPr>
          <w:sz w:val="22"/>
        </w:rPr>
        <w:t>US</w:t>
      </w:r>
      <w:r w:rsidRPr="00F318AE">
        <w:rPr>
          <w:sz w:val="22"/>
        </w:rPr>
        <w:t>$1.4</w:t>
      </w:r>
      <w:r>
        <w:rPr>
          <w:sz w:val="22"/>
        </w:rPr>
        <w:t xml:space="preserve"> million</w:t>
      </w:r>
      <w:r w:rsidRPr="00F318AE">
        <w:rPr>
          <w:sz w:val="22"/>
        </w:rPr>
        <w:t xml:space="preserve"> (parallel) and </w:t>
      </w:r>
      <w:r>
        <w:rPr>
          <w:sz w:val="22"/>
        </w:rPr>
        <w:t>US</w:t>
      </w:r>
      <w:r w:rsidRPr="00F318AE">
        <w:rPr>
          <w:sz w:val="22"/>
        </w:rPr>
        <w:t>$1.6</w:t>
      </w:r>
      <w:r>
        <w:rPr>
          <w:sz w:val="22"/>
        </w:rPr>
        <w:t xml:space="preserve"> million</w:t>
      </w:r>
      <w:r w:rsidRPr="00F318AE">
        <w:rPr>
          <w:sz w:val="22"/>
        </w:rPr>
        <w:t xml:space="preserve"> (co-financing) equivalent</w:t>
      </w:r>
      <w:r w:rsidR="00B14E06">
        <w:rPr>
          <w:sz w:val="22"/>
        </w:rPr>
        <w:t>,</w:t>
      </w:r>
      <w:r>
        <w:rPr>
          <w:sz w:val="22"/>
        </w:rPr>
        <w:t xml:space="preserve"> respectively</w:t>
      </w:r>
      <w:r w:rsidRPr="00F318AE">
        <w:rPr>
          <w:sz w:val="22"/>
        </w:rPr>
        <w:t xml:space="preserve">. However, SIDA funding was delayed due to processing time of the </w:t>
      </w:r>
      <w:r>
        <w:rPr>
          <w:sz w:val="22"/>
        </w:rPr>
        <w:t>MDTF</w:t>
      </w:r>
      <w:r w:rsidRPr="00F318AE">
        <w:rPr>
          <w:sz w:val="22"/>
        </w:rPr>
        <w:t>. This meant that</w:t>
      </w:r>
      <w:r w:rsidR="00B14E06">
        <w:rPr>
          <w:sz w:val="22"/>
        </w:rPr>
        <w:t xml:space="preserve"> the</w:t>
      </w:r>
      <w:r w:rsidRPr="00F318AE">
        <w:rPr>
          <w:sz w:val="22"/>
        </w:rPr>
        <w:t xml:space="preserve"> </w:t>
      </w:r>
      <w:r w:rsidR="00BB2A5E">
        <w:rPr>
          <w:sz w:val="22"/>
        </w:rPr>
        <w:t>AF</w:t>
      </w:r>
      <w:r w:rsidRPr="00F318AE">
        <w:rPr>
          <w:sz w:val="22"/>
        </w:rPr>
        <w:t xml:space="preserve"> following the restructuring only covered the originally agreed SIDA funding to the MDTF.</w:t>
      </w:r>
    </w:p>
    <w:p w:rsidR="008472BF" w:rsidRDefault="00B578E1" w:rsidP="00A63A6F">
      <w:pPr>
        <w:pStyle w:val="Normal0"/>
        <w:numPr>
          <w:ilvl w:val="0"/>
          <w:numId w:val="7"/>
        </w:numPr>
        <w:spacing w:after="240" w:line="240" w:lineRule="auto"/>
        <w:ind w:left="0" w:firstLine="0"/>
        <w:jc w:val="both"/>
        <w:rPr>
          <w:sz w:val="22"/>
        </w:rPr>
      </w:pPr>
      <w:r w:rsidRPr="00F318AE">
        <w:rPr>
          <w:b/>
          <w:sz w:val="22"/>
        </w:rPr>
        <w:t xml:space="preserve">In addition to closing this financing gap, the PWA and team recognized the need for additional changes to be made to the </w:t>
      </w:r>
      <w:r w:rsidR="00B2502B">
        <w:rPr>
          <w:b/>
          <w:sz w:val="22"/>
        </w:rPr>
        <w:t>p</w:t>
      </w:r>
      <w:r w:rsidRPr="00F318AE">
        <w:rPr>
          <w:b/>
          <w:sz w:val="22"/>
        </w:rPr>
        <w:t xml:space="preserve">roject to support the institutional building of the </w:t>
      </w:r>
      <w:r w:rsidR="00B14E06">
        <w:rPr>
          <w:b/>
          <w:sz w:val="22"/>
        </w:rPr>
        <w:t>WSRC</w:t>
      </w:r>
      <w:r w:rsidRPr="00F318AE">
        <w:rPr>
          <w:b/>
          <w:sz w:val="22"/>
        </w:rPr>
        <w:t>.</w:t>
      </w:r>
      <w:r w:rsidRPr="00F318AE">
        <w:rPr>
          <w:sz w:val="22"/>
        </w:rPr>
        <w:t xml:space="preserve"> The WSRC is part of the new water sector structure, which constitutes one of the main outputs of the water sector reform process. The </w:t>
      </w:r>
      <w:r w:rsidR="00B2502B">
        <w:rPr>
          <w:sz w:val="22"/>
        </w:rPr>
        <w:t>p</w:t>
      </w:r>
      <w:r w:rsidRPr="00F318AE">
        <w:rPr>
          <w:sz w:val="22"/>
        </w:rPr>
        <w:t xml:space="preserve">roject changes aimed to ensure its functionality and integration within the Palestinian water sector and ensure compliance with the </w:t>
      </w:r>
      <w:r w:rsidR="00B2502B">
        <w:rPr>
          <w:sz w:val="22"/>
        </w:rPr>
        <w:t>W</w:t>
      </w:r>
      <w:r w:rsidRPr="00F318AE">
        <w:rPr>
          <w:sz w:val="22"/>
        </w:rPr>
        <w:t xml:space="preserve">ater </w:t>
      </w:r>
      <w:r w:rsidR="00B2502B">
        <w:rPr>
          <w:sz w:val="22"/>
        </w:rPr>
        <w:t>L</w:t>
      </w:r>
      <w:r w:rsidRPr="00F318AE">
        <w:rPr>
          <w:sz w:val="22"/>
        </w:rPr>
        <w:t>aw, in particular</w:t>
      </w:r>
      <w:r>
        <w:rPr>
          <w:sz w:val="22"/>
        </w:rPr>
        <w:t>,</w:t>
      </w:r>
      <w:r w:rsidRPr="00F318AE">
        <w:rPr>
          <w:sz w:val="22"/>
        </w:rPr>
        <w:t xml:space="preserve"> to achieve proper division of labor between the PWA and the independent regulator. Therefore, due to the addition of a new implementation entity (WSRC), a change was made to the disbursement arrangement by creating a second designated account dedicated to </w:t>
      </w:r>
      <w:r w:rsidR="00B2502B">
        <w:rPr>
          <w:sz w:val="22"/>
        </w:rPr>
        <w:t xml:space="preserve">the </w:t>
      </w:r>
      <w:r w:rsidRPr="00F318AE">
        <w:rPr>
          <w:sz w:val="22"/>
        </w:rPr>
        <w:t>WSRC.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72"/>
        <w:gridCol w:w="9145"/>
        <w:gridCol w:w="43"/>
      </w:tblGrid>
      <w:tr w:rsidR="0006032A" w:rsidTr="00B04F0C">
        <w:trPr>
          <w:trHeight w:val="432"/>
        </w:trPr>
        <w:tc>
          <w:tcPr>
            <w:tcW w:w="5000" w:type="pct"/>
            <w:gridSpan w:val="3"/>
            <w:shd w:val="clear" w:color="auto" w:fill="F2F7FC"/>
            <w:vAlign w:val="center"/>
          </w:tcPr>
          <w:p w:rsidR="003615CB" w:rsidRPr="009212BE" w:rsidRDefault="00B578E1" w:rsidP="00F81AC2">
            <w:pPr>
              <w:pStyle w:val="ListParagraph"/>
              <w:keepNext/>
              <w:numPr>
                <w:ilvl w:val="0"/>
                <w:numId w:val="1"/>
              </w:numPr>
              <w:ind w:left="288" w:hanging="288"/>
              <w:outlineLvl w:val="0"/>
              <w:rPr>
                <w:rFonts w:asciiTheme="minorHAnsi" w:hAnsiTheme="minorHAnsi"/>
                <w:noProof/>
                <w:sz w:val="22"/>
              </w:rPr>
            </w:pPr>
            <w:bookmarkStart w:id="38" w:name="_Toc256000004"/>
            <w:bookmarkStart w:id="39" w:name="_Toc485984570"/>
            <w:bookmarkStart w:id="40" w:name="_Toc510969692"/>
            <w:bookmarkStart w:id="41" w:name="_Toc516132495"/>
            <w:r w:rsidRPr="009212BE">
              <w:rPr>
                <w:rFonts w:asciiTheme="minorHAnsi" w:hAnsiTheme="minorHAnsi"/>
                <w:b/>
                <w:bCs/>
                <w:sz w:val="22"/>
              </w:rPr>
              <w:t>OUTCOME</w:t>
            </w:r>
            <w:bookmarkEnd w:id="38"/>
            <w:bookmarkEnd w:id="39"/>
            <w:r w:rsidR="00792DF3" w:rsidRPr="009212BE">
              <w:rPr>
                <w:rFonts w:asciiTheme="minorHAnsi" w:hAnsiTheme="minorHAnsi"/>
                <w:b/>
                <w:bCs/>
                <w:sz w:val="22"/>
              </w:rPr>
              <w:t>S</w:t>
            </w:r>
            <w:bookmarkEnd w:id="40"/>
            <w:bookmarkEnd w:id="41"/>
          </w:p>
        </w:tc>
      </w:tr>
      <w:tr w:rsidR="0006032A" w:rsidTr="00B04F0C">
        <w:tblPrEx>
          <w:shd w:val="clear" w:color="auto" w:fill="auto"/>
        </w:tblPrEx>
        <w:trPr>
          <w:gridBefore w:val="1"/>
          <w:gridAfter w:val="1"/>
          <w:wBefore w:w="164" w:type="dxa"/>
          <w:wAfter w:w="41" w:type="dxa"/>
          <w:trHeight w:val="342"/>
        </w:trPr>
        <w:tc>
          <w:tcPr>
            <w:tcW w:w="4885" w:type="pct"/>
          </w:tcPr>
          <w:p w:rsidR="003615CB" w:rsidRPr="009212BE" w:rsidRDefault="00B578E1" w:rsidP="00E6336E">
            <w:pPr>
              <w:pStyle w:val="Heading2"/>
              <w:spacing w:before="240"/>
              <w:outlineLvl w:val="1"/>
              <w:rPr>
                <w:noProof/>
              </w:rPr>
            </w:pPr>
            <w:bookmarkStart w:id="42" w:name="_Toc256000005"/>
            <w:bookmarkStart w:id="43" w:name="_Toc433982410"/>
            <w:bookmarkStart w:id="44" w:name="_Toc460509192"/>
            <w:bookmarkStart w:id="45" w:name="_Toc485984571"/>
            <w:bookmarkStart w:id="46" w:name="_Toc510969693"/>
            <w:bookmarkStart w:id="47" w:name="_Toc516132496"/>
            <w:r w:rsidRPr="00E6336E">
              <w:t xml:space="preserve">A. </w:t>
            </w:r>
            <w:r w:rsidR="00C46CD2" w:rsidRPr="00E6336E">
              <w:t>RELEVANCE OF PDOs</w:t>
            </w:r>
            <w:bookmarkEnd w:id="42"/>
            <w:bookmarkEnd w:id="43"/>
            <w:bookmarkEnd w:id="44"/>
            <w:bookmarkEnd w:id="45"/>
            <w:bookmarkEnd w:id="46"/>
            <w:bookmarkEnd w:id="47"/>
          </w:p>
        </w:tc>
      </w:tr>
    </w:tbl>
    <w:p w:rsidR="0054719E" w:rsidRPr="00273143" w:rsidRDefault="00B578E1" w:rsidP="00E6336E">
      <w:pPr>
        <w:spacing w:before="240" w:after="240" w:line="240" w:lineRule="auto"/>
        <w:rPr>
          <w:rFonts w:asciiTheme="minorHAnsi" w:hAnsiTheme="minorHAnsi"/>
          <w:b/>
          <w:color w:val="auto"/>
          <w:sz w:val="22"/>
        </w:rPr>
      </w:pPr>
      <w:bookmarkStart w:id="48" w:name="_Toc480984863"/>
      <w:bookmarkStart w:id="49" w:name="_Toc510969694"/>
      <w:r w:rsidRPr="00273143">
        <w:rPr>
          <w:rFonts w:asciiTheme="minorHAnsi" w:hAnsiTheme="minorHAnsi"/>
          <w:b/>
          <w:color w:val="auto"/>
          <w:sz w:val="22"/>
        </w:rPr>
        <w:t>Assessment of Relevance of PDOs and Rating</w:t>
      </w:r>
      <w:bookmarkEnd w:id="48"/>
      <w:bookmarkEnd w:id="49"/>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294AB5">
        <w:rPr>
          <w:b/>
          <w:sz w:val="22"/>
        </w:rPr>
        <w:t>PDO</w:t>
      </w:r>
      <w:r w:rsidRPr="00F318AE">
        <w:rPr>
          <w:b/>
          <w:sz w:val="22"/>
        </w:rPr>
        <w:t xml:space="preserve"> remains highly relevant for </w:t>
      </w:r>
      <w:r w:rsidR="00795134">
        <w:rPr>
          <w:b/>
          <w:sz w:val="22"/>
        </w:rPr>
        <w:t>the West Bank and Gaza</w:t>
      </w:r>
      <w:r w:rsidR="00795134" w:rsidRPr="00F318AE">
        <w:rPr>
          <w:b/>
          <w:sz w:val="22"/>
        </w:rPr>
        <w:t xml:space="preserve"> </w:t>
      </w:r>
      <w:r w:rsidRPr="00F318AE">
        <w:rPr>
          <w:b/>
          <w:sz w:val="22"/>
        </w:rPr>
        <w:t>and the World Bank.</w:t>
      </w:r>
      <w:r w:rsidR="000F13ED">
        <w:rPr>
          <w:sz w:val="22"/>
        </w:rPr>
        <w:t xml:space="preserve"> </w:t>
      </w:r>
      <w:r w:rsidRPr="00F318AE">
        <w:rPr>
          <w:sz w:val="22"/>
        </w:rPr>
        <w:t xml:space="preserve">The </w:t>
      </w:r>
      <w:r w:rsidR="00294AB5">
        <w:rPr>
          <w:sz w:val="22"/>
        </w:rPr>
        <w:t>p</w:t>
      </w:r>
      <w:r w:rsidRPr="00F318AE">
        <w:rPr>
          <w:sz w:val="22"/>
        </w:rPr>
        <w:t xml:space="preserve">roject’s objectives are strongly aligned with the </w:t>
      </w:r>
      <w:r>
        <w:rPr>
          <w:sz w:val="22"/>
        </w:rPr>
        <w:t>Palestinian Authority’s</w:t>
      </w:r>
      <w:r w:rsidRPr="00F318AE">
        <w:rPr>
          <w:sz w:val="22"/>
        </w:rPr>
        <w:t xml:space="preserve"> sector goals and strategies.</w:t>
      </w:r>
      <w:r w:rsidR="000F13ED">
        <w:rPr>
          <w:sz w:val="22"/>
        </w:rPr>
        <w:t xml:space="preserve"> </w:t>
      </w:r>
      <w:r w:rsidRPr="00F318AE">
        <w:rPr>
          <w:sz w:val="22"/>
        </w:rPr>
        <w:t>Thus, the medium</w:t>
      </w:r>
      <w:r w:rsidR="00294AB5">
        <w:rPr>
          <w:sz w:val="22"/>
        </w:rPr>
        <w:t>-</w:t>
      </w:r>
      <w:r w:rsidRPr="00F318AE">
        <w:rPr>
          <w:sz w:val="22"/>
        </w:rPr>
        <w:t>term Strategic Development Plan (2017</w:t>
      </w:r>
      <w:r w:rsidR="00294AB5">
        <w:rPr>
          <w:sz w:val="22"/>
        </w:rPr>
        <w:t>–</w:t>
      </w:r>
      <w:r w:rsidRPr="00F318AE">
        <w:rPr>
          <w:sz w:val="22"/>
        </w:rPr>
        <w:t xml:space="preserve">2022) instituted by </w:t>
      </w:r>
      <w:r w:rsidR="00F96732">
        <w:rPr>
          <w:sz w:val="22"/>
        </w:rPr>
        <w:t xml:space="preserve">the </w:t>
      </w:r>
      <w:r w:rsidRPr="00F318AE">
        <w:rPr>
          <w:sz w:val="22"/>
        </w:rPr>
        <w:t xml:space="preserve">PWA to improve the water sector </w:t>
      </w:r>
      <w:r w:rsidRPr="00F318AE">
        <w:rPr>
          <w:sz w:val="22"/>
          <w:lang w:val="en"/>
        </w:rPr>
        <w:t xml:space="preserve">focuses on institutional development as a main pillar to sustain the development process and </w:t>
      </w:r>
      <w:r w:rsidRPr="00F318AE">
        <w:rPr>
          <w:sz w:val="22"/>
        </w:rPr>
        <w:t xml:space="preserve">achieving its </w:t>
      </w:r>
      <w:r w:rsidRPr="00F318AE">
        <w:rPr>
          <w:sz w:val="22"/>
          <w:lang w:val="en"/>
        </w:rPr>
        <w:t>objectives in</w:t>
      </w:r>
      <w:r w:rsidRPr="00F318AE">
        <w:rPr>
          <w:sz w:val="22"/>
        </w:rPr>
        <w:t xml:space="preserve"> improving water security by enhancing the water and wastewater services delivery. It also supports the continuation of the reform process by establishing sustainable and financially viable water service delivery institutions, strengthening their institutional set up</w:t>
      </w:r>
      <w:r w:rsidR="00F96732">
        <w:rPr>
          <w:sz w:val="22"/>
        </w:rPr>
        <w:t>,</w:t>
      </w:r>
      <w:r w:rsidRPr="00F318AE">
        <w:rPr>
          <w:sz w:val="22"/>
        </w:rPr>
        <w:t xml:space="preserve"> and adjusting the policies and strategies</w:t>
      </w:r>
      <w:r w:rsidRPr="00F318AE">
        <w:rPr>
          <w:iCs/>
          <w:sz w:val="22"/>
        </w:rPr>
        <w:t xml:space="preserve">. </w:t>
      </w:r>
    </w:p>
    <w:p w:rsidR="0054719E" w:rsidRPr="00F318AE" w:rsidRDefault="00B578E1" w:rsidP="00A63A6F">
      <w:pPr>
        <w:pStyle w:val="Normal0"/>
        <w:numPr>
          <w:ilvl w:val="0"/>
          <w:numId w:val="7"/>
        </w:numPr>
        <w:spacing w:after="240" w:line="240" w:lineRule="auto"/>
        <w:ind w:left="0" w:firstLine="0"/>
        <w:jc w:val="both"/>
        <w:rPr>
          <w:sz w:val="22"/>
        </w:rPr>
      </w:pPr>
      <w:r w:rsidRPr="00F318AE">
        <w:rPr>
          <w:b/>
          <w:iCs/>
          <w:sz w:val="22"/>
        </w:rPr>
        <w:lastRenderedPageBreak/>
        <w:t xml:space="preserve">The </w:t>
      </w:r>
      <w:r w:rsidR="00F96732">
        <w:rPr>
          <w:b/>
          <w:iCs/>
          <w:sz w:val="22"/>
        </w:rPr>
        <w:t>p</w:t>
      </w:r>
      <w:r w:rsidRPr="00F318AE">
        <w:rPr>
          <w:b/>
          <w:iCs/>
          <w:sz w:val="22"/>
        </w:rPr>
        <w:t xml:space="preserve">roject is also aligned with the World Bank </w:t>
      </w:r>
      <w:r w:rsidRPr="00F318AE">
        <w:rPr>
          <w:b/>
          <w:sz w:val="22"/>
          <w:lang w:val="en"/>
        </w:rPr>
        <w:t>Assistance Strategy for West Bank and Gaza FY18</w:t>
      </w:r>
      <w:r w:rsidR="00F96732">
        <w:rPr>
          <w:b/>
          <w:sz w:val="22"/>
          <w:lang w:val="en"/>
        </w:rPr>
        <w:t>–</w:t>
      </w:r>
      <w:r w:rsidRPr="00F318AE">
        <w:rPr>
          <w:b/>
          <w:sz w:val="22"/>
          <w:lang w:val="en"/>
        </w:rPr>
        <w:t>21 (Report No. 115201-GZ) which notes that inadequate resources such as water and power supply and deficiencies in the institutional framework regulating these sectors are holding back economic development</w:t>
      </w:r>
      <w:r w:rsidRPr="00F318AE">
        <w:rPr>
          <w:sz w:val="22"/>
          <w:lang w:val="en"/>
        </w:rPr>
        <w:t xml:space="preserve">. The </w:t>
      </w:r>
      <w:r w:rsidR="000E6C50">
        <w:rPr>
          <w:sz w:val="22"/>
          <w:lang w:val="en"/>
        </w:rPr>
        <w:t>p</w:t>
      </w:r>
      <w:r w:rsidRPr="00F318AE">
        <w:rPr>
          <w:sz w:val="22"/>
          <w:lang w:val="en"/>
        </w:rPr>
        <w:t xml:space="preserve">roject is closely linked with Pillar 1 on increased private sector investments and job creation through, </w:t>
      </w:r>
      <w:r w:rsidR="000E6C50">
        <w:rPr>
          <w:sz w:val="22"/>
          <w:lang w:val="en"/>
        </w:rPr>
        <w:t>among others</w:t>
      </w:r>
      <w:r w:rsidRPr="00F318AE">
        <w:rPr>
          <w:sz w:val="22"/>
          <w:lang w:val="en"/>
        </w:rPr>
        <w:t xml:space="preserve">, institutional arrangements to improve efficiency and accountability of basic service provision, including water and sanitation services; as well </w:t>
      </w:r>
      <w:r w:rsidRPr="0054719E">
        <w:rPr>
          <w:sz w:val="22"/>
        </w:rPr>
        <w:t>as</w:t>
      </w:r>
      <w:r w:rsidRPr="00F318AE">
        <w:rPr>
          <w:sz w:val="22"/>
          <w:lang w:val="en"/>
        </w:rPr>
        <w:t xml:space="preserve"> with Pillar 3 on the needs of the vulnerable and institution strengthening for improved citizen-centered service delivery.</w:t>
      </w:r>
    </w:p>
    <w:p w:rsidR="0054719E" w:rsidRPr="00F318AE" w:rsidRDefault="00B578E1" w:rsidP="00A63A6F">
      <w:pPr>
        <w:pStyle w:val="Normal0"/>
        <w:numPr>
          <w:ilvl w:val="0"/>
          <w:numId w:val="7"/>
        </w:numPr>
        <w:spacing w:after="240" w:line="240" w:lineRule="auto"/>
        <w:ind w:left="0" w:firstLine="0"/>
        <w:jc w:val="both"/>
        <w:rPr>
          <w:sz w:val="22"/>
        </w:rPr>
      </w:pPr>
      <w:r w:rsidRPr="00F318AE">
        <w:rPr>
          <w:b/>
          <w:color w:val="000000" w:themeColor="text1"/>
          <w:sz w:val="22"/>
        </w:rPr>
        <w:t xml:space="preserve">The </w:t>
      </w:r>
      <w:r w:rsidR="000E6C50">
        <w:rPr>
          <w:b/>
          <w:color w:val="000000" w:themeColor="text1"/>
          <w:sz w:val="22"/>
        </w:rPr>
        <w:t>p</w:t>
      </w:r>
      <w:r w:rsidRPr="00F318AE">
        <w:rPr>
          <w:b/>
          <w:color w:val="000000" w:themeColor="text1"/>
          <w:sz w:val="22"/>
        </w:rPr>
        <w:t>roject’s objectives were and remain extremely relevant to the priorities of Palestinian institutions</w:t>
      </w:r>
      <w:r w:rsidRPr="00F318AE">
        <w:rPr>
          <w:color w:val="000000" w:themeColor="text1"/>
          <w:sz w:val="22"/>
        </w:rPr>
        <w:t xml:space="preserve">. </w:t>
      </w:r>
      <w:r w:rsidRPr="0054719E">
        <w:rPr>
          <w:sz w:val="22"/>
        </w:rPr>
        <w:t>Water</w:t>
      </w:r>
      <w:r w:rsidRPr="00F318AE">
        <w:rPr>
          <w:color w:val="000000" w:themeColor="text1"/>
          <w:sz w:val="22"/>
        </w:rPr>
        <w:t xml:space="preserve"> services continue to be perceived as a key element of the social contract and a key area to improve the lives of Palestinians, as highlighted in the </w:t>
      </w:r>
      <w:r>
        <w:rPr>
          <w:color w:val="000000" w:themeColor="text1"/>
          <w:sz w:val="22"/>
        </w:rPr>
        <w:t xml:space="preserve"> Palestinian Authority’s</w:t>
      </w:r>
      <w:r w:rsidRPr="00F318AE">
        <w:rPr>
          <w:color w:val="000000" w:themeColor="text1"/>
          <w:sz w:val="22"/>
        </w:rPr>
        <w:t xml:space="preserve"> National Policy Agenda. This agenda emphasizes, among other aspects, the need to invest in strategic infrastructure, manage resources sustainably</w:t>
      </w:r>
      <w:r w:rsidR="00B14E06">
        <w:rPr>
          <w:color w:val="000000" w:themeColor="text1"/>
          <w:sz w:val="22"/>
        </w:rPr>
        <w:t>,</w:t>
      </w:r>
      <w:r w:rsidRPr="00F318AE">
        <w:rPr>
          <w:color w:val="000000" w:themeColor="text1"/>
          <w:sz w:val="22"/>
        </w:rPr>
        <w:t xml:space="preserve"> and achieve financial sustainability of water utilities as key aspects to develop citizen-centered institutions.</w:t>
      </w:r>
      <w:r w:rsidRPr="00F318AE">
        <w:rPr>
          <w:sz w:val="22"/>
        </w:rPr>
        <w:t xml:space="preserve"> </w:t>
      </w:r>
      <w:r w:rsidRPr="00F318AE">
        <w:rPr>
          <w:iCs/>
          <w:sz w:val="22"/>
        </w:rPr>
        <w:t xml:space="preserve">Future financial viability of water and wastewater service delivery, </w:t>
      </w:r>
      <w:r w:rsidRPr="00F318AE">
        <w:rPr>
          <w:rFonts w:ascii="Calibri" w:hAnsi="Calibri" w:cs="Calibri"/>
          <w:sz w:val="22"/>
        </w:rPr>
        <w:t xml:space="preserve">as set out in </w:t>
      </w:r>
      <w:r w:rsidR="00B14E06">
        <w:rPr>
          <w:rFonts w:ascii="Calibri" w:hAnsi="Calibri" w:cs="Calibri"/>
          <w:sz w:val="22"/>
        </w:rPr>
        <w:t xml:space="preserve">the </w:t>
      </w:r>
      <w:r w:rsidRPr="00F318AE">
        <w:rPr>
          <w:rFonts w:ascii="Calibri" w:hAnsi="Calibri" w:cs="Calibri"/>
          <w:sz w:val="22"/>
        </w:rPr>
        <w:t>2014 Water Law,</w:t>
      </w:r>
      <w:r w:rsidRPr="00F318AE">
        <w:rPr>
          <w:iCs/>
          <w:sz w:val="22"/>
        </w:rPr>
        <w:t xml:space="preserve"> is predicated </w:t>
      </w:r>
      <w:r w:rsidRPr="0054719E">
        <w:rPr>
          <w:sz w:val="22"/>
        </w:rPr>
        <w:t>on</w:t>
      </w:r>
      <w:r w:rsidRPr="00F318AE">
        <w:rPr>
          <w:iCs/>
          <w:sz w:val="22"/>
        </w:rPr>
        <w:t xml:space="preserve"> a combination of </w:t>
      </w:r>
      <w:r w:rsidR="000E6C50">
        <w:rPr>
          <w:iCs/>
          <w:sz w:val="22"/>
        </w:rPr>
        <w:t>(</w:t>
      </w:r>
      <w:r w:rsidRPr="00F318AE">
        <w:rPr>
          <w:iCs/>
          <w:sz w:val="22"/>
        </w:rPr>
        <w:t>a) increasing cost recovery</w:t>
      </w:r>
      <w:r w:rsidR="000E6C50">
        <w:rPr>
          <w:iCs/>
          <w:sz w:val="22"/>
        </w:rPr>
        <w:t>,</w:t>
      </w:r>
      <w:r w:rsidRPr="00F318AE">
        <w:rPr>
          <w:iCs/>
          <w:sz w:val="22"/>
        </w:rPr>
        <w:t xml:space="preserve"> </w:t>
      </w:r>
      <w:r w:rsidR="000E6C50">
        <w:rPr>
          <w:iCs/>
          <w:sz w:val="22"/>
        </w:rPr>
        <w:t>(</w:t>
      </w:r>
      <w:r w:rsidRPr="00F318AE">
        <w:rPr>
          <w:iCs/>
          <w:sz w:val="22"/>
        </w:rPr>
        <w:t xml:space="preserve">b) increasing </w:t>
      </w:r>
      <w:r w:rsidR="008D27C7">
        <w:rPr>
          <w:iCs/>
          <w:sz w:val="22"/>
        </w:rPr>
        <w:t>SP</w:t>
      </w:r>
      <w:r w:rsidRPr="00F318AE">
        <w:rPr>
          <w:iCs/>
          <w:sz w:val="22"/>
        </w:rPr>
        <w:t xml:space="preserve"> efficiency, and </w:t>
      </w:r>
      <w:r w:rsidR="000E6C50">
        <w:rPr>
          <w:iCs/>
          <w:sz w:val="22"/>
        </w:rPr>
        <w:t>(</w:t>
      </w:r>
      <w:r w:rsidRPr="00F318AE">
        <w:rPr>
          <w:iCs/>
          <w:sz w:val="22"/>
        </w:rPr>
        <w:t>c) ring-fencing water sector revenues. Achieving this financial viability objective will require carefully coordinated actions for increasing municipal revenues (</w:t>
      </w:r>
      <w:r w:rsidR="000E6C50">
        <w:rPr>
          <w:iCs/>
          <w:sz w:val="22"/>
        </w:rPr>
        <w:t>for example,</w:t>
      </w:r>
      <w:r w:rsidRPr="00F318AE">
        <w:rPr>
          <w:iCs/>
          <w:sz w:val="22"/>
        </w:rPr>
        <w:t xml:space="preserve"> from block grants or property taxes) so as not to undermine the delivery of other municipal services.</w:t>
      </w:r>
      <w:r w:rsidR="000F13ED">
        <w:rPr>
          <w:iCs/>
          <w:sz w:val="22"/>
        </w:rPr>
        <w:t xml:space="preserve"> </w:t>
      </w:r>
      <w:r w:rsidRPr="00F318AE">
        <w:rPr>
          <w:iCs/>
          <w:sz w:val="22"/>
        </w:rPr>
        <w:t>Thus,</w:t>
      </w:r>
      <w:r w:rsidRPr="00F318AE">
        <w:rPr>
          <w:color w:val="000000" w:themeColor="text1"/>
          <w:sz w:val="22"/>
        </w:rPr>
        <w:t xml:space="preserve"> effective institutional and regulatory reform of the water sector is closely interlinked with the broader reform agenda of the municipal and energy sectors toward more inclusive service delivery.</w:t>
      </w:r>
    </w:p>
    <w:p w:rsidR="0054719E" w:rsidRDefault="00B578E1" w:rsidP="00A63A6F">
      <w:pPr>
        <w:pStyle w:val="Normal0"/>
        <w:numPr>
          <w:ilvl w:val="0"/>
          <w:numId w:val="7"/>
        </w:numPr>
        <w:spacing w:after="240" w:line="240" w:lineRule="auto"/>
        <w:ind w:left="0" w:firstLine="0"/>
        <w:jc w:val="both"/>
      </w:pPr>
      <w:r w:rsidRPr="00F318AE">
        <w:rPr>
          <w:b/>
          <w:color w:val="000000" w:themeColor="text1"/>
          <w:sz w:val="22"/>
        </w:rPr>
        <w:t>Rating.</w:t>
      </w:r>
      <w:r w:rsidRPr="00F318AE">
        <w:rPr>
          <w:color w:val="000000" w:themeColor="text1"/>
          <w:sz w:val="22"/>
        </w:rPr>
        <w:t xml:space="preserve"> The overall relevance of the </w:t>
      </w:r>
      <w:r w:rsidR="0060182B">
        <w:rPr>
          <w:color w:val="000000" w:themeColor="text1"/>
          <w:sz w:val="22"/>
        </w:rPr>
        <w:t>p</w:t>
      </w:r>
      <w:r w:rsidRPr="00F318AE">
        <w:rPr>
          <w:color w:val="000000" w:themeColor="text1"/>
          <w:sz w:val="22"/>
        </w:rPr>
        <w:t xml:space="preserve">roject is rated high. Strengthening of water sector institutions is identified as a priority area to </w:t>
      </w:r>
      <w:r w:rsidRPr="0054719E">
        <w:rPr>
          <w:sz w:val="22"/>
        </w:rPr>
        <w:t>improve</w:t>
      </w:r>
      <w:r w:rsidRPr="00F318AE">
        <w:rPr>
          <w:color w:val="000000" w:themeColor="text1"/>
          <w:sz w:val="22"/>
        </w:rPr>
        <w:t xml:space="preserve"> the water security of the Palestinian people and support broader reforms to improve the inclusiveness of urban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B04F0C">
        <w:trPr>
          <w:trHeight w:val="360"/>
        </w:trPr>
        <w:tc>
          <w:tcPr>
            <w:tcW w:w="5000" w:type="pct"/>
          </w:tcPr>
          <w:p w:rsidR="00E5257C" w:rsidRPr="009212BE" w:rsidRDefault="00B578E1" w:rsidP="00E6336E">
            <w:pPr>
              <w:pStyle w:val="Heading2"/>
              <w:outlineLvl w:val="1"/>
            </w:pPr>
            <w:bookmarkStart w:id="50" w:name="_Toc256000006"/>
            <w:bookmarkStart w:id="51" w:name="_Toc485984572"/>
            <w:bookmarkStart w:id="52" w:name="_Toc510969695"/>
            <w:bookmarkStart w:id="53" w:name="_Toc516132497"/>
            <w:r w:rsidRPr="009212BE">
              <w:t>B. ACHIEVEMENT OF PDOs (EFFICACY)</w:t>
            </w:r>
            <w:bookmarkEnd w:id="50"/>
            <w:bookmarkEnd w:id="51"/>
            <w:bookmarkEnd w:id="52"/>
            <w:bookmarkEnd w:id="53"/>
          </w:p>
        </w:tc>
      </w:tr>
    </w:tbl>
    <w:p w:rsidR="0014533D" w:rsidRPr="00F318AE" w:rsidRDefault="00B578E1" w:rsidP="00A63A6F">
      <w:pPr>
        <w:pStyle w:val="Normal0"/>
        <w:numPr>
          <w:ilvl w:val="0"/>
          <w:numId w:val="7"/>
        </w:numPr>
        <w:spacing w:before="240" w:after="240" w:line="240" w:lineRule="auto"/>
        <w:ind w:left="0" w:firstLine="0"/>
        <w:jc w:val="both"/>
        <w:rPr>
          <w:sz w:val="22"/>
        </w:rPr>
      </w:pPr>
      <w:r w:rsidRPr="00F318AE">
        <w:rPr>
          <w:b/>
          <w:sz w:val="22"/>
        </w:rPr>
        <w:t>A</w:t>
      </w:r>
      <w:r w:rsidR="00F412AF" w:rsidRPr="00F318AE">
        <w:rPr>
          <w:b/>
          <w:sz w:val="22"/>
        </w:rPr>
        <w:t xml:space="preserve">lthough a single PDO was presented, </w:t>
      </w:r>
      <w:r w:rsidR="007F1431" w:rsidRPr="00F318AE">
        <w:rPr>
          <w:b/>
          <w:sz w:val="22"/>
        </w:rPr>
        <w:t>th</w:t>
      </w:r>
      <w:r w:rsidR="00EB6D8B" w:rsidRPr="00F318AE">
        <w:rPr>
          <w:b/>
          <w:sz w:val="22"/>
        </w:rPr>
        <w:t>is</w:t>
      </w:r>
      <w:r w:rsidR="007F1431" w:rsidRPr="00F318AE">
        <w:rPr>
          <w:b/>
          <w:sz w:val="22"/>
        </w:rPr>
        <w:t xml:space="preserve"> evaluation examines </w:t>
      </w:r>
      <w:r w:rsidR="00EB54E1" w:rsidRPr="00F318AE">
        <w:rPr>
          <w:b/>
          <w:sz w:val="22"/>
        </w:rPr>
        <w:t>three</w:t>
      </w:r>
      <w:r w:rsidR="007F1431" w:rsidRPr="00F318AE">
        <w:rPr>
          <w:b/>
          <w:sz w:val="22"/>
        </w:rPr>
        <w:t xml:space="preserve"> subcomponents of the PDO statement</w:t>
      </w:r>
      <w:r w:rsidR="007F1431" w:rsidRPr="00F318AE">
        <w:rPr>
          <w:sz w:val="22"/>
        </w:rPr>
        <w:t>.</w:t>
      </w:r>
      <w:r w:rsidR="00EB54E1" w:rsidRPr="00F318AE">
        <w:rPr>
          <w:sz w:val="22"/>
        </w:rPr>
        <w:t xml:space="preserve"> </w:t>
      </w:r>
      <w:r w:rsidR="00BA408C" w:rsidRPr="00F318AE">
        <w:rPr>
          <w:sz w:val="22"/>
        </w:rPr>
        <w:t>The PDO aims to strengthen and improve the capacity of the PWA in three functions: (a) effectively plan water sector development, (b) effectively monitor water sector development, and (c) effectively regulate water sector development.</w:t>
      </w:r>
    </w:p>
    <w:p w:rsidR="003615CB" w:rsidRDefault="00B578E1" w:rsidP="00A63A6F">
      <w:pPr>
        <w:pStyle w:val="Normal0"/>
        <w:numPr>
          <w:ilvl w:val="0"/>
          <w:numId w:val="7"/>
        </w:numPr>
        <w:spacing w:after="240" w:line="240" w:lineRule="auto"/>
        <w:ind w:left="0" w:firstLine="0"/>
        <w:jc w:val="both"/>
        <w:rPr>
          <w:sz w:val="22"/>
        </w:rPr>
      </w:pPr>
      <w:r w:rsidRPr="00F318AE">
        <w:rPr>
          <w:b/>
          <w:sz w:val="22"/>
        </w:rPr>
        <w:t xml:space="preserve">The outcomes are measured by the development and issuance of the Water Law, Sector Reform Planning Document, Water </w:t>
      </w:r>
      <w:r w:rsidRPr="0060182B">
        <w:rPr>
          <w:b/>
          <w:sz w:val="22"/>
        </w:rPr>
        <w:t>Sector</w:t>
      </w:r>
      <w:r w:rsidRPr="00F318AE">
        <w:rPr>
          <w:b/>
          <w:sz w:val="22"/>
        </w:rPr>
        <w:t xml:space="preserve"> Policy and Strategy, as well as the functionality of the WSRC, and the Annual Monitoring Reports on </w:t>
      </w:r>
      <w:r w:rsidR="008D27C7">
        <w:rPr>
          <w:b/>
          <w:sz w:val="22"/>
        </w:rPr>
        <w:t>SP</w:t>
      </w:r>
      <w:r w:rsidRPr="00F318AE">
        <w:rPr>
          <w:b/>
          <w:sz w:val="22"/>
        </w:rPr>
        <w:t>s.</w:t>
      </w:r>
      <w:r w:rsidR="000F13ED">
        <w:rPr>
          <w:sz w:val="22"/>
        </w:rPr>
        <w:t xml:space="preserve"> </w:t>
      </w:r>
      <w:r w:rsidRPr="00F318AE">
        <w:rPr>
          <w:sz w:val="22"/>
        </w:rPr>
        <w:t xml:space="preserve">The outcome indicators were revised at the </w:t>
      </w:r>
      <w:r w:rsidR="00BB2A5E">
        <w:rPr>
          <w:sz w:val="22"/>
        </w:rPr>
        <w:t>AF</w:t>
      </w:r>
      <w:r w:rsidRPr="00F318AE">
        <w:rPr>
          <w:sz w:val="22"/>
        </w:rPr>
        <w:t xml:space="preserve"> stage to add more granularity to the proposed reforms and strategic documents</w:t>
      </w:r>
      <w:r w:rsidR="006D3709">
        <w:rPr>
          <w:sz w:val="22"/>
        </w:rPr>
        <w:t>,</w:t>
      </w:r>
      <w:r w:rsidRPr="00F318AE">
        <w:rPr>
          <w:sz w:val="22"/>
        </w:rPr>
        <w:t xml:space="preserve"> but essentially remained within the same vein.</w:t>
      </w:r>
      <w:r w:rsidR="000F13ED">
        <w:rPr>
          <w:sz w:val="22"/>
        </w:rPr>
        <w:t xml:space="preserve"> </w:t>
      </w:r>
      <w:r w:rsidRPr="00F318AE">
        <w:rPr>
          <w:sz w:val="22"/>
        </w:rPr>
        <w:t xml:space="preserve">With the </w:t>
      </w:r>
      <w:r w:rsidR="00181F8B">
        <w:rPr>
          <w:sz w:val="22"/>
        </w:rPr>
        <w:t xml:space="preserve">project’s </w:t>
      </w:r>
      <w:r w:rsidRPr="00F318AE">
        <w:rPr>
          <w:sz w:val="22"/>
        </w:rPr>
        <w:t xml:space="preserve">support, the PWA was able to revamp the strategic policies, institutional set up of the water and sanitation sector in </w:t>
      </w:r>
      <w:r w:rsidR="00574968">
        <w:rPr>
          <w:sz w:val="22"/>
        </w:rPr>
        <w:t>West Bank and Gaza</w:t>
      </w:r>
      <w:r w:rsidRPr="00F318AE">
        <w:rPr>
          <w:sz w:val="22"/>
        </w:rPr>
        <w:t>, as well as develop implementation action plans and various monitoring and administration tools to improve efficiency of the sector.</w:t>
      </w:r>
      <w:r w:rsidR="000F13ED">
        <w:rPr>
          <w:sz w:val="22"/>
        </w:rPr>
        <w:t xml:space="preserve"> </w:t>
      </w:r>
      <w:r w:rsidRPr="00F318AE">
        <w:rPr>
          <w:sz w:val="22"/>
        </w:rPr>
        <w:t>Although some of the proposed bylaws are still pending the approval by the Cabinet of Ministers</w:t>
      </w:r>
      <w:r w:rsidR="00994013" w:rsidRPr="00F318AE">
        <w:rPr>
          <w:sz w:val="22"/>
        </w:rPr>
        <w:t xml:space="preserve"> </w:t>
      </w:r>
      <w:r w:rsidR="00017794">
        <w:rPr>
          <w:sz w:val="22"/>
        </w:rPr>
        <w:t xml:space="preserve">(CoM) </w:t>
      </w:r>
      <w:r w:rsidR="00994013" w:rsidRPr="00F318AE">
        <w:rPr>
          <w:sz w:val="22"/>
        </w:rPr>
        <w:t>(most noteworthy</w:t>
      </w:r>
      <w:r w:rsidR="0061089E" w:rsidRPr="00F318AE">
        <w:rPr>
          <w:sz w:val="22"/>
        </w:rPr>
        <w:t>,</w:t>
      </w:r>
      <w:r w:rsidR="00994013" w:rsidRPr="00F318AE">
        <w:rPr>
          <w:sz w:val="22"/>
        </w:rPr>
        <w:t xml:space="preserve"> WSRC licensing </w:t>
      </w:r>
      <w:r w:rsidR="0061089E" w:rsidRPr="00F318AE">
        <w:rPr>
          <w:sz w:val="22"/>
        </w:rPr>
        <w:t>and N</w:t>
      </w:r>
      <w:r w:rsidR="006C0238" w:rsidRPr="00F318AE">
        <w:rPr>
          <w:sz w:val="22"/>
        </w:rPr>
        <w:t xml:space="preserve">ational </w:t>
      </w:r>
      <w:r w:rsidR="0061089E" w:rsidRPr="00F318AE">
        <w:rPr>
          <w:sz w:val="22"/>
        </w:rPr>
        <w:t>W</w:t>
      </w:r>
      <w:r w:rsidR="006C0238" w:rsidRPr="00F318AE">
        <w:rPr>
          <w:sz w:val="22"/>
        </w:rPr>
        <w:t xml:space="preserve">ater </w:t>
      </w:r>
      <w:r w:rsidR="0061089E" w:rsidRPr="00F318AE">
        <w:rPr>
          <w:sz w:val="22"/>
        </w:rPr>
        <w:t>C</w:t>
      </w:r>
      <w:r w:rsidR="006C0238" w:rsidRPr="00F318AE">
        <w:rPr>
          <w:sz w:val="22"/>
        </w:rPr>
        <w:t>ompany</w:t>
      </w:r>
      <w:r w:rsidR="0061089E" w:rsidRPr="00F318AE">
        <w:rPr>
          <w:sz w:val="22"/>
        </w:rPr>
        <w:t xml:space="preserve"> </w:t>
      </w:r>
      <w:r w:rsidR="00994013" w:rsidRPr="00F318AE">
        <w:rPr>
          <w:sz w:val="22"/>
        </w:rPr>
        <w:t>bylaw</w:t>
      </w:r>
      <w:r w:rsidR="0061089E" w:rsidRPr="00F318AE">
        <w:rPr>
          <w:sz w:val="22"/>
        </w:rPr>
        <w:t>s</w:t>
      </w:r>
      <w:r w:rsidR="00994013" w:rsidRPr="00F318AE">
        <w:rPr>
          <w:sz w:val="22"/>
        </w:rPr>
        <w:t>)</w:t>
      </w:r>
      <w:r w:rsidRPr="00F318AE">
        <w:rPr>
          <w:sz w:val="22"/>
        </w:rPr>
        <w:t xml:space="preserve">, overall, the </w:t>
      </w:r>
      <w:r w:rsidR="00181F8B">
        <w:rPr>
          <w:sz w:val="22"/>
        </w:rPr>
        <w:t>p</w:t>
      </w:r>
      <w:r w:rsidRPr="00F318AE">
        <w:rPr>
          <w:sz w:val="22"/>
        </w:rPr>
        <w:t>roject largely achieved the PDOs according to the agreed outcome and intermediate results indicators.</w:t>
      </w:r>
    </w:p>
    <w:p w:rsidR="0054719E" w:rsidRPr="00273143" w:rsidRDefault="00B578E1" w:rsidP="00B97FBA">
      <w:pPr>
        <w:keepNext/>
        <w:spacing w:before="240" w:after="240" w:line="240" w:lineRule="auto"/>
        <w:rPr>
          <w:rFonts w:asciiTheme="minorHAnsi" w:hAnsiTheme="minorHAnsi"/>
          <w:b/>
          <w:color w:val="auto"/>
          <w:sz w:val="22"/>
        </w:rPr>
      </w:pPr>
      <w:bookmarkStart w:id="54" w:name="_Toc480984865"/>
      <w:bookmarkStart w:id="55" w:name="_Toc510969696"/>
      <w:r w:rsidRPr="00273143">
        <w:rPr>
          <w:rFonts w:asciiTheme="minorHAnsi" w:hAnsiTheme="minorHAnsi"/>
          <w:b/>
          <w:color w:val="auto"/>
          <w:sz w:val="22"/>
        </w:rPr>
        <w:lastRenderedPageBreak/>
        <w:t>Assessment of Achievement of Each Objective/Outcome</w:t>
      </w:r>
      <w:bookmarkEnd w:id="54"/>
      <w:bookmarkEnd w:id="55"/>
    </w:p>
    <w:p w:rsidR="0054719E" w:rsidRPr="00F318AE" w:rsidRDefault="00B578E1" w:rsidP="00A63A6F">
      <w:pPr>
        <w:pStyle w:val="Normal0"/>
        <w:numPr>
          <w:ilvl w:val="0"/>
          <w:numId w:val="7"/>
        </w:numPr>
        <w:spacing w:after="240" w:line="240" w:lineRule="auto"/>
        <w:ind w:left="0" w:firstLine="0"/>
        <w:jc w:val="both"/>
        <w:rPr>
          <w:rFonts w:eastAsiaTheme="majorEastAsia"/>
          <w:color w:val="172D5F"/>
          <w:sz w:val="22"/>
        </w:rPr>
      </w:pPr>
      <w:r w:rsidRPr="00F318AE">
        <w:rPr>
          <w:b/>
          <w:sz w:val="22"/>
        </w:rPr>
        <w:t>PDO 1:</w:t>
      </w:r>
      <w:r w:rsidR="000F13ED">
        <w:rPr>
          <w:b/>
          <w:sz w:val="22"/>
        </w:rPr>
        <w:t xml:space="preserve"> </w:t>
      </w:r>
      <w:r w:rsidRPr="00F318AE">
        <w:rPr>
          <w:b/>
          <w:sz w:val="22"/>
        </w:rPr>
        <w:t xml:space="preserve">Strengthen and improve the capacity of the PWA to effectively </w:t>
      </w:r>
      <w:r w:rsidRPr="00B97FBA">
        <w:rPr>
          <w:b/>
          <w:sz w:val="22"/>
        </w:rPr>
        <w:t>plan</w:t>
      </w:r>
      <w:r w:rsidRPr="00F318AE">
        <w:rPr>
          <w:b/>
          <w:sz w:val="22"/>
        </w:rPr>
        <w:t xml:space="preserve"> water sector development.</w:t>
      </w:r>
      <w:r w:rsidRPr="00F318AE">
        <w:rPr>
          <w:b/>
          <w:i/>
          <w:sz w:val="22"/>
        </w:rPr>
        <w:t xml:space="preserve"> </w:t>
      </w:r>
      <w:r w:rsidRPr="00F318AE">
        <w:rPr>
          <w:sz w:val="22"/>
        </w:rPr>
        <w:t>The planning capacity was envisioned to be improved through the development of the Sector Planning Document, Water Sector Policy, plans</w:t>
      </w:r>
      <w:r w:rsidR="00DD1848">
        <w:rPr>
          <w:sz w:val="22"/>
        </w:rPr>
        <w:t>,</w:t>
      </w:r>
      <w:r w:rsidRPr="00F318AE">
        <w:rPr>
          <w:sz w:val="22"/>
        </w:rPr>
        <w:t xml:space="preserve"> and planning support tools and procedures, which were all developed and informed strategic water management decisions. Objectives related to the capacity improvement in planning of the water sector development were largely achieved, as outlined </w:t>
      </w:r>
      <w:r w:rsidR="006961EE">
        <w:rPr>
          <w:sz w:val="22"/>
        </w:rPr>
        <w:t>in paragraph 29</w:t>
      </w:r>
      <w:r w:rsidRPr="00F318AE">
        <w:rPr>
          <w:sz w:val="22"/>
        </w:rPr>
        <w:t xml:space="preserve">. </w:t>
      </w:r>
      <w:r w:rsidR="00DD1848">
        <w:rPr>
          <w:sz w:val="22"/>
        </w:rPr>
        <w:t xml:space="preserve">The </w:t>
      </w:r>
      <w:r>
        <w:rPr>
          <w:sz w:val="22"/>
        </w:rPr>
        <w:t xml:space="preserve">PWA has modified its organizational structure and jobs descriptions to cope with the new mandates. It redeployed many of its staff </w:t>
      </w:r>
      <w:r w:rsidR="00DD1848">
        <w:rPr>
          <w:sz w:val="22"/>
        </w:rPr>
        <w:t>according to</w:t>
      </w:r>
      <w:r>
        <w:rPr>
          <w:sz w:val="22"/>
        </w:rPr>
        <w:t xml:space="preserve"> the new organizational structure, however, this needs to be approved by the </w:t>
      </w:r>
      <w:r w:rsidR="00017794">
        <w:rPr>
          <w:sz w:val="22"/>
        </w:rPr>
        <w:t>CoM</w:t>
      </w:r>
      <w:r>
        <w:rPr>
          <w:sz w:val="22"/>
        </w:rPr>
        <w:t>, which was not completed during the project implementation due to the long review process before approval. Nevertheless, this approval w</w:t>
      </w:r>
      <w:r w:rsidR="00DD1848">
        <w:rPr>
          <w:sz w:val="22"/>
        </w:rPr>
        <w:t xml:space="preserve">ill </w:t>
      </w:r>
      <w:r>
        <w:rPr>
          <w:sz w:val="22"/>
        </w:rPr>
        <w:t>n</w:t>
      </w:r>
      <w:r w:rsidR="00DD1848">
        <w:rPr>
          <w:sz w:val="22"/>
        </w:rPr>
        <w:t>o</w:t>
      </w:r>
      <w:r>
        <w:rPr>
          <w:sz w:val="22"/>
        </w:rPr>
        <w:t xml:space="preserve">t affect the implementation mechanism of the PWA and its leadership for the sector development. </w:t>
      </w:r>
    </w:p>
    <w:p w:rsidR="0054719E" w:rsidRPr="00F318AE" w:rsidRDefault="00B578E1" w:rsidP="00A63A6F">
      <w:pPr>
        <w:pStyle w:val="Normal0"/>
        <w:numPr>
          <w:ilvl w:val="0"/>
          <w:numId w:val="7"/>
        </w:numPr>
        <w:spacing w:after="240" w:line="240" w:lineRule="auto"/>
        <w:ind w:left="0" w:firstLine="0"/>
        <w:jc w:val="both"/>
        <w:rPr>
          <w:rFonts w:eastAsiaTheme="majorEastAsia" w:cstheme="minorHAnsi"/>
          <w:sz w:val="22"/>
        </w:rPr>
      </w:pPr>
      <w:r>
        <w:rPr>
          <w:rFonts w:eastAsiaTheme="majorEastAsia" w:cstheme="minorHAnsi"/>
          <w:b/>
          <w:sz w:val="22"/>
          <w:szCs w:val="24"/>
        </w:rPr>
        <w:t xml:space="preserve">The </w:t>
      </w:r>
      <w:r w:rsidRPr="00F318AE">
        <w:rPr>
          <w:rFonts w:eastAsiaTheme="majorEastAsia" w:cstheme="minorHAnsi"/>
          <w:b/>
          <w:sz w:val="22"/>
          <w:szCs w:val="24"/>
        </w:rPr>
        <w:t>Water Sector Reform Planning Document and Reform Plan</w:t>
      </w:r>
      <w:r w:rsidRPr="00F318AE">
        <w:rPr>
          <w:rFonts w:eastAsiaTheme="majorEastAsia" w:cstheme="minorHAnsi"/>
          <w:sz w:val="22"/>
          <w:szCs w:val="24"/>
        </w:rPr>
        <w:t xml:space="preserve"> that were to guide the implementation of the water sector reform, including its goals and principles, indicators, and targets over the coming three years, was developed and endorsed by the </w:t>
      </w:r>
      <w:r w:rsidR="00017794">
        <w:rPr>
          <w:sz w:val="22"/>
        </w:rPr>
        <w:t>CoM</w:t>
      </w:r>
      <w:r w:rsidRPr="00F318AE">
        <w:rPr>
          <w:rFonts w:eastAsiaTheme="majorEastAsia" w:cstheme="minorHAnsi"/>
          <w:sz w:val="22"/>
          <w:szCs w:val="24"/>
        </w:rPr>
        <w:t xml:space="preserve">. The PA and PWA have adopted the </w:t>
      </w:r>
      <w:r w:rsidR="00DD1848">
        <w:rPr>
          <w:rFonts w:eastAsiaTheme="majorEastAsia" w:cstheme="minorHAnsi"/>
          <w:sz w:val="22"/>
          <w:szCs w:val="24"/>
        </w:rPr>
        <w:t>p</w:t>
      </w:r>
      <w:r w:rsidRPr="00F318AE">
        <w:rPr>
          <w:rFonts w:eastAsiaTheme="majorEastAsia" w:cstheme="minorHAnsi"/>
          <w:sz w:val="22"/>
          <w:szCs w:val="24"/>
        </w:rPr>
        <w:t>lan and regularly provide any needed updates to it.</w:t>
      </w:r>
      <w:r w:rsidR="000F13ED">
        <w:rPr>
          <w:rFonts w:eastAsiaTheme="majorEastAsia" w:cstheme="minorHAnsi"/>
          <w:sz w:val="22"/>
          <w:szCs w:val="24"/>
        </w:rPr>
        <w:t xml:space="preserve"> </w:t>
      </w:r>
      <w:r w:rsidRPr="00F318AE">
        <w:rPr>
          <w:rFonts w:eastAsiaTheme="majorEastAsia" w:cstheme="minorHAnsi"/>
          <w:sz w:val="22"/>
          <w:szCs w:val="24"/>
        </w:rPr>
        <w:t xml:space="preserve">Under the </w:t>
      </w:r>
      <w:r w:rsidR="00DD1848">
        <w:rPr>
          <w:rFonts w:eastAsiaTheme="majorEastAsia" w:cstheme="minorHAnsi"/>
          <w:sz w:val="22"/>
          <w:szCs w:val="24"/>
        </w:rPr>
        <w:t>p</w:t>
      </w:r>
      <w:r w:rsidRPr="00F318AE">
        <w:rPr>
          <w:rFonts w:eastAsiaTheme="majorEastAsia" w:cstheme="minorHAnsi"/>
          <w:sz w:val="22"/>
          <w:szCs w:val="24"/>
        </w:rPr>
        <w:t>roject, four reform program updates were developed and published, the latest one being the Reform Plan 2016</w:t>
      </w:r>
      <w:r w:rsidR="00DD1848">
        <w:rPr>
          <w:rFonts w:eastAsiaTheme="majorEastAsia" w:cstheme="minorHAnsi"/>
          <w:sz w:val="22"/>
          <w:szCs w:val="24"/>
        </w:rPr>
        <w:t>–</w:t>
      </w:r>
      <w:r w:rsidRPr="00F318AE">
        <w:rPr>
          <w:rFonts w:eastAsiaTheme="majorEastAsia" w:cstheme="minorHAnsi"/>
          <w:sz w:val="22"/>
          <w:szCs w:val="24"/>
        </w:rPr>
        <w:t>2018.</w:t>
      </w:r>
      <w:r w:rsidR="000F13ED">
        <w:rPr>
          <w:rFonts w:eastAsiaTheme="majorEastAsia" w:cstheme="minorHAnsi"/>
          <w:sz w:val="22"/>
          <w:szCs w:val="24"/>
        </w:rPr>
        <w:t xml:space="preserve"> </w:t>
      </w:r>
    </w:p>
    <w:p w:rsidR="0054719E" w:rsidRPr="00F318AE" w:rsidRDefault="00B578E1" w:rsidP="00A63A6F">
      <w:pPr>
        <w:pStyle w:val="Normal0"/>
        <w:numPr>
          <w:ilvl w:val="0"/>
          <w:numId w:val="7"/>
        </w:numPr>
        <w:spacing w:after="240" w:line="240" w:lineRule="auto"/>
        <w:ind w:left="0" w:firstLine="0"/>
        <w:jc w:val="both"/>
        <w:rPr>
          <w:rFonts w:eastAsiaTheme="majorEastAsia" w:cstheme="minorHAnsi"/>
          <w:sz w:val="22"/>
        </w:rPr>
      </w:pPr>
      <w:r w:rsidRPr="00F318AE">
        <w:rPr>
          <w:b/>
          <w:sz w:val="22"/>
        </w:rPr>
        <w:t xml:space="preserve">Development and implementation of a number of policies, strategies, and regulations in a consultative manner with relevant stakeholders and ministries strengthened </w:t>
      </w:r>
      <w:r w:rsidR="00DD1848">
        <w:rPr>
          <w:b/>
          <w:sz w:val="22"/>
        </w:rPr>
        <w:t xml:space="preserve">the </w:t>
      </w:r>
      <w:r w:rsidRPr="00F318AE">
        <w:rPr>
          <w:b/>
          <w:sz w:val="22"/>
        </w:rPr>
        <w:t>PWA’s strategic planning capacity and created the platform for the development of different legislations.</w:t>
      </w:r>
      <w:r w:rsidR="000F13ED">
        <w:rPr>
          <w:sz w:val="22"/>
        </w:rPr>
        <w:t xml:space="preserve"> </w:t>
      </w:r>
      <w:r w:rsidRPr="00F318AE">
        <w:rPr>
          <w:sz w:val="22"/>
        </w:rPr>
        <w:t xml:space="preserve">One of the key achievements was the Water Sector Policy and Strategy </w:t>
      </w:r>
      <w:r w:rsidR="004B6358">
        <w:rPr>
          <w:sz w:val="22"/>
        </w:rPr>
        <w:t xml:space="preserve">2012-2032 </w:t>
      </w:r>
      <w:r w:rsidRPr="00F318AE">
        <w:rPr>
          <w:sz w:val="22"/>
        </w:rPr>
        <w:t>that was developed by the PWA</w:t>
      </w:r>
      <w:r w:rsidR="004B6358">
        <w:rPr>
          <w:sz w:val="22"/>
        </w:rPr>
        <w:t>. Based on this Policy and Strategy, the</w:t>
      </w:r>
      <w:r w:rsidRPr="00F318AE">
        <w:rPr>
          <w:sz w:val="22"/>
        </w:rPr>
        <w:t xml:space="preserve"> Water Sector Strategic Development Plans for </w:t>
      </w:r>
      <w:r w:rsidR="004B6358">
        <w:rPr>
          <w:sz w:val="22"/>
        </w:rPr>
        <w:t xml:space="preserve">2014-2017 and 2018-2021 </w:t>
      </w:r>
      <w:r w:rsidRPr="00F318AE">
        <w:rPr>
          <w:sz w:val="22"/>
        </w:rPr>
        <w:t>were adopted and are under implementation.</w:t>
      </w:r>
      <w:r w:rsidR="000F13ED">
        <w:rPr>
          <w:sz w:val="22"/>
        </w:rPr>
        <w:t xml:space="preserve"> </w:t>
      </w:r>
      <w:r w:rsidRPr="00F318AE">
        <w:rPr>
          <w:rFonts w:eastAsiaTheme="majorEastAsia" w:cstheme="minorHAnsi"/>
          <w:sz w:val="22"/>
          <w:szCs w:val="24"/>
        </w:rPr>
        <w:t xml:space="preserve">The </w:t>
      </w:r>
      <w:r w:rsidR="004B6358">
        <w:rPr>
          <w:rFonts w:eastAsiaTheme="majorEastAsia" w:cstheme="minorHAnsi"/>
          <w:sz w:val="22"/>
          <w:szCs w:val="24"/>
        </w:rPr>
        <w:t xml:space="preserve">separate </w:t>
      </w:r>
      <w:r w:rsidRPr="00F318AE">
        <w:rPr>
          <w:rFonts w:eastAsiaTheme="majorEastAsia" w:cstheme="minorHAnsi"/>
          <w:sz w:val="22"/>
          <w:szCs w:val="24"/>
        </w:rPr>
        <w:t>Strategic Development Plan for 201</w:t>
      </w:r>
      <w:r w:rsidR="004B6358">
        <w:rPr>
          <w:rFonts w:eastAsiaTheme="majorEastAsia" w:cstheme="minorHAnsi"/>
          <w:sz w:val="22"/>
          <w:szCs w:val="24"/>
        </w:rPr>
        <w:t>6</w:t>
      </w:r>
      <w:r w:rsidR="00DD1848">
        <w:rPr>
          <w:rFonts w:eastAsiaTheme="majorEastAsia" w:cstheme="minorHAnsi"/>
          <w:sz w:val="22"/>
          <w:szCs w:val="24"/>
        </w:rPr>
        <w:t>–</w:t>
      </w:r>
      <w:r w:rsidRPr="00F318AE">
        <w:rPr>
          <w:rFonts w:eastAsiaTheme="majorEastAsia" w:cstheme="minorHAnsi"/>
          <w:sz w:val="22"/>
          <w:szCs w:val="24"/>
        </w:rPr>
        <w:t>201</w:t>
      </w:r>
      <w:r w:rsidR="004B6358">
        <w:rPr>
          <w:rFonts w:eastAsiaTheme="majorEastAsia" w:cstheme="minorHAnsi"/>
          <w:sz w:val="22"/>
          <w:szCs w:val="24"/>
        </w:rPr>
        <w:t>8</w:t>
      </w:r>
      <w:r w:rsidRPr="00F318AE">
        <w:rPr>
          <w:rFonts w:eastAsiaTheme="majorEastAsia" w:cstheme="minorHAnsi"/>
          <w:sz w:val="22"/>
          <w:szCs w:val="24"/>
        </w:rPr>
        <w:t xml:space="preserve"> is </w:t>
      </w:r>
      <w:r>
        <w:rPr>
          <w:rFonts w:eastAsiaTheme="majorEastAsia" w:cstheme="minorHAnsi"/>
          <w:sz w:val="22"/>
          <w:szCs w:val="24"/>
        </w:rPr>
        <w:t>under implementation</w:t>
      </w:r>
      <w:r w:rsidRPr="00F318AE">
        <w:rPr>
          <w:rFonts w:eastAsiaTheme="majorEastAsia" w:cstheme="minorHAnsi"/>
          <w:sz w:val="22"/>
          <w:szCs w:val="24"/>
        </w:rPr>
        <w:t xml:space="preserve"> and serves an important role in </w:t>
      </w:r>
      <w:r w:rsidR="00DD1848">
        <w:rPr>
          <w:rFonts w:eastAsiaTheme="majorEastAsia" w:cstheme="minorHAnsi"/>
          <w:sz w:val="22"/>
          <w:szCs w:val="24"/>
        </w:rPr>
        <w:t xml:space="preserve">the </w:t>
      </w:r>
      <w:r w:rsidRPr="00F318AE">
        <w:rPr>
          <w:rFonts w:eastAsiaTheme="majorEastAsia" w:cstheme="minorHAnsi"/>
          <w:sz w:val="22"/>
          <w:szCs w:val="24"/>
        </w:rPr>
        <w:t>PWA’s investment planning activities</w:t>
      </w:r>
      <w:r w:rsidR="00DD1848">
        <w:rPr>
          <w:rFonts w:eastAsiaTheme="majorEastAsia" w:cstheme="minorHAnsi"/>
          <w:sz w:val="22"/>
          <w:szCs w:val="24"/>
        </w:rPr>
        <w:t>,</w:t>
      </w:r>
      <w:r w:rsidRPr="00F318AE">
        <w:rPr>
          <w:rFonts w:eastAsiaTheme="majorEastAsia" w:cstheme="minorHAnsi"/>
          <w:sz w:val="22"/>
          <w:szCs w:val="24"/>
        </w:rPr>
        <w:t xml:space="preserve"> whereby all the public and donor investments are distributed based on the priorities identified in these </w:t>
      </w:r>
      <w:r w:rsidR="00DD1848">
        <w:rPr>
          <w:rFonts w:eastAsiaTheme="majorEastAsia" w:cstheme="minorHAnsi"/>
          <w:sz w:val="22"/>
          <w:szCs w:val="24"/>
        </w:rPr>
        <w:t>p</w:t>
      </w:r>
      <w:r w:rsidRPr="00F318AE">
        <w:rPr>
          <w:rFonts w:eastAsiaTheme="majorEastAsia" w:cstheme="minorHAnsi"/>
          <w:sz w:val="22"/>
          <w:szCs w:val="24"/>
        </w:rPr>
        <w:t>lans.</w:t>
      </w:r>
      <w:r w:rsidR="000F13ED">
        <w:rPr>
          <w:rFonts w:eastAsiaTheme="majorEastAsia" w:cstheme="minorHAnsi"/>
          <w:sz w:val="22"/>
          <w:szCs w:val="24"/>
        </w:rPr>
        <w:t xml:space="preserve"> </w:t>
      </w:r>
      <w:r w:rsidRPr="00F318AE">
        <w:rPr>
          <w:rFonts w:eastAsiaTheme="majorEastAsia" w:cstheme="minorHAnsi"/>
          <w:sz w:val="22"/>
          <w:szCs w:val="24"/>
        </w:rPr>
        <w:t xml:space="preserve">The Strategic Development Plan also allows </w:t>
      </w:r>
      <w:r w:rsidR="00DD1848">
        <w:rPr>
          <w:rFonts w:eastAsiaTheme="majorEastAsia" w:cstheme="minorHAnsi"/>
          <w:sz w:val="22"/>
          <w:szCs w:val="24"/>
        </w:rPr>
        <w:t xml:space="preserve">the </w:t>
      </w:r>
      <w:r w:rsidRPr="00F318AE">
        <w:rPr>
          <w:rFonts w:eastAsiaTheme="majorEastAsia" w:cstheme="minorHAnsi"/>
          <w:sz w:val="22"/>
          <w:szCs w:val="24"/>
        </w:rPr>
        <w:t>PWA mobilize donor funding for its various planned programs, like, for instance, recent mobilization of 80</w:t>
      </w:r>
      <w:r>
        <w:rPr>
          <w:rFonts w:eastAsiaTheme="majorEastAsia" w:cstheme="minorHAnsi"/>
          <w:sz w:val="22"/>
          <w:szCs w:val="24"/>
        </w:rPr>
        <w:t xml:space="preserve"> percent</w:t>
      </w:r>
      <w:r w:rsidRPr="00F318AE">
        <w:rPr>
          <w:rFonts w:eastAsiaTheme="majorEastAsia" w:cstheme="minorHAnsi"/>
          <w:sz w:val="22"/>
          <w:szCs w:val="24"/>
        </w:rPr>
        <w:t xml:space="preserve"> of the required funding for the desalination plant.</w:t>
      </w:r>
      <w:r w:rsidR="000F13ED">
        <w:rPr>
          <w:rFonts w:eastAsiaTheme="majorEastAsia" w:cstheme="minorHAnsi"/>
          <w:sz w:val="22"/>
          <w:szCs w:val="24"/>
        </w:rPr>
        <w:t xml:space="preserve"> </w:t>
      </w:r>
    </w:p>
    <w:p w:rsidR="0054719E" w:rsidRPr="00F318AE" w:rsidRDefault="00B578E1" w:rsidP="00A63A6F">
      <w:pPr>
        <w:pStyle w:val="Normal0"/>
        <w:numPr>
          <w:ilvl w:val="0"/>
          <w:numId w:val="7"/>
        </w:numPr>
        <w:spacing w:after="240" w:line="240" w:lineRule="auto"/>
        <w:ind w:left="0" w:firstLine="0"/>
        <w:jc w:val="both"/>
        <w:rPr>
          <w:rFonts w:eastAsiaTheme="majorEastAsia" w:cstheme="minorHAnsi"/>
          <w:sz w:val="22"/>
        </w:rPr>
      </w:pPr>
      <w:r>
        <w:rPr>
          <w:b/>
          <w:sz w:val="22"/>
        </w:rPr>
        <w:t xml:space="preserve">The </w:t>
      </w:r>
      <w:r w:rsidRPr="00F318AE">
        <w:rPr>
          <w:b/>
          <w:sz w:val="22"/>
        </w:rPr>
        <w:t>PWA also developed several other water sector strategies</w:t>
      </w:r>
      <w:r w:rsidRPr="00F318AE">
        <w:rPr>
          <w:sz w:val="22"/>
        </w:rPr>
        <w:t>: (</w:t>
      </w:r>
      <w:r>
        <w:rPr>
          <w:sz w:val="22"/>
        </w:rPr>
        <w:t>a</w:t>
      </w:r>
      <w:r w:rsidRPr="00F318AE">
        <w:rPr>
          <w:sz w:val="22"/>
        </w:rPr>
        <w:t>) Policy and a Strategy on Capacity Development of the Water Sector; (</w:t>
      </w:r>
      <w:r>
        <w:rPr>
          <w:sz w:val="22"/>
        </w:rPr>
        <w:t>b</w:t>
      </w:r>
      <w:r w:rsidRPr="00F318AE">
        <w:rPr>
          <w:sz w:val="22"/>
        </w:rPr>
        <w:t>) National Water Awareness Strategy; (</w:t>
      </w:r>
      <w:r>
        <w:rPr>
          <w:sz w:val="22"/>
        </w:rPr>
        <w:t>c</w:t>
      </w:r>
      <w:r w:rsidRPr="00F318AE">
        <w:rPr>
          <w:sz w:val="22"/>
        </w:rPr>
        <w:t>) General Policy for Water Demand Management Concepts and Principles; (</w:t>
      </w:r>
      <w:r>
        <w:rPr>
          <w:sz w:val="22"/>
        </w:rPr>
        <w:t>d</w:t>
      </w:r>
      <w:r w:rsidRPr="00F318AE">
        <w:rPr>
          <w:sz w:val="22"/>
        </w:rPr>
        <w:t xml:space="preserve">) Strategic </w:t>
      </w:r>
      <w:r>
        <w:rPr>
          <w:sz w:val="22"/>
        </w:rPr>
        <w:t>P</w:t>
      </w:r>
      <w:r w:rsidRPr="00F318AE">
        <w:rPr>
          <w:sz w:val="22"/>
        </w:rPr>
        <w:t>lan for Water Information System</w:t>
      </w:r>
      <w:r>
        <w:rPr>
          <w:sz w:val="22"/>
        </w:rPr>
        <w:t>;</w:t>
      </w:r>
      <w:r w:rsidRPr="00F318AE">
        <w:rPr>
          <w:sz w:val="22"/>
        </w:rPr>
        <w:t xml:space="preserve"> (</w:t>
      </w:r>
      <w:r>
        <w:rPr>
          <w:sz w:val="22"/>
        </w:rPr>
        <w:t>e</w:t>
      </w:r>
      <w:r w:rsidRPr="00F318AE">
        <w:rPr>
          <w:sz w:val="22"/>
        </w:rPr>
        <w:t xml:space="preserve">) ten policies for the Water Sector (Water Policy Equity in Water Distribution, Alternative Water Resources Policy, Non-Revenue Water Policy, Improving Sanitation Services Policy, Polluter Pays Policy, Financial Sustainability Policy, Transparency and Accountability Policy, Community Participation Policy, Partnership with Private Sector Policy, </w:t>
      </w:r>
      <w:r>
        <w:rPr>
          <w:sz w:val="22"/>
        </w:rPr>
        <w:t xml:space="preserve">and </w:t>
      </w:r>
      <w:r w:rsidRPr="00F318AE">
        <w:rPr>
          <w:sz w:val="22"/>
        </w:rPr>
        <w:t>Promotion for Water Sector Policies); (</w:t>
      </w:r>
      <w:r>
        <w:rPr>
          <w:sz w:val="22"/>
        </w:rPr>
        <w:t>f</w:t>
      </w:r>
      <w:r w:rsidRPr="00F318AE">
        <w:rPr>
          <w:sz w:val="22"/>
        </w:rPr>
        <w:t>) Trans-boundary Water Resources Strategy and Action Plan; (</w:t>
      </w:r>
      <w:r>
        <w:rPr>
          <w:sz w:val="22"/>
        </w:rPr>
        <w:t>g</w:t>
      </w:r>
      <w:r w:rsidRPr="00F318AE">
        <w:rPr>
          <w:sz w:val="22"/>
        </w:rPr>
        <w:t>) Gender Mainstreaming Guidelines for Palestinian Water Sector</w:t>
      </w:r>
      <w:r w:rsidR="007859BE">
        <w:rPr>
          <w:sz w:val="22"/>
        </w:rPr>
        <w:t>; (f) water safety plans; (g) financial sustainability strategy (h) non-revenue water strategy; (i) drinking water quality standards; (h) climate change mitigation measures; and (j) strategic water resources and transfer plan</w:t>
      </w:r>
      <w:r w:rsidRPr="00F318AE">
        <w:rPr>
          <w:sz w:val="22"/>
        </w:rPr>
        <w:t>.</w:t>
      </w:r>
      <w:r w:rsidR="000F13ED">
        <w:rPr>
          <w:sz w:val="22"/>
        </w:rPr>
        <w:t xml:space="preserve"> </w:t>
      </w:r>
      <w:r w:rsidRPr="00F318AE">
        <w:rPr>
          <w:sz w:val="22"/>
        </w:rPr>
        <w:t xml:space="preserve">These policies </w:t>
      </w:r>
      <w:r>
        <w:rPr>
          <w:sz w:val="22"/>
        </w:rPr>
        <w:t>have been approved and implemented by</w:t>
      </w:r>
      <w:r w:rsidRPr="00F318AE">
        <w:rPr>
          <w:sz w:val="22"/>
        </w:rPr>
        <w:t xml:space="preserve"> the PWA </w:t>
      </w:r>
      <w:r>
        <w:rPr>
          <w:sz w:val="22"/>
        </w:rPr>
        <w:t>and</w:t>
      </w:r>
      <w:r w:rsidRPr="00F318AE">
        <w:rPr>
          <w:sz w:val="22"/>
        </w:rPr>
        <w:t xml:space="preserve"> </w:t>
      </w:r>
      <w:r>
        <w:rPr>
          <w:sz w:val="22"/>
        </w:rPr>
        <w:t>are put into action for sector development.</w:t>
      </w:r>
      <w:r w:rsidR="000F13ED">
        <w:rPr>
          <w:sz w:val="22"/>
        </w:rPr>
        <w:t xml:space="preserve"> </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lastRenderedPageBreak/>
        <w:t xml:space="preserve">PDO 2: Strengthen and improve the capacity of PWA to </w:t>
      </w:r>
      <w:r w:rsidRPr="00B97FBA">
        <w:rPr>
          <w:b/>
          <w:sz w:val="22"/>
        </w:rPr>
        <w:t>monitor</w:t>
      </w:r>
      <w:r w:rsidRPr="00F318AE">
        <w:rPr>
          <w:b/>
          <w:sz w:val="22"/>
        </w:rPr>
        <w:t xml:space="preserve"> water sector development</w:t>
      </w:r>
      <w:r w:rsidRPr="00F318AE">
        <w:rPr>
          <w:b/>
          <w:i/>
          <w:sz w:val="22"/>
        </w:rPr>
        <w:t>.</w:t>
      </w:r>
      <w:r w:rsidRPr="00F318AE">
        <w:rPr>
          <w:i/>
          <w:sz w:val="22"/>
        </w:rPr>
        <w:t xml:space="preserve"> </w:t>
      </w:r>
      <w:r w:rsidRPr="00F318AE">
        <w:rPr>
          <w:sz w:val="22"/>
        </w:rPr>
        <w:t xml:space="preserve">The monitoring capacity was envisioned to be improved through the development and regular updating of the annual performance monitoring reports on the </w:t>
      </w:r>
      <w:r w:rsidR="00DD1848">
        <w:rPr>
          <w:sz w:val="22"/>
        </w:rPr>
        <w:t>w</w:t>
      </w:r>
      <w:r w:rsidRPr="00F318AE">
        <w:rPr>
          <w:sz w:val="22"/>
        </w:rPr>
        <w:t xml:space="preserve">ater </w:t>
      </w:r>
      <w:r w:rsidR="00DD1848">
        <w:rPr>
          <w:sz w:val="22"/>
        </w:rPr>
        <w:t>s</w:t>
      </w:r>
      <w:r w:rsidRPr="00F318AE">
        <w:rPr>
          <w:sz w:val="22"/>
        </w:rPr>
        <w:t xml:space="preserve">ervice </w:t>
      </w:r>
      <w:r w:rsidR="00DD1848">
        <w:rPr>
          <w:sz w:val="22"/>
        </w:rPr>
        <w:t>p</w:t>
      </w:r>
      <w:r w:rsidRPr="00F318AE">
        <w:rPr>
          <w:sz w:val="22"/>
        </w:rPr>
        <w:t xml:space="preserve">roviders (WSPs), quarterly status memoranda on sector reform, and development of the information system. </w:t>
      </w:r>
      <w:r w:rsidR="00DD1848">
        <w:rPr>
          <w:sz w:val="22"/>
        </w:rPr>
        <w:t>The o</w:t>
      </w:r>
      <w:r w:rsidRPr="00F318AE">
        <w:rPr>
          <w:sz w:val="22"/>
        </w:rPr>
        <w:t>bjectives related to monitoring capacity improvement were achieved to a large extent.</w:t>
      </w:r>
      <w:r w:rsidRPr="00F318AE">
        <w:rPr>
          <w:bCs/>
          <w:sz w:val="22"/>
        </w:rPr>
        <w:t xml:space="preserve"> </w:t>
      </w:r>
    </w:p>
    <w:p w:rsidR="0054719E" w:rsidRPr="00F318AE" w:rsidRDefault="00B578E1" w:rsidP="00A63A6F">
      <w:pPr>
        <w:pStyle w:val="Normal0"/>
        <w:numPr>
          <w:ilvl w:val="0"/>
          <w:numId w:val="7"/>
        </w:numPr>
        <w:spacing w:after="240" w:line="240" w:lineRule="auto"/>
        <w:ind w:left="0" w:firstLine="0"/>
        <w:jc w:val="both"/>
        <w:rPr>
          <w:sz w:val="22"/>
        </w:rPr>
      </w:pPr>
      <w:r w:rsidRPr="00F318AE">
        <w:rPr>
          <w:b/>
          <w:bCs/>
          <w:sz w:val="22"/>
        </w:rPr>
        <w:t>The WSRC has put in place a transparent performance monitoring database along with mechanisms to disseminate and discuss the emerging analysis</w:t>
      </w:r>
      <w:r w:rsidRPr="00F318AE">
        <w:rPr>
          <w:bCs/>
          <w:sz w:val="22"/>
        </w:rPr>
        <w:t xml:space="preserve">. This system </w:t>
      </w:r>
      <w:r w:rsidRPr="00F318AE">
        <w:rPr>
          <w:sz w:val="22"/>
        </w:rPr>
        <w:t>contributed to the (</w:t>
      </w:r>
      <w:r w:rsidR="00133CAB">
        <w:rPr>
          <w:sz w:val="22"/>
        </w:rPr>
        <w:t>a</w:t>
      </w:r>
      <w:r w:rsidRPr="00F318AE">
        <w:rPr>
          <w:sz w:val="22"/>
        </w:rPr>
        <w:t>) improvement of data availability and accuracy as well as knowledge about the overall situation and development of the water sector; (</w:t>
      </w:r>
      <w:r w:rsidR="00133CAB">
        <w:rPr>
          <w:sz w:val="22"/>
        </w:rPr>
        <w:t>b</w:t>
      </w:r>
      <w:r w:rsidRPr="00F318AE">
        <w:rPr>
          <w:sz w:val="22"/>
        </w:rPr>
        <w:t xml:space="preserve">) introduction of a first benchmarking system for WSPs; </w:t>
      </w:r>
      <w:r>
        <w:rPr>
          <w:sz w:val="22"/>
        </w:rPr>
        <w:t xml:space="preserve">and </w:t>
      </w:r>
      <w:r w:rsidRPr="00F318AE">
        <w:rPr>
          <w:sz w:val="22"/>
        </w:rPr>
        <w:t>(</w:t>
      </w:r>
      <w:r w:rsidR="00133CAB">
        <w:rPr>
          <w:sz w:val="22"/>
        </w:rPr>
        <w:t>c</w:t>
      </w:r>
      <w:r>
        <w:rPr>
          <w:sz w:val="22"/>
        </w:rPr>
        <w:t xml:space="preserve">) </w:t>
      </w:r>
      <w:r w:rsidRPr="00F318AE">
        <w:rPr>
          <w:sz w:val="22"/>
        </w:rPr>
        <w:t>increased transparency and accountability with the issuing of the annual reports on WSPs</w:t>
      </w:r>
      <w:r w:rsidR="009C0F1D">
        <w:rPr>
          <w:sz w:val="22"/>
        </w:rPr>
        <w:t>’</w:t>
      </w:r>
      <w:r w:rsidRPr="00F318AE">
        <w:rPr>
          <w:sz w:val="22"/>
        </w:rPr>
        <w:t xml:space="preserve"> performance and their ranking (for each indicator</w:t>
      </w:r>
      <w:r w:rsidR="006961EE">
        <w:rPr>
          <w:sz w:val="22"/>
        </w:rPr>
        <w:t>)</w:t>
      </w:r>
      <w:r w:rsidRPr="00F318AE">
        <w:rPr>
          <w:sz w:val="22"/>
        </w:rPr>
        <w:t>.</w:t>
      </w:r>
      <w:r w:rsidR="000F13ED">
        <w:rPr>
          <w:sz w:val="22"/>
        </w:rPr>
        <w:t xml:space="preserve"> </w:t>
      </w:r>
      <w:r w:rsidRPr="00F318AE">
        <w:rPr>
          <w:bCs/>
          <w:sz w:val="22"/>
        </w:rPr>
        <w:t xml:space="preserve">There is still, however, a need to strengthen the feedback loop between </w:t>
      </w:r>
      <w:r w:rsidR="009C0F1D">
        <w:rPr>
          <w:bCs/>
          <w:sz w:val="22"/>
        </w:rPr>
        <w:t xml:space="preserve">the </w:t>
      </w:r>
      <w:r w:rsidRPr="00F318AE">
        <w:rPr>
          <w:bCs/>
          <w:sz w:val="22"/>
        </w:rPr>
        <w:t xml:space="preserve">WSRC’s monitoring of </w:t>
      </w:r>
      <w:r w:rsidR="008D27C7">
        <w:rPr>
          <w:bCs/>
          <w:sz w:val="22"/>
        </w:rPr>
        <w:t>SP</w:t>
      </w:r>
      <w:r w:rsidRPr="00F318AE">
        <w:rPr>
          <w:bCs/>
          <w:sz w:val="22"/>
        </w:rPr>
        <w:t xml:space="preserve"> performance and </w:t>
      </w:r>
      <w:r w:rsidRPr="00F318AE">
        <w:rPr>
          <w:sz w:val="22"/>
        </w:rPr>
        <w:t>the evolution of reform instruments (laws, policies, plans</w:t>
      </w:r>
      <w:r w:rsidR="009C0F1D">
        <w:rPr>
          <w:sz w:val="22"/>
        </w:rPr>
        <w:t>, and so on</w:t>
      </w:r>
      <w:r w:rsidRPr="00F318AE">
        <w:rPr>
          <w:sz w:val="22"/>
        </w:rPr>
        <w:t xml:space="preserve">) that should continuously strengthen the enabling environment for </w:t>
      </w:r>
      <w:r w:rsidR="008D27C7">
        <w:rPr>
          <w:bCs/>
          <w:sz w:val="22"/>
        </w:rPr>
        <w:t>SP</w:t>
      </w:r>
      <w:r w:rsidRPr="00F318AE">
        <w:rPr>
          <w:bCs/>
          <w:sz w:val="22"/>
        </w:rPr>
        <w:t>s</w:t>
      </w:r>
      <w:r w:rsidRPr="00F318AE">
        <w:rPr>
          <w:sz w:val="22"/>
        </w:rPr>
        <w:t>.</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Monitoring </w:t>
      </w:r>
      <w:r w:rsidR="00166DAC">
        <w:rPr>
          <w:b/>
          <w:sz w:val="22"/>
        </w:rPr>
        <w:t>r</w:t>
      </w:r>
      <w:r w:rsidRPr="00F318AE">
        <w:rPr>
          <w:b/>
          <w:sz w:val="22"/>
        </w:rPr>
        <w:t xml:space="preserve">eports on </w:t>
      </w:r>
      <w:r w:rsidR="00166DAC">
        <w:rPr>
          <w:b/>
          <w:sz w:val="22"/>
        </w:rPr>
        <w:t xml:space="preserve">the </w:t>
      </w:r>
      <w:r w:rsidRPr="00F318AE">
        <w:rPr>
          <w:b/>
          <w:sz w:val="22"/>
        </w:rPr>
        <w:t>WSPs</w:t>
      </w:r>
      <w:r w:rsidR="00B97FBA">
        <w:rPr>
          <w:b/>
          <w:sz w:val="22"/>
        </w:rPr>
        <w:t>’</w:t>
      </w:r>
      <w:r w:rsidRPr="00F318AE">
        <w:rPr>
          <w:b/>
          <w:sz w:val="22"/>
        </w:rPr>
        <w:t xml:space="preserve"> performance are developed and published annually, and an online system on WSPs is live and operational</w:t>
      </w:r>
      <w:r w:rsidRPr="00F318AE">
        <w:rPr>
          <w:sz w:val="22"/>
        </w:rPr>
        <w:t xml:space="preserve">. </w:t>
      </w:r>
      <w:r w:rsidR="00166DAC">
        <w:rPr>
          <w:sz w:val="22"/>
        </w:rPr>
        <w:t xml:space="preserve">The </w:t>
      </w:r>
      <w:r w:rsidRPr="00F318AE">
        <w:rPr>
          <w:sz w:val="22"/>
        </w:rPr>
        <w:t xml:space="preserve">WSRC has developed a methodology and carries out yearly monitoring and reporting on the </w:t>
      </w:r>
      <w:r w:rsidR="00166DAC">
        <w:rPr>
          <w:sz w:val="22"/>
        </w:rPr>
        <w:t xml:space="preserve">WSPs’ </w:t>
      </w:r>
      <w:r w:rsidRPr="00F318AE">
        <w:rPr>
          <w:sz w:val="22"/>
        </w:rPr>
        <w:t xml:space="preserve">performance  on a number of technical and other indicators. </w:t>
      </w:r>
      <w:r w:rsidR="00166DAC">
        <w:rPr>
          <w:sz w:val="22"/>
        </w:rPr>
        <w:t xml:space="preserve">The </w:t>
      </w:r>
      <w:r w:rsidRPr="00F318AE">
        <w:rPr>
          <w:sz w:val="22"/>
        </w:rPr>
        <w:t>WSRC has published annual performance monitoring reports for 2013</w:t>
      </w:r>
      <w:r w:rsidR="00166DAC">
        <w:rPr>
          <w:sz w:val="22"/>
        </w:rPr>
        <w:t>–</w:t>
      </w:r>
      <w:r w:rsidRPr="00F318AE">
        <w:rPr>
          <w:sz w:val="22"/>
        </w:rPr>
        <w:t xml:space="preserve">2016. Also, </w:t>
      </w:r>
      <w:r w:rsidR="00166DAC">
        <w:rPr>
          <w:sz w:val="22"/>
        </w:rPr>
        <w:t xml:space="preserve">the </w:t>
      </w:r>
      <w:r w:rsidRPr="00F318AE">
        <w:rPr>
          <w:sz w:val="22"/>
        </w:rPr>
        <w:t xml:space="preserve">WSRC has established an online database for 86 municipalities that allows WSPs </w:t>
      </w:r>
      <w:r w:rsidR="00166DAC">
        <w:rPr>
          <w:sz w:val="22"/>
        </w:rPr>
        <w:t xml:space="preserve">to </w:t>
      </w:r>
      <w:r w:rsidRPr="00F318AE">
        <w:rPr>
          <w:sz w:val="22"/>
        </w:rPr>
        <w:t>access and upload their data, which subsequently feeds into the World Bank International Benchmarking Network</w:t>
      </w:r>
      <w:r w:rsidR="00B97FBA">
        <w:rPr>
          <w:sz w:val="22"/>
        </w:rPr>
        <w:t xml:space="preserve"> (IBNET)</w:t>
      </w:r>
      <w:r w:rsidRPr="00F318AE">
        <w:rPr>
          <w:sz w:val="22"/>
        </w:rPr>
        <w:t xml:space="preserve"> for Water and Sanitation Utilities database</w:t>
      </w:r>
      <w:r>
        <w:rPr>
          <w:rStyle w:val="FootnoteReference"/>
          <w:sz w:val="22"/>
        </w:rPr>
        <w:footnoteReference w:id="4"/>
      </w:r>
      <w:r w:rsidRPr="00F318AE">
        <w:rPr>
          <w:sz w:val="22"/>
        </w:rPr>
        <w:t xml:space="preserve"> and </w:t>
      </w:r>
      <w:r w:rsidRPr="00574968">
        <w:rPr>
          <w:sz w:val="22"/>
        </w:rPr>
        <w:t>avails WS</w:t>
      </w:r>
      <w:r w:rsidR="00574968" w:rsidRPr="00574968">
        <w:rPr>
          <w:sz w:val="22"/>
        </w:rPr>
        <w:t>R</w:t>
      </w:r>
      <w:r w:rsidRPr="00574968">
        <w:rPr>
          <w:sz w:val="22"/>
        </w:rPr>
        <w:t>Cs information</w:t>
      </w:r>
      <w:r w:rsidRPr="00F318AE">
        <w:rPr>
          <w:sz w:val="22"/>
        </w:rPr>
        <w:t xml:space="preserve"> internationally. </w:t>
      </w:r>
      <w:r w:rsidR="00B96F4F">
        <w:rPr>
          <w:sz w:val="22"/>
        </w:rPr>
        <w:t xml:space="preserve">The </w:t>
      </w:r>
      <w:r w:rsidR="00B96F4F" w:rsidRPr="00F318AE">
        <w:rPr>
          <w:sz w:val="22"/>
        </w:rPr>
        <w:t>WSRC plans to e</w:t>
      </w:r>
      <w:r w:rsidR="00B96F4F">
        <w:rPr>
          <w:sz w:val="22"/>
        </w:rPr>
        <w:t xml:space="preserve">xpand this option to all WSPs. There is still a need to strengthen the links and integration to PWA, which has also developed a system to monitoring the development and performance of water sector institutions (for instance, a water supply distribution system and a water quality control system). </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Improved data accuracy and transparency on the performance of the WSPs and the water sector overall has improved the monitoring function of the water</w:t>
      </w:r>
      <w:r w:rsidR="000F13ED">
        <w:rPr>
          <w:b/>
          <w:sz w:val="22"/>
        </w:rPr>
        <w:t xml:space="preserve"> sector and capacity of WSPs. </w:t>
      </w:r>
      <w:r w:rsidRPr="00F318AE">
        <w:rPr>
          <w:sz w:val="22"/>
        </w:rPr>
        <w:t xml:space="preserve">The </w:t>
      </w:r>
      <w:r w:rsidR="00CD63CC">
        <w:rPr>
          <w:sz w:val="22"/>
        </w:rPr>
        <w:t>a</w:t>
      </w:r>
      <w:r w:rsidRPr="00F318AE">
        <w:rPr>
          <w:sz w:val="22"/>
        </w:rPr>
        <w:t xml:space="preserve">nnual </w:t>
      </w:r>
      <w:r w:rsidR="00CD63CC">
        <w:rPr>
          <w:sz w:val="22"/>
        </w:rPr>
        <w:t>r</w:t>
      </w:r>
      <w:r w:rsidRPr="00F318AE">
        <w:rPr>
          <w:sz w:val="22"/>
        </w:rPr>
        <w:t xml:space="preserve">eports serve an important purpose of providing consistent and comparable information on the participating </w:t>
      </w:r>
      <w:r w:rsidR="008D27C7" w:rsidRPr="00F318AE">
        <w:rPr>
          <w:sz w:val="22"/>
        </w:rPr>
        <w:t>SPs</w:t>
      </w:r>
      <w:r w:rsidRPr="00F318AE">
        <w:rPr>
          <w:sz w:val="22"/>
        </w:rPr>
        <w:t xml:space="preserve">, which has resulted in improved and data-driven management decisions on </w:t>
      </w:r>
      <w:r w:rsidR="00CD63CC">
        <w:rPr>
          <w:sz w:val="22"/>
        </w:rPr>
        <w:t xml:space="preserve">the </w:t>
      </w:r>
      <w:r w:rsidRPr="00F318AE">
        <w:rPr>
          <w:sz w:val="22"/>
        </w:rPr>
        <w:t>WSPs’ performance improvement</w:t>
      </w:r>
      <w:r w:rsidR="00B97FBA">
        <w:rPr>
          <w:sz w:val="22"/>
        </w:rPr>
        <w:t>,</w:t>
      </w:r>
      <w:r w:rsidRPr="00F318AE">
        <w:rPr>
          <w:sz w:val="22"/>
        </w:rPr>
        <w:t xml:space="preserve"> especially regarding the investment decisions and </w:t>
      </w:r>
      <w:r w:rsidR="000F13ED">
        <w:rPr>
          <w:sz w:val="22"/>
        </w:rPr>
        <w:t xml:space="preserve">focus areas for donor support. </w:t>
      </w:r>
      <w:r w:rsidRPr="00F318AE">
        <w:rPr>
          <w:sz w:val="22"/>
        </w:rPr>
        <w:t>It has also fostered healthy comparative competition and iteration among the WSPs, peer</w:t>
      </w:r>
      <w:r w:rsidR="00CD63CC">
        <w:rPr>
          <w:sz w:val="22"/>
        </w:rPr>
        <w:t>-</w:t>
      </w:r>
      <w:r w:rsidRPr="00F318AE">
        <w:rPr>
          <w:sz w:val="22"/>
        </w:rPr>
        <w:t>to</w:t>
      </w:r>
      <w:r w:rsidR="00CD63CC">
        <w:rPr>
          <w:sz w:val="22"/>
        </w:rPr>
        <w:t>-</w:t>
      </w:r>
      <w:r w:rsidRPr="00F318AE">
        <w:rPr>
          <w:sz w:val="22"/>
        </w:rPr>
        <w:t xml:space="preserve">peer learning, and improved capacity of </w:t>
      </w:r>
      <w:r w:rsidR="00CD63CC">
        <w:rPr>
          <w:sz w:val="22"/>
        </w:rPr>
        <w:t xml:space="preserve">the </w:t>
      </w:r>
      <w:r w:rsidRPr="00F318AE">
        <w:rPr>
          <w:sz w:val="22"/>
        </w:rPr>
        <w:t>WSPs with increased focus on cost calculation and data collection, which led to tariff adjustment applications (described further in paragraph 40).</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Higher transparency and accountability has fostered dialogues with key partners</w:t>
      </w:r>
      <w:r w:rsidRPr="00F318AE">
        <w:rPr>
          <w:sz w:val="22"/>
        </w:rPr>
        <w:t xml:space="preserve">, like </w:t>
      </w:r>
      <w:r w:rsidR="00E646A7">
        <w:rPr>
          <w:sz w:val="22"/>
        </w:rPr>
        <w:t xml:space="preserve">the </w:t>
      </w:r>
      <w:r w:rsidRPr="00F318AE">
        <w:rPr>
          <w:sz w:val="22"/>
        </w:rPr>
        <w:t>PWA, WSPs, WSRC, civil society</w:t>
      </w:r>
      <w:r w:rsidR="00E646A7">
        <w:rPr>
          <w:sz w:val="22"/>
        </w:rPr>
        <w:t>,</w:t>
      </w:r>
      <w:r w:rsidRPr="00F318AE">
        <w:rPr>
          <w:sz w:val="22"/>
        </w:rPr>
        <w:t xml:space="preserve"> and donors, on important topics like financial sustainability, private sector participation, governance, equity, environmental and social safeguards, </w:t>
      </w:r>
      <w:r w:rsidR="00E646A7">
        <w:rPr>
          <w:rFonts w:ascii="Calibri" w:eastAsia="Times New Roman" w:hAnsi="Calibri" w:cs="Calibri"/>
          <w:sz w:val="22"/>
          <w:lang w:eastAsia="es-CO"/>
        </w:rPr>
        <w:t>n</w:t>
      </w:r>
      <w:r w:rsidR="00E646A7" w:rsidRPr="00802B50">
        <w:rPr>
          <w:rFonts w:ascii="Calibri" w:eastAsia="Times New Roman" w:hAnsi="Calibri" w:cs="Calibri"/>
          <w:sz w:val="22"/>
          <w:lang w:eastAsia="es-CO"/>
        </w:rPr>
        <w:t>on</w:t>
      </w:r>
      <w:r w:rsidR="00E646A7">
        <w:rPr>
          <w:rFonts w:ascii="Calibri" w:eastAsia="Times New Roman" w:hAnsi="Calibri" w:cs="Calibri"/>
          <w:sz w:val="22"/>
          <w:lang w:eastAsia="es-CO"/>
        </w:rPr>
        <w:t>revenue w</w:t>
      </w:r>
      <w:r w:rsidR="00E646A7" w:rsidRPr="00802B50">
        <w:rPr>
          <w:rFonts w:ascii="Calibri" w:eastAsia="Times New Roman" w:hAnsi="Calibri" w:cs="Calibri"/>
          <w:sz w:val="22"/>
          <w:lang w:eastAsia="es-CO"/>
        </w:rPr>
        <w:t xml:space="preserve">ater </w:t>
      </w:r>
      <w:r w:rsidR="00E646A7">
        <w:rPr>
          <w:rFonts w:ascii="Calibri" w:eastAsia="Times New Roman" w:hAnsi="Calibri" w:cs="Calibri"/>
          <w:sz w:val="22"/>
          <w:lang w:eastAsia="es-CO"/>
        </w:rPr>
        <w:t>(</w:t>
      </w:r>
      <w:r w:rsidRPr="00F318AE">
        <w:rPr>
          <w:sz w:val="22"/>
        </w:rPr>
        <w:t>NRW</w:t>
      </w:r>
      <w:r w:rsidR="00E646A7">
        <w:rPr>
          <w:sz w:val="22"/>
        </w:rPr>
        <w:t>)</w:t>
      </w:r>
      <w:r w:rsidRPr="00F318AE">
        <w:rPr>
          <w:sz w:val="22"/>
        </w:rPr>
        <w:t xml:space="preserve">, </w:t>
      </w:r>
      <w:r w:rsidR="00E646A7">
        <w:rPr>
          <w:sz w:val="22"/>
        </w:rPr>
        <w:t>and so on</w:t>
      </w:r>
      <w:r w:rsidRPr="00F318AE">
        <w:rPr>
          <w:sz w:val="22"/>
        </w:rPr>
        <w:t>. Active participation with the mass media supports transparency and accountability and helps restore the social contract betwe</w:t>
      </w:r>
      <w:r w:rsidR="000F13ED">
        <w:rPr>
          <w:sz w:val="22"/>
        </w:rPr>
        <w:t xml:space="preserve">en the WSPs and civil society. </w:t>
      </w:r>
      <w:r w:rsidRPr="00F318AE">
        <w:rPr>
          <w:sz w:val="22"/>
        </w:rPr>
        <w:t xml:space="preserve">For instance, as the WSRC </w:t>
      </w:r>
      <w:r w:rsidR="00853480">
        <w:rPr>
          <w:sz w:val="22"/>
        </w:rPr>
        <w:t>a</w:t>
      </w:r>
      <w:r w:rsidRPr="00F318AE">
        <w:rPr>
          <w:sz w:val="22"/>
        </w:rPr>
        <w:t xml:space="preserve">nnual </w:t>
      </w:r>
      <w:r w:rsidR="00853480">
        <w:rPr>
          <w:sz w:val="22"/>
        </w:rPr>
        <w:t>r</w:t>
      </w:r>
      <w:r w:rsidRPr="00F318AE">
        <w:rPr>
          <w:sz w:val="22"/>
        </w:rPr>
        <w:t xml:space="preserve">eports started </w:t>
      </w:r>
      <w:r w:rsidRPr="00F318AE">
        <w:rPr>
          <w:sz w:val="22"/>
        </w:rPr>
        <w:lastRenderedPageBreak/>
        <w:t xml:space="preserve">to include the information on the unresolved complaints, </w:t>
      </w:r>
      <w:r w:rsidR="00853480">
        <w:rPr>
          <w:sz w:val="22"/>
        </w:rPr>
        <w:t xml:space="preserve">the </w:t>
      </w:r>
      <w:r w:rsidRPr="00F318AE">
        <w:rPr>
          <w:sz w:val="22"/>
        </w:rPr>
        <w:t>WSPs have increased their attention on customer satisfaction and improving turnaround of customer complaints and service delivery overall.</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PDO 3: Strengthen and improve the capacity of PWA to </w:t>
      </w:r>
      <w:r w:rsidRPr="00022CD1">
        <w:rPr>
          <w:b/>
          <w:sz w:val="22"/>
        </w:rPr>
        <w:t>regulate</w:t>
      </w:r>
      <w:r w:rsidRPr="00F318AE">
        <w:rPr>
          <w:b/>
          <w:sz w:val="22"/>
        </w:rPr>
        <w:t xml:space="preserve"> water sector development. </w:t>
      </w:r>
      <w:r w:rsidRPr="00F318AE">
        <w:rPr>
          <w:sz w:val="22"/>
        </w:rPr>
        <w:t>It was envisioned that this would be achieved by establishing, operationalizing</w:t>
      </w:r>
      <w:r w:rsidR="00853480">
        <w:rPr>
          <w:sz w:val="22"/>
        </w:rPr>
        <w:t>,</w:t>
      </w:r>
      <w:r w:rsidRPr="00F318AE">
        <w:rPr>
          <w:sz w:val="22"/>
        </w:rPr>
        <w:t xml:space="preserve"> and transferring the regulatory function to </w:t>
      </w:r>
      <w:r w:rsidR="00853480">
        <w:rPr>
          <w:sz w:val="22"/>
        </w:rPr>
        <w:t xml:space="preserve">the </w:t>
      </w:r>
      <w:r w:rsidRPr="00F318AE">
        <w:rPr>
          <w:sz w:val="22"/>
        </w:rPr>
        <w:t xml:space="preserve">WRSC as the regulatory body for the WSPs, developing or updating a number of legislations, like the Water </w:t>
      </w:r>
      <w:r w:rsidR="00B2502B">
        <w:rPr>
          <w:sz w:val="22"/>
        </w:rPr>
        <w:t>L</w:t>
      </w:r>
      <w:r w:rsidRPr="00F318AE">
        <w:rPr>
          <w:sz w:val="22"/>
        </w:rPr>
        <w:t xml:space="preserve">aw, National Water Company </w:t>
      </w:r>
      <w:r w:rsidR="00853480">
        <w:rPr>
          <w:sz w:val="22"/>
        </w:rPr>
        <w:t>B</w:t>
      </w:r>
      <w:r w:rsidRPr="00F318AE">
        <w:rPr>
          <w:sz w:val="22"/>
        </w:rPr>
        <w:t xml:space="preserve">ylaw, </w:t>
      </w:r>
      <w:r w:rsidR="00022CD1">
        <w:rPr>
          <w:sz w:val="22"/>
        </w:rPr>
        <w:t xml:space="preserve">and </w:t>
      </w:r>
      <w:r w:rsidRPr="00F318AE">
        <w:rPr>
          <w:sz w:val="22"/>
        </w:rPr>
        <w:t xml:space="preserve">Regional Water Utilities </w:t>
      </w:r>
      <w:r w:rsidR="00853480">
        <w:rPr>
          <w:sz w:val="22"/>
        </w:rPr>
        <w:t>B</w:t>
      </w:r>
      <w:r w:rsidRPr="00F318AE">
        <w:rPr>
          <w:sz w:val="22"/>
        </w:rPr>
        <w:t xml:space="preserve">ylaw, </w:t>
      </w:r>
      <w:r w:rsidR="00022CD1">
        <w:rPr>
          <w:sz w:val="22"/>
        </w:rPr>
        <w:t>and</w:t>
      </w:r>
      <w:r w:rsidRPr="00F318AE">
        <w:rPr>
          <w:sz w:val="22"/>
        </w:rPr>
        <w:t xml:space="preserve"> revis</w:t>
      </w:r>
      <w:r w:rsidR="00022CD1">
        <w:rPr>
          <w:sz w:val="22"/>
        </w:rPr>
        <w:t>ing the</w:t>
      </w:r>
      <w:r w:rsidRPr="00F318AE">
        <w:rPr>
          <w:sz w:val="22"/>
        </w:rPr>
        <w:t xml:space="preserve"> institutional set up in the water sector and the PWA.</w:t>
      </w:r>
      <w:r w:rsidR="000F13ED">
        <w:rPr>
          <w:sz w:val="22"/>
        </w:rPr>
        <w:t xml:space="preserve"> </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Within its three years of existence, the WSRC has achieved remarkable progress establishing itself as a credible and solid institution in the water sector and resulting in </w:t>
      </w:r>
      <w:r w:rsidR="00853480" w:rsidRPr="00F318AE">
        <w:rPr>
          <w:b/>
          <w:sz w:val="22"/>
        </w:rPr>
        <w:t>many</w:t>
      </w:r>
      <w:r w:rsidRPr="00F318AE">
        <w:rPr>
          <w:b/>
          <w:sz w:val="22"/>
        </w:rPr>
        <w:t xml:space="preserve"> improvements in the water service delivery.</w:t>
      </w:r>
      <w:r w:rsidRPr="00F318AE">
        <w:rPr>
          <w:sz w:val="22"/>
        </w:rPr>
        <w:t xml:space="preserve"> The WSRC was established in August 2014 by a presidential decree, with the organizational structure, job descriptions</w:t>
      </w:r>
      <w:r w:rsidR="00853480">
        <w:rPr>
          <w:sz w:val="22"/>
        </w:rPr>
        <w:t>,</w:t>
      </w:r>
      <w:r w:rsidRPr="00F318AE">
        <w:rPr>
          <w:sz w:val="22"/>
        </w:rPr>
        <w:t xml:space="preserve"> and bylaws appro</w:t>
      </w:r>
      <w:r w:rsidR="00856802">
        <w:rPr>
          <w:sz w:val="22"/>
        </w:rPr>
        <w:t xml:space="preserve">ved by the </w:t>
      </w:r>
      <w:r w:rsidR="00017794">
        <w:rPr>
          <w:sz w:val="22"/>
        </w:rPr>
        <w:t>CoM</w:t>
      </w:r>
      <w:r w:rsidR="00856802">
        <w:rPr>
          <w:sz w:val="22"/>
        </w:rPr>
        <w:t>;</w:t>
      </w:r>
      <w:r w:rsidRPr="00F318AE">
        <w:rPr>
          <w:sz w:val="22"/>
        </w:rPr>
        <w:t xml:space="preserve"> office set up and key positions (</w:t>
      </w:r>
      <w:r w:rsidR="00574968">
        <w:rPr>
          <w:sz w:val="22"/>
        </w:rPr>
        <w:t>chief executive officer</w:t>
      </w:r>
      <w:r w:rsidRPr="00F318AE">
        <w:rPr>
          <w:sz w:val="22"/>
        </w:rPr>
        <w:t xml:space="preserve">, procurement, financial, </w:t>
      </w:r>
      <w:r w:rsidR="00853480">
        <w:rPr>
          <w:sz w:val="22"/>
        </w:rPr>
        <w:t>monitoring and evaluation [</w:t>
      </w:r>
      <w:r w:rsidRPr="00F318AE">
        <w:rPr>
          <w:sz w:val="22"/>
        </w:rPr>
        <w:t>M&amp;E</w:t>
      </w:r>
      <w:r w:rsidR="00853480">
        <w:rPr>
          <w:sz w:val="22"/>
        </w:rPr>
        <w:t>]</w:t>
      </w:r>
      <w:r w:rsidRPr="00F318AE">
        <w:rPr>
          <w:sz w:val="22"/>
        </w:rPr>
        <w:t>, communications, and others) staffed</w:t>
      </w:r>
      <w:r w:rsidR="00856802">
        <w:rPr>
          <w:sz w:val="22"/>
        </w:rPr>
        <w:t xml:space="preserve">; </w:t>
      </w:r>
      <w:r w:rsidR="00022CD1">
        <w:rPr>
          <w:sz w:val="22"/>
        </w:rPr>
        <w:t>b</w:t>
      </w:r>
      <w:r w:rsidR="00856802">
        <w:rPr>
          <w:sz w:val="22"/>
        </w:rPr>
        <w:t xml:space="preserve">oard of </w:t>
      </w:r>
      <w:r w:rsidR="00022CD1">
        <w:rPr>
          <w:sz w:val="22"/>
        </w:rPr>
        <w:t>d</w:t>
      </w:r>
      <w:r w:rsidR="00856802">
        <w:rPr>
          <w:sz w:val="22"/>
        </w:rPr>
        <w:t>irectors set up;</w:t>
      </w:r>
      <w:r w:rsidRPr="00F318AE">
        <w:rPr>
          <w:sz w:val="22"/>
        </w:rPr>
        <w:t xml:space="preserve"> private sector representatives and experts appointed</w:t>
      </w:r>
      <w:r w:rsidR="00856802">
        <w:rPr>
          <w:sz w:val="22"/>
        </w:rPr>
        <w:t>;</w:t>
      </w:r>
      <w:r w:rsidRPr="00F318AE">
        <w:rPr>
          <w:sz w:val="22"/>
        </w:rPr>
        <w:t xml:space="preserve"> and business plan drafted.</w:t>
      </w:r>
      <w:r w:rsidR="000F13ED">
        <w:rPr>
          <w:sz w:val="22"/>
        </w:rPr>
        <w:t xml:space="preserve"> </w:t>
      </w:r>
      <w:r w:rsidRPr="00F318AE">
        <w:rPr>
          <w:sz w:val="22"/>
        </w:rPr>
        <w:t xml:space="preserve">Performance monitoring guidelines that lay out the methodology and standards for benchmarking of </w:t>
      </w:r>
      <w:r w:rsidR="00856802">
        <w:rPr>
          <w:sz w:val="22"/>
        </w:rPr>
        <w:t xml:space="preserve">the </w:t>
      </w:r>
      <w:r w:rsidRPr="00F318AE">
        <w:rPr>
          <w:sz w:val="22"/>
        </w:rPr>
        <w:t>WSPs were developed.  Going beyond the previous monitoring practices that were limited to water quality parameters, the guidelines now also encompass a wide range of technical, financial, quality standards</w:t>
      </w:r>
      <w:r w:rsidR="00856802">
        <w:rPr>
          <w:sz w:val="22"/>
        </w:rPr>
        <w:t>,</w:t>
      </w:r>
      <w:r w:rsidRPr="00F318AE">
        <w:rPr>
          <w:sz w:val="22"/>
        </w:rPr>
        <w:t xml:space="preserve"> and other key performance indicators</w:t>
      </w:r>
      <w:r w:rsidR="001A7743">
        <w:rPr>
          <w:sz w:val="22"/>
        </w:rPr>
        <w:t xml:space="preserve"> (KPIs)</w:t>
      </w:r>
      <w:r w:rsidRPr="00F318AE">
        <w:rPr>
          <w:sz w:val="22"/>
        </w:rPr>
        <w:t>, such as consumption, NRW, collection efficiency and operating costs, staff productivity index, and customer complaints. These standards were adopted as national standards that are now applicable countrywide.</w:t>
      </w:r>
    </w:p>
    <w:p w:rsidR="00CA758F" w:rsidRDefault="00B578E1" w:rsidP="00A63A6F">
      <w:pPr>
        <w:pStyle w:val="Normal0"/>
        <w:numPr>
          <w:ilvl w:val="0"/>
          <w:numId w:val="7"/>
        </w:numPr>
        <w:spacing w:after="240" w:line="240" w:lineRule="auto"/>
        <w:ind w:left="0" w:firstLine="0"/>
        <w:jc w:val="both"/>
        <w:rPr>
          <w:sz w:val="22"/>
        </w:rPr>
      </w:pPr>
      <w:r w:rsidRPr="00F318AE">
        <w:rPr>
          <w:b/>
          <w:sz w:val="22"/>
        </w:rPr>
        <w:t xml:space="preserve">As mentioned in </w:t>
      </w:r>
      <w:r w:rsidRPr="00574968">
        <w:rPr>
          <w:b/>
          <w:sz w:val="22"/>
        </w:rPr>
        <w:t>paragraph 3</w:t>
      </w:r>
      <w:r w:rsidR="004B6358">
        <w:rPr>
          <w:b/>
          <w:sz w:val="22"/>
        </w:rPr>
        <w:t>5</w:t>
      </w:r>
      <w:r w:rsidRPr="00F318AE">
        <w:rPr>
          <w:b/>
          <w:sz w:val="22"/>
        </w:rPr>
        <w:t xml:space="preserve">, using its methodology, the WSRC has been producing the </w:t>
      </w:r>
      <w:r w:rsidR="00856802">
        <w:rPr>
          <w:b/>
          <w:sz w:val="22"/>
        </w:rPr>
        <w:t>annual r</w:t>
      </w:r>
      <w:r w:rsidRPr="00F318AE">
        <w:rPr>
          <w:b/>
          <w:sz w:val="22"/>
        </w:rPr>
        <w:t xml:space="preserve">eports on </w:t>
      </w:r>
      <w:r w:rsidR="00856802">
        <w:rPr>
          <w:b/>
          <w:sz w:val="22"/>
        </w:rPr>
        <w:t xml:space="preserve">the </w:t>
      </w:r>
      <w:r w:rsidRPr="00F318AE">
        <w:rPr>
          <w:b/>
          <w:sz w:val="22"/>
        </w:rPr>
        <w:t xml:space="preserve">WSPs’ performance for the last three years, which ranks </w:t>
      </w:r>
      <w:r w:rsidR="00856802">
        <w:rPr>
          <w:b/>
          <w:sz w:val="22"/>
        </w:rPr>
        <w:t xml:space="preserve">the </w:t>
      </w:r>
      <w:r w:rsidRPr="00F318AE">
        <w:rPr>
          <w:b/>
          <w:sz w:val="22"/>
        </w:rPr>
        <w:t xml:space="preserve">WSPs according to their performance against the set standards. </w:t>
      </w:r>
      <w:r w:rsidRPr="00F318AE">
        <w:rPr>
          <w:sz w:val="22"/>
        </w:rPr>
        <w:t xml:space="preserve">Starting from 16 participating WSPs and 13 KPIs in 2013, </w:t>
      </w:r>
      <w:r w:rsidR="001A7743">
        <w:rPr>
          <w:sz w:val="22"/>
        </w:rPr>
        <w:t xml:space="preserve">the </w:t>
      </w:r>
      <w:r w:rsidRPr="00F318AE">
        <w:rPr>
          <w:sz w:val="22"/>
        </w:rPr>
        <w:t xml:space="preserve">WSRC has increased its coverage to 40 WSPs using 22 KPIs in 2016 and plans to further expand the WSPs and KPI coverage in the subsequent </w:t>
      </w:r>
      <w:r w:rsidR="001A7743">
        <w:rPr>
          <w:sz w:val="22"/>
        </w:rPr>
        <w:t>a</w:t>
      </w:r>
      <w:r w:rsidRPr="00F318AE">
        <w:rPr>
          <w:sz w:val="22"/>
        </w:rPr>
        <w:t xml:space="preserve">nnual </w:t>
      </w:r>
      <w:r w:rsidR="001A7743">
        <w:rPr>
          <w:sz w:val="22"/>
        </w:rPr>
        <w:t>r</w:t>
      </w:r>
      <w:r w:rsidRPr="00F318AE">
        <w:rPr>
          <w:sz w:val="22"/>
        </w:rPr>
        <w:t>eports. This process has contributed to</w:t>
      </w:r>
    </w:p>
    <w:p w:rsidR="00CA758F" w:rsidRDefault="00B578E1" w:rsidP="00A63A6F">
      <w:pPr>
        <w:pStyle w:val="Normal0"/>
        <w:numPr>
          <w:ilvl w:val="0"/>
          <w:numId w:val="15"/>
        </w:numPr>
        <w:spacing w:after="240" w:line="240" w:lineRule="auto"/>
        <w:ind w:left="1195" w:hanging="475"/>
        <w:jc w:val="both"/>
        <w:rPr>
          <w:sz w:val="22"/>
        </w:rPr>
      </w:pPr>
      <w:r>
        <w:rPr>
          <w:sz w:val="22"/>
        </w:rPr>
        <w:t>I</w:t>
      </w:r>
      <w:r w:rsidR="0054719E" w:rsidRPr="00F318AE">
        <w:rPr>
          <w:sz w:val="22"/>
        </w:rPr>
        <w:t xml:space="preserve">ncreased customer orientation of </w:t>
      </w:r>
      <w:r w:rsidR="001A7743">
        <w:rPr>
          <w:sz w:val="22"/>
        </w:rPr>
        <w:t xml:space="preserve">the </w:t>
      </w:r>
      <w:r w:rsidR="0054719E" w:rsidRPr="00F318AE">
        <w:rPr>
          <w:sz w:val="22"/>
        </w:rPr>
        <w:t xml:space="preserve">WSPs; </w:t>
      </w:r>
    </w:p>
    <w:p w:rsidR="00CA758F" w:rsidRDefault="00B578E1" w:rsidP="00A63A6F">
      <w:pPr>
        <w:pStyle w:val="Normal0"/>
        <w:numPr>
          <w:ilvl w:val="0"/>
          <w:numId w:val="15"/>
        </w:numPr>
        <w:spacing w:after="240" w:line="240" w:lineRule="auto"/>
        <w:ind w:left="1195" w:hanging="475"/>
        <w:jc w:val="both"/>
        <w:rPr>
          <w:sz w:val="22"/>
        </w:rPr>
      </w:pPr>
      <w:r>
        <w:rPr>
          <w:sz w:val="22"/>
        </w:rPr>
        <w:t>I</w:t>
      </w:r>
      <w:r w:rsidR="0054719E" w:rsidRPr="00F318AE">
        <w:rPr>
          <w:sz w:val="22"/>
        </w:rPr>
        <w:t xml:space="preserve">mproved capacity at </w:t>
      </w:r>
      <w:r w:rsidR="001A7743">
        <w:rPr>
          <w:sz w:val="22"/>
        </w:rPr>
        <w:t xml:space="preserve">the </w:t>
      </w:r>
      <w:r w:rsidR="0054719E" w:rsidRPr="00F318AE">
        <w:rPr>
          <w:sz w:val="22"/>
        </w:rPr>
        <w:t>WSPs due to peer-to-peer-learning</w:t>
      </w:r>
      <w:r w:rsidR="003600A5">
        <w:rPr>
          <w:sz w:val="22"/>
        </w:rPr>
        <w:t>;</w:t>
      </w:r>
    </w:p>
    <w:p w:rsidR="00CA758F" w:rsidRDefault="00B578E1" w:rsidP="00A63A6F">
      <w:pPr>
        <w:pStyle w:val="Normal0"/>
        <w:numPr>
          <w:ilvl w:val="0"/>
          <w:numId w:val="15"/>
        </w:numPr>
        <w:spacing w:after="240" w:line="240" w:lineRule="auto"/>
        <w:ind w:left="1195" w:hanging="475"/>
        <w:jc w:val="both"/>
        <w:rPr>
          <w:sz w:val="22"/>
        </w:rPr>
      </w:pPr>
      <w:r>
        <w:rPr>
          <w:sz w:val="22"/>
        </w:rPr>
        <w:t>O</w:t>
      </w:r>
      <w:r w:rsidR="0054719E" w:rsidRPr="00F318AE">
        <w:rPr>
          <w:sz w:val="22"/>
        </w:rPr>
        <w:t>rientation for cost calculation</w:t>
      </w:r>
      <w:r w:rsidR="00017794">
        <w:rPr>
          <w:sz w:val="22"/>
        </w:rPr>
        <w:t>,</w:t>
      </w:r>
      <w:r w:rsidR="0054719E" w:rsidRPr="00F318AE">
        <w:rPr>
          <w:sz w:val="22"/>
        </w:rPr>
        <w:t xml:space="preserve"> including </w:t>
      </w:r>
      <w:r w:rsidR="002125F7" w:rsidRPr="00802B50">
        <w:rPr>
          <w:rFonts w:ascii="Calibri" w:eastAsia="Times New Roman" w:hAnsi="Calibri" w:cs="Calibri"/>
          <w:sz w:val="22"/>
          <w:lang w:eastAsia="es-CO"/>
        </w:rPr>
        <w:t>operations and maintenance</w:t>
      </w:r>
      <w:r w:rsidR="0054719E" w:rsidRPr="00F318AE">
        <w:rPr>
          <w:sz w:val="22"/>
        </w:rPr>
        <w:t xml:space="preserve"> and data collection which led to tariff</w:t>
      </w:r>
      <w:r w:rsidR="002125F7">
        <w:rPr>
          <w:sz w:val="22"/>
        </w:rPr>
        <w:t>-</w:t>
      </w:r>
      <w:r w:rsidR="0054719E" w:rsidRPr="00F318AE">
        <w:rPr>
          <w:sz w:val="22"/>
        </w:rPr>
        <w:t xml:space="preserve">setting procedures and adjustment applications; </w:t>
      </w:r>
    </w:p>
    <w:p w:rsidR="00CA758F" w:rsidRDefault="00B578E1" w:rsidP="00A63A6F">
      <w:pPr>
        <w:pStyle w:val="Normal0"/>
        <w:numPr>
          <w:ilvl w:val="0"/>
          <w:numId w:val="15"/>
        </w:numPr>
        <w:spacing w:after="240" w:line="240" w:lineRule="auto"/>
        <w:ind w:left="1195" w:hanging="475"/>
        <w:jc w:val="both"/>
        <w:rPr>
          <w:sz w:val="22"/>
        </w:rPr>
      </w:pPr>
      <w:r>
        <w:rPr>
          <w:sz w:val="22"/>
        </w:rPr>
        <w:t>I</w:t>
      </w:r>
      <w:r w:rsidR="0054719E" w:rsidRPr="00F318AE">
        <w:rPr>
          <w:sz w:val="22"/>
        </w:rPr>
        <w:t xml:space="preserve">mproved sector dialogue among </w:t>
      </w:r>
      <w:r w:rsidR="002125F7">
        <w:rPr>
          <w:sz w:val="22"/>
        </w:rPr>
        <w:t xml:space="preserve">the </w:t>
      </w:r>
      <w:r w:rsidR="0054719E" w:rsidRPr="00F318AE">
        <w:rPr>
          <w:sz w:val="22"/>
        </w:rPr>
        <w:t>PWA, WSPs, the regulator, civil society</w:t>
      </w:r>
      <w:r w:rsidR="002125F7">
        <w:rPr>
          <w:sz w:val="22"/>
        </w:rPr>
        <w:t>,</w:t>
      </w:r>
      <w:r w:rsidR="0054719E" w:rsidRPr="00F318AE">
        <w:rPr>
          <w:sz w:val="22"/>
        </w:rPr>
        <w:t xml:space="preserve"> and donors</w:t>
      </w:r>
      <w:r w:rsidR="002125F7">
        <w:rPr>
          <w:sz w:val="22"/>
        </w:rPr>
        <w:t>,</w:t>
      </w:r>
      <w:r w:rsidR="0054719E" w:rsidRPr="00F318AE">
        <w:rPr>
          <w:sz w:val="22"/>
        </w:rPr>
        <w:t xml:space="preserve"> whereby </w:t>
      </w:r>
      <w:r w:rsidR="002125F7">
        <w:rPr>
          <w:sz w:val="22"/>
        </w:rPr>
        <w:t xml:space="preserve">the </w:t>
      </w:r>
      <w:r w:rsidR="0054719E" w:rsidRPr="00F318AE">
        <w:rPr>
          <w:sz w:val="22"/>
        </w:rPr>
        <w:t xml:space="preserve">WSRC established itself as the information focal point; </w:t>
      </w:r>
    </w:p>
    <w:p w:rsidR="00CA758F" w:rsidRDefault="00B578E1" w:rsidP="00A63A6F">
      <w:pPr>
        <w:pStyle w:val="Normal0"/>
        <w:numPr>
          <w:ilvl w:val="0"/>
          <w:numId w:val="15"/>
        </w:numPr>
        <w:spacing w:after="240" w:line="240" w:lineRule="auto"/>
        <w:ind w:left="1195" w:hanging="475"/>
        <w:jc w:val="both"/>
        <w:rPr>
          <w:sz w:val="22"/>
        </w:rPr>
      </w:pPr>
      <w:r>
        <w:rPr>
          <w:sz w:val="22"/>
        </w:rPr>
        <w:t>D</w:t>
      </w:r>
      <w:r w:rsidR="0054719E" w:rsidRPr="00F318AE">
        <w:rPr>
          <w:sz w:val="22"/>
        </w:rPr>
        <w:t xml:space="preserve">evelopment of a more coherent water sector framework that includes issues on financial sustainability, </w:t>
      </w:r>
      <w:r w:rsidR="006961EE">
        <w:rPr>
          <w:sz w:val="22"/>
        </w:rPr>
        <w:t>private sector participation,</w:t>
      </w:r>
      <w:r w:rsidR="0054719E" w:rsidRPr="00F318AE">
        <w:rPr>
          <w:sz w:val="22"/>
        </w:rPr>
        <w:t xml:space="preserve"> transparency and governance, equity, safeguarding of environment through improved sanitation services, NRW, integrity,</w:t>
      </w:r>
      <w:r w:rsidR="002125F7">
        <w:rPr>
          <w:sz w:val="22"/>
        </w:rPr>
        <w:t xml:space="preserve"> an</w:t>
      </w:r>
      <w:r w:rsidR="006961EE">
        <w:rPr>
          <w:sz w:val="22"/>
        </w:rPr>
        <w:t>d</w:t>
      </w:r>
      <w:r w:rsidR="0054719E" w:rsidRPr="00F318AE">
        <w:rPr>
          <w:sz w:val="22"/>
        </w:rPr>
        <w:t>;</w:t>
      </w:r>
      <w:r w:rsidR="0054719E">
        <w:rPr>
          <w:sz w:val="22"/>
        </w:rPr>
        <w:t xml:space="preserve"> and</w:t>
      </w:r>
      <w:r w:rsidR="000F13ED">
        <w:rPr>
          <w:sz w:val="22"/>
        </w:rPr>
        <w:t xml:space="preserve"> </w:t>
      </w:r>
    </w:p>
    <w:p w:rsidR="0054719E" w:rsidRPr="00F318AE" w:rsidRDefault="00B578E1" w:rsidP="00A63A6F">
      <w:pPr>
        <w:pStyle w:val="Normal0"/>
        <w:numPr>
          <w:ilvl w:val="0"/>
          <w:numId w:val="15"/>
        </w:numPr>
        <w:spacing w:after="240" w:line="240" w:lineRule="auto"/>
        <w:ind w:left="1195" w:hanging="475"/>
        <w:jc w:val="both"/>
        <w:rPr>
          <w:sz w:val="22"/>
        </w:rPr>
      </w:pPr>
      <w:r>
        <w:rPr>
          <w:sz w:val="22"/>
        </w:rPr>
        <w:t>T</w:t>
      </w:r>
      <w:r w:rsidR="002125F7">
        <w:rPr>
          <w:sz w:val="22"/>
        </w:rPr>
        <w:t xml:space="preserve">he </w:t>
      </w:r>
      <w:r w:rsidRPr="00F318AE">
        <w:rPr>
          <w:sz w:val="22"/>
        </w:rPr>
        <w:t>WSRC participation in the sector conferences and mass media that also support transparency and accountability.</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lastRenderedPageBreak/>
        <w:t>Despite the great achievements at the initial stage, the WSRC has not yet achieved financial sustainability and is dependent on outside sources for financing.</w:t>
      </w:r>
      <w:r w:rsidRPr="00F318AE">
        <w:rPr>
          <w:sz w:val="22"/>
        </w:rPr>
        <w:t xml:space="preserve"> The </w:t>
      </w:r>
      <w:r w:rsidR="00976184">
        <w:rPr>
          <w:sz w:val="22"/>
        </w:rPr>
        <w:t>L</w:t>
      </w:r>
      <w:r w:rsidRPr="00F318AE">
        <w:rPr>
          <w:sz w:val="22"/>
        </w:rPr>
        <w:t xml:space="preserve">icensing </w:t>
      </w:r>
      <w:r w:rsidR="00976184">
        <w:rPr>
          <w:sz w:val="22"/>
        </w:rPr>
        <w:t>B</w:t>
      </w:r>
      <w:r w:rsidRPr="00F318AE">
        <w:rPr>
          <w:sz w:val="22"/>
        </w:rPr>
        <w:t xml:space="preserve">ylaw, which would allow the WSRC to collect licensing fees from </w:t>
      </w:r>
      <w:r w:rsidR="00017794">
        <w:rPr>
          <w:sz w:val="22"/>
        </w:rPr>
        <w:t xml:space="preserve">the </w:t>
      </w:r>
      <w:r w:rsidRPr="00F318AE">
        <w:rPr>
          <w:sz w:val="22"/>
        </w:rPr>
        <w:t xml:space="preserve">WSPs to cover its costs was drafted and discussed at the government level but </w:t>
      </w:r>
      <w:r w:rsidR="00017794">
        <w:rPr>
          <w:sz w:val="22"/>
        </w:rPr>
        <w:t xml:space="preserve">has </w:t>
      </w:r>
      <w:r w:rsidRPr="00F318AE">
        <w:rPr>
          <w:sz w:val="22"/>
        </w:rPr>
        <w:t xml:space="preserve">not yet </w:t>
      </w:r>
      <w:r w:rsidR="00017794">
        <w:rPr>
          <w:sz w:val="22"/>
        </w:rPr>
        <w:t xml:space="preserve">been </w:t>
      </w:r>
      <w:r w:rsidRPr="00F318AE">
        <w:rPr>
          <w:sz w:val="22"/>
        </w:rPr>
        <w:t xml:space="preserve">approved by the CoM. The likelihood of its approval (expected to be by the end of 2018) is high due to strong interest from the key government stakeholders. Nonetheless, its current lack of long-term financing mechanisms means that the full objective of improving regulatory capacity </w:t>
      </w:r>
      <w:r>
        <w:rPr>
          <w:sz w:val="22"/>
        </w:rPr>
        <w:t xml:space="preserve">with associated financial independent sustainability </w:t>
      </w:r>
      <w:r w:rsidRPr="00F318AE">
        <w:rPr>
          <w:sz w:val="22"/>
        </w:rPr>
        <w:t>was only partly achieved.</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Although lacking stable financial sustainability, </w:t>
      </w:r>
      <w:r w:rsidR="0055684E">
        <w:rPr>
          <w:b/>
          <w:sz w:val="22"/>
        </w:rPr>
        <w:t xml:space="preserve">the </w:t>
      </w:r>
      <w:r w:rsidRPr="00F318AE">
        <w:rPr>
          <w:b/>
          <w:sz w:val="22"/>
        </w:rPr>
        <w:t>WSRC is a well-established institution that is recognized at the regional and international fora as a good practice example for the M</w:t>
      </w:r>
      <w:r w:rsidR="00D27A32">
        <w:rPr>
          <w:b/>
          <w:sz w:val="22"/>
        </w:rPr>
        <w:t xml:space="preserve">iddle East and </w:t>
      </w:r>
      <w:r w:rsidRPr="00F318AE">
        <w:rPr>
          <w:b/>
          <w:sz w:val="22"/>
        </w:rPr>
        <w:t>N</w:t>
      </w:r>
      <w:r w:rsidR="00D27A32">
        <w:rPr>
          <w:b/>
          <w:sz w:val="22"/>
        </w:rPr>
        <w:t xml:space="preserve">orth </w:t>
      </w:r>
      <w:r w:rsidRPr="00F318AE">
        <w:rPr>
          <w:b/>
          <w:sz w:val="22"/>
        </w:rPr>
        <w:t>A</w:t>
      </w:r>
      <w:r w:rsidR="00D27A32">
        <w:rPr>
          <w:b/>
          <w:sz w:val="22"/>
        </w:rPr>
        <w:t>frica</w:t>
      </w:r>
      <w:r w:rsidRPr="00F318AE">
        <w:rPr>
          <w:b/>
          <w:sz w:val="22"/>
        </w:rPr>
        <w:t xml:space="preserve"> region.</w:t>
      </w:r>
      <w:r w:rsidRPr="00F318AE">
        <w:rPr>
          <w:sz w:val="22"/>
        </w:rPr>
        <w:t xml:space="preserve"> The WSRC is regularly invited to other regional countries to share their experiences and the U</w:t>
      </w:r>
      <w:r w:rsidR="0055684E">
        <w:rPr>
          <w:sz w:val="22"/>
        </w:rPr>
        <w:t xml:space="preserve">nited </w:t>
      </w:r>
      <w:r w:rsidRPr="00F318AE">
        <w:rPr>
          <w:sz w:val="22"/>
        </w:rPr>
        <w:t>N</w:t>
      </w:r>
      <w:r w:rsidR="0055684E">
        <w:rPr>
          <w:sz w:val="22"/>
        </w:rPr>
        <w:t>ations</w:t>
      </w:r>
      <w:r w:rsidRPr="00F318AE">
        <w:rPr>
          <w:sz w:val="22"/>
        </w:rPr>
        <w:t xml:space="preserve"> Special Report on Human Rights for Safe Drinking Water and Sanitation cited it as </w:t>
      </w:r>
      <w:r w:rsidR="0045173E">
        <w:rPr>
          <w:sz w:val="22"/>
        </w:rPr>
        <w:t xml:space="preserve">a </w:t>
      </w:r>
      <w:r w:rsidRPr="00F318AE">
        <w:rPr>
          <w:sz w:val="22"/>
        </w:rPr>
        <w:t>best practice case</w:t>
      </w:r>
      <w:r w:rsidR="0055684E">
        <w:rPr>
          <w:sz w:val="22"/>
        </w:rPr>
        <w:t>.</w:t>
      </w:r>
      <w:r>
        <w:rPr>
          <w:rFonts w:ascii="Arial" w:hAnsi="Arial"/>
          <w:sz w:val="22"/>
          <w:vertAlign w:val="superscript"/>
        </w:rPr>
        <w:footnoteReference w:id="5"/>
      </w:r>
      <w:r w:rsidRPr="00F318AE">
        <w:rPr>
          <w:sz w:val="22"/>
        </w:rPr>
        <w:t xml:space="preserve"> It is also considered a good practice in the </w:t>
      </w:r>
      <w:r w:rsidR="00D27A32" w:rsidRPr="00D27A32">
        <w:rPr>
          <w:sz w:val="22"/>
        </w:rPr>
        <w:t>Middle East and North Africa</w:t>
      </w:r>
      <w:r w:rsidRPr="00F318AE">
        <w:rPr>
          <w:sz w:val="22"/>
        </w:rPr>
        <w:t xml:space="preserve"> region as one of the very few fully autonomous entities responsible for performance monitoring and regulation of the w</w:t>
      </w:r>
      <w:r w:rsidR="009E3FFE">
        <w:rPr>
          <w:sz w:val="22"/>
        </w:rPr>
        <w:t>ater and wastewater utilities.</w:t>
      </w:r>
    </w:p>
    <w:p w:rsidR="0054719E"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regulatory capacity was also improved </w:t>
      </w:r>
      <w:r w:rsidR="0055684E">
        <w:rPr>
          <w:b/>
          <w:sz w:val="22"/>
        </w:rPr>
        <w:t>owing</w:t>
      </w:r>
      <w:r w:rsidRPr="00F318AE">
        <w:rPr>
          <w:b/>
          <w:sz w:val="22"/>
        </w:rPr>
        <w:t xml:space="preserve"> to the improved legislative framework that creates a better platform for the water sector institutional framework.</w:t>
      </w:r>
      <w:r w:rsidRPr="00F318AE">
        <w:rPr>
          <w:sz w:val="22"/>
        </w:rPr>
        <w:t xml:space="preserve"> The important achievement was the issuance of the new Water </w:t>
      </w:r>
      <w:r w:rsidR="00B2502B">
        <w:rPr>
          <w:sz w:val="22"/>
        </w:rPr>
        <w:t>L</w:t>
      </w:r>
      <w:r w:rsidRPr="00F318AE">
        <w:rPr>
          <w:sz w:val="22"/>
        </w:rPr>
        <w:t>aw which</w:t>
      </w:r>
      <w:r w:rsidR="0055684E">
        <w:rPr>
          <w:sz w:val="22"/>
        </w:rPr>
        <w:t>,</w:t>
      </w:r>
      <w:r w:rsidRPr="00F318AE">
        <w:rPr>
          <w:sz w:val="22"/>
        </w:rPr>
        <w:t xml:space="preserve"> defined the new institutional structure and supported the sustainability of the water services was approved in 2014 and is under implementation. It separated roles and responsibilities between the water sector institutions (policy making, regulatory, </w:t>
      </w:r>
      <w:r w:rsidR="00022CD1">
        <w:rPr>
          <w:sz w:val="22"/>
        </w:rPr>
        <w:t xml:space="preserve">and </w:t>
      </w:r>
      <w:r w:rsidRPr="00F318AE">
        <w:rPr>
          <w:sz w:val="22"/>
        </w:rPr>
        <w:t xml:space="preserve">service provision) and defined roles, responsibilities, mandates, and interrelations between institutions working in the water sector. </w:t>
      </w:r>
      <w:r w:rsidR="00B96F4F">
        <w:rPr>
          <w:sz w:val="22"/>
        </w:rPr>
        <w:t>Alongside the water law, the publication of other important policies, regulations and actions plans (such as the non-revenue water strategy, the financial sustainability strategy and the water demand policy) guided the adoption of regulations for water tariffs, connections and water users associations as well as other regulations currently under approval (licensing regulation for wells drilling and abstraction).</w:t>
      </w:r>
    </w:p>
    <w:p w:rsidR="0054719E" w:rsidRDefault="00B578E1" w:rsidP="00A63A6F">
      <w:pPr>
        <w:pStyle w:val="Normal0"/>
        <w:numPr>
          <w:ilvl w:val="0"/>
          <w:numId w:val="7"/>
        </w:numPr>
        <w:spacing w:after="240" w:line="240" w:lineRule="auto"/>
        <w:ind w:left="0" w:firstLine="0"/>
        <w:jc w:val="both"/>
        <w:rPr>
          <w:sz w:val="22"/>
        </w:rPr>
      </w:pPr>
      <w:r w:rsidRPr="00F318AE">
        <w:rPr>
          <w:b/>
          <w:sz w:val="22"/>
        </w:rPr>
        <w:t xml:space="preserve">According to the Water Law, </w:t>
      </w:r>
      <w:r w:rsidR="0055684E">
        <w:rPr>
          <w:b/>
          <w:sz w:val="22"/>
        </w:rPr>
        <w:t xml:space="preserve">the </w:t>
      </w:r>
      <w:r w:rsidRPr="00F318AE">
        <w:rPr>
          <w:b/>
          <w:sz w:val="22"/>
        </w:rPr>
        <w:t>PWA is responsible for ministerial policy functions for water resources, water supply and wastewater</w:t>
      </w:r>
      <w:r w:rsidR="0055684E">
        <w:rPr>
          <w:b/>
          <w:sz w:val="22"/>
        </w:rPr>
        <w:t>,</w:t>
      </w:r>
      <w:r w:rsidRPr="00F318AE">
        <w:rPr>
          <w:b/>
          <w:sz w:val="22"/>
        </w:rPr>
        <w:t xml:space="preserve"> and for regulatory functions for water resources, whereby </w:t>
      </w:r>
      <w:r w:rsidR="0055684E">
        <w:rPr>
          <w:b/>
          <w:sz w:val="22"/>
        </w:rPr>
        <w:t xml:space="preserve">the </w:t>
      </w:r>
      <w:r w:rsidRPr="00F318AE">
        <w:rPr>
          <w:b/>
          <w:sz w:val="22"/>
        </w:rPr>
        <w:t>WRSC is responsible for regulatory functions</w:t>
      </w:r>
      <w:r w:rsidRPr="00F318AE">
        <w:rPr>
          <w:sz w:val="22"/>
        </w:rPr>
        <w:t xml:space="preserve"> and monitoring the water supply and wastewater services, and the West Bank Water Department</w:t>
      </w:r>
      <w:r w:rsidR="0055684E">
        <w:rPr>
          <w:sz w:val="22"/>
        </w:rPr>
        <w:t>,</w:t>
      </w:r>
      <w:r w:rsidRPr="00F318AE">
        <w:rPr>
          <w:sz w:val="22"/>
        </w:rPr>
        <w:t xml:space="preserve"> currently responsible for bulk supply</w:t>
      </w:r>
      <w:r w:rsidR="0055684E">
        <w:rPr>
          <w:sz w:val="22"/>
        </w:rPr>
        <w:t>, is</w:t>
      </w:r>
      <w:r w:rsidRPr="00F318AE">
        <w:rPr>
          <w:sz w:val="22"/>
        </w:rPr>
        <w:t xml:space="preserve"> to be transformed into an independent public company, National Water Company (NWC). As mentioned e</w:t>
      </w:r>
      <w:r w:rsidR="0055684E">
        <w:rPr>
          <w:sz w:val="22"/>
        </w:rPr>
        <w:t>arlier</w:t>
      </w:r>
      <w:r w:rsidRPr="00F318AE">
        <w:rPr>
          <w:sz w:val="22"/>
        </w:rPr>
        <w:t>, the setup and operationalization of the WSRC was completed with the exception o</w:t>
      </w:r>
      <w:r w:rsidR="0055684E">
        <w:rPr>
          <w:sz w:val="22"/>
        </w:rPr>
        <w:t>f</w:t>
      </w:r>
      <w:r w:rsidRPr="00F318AE">
        <w:rPr>
          <w:sz w:val="22"/>
        </w:rPr>
        <w:t xml:space="preserve"> the licensing fees collection, whereas the establishment of the NWC is at the stage of complet</w:t>
      </w:r>
      <w:r w:rsidR="0045173E">
        <w:rPr>
          <w:sz w:val="22"/>
        </w:rPr>
        <w:t>ion</w:t>
      </w:r>
      <w:r w:rsidRPr="00F318AE">
        <w:rPr>
          <w:sz w:val="22"/>
        </w:rPr>
        <w:t xml:space="preserve"> and </w:t>
      </w:r>
      <w:r w:rsidR="00B81EE9">
        <w:rPr>
          <w:sz w:val="22"/>
        </w:rPr>
        <w:t xml:space="preserve">the </w:t>
      </w:r>
      <w:r w:rsidRPr="00F318AE">
        <w:rPr>
          <w:sz w:val="22"/>
        </w:rPr>
        <w:t>draft bylaw w</w:t>
      </w:r>
      <w:r w:rsidR="0045173E">
        <w:rPr>
          <w:sz w:val="22"/>
        </w:rPr>
        <w:t>il</w:t>
      </w:r>
      <w:r w:rsidRPr="00F318AE">
        <w:rPr>
          <w:sz w:val="22"/>
        </w:rPr>
        <w:t>l need to be approved by the</w:t>
      </w:r>
      <w:r>
        <w:rPr>
          <w:sz w:val="22"/>
        </w:rPr>
        <w:t xml:space="preserve"> </w:t>
      </w:r>
      <w:r w:rsidRPr="00F318AE">
        <w:rPr>
          <w:sz w:val="22"/>
        </w:rPr>
        <w:t xml:space="preserve">CoM. At the local level, </w:t>
      </w:r>
      <w:r w:rsidR="0045173E">
        <w:rPr>
          <w:sz w:val="22"/>
        </w:rPr>
        <w:t xml:space="preserve">the </w:t>
      </w:r>
      <w:r w:rsidRPr="00F318AE">
        <w:rPr>
          <w:sz w:val="22"/>
        </w:rPr>
        <w:t>PWA is also responsible for reducing a large number of WSPs responsible for water supply (over 300) that will be subject to a process of horizontal integration, including the merging into a limited number of Joint Service Councils and Regional Water Utilities (RWUs), and being responsible for the provision of water supply and wastewater services.</w:t>
      </w:r>
      <w:r w:rsidR="000F13ED">
        <w:rPr>
          <w:sz w:val="22"/>
        </w:rPr>
        <w:t xml:space="preserve"> </w:t>
      </w:r>
      <w:r w:rsidR="0045173E">
        <w:rPr>
          <w:sz w:val="22"/>
        </w:rPr>
        <w:t xml:space="preserve">The </w:t>
      </w:r>
      <w:r w:rsidRPr="00F318AE">
        <w:rPr>
          <w:sz w:val="22"/>
        </w:rPr>
        <w:t>PWA has developed a road</w:t>
      </w:r>
      <w:r w:rsidR="0045173E">
        <w:rPr>
          <w:sz w:val="22"/>
        </w:rPr>
        <w:t xml:space="preserve"> </w:t>
      </w:r>
      <w:r w:rsidRPr="00F318AE">
        <w:rPr>
          <w:sz w:val="22"/>
        </w:rPr>
        <w:lastRenderedPageBreak/>
        <w:t xml:space="preserve">map for this process and </w:t>
      </w:r>
      <w:r w:rsidR="0045173E">
        <w:rPr>
          <w:sz w:val="22"/>
        </w:rPr>
        <w:t xml:space="preserve">has </w:t>
      </w:r>
      <w:r w:rsidRPr="00F318AE">
        <w:rPr>
          <w:sz w:val="22"/>
        </w:rPr>
        <w:t xml:space="preserve">identified pilot areas that </w:t>
      </w:r>
      <w:r w:rsidR="0045173E">
        <w:rPr>
          <w:sz w:val="22"/>
        </w:rPr>
        <w:t>are</w:t>
      </w:r>
      <w:r w:rsidRPr="00F318AE">
        <w:rPr>
          <w:sz w:val="22"/>
        </w:rPr>
        <w:t xml:space="preserve"> planned to be supported by the follow-on operation in </w:t>
      </w:r>
      <w:r w:rsidR="00B81EE9">
        <w:rPr>
          <w:sz w:val="22"/>
        </w:rPr>
        <w:t xml:space="preserve">the </w:t>
      </w:r>
      <w:r>
        <w:rPr>
          <w:sz w:val="22"/>
        </w:rPr>
        <w:t>West Bank and Gaza</w:t>
      </w:r>
      <w:r w:rsidRPr="00F318AE">
        <w:rPr>
          <w:sz w:val="22"/>
        </w:rPr>
        <w:t>.</w:t>
      </w:r>
    </w:p>
    <w:p w:rsidR="0054719E" w:rsidRPr="00273143" w:rsidRDefault="00B578E1" w:rsidP="00273143">
      <w:pPr>
        <w:spacing w:before="240" w:after="240" w:line="240" w:lineRule="auto"/>
        <w:rPr>
          <w:rFonts w:asciiTheme="minorHAnsi" w:hAnsiTheme="minorHAnsi"/>
          <w:b/>
          <w:color w:val="auto"/>
          <w:sz w:val="22"/>
        </w:rPr>
      </w:pPr>
      <w:bookmarkStart w:id="56" w:name="_Toc480984866"/>
      <w:bookmarkStart w:id="57" w:name="_Toc510969697"/>
      <w:r w:rsidRPr="00273143">
        <w:rPr>
          <w:rFonts w:asciiTheme="minorHAnsi" w:hAnsiTheme="minorHAnsi"/>
          <w:b/>
          <w:color w:val="auto"/>
          <w:sz w:val="22"/>
        </w:rPr>
        <w:t>Justification of Overall Efficacy Rating</w:t>
      </w:r>
      <w:bookmarkEnd w:id="56"/>
      <w:bookmarkEnd w:id="57"/>
      <w:r w:rsidRPr="00273143">
        <w:rPr>
          <w:rFonts w:asciiTheme="minorHAnsi" w:hAnsiTheme="minorHAnsi"/>
          <w:b/>
          <w:color w:val="auto"/>
          <w:sz w:val="22"/>
        </w:rPr>
        <w:t xml:space="preserve"> </w:t>
      </w:r>
    </w:p>
    <w:p w:rsidR="0054719E" w:rsidRPr="0054719E" w:rsidRDefault="00B578E1" w:rsidP="00A63A6F">
      <w:pPr>
        <w:pStyle w:val="Normal0"/>
        <w:numPr>
          <w:ilvl w:val="0"/>
          <w:numId w:val="7"/>
        </w:numPr>
        <w:spacing w:after="240" w:line="240" w:lineRule="auto"/>
        <w:ind w:left="0" w:firstLine="0"/>
        <w:jc w:val="both"/>
      </w:pPr>
      <w:r w:rsidRPr="00F318AE">
        <w:rPr>
          <w:b/>
          <w:sz w:val="22"/>
        </w:rPr>
        <w:t>Efficacy rating:</w:t>
      </w:r>
      <w:r w:rsidR="000F13ED">
        <w:rPr>
          <w:b/>
          <w:sz w:val="22"/>
        </w:rPr>
        <w:t xml:space="preserve"> </w:t>
      </w:r>
      <w:r w:rsidRPr="00F318AE">
        <w:rPr>
          <w:b/>
          <w:sz w:val="22"/>
        </w:rPr>
        <w:t>Substantial</w:t>
      </w:r>
      <w:r w:rsidRPr="00F318AE">
        <w:rPr>
          <w:sz w:val="22"/>
        </w:rPr>
        <w:t>.</w:t>
      </w:r>
      <w:r w:rsidR="000F13ED">
        <w:rPr>
          <w:sz w:val="22"/>
        </w:rPr>
        <w:t xml:space="preserve"> </w:t>
      </w:r>
      <w:r w:rsidRPr="00F318AE">
        <w:rPr>
          <w:sz w:val="22"/>
        </w:rPr>
        <w:t xml:space="preserve">Overall, the </w:t>
      </w:r>
      <w:r w:rsidR="004F148C">
        <w:rPr>
          <w:sz w:val="22"/>
        </w:rPr>
        <w:t>p</w:t>
      </w:r>
      <w:r w:rsidRPr="00F318AE">
        <w:rPr>
          <w:sz w:val="22"/>
        </w:rPr>
        <w:t xml:space="preserve">roject has </w:t>
      </w:r>
      <w:r w:rsidR="004F148C" w:rsidRPr="00F318AE">
        <w:rPr>
          <w:sz w:val="22"/>
        </w:rPr>
        <w:t xml:space="preserve">substantively </w:t>
      </w:r>
      <w:r w:rsidRPr="00F318AE">
        <w:rPr>
          <w:sz w:val="22"/>
        </w:rPr>
        <w:t xml:space="preserve">achieved most of its objectives and targets. The </w:t>
      </w:r>
      <w:r w:rsidR="004F148C">
        <w:rPr>
          <w:sz w:val="22"/>
        </w:rPr>
        <w:t>p</w:t>
      </w:r>
      <w:r w:rsidRPr="00F318AE">
        <w:rPr>
          <w:sz w:val="22"/>
        </w:rPr>
        <w:t xml:space="preserve">roject has improved the </w:t>
      </w:r>
      <w:r w:rsidR="004F148C">
        <w:rPr>
          <w:sz w:val="22"/>
        </w:rPr>
        <w:t xml:space="preserve">PWA’s </w:t>
      </w:r>
      <w:r w:rsidRPr="00F318AE">
        <w:rPr>
          <w:sz w:val="22"/>
        </w:rPr>
        <w:t>capacity in its planning, legislative</w:t>
      </w:r>
      <w:r w:rsidR="004F148C">
        <w:rPr>
          <w:sz w:val="22"/>
        </w:rPr>
        <w:t>,</w:t>
      </w:r>
      <w:r w:rsidRPr="00F318AE">
        <w:rPr>
          <w:sz w:val="22"/>
        </w:rPr>
        <w:t xml:space="preserve"> and sector reform functions, as well as through the establishment and operationalizing of the WSRC, improved the government capacity to monitor and regulate the sector. The </w:t>
      </w:r>
      <w:r w:rsidR="004F148C">
        <w:rPr>
          <w:sz w:val="22"/>
        </w:rPr>
        <w:t>p</w:t>
      </w:r>
      <w:r w:rsidRPr="00F318AE">
        <w:rPr>
          <w:sz w:val="22"/>
        </w:rPr>
        <w:t xml:space="preserve">roject has also supported development of a number of important strategies, policies, and tools many of which were implemented and applied </w:t>
      </w:r>
      <w:r w:rsidR="004F148C">
        <w:rPr>
          <w:sz w:val="22"/>
        </w:rPr>
        <w:t>and</w:t>
      </w:r>
      <w:r w:rsidR="004F148C" w:rsidRPr="00F318AE">
        <w:rPr>
          <w:sz w:val="22"/>
        </w:rPr>
        <w:t xml:space="preserve"> </w:t>
      </w:r>
      <w:r w:rsidRPr="00F318AE">
        <w:rPr>
          <w:sz w:val="22"/>
        </w:rPr>
        <w:t>contributed to stronger institutions within the legal framework that clearly defines their roles, responsibilities</w:t>
      </w:r>
      <w:r w:rsidR="004F148C">
        <w:rPr>
          <w:sz w:val="22"/>
        </w:rPr>
        <w:t>,</w:t>
      </w:r>
      <w:r w:rsidRPr="00F318AE">
        <w:rPr>
          <w:sz w:val="22"/>
        </w:rPr>
        <w:t xml:space="preserve"> and the interface relationship between them, while providing improved efficiency and cost</w:t>
      </w:r>
      <w:r w:rsidR="004F148C">
        <w:rPr>
          <w:sz w:val="22"/>
        </w:rPr>
        <w:t xml:space="preserve"> </w:t>
      </w:r>
      <w:r w:rsidRPr="00F318AE">
        <w:rPr>
          <w:sz w:val="22"/>
        </w:rPr>
        <w:t>recovery of more effectively regulated water operators.</w:t>
      </w:r>
      <w:r w:rsidR="000F13ED">
        <w:rPr>
          <w:sz w:val="22"/>
        </w:rPr>
        <w:t xml:space="preserve"> </w:t>
      </w:r>
      <w:r w:rsidRPr="00F318AE">
        <w:rPr>
          <w:sz w:val="22"/>
        </w:rPr>
        <w:t xml:space="preserve">Although the approval of some of the bylaws by the CoM (like the WSRC licensing and NWC bylaws) got delayed due to reasons beyond the </w:t>
      </w:r>
      <w:r w:rsidR="004F148C">
        <w:rPr>
          <w:sz w:val="22"/>
        </w:rPr>
        <w:t xml:space="preserve">project’s </w:t>
      </w:r>
      <w:r w:rsidRPr="00F318AE">
        <w:rPr>
          <w:sz w:val="22"/>
        </w:rPr>
        <w:t xml:space="preserve">control, the likelihood that these will be adopted and implemented is high. </w:t>
      </w:r>
      <w:r w:rsidR="002C5BD7">
        <w:rPr>
          <w:sz w:val="22"/>
        </w:rPr>
        <w:t xml:space="preserve">A road map to assist the achievement of the implementation of water law and related approval of the NWC by-law was recently adopted by the PWA. </w:t>
      </w:r>
      <w:r w:rsidR="004F148C">
        <w:rPr>
          <w:sz w:val="22"/>
        </w:rPr>
        <w:t>The v</w:t>
      </w:r>
      <w:r w:rsidRPr="00F318AE">
        <w:rPr>
          <w:sz w:val="22"/>
        </w:rPr>
        <w:t>isible impact of the technical assistance</w:t>
      </w:r>
      <w:r w:rsidR="0043067C">
        <w:rPr>
          <w:sz w:val="22"/>
        </w:rPr>
        <w:t xml:space="preserve"> (TA)</w:t>
      </w:r>
      <w:r w:rsidRPr="00F318AE">
        <w:rPr>
          <w:sz w:val="22"/>
        </w:rPr>
        <w:t xml:space="preserve"> and capacity</w:t>
      </w:r>
      <w:r w:rsidR="004F148C">
        <w:rPr>
          <w:sz w:val="22"/>
        </w:rPr>
        <w:t>-</w:t>
      </w:r>
      <w:r w:rsidRPr="00F318AE">
        <w:rPr>
          <w:sz w:val="22"/>
        </w:rPr>
        <w:t>building type of activities takes time to demonstrate tangible effect</w:t>
      </w:r>
      <w:r w:rsidR="004F148C">
        <w:rPr>
          <w:sz w:val="22"/>
        </w:rPr>
        <w:t>s</w:t>
      </w:r>
      <w:r w:rsidRPr="00F318AE">
        <w:rPr>
          <w:sz w:val="22"/>
        </w:rPr>
        <w:t xml:space="preserve">, but the policies and reforms developed under the </w:t>
      </w:r>
      <w:r w:rsidR="004F148C">
        <w:rPr>
          <w:sz w:val="22"/>
        </w:rPr>
        <w:t>p</w:t>
      </w:r>
      <w:r w:rsidRPr="00F318AE">
        <w:rPr>
          <w:sz w:val="22"/>
        </w:rPr>
        <w:t xml:space="preserve">roject are being implemented and have </w:t>
      </w:r>
      <w:r w:rsidR="004F148C">
        <w:rPr>
          <w:sz w:val="22"/>
        </w:rPr>
        <w:t>provided</w:t>
      </w:r>
      <w:r w:rsidRPr="00F318AE">
        <w:rPr>
          <w:sz w:val="22"/>
        </w:rPr>
        <w:t xml:space="preserve"> a foundation for continued reform that is supported under the ongoing and future donor support like the World Bank Water Sector Development Program that is under preparation.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032A" w:rsidTr="00B04F0C">
        <w:tc>
          <w:tcPr>
            <w:tcW w:w="9350" w:type="dxa"/>
          </w:tcPr>
          <w:p w:rsidR="00CC6090" w:rsidRPr="00667D04" w:rsidRDefault="00B578E1" w:rsidP="00667D04">
            <w:pPr>
              <w:pStyle w:val="Heading2"/>
              <w:outlineLvl w:val="1"/>
            </w:pPr>
            <w:bookmarkStart w:id="58" w:name="_Toc516132498"/>
            <w:bookmarkStart w:id="59" w:name="_Toc256000008"/>
            <w:bookmarkStart w:id="60" w:name="_Toc485984573"/>
            <w:bookmarkStart w:id="61" w:name="_Toc510969698"/>
            <w:r w:rsidRPr="00667D04">
              <w:t>C. EFFICIENCY</w:t>
            </w:r>
            <w:bookmarkEnd w:id="58"/>
          </w:p>
        </w:tc>
      </w:tr>
    </w:tbl>
    <w:bookmarkEnd w:id="59"/>
    <w:bookmarkEnd w:id="60"/>
    <w:bookmarkEnd w:id="61"/>
    <w:p w:rsidR="009571FD" w:rsidRPr="00F318AE" w:rsidRDefault="00B578E1" w:rsidP="00A63A6F">
      <w:pPr>
        <w:pStyle w:val="Normal0"/>
        <w:numPr>
          <w:ilvl w:val="0"/>
          <w:numId w:val="7"/>
        </w:numPr>
        <w:spacing w:before="240" w:after="240" w:line="240" w:lineRule="auto"/>
        <w:ind w:left="0" w:firstLine="0"/>
        <w:jc w:val="both"/>
        <w:rPr>
          <w:b/>
          <w:sz w:val="22"/>
        </w:rPr>
      </w:pPr>
      <w:r w:rsidRPr="00F318AE">
        <w:rPr>
          <w:b/>
          <w:sz w:val="22"/>
        </w:rPr>
        <w:t>The nature of the activities does not lend itself to traditional cost-benefit analysis</w:t>
      </w:r>
      <w:r w:rsidRPr="00F318AE">
        <w:rPr>
          <w:sz w:val="22"/>
        </w:rPr>
        <w:t xml:space="preserve">. This was already noted in the original </w:t>
      </w:r>
      <w:r>
        <w:rPr>
          <w:sz w:val="22"/>
        </w:rPr>
        <w:t>Project Appraisal Document (</w:t>
      </w:r>
      <w:r w:rsidRPr="00F318AE">
        <w:rPr>
          <w:sz w:val="22"/>
        </w:rPr>
        <w:t>PAD</w:t>
      </w:r>
      <w:r>
        <w:rPr>
          <w:sz w:val="22"/>
        </w:rPr>
        <w:t>)</w:t>
      </w:r>
      <w:r w:rsidRPr="00F318AE">
        <w:rPr>
          <w:sz w:val="22"/>
        </w:rPr>
        <w:t xml:space="preserve"> and the AF’s appraisal summaries: “The nature of the activities to be financed by the Project does not lend itself to the standard quantitative cost-benefit analysis [and that] the benefits of these activities cannot be reliably estimated in monetary terms.” It is, however, useful to assess whether value for money (VFM) was achieved by comparing this </w:t>
      </w:r>
      <w:r w:rsidR="0043067C">
        <w:rPr>
          <w:sz w:val="22"/>
        </w:rPr>
        <w:t>p</w:t>
      </w:r>
      <w:r w:rsidRPr="00F318AE">
        <w:rPr>
          <w:sz w:val="22"/>
        </w:rPr>
        <w:t xml:space="preserve">roject with similar water sector reform projects in other countries (see annex 4 for full analysis). </w:t>
      </w:r>
    </w:p>
    <w:p w:rsidR="009571FD" w:rsidRPr="00F318AE" w:rsidRDefault="00B578E1" w:rsidP="00A63A6F">
      <w:pPr>
        <w:pStyle w:val="Normal0"/>
        <w:numPr>
          <w:ilvl w:val="0"/>
          <w:numId w:val="7"/>
        </w:numPr>
        <w:spacing w:after="240" w:line="240" w:lineRule="auto"/>
        <w:ind w:left="0" w:firstLine="0"/>
        <w:jc w:val="both"/>
        <w:rPr>
          <w:b/>
          <w:sz w:val="22"/>
        </w:rPr>
      </w:pPr>
      <w:r w:rsidRPr="00F318AE">
        <w:rPr>
          <w:b/>
          <w:sz w:val="22"/>
        </w:rPr>
        <w:t xml:space="preserve">Global experience </w:t>
      </w:r>
      <w:r w:rsidR="0043067C">
        <w:rPr>
          <w:b/>
          <w:sz w:val="22"/>
        </w:rPr>
        <w:t>i</w:t>
      </w:r>
      <w:r w:rsidRPr="00F318AE">
        <w:rPr>
          <w:b/>
          <w:sz w:val="22"/>
        </w:rPr>
        <w:t xml:space="preserve">n water sector reform projects in fragile contexts can be used to benchmark this </w:t>
      </w:r>
      <w:r w:rsidR="0043067C">
        <w:rPr>
          <w:b/>
          <w:sz w:val="22"/>
        </w:rPr>
        <w:t>p</w:t>
      </w:r>
      <w:r w:rsidRPr="00F318AE">
        <w:rPr>
          <w:b/>
          <w:sz w:val="22"/>
        </w:rPr>
        <w:t>roject’s results and inform the efficiency evaluation.</w:t>
      </w:r>
      <w:r w:rsidRPr="00F318AE">
        <w:rPr>
          <w:sz w:val="22"/>
        </w:rPr>
        <w:t xml:space="preserve"> Over the past few years there have been sector reform projects in Papua New Guinea, Sierra Leone, and Zimbabwe, all of which are countries that have experienced fragility and are of comparable population sizes. The analysis</w:t>
      </w:r>
      <w:r w:rsidR="0043067C" w:rsidRPr="0043067C">
        <w:rPr>
          <w:sz w:val="22"/>
        </w:rPr>
        <w:t xml:space="preserve"> </w:t>
      </w:r>
      <w:r w:rsidR="0043067C" w:rsidRPr="00F318AE">
        <w:rPr>
          <w:sz w:val="22"/>
        </w:rPr>
        <w:t>separately</w:t>
      </w:r>
      <w:r w:rsidRPr="00F318AE">
        <w:rPr>
          <w:sz w:val="22"/>
        </w:rPr>
        <w:t xml:space="preserve"> examined two distinct sets of outputs of these projects:</w:t>
      </w:r>
    </w:p>
    <w:p w:rsidR="009571FD" w:rsidRPr="00F318AE" w:rsidRDefault="00B578E1" w:rsidP="00A63A6F">
      <w:pPr>
        <w:pStyle w:val="Normal0"/>
        <w:numPr>
          <w:ilvl w:val="0"/>
          <w:numId w:val="6"/>
        </w:numPr>
        <w:spacing w:after="240" w:line="240" w:lineRule="auto"/>
        <w:ind w:left="1195" w:hanging="475"/>
        <w:jc w:val="both"/>
        <w:rPr>
          <w:rFonts w:cstheme="minorHAnsi"/>
          <w:sz w:val="22"/>
        </w:rPr>
      </w:pPr>
      <w:r w:rsidRPr="00F318AE">
        <w:rPr>
          <w:rFonts w:cstheme="minorHAnsi"/>
          <w:b/>
          <w:sz w:val="22"/>
        </w:rPr>
        <w:t>Reform instruments</w:t>
      </w:r>
      <w:r w:rsidR="0043067C">
        <w:rPr>
          <w:rFonts w:cstheme="minorHAnsi"/>
          <w:b/>
          <w:sz w:val="22"/>
        </w:rPr>
        <w:t>.</w:t>
      </w:r>
      <w:r w:rsidRPr="00F318AE">
        <w:rPr>
          <w:rFonts w:cstheme="minorHAnsi"/>
          <w:b/>
          <w:sz w:val="22"/>
        </w:rPr>
        <w:t xml:space="preserve"> </w:t>
      </w:r>
      <w:r w:rsidRPr="00F318AE">
        <w:rPr>
          <w:rFonts w:cstheme="minorHAnsi"/>
          <w:sz w:val="22"/>
        </w:rPr>
        <w:t>The package of laws, policies, strategies, regulations</w:t>
      </w:r>
      <w:r w:rsidR="0043067C">
        <w:rPr>
          <w:rFonts w:cstheme="minorHAnsi"/>
          <w:sz w:val="22"/>
        </w:rPr>
        <w:t>,</w:t>
      </w:r>
      <w:r w:rsidRPr="00F318AE">
        <w:rPr>
          <w:rFonts w:cstheme="minorHAnsi"/>
          <w:sz w:val="22"/>
        </w:rPr>
        <w:t xml:space="preserve"> and plans that direct the reform;</w:t>
      </w:r>
      <w:r w:rsidR="0043067C">
        <w:rPr>
          <w:rFonts w:cstheme="minorHAnsi"/>
          <w:sz w:val="22"/>
        </w:rPr>
        <w:t xml:space="preserve"> and</w:t>
      </w:r>
    </w:p>
    <w:p w:rsidR="009571FD" w:rsidRPr="00F318AE" w:rsidRDefault="00B578E1" w:rsidP="00A63A6F">
      <w:pPr>
        <w:pStyle w:val="Normal0"/>
        <w:numPr>
          <w:ilvl w:val="0"/>
          <w:numId w:val="6"/>
        </w:numPr>
        <w:spacing w:after="240" w:line="240" w:lineRule="auto"/>
        <w:ind w:left="1195" w:hanging="475"/>
        <w:jc w:val="both"/>
        <w:rPr>
          <w:rFonts w:cstheme="minorHAnsi"/>
          <w:sz w:val="22"/>
        </w:rPr>
      </w:pPr>
      <w:r w:rsidRPr="00F318AE">
        <w:rPr>
          <w:rFonts w:cstheme="minorHAnsi"/>
          <w:b/>
          <w:sz w:val="22"/>
        </w:rPr>
        <w:t>Utility performance reports</w:t>
      </w:r>
      <w:r w:rsidR="0043067C">
        <w:rPr>
          <w:rFonts w:cstheme="minorHAnsi"/>
          <w:b/>
          <w:sz w:val="22"/>
        </w:rPr>
        <w:t>.</w:t>
      </w:r>
      <w:r w:rsidRPr="00F318AE">
        <w:rPr>
          <w:rFonts w:cstheme="minorHAnsi"/>
          <w:b/>
          <w:sz w:val="22"/>
        </w:rPr>
        <w:t xml:space="preserve"> </w:t>
      </w:r>
      <w:r w:rsidRPr="00F318AE">
        <w:rPr>
          <w:rFonts w:cstheme="minorHAnsi"/>
          <w:sz w:val="22"/>
        </w:rPr>
        <w:t xml:space="preserve">The </w:t>
      </w:r>
      <w:r w:rsidR="008D27C7">
        <w:rPr>
          <w:rFonts w:cstheme="minorHAnsi"/>
          <w:sz w:val="22"/>
        </w:rPr>
        <w:t>SP</w:t>
      </w:r>
      <w:r w:rsidRPr="00F318AE">
        <w:rPr>
          <w:rFonts w:cstheme="minorHAnsi"/>
          <w:sz w:val="22"/>
        </w:rPr>
        <w:t xml:space="preserve"> performance data and analysis that monitor the progress and outcomes of the reform.</w:t>
      </w:r>
    </w:p>
    <w:p w:rsidR="009571FD" w:rsidRPr="00F318AE" w:rsidRDefault="00B578E1" w:rsidP="00A63A6F">
      <w:pPr>
        <w:pStyle w:val="Normal0"/>
        <w:numPr>
          <w:ilvl w:val="0"/>
          <w:numId w:val="7"/>
        </w:numPr>
        <w:spacing w:after="240" w:line="240" w:lineRule="auto"/>
        <w:ind w:left="0" w:firstLine="0"/>
        <w:jc w:val="both"/>
        <w:rPr>
          <w:rFonts w:cstheme="minorHAnsi"/>
          <w:sz w:val="22"/>
        </w:rPr>
      </w:pPr>
      <w:r w:rsidRPr="00F318AE">
        <w:rPr>
          <w:rFonts w:cstheme="minorHAnsi"/>
          <w:b/>
          <w:sz w:val="22"/>
        </w:rPr>
        <w:lastRenderedPageBreak/>
        <w:t>The following observations relating to VFM were drawn first on the reform instruments and then the utility performance reports.</w:t>
      </w:r>
      <w:r w:rsidR="000F13ED">
        <w:rPr>
          <w:rFonts w:cstheme="minorHAnsi"/>
          <w:sz w:val="22"/>
        </w:rPr>
        <w:t xml:space="preserve"> </w:t>
      </w:r>
      <w:r w:rsidRPr="00F318AE">
        <w:rPr>
          <w:sz w:val="22"/>
        </w:rPr>
        <w:t xml:space="preserve">At </w:t>
      </w:r>
      <w:r>
        <w:rPr>
          <w:sz w:val="22"/>
        </w:rPr>
        <w:t>US</w:t>
      </w:r>
      <w:r w:rsidRPr="00F318AE">
        <w:rPr>
          <w:sz w:val="22"/>
        </w:rPr>
        <w:t>$6.7</w:t>
      </w:r>
      <w:r>
        <w:rPr>
          <w:sz w:val="22"/>
        </w:rPr>
        <w:t xml:space="preserve"> </w:t>
      </w:r>
      <w:r w:rsidRPr="00F318AE">
        <w:rPr>
          <w:sz w:val="22"/>
        </w:rPr>
        <w:t>m</w:t>
      </w:r>
      <w:r>
        <w:rPr>
          <w:sz w:val="22"/>
        </w:rPr>
        <w:t>illion,</w:t>
      </w:r>
      <w:r w:rsidRPr="00F318AE">
        <w:rPr>
          <w:sz w:val="22"/>
        </w:rPr>
        <w:t xml:space="preserve"> the reform instrument part of the </w:t>
      </w:r>
      <w:r w:rsidR="0043067C">
        <w:rPr>
          <w:sz w:val="22"/>
        </w:rPr>
        <w:t>p</w:t>
      </w:r>
      <w:r w:rsidRPr="00F318AE">
        <w:rPr>
          <w:sz w:val="22"/>
        </w:rPr>
        <w:t>roject was at the upper end of the range of comparator projects (</w:t>
      </w:r>
      <w:r>
        <w:rPr>
          <w:sz w:val="22"/>
        </w:rPr>
        <w:t>US</w:t>
      </w:r>
      <w:r w:rsidRPr="00F318AE">
        <w:rPr>
          <w:sz w:val="22"/>
        </w:rPr>
        <w:t>$3.7</w:t>
      </w:r>
      <w:r>
        <w:rPr>
          <w:sz w:val="22"/>
        </w:rPr>
        <w:t xml:space="preserve"> </w:t>
      </w:r>
      <w:r w:rsidRPr="00F318AE">
        <w:rPr>
          <w:sz w:val="22"/>
        </w:rPr>
        <w:t>m</w:t>
      </w:r>
      <w:r>
        <w:rPr>
          <w:sz w:val="22"/>
        </w:rPr>
        <w:t>illion</w:t>
      </w:r>
      <w:r w:rsidRPr="00F318AE">
        <w:rPr>
          <w:sz w:val="22"/>
        </w:rPr>
        <w:t xml:space="preserve"> to </w:t>
      </w:r>
      <w:r>
        <w:rPr>
          <w:sz w:val="22"/>
        </w:rPr>
        <w:t>US</w:t>
      </w:r>
      <w:r w:rsidRPr="00F318AE">
        <w:rPr>
          <w:sz w:val="22"/>
        </w:rPr>
        <w:t>$6.7</w:t>
      </w:r>
      <w:r>
        <w:rPr>
          <w:sz w:val="22"/>
        </w:rPr>
        <w:t xml:space="preserve"> </w:t>
      </w:r>
      <w:r w:rsidRPr="00F318AE">
        <w:rPr>
          <w:sz w:val="22"/>
        </w:rPr>
        <w:t>m</w:t>
      </w:r>
      <w:r>
        <w:rPr>
          <w:sz w:val="22"/>
        </w:rPr>
        <w:t>illion</w:t>
      </w:r>
      <w:r w:rsidRPr="00F318AE">
        <w:rPr>
          <w:sz w:val="22"/>
        </w:rPr>
        <w:t>). Other differences between the four cases were mainly in the implementation arrangements. In two of the cases (West Bank and Gaza and Sierra Leone)</w:t>
      </w:r>
      <w:r>
        <w:rPr>
          <w:sz w:val="22"/>
        </w:rPr>
        <w:t>,</w:t>
      </w:r>
      <w:r w:rsidRPr="00F318AE">
        <w:rPr>
          <w:sz w:val="22"/>
        </w:rPr>
        <w:t xml:space="preserve"> much of the TA was provided by an external consulting firm as a single large contract. There were also differences in the balance of </w:t>
      </w:r>
      <w:r w:rsidR="0043067C">
        <w:rPr>
          <w:sz w:val="22"/>
        </w:rPr>
        <w:t xml:space="preserve">the World </w:t>
      </w:r>
      <w:r w:rsidRPr="00F318AE">
        <w:rPr>
          <w:sz w:val="22"/>
        </w:rPr>
        <w:t>Bank</w:t>
      </w:r>
      <w:r w:rsidR="0043067C">
        <w:rPr>
          <w:sz w:val="22"/>
        </w:rPr>
        <w:t>-</w:t>
      </w:r>
      <w:r w:rsidR="00B81EE9">
        <w:rPr>
          <w:sz w:val="22"/>
        </w:rPr>
        <w:t>executed</w:t>
      </w:r>
      <w:r w:rsidRPr="00F318AE">
        <w:rPr>
          <w:sz w:val="22"/>
        </w:rPr>
        <w:t xml:space="preserve"> and </w:t>
      </w:r>
      <w:r w:rsidR="0043067C">
        <w:rPr>
          <w:sz w:val="22"/>
        </w:rPr>
        <w:t>r</w:t>
      </w:r>
      <w:r w:rsidRPr="00F318AE">
        <w:rPr>
          <w:sz w:val="22"/>
        </w:rPr>
        <w:t>ecipient</w:t>
      </w:r>
      <w:r w:rsidR="0043067C">
        <w:rPr>
          <w:sz w:val="22"/>
        </w:rPr>
        <w:t>-e</w:t>
      </w:r>
      <w:r w:rsidRPr="00F318AE">
        <w:rPr>
          <w:sz w:val="22"/>
        </w:rPr>
        <w:t xml:space="preserve">xecuted activities. These differences in implementation arrangements influenced </w:t>
      </w:r>
      <w:r w:rsidR="0043067C">
        <w:rPr>
          <w:sz w:val="22"/>
        </w:rPr>
        <w:t>(a</w:t>
      </w:r>
      <w:r w:rsidRPr="00F318AE">
        <w:rPr>
          <w:sz w:val="22"/>
        </w:rPr>
        <w:t>) the clarity of reform objectives at the start of the recipient</w:t>
      </w:r>
      <w:r w:rsidR="0043067C">
        <w:rPr>
          <w:sz w:val="22"/>
        </w:rPr>
        <w:t>-</w:t>
      </w:r>
      <w:r w:rsidRPr="00F318AE">
        <w:rPr>
          <w:sz w:val="22"/>
        </w:rPr>
        <w:t xml:space="preserve">executed reform process and </w:t>
      </w:r>
      <w:r w:rsidR="0043067C">
        <w:rPr>
          <w:sz w:val="22"/>
        </w:rPr>
        <w:t>(b</w:t>
      </w:r>
      <w:r w:rsidRPr="00F318AE">
        <w:rPr>
          <w:sz w:val="22"/>
        </w:rPr>
        <w:t>) how adaptable (or responsive) the external TA was to changes in the reform environment. The challenges and opportunities that the implementation arrangements for this project presented were threefold.</w:t>
      </w:r>
    </w:p>
    <w:p w:rsidR="009571FD" w:rsidRPr="00F318AE" w:rsidRDefault="00B578E1" w:rsidP="00A63A6F">
      <w:pPr>
        <w:pStyle w:val="Normal0"/>
        <w:numPr>
          <w:ilvl w:val="0"/>
          <w:numId w:val="7"/>
        </w:numPr>
        <w:spacing w:after="240" w:line="240" w:lineRule="auto"/>
        <w:ind w:left="0" w:firstLine="0"/>
        <w:jc w:val="both"/>
        <w:rPr>
          <w:rFonts w:cstheme="minorHAnsi"/>
          <w:sz w:val="22"/>
        </w:rPr>
      </w:pPr>
      <w:r w:rsidRPr="00F318AE">
        <w:rPr>
          <w:rFonts w:cstheme="minorHAnsi"/>
          <w:b/>
          <w:sz w:val="22"/>
        </w:rPr>
        <w:t xml:space="preserve">First, external TA was designed without certainty on the reform objectives. </w:t>
      </w:r>
      <w:r w:rsidRPr="00F318AE">
        <w:rPr>
          <w:rFonts w:cstheme="minorHAnsi"/>
          <w:sz w:val="22"/>
        </w:rPr>
        <w:t xml:space="preserve">There were two critical reviews that had not been concluded at the point of project appraisal. These were the Institutional Water Sector Review and the Legislative Review which were funded by other donors. This meant that the reform objectives were unclear at the time the recipient had to draft the </w:t>
      </w:r>
      <w:r w:rsidR="0043067C">
        <w:rPr>
          <w:rFonts w:cstheme="minorHAnsi"/>
          <w:sz w:val="22"/>
        </w:rPr>
        <w:t>t</w:t>
      </w:r>
      <w:r>
        <w:rPr>
          <w:rFonts w:cstheme="minorHAnsi"/>
          <w:sz w:val="22"/>
        </w:rPr>
        <w:t xml:space="preserve">erms of </w:t>
      </w:r>
      <w:r w:rsidR="0043067C">
        <w:rPr>
          <w:rFonts w:cstheme="minorHAnsi"/>
          <w:sz w:val="22"/>
        </w:rPr>
        <w:t>r</w:t>
      </w:r>
      <w:r>
        <w:rPr>
          <w:rFonts w:cstheme="minorHAnsi"/>
          <w:sz w:val="22"/>
        </w:rPr>
        <w:t>eferences (</w:t>
      </w:r>
      <w:r w:rsidRPr="00F318AE">
        <w:rPr>
          <w:rFonts w:cstheme="minorHAnsi"/>
          <w:sz w:val="22"/>
        </w:rPr>
        <w:t>TORs</w:t>
      </w:r>
      <w:r>
        <w:rPr>
          <w:rFonts w:cstheme="minorHAnsi"/>
          <w:sz w:val="22"/>
        </w:rPr>
        <w:t>)</w:t>
      </w:r>
      <w:r w:rsidRPr="00F318AE">
        <w:rPr>
          <w:rFonts w:cstheme="minorHAnsi"/>
          <w:sz w:val="22"/>
        </w:rPr>
        <w:t xml:space="preserve"> for </w:t>
      </w:r>
      <w:r w:rsidRPr="009E3FFE">
        <w:rPr>
          <w:sz w:val="22"/>
        </w:rPr>
        <w:t>the</w:t>
      </w:r>
      <w:r w:rsidRPr="00F318AE">
        <w:rPr>
          <w:rFonts w:cstheme="minorHAnsi"/>
          <w:sz w:val="22"/>
        </w:rPr>
        <w:t xml:space="preserve"> external TA contract. In turn, that led to an ill-defined external TA contract. In the other three country cases there was greater </w:t>
      </w:r>
      <w:r w:rsidRPr="00B81EE9">
        <w:rPr>
          <w:rFonts w:cstheme="minorHAnsi"/>
          <w:sz w:val="22"/>
        </w:rPr>
        <w:t>ex</w:t>
      </w:r>
      <w:r w:rsidR="007730EB" w:rsidRPr="00B81EE9">
        <w:rPr>
          <w:rFonts w:cstheme="minorHAnsi"/>
          <w:sz w:val="22"/>
        </w:rPr>
        <w:t xml:space="preserve"> </w:t>
      </w:r>
      <w:r w:rsidRPr="00B81EE9">
        <w:rPr>
          <w:rFonts w:cstheme="minorHAnsi"/>
          <w:sz w:val="22"/>
        </w:rPr>
        <w:t>ante</w:t>
      </w:r>
      <w:r w:rsidRPr="00F318AE">
        <w:rPr>
          <w:rFonts w:cstheme="minorHAnsi"/>
          <w:sz w:val="22"/>
        </w:rPr>
        <w:t xml:space="preserve"> clarity on the reform objectives before contracting </w:t>
      </w:r>
      <w:r w:rsidR="007730EB">
        <w:rPr>
          <w:rFonts w:cstheme="minorHAnsi"/>
          <w:sz w:val="22"/>
        </w:rPr>
        <w:t xml:space="preserve">an </w:t>
      </w:r>
      <w:r w:rsidRPr="00F318AE">
        <w:rPr>
          <w:rFonts w:cstheme="minorHAnsi"/>
          <w:sz w:val="22"/>
        </w:rPr>
        <w:t>external TA.</w:t>
      </w:r>
      <w:r w:rsidR="000F13ED">
        <w:rPr>
          <w:rFonts w:cstheme="minorHAnsi"/>
          <w:sz w:val="22"/>
        </w:rPr>
        <w:t xml:space="preserve"> </w:t>
      </w:r>
    </w:p>
    <w:p w:rsidR="009571FD" w:rsidRPr="00F318AE" w:rsidRDefault="00B578E1" w:rsidP="00A63A6F">
      <w:pPr>
        <w:pStyle w:val="Normal0"/>
        <w:numPr>
          <w:ilvl w:val="0"/>
          <w:numId w:val="7"/>
        </w:numPr>
        <w:spacing w:after="240" w:line="240" w:lineRule="auto"/>
        <w:ind w:left="0" w:firstLine="0"/>
        <w:jc w:val="both"/>
        <w:rPr>
          <w:rFonts w:cstheme="minorHAnsi"/>
          <w:sz w:val="22"/>
        </w:rPr>
      </w:pPr>
      <w:r w:rsidRPr="00F318AE">
        <w:rPr>
          <w:rFonts w:cstheme="minorHAnsi"/>
          <w:b/>
          <w:sz w:val="22"/>
        </w:rPr>
        <w:t xml:space="preserve">Second, the outsourcing of the TA as a single large firm contract limited responsiveness to the reform environment. </w:t>
      </w:r>
      <w:r w:rsidRPr="00F318AE">
        <w:rPr>
          <w:rFonts w:cstheme="minorHAnsi"/>
          <w:sz w:val="22"/>
        </w:rPr>
        <w:t>When sector stakeholders tried to redirect the TA to be more responsive to the reform needs</w:t>
      </w:r>
      <w:r w:rsidR="00B81EE9">
        <w:rPr>
          <w:rFonts w:cstheme="minorHAnsi"/>
          <w:sz w:val="22"/>
        </w:rPr>
        <w:t>,</w:t>
      </w:r>
      <w:r w:rsidRPr="00F318AE">
        <w:rPr>
          <w:rFonts w:cstheme="minorHAnsi"/>
          <w:sz w:val="22"/>
        </w:rPr>
        <w:t xml:space="preserve"> the incumbent firm, reasonably, </w:t>
      </w:r>
      <w:r w:rsidRPr="009E3FFE">
        <w:rPr>
          <w:sz w:val="22"/>
        </w:rPr>
        <w:t>referred</w:t>
      </w:r>
      <w:r w:rsidRPr="00F318AE">
        <w:rPr>
          <w:rFonts w:cstheme="minorHAnsi"/>
          <w:sz w:val="22"/>
        </w:rPr>
        <w:t xml:space="preserve"> back to their contract to limit variance in the scope (but leading to unnecessary outputs). Breaking </w:t>
      </w:r>
      <w:r w:rsidR="007730EB">
        <w:rPr>
          <w:rFonts w:cstheme="minorHAnsi"/>
          <w:sz w:val="22"/>
        </w:rPr>
        <w:t xml:space="preserve">the </w:t>
      </w:r>
      <w:r w:rsidRPr="00F318AE">
        <w:rPr>
          <w:rFonts w:cstheme="minorHAnsi"/>
          <w:sz w:val="22"/>
        </w:rPr>
        <w:t>external TA into more phases or with clearer milestones would have created more space for course</w:t>
      </w:r>
      <w:r w:rsidR="007730EB">
        <w:rPr>
          <w:rFonts w:cstheme="minorHAnsi"/>
          <w:sz w:val="22"/>
        </w:rPr>
        <w:t xml:space="preserve"> </w:t>
      </w:r>
      <w:r w:rsidRPr="00F318AE">
        <w:rPr>
          <w:rFonts w:cstheme="minorHAnsi"/>
          <w:sz w:val="22"/>
        </w:rPr>
        <w:t>corrections and adaptability.</w:t>
      </w:r>
    </w:p>
    <w:p w:rsidR="009571FD" w:rsidRDefault="00B578E1" w:rsidP="00A63A6F">
      <w:pPr>
        <w:pStyle w:val="Normal0"/>
        <w:numPr>
          <w:ilvl w:val="0"/>
          <w:numId w:val="7"/>
        </w:numPr>
        <w:spacing w:after="240" w:line="240" w:lineRule="auto"/>
        <w:ind w:left="0" w:firstLine="0"/>
        <w:jc w:val="both"/>
        <w:rPr>
          <w:rFonts w:cstheme="minorHAnsi"/>
          <w:sz w:val="22"/>
        </w:rPr>
      </w:pPr>
      <w:r w:rsidRPr="00F318AE">
        <w:rPr>
          <w:rFonts w:cstheme="minorHAnsi"/>
          <w:b/>
          <w:sz w:val="22"/>
        </w:rPr>
        <w:t xml:space="preserve">Third, a combination of </w:t>
      </w:r>
      <w:r w:rsidR="007730EB">
        <w:rPr>
          <w:rFonts w:cstheme="minorHAnsi"/>
          <w:b/>
          <w:sz w:val="22"/>
        </w:rPr>
        <w:t xml:space="preserve">World </w:t>
      </w:r>
      <w:r w:rsidRPr="00F318AE">
        <w:rPr>
          <w:rFonts w:cstheme="minorHAnsi"/>
          <w:b/>
          <w:sz w:val="22"/>
        </w:rPr>
        <w:t>Bank</w:t>
      </w:r>
      <w:r w:rsidR="007730EB">
        <w:rPr>
          <w:rFonts w:cstheme="minorHAnsi"/>
          <w:b/>
          <w:sz w:val="22"/>
        </w:rPr>
        <w:t>-</w:t>
      </w:r>
      <w:r w:rsidR="00B81EE9">
        <w:rPr>
          <w:rFonts w:cstheme="minorHAnsi"/>
          <w:b/>
          <w:sz w:val="22"/>
        </w:rPr>
        <w:t>executed</w:t>
      </w:r>
      <w:r w:rsidRPr="00F318AE">
        <w:rPr>
          <w:rFonts w:cstheme="minorHAnsi"/>
          <w:b/>
          <w:sz w:val="22"/>
        </w:rPr>
        <w:t xml:space="preserve"> and </w:t>
      </w:r>
      <w:r w:rsidR="007730EB">
        <w:rPr>
          <w:rFonts w:cstheme="minorHAnsi"/>
          <w:b/>
          <w:sz w:val="22"/>
        </w:rPr>
        <w:t>r</w:t>
      </w:r>
      <w:r w:rsidRPr="00F318AE">
        <w:rPr>
          <w:rFonts w:cstheme="minorHAnsi"/>
          <w:b/>
          <w:sz w:val="22"/>
        </w:rPr>
        <w:t>ecipient</w:t>
      </w:r>
      <w:r w:rsidR="007730EB">
        <w:rPr>
          <w:rFonts w:cstheme="minorHAnsi"/>
          <w:b/>
          <w:sz w:val="22"/>
        </w:rPr>
        <w:t>-</w:t>
      </w:r>
      <w:r w:rsidRPr="00F318AE">
        <w:rPr>
          <w:rFonts w:cstheme="minorHAnsi"/>
          <w:b/>
          <w:sz w:val="22"/>
        </w:rPr>
        <w:t xml:space="preserve">executed TA could have provided greater clarity in reform objectives and adaptability to reform environment. </w:t>
      </w:r>
      <w:r w:rsidRPr="00F318AE">
        <w:rPr>
          <w:rFonts w:cstheme="minorHAnsi"/>
          <w:sz w:val="22"/>
        </w:rPr>
        <w:t xml:space="preserve">In other countries, </w:t>
      </w:r>
      <w:r w:rsidR="007730EB">
        <w:rPr>
          <w:rFonts w:cstheme="minorHAnsi"/>
          <w:sz w:val="22"/>
        </w:rPr>
        <w:t xml:space="preserve">the World </w:t>
      </w:r>
      <w:r w:rsidRPr="00F318AE">
        <w:rPr>
          <w:rFonts w:cstheme="minorHAnsi"/>
          <w:sz w:val="22"/>
        </w:rPr>
        <w:t>Bank</w:t>
      </w:r>
      <w:r w:rsidR="007730EB">
        <w:rPr>
          <w:rFonts w:cstheme="minorHAnsi"/>
          <w:sz w:val="22"/>
        </w:rPr>
        <w:t>-</w:t>
      </w:r>
      <w:r w:rsidRPr="00F318AE">
        <w:rPr>
          <w:rFonts w:cstheme="minorHAnsi"/>
          <w:sz w:val="22"/>
        </w:rPr>
        <w:t>executed TA</w:t>
      </w:r>
      <w:r w:rsidR="007730EB">
        <w:rPr>
          <w:rFonts w:cstheme="minorHAnsi"/>
          <w:sz w:val="22"/>
        </w:rPr>
        <w:t>,</w:t>
      </w:r>
      <w:r w:rsidRPr="00F318AE">
        <w:rPr>
          <w:rFonts w:cstheme="minorHAnsi"/>
          <w:sz w:val="22"/>
        </w:rPr>
        <w:t xml:space="preserve"> foundational to defining the reform objectives</w:t>
      </w:r>
      <w:r w:rsidR="007730EB">
        <w:rPr>
          <w:rFonts w:cstheme="minorHAnsi"/>
          <w:sz w:val="22"/>
        </w:rPr>
        <w:t>,</w:t>
      </w:r>
      <w:r w:rsidRPr="00F318AE">
        <w:rPr>
          <w:rFonts w:cstheme="minorHAnsi"/>
          <w:sz w:val="22"/>
        </w:rPr>
        <w:t xml:space="preserve"> was provided </w:t>
      </w:r>
      <w:r w:rsidR="007730EB">
        <w:rPr>
          <w:rFonts w:cstheme="minorHAnsi"/>
          <w:sz w:val="22"/>
        </w:rPr>
        <w:t xml:space="preserve">and </w:t>
      </w:r>
      <w:r w:rsidRPr="00F318AE">
        <w:rPr>
          <w:rFonts w:cstheme="minorHAnsi"/>
          <w:sz w:val="22"/>
        </w:rPr>
        <w:t xml:space="preserve">encouraged south-south learning and innovation. The </w:t>
      </w:r>
      <w:r w:rsidR="007730EB">
        <w:rPr>
          <w:rFonts w:cstheme="minorHAnsi"/>
          <w:sz w:val="22"/>
        </w:rPr>
        <w:t>r</w:t>
      </w:r>
      <w:r w:rsidRPr="00F318AE">
        <w:rPr>
          <w:rFonts w:cstheme="minorHAnsi"/>
          <w:sz w:val="22"/>
        </w:rPr>
        <w:t>ecipient</w:t>
      </w:r>
      <w:r w:rsidR="007730EB">
        <w:rPr>
          <w:rFonts w:cstheme="minorHAnsi"/>
          <w:sz w:val="22"/>
        </w:rPr>
        <w:t>-</w:t>
      </w:r>
      <w:r w:rsidRPr="00F318AE">
        <w:rPr>
          <w:rFonts w:cstheme="minorHAnsi"/>
          <w:sz w:val="22"/>
        </w:rPr>
        <w:t xml:space="preserve">executed TA then focused on realizing the institutional and policy direction set out in </w:t>
      </w:r>
      <w:r w:rsidR="007730EB">
        <w:rPr>
          <w:rFonts w:cstheme="minorHAnsi"/>
          <w:sz w:val="22"/>
        </w:rPr>
        <w:t xml:space="preserve">the </w:t>
      </w:r>
      <w:r w:rsidRPr="00F318AE">
        <w:rPr>
          <w:rFonts w:cstheme="minorHAnsi"/>
          <w:sz w:val="22"/>
        </w:rPr>
        <w:t xml:space="preserve">reform objectives. This partitioning </w:t>
      </w:r>
      <w:r w:rsidRPr="00017794">
        <w:rPr>
          <w:sz w:val="22"/>
        </w:rPr>
        <w:t>between</w:t>
      </w:r>
      <w:r w:rsidRPr="00F318AE">
        <w:rPr>
          <w:rFonts w:cstheme="minorHAnsi"/>
          <w:sz w:val="22"/>
        </w:rPr>
        <w:t xml:space="preserve"> </w:t>
      </w:r>
      <w:r w:rsidR="007730EB">
        <w:rPr>
          <w:rFonts w:cstheme="minorHAnsi"/>
          <w:sz w:val="22"/>
        </w:rPr>
        <w:t xml:space="preserve">the World </w:t>
      </w:r>
      <w:r w:rsidRPr="00F318AE">
        <w:rPr>
          <w:rFonts w:cstheme="minorHAnsi"/>
          <w:sz w:val="22"/>
        </w:rPr>
        <w:t>Bank</w:t>
      </w:r>
      <w:r w:rsidR="007730EB">
        <w:rPr>
          <w:rFonts w:cstheme="minorHAnsi"/>
          <w:sz w:val="22"/>
        </w:rPr>
        <w:t>-</w:t>
      </w:r>
      <w:r w:rsidR="00B81EE9">
        <w:rPr>
          <w:rFonts w:cstheme="minorHAnsi"/>
          <w:sz w:val="22"/>
        </w:rPr>
        <w:t>executed</w:t>
      </w:r>
      <w:r w:rsidRPr="00F318AE">
        <w:rPr>
          <w:rFonts w:cstheme="minorHAnsi"/>
          <w:sz w:val="22"/>
        </w:rPr>
        <w:t xml:space="preserve"> and </w:t>
      </w:r>
      <w:r w:rsidR="007730EB">
        <w:rPr>
          <w:rFonts w:cstheme="minorHAnsi"/>
          <w:sz w:val="22"/>
        </w:rPr>
        <w:t>r</w:t>
      </w:r>
      <w:r w:rsidRPr="00F318AE">
        <w:rPr>
          <w:rFonts w:cstheme="minorHAnsi"/>
          <w:sz w:val="22"/>
        </w:rPr>
        <w:t>ecipient</w:t>
      </w:r>
      <w:r w:rsidR="007730EB">
        <w:rPr>
          <w:rFonts w:cstheme="minorHAnsi"/>
          <w:sz w:val="22"/>
        </w:rPr>
        <w:t>-</w:t>
      </w:r>
      <w:r w:rsidRPr="00F318AE">
        <w:rPr>
          <w:rFonts w:cstheme="minorHAnsi"/>
          <w:sz w:val="22"/>
        </w:rPr>
        <w:t xml:space="preserve">executed components also supported </w:t>
      </w:r>
      <w:r w:rsidRPr="009E3FFE">
        <w:rPr>
          <w:sz w:val="22"/>
        </w:rPr>
        <w:t>adaptability</w:t>
      </w:r>
      <w:r w:rsidRPr="00F318AE">
        <w:rPr>
          <w:rFonts w:cstheme="minorHAnsi"/>
          <w:sz w:val="22"/>
        </w:rPr>
        <w:t xml:space="preserve"> to the reform environment, with for example, the </w:t>
      </w:r>
      <w:r w:rsidR="007730EB">
        <w:rPr>
          <w:rFonts w:cstheme="minorHAnsi"/>
          <w:sz w:val="22"/>
        </w:rPr>
        <w:t xml:space="preserve">World </w:t>
      </w:r>
      <w:r w:rsidRPr="00F318AE">
        <w:rPr>
          <w:rFonts w:cstheme="minorHAnsi"/>
          <w:sz w:val="22"/>
        </w:rPr>
        <w:t xml:space="preserve">Bank carrying out complex analysis of sector investment requirements to support </w:t>
      </w:r>
      <w:r w:rsidR="007730EB">
        <w:rPr>
          <w:rFonts w:cstheme="minorHAnsi"/>
          <w:sz w:val="22"/>
        </w:rPr>
        <w:t>r</w:t>
      </w:r>
      <w:r w:rsidRPr="00F318AE">
        <w:rPr>
          <w:rFonts w:cstheme="minorHAnsi"/>
          <w:sz w:val="22"/>
        </w:rPr>
        <w:t>ecipient decision making.</w:t>
      </w:r>
      <w:r w:rsidRPr="00AE1396">
        <w:rPr>
          <w:rFonts w:cstheme="minorHAnsi"/>
          <w:sz w:val="22"/>
        </w:rPr>
        <w:t xml:space="preserve"> </w:t>
      </w:r>
    </w:p>
    <w:p w:rsidR="009571FD" w:rsidRDefault="00B578E1" w:rsidP="00A63A6F">
      <w:pPr>
        <w:pStyle w:val="Normal0"/>
        <w:numPr>
          <w:ilvl w:val="0"/>
          <w:numId w:val="7"/>
        </w:numPr>
        <w:spacing w:after="240" w:line="240" w:lineRule="auto"/>
        <w:ind w:left="0" w:firstLine="0"/>
        <w:jc w:val="both"/>
        <w:rPr>
          <w:rFonts w:cstheme="minorHAnsi"/>
          <w:sz w:val="22"/>
        </w:rPr>
      </w:pPr>
      <w:r w:rsidRPr="00AE1396">
        <w:rPr>
          <w:rFonts w:cstheme="minorHAnsi"/>
          <w:b/>
          <w:sz w:val="22"/>
        </w:rPr>
        <w:t>Efficiency was also challenged by the contract characteristics and the extension.</w:t>
      </w:r>
      <w:r w:rsidR="004D6B70">
        <w:rPr>
          <w:rFonts w:cstheme="minorHAnsi"/>
          <w:b/>
          <w:sz w:val="22"/>
        </w:rPr>
        <w:t xml:space="preserve"> </w:t>
      </w:r>
      <w:r w:rsidRPr="00AE1396">
        <w:rPr>
          <w:rFonts w:cstheme="minorHAnsi"/>
          <w:sz w:val="22"/>
        </w:rPr>
        <w:t xml:space="preserve"> </w:t>
      </w:r>
      <w:r w:rsidR="004D6B70">
        <w:rPr>
          <w:rFonts w:cstheme="minorHAnsi"/>
          <w:sz w:val="22"/>
        </w:rPr>
        <w:t>The contract was extended because given the endorsement of the Water Law, it became clear that the process of water sector restructuring needed support. In addition, t</w:t>
      </w:r>
      <w:r w:rsidRPr="00AE1396">
        <w:rPr>
          <w:rFonts w:cstheme="minorHAnsi"/>
          <w:sz w:val="22"/>
        </w:rPr>
        <w:t xml:space="preserve">here were two </w:t>
      </w:r>
      <w:r w:rsidR="004D6B70">
        <w:rPr>
          <w:rFonts w:cstheme="minorHAnsi"/>
          <w:sz w:val="22"/>
        </w:rPr>
        <w:t>other</w:t>
      </w:r>
      <w:r w:rsidRPr="00AE1396">
        <w:rPr>
          <w:rFonts w:cstheme="minorHAnsi"/>
          <w:sz w:val="22"/>
        </w:rPr>
        <w:t xml:space="preserve"> reasons for the extension. First, the contract was extended to allow </w:t>
      </w:r>
      <w:r w:rsidR="007730EB">
        <w:rPr>
          <w:rFonts w:cstheme="minorHAnsi"/>
          <w:sz w:val="22"/>
        </w:rPr>
        <w:t xml:space="preserve">the </w:t>
      </w:r>
      <w:r w:rsidRPr="00AE1396">
        <w:rPr>
          <w:rFonts w:cstheme="minorHAnsi"/>
          <w:sz w:val="22"/>
        </w:rPr>
        <w:t xml:space="preserve">PWA to complete the reform. </w:t>
      </w:r>
      <w:r w:rsidR="007730EB">
        <w:rPr>
          <w:rFonts w:cstheme="minorHAnsi"/>
          <w:sz w:val="22"/>
        </w:rPr>
        <w:t>Many</w:t>
      </w:r>
      <w:r w:rsidRPr="00AE1396">
        <w:rPr>
          <w:rFonts w:cstheme="minorHAnsi"/>
          <w:sz w:val="22"/>
        </w:rPr>
        <w:t xml:space="preserve"> activities were not completed under </w:t>
      </w:r>
      <w:r w:rsidRPr="00017794">
        <w:rPr>
          <w:sz w:val="22"/>
        </w:rPr>
        <w:t>TPAT</w:t>
      </w:r>
      <w:r w:rsidRPr="00AE1396">
        <w:rPr>
          <w:rFonts w:cstheme="minorHAnsi"/>
          <w:sz w:val="22"/>
        </w:rPr>
        <w:t xml:space="preserve"> 1 (the time-based contract) </w:t>
      </w:r>
      <w:r>
        <w:rPr>
          <w:rFonts w:cstheme="minorHAnsi"/>
          <w:sz w:val="22"/>
        </w:rPr>
        <w:t>as</w:t>
      </w:r>
      <w:r w:rsidRPr="00AE1396">
        <w:rPr>
          <w:rFonts w:cstheme="minorHAnsi"/>
          <w:sz w:val="22"/>
        </w:rPr>
        <w:t xml:space="preserve"> the PWA </w:t>
      </w:r>
      <w:r>
        <w:rPr>
          <w:rFonts w:cstheme="minorHAnsi"/>
          <w:sz w:val="22"/>
        </w:rPr>
        <w:t>worked</w:t>
      </w:r>
      <w:r w:rsidRPr="00AE1396">
        <w:rPr>
          <w:rFonts w:cstheme="minorHAnsi"/>
          <w:sz w:val="22"/>
        </w:rPr>
        <w:t xml:space="preserve"> to slowdown</w:t>
      </w:r>
      <w:r>
        <w:rPr>
          <w:rFonts w:cstheme="minorHAnsi"/>
          <w:sz w:val="22"/>
        </w:rPr>
        <w:t xml:space="preserve"> part of the implementation</w:t>
      </w:r>
      <w:r w:rsidRPr="00AE1396">
        <w:rPr>
          <w:rFonts w:cstheme="minorHAnsi"/>
          <w:sz w:val="22"/>
        </w:rPr>
        <w:t xml:space="preserve"> and agreed with the </w:t>
      </w:r>
      <w:r w:rsidR="007730EB">
        <w:rPr>
          <w:rFonts w:cstheme="minorHAnsi"/>
          <w:sz w:val="22"/>
        </w:rPr>
        <w:t>c</w:t>
      </w:r>
      <w:r w:rsidRPr="00AE1396">
        <w:rPr>
          <w:rFonts w:cstheme="minorHAnsi"/>
          <w:sz w:val="22"/>
        </w:rPr>
        <w:t xml:space="preserve">onsultant to use local staff rather than international </w:t>
      </w:r>
      <w:r w:rsidR="007730EB">
        <w:rPr>
          <w:rFonts w:cstheme="minorHAnsi"/>
          <w:sz w:val="22"/>
        </w:rPr>
        <w:t xml:space="preserve">staff </w:t>
      </w:r>
      <w:r w:rsidRPr="00AE1396">
        <w:rPr>
          <w:rFonts w:cstheme="minorHAnsi"/>
          <w:sz w:val="22"/>
        </w:rPr>
        <w:t xml:space="preserve">to save </w:t>
      </w:r>
      <w:r>
        <w:rPr>
          <w:rFonts w:cstheme="minorHAnsi"/>
          <w:sz w:val="22"/>
        </w:rPr>
        <w:t>funds</w:t>
      </w:r>
      <w:r w:rsidRPr="00AE1396">
        <w:rPr>
          <w:rFonts w:cstheme="minorHAnsi"/>
          <w:sz w:val="22"/>
        </w:rPr>
        <w:t xml:space="preserve">. Essentially, </w:t>
      </w:r>
      <w:r w:rsidR="007730EB">
        <w:rPr>
          <w:rFonts w:cstheme="minorHAnsi"/>
          <w:sz w:val="22"/>
        </w:rPr>
        <w:t xml:space="preserve">the </w:t>
      </w:r>
      <w:r w:rsidRPr="00AE1396">
        <w:rPr>
          <w:rFonts w:cstheme="minorHAnsi"/>
          <w:sz w:val="22"/>
        </w:rPr>
        <w:t xml:space="preserve">PWA </w:t>
      </w:r>
      <w:r>
        <w:rPr>
          <w:rFonts w:cstheme="minorHAnsi"/>
          <w:sz w:val="22"/>
        </w:rPr>
        <w:t>decided not to</w:t>
      </w:r>
      <w:r w:rsidRPr="00AE1396">
        <w:rPr>
          <w:rFonts w:cstheme="minorHAnsi"/>
          <w:sz w:val="22"/>
        </w:rPr>
        <w:t xml:space="preserve"> extend the contract </w:t>
      </w:r>
      <w:r>
        <w:rPr>
          <w:rFonts w:cstheme="minorHAnsi"/>
          <w:sz w:val="22"/>
        </w:rPr>
        <w:t xml:space="preserve">and thereby saved </w:t>
      </w:r>
      <w:r w:rsidRPr="009E3FFE">
        <w:rPr>
          <w:sz w:val="22"/>
        </w:rPr>
        <w:t>funds</w:t>
      </w:r>
      <w:r>
        <w:rPr>
          <w:rFonts w:cstheme="minorHAnsi"/>
          <w:sz w:val="22"/>
        </w:rPr>
        <w:t xml:space="preserve"> for </w:t>
      </w:r>
      <w:r w:rsidRPr="00AE1396">
        <w:rPr>
          <w:rFonts w:cstheme="minorHAnsi"/>
          <w:sz w:val="22"/>
        </w:rPr>
        <w:t>TPAT</w:t>
      </w:r>
      <w:r w:rsidR="007730EB">
        <w:rPr>
          <w:rFonts w:cstheme="minorHAnsi"/>
          <w:sz w:val="22"/>
        </w:rPr>
        <w:t xml:space="preserve"> 2</w:t>
      </w:r>
      <w:r w:rsidRPr="00AE1396">
        <w:rPr>
          <w:rFonts w:cstheme="minorHAnsi"/>
          <w:sz w:val="22"/>
        </w:rPr>
        <w:t xml:space="preserve"> (lump-sum contract). Second, the project was extended to support the establishment of the </w:t>
      </w:r>
      <w:r w:rsidR="004601C9">
        <w:rPr>
          <w:rFonts w:cstheme="minorHAnsi"/>
          <w:sz w:val="22"/>
        </w:rPr>
        <w:t>WSRC</w:t>
      </w:r>
      <w:r w:rsidRPr="00AE1396">
        <w:rPr>
          <w:rFonts w:cstheme="minorHAnsi"/>
          <w:sz w:val="22"/>
        </w:rPr>
        <w:t>, which was established under the same project</w:t>
      </w:r>
      <w:r>
        <w:rPr>
          <w:rFonts w:cstheme="minorHAnsi"/>
          <w:sz w:val="22"/>
        </w:rPr>
        <w:t>.</w:t>
      </w:r>
    </w:p>
    <w:p w:rsidR="009571FD" w:rsidRPr="00F318AE" w:rsidRDefault="00B578E1" w:rsidP="00A63A6F">
      <w:pPr>
        <w:pStyle w:val="Normal0"/>
        <w:numPr>
          <w:ilvl w:val="0"/>
          <w:numId w:val="7"/>
        </w:numPr>
        <w:spacing w:after="240" w:line="240" w:lineRule="auto"/>
        <w:ind w:left="0" w:firstLine="0"/>
        <w:jc w:val="both"/>
        <w:rPr>
          <w:rFonts w:cstheme="minorHAnsi"/>
          <w:sz w:val="22"/>
        </w:rPr>
      </w:pPr>
      <w:r w:rsidRPr="00F318AE">
        <w:rPr>
          <w:b/>
          <w:sz w:val="22"/>
        </w:rPr>
        <w:lastRenderedPageBreak/>
        <w:t xml:space="preserve">VFM of the utility performance monitoring reports was comparable both in its tangible and intangible outputs. </w:t>
      </w:r>
      <w:r w:rsidRPr="00F318AE">
        <w:rPr>
          <w:sz w:val="22"/>
        </w:rPr>
        <w:t xml:space="preserve">However, sustainability of </w:t>
      </w:r>
      <w:r w:rsidR="007730EB">
        <w:rPr>
          <w:sz w:val="22"/>
        </w:rPr>
        <w:t xml:space="preserve">the </w:t>
      </w:r>
      <w:r w:rsidRPr="00F318AE">
        <w:rPr>
          <w:sz w:val="22"/>
        </w:rPr>
        <w:t>WSRC</w:t>
      </w:r>
      <w:r w:rsidR="007730EB">
        <w:rPr>
          <w:sz w:val="22"/>
        </w:rPr>
        <w:t>—</w:t>
      </w:r>
      <w:r w:rsidRPr="00F318AE">
        <w:rPr>
          <w:sz w:val="22"/>
        </w:rPr>
        <w:t>and so of performance monitoring</w:t>
      </w:r>
      <w:r w:rsidR="007730EB">
        <w:rPr>
          <w:sz w:val="22"/>
        </w:rPr>
        <w:t>—</w:t>
      </w:r>
      <w:r w:rsidRPr="00F318AE">
        <w:rPr>
          <w:sz w:val="22"/>
        </w:rPr>
        <w:t>is threatened by the lack of a sustainable source of domestic financing even though a provision for this was made (Licensing Bylaw) in the 2014 Water Law.</w:t>
      </w:r>
    </w:p>
    <w:p w:rsidR="009571FD" w:rsidRPr="00F318AE" w:rsidRDefault="00B578E1" w:rsidP="00A63A6F">
      <w:pPr>
        <w:pStyle w:val="Normal0"/>
        <w:numPr>
          <w:ilvl w:val="0"/>
          <w:numId w:val="7"/>
        </w:numPr>
        <w:spacing w:after="240" w:line="240" w:lineRule="auto"/>
        <w:ind w:left="0" w:firstLine="0"/>
        <w:jc w:val="both"/>
        <w:rPr>
          <w:rFonts w:cstheme="minorHAnsi"/>
          <w:sz w:val="22"/>
        </w:rPr>
      </w:pPr>
      <w:r w:rsidRPr="00F318AE">
        <w:rPr>
          <w:b/>
          <w:sz w:val="22"/>
        </w:rPr>
        <w:t xml:space="preserve">The </w:t>
      </w:r>
      <w:r w:rsidR="00713445">
        <w:rPr>
          <w:b/>
          <w:sz w:val="22"/>
        </w:rPr>
        <w:t xml:space="preserve">following </w:t>
      </w:r>
      <w:r w:rsidRPr="00F318AE">
        <w:rPr>
          <w:b/>
          <w:sz w:val="22"/>
        </w:rPr>
        <w:t>emerging lessons on VFM are for both the reform instruments and the utility performance reports</w:t>
      </w:r>
      <w:r w:rsidR="007730EB">
        <w:rPr>
          <w:b/>
          <w:sz w:val="22"/>
        </w:rPr>
        <w:t>,</w:t>
      </w:r>
      <w:r w:rsidRPr="00F318AE">
        <w:rPr>
          <w:b/>
          <w:sz w:val="22"/>
        </w:rPr>
        <w:t xml:space="preserve"> as well as the link between the two sets of outputs:</w:t>
      </w:r>
    </w:p>
    <w:p w:rsidR="009571FD" w:rsidRPr="00F318AE" w:rsidRDefault="00B578E1" w:rsidP="00A63A6F">
      <w:pPr>
        <w:pStyle w:val="ListParagraph"/>
        <w:numPr>
          <w:ilvl w:val="0"/>
          <w:numId w:val="4"/>
        </w:numPr>
        <w:spacing w:after="240" w:line="240" w:lineRule="auto"/>
        <w:ind w:left="1195" w:hanging="475"/>
        <w:contextualSpacing w:val="0"/>
        <w:jc w:val="both"/>
        <w:rPr>
          <w:rFonts w:asciiTheme="minorHAnsi" w:hAnsiTheme="minorHAnsi" w:cstheme="minorHAnsi"/>
          <w:sz w:val="22"/>
        </w:rPr>
      </w:pPr>
      <w:r w:rsidRPr="00F318AE">
        <w:rPr>
          <w:rFonts w:asciiTheme="minorHAnsi" w:hAnsiTheme="minorHAnsi" w:cstheme="minorHAnsi"/>
          <w:sz w:val="22"/>
        </w:rPr>
        <w:t>Break reform TA into small parts to ensure that TA can iteratively adapt to the reform environment as it evolves and avoid funding unnecessary outputs</w:t>
      </w:r>
      <w:r w:rsidR="005D2034">
        <w:rPr>
          <w:rFonts w:asciiTheme="minorHAnsi" w:hAnsiTheme="minorHAnsi" w:cstheme="minorHAnsi"/>
          <w:sz w:val="22"/>
        </w:rPr>
        <w:t>.</w:t>
      </w:r>
    </w:p>
    <w:p w:rsidR="009571FD" w:rsidRPr="00F318AE" w:rsidRDefault="00B578E1" w:rsidP="00A63A6F">
      <w:pPr>
        <w:pStyle w:val="ListParagraph"/>
        <w:numPr>
          <w:ilvl w:val="0"/>
          <w:numId w:val="4"/>
        </w:numPr>
        <w:spacing w:after="240" w:line="240" w:lineRule="auto"/>
        <w:ind w:left="1195" w:hanging="475"/>
        <w:contextualSpacing w:val="0"/>
        <w:jc w:val="both"/>
        <w:rPr>
          <w:rFonts w:asciiTheme="minorHAnsi" w:hAnsiTheme="minorHAnsi" w:cstheme="minorHAnsi"/>
          <w:sz w:val="22"/>
        </w:rPr>
      </w:pPr>
      <w:r w:rsidRPr="00F318AE">
        <w:rPr>
          <w:rFonts w:asciiTheme="minorHAnsi" w:hAnsiTheme="minorHAnsi" w:cstheme="minorHAnsi"/>
          <w:sz w:val="22"/>
        </w:rPr>
        <w:t>Avoid outsourcing reform TA as large firm contracts</w:t>
      </w:r>
      <w:r w:rsidR="00B81EE9">
        <w:rPr>
          <w:rFonts w:asciiTheme="minorHAnsi" w:hAnsiTheme="minorHAnsi" w:cstheme="minorHAnsi"/>
          <w:sz w:val="22"/>
        </w:rPr>
        <w:t>,</w:t>
      </w:r>
      <w:r w:rsidRPr="00F318AE">
        <w:rPr>
          <w:rFonts w:asciiTheme="minorHAnsi" w:hAnsiTheme="minorHAnsi" w:cstheme="minorHAnsi"/>
          <w:sz w:val="22"/>
        </w:rPr>
        <w:t xml:space="preserve"> particularly where the anchor reform document (law or policy) has not been endorsed by cabinet (or equivalent)</w:t>
      </w:r>
      <w:r w:rsidR="005D2034">
        <w:rPr>
          <w:rFonts w:asciiTheme="minorHAnsi" w:hAnsiTheme="minorHAnsi" w:cstheme="minorHAnsi"/>
          <w:sz w:val="22"/>
        </w:rPr>
        <w:t>.</w:t>
      </w:r>
    </w:p>
    <w:p w:rsidR="009571FD" w:rsidRPr="00F318AE" w:rsidRDefault="00B578E1" w:rsidP="00A63A6F">
      <w:pPr>
        <w:pStyle w:val="ListParagraph"/>
        <w:numPr>
          <w:ilvl w:val="0"/>
          <w:numId w:val="4"/>
        </w:numPr>
        <w:spacing w:after="240" w:line="240" w:lineRule="auto"/>
        <w:ind w:left="1195" w:hanging="475"/>
        <w:contextualSpacing w:val="0"/>
        <w:jc w:val="both"/>
        <w:rPr>
          <w:rFonts w:asciiTheme="minorHAnsi" w:hAnsiTheme="minorHAnsi" w:cstheme="minorHAnsi"/>
          <w:sz w:val="22"/>
        </w:rPr>
      </w:pPr>
      <w:r w:rsidRPr="00F318AE">
        <w:rPr>
          <w:rFonts w:asciiTheme="minorHAnsi" w:hAnsiTheme="minorHAnsi" w:cstheme="minorHAnsi"/>
          <w:sz w:val="22"/>
        </w:rPr>
        <w:t xml:space="preserve">Partition TA to the reform between </w:t>
      </w:r>
      <w:r w:rsidR="007730EB">
        <w:rPr>
          <w:rFonts w:asciiTheme="minorHAnsi" w:hAnsiTheme="minorHAnsi" w:cstheme="minorHAnsi"/>
          <w:sz w:val="22"/>
        </w:rPr>
        <w:t xml:space="preserve">the World </w:t>
      </w:r>
      <w:r w:rsidRPr="00F318AE">
        <w:rPr>
          <w:rFonts w:asciiTheme="minorHAnsi" w:hAnsiTheme="minorHAnsi" w:cstheme="minorHAnsi"/>
          <w:sz w:val="22"/>
        </w:rPr>
        <w:t xml:space="preserve">Bank and </w:t>
      </w:r>
      <w:r w:rsidR="007730EB">
        <w:rPr>
          <w:rFonts w:asciiTheme="minorHAnsi" w:hAnsiTheme="minorHAnsi" w:cstheme="minorHAnsi"/>
          <w:sz w:val="22"/>
        </w:rPr>
        <w:t>r</w:t>
      </w:r>
      <w:r w:rsidRPr="00F318AE">
        <w:rPr>
          <w:rFonts w:asciiTheme="minorHAnsi" w:hAnsiTheme="minorHAnsi" w:cstheme="minorHAnsi"/>
          <w:sz w:val="22"/>
        </w:rPr>
        <w:t xml:space="preserve">ecipient execution depending on the </w:t>
      </w:r>
      <w:r w:rsidR="007730EB">
        <w:rPr>
          <w:rFonts w:asciiTheme="minorHAnsi" w:hAnsiTheme="minorHAnsi" w:cstheme="minorHAnsi"/>
          <w:sz w:val="22"/>
        </w:rPr>
        <w:t>(</w:t>
      </w:r>
      <w:r w:rsidRPr="00F318AE">
        <w:rPr>
          <w:rFonts w:asciiTheme="minorHAnsi" w:hAnsiTheme="minorHAnsi" w:cstheme="minorHAnsi"/>
          <w:sz w:val="22"/>
        </w:rPr>
        <w:t>a) level of expertise</w:t>
      </w:r>
      <w:r w:rsidR="007730EB">
        <w:rPr>
          <w:rFonts w:asciiTheme="minorHAnsi" w:hAnsiTheme="minorHAnsi" w:cstheme="minorHAnsi"/>
          <w:sz w:val="22"/>
        </w:rPr>
        <w:t>,</w:t>
      </w:r>
      <w:r w:rsidRPr="00F318AE">
        <w:rPr>
          <w:rFonts w:asciiTheme="minorHAnsi" w:hAnsiTheme="minorHAnsi" w:cstheme="minorHAnsi"/>
          <w:sz w:val="22"/>
        </w:rPr>
        <w:t xml:space="preserve"> </w:t>
      </w:r>
      <w:r w:rsidR="007730EB">
        <w:rPr>
          <w:rFonts w:asciiTheme="minorHAnsi" w:hAnsiTheme="minorHAnsi" w:cstheme="minorHAnsi"/>
          <w:sz w:val="22"/>
        </w:rPr>
        <w:t>(</w:t>
      </w:r>
      <w:r w:rsidRPr="00F318AE">
        <w:rPr>
          <w:rFonts w:asciiTheme="minorHAnsi" w:hAnsiTheme="minorHAnsi" w:cstheme="minorHAnsi"/>
          <w:sz w:val="22"/>
        </w:rPr>
        <w:t>b) flexibility</w:t>
      </w:r>
      <w:r w:rsidR="007730EB">
        <w:rPr>
          <w:rFonts w:asciiTheme="minorHAnsi" w:hAnsiTheme="minorHAnsi" w:cstheme="minorHAnsi"/>
          <w:sz w:val="22"/>
        </w:rPr>
        <w:t>,</w:t>
      </w:r>
      <w:r w:rsidRPr="00F318AE">
        <w:rPr>
          <w:rFonts w:asciiTheme="minorHAnsi" w:hAnsiTheme="minorHAnsi" w:cstheme="minorHAnsi"/>
          <w:sz w:val="22"/>
        </w:rPr>
        <w:t xml:space="preserve"> and </w:t>
      </w:r>
      <w:r w:rsidR="007730EB">
        <w:rPr>
          <w:rFonts w:asciiTheme="minorHAnsi" w:hAnsiTheme="minorHAnsi" w:cstheme="minorHAnsi"/>
          <w:sz w:val="22"/>
        </w:rPr>
        <w:t>(</w:t>
      </w:r>
      <w:r w:rsidRPr="00F318AE">
        <w:rPr>
          <w:rFonts w:asciiTheme="minorHAnsi" w:hAnsiTheme="minorHAnsi" w:cstheme="minorHAnsi"/>
          <w:sz w:val="22"/>
        </w:rPr>
        <w:t>c) country ownership required for different tangible and intangible parts of the reform</w:t>
      </w:r>
      <w:r w:rsidR="005D2034">
        <w:rPr>
          <w:rFonts w:asciiTheme="minorHAnsi" w:hAnsiTheme="minorHAnsi" w:cstheme="minorHAnsi"/>
          <w:sz w:val="22"/>
        </w:rPr>
        <w:t>.</w:t>
      </w:r>
    </w:p>
    <w:p w:rsidR="009571FD" w:rsidRDefault="00B578E1" w:rsidP="00A63A6F">
      <w:pPr>
        <w:pStyle w:val="ListParagraph"/>
        <w:numPr>
          <w:ilvl w:val="0"/>
          <w:numId w:val="4"/>
        </w:numPr>
        <w:spacing w:after="240" w:line="240" w:lineRule="auto"/>
        <w:ind w:left="1195" w:hanging="475"/>
        <w:contextualSpacing w:val="0"/>
        <w:jc w:val="both"/>
        <w:rPr>
          <w:rFonts w:asciiTheme="minorHAnsi" w:hAnsiTheme="minorHAnsi" w:cstheme="minorHAnsi"/>
          <w:sz w:val="22"/>
        </w:rPr>
      </w:pPr>
      <w:r w:rsidRPr="00F318AE">
        <w:rPr>
          <w:rFonts w:asciiTheme="minorHAnsi" w:hAnsiTheme="minorHAnsi" w:cstheme="minorHAnsi"/>
          <w:sz w:val="22"/>
        </w:rPr>
        <w:t>The institutionalization of functions (</w:t>
      </w:r>
      <w:r w:rsidR="007730EB">
        <w:rPr>
          <w:rFonts w:asciiTheme="minorHAnsi" w:hAnsiTheme="minorHAnsi" w:cstheme="minorHAnsi"/>
          <w:sz w:val="22"/>
        </w:rPr>
        <w:t>for example,</w:t>
      </w:r>
      <w:r w:rsidRPr="00F318AE">
        <w:rPr>
          <w:rFonts w:asciiTheme="minorHAnsi" w:hAnsiTheme="minorHAnsi" w:cstheme="minorHAnsi"/>
          <w:sz w:val="22"/>
        </w:rPr>
        <w:t xml:space="preserve"> utility performance monitoring) needs to be supported with revenue assignments to finance those functions</w:t>
      </w:r>
      <w:r>
        <w:rPr>
          <w:rFonts w:asciiTheme="minorHAnsi" w:hAnsiTheme="minorHAnsi" w:cstheme="minorHAnsi"/>
          <w:sz w:val="22"/>
        </w:rPr>
        <w:t>.</w:t>
      </w:r>
    </w:p>
    <w:p w:rsidR="009571FD" w:rsidRPr="00B758E2" w:rsidRDefault="00B578E1" w:rsidP="00A63A6F">
      <w:pPr>
        <w:pStyle w:val="ListParagraph"/>
        <w:numPr>
          <w:ilvl w:val="0"/>
          <w:numId w:val="4"/>
        </w:numPr>
        <w:spacing w:after="240" w:line="240" w:lineRule="auto"/>
        <w:ind w:left="1195" w:hanging="475"/>
        <w:contextualSpacing w:val="0"/>
        <w:jc w:val="both"/>
        <w:rPr>
          <w:rFonts w:asciiTheme="minorHAnsi" w:hAnsiTheme="minorHAnsi" w:cstheme="minorHAnsi"/>
          <w:sz w:val="22"/>
        </w:rPr>
      </w:pPr>
      <w:r w:rsidRPr="00F318AE">
        <w:rPr>
          <w:rFonts w:asciiTheme="minorHAnsi" w:hAnsiTheme="minorHAnsi" w:cstheme="minorHAnsi"/>
          <w:sz w:val="22"/>
        </w:rPr>
        <w:t xml:space="preserve">The reform instruments and the performance monitoring of service provision should be integrated to ensure that there is a feedback loop to drive the evolution of reform instruments and that reform instruments support performance improvements. </w:t>
      </w:r>
    </w:p>
    <w:p w:rsidR="009571FD" w:rsidRPr="00273143" w:rsidRDefault="00B578E1" w:rsidP="00273143">
      <w:pPr>
        <w:spacing w:before="240" w:after="240" w:line="240" w:lineRule="auto"/>
        <w:rPr>
          <w:rFonts w:asciiTheme="minorHAnsi" w:hAnsiTheme="minorHAnsi"/>
          <w:b/>
          <w:color w:val="auto"/>
          <w:sz w:val="22"/>
        </w:rPr>
      </w:pPr>
      <w:bookmarkStart w:id="62" w:name="_Toc480984868"/>
      <w:bookmarkStart w:id="63" w:name="_Toc510969699"/>
      <w:r w:rsidRPr="00273143">
        <w:rPr>
          <w:rFonts w:asciiTheme="minorHAnsi" w:hAnsiTheme="minorHAnsi"/>
          <w:b/>
          <w:color w:val="auto"/>
          <w:sz w:val="22"/>
        </w:rPr>
        <w:t>Assessment of Efficiency and Rating</w:t>
      </w:r>
      <w:bookmarkEnd w:id="62"/>
      <w:bookmarkEnd w:id="63"/>
    </w:p>
    <w:p w:rsidR="0054719E" w:rsidRDefault="00B578E1" w:rsidP="00A63A6F">
      <w:pPr>
        <w:pStyle w:val="Normal0"/>
        <w:numPr>
          <w:ilvl w:val="0"/>
          <w:numId w:val="7"/>
        </w:numPr>
        <w:spacing w:after="240" w:line="240" w:lineRule="auto"/>
        <w:ind w:left="0" w:firstLine="0"/>
        <w:jc w:val="both"/>
        <w:rPr>
          <w:sz w:val="22"/>
        </w:rPr>
      </w:pPr>
      <w:r w:rsidRPr="00D92E85">
        <w:rPr>
          <w:b/>
          <w:sz w:val="22"/>
        </w:rPr>
        <w:t xml:space="preserve">The efficiency is rated </w:t>
      </w:r>
      <w:r w:rsidR="00A17EB2">
        <w:rPr>
          <w:b/>
          <w:sz w:val="22"/>
        </w:rPr>
        <w:t xml:space="preserve">Modest </w:t>
      </w:r>
      <w:r w:rsidRPr="00D92E85">
        <w:rPr>
          <w:b/>
          <w:sz w:val="22"/>
        </w:rPr>
        <w:t xml:space="preserve">for three reasons. </w:t>
      </w:r>
      <w:r w:rsidRPr="00D92E85">
        <w:rPr>
          <w:sz w:val="22"/>
        </w:rPr>
        <w:t xml:space="preserve">First, the cost of the TA for the reform instruments was at the high end of comparator projects and progress modest. Second, the </w:t>
      </w:r>
      <w:r w:rsidR="006E77E9">
        <w:rPr>
          <w:sz w:val="22"/>
        </w:rPr>
        <w:t>L</w:t>
      </w:r>
      <w:r w:rsidRPr="00D92E85">
        <w:rPr>
          <w:sz w:val="22"/>
        </w:rPr>
        <w:t xml:space="preserve">icensing </w:t>
      </w:r>
      <w:r w:rsidR="006E77E9">
        <w:rPr>
          <w:sz w:val="22"/>
        </w:rPr>
        <w:t>B</w:t>
      </w:r>
      <w:r w:rsidRPr="00D92E85">
        <w:rPr>
          <w:sz w:val="22"/>
        </w:rPr>
        <w:t xml:space="preserve">ylaw to fund the regulator is not yet in place. Third, there is limited evidence of a positive feedback loop between the reform process at </w:t>
      </w:r>
      <w:r w:rsidR="00710B10">
        <w:rPr>
          <w:sz w:val="22"/>
        </w:rPr>
        <w:t xml:space="preserve">the </w:t>
      </w:r>
      <w:r w:rsidRPr="00D92E85">
        <w:rPr>
          <w:sz w:val="22"/>
        </w:rPr>
        <w:t>PWA and the utility performance monitoring.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6032A" w:rsidTr="00CC6090">
        <w:tc>
          <w:tcPr>
            <w:tcW w:w="9350" w:type="dxa"/>
          </w:tcPr>
          <w:p w:rsidR="00CC6090" w:rsidRPr="009212BE" w:rsidRDefault="00B578E1" w:rsidP="00667D04">
            <w:pPr>
              <w:pStyle w:val="Heading2"/>
              <w:outlineLvl w:val="1"/>
            </w:pPr>
            <w:bookmarkStart w:id="64" w:name="_Toc256000009"/>
            <w:bookmarkStart w:id="65" w:name="_Toc485984574"/>
            <w:bookmarkStart w:id="66" w:name="_Toc510969700"/>
            <w:bookmarkStart w:id="67" w:name="_Toc516132499"/>
            <w:r w:rsidRPr="009212BE">
              <w:t>D. JUSTIFICATION OF OVERALL OUTCOME RATING</w:t>
            </w:r>
            <w:bookmarkEnd w:id="64"/>
            <w:bookmarkEnd w:id="65"/>
            <w:bookmarkEnd w:id="66"/>
            <w:bookmarkEnd w:id="67"/>
          </w:p>
        </w:tc>
      </w:tr>
    </w:tbl>
    <w:p w:rsidR="009571FD" w:rsidRPr="00F318AE" w:rsidRDefault="00B578E1" w:rsidP="00A63A6F">
      <w:pPr>
        <w:pStyle w:val="Normal0"/>
        <w:numPr>
          <w:ilvl w:val="0"/>
          <w:numId w:val="7"/>
        </w:numPr>
        <w:spacing w:before="240" w:after="240" w:line="240" w:lineRule="auto"/>
        <w:ind w:left="0" w:firstLine="0"/>
        <w:jc w:val="both"/>
        <w:rPr>
          <w:sz w:val="22"/>
        </w:rPr>
      </w:pPr>
      <w:bookmarkStart w:id="68" w:name="_Hlk510969504"/>
      <w:r w:rsidRPr="00F318AE">
        <w:rPr>
          <w:b/>
          <w:sz w:val="22"/>
        </w:rPr>
        <w:t xml:space="preserve">The overall outcome is rated </w:t>
      </w:r>
      <w:r w:rsidR="00710B10">
        <w:rPr>
          <w:b/>
          <w:sz w:val="22"/>
        </w:rPr>
        <w:t>M</w:t>
      </w:r>
      <w:r w:rsidRPr="00F318AE">
        <w:rPr>
          <w:b/>
          <w:sz w:val="22"/>
        </w:rPr>
        <w:t xml:space="preserve">oderately </w:t>
      </w:r>
      <w:r w:rsidR="00710B10">
        <w:rPr>
          <w:b/>
          <w:sz w:val="22"/>
        </w:rPr>
        <w:t>S</w:t>
      </w:r>
      <w:r w:rsidRPr="00F318AE">
        <w:rPr>
          <w:b/>
          <w:sz w:val="22"/>
        </w:rPr>
        <w:t>atisfactory.</w:t>
      </w:r>
      <w:r w:rsidRPr="00F318AE">
        <w:rPr>
          <w:sz w:val="22"/>
        </w:rPr>
        <w:t xml:space="preserve"> The </w:t>
      </w:r>
      <w:r w:rsidR="00710B10">
        <w:rPr>
          <w:sz w:val="22"/>
        </w:rPr>
        <w:t>p</w:t>
      </w:r>
      <w:r w:rsidRPr="00F318AE">
        <w:rPr>
          <w:sz w:val="22"/>
        </w:rPr>
        <w:t xml:space="preserve">roject achieved </w:t>
      </w:r>
      <w:r>
        <w:rPr>
          <w:sz w:val="22"/>
        </w:rPr>
        <w:t>substantial</w:t>
      </w:r>
      <w:r w:rsidRPr="00F318AE">
        <w:rPr>
          <w:sz w:val="22"/>
        </w:rPr>
        <w:t xml:space="preserve"> efficacy against the revised PDO. The project remained </w:t>
      </w:r>
      <w:r>
        <w:rPr>
          <w:sz w:val="22"/>
        </w:rPr>
        <w:t>highly</w:t>
      </w:r>
      <w:r w:rsidRPr="00F318AE">
        <w:rPr>
          <w:sz w:val="22"/>
        </w:rPr>
        <w:t xml:space="preserve"> relevant throughout its duration. Efficiency is rated</w:t>
      </w:r>
      <w:r w:rsidRPr="00176647">
        <w:rPr>
          <w:sz w:val="22"/>
        </w:rPr>
        <w:t xml:space="preserve"> </w:t>
      </w:r>
      <w:r w:rsidR="00976184">
        <w:rPr>
          <w:sz w:val="22"/>
        </w:rPr>
        <w:t>M</w:t>
      </w:r>
      <w:r w:rsidRPr="00176647">
        <w:rPr>
          <w:sz w:val="22"/>
        </w:rPr>
        <w:t>ode</w:t>
      </w:r>
      <w:r>
        <w:rPr>
          <w:sz w:val="22"/>
        </w:rPr>
        <w:t>st</w:t>
      </w:r>
      <w:r w:rsidRPr="0084487A">
        <w:t>.</w:t>
      </w:r>
      <w:bookmarkEnd w:id="6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CC6090">
        <w:tc>
          <w:tcPr>
            <w:tcW w:w="5000" w:type="pct"/>
          </w:tcPr>
          <w:p w:rsidR="00F42F6C" w:rsidRPr="009212BE" w:rsidRDefault="00B578E1" w:rsidP="00667D04">
            <w:pPr>
              <w:pStyle w:val="Heading2"/>
              <w:outlineLvl w:val="1"/>
            </w:pPr>
            <w:bookmarkStart w:id="69" w:name="_Toc256000010"/>
            <w:bookmarkStart w:id="70" w:name="_Toc485984575"/>
            <w:bookmarkStart w:id="71" w:name="_Toc510969701"/>
            <w:bookmarkStart w:id="72" w:name="_Toc516132500"/>
            <w:r w:rsidRPr="009212BE">
              <w:t xml:space="preserve">E. OTHER </w:t>
            </w:r>
            <w:r w:rsidRPr="00667D04">
              <w:t>OUTCOMES</w:t>
            </w:r>
            <w:r w:rsidRPr="009212BE">
              <w:t xml:space="preserve"> AND IMPACTS (IF ANY)</w:t>
            </w:r>
            <w:bookmarkEnd w:id="69"/>
            <w:bookmarkEnd w:id="70"/>
            <w:bookmarkEnd w:id="71"/>
            <w:bookmarkEnd w:id="72"/>
          </w:p>
        </w:tc>
      </w:tr>
    </w:tbl>
    <w:p w:rsidR="00483058" w:rsidRPr="00273143" w:rsidRDefault="00B578E1" w:rsidP="00273143">
      <w:pPr>
        <w:spacing w:before="240" w:after="240" w:line="240" w:lineRule="auto"/>
        <w:rPr>
          <w:rFonts w:asciiTheme="minorHAnsi" w:hAnsiTheme="minorHAnsi"/>
          <w:b/>
          <w:color w:val="auto"/>
          <w:sz w:val="22"/>
        </w:rPr>
      </w:pPr>
      <w:bookmarkStart w:id="73" w:name="_Toc510969702"/>
      <w:r w:rsidRPr="00273143">
        <w:rPr>
          <w:rFonts w:asciiTheme="minorHAnsi" w:hAnsiTheme="minorHAnsi"/>
          <w:b/>
          <w:color w:val="auto"/>
          <w:sz w:val="22"/>
        </w:rPr>
        <w:t>Gender</w:t>
      </w:r>
      <w:bookmarkEnd w:id="73"/>
    </w:p>
    <w:p w:rsidR="00483058" w:rsidRDefault="00B578E1" w:rsidP="00A63A6F">
      <w:pPr>
        <w:pStyle w:val="Normal0"/>
        <w:numPr>
          <w:ilvl w:val="0"/>
          <w:numId w:val="7"/>
        </w:numPr>
        <w:spacing w:after="240" w:line="240" w:lineRule="auto"/>
        <w:ind w:left="0" w:firstLine="0"/>
        <w:jc w:val="both"/>
        <w:rPr>
          <w:color w:val="000000" w:themeColor="text1"/>
          <w:sz w:val="22"/>
        </w:rPr>
      </w:pPr>
      <w:r w:rsidRPr="00F318AE">
        <w:rPr>
          <w:b/>
          <w:color w:val="000000" w:themeColor="text1"/>
          <w:sz w:val="22"/>
        </w:rPr>
        <w:t>The PWA has developed a gender mainstreaming strategy for the water sector</w:t>
      </w:r>
      <w:r w:rsidRPr="00F318AE">
        <w:rPr>
          <w:color w:val="000000" w:themeColor="text1"/>
          <w:sz w:val="22"/>
        </w:rPr>
        <w:t xml:space="preserve">. It has consulted this strategy with the different stakeholders. The </w:t>
      </w:r>
      <w:r w:rsidR="008D27C7">
        <w:rPr>
          <w:color w:val="000000" w:themeColor="text1"/>
          <w:sz w:val="22"/>
        </w:rPr>
        <w:t>SP</w:t>
      </w:r>
      <w:r w:rsidRPr="00F318AE">
        <w:rPr>
          <w:color w:val="000000" w:themeColor="text1"/>
          <w:sz w:val="22"/>
        </w:rPr>
        <w:t xml:space="preserve">s are supposed to include it in their </w:t>
      </w:r>
      <w:r w:rsidRPr="00483058">
        <w:rPr>
          <w:sz w:val="22"/>
        </w:rPr>
        <w:t>next</w:t>
      </w:r>
      <w:r w:rsidRPr="00F318AE">
        <w:rPr>
          <w:color w:val="000000" w:themeColor="text1"/>
          <w:sz w:val="22"/>
        </w:rPr>
        <w:t xml:space="preserve"> strategic </w:t>
      </w:r>
      <w:r w:rsidRPr="00F318AE">
        <w:rPr>
          <w:color w:val="000000" w:themeColor="text1"/>
          <w:sz w:val="22"/>
        </w:rPr>
        <w:lastRenderedPageBreak/>
        <w:t>planning.</w:t>
      </w:r>
      <w:r w:rsidR="000F13ED">
        <w:rPr>
          <w:color w:val="000000" w:themeColor="text1"/>
          <w:sz w:val="22"/>
        </w:rPr>
        <w:t xml:space="preserve"> </w:t>
      </w:r>
      <w:r w:rsidRPr="00F318AE">
        <w:rPr>
          <w:color w:val="000000" w:themeColor="text1"/>
          <w:sz w:val="22"/>
        </w:rPr>
        <w:t xml:space="preserve">Building on these </w:t>
      </w:r>
      <w:r w:rsidRPr="009E3FFE">
        <w:rPr>
          <w:sz w:val="22"/>
        </w:rPr>
        <w:t>advances</w:t>
      </w:r>
      <w:r w:rsidRPr="00F318AE">
        <w:rPr>
          <w:color w:val="000000" w:themeColor="text1"/>
          <w:sz w:val="22"/>
        </w:rPr>
        <w:t xml:space="preserve">, the proposed Water Security Development Program that the </w:t>
      </w:r>
      <w:r w:rsidR="00710B10">
        <w:rPr>
          <w:color w:val="000000" w:themeColor="text1"/>
          <w:sz w:val="22"/>
        </w:rPr>
        <w:t xml:space="preserve">World </w:t>
      </w:r>
      <w:r w:rsidRPr="00F318AE">
        <w:rPr>
          <w:color w:val="000000" w:themeColor="text1"/>
          <w:sz w:val="22"/>
        </w:rPr>
        <w:t>Bank is preparing now includes gender mainstreaming at the service delivery level as one of its targets.</w:t>
      </w:r>
    </w:p>
    <w:p w:rsidR="00483058" w:rsidRPr="00273143" w:rsidRDefault="00B578E1" w:rsidP="00273143">
      <w:pPr>
        <w:spacing w:before="240" w:after="240" w:line="240" w:lineRule="auto"/>
        <w:rPr>
          <w:rFonts w:asciiTheme="minorHAnsi" w:hAnsiTheme="minorHAnsi"/>
          <w:b/>
          <w:color w:val="auto"/>
          <w:sz w:val="22"/>
        </w:rPr>
      </w:pPr>
      <w:bookmarkStart w:id="74" w:name="_Toc510969703"/>
      <w:r w:rsidRPr="00273143">
        <w:rPr>
          <w:rFonts w:asciiTheme="minorHAnsi" w:hAnsiTheme="minorHAnsi"/>
          <w:b/>
          <w:color w:val="auto"/>
          <w:sz w:val="22"/>
        </w:rPr>
        <w:t>Institutional Strengthening</w:t>
      </w:r>
      <w:bookmarkEnd w:id="74"/>
    </w:p>
    <w:p w:rsidR="00483058" w:rsidRPr="00F318AE"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710B10">
        <w:rPr>
          <w:b/>
          <w:sz w:val="22"/>
        </w:rPr>
        <w:t>p</w:t>
      </w:r>
      <w:r w:rsidRPr="00F318AE">
        <w:rPr>
          <w:b/>
          <w:sz w:val="22"/>
        </w:rPr>
        <w:t xml:space="preserve">roject focused on institutional strengthening of the water sector. </w:t>
      </w:r>
      <w:r w:rsidRPr="00F318AE">
        <w:rPr>
          <w:sz w:val="22"/>
        </w:rPr>
        <w:t xml:space="preserve">This was addressed both through building capacity at </w:t>
      </w:r>
      <w:r w:rsidR="00710B10">
        <w:rPr>
          <w:sz w:val="22"/>
        </w:rPr>
        <w:t xml:space="preserve">the </w:t>
      </w:r>
      <w:r w:rsidRPr="00F318AE">
        <w:rPr>
          <w:sz w:val="22"/>
        </w:rPr>
        <w:t xml:space="preserve">PWA as well as, after the </w:t>
      </w:r>
      <w:r w:rsidR="00BB2A5E">
        <w:rPr>
          <w:sz w:val="22"/>
        </w:rPr>
        <w:t>AF</w:t>
      </w:r>
      <w:r w:rsidRPr="00F318AE">
        <w:rPr>
          <w:sz w:val="22"/>
        </w:rPr>
        <w:t>, providing for the establishment of an independent regulator</w:t>
      </w:r>
      <w:r w:rsidR="00710B10">
        <w:rPr>
          <w:sz w:val="22"/>
        </w:rPr>
        <w:t>—</w:t>
      </w:r>
      <w:r w:rsidRPr="00F318AE">
        <w:rPr>
          <w:sz w:val="22"/>
        </w:rPr>
        <w:t xml:space="preserve">the WSRC. In addition, it provided for institutional strengthening through the adoption of </w:t>
      </w:r>
      <w:r w:rsidR="00710B10">
        <w:rPr>
          <w:sz w:val="22"/>
        </w:rPr>
        <w:t>many</w:t>
      </w:r>
      <w:r w:rsidRPr="00F318AE">
        <w:rPr>
          <w:sz w:val="22"/>
        </w:rPr>
        <w:t xml:space="preserve"> policies</w:t>
      </w:r>
      <w:r w:rsidR="00976184">
        <w:rPr>
          <w:sz w:val="22"/>
        </w:rPr>
        <w:t xml:space="preserve"> and</w:t>
      </w:r>
      <w:r w:rsidRPr="00F318AE">
        <w:rPr>
          <w:sz w:val="22"/>
        </w:rPr>
        <w:t xml:space="preserve"> regulations, following up on the </w:t>
      </w:r>
      <w:r w:rsidR="00B2502B">
        <w:rPr>
          <w:sz w:val="22"/>
        </w:rPr>
        <w:t>W</w:t>
      </w:r>
      <w:r w:rsidRPr="00F318AE">
        <w:rPr>
          <w:sz w:val="22"/>
        </w:rPr>
        <w:t xml:space="preserve">ater </w:t>
      </w:r>
      <w:r w:rsidR="00B2502B">
        <w:rPr>
          <w:sz w:val="22"/>
        </w:rPr>
        <w:t>L</w:t>
      </w:r>
      <w:r w:rsidRPr="00F318AE">
        <w:rPr>
          <w:sz w:val="22"/>
        </w:rPr>
        <w:t>aw that was adopted</w:t>
      </w:r>
      <w:r w:rsidR="00976184">
        <w:rPr>
          <w:sz w:val="22"/>
        </w:rPr>
        <w:t>,</w:t>
      </w:r>
      <w:r w:rsidRPr="00F318AE">
        <w:rPr>
          <w:sz w:val="22"/>
        </w:rPr>
        <w:t xml:space="preserve"> and thus focusing the efforts on supporting the PWA action plan for reform.</w:t>
      </w:r>
      <w:r w:rsidR="000F13ED">
        <w:rPr>
          <w:sz w:val="22"/>
        </w:rPr>
        <w:t xml:space="preserve"> </w:t>
      </w:r>
    </w:p>
    <w:p w:rsidR="00483058"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710B10">
        <w:rPr>
          <w:b/>
          <w:sz w:val="22"/>
        </w:rPr>
        <w:t>p</w:t>
      </w:r>
      <w:r w:rsidRPr="00F318AE">
        <w:rPr>
          <w:b/>
          <w:sz w:val="22"/>
        </w:rPr>
        <w:t xml:space="preserve">roject enhanced the policy and regulatory environment, benefitting actors and institutions involved in addressing Palestinian water sector issues. </w:t>
      </w:r>
      <w:r w:rsidRPr="00F318AE">
        <w:rPr>
          <w:sz w:val="22"/>
        </w:rPr>
        <w:t xml:space="preserve">The </w:t>
      </w:r>
      <w:r w:rsidRPr="00556B46">
        <w:rPr>
          <w:rFonts w:ascii="Calibri" w:eastAsia="Times New Roman" w:hAnsi="Calibri" w:cs="Calibri"/>
          <w:sz w:val="22"/>
          <w:lang w:eastAsia="es-CO"/>
        </w:rPr>
        <w:t>Co</w:t>
      </w:r>
      <w:r w:rsidR="00976184">
        <w:rPr>
          <w:rFonts w:ascii="Calibri" w:eastAsia="Times New Roman" w:hAnsi="Calibri" w:cs="Calibri"/>
          <w:sz w:val="22"/>
          <w:lang w:eastAsia="es-CO"/>
        </w:rPr>
        <w:t>a</w:t>
      </w:r>
      <w:r w:rsidRPr="00556B46">
        <w:rPr>
          <w:rFonts w:ascii="Calibri" w:eastAsia="Times New Roman" w:hAnsi="Calibri" w:cs="Calibri"/>
          <w:sz w:val="22"/>
          <w:lang w:eastAsia="es-CO"/>
        </w:rPr>
        <w:t xml:space="preserve">stal Municipalities Water Utilities </w:t>
      </w:r>
      <w:r w:rsidRPr="00F318AE">
        <w:rPr>
          <w:sz w:val="22"/>
        </w:rPr>
        <w:t xml:space="preserve">and other </w:t>
      </w:r>
      <w:r w:rsidR="008D27C7">
        <w:rPr>
          <w:sz w:val="22"/>
        </w:rPr>
        <w:t>SP</w:t>
      </w:r>
      <w:r w:rsidRPr="00F318AE">
        <w:rPr>
          <w:sz w:val="22"/>
        </w:rPr>
        <w:t xml:space="preserve">s throughout the West Bank and Gaza benefitted from the improved institutional environment, including the possibility of carrying out benchmarking exercises through </w:t>
      </w:r>
      <w:r w:rsidR="00710B10">
        <w:rPr>
          <w:sz w:val="22"/>
        </w:rPr>
        <w:t xml:space="preserve">the </w:t>
      </w:r>
      <w:r w:rsidRPr="00F318AE">
        <w:rPr>
          <w:sz w:val="22"/>
        </w:rPr>
        <w:t>WSRC. Similarly, the creation of a legal framework allowed utilities to concentrate more on their own operations and improve service delivery outcomes. It also serve</w:t>
      </w:r>
      <w:r>
        <w:rPr>
          <w:sz w:val="22"/>
        </w:rPr>
        <w:t>d</w:t>
      </w:r>
      <w:r w:rsidRPr="00F318AE">
        <w:rPr>
          <w:sz w:val="22"/>
        </w:rPr>
        <w:t xml:space="preserve"> the purpose of maintaining the institutional setup</w:t>
      </w:r>
      <w:r w:rsidR="00710B10">
        <w:rPr>
          <w:sz w:val="22"/>
        </w:rPr>
        <w:t>,</w:t>
      </w:r>
      <w:r w:rsidRPr="00F318AE">
        <w:rPr>
          <w:sz w:val="22"/>
        </w:rPr>
        <w:t xml:space="preserve"> which is deemed important in fragile settings such as the one in </w:t>
      </w:r>
      <w:r w:rsidR="00976184">
        <w:rPr>
          <w:sz w:val="22"/>
        </w:rPr>
        <w:t xml:space="preserve">the </w:t>
      </w:r>
      <w:r w:rsidRPr="00F318AE">
        <w:rPr>
          <w:sz w:val="22"/>
        </w:rPr>
        <w:t>West Bank and Gaza.</w:t>
      </w:r>
    </w:p>
    <w:p w:rsidR="00483058" w:rsidRPr="00273143" w:rsidRDefault="00B578E1" w:rsidP="00976184">
      <w:pPr>
        <w:keepNext/>
        <w:spacing w:before="240" w:after="240" w:line="240" w:lineRule="auto"/>
        <w:rPr>
          <w:rFonts w:asciiTheme="minorHAnsi" w:hAnsiTheme="minorHAnsi"/>
          <w:b/>
          <w:color w:val="auto"/>
          <w:sz w:val="22"/>
        </w:rPr>
      </w:pPr>
      <w:bookmarkStart w:id="75" w:name="_Toc510969704"/>
      <w:r w:rsidRPr="00273143">
        <w:rPr>
          <w:rFonts w:asciiTheme="minorHAnsi" w:hAnsiTheme="minorHAnsi"/>
          <w:b/>
          <w:color w:val="auto"/>
          <w:sz w:val="22"/>
        </w:rPr>
        <w:t>Mobilizing Private Sector Financing</w:t>
      </w:r>
      <w:bookmarkEnd w:id="75"/>
    </w:p>
    <w:p w:rsidR="00483058" w:rsidRDefault="00B578E1" w:rsidP="00A63A6F">
      <w:pPr>
        <w:pStyle w:val="Normal0"/>
        <w:numPr>
          <w:ilvl w:val="0"/>
          <w:numId w:val="7"/>
        </w:numPr>
        <w:spacing w:after="240" w:line="240" w:lineRule="auto"/>
        <w:ind w:left="0" w:firstLine="0"/>
        <w:jc w:val="both"/>
        <w:rPr>
          <w:sz w:val="22"/>
        </w:rPr>
      </w:pPr>
      <w:r w:rsidRPr="00F318AE">
        <w:rPr>
          <w:b/>
          <w:sz w:val="22"/>
        </w:rPr>
        <w:t xml:space="preserve">The </w:t>
      </w:r>
      <w:r w:rsidR="00B2502B">
        <w:rPr>
          <w:b/>
          <w:sz w:val="22"/>
        </w:rPr>
        <w:t>W</w:t>
      </w:r>
      <w:r w:rsidRPr="00F318AE">
        <w:rPr>
          <w:b/>
          <w:sz w:val="22"/>
        </w:rPr>
        <w:t xml:space="preserve">ater </w:t>
      </w:r>
      <w:r w:rsidR="00B2502B">
        <w:rPr>
          <w:b/>
          <w:sz w:val="22"/>
        </w:rPr>
        <w:t>L</w:t>
      </w:r>
      <w:r w:rsidRPr="00F318AE">
        <w:rPr>
          <w:b/>
          <w:sz w:val="22"/>
        </w:rPr>
        <w:t>aw supports sustainable water service delivery and private sector engagement in the service delivery</w:t>
      </w:r>
      <w:r w:rsidRPr="00F318AE">
        <w:rPr>
          <w:sz w:val="22"/>
        </w:rPr>
        <w:t xml:space="preserve">. Accordingly, </w:t>
      </w:r>
      <w:r w:rsidR="00710B10">
        <w:rPr>
          <w:sz w:val="22"/>
        </w:rPr>
        <w:t xml:space="preserve">the </w:t>
      </w:r>
      <w:r w:rsidRPr="00F318AE">
        <w:rPr>
          <w:sz w:val="22"/>
        </w:rPr>
        <w:t xml:space="preserve">PWA has developed financial sustainability and </w:t>
      </w:r>
      <w:r w:rsidR="00976184">
        <w:rPr>
          <w:sz w:val="22"/>
        </w:rPr>
        <w:t>p</w:t>
      </w:r>
      <w:r w:rsidRPr="00F318AE">
        <w:rPr>
          <w:sz w:val="22"/>
        </w:rPr>
        <w:t>ublic-</w:t>
      </w:r>
      <w:r w:rsidR="00976184">
        <w:rPr>
          <w:sz w:val="22"/>
        </w:rPr>
        <w:t>p</w:t>
      </w:r>
      <w:r w:rsidRPr="00F318AE">
        <w:rPr>
          <w:sz w:val="22"/>
        </w:rPr>
        <w:t xml:space="preserve">rivate </w:t>
      </w:r>
      <w:r w:rsidR="00976184">
        <w:rPr>
          <w:sz w:val="22"/>
        </w:rPr>
        <w:t>p</w:t>
      </w:r>
      <w:r w:rsidRPr="00F318AE">
        <w:rPr>
          <w:sz w:val="22"/>
        </w:rPr>
        <w:t xml:space="preserve">artnership policies. </w:t>
      </w:r>
      <w:r w:rsidR="00710B10">
        <w:rPr>
          <w:sz w:val="22"/>
        </w:rPr>
        <w:t xml:space="preserve">The </w:t>
      </w:r>
      <w:r w:rsidRPr="00F318AE">
        <w:rPr>
          <w:sz w:val="22"/>
        </w:rPr>
        <w:t xml:space="preserve">PWA’s plan is to pave the way for private sector engagement through the establishment of financially sustainable water utilities. To get support in building financially sustainable utilities, </w:t>
      </w:r>
      <w:r w:rsidR="001E712E">
        <w:rPr>
          <w:sz w:val="22"/>
        </w:rPr>
        <w:t xml:space="preserve">the </w:t>
      </w:r>
      <w:r w:rsidRPr="00F318AE">
        <w:rPr>
          <w:sz w:val="22"/>
        </w:rPr>
        <w:t xml:space="preserve">PWA has requested the World Bank to engage under the proposed </w:t>
      </w:r>
      <w:r w:rsidR="00710B10" w:rsidRPr="00F318AE">
        <w:rPr>
          <w:color w:val="000000" w:themeColor="text1"/>
          <w:sz w:val="22"/>
        </w:rPr>
        <w:t>Wat</w:t>
      </w:r>
      <w:r w:rsidR="00710B10">
        <w:rPr>
          <w:color w:val="000000" w:themeColor="text1"/>
          <w:sz w:val="22"/>
        </w:rPr>
        <w:t>er Security Development Program</w:t>
      </w:r>
      <w:r w:rsidRPr="00F318AE">
        <w:rPr>
          <w:sz w:val="22"/>
        </w:rPr>
        <w:t>.</w:t>
      </w:r>
    </w:p>
    <w:p w:rsidR="00483058" w:rsidRPr="00273143" w:rsidRDefault="00B578E1" w:rsidP="00A2315E">
      <w:pPr>
        <w:keepNext/>
        <w:spacing w:before="240" w:after="240" w:line="240" w:lineRule="auto"/>
        <w:rPr>
          <w:rFonts w:asciiTheme="minorHAnsi" w:hAnsiTheme="minorHAnsi"/>
          <w:b/>
          <w:color w:val="auto"/>
          <w:sz w:val="22"/>
        </w:rPr>
      </w:pPr>
      <w:bookmarkStart w:id="76" w:name="_Toc510969705"/>
      <w:r w:rsidRPr="00273143">
        <w:rPr>
          <w:rFonts w:asciiTheme="minorHAnsi" w:hAnsiTheme="minorHAnsi"/>
          <w:b/>
          <w:color w:val="auto"/>
          <w:sz w:val="22"/>
        </w:rPr>
        <w:t>Poverty Reduction and Shared Prosperity</w:t>
      </w:r>
      <w:bookmarkEnd w:id="76"/>
    </w:p>
    <w:p w:rsidR="00483058" w:rsidRDefault="00B578E1" w:rsidP="00A63A6F">
      <w:pPr>
        <w:pStyle w:val="Normal0"/>
        <w:numPr>
          <w:ilvl w:val="0"/>
          <w:numId w:val="7"/>
        </w:numPr>
        <w:spacing w:after="240" w:line="240" w:lineRule="auto"/>
        <w:ind w:left="0" w:firstLine="0"/>
        <w:jc w:val="both"/>
      </w:pPr>
      <w:r w:rsidRPr="00F318AE">
        <w:rPr>
          <w:b/>
          <w:sz w:val="22"/>
        </w:rPr>
        <w:t xml:space="preserve">The </w:t>
      </w:r>
      <w:r w:rsidR="001E712E">
        <w:rPr>
          <w:b/>
          <w:sz w:val="22"/>
        </w:rPr>
        <w:t>p</w:t>
      </w:r>
      <w:r w:rsidRPr="00F318AE">
        <w:rPr>
          <w:b/>
          <w:sz w:val="22"/>
        </w:rPr>
        <w:t>roject laid the foundations for poverty reduction.</w:t>
      </w:r>
      <w:r w:rsidRPr="00F318AE">
        <w:rPr>
          <w:sz w:val="22"/>
        </w:rPr>
        <w:t xml:space="preserve"> The </w:t>
      </w:r>
      <w:r w:rsidR="001E712E">
        <w:rPr>
          <w:sz w:val="22"/>
        </w:rPr>
        <w:t>p</w:t>
      </w:r>
      <w:r w:rsidRPr="00F318AE">
        <w:rPr>
          <w:sz w:val="22"/>
        </w:rPr>
        <w:t>roject was initiated to continue the reform process of the Palestinian water sector and thereby increase efficiency and performance in the sector for the benefit of poor people.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72"/>
        <w:gridCol w:w="9145"/>
        <w:gridCol w:w="43"/>
      </w:tblGrid>
      <w:tr w:rsidR="0006032A" w:rsidTr="00CC6090">
        <w:trPr>
          <w:trHeight w:val="432"/>
        </w:trPr>
        <w:tc>
          <w:tcPr>
            <w:tcW w:w="5000" w:type="pct"/>
            <w:gridSpan w:val="3"/>
            <w:shd w:val="clear" w:color="auto" w:fill="F2F7FC"/>
            <w:vAlign w:val="center"/>
          </w:tcPr>
          <w:p w:rsidR="003615CB" w:rsidRPr="009212BE" w:rsidRDefault="00B578E1" w:rsidP="00F81AC2">
            <w:pPr>
              <w:pStyle w:val="NoSpacing"/>
              <w:keepNext/>
              <w:numPr>
                <w:ilvl w:val="0"/>
                <w:numId w:val="1"/>
              </w:numPr>
              <w:ind w:left="288" w:hanging="288"/>
              <w:outlineLvl w:val="0"/>
              <w:rPr>
                <w:rFonts w:asciiTheme="minorHAnsi" w:hAnsiTheme="minorHAnsi"/>
                <w:b/>
                <w:color w:val="000000" w:themeColor="text1"/>
                <w:sz w:val="20"/>
                <w:szCs w:val="22"/>
              </w:rPr>
            </w:pPr>
            <w:bookmarkStart w:id="77" w:name="_Toc256000017"/>
            <w:bookmarkStart w:id="78" w:name="_Toc485984576"/>
            <w:bookmarkStart w:id="79" w:name="_Toc510969706"/>
            <w:bookmarkStart w:id="80" w:name="_Toc516132501"/>
            <w:r w:rsidRPr="006615BE">
              <w:rPr>
                <w:rFonts w:asciiTheme="minorHAnsi" w:hAnsiTheme="minorHAnsi"/>
                <w:b/>
                <w:sz w:val="22"/>
                <w:szCs w:val="22"/>
              </w:rPr>
              <w:t>KEY FACTORS THAT AFFECTED IMPLEMENTATION AND OUTCOME</w:t>
            </w:r>
            <w:bookmarkEnd w:id="77"/>
            <w:bookmarkEnd w:id="78"/>
            <w:bookmarkEnd w:id="79"/>
            <w:bookmarkEnd w:id="80"/>
          </w:p>
        </w:tc>
      </w:tr>
      <w:tr w:rsidR="0006032A" w:rsidTr="00CC6090">
        <w:tblPrEx>
          <w:shd w:val="clear" w:color="auto" w:fill="auto"/>
        </w:tblPrEx>
        <w:trPr>
          <w:gridBefore w:val="1"/>
          <w:gridAfter w:val="1"/>
          <w:wBefore w:w="164" w:type="dxa"/>
          <w:wAfter w:w="41" w:type="dxa"/>
          <w:trHeight w:val="360"/>
        </w:trPr>
        <w:tc>
          <w:tcPr>
            <w:tcW w:w="4885" w:type="pct"/>
          </w:tcPr>
          <w:p w:rsidR="003615CB" w:rsidRPr="009212BE" w:rsidRDefault="00B578E1" w:rsidP="00667D04">
            <w:pPr>
              <w:pStyle w:val="Heading2"/>
              <w:spacing w:before="240"/>
              <w:outlineLvl w:val="1"/>
            </w:pPr>
            <w:bookmarkStart w:id="81" w:name="_Toc256000018"/>
            <w:bookmarkStart w:id="82" w:name="_Toc433982414"/>
            <w:bookmarkStart w:id="83" w:name="_Toc460509196"/>
            <w:bookmarkStart w:id="84" w:name="_Toc485984577"/>
            <w:bookmarkStart w:id="85" w:name="_Toc510969707"/>
            <w:bookmarkStart w:id="86" w:name="_Toc516132502"/>
            <w:r w:rsidRPr="009212BE">
              <w:t xml:space="preserve">A. </w:t>
            </w:r>
            <w:r w:rsidR="007078F6" w:rsidRPr="009212BE">
              <w:t>KEY FACTORS DURING PREPARATION</w:t>
            </w:r>
            <w:bookmarkEnd w:id="81"/>
            <w:bookmarkEnd w:id="82"/>
            <w:bookmarkEnd w:id="83"/>
            <w:bookmarkEnd w:id="84"/>
            <w:bookmarkEnd w:id="85"/>
            <w:bookmarkEnd w:id="86"/>
          </w:p>
        </w:tc>
      </w:tr>
    </w:tbl>
    <w:p w:rsidR="00E65985" w:rsidRDefault="00B578E1" w:rsidP="00A63A6F">
      <w:pPr>
        <w:pStyle w:val="Normal0"/>
        <w:numPr>
          <w:ilvl w:val="0"/>
          <w:numId w:val="7"/>
        </w:numPr>
        <w:spacing w:before="240" w:after="240" w:line="240" w:lineRule="auto"/>
        <w:ind w:left="0" w:firstLine="0"/>
        <w:jc w:val="both"/>
        <w:rPr>
          <w:rFonts w:cstheme="minorHAnsi"/>
          <w:bCs/>
          <w:sz w:val="22"/>
        </w:rPr>
      </w:pPr>
      <w:r w:rsidRPr="00F318AE">
        <w:rPr>
          <w:rFonts w:cstheme="minorHAnsi"/>
          <w:b/>
          <w:bCs/>
          <w:sz w:val="22"/>
        </w:rPr>
        <w:t xml:space="preserve">The background analysis for the </w:t>
      </w:r>
      <w:r w:rsidR="001E712E">
        <w:rPr>
          <w:rFonts w:cstheme="minorHAnsi"/>
          <w:b/>
          <w:bCs/>
          <w:sz w:val="22"/>
        </w:rPr>
        <w:t>p</w:t>
      </w:r>
      <w:r w:rsidRPr="00F318AE">
        <w:rPr>
          <w:rFonts w:cstheme="minorHAnsi"/>
          <w:b/>
          <w:bCs/>
          <w:sz w:val="22"/>
        </w:rPr>
        <w:t xml:space="preserve">roject was sound. </w:t>
      </w:r>
      <w:r w:rsidRPr="00F318AE">
        <w:rPr>
          <w:rFonts w:cstheme="minorHAnsi"/>
          <w:bCs/>
          <w:sz w:val="22"/>
        </w:rPr>
        <w:t xml:space="preserve">The underlying challenges and needs for reform </w:t>
      </w:r>
      <w:r w:rsidR="001E712E">
        <w:rPr>
          <w:rFonts w:cstheme="minorHAnsi"/>
          <w:bCs/>
          <w:sz w:val="22"/>
        </w:rPr>
        <w:t>were</w:t>
      </w:r>
      <w:r w:rsidRPr="00F318AE">
        <w:rPr>
          <w:rFonts w:cstheme="minorHAnsi"/>
          <w:bCs/>
          <w:sz w:val="22"/>
        </w:rPr>
        <w:t xml:space="preserve"> firmly established by earlier work in the </w:t>
      </w:r>
      <w:r w:rsidRPr="00017794">
        <w:rPr>
          <w:sz w:val="22"/>
        </w:rPr>
        <w:t>sector</w:t>
      </w:r>
      <w:r w:rsidRPr="00F318AE">
        <w:rPr>
          <w:rFonts w:cstheme="minorHAnsi"/>
          <w:bCs/>
          <w:sz w:val="22"/>
        </w:rPr>
        <w:t xml:space="preserve"> supported by</w:t>
      </w:r>
      <w:r w:rsidR="001E712E">
        <w:rPr>
          <w:rFonts w:cstheme="minorHAnsi"/>
          <w:bCs/>
          <w:sz w:val="22"/>
        </w:rPr>
        <w:t>,</w:t>
      </w:r>
      <w:r w:rsidRPr="00F318AE">
        <w:rPr>
          <w:rFonts w:cstheme="minorHAnsi"/>
          <w:bCs/>
          <w:sz w:val="22"/>
        </w:rPr>
        <w:t xml:space="preserve"> among others</w:t>
      </w:r>
      <w:r w:rsidR="001E712E">
        <w:rPr>
          <w:rFonts w:cstheme="minorHAnsi"/>
          <w:bCs/>
          <w:sz w:val="22"/>
        </w:rPr>
        <w:t>,</w:t>
      </w:r>
      <w:r w:rsidRPr="00F318AE">
        <w:rPr>
          <w:rFonts w:cstheme="minorHAnsi"/>
          <w:bCs/>
          <w:sz w:val="22"/>
        </w:rPr>
        <w:t xml:space="preserve"> Norway.</w:t>
      </w:r>
      <w:r>
        <w:rPr>
          <w:rStyle w:val="FootnoteReference"/>
          <w:rFonts w:cstheme="minorHAnsi"/>
          <w:bCs/>
          <w:sz w:val="22"/>
        </w:rPr>
        <w:footnoteReference w:id="6"/>
      </w:r>
      <w:r w:rsidRPr="00F318AE">
        <w:rPr>
          <w:rFonts w:cstheme="minorHAnsi"/>
          <w:bCs/>
          <w:sz w:val="22"/>
        </w:rPr>
        <w:t xml:space="preserve"> The key aspects for the reform to continue w</w:t>
      </w:r>
      <w:r w:rsidR="00AB5A10" w:rsidRPr="00F318AE">
        <w:rPr>
          <w:rFonts w:cstheme="minorHAnsi"/>
          <w:bCs/>
          <w:sz w:val="22"/>
        </w:rPr>
        <w:t>ere</w:t>
      </w:r>
      <w:r w:rsidRPr="00F318AE">
        <w:rPr>
          <w:rFonts w:cstheme="minorHAnsi"/>
          <w:bCs/>
          <w:sz w:val="22"/>
        </w:rPr>
        <w:t xml:space="preserve"> present</w:t>
      </w:r>
      <w:r w:rsidR="00AB5A10" w:rsidRPr="00F318AE">
        <w:rPr>
          <w:rFonts w:cstheme="minorHAnsi"/>
          <w:bCs/>
          <w:sz w:val="22"/>
        </w:rPr>
        <w:t>,</w:t>
      </w:r>
      <w:r w:rsidRPr="00F318AE">
        <w:rPr>
          <w:rFonts w:cstheme="minorHAnsi"/>
          <w:bCs/>
          <w:sz w:val="22"/>
        </w:rPr>
        <w:t xml:space="preserve"> with the new </w:t>
      </w:r>
      <w:r w:rsidR="00B2502B">
        <w:rPr>
          <w:rFonts w:cstheme="minorHAnsi"/>
          <w:bCs/>
          <w:sz w:val="22"/>
        </w:rPr>
        <w:t>W</w:t>
      </w:r>
      <w:r w:rsidRPr="00F318AE">
        <w:rPr>
          <w:rFonts w:cstheme="minorHAnsi"/>
          <w:bCs/>
          <w:sz w:val="22"/>
        </w:rPr>
        <w:t xml:space="preserve">ater </w:t>
      </w:r>
      <w:r w:rsidR="00B2502B">
        <w:rPr>
          <w:rFonts w:cstheme="minorHAnsi"/>
          <w:bCs/>
          <w:sz w:val="22"/>
        </w:rPr>
        <w:t>L</w:t>
      </w:r>
      <w:r w:rsidRPr="00F318AE">
        <w:rPr>
          <w:rFonts w:cstheme="minorHAnsi"/>
          <w:bCs/>
          <w:sz w:val="22"/>
        </w:rPr>
        <w:t>aw having been adopted.</w:t>
      </w:r>
      <w:r w:rsidR="006468EF" w:rsidRPr="00F318AE">
        <w:rPr>
          <w:rFonts w:cstheme="minorHAnsi"/>
          <w:bCs/>
          <w:sz w:val="22"/>
        </w:rPr>
        <w:t xml:space="preserve"> </w:t>
      </w:r>
      <w:r w:rsidRPr="00F318AE">
        <w:rPr>
          <w:rFonts w:cstheme="minorHAnsi"/>
          <w:bCs/>
          <w:sz w:val="22"/>
        </w:rPr>
        <w:t xml:space="preserve">The </w:t>
      </w:r>
      <w:r w:rsidRPr="00F318AE">
        <w:rPr>
          <w:rFonts w:cstheme="minorHAnsi"/>
          <w:bCs/>
          <w:sz w:val="22"/>
        </w:rPr>
        <w:lastRenderedPageBreak/>
        <w:t xml:space="preserve">background analysis also </w:t>
      </w:r>
      <w:r w:rsidRPr="00291AFE">
        <w:rPr>
          <w:sz w:val="22"/>
        </w:rPr>
        <w:t>acknowledged</w:t>
      </w:r>
      <w:r w:rsidRPr="00F318AE">
        <w:rPr>
          <w:rFonts w:cstheme="minorHAnsi"/>
          <w:bCs/>
          <w:sz w:val="22"/>
        </w:rPr>
        <w:t xml:space="preserve"> the special situation </w:t>
      </w:r>
      <w:r w:rsidR="00AB5A10" w:rsidRPr="00F318AE">
        <w:rPr>
          <w:rFonts w:cstheme="minorHAnsi"/>
          <w:bCs/>
          <w:sz w:val="22"/>
        </w:rPr>
        <w:t>of the</w:t>
      </w:r>
      <w:r w:rsidRPr="00F318AE">
        <w:rPr>
          <w:rFonts w:cstheme="minorHAnsi"/>
          <w:bCs/>
          <w:sz w:val="22"/>
        </w:rPr>
        <w:t xml:space="preserve"> water sector in West Bank and Gaza </w:t>
      </w:r>
      <w:r w:rsidR="00AB5A10" w:rsidRPr="00F318AE">
        <w:rPr>
          <w:rFonts w:cstheme="minorHAnsi"/>
          <w:bCs/>
          <w:sz w:val="22"/>
        </w:rPr>
        <w:t>resulting from</w:t>
      </w:r>
      <w:r w:rsidRPr="00F318AE">
        <w:rPr>
          <w:rFonts w:cstheme="minorHAnsi"/>
          <w:bCs/>
          <w:sz w:val="22"/>
        </w:rPr>
        <w:t xml:space="preserve"> the occupation (in the case of the West Bank) and the overall Israeli-Palestinian conflict which restricts the ability of the sector to fully develop and mature.</w:t>
      </w:r>
      <w:r>
        <w:rPr>
          <w:rStyle w:val="FootnoteReference"/>
          <w:rFonts w:cstheme="minorHAnsi"/>
          <w:bCs/>
          <w:sz w:val="22"/>
        </w:rPr>
        <w:footnoteReference w:id="7"/>
      </w:r>
      <w:r w:rsidRPr="00F318AE">
        <w:rPr>
          <w:rFonts w:cstheme="minorHAnsi"/>
          <w:bCs/>
          <w:sz w:val="22"/>
        </w:rPr>
        <w:t xml:space="preserve"> However, within the operating space for the </w:t>
      </w:r>
      <w:r w:rsidR="001E712E">
        <w:rPr>
          <w:rFonts w:cstheme="minorHAnsi"/>
          <w:bCs/>
          <w:sz w:val="22"/>
        </w:rPr>
        <w:t>p</w:t>
      </w:r>
      <w:r w:rsidRPr="00F318AE">
        <w:rPr>
          <w:rFonts w:cstheme="minorHAnsi"/>
          <w:bCs/>
          <w:sz w:val="22"/>
        </w:rPr>
        <w:t xml:space="preserve">roject and building on the </w:t>
      </w:r>
      <w:r w:rsidR="00AB5A10" w:rsidRPr="00F318AE">
        <w:rPr>
          <w:rFonts w:cstheme="minorHAnsi"/>
          <w:bCs/>
          <w:sz w:val="22"/>
        </w:rPr>
        <w:t>earlier sector work, the background analysis was comprehensive.</w:t>
      </w:r>
    </w:p>
    <w:p w:rsidR="00E65985" w:rsidRPr="00D92E85" w:rsidRDefault="00B578E1" w:rsidP="00A63A6F">
      <w:pPr>
        <w:pStyle w:val="Normal0"/>
        <w:numPr>
          <w:ilvl w:val="0"/>
          <w:numId w:val="7"/>
        </w:numPr>
        <w:spacing w:after="240" w:line="240" w:lineRule="auto"/>
        <w:ind w:left="0" w:firstLine="0"/>
        <w:jc w:val="both"/>
        <w:rPr>
          <w:rFonts w:cstheme="minorHAnsi"/>
          <w:bCs/>
          <w:sz w:val="22"/>
        </w:rPr>
      </w:pPr>
      <w:r w:rsidRPr="00D92E85">
        <w:rPr>
          <w:rFonts w:cstheme="minorHAnsi"/>
          <w:b/>
          <w:bCs/>
          <w:sz w:val="22"/>
        </w:rPr>
        <w:t xml:space="preserve">The analysis of the risks </w:t>
      </w:r>
      <w:r>
        <w:rPr>
          <w:rFonts w:cstheme="minorHAnsi"/>
          <w:b/>
          <w:bCs/>
          <w:sz w:val="22"/>
        </w:rPr>
        <w:t>was</w:t>
      </w:r>
      <w:r w:rsidRPr="00D92E85">
        <w:rPr>
          <w:rFonts w:cstheme="minorHAnsi"/>
          <w:b/>
          <w:bCs/>
          <w:sz w:val="22"/>
        </w:rPr>
        <w:t xml:space="preserve"> relevant and sound</w:t>
      </w:r>
      <w:r w:rsidRPr="00D92E85">
        <w:rPr>
          <w:rFonts w:cstheme="minorHAnsi"/>
          <w:bCs/>
          <w:sz w:val="22"/>
        </w:rPr>
        <w:t>.</w:t>
      </w:r>
      <w:r w:rsidRPr="00D92E85">
        <w:rPr>
          <w:rFonts w:cstheme="minorHAnsi"/>
          <w:sz w:val="22"/>
        </w:rPr>
        <w:t xml:space="preserve"> Both the initial project as well as the AF </w:t>
      </w:r>
      <w:r w:rsidR="0054273E">
        <w:rPr>
          <w:rFonts w:cstheme="minorHAnsi"/>
          <w:sz w:val="22"/>
        </w:rPr>
        <w:t xml:space="preserve">had </w:t>
      </w:r>
      <w:r w:rsidRPr="00D92E85">
        <w:rPr>
          <w:rFonts w:cstheme="minorHAnsi"/>
          <w:sz w:val="22"/>
        </w:rPr>
        <w:t xml:space="preserve">the same implementation risks and mitigation measures as the original project (country political context, macro-economy, </w:t>
      </w:r>
      <w:r w:rsidRPr="00291AFE">
        <w:rPr>
          <w:sz w:val="22"/>
        </w:rPr>
        <w:t>institutional</w:t>
      </w:r>
      <w:r w:rsidRPr="00D92E85">
        <w:rPr>
          <w:rFonts w:cstheme="minorHAnsi"/>
          <w:sz w:val="22"/>
        </w:rPr>
        <w:t xml:space="preserve"> capacity for implementation</w:t>
      </w:r>
      <w:r w:rsidR="00DC3055">
        <w:rPr>
          <w:rFonts w:cstheme="minorHAnsi"/>
          <w:sz w:val="22"/>
        </w:rPr>
        <w:t>,</w:t>
      </w:r>
      <w:r w:rsidRPr="00D92E85">
        <w:rPr>
          <w:rFonts w:cstheme="minorHAnsi"/>
          <w:sz w:val="22"/>
        </w:rPr>
        <w:t xml:space="preserve"> and sustainability), with an additional risk associated with the institutional building of the WRSC.</w:t>
      </w:r>
      <w:r>
        <w:rPr>
          <w:rFonts w:cstheme="minorHAnsi"/>
          <w:sz w:val="22"/>
        </w:rPr>
        <w:t xml:space="preserve"> </w:t>
      </w:r>
      <w:r w:rsidR="006961EE">
        <w:rPr>
          <w:rFonts w:cstheme="minorHAnsi"/>
          <w:sz w:val="22"/>
        </w:rPr>
        <w:t>T</w:t>
      </w:r>
      <w:r w:rsidR="00DC3055">
        <w:rPr>
          <w:rFonts w:cstheme="minorHAnsi"/>
          <w:sz w:val="22"/>
        </w:rPr>
        <w:t xml:space="preserve">he </w:t>
      </w:r>
      <w:r>
        <w:rPr>
          <w:rFonts w:cstheme="minorHAnsi"/>
          <w:sz w:val="22"/>
        </w:rPr>
        <w:t xml:space="preserve">risks related to the political context (rated high) materialized in terms of conflict but </w:t>
      </w:r>
      <w:r w:rsidRPr="00017794">
        <w:rPr>
          <w:sz w:val="22"/>
        </w:rPr>
        <w:t>were</w:t>
      </w:r>
      <w:r>
        <w:rPr>
          <w:rFonts w:cstheme="minorHAnsi"/>
          <w:sz w:val="22"/>
        </w:rPr>
        <w:t xml:space="preserve"> effectively mitigated through proactive engagement both by the client </w:t>
      </w:r>
      <w:r w:rsidR="00DC3055">
        <w:rPr>
          <w:rFonts w:cstheme="minorHAnsi"/>
          <w:sz w:val="22"/>
        </w:rPr>
        <w:t>and</w:t>
      </w:r>
      <w:r>
        <w:rPr>
          <w:rFonts w:cstheme="minorHAnsi"/>
          <w:sz w:val="22"/>
        </w:rPr>
        <w:t xml:space="preserve"> the </w:t>
      </w:r>
      <w:r w:rsidR="00DC3055">
        <w:rPr>
          <w:rFonts w:cstheme="minorHAnsi"/>
          <w:sz w:val="22"/>
        </w:rPr>
        <w:t xml:space="preserve">World </w:t>
      </w:r>
      <w:r>
        <w:rPr>
          <w:rFonts w:cstheme="minorHAnsi"/>
          <w:sz w:val="22"/>
        </w:rPr>
        <w:t xml:space="preserve">Bank team </w:t>
      </w:r>
      <w:r w:rsidR="00DC3055">
        <w:rPr>
          <w:rFonts w:cstheme="minorHAnsi"/>
          <w:sz w:val="22"/>
        </w:rPr>
        <w:t xml:space="preserve">that was </w:t>
      </w:r>
      <w:r>
        <w:rPr>
          <w:rFonts w:cstheme="minorHAnsi"/>
          <w:sz w:val="22"/>
        </w:rPr>
        <w:t>engaged. The institutional risks associated with the institutional capacity partly materialized but was mitigated primarily through proactive engagement</w:t>
      </w:r>
      <w:r w:rsidR="00DC3055">
        <w:rPr>
          <w:rFonts w:cstheme="minorHAnsi"/>
          <w:sz w:val="22"/>
        </w:rPr>
        <w:t>,</w:t>
      </w:r>
      <w:r>
        <w:rPr>
          <w:rFonts w:cstheme="minorHAnsi"/>
          <w:sz w:val="22"/>
        </w:rPr>
        <w:t xml:space="preserve"> in particular</w:t>
      </w:r>
      <w:r w:rsidR="00DC3055">
        <w:rPr>
          <w:rFonts w:cstheme="minorHAnsi"/>
          <w:sz w:val="22"/>
        </w:rPr>
        <w:t>,</w:t>
      </w:r>
      <w:r>
        <w:rPr>
          <w:rFonts w:cstheme="minorHAnsi"/>
          <w:sz w:val="22"/>
        </w:rPr>
        <w:t xml:space="preserve"> during the preparation of the AF to allow for the</w:t>
      </w:r>
      <w:r w:rsidR="00DC3055" w:rsidRPr="00DC3055">
        <w:rPr>
          <w:rFonts w:cstheme="minorHAnsi"/>
          <w:sz w:val="22"/>
        </w:rPr>
        <w:t xml:space="preserve"> </w:t>
      </w:r>
      <w:r w:rsidR="00DC3055">
        <w:rPr>
          <w:rFonts w:cstheme="minorHAnsi"/>
          <w:sz w:val="22"/>
        </w:rPr>
        <w:t>WSRC to be</w:t>
      </w:r>
      <w:r>
        <w:rPr>
          <w:rFonts w:cstheme="minorHAnsi"/>
          <w:sz w:val="22"/>
        </w:rPr>
        <w:t xml:space="preserve"> set</w:t>
      </w:r>
      <w:r w:rsidR="00DC3055">
        <w:rPr>
          <w:rFonts w:cstheme="minorHAnsi"/>
          <w:sz w:val="22"/>
        </w:rPr>
        <w:t xml:space="preserve"> </w:t>
      </w:r>
      <w:r>
        <w:rPr>
          <w:rFonts w:cstheme="minorHAnsi"/>
          <w:sz w:val="22"/>
        </w:rPr>
        <w:t xml:space="preserve">up. </w:t>
      </w:r>
    </w:p>
    <w:p w:rsidR="003615CB" w:rsidRPr="00F318AE" w:rsidRDefault="00B578E1" w:rsidP="00A63A6F">
      <w:pPr>
        <w:pStyle w:val="Normal0"/>
        <w:numPr>
          <w:ilvl w:val="0"/>
          <w:numId w:val="7"/>
        </w:numPr>
        <w:spacing w:after="240" w:line="240" w:lineRule="auto"/>
        <w:ind w:left="0" w:firstLine="0"/>
        <w:jc w:val="both"/>
        <w:rPr>
          <w:rFonts w:cstheme="minorHAnsi"/>
          <w:bCs/>
          <w:sz w:val="22"/>
        </w:rPr>
      </w:pPr>
      <w:r w:rsidRPr="00F318AE">
        <w:rPr>
          <w:rFonts w:cstheme="minorHAnsi"/>
          <w:b/>
          <w:bCs/>
          <w:sz w:val="22"/>
        </w:rPr>
        <w:t xml:space="preserve">The </w:t>
      </w:r>
      <w:r w:rsidR="00DC3055">
        <w:rPr>
          <w:rFonts w:cstheme="minorHAnsi"/>
          <w:b/>
          <w:bCs/>
          <w:sz w:val="22"/>
        </w:rPr>
        <w:t>p</w:t>
      </w:r>
      <w:r w:rsidRPr="00F318AE">
        <w:rPr>
          <w:rFonts w:cstheme="minorHAnsi"/>
          <w:b/>
          <w:bCs/>
          <w:sz w:val="22"/>
        </w:rPr>
        <w:t xml:space="preserve">roject was designed to be well in line with and support the relevant national development plans. </w:t>
      </w:r>
      <w:r w:rsidRPr="00F318AE">
        <w:rPr>
          <w:rFonts w:cstheme="minorHAnsi"/>
          <w:bCs/>
          <w:sz w:val="22"/>
        </w:rPr>
        <w:t xml:space="preserve">The reform process </w:t>
      </w:r>
      <w:r w:rsidR="00DC3055">
        <w:rPr>
          <w:rFonts w:cstheme="minorHAnsi"/>
          <w:bCs/>
          <w:sz w:val="22"/>
        </w:rPr>
        <w:t>was</w:t>
      </w:r>
      <w:r w:rsidRPr="00F318AE">
        <w:rPr>
          <w:rFonts w:cstheme="minorHAnsi"/>
          <w:bCs/>
          <w:sz w:val="22"/>
        </w:rPr>
        <w:t xml:space="preserve"> ongoing in the water sector in which a healthy decentralization and clearer division of labor was devised. </w:t>
      </w:r>
      <w:r w:rsidR="00AB5A10" w:rsidRPr="00F318AE">
        <w:rPr>
          <w:rFonts w:cstheme="minorHAnsi"/>
          <w:bCs/>
          <w:sz w:val="22"/>
        </w:rPr>
        <w:t xml:space="preserve">The </w:t>
      </w:r>
      <w:r w:rsidR="00DC3055">
        <w:rPr>
          <w:sz w:val="22"/>
        </w:rPr>
        <w:t>p</w:t>
      </w:r>
      <w:r w:rsidR="00AB5A10" w:rsidRPr="00017794">
        <w:rPr>
          <w:sz w:val="22"/>
        </w:rPr>
        <w:t>roject</w:t>
      </w:r>
      <w:r w:rsidR="00AB5A10" w:rsidRPr="00F318AE">
        <w:rPr>
          <w:rFonts w:cstheme="minorHAnsi"/>
          <w:bCs/>
          <w:sz w:val="22"/>
        </w:rPr>
        <w:t xml:space="preserve"> wa</w:t>
      </w:r>
      <w:r w:rsidRPr="00F318AE">
        <w:rPr>
          <w:rFonts w:cstheme="minorHAnsi"/>
          <w:bCs/>
          <w:sz w:val="22"/>
        </w:rPr>
        <w:t xml:space="preserve">s well in line with the Palestinian National Development Plan focused on building national institutions and infrastructure; to the PWA reform efforts of clarifying roles and responsibilities of </w:t>
      </w:r>
      <w:r w:rsidR="00DC3055">
        <w:rPr>
          <w:rFonts w:cstheme="minorHAnsi"/>
          <w:bCs/>
          <w:sz w:val="22"/>
        </w:rPr>
        <w:t xml:space="preserve">the </w:t>
      </w:r>
      <w:r w:rsidRPr="00F318AE">
        <w:rPr>
          <w:rFonts w:cstheme="minorHAnsi"/>
          <w:bCs/>
          <w:sz w:val="22"/>
        </w:rPr>
        <w:t xml:space="preserve">PWA with an independent regulator. After the </w:t>
      </w:r>
      <w:r w:rsidR="00BB2A5E">
        <w:rPr>
          <w:rFonts w:cstheme="minorHAnsi"/>
          <w:bCs/>
          <w:sz w:val="22"/>
        </w:rPr>
        <w:t>AF</w:t>
      </w:r>
      <w:r w:rsidRPr="00F318AE">
        <w:rPr>
          <w:rFonts w:cstheme="minorHAnsi"/>
          <w:bCs/>
          <w:sz w:val="22"/>
        </w:rPr>
        <w:t xml:space="preserve"> and restructuring of the project</w:t>
      </w:r>
      <w:r w:rsidR="004579FA" w:rsidRPr="00F318AE">
        <w:rPr>
          <w:rFonts w:cstheme="minorHAnsi"/>
          <w:bCs/>
          <w:sz w:val="22"/>
        </w:rPr>
        <w:t>,</w:t>
      </w:r>
      <w:r w:rsidRPr="00F318AE">
        <w:rPr>
          <w:rFonts w:cstheme="minorHAnsi"/>
          <w:bCs/>
          <w:sz w:val="22"/>
        </w:rPr>
        <w:t xml:space="preserve"> the creation of the independent regulator was </w:t>
      </w:r>
      <w:r w:rsidR="004579FA" w:rsidRPr="00F318AE">
        <w:rPr>
          <w:rFonts w:cstheme="minorHAnsi"/>
          <w:bCs/>
          <w:sz w:val="22"/>
        </w:rPr>
        <w:t>added as an</w:t>
      </w:r>
      <w:r w:rsidRPr="00F318AE">
        <w:rPr>
          <w:rFonts w:cstheme="minorHAnsi"/>
          <w:bCs/>
          <w:sz w:val="22"/>
        </w:rPr>
        <w:t xml:space="preserve"> objective.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DC3055">
        <w:trPr>
          <w:trHeight w:val="153"/>
        </w:trPr>
        <w:tc>
          <w:tcPr>
            <w:tcW w:w="5000" w:type="pct"/>
          </w:tcPr>
          <w:p w:rsidR="004579FA" w:rsidRPr="00DC3055" w:rsidRDefault="00B578E1" w:rsidP="00667D04">
            <w:pPr>
              <w:pStyle w:val="Heading2"/>
              <w:outlineLvl w:val="1"/>
              <w:rPr>
                <w:highlight w:val="yellow"/>
              </w:rPr>
            </w:pPr>
            <w:bookmarkStart w:id="87" w:name="_Toc256000019"/>
            <w:bookmarkStart w:id="88" w:name="_Toc433982415"/>
            <w:bookmarkStart w:id="89" w:name="_Toc460509197"/>
            <w:bookmarkStart w:id="90" w:name="_Toc485984578"/>
            <w:bookmarkStart w:id="91" w:name="_Toc510969708"/>
            <w:bookmarkStart w:id="92" w:name="_Toc516132503"/>
            <w:r w:rsidRPr="009212BE">
              <w:rPr>
                <w:bCs/>
              </w:rPr>
              <w:t>B.</w:t>
            </w:r>
            <w:r w:rsidR="007078F6" w:rsidRPr="009212BE">
              <w:t xml:space="preserve"> KEY FACTORS DURING </w:t>
            </w:r>
            <w:r w:rsidR="007078F6" w:rsidRPr="00667D04">
              <w:t>IMPLEMENTATION</w:t>
            </w:r>
            <w:bookmarkEnd w:id="87"/>
            <w:bookmarkEnd w:id="88"/>
            <w:bookmarkEnd w:id="89"/>
            <w:bookmarkEnd w:id="90"/>
            <w:bookmarkEnd w:id="91"/>
            <w:bookmarkEnd w:id="92"/>
          </w:p>
        </w:tc>
      </w:tr>
    </w:tbl>
    <w:p w:rsidR="003821C9" w:rsidRDefault="00B578E1" w:rsidP="00A63A6F">
      <w:pPr>
        <w:pStyle w:val="Normal0"/>
        <w:numPr>
          <w:ilvl w:val="0"/>
          <w:numId w:val="7"/>
        </w:numPr>
        <w:spacing w:before="240" w:after="240" w:line="240" w:lineRule="auto"/>
        <w:ind w:left="0" w:firstLine="0"/>
        <w:jc w:val="both"/>
        <w:rPr>
          <w:bCs/>
          <w:sz w:val="22"/>
        </w:rPr>
      </w:pPr>
      <w:r w:rsidRPr="00F318AE">
        <w:rPr>
          <w:b/>
          <w:bCs/>
          <w:sz w:val="22"/>
        </w:rPr>
        <w:t>The 2014 Gaza-Israel conflict created a challenging environment.</w:t>
      </w:r>
      <w:r w:rsidRPr="00F318AE">
        <w:rPr>
          <w:bCs/>
          <w:sz w:val="22"/>
        </w:rPr>
        <w:t xml:space="preserve"> The 2014 war has reduced Gaza’s GDP by about US$460 million. Construction, agriculture, manufacturing, and electricity sectors were hit the most with output </w:t>
      </w:r>
      <w:r w:rsidRPr="00291AFE">
        <w:rPr>
          <w:sz w:val="22"/>
        </w:rPr>
        <w:t>reductions</w:t>
      </w:r>
      <w:r w:rsidRPr="00F318AE">
        <w:rPr>
          <w:bCs/>
          <w:sz w:val="22"/>
        </w:rPr>
        <w:t xml:space="preserve"> of 83 percent in the construction sector in the second half of 2014 and roughly 50 percent in these other sectors. This conflict is just the last in a long series that have damaged Gaza’s economy, infrastructure, and development potential.</w:t>
      </w:r>
    </w:p>
    <w:p w:rsidR="00FE79FF" w:rsidRPr="003821C9" w:rsidRDefault="00B578E1" w:rsidP="00A63A6F">
      <w:pPr>
        <w:pStyle w:val="Normal0"/>
        <w:numPr>
          <w:ilvl w:val="0"/>
          <w:numId w:val="7"/>
        </w:numPr>
        <w:spacing w:after="240" w:line="240" w:lineRule="auto"/>
        <w:ind w:left="0" w:firstLine="0"/>
        <w:jc w:val="both"/>
        <w:rPr>
          <w:bCs/>
          <w:sz w:val="22"/>
        </w:rPr>
      </w:pPr>
      <w:r w:rsidRPr="003821C9">
        <w:rPr>
          <w:b/>
          <w:bCs/>
          <w:sz w:val="22"/>
        </w:rPr>
        <w:t xml:space="preserve">The lack of </w:t>
      </w:r>
      <w:r w:rsidR="00EA36D1">
        <w:rPr>
          <w:b/>
          <w:bCs/>
          <w:sz w:val="22"/>
        </w:rPr>
        <w:t xml:space="preserve">agreement on how best to carry out the reform and of </w:t>
      </w:r>
      <w:r w:rsidRPr="003821C9">
        <w:rPr>
          <w:b/>
          <w:bCs/>
          <w:sz w:val="22"/>
        </w:rPr>
        <w:t xml:space="preserve">coordination to implement some aspects of the </w:t>
      </w:r>
      <w:r w:rsidR="00B2502B">
        <w:rPr>
          <w:b/>
          <w:bCs/>
          <w:sz w:val="22"/>
        </w:rPr>
        <w:t>W</w:t>
      </w:r>
      <w:r w:rsidRPr="003821C9">
        <w:rPr>
          <w:b/>
          <w:bCs/>
          <w:sz w:val="22"/>
        </w:rPr>
        <w:t xml:space="preserve">ater </w:t>
      </w:r>
      <w:r w:rsidR="00B2502B">
        <w:rPr>
          <w:b/>
          <w:bCs/>
          <w:sz w:val="22"/>
        </w:rPr>
        <w:t>L</w:t>
      </w:r>
      <w:r w:rsidRPr="003821C9">
        <w:rPr>
          <w:b/>
          <w:bCs/>
          <w:sz w:val="22"/>
        </w:rPr>
        <w:t>aw also affected project implementation</w:t>
      </w:r>
      <w:r w:rsidRPr="003821C9">
        <w:rPr>
          <w:bCs/>
          <w:sz w:val="22"/>
        </w:rPr>
        <w:t xml:space="preserve">. </w:t>
      </w:r>
      <w:r w:rsidR="00EA36D1">
        <w:rPr>
          <w:bCs/>
          <w:sz w:val="22"/>
        </w:rPr>
        <w:t>In addition, t</w:t>
      </w:r>
      <w:r w:rsidRPr="003821C9">
        <w:rPr>
          <w:bCs/>
          <w:sz w:val="22"/>
        </w:rPr>
        <w:t xml:space="preserve">he political divide between the West Bank and Gaza </w:t>
      </w:r>
      <w:r w:rsidR="00EA36D1">
        <w:rPr>
          <w:bCs/>
          <w:sz w:val="22"/>
        </w:rPr>
        <w:t>may have</w:t>
      </w:r>
      <w:r w:rsidRPr="003821C9">
        <w:rPr>
          <w:bCs/>
          <w:sz w:val="22"/>
        </w:rPr>
        <w:t xml:space="preserve"> created additional internal challenges </w:t>
      </w:r>
      <w:r w:rsidRPr="00291AFE">
        <w:rPr>
          <w:sz w:val="22"/>
        </w:rPr>
        <w:t>when</w:t>
      </w:r>
      <w:r w:rsidRPr="003821C9">
        <w:rPr>
          <w:bCs/>
          <w:sz w:val="22"/>
        </w:rPr>
        <w:t xml:space="preserve"> it comes to implementing the </w:t>
      </w:r>
      <w:r w:rsidR="00B2502B">
        <w:rPr>
          <w:bCs/>
          <w:sz w:val="22"/>
        </w:rPr>
        <w:t>W</w:t>
      </w:r>
      <w:r w:rsidRPr="003821C9">
        <w:rPr>
          <w:bCs/>
          <w:sz w:val="22"/>
        </w:rPr>
        <w:t xml:space="preserve">ater </w:t>
      </w:r>
      <w:r w:rsidR="00B2502B">
        <w:rPr>
          <w:bCs/>
          <w:sz w:val="22"/>
        </w:rPr>
        <w:t>L</w:t>
      </w:r>
      <w:r w:rsidRPr="003821C9">
        <w:rPr>
          <w:bCs/>
          <w:sz w:val="22"/>
        </w:rPr>
        <w:t>aw and coordinat</w:t>
      </w:r>
      <w:r w:rsidR="00025B9B">
        <w:rPr>
          <w:bCs/>
          <w:sz w:val="22"/>
        </w:rPr>
        <w:t>ing</w:t>
      </w:r>
      <w:r w:rsidRPr="003821C9">
        <w:rPr>
          <w:bCs/>
          <w:sz w:val="22"/>
        </w:rPr>
        <w:t xml:space="preserve"> capacity</w:t>
      </w:r>
      <w:r w:rsidR="00B2502B">
        <w:rPr>
          <w:bCs/>
          <w:sz w:val="22"/>
        </w:rPr>
        <w:t>-</w:t>
      </w:r>
      <w:r w:rsidRPr="003821C9">
        <w:rPr>
          <w:bCs/>
          <w:sz w:val="22"/>
        </w:rPr>
        <w:t xml:space="preserve">building efforts. </w:t>
      </w:r>
      <w:r w:rsidR="00976184">
        <w:rPr>
          <w:bCs/>
          <w:sz w:val="22"/>
        </w:rPr>
        <w:t xml:space="preserve">The </w:t>
      </w:r>
      <w:r w:rsidR="00025B9B">
        <w:rPr>
          <w:bCs/>
          <w:sz w:val="22"/>
        </w:rPr>
        <w:t>l</w:t>
      </w:r>
      <w:r w:rsidRPr="003821C9">
        <w:rPr>
          <w:bCs/>
          <w:sz w:val="22"/>
        </w:rPr>
        <w:t xml:space="preserve">ack of coordination appears </w:t>
      </w:r>
      <w:r w:rsidR="00025B9B">
        <w:rPr>
          <w:bCs/>
          <w:sz w:val="22"/>
        </w:rPr>
        <w:t xml:space="preserve">to be </w:t>
      </w:r>
      <w:r w:rsidR="00FB3030" w:rsidRPr="003821C9">
        <w:rPr>
          <w:bCs/>
          <w:sz w:val="22"/>
        </w:rPr>
        <w:t>a binding constraint to the implementation of projects in the West Bank and Gaza and creates uncertainty with respect to outcomes.</w:t>
      </w:r>
    </w:p>
    <w:p w:rsidR="00FE79FF" w:rsidRPr="00F318AE" w:rsidRDefault="00B578E1" w:rsidP="00A63A6F">
      <w:pPr>
        <w:pStyle w:val="Normal0"/>
        <w:numPr>
          <w:ilvl w:val="0"/>
          <w:numId w:val="7"/>
        </w:numPr>
        <w:spacing w:after="240" w:line="240" w:lineRule="auto"/>
        <w:ind w:left="0" w:firstLine="0"/>
        <w:jc w:val="both"/>
        <w:rPr>
          <w:bCs/>
          <w:sz w:val="22"/>
        </w:rPr>
      </w:pPr>
      <w:r w:rsidRPr="00F318AE">
        <w:rPr>
          <w:rFonts w:cstheme="minorHAnsi"/>
          <w:b/>
          <w:sz w:val="22"/>
        </w:rPr>
        <w:t xml:space="preserve">The </w:t>
      </w:r>
      <w:r w:rsidR="00025B9B">
        <w:rPr>
          <w:rFonts w:cstheme="minorHAnsi"/>
          <w:b/>
          <w:sz w:val="22"/>
        </w:rPr>
        <w:t>p</w:t>
      </w:r>
      <w:r w:rsidRPr="00F318AE">
        <w:rPr>
          <w:rFonts w:cstheme="minorHAnsi"/>
          <w:b/>
          <w:sz w:val="22"/>
        </w:rPr>
        <w:t>roject also faced challenges relating to project design.</w:t>
      </w:r>
      <w:r w:rsidRPr="00F318AE">
        <w:rPr>
          <w:rFonts w:cstheme="minorHAnsi"/>
          <w:sz w:val="22"/>
        </w:rPr>
        <w:t xml:space="preserve"> The use of </w:t>
      </w:r>
      <w:r w:rsidR="00025B9B">
        <w:rPr>
          <w:rFonts w:cstheme="minorHAnsi"/>
          <w:sz w:val="22"/>
        </w:rPr>
        <w:t xml:space="preserve">a </w:t>
      </w:r>
      <w:r w:rsidRPr="00F318AE">
        <w:rPr>
          <w:rFonts w:cstheme="minorHAnsi"/>
          <w:sz w:val="22"/>
        </w:rPr>
        <w:t xml:space="preserve">time-based contract instead of </w:t>
      </w:r>
      <w:r w:rsidR="00025B9B">
        <w:rPr>
          <w:rFonts w:cstheme="minorHAnsi"/>
          <w:sz w:val="22"/>
        </w:rPr>
        <w:t xml:space="preserve">a </w:t>
      </w:r>
      <w:r w:rsidRPr="00F318AE">
        <w:rPr>
          <w:rFonts w:cstheme="minorHAnsi"/>
          <w:sz w:val="22"/>
        </w:rPr>
        <w:t xml:space="preserve">results-based contract meant that the </w:t>
      </w:r>
      <w:r w:rsidR="00025B9B">
        <w:rPr>
          <w:rFonts w:cstheme="minorHAnsi"/>
          <w:sz w:val="22"/>
        </w:rPr>
        <w:t>p</w:t>
      </w:r>
      <w:r w:rsidRPr="00F318AE">
        <w:rPr>
          <w:rFonts w:cstheme="minorHAnsi"/>
          <w:sz w:val="22"/>
        </w:rPr>
        <w:t>roject had to face some delays</w:t>
      </w:r>
      <w:r w:rsidR="00385995" w:rsidRPr="00F318AE">
        <w:rPr>
          <w:rFonts w:cstheme="minorHAnsi"/>
          <w:sz w:val="22"/>
        </w:rPr>
        <w:t xml:space="preserve">. </w:t>
      </w:r>
      <w:r w:rsidR="000B5431" w:rsidRPr="00F318AE">
        <w:rPr>
          <w:rFonts w:cstheme="minorHAnsi"/>
          <w:sz w:val="22"/>
        </w:rPr>
        <w:t xml:space="preserve">The </w:t>
      </w:r>
      <w:r w:rsidR="00D92E85">
        <w:rPr>
          <w:rFonts w:cstheme="minorHAnsi"/>
          <w:sz w:val="22"/>
        </w:rPr>
        <w:t xml:space="preserve">use of a </w:t>
      </w:r>
      <w:r w:rsidR="000B5431" w:rsidRPr="00F318AE">
        <w:rPr>
          <w:rFonts w:cstheme="minorHAnsi"/>
          <w:sz w:val="22"/>
        </w:rPr>
        <w:t xml:space="preserve">time-based </w:t>
      </w:r>
      <w:r w:rsidR="00661E59" w:rsidRPr="00F318AE">
        <w:rPr>
          <w:rFonts w:cstheme="minorHAnsi"/>
          <w:sz w:val="22"/>
        </w:rPr>
        <w:t>contract</w:t>
      </w:r>
      <w:r w:rsidR="000B5431" w:rsidRPr="00F318AE">
        <w:rPr>
          <w:rFonts w:cstheme="minorHAnsi"/>
          <w:sz w:val="22"/>
        </w:rPr>
        <w:t xml:space="preserve"> meant that some of the consultants hired by </w:t>
      </w:r>
      <w:r w:rsidR="00025B9B">
        <w:rPr>
          <w:rFonts w:cstheme="minorHAnsi"/>
          <w:sz w:val="22"/>
        </w:rPr>
        <w:t xml:space="preserve">the </w:t>
      </w:r>
      <w:r w:rsidR="000B5431" w:rsidRPr="00017794">
        <w:rPr>
          <w:sz w:val="22"/>
        </w:rPr>
        <w:t>PWA</w:t>
      </w:r>
      <w:r w:rsidR="000B5431" w:rsidRPr="00F318AE">
        <w:rPr>
          <w:rFonts w:cstheme="minorHAnsi"/>
          <w:sz w:val="22"/>
        </w:rPr>
        <w:t xml:space="preserve"> </w:t>
      </w:r>
      <w:r w:rsidR="00EA36D1">
        <w:rPr>
          <w:rFonts w:cstheme="minorHAnsi"/>
          <w:sz w:val="22"/>
        </w:rPr>
        <w:t>only partially delivered</w:t>
      </w:r>
      <w:r w:rsidR="000B5431" w:rsidRPr="00F318AE">
        <w:rPr>
          <w:rFonts w:cstheme="minorHAnsi"/>
          <w:sz w:val="22"/>
        </w:rPr>
        <w:t xml:space="preserve"> the</w:t>
      </w:r>
      <w:r w:rsidR="00025B9B" w:rsidRPr="00025B9B">
        <w:rPr>
          <w:rFonts w:cstheme="minorHAnsi"/>
          <w:sz w:val="22"/>
        </w:rPr>
        <w:t xml:space="preserve"> </w:t>
      </w:r>
      <w:r w:rsidR="00025B9B" w:rsidRPr="00F318AE">
        <w:rPr>
          <w:rFonts w:cstheme="minorHAnsi"/>
          <w:sz w:val="22"/>
        </w:rPr>
        <w:t>expected</w:t>
      </w:r>
      <w:r w:rsidR="000B5431" w:rsidRPr="00F318AE">
        <w:rPr>
          <w:rFonts w:cstheme="minorHAnsi"/>
          <w:sz w:val="22"/>
        </w:rPr>
        <w:t xml:space="preserve"> outputs. Furthermore, </w:t>
      </w:r>
      <w:r w:rsidR="00025B9B">
        <w:rPr>
          <w:rFonts w:cstheme="minorHAnsi"/>
          <w:sz w:val="22"/>
        </w:rPr>
        <w:t xml:space="preserve">the </w:t>
      </w:r>
      <w:r w:rsidR="000B5431" w:rsidRPr="00F318AE">
        <w:rPr>
          <w:rFonts w:cstheme="minorHAnsi"/>
          <w:sz w:val="22"/>
        </w:rPr>
        <w:t>PWA’s ability to follow</w:t>
      </w:r>
      <w:r w:rsidR="00652289">
        <w:rPr>
          <w:rFonts w:cstheme="minorHAnsi"/>
          <w:sz w:val="22"/>
        </w:rPr>
        <w:t xml:space="preserve"> </w:t>
      </w:r>
      <w:r w:rsidR="000B5431" w:rsidRPr="00F318AE">
        <w:rPr>
          <w:rFonts w:cstheme="minorHAnsi"/>
          <w:sz w:val="22"/>
        </w:rPr>
        <w:t xml:space="preserve">up on the work under this type of contract </w:t>
      </w:r>
      <w:r w:rsidR="00EA36D1">
        <w:rPr>
          <w:rFonts w:cstheme="minorHAnsi"/>
          <w:sz w:val="22"/>
        </w:rPr>
        <w:t xml:space="preserve"> and under the consultant Terms of Reference was</w:t>
      </w:r>
      <w:r w:rsidR="000B5431" w:rsidRPr="00F318AE">
        <w:rPr>
          <w:rFonts w:cstheme="minorHAnsi"/>
          <w:sz w:val="22"/>
        </w:rPr>
        <w:t xml:space="preserve"> limited, adding to challenges. </w:t>
      </w:r>
      <w:r w:rsidR="00EA36D1">
        <w:rPr>
          <w:rFonts w:cstheme="minorHAnsi"/>
          <w:sz w:val="22"/>
        </w:rPr>
        <w:t xml:space="preserve">The Terms of Reference were very </w:t>
      </w:r>
      <w:r w:rsidR="00EA36D1">
        <w:rPr>
          <w:rFonts w:cstheme="minorHAnsi"/>
          <w:sz w:val="22"/>
        </w:rPr>
        <w:lastRenderedPageBreak/>
        <w:t xml:space="preserve">general and dependent on progress of other reform programs. </w:t>
      </w:r>
      <w:r w:rsidR="000B5431" w:rsidRPr="00F318AE">
        <w:rPr>
          <w:rFonts w:cstheme="minorHAnsi"/>
          <w:sz w:val="22"/>
        </w:rPr>
        <w:t>Th</w:t>
      </w:r>
      <w:r w:rsidR="00EA36D1">
        <w:rPr>
          <w:rFonts w:cstheme="minorHAnsi"/>
          <w:sz w:val="22"/>
        </w:rPr>
        <w:t>e</w:t>
      </w:r>
      <w:r w:rsidR="000B5431" w:rsidRPr="00F318AE">
        <w:rPr>
          <w:rFonts w:cstheme="minorHAnsi"/>
          <w:sz w:val="22"/>
        </w:rPr>
        <w:t xml:space="preserve"> contract setup was changed through the engagement of the </w:t>
      </w:r>
      <w:r w:rsidR="00652289">
        <w:rPr>
          <w:color w:val="000000" w:themeColor="text1"/>
          <w:sz w:val="22"/>
        </w:rPr>
        <w:t>task team leader (</w:t>
      </w:r>
      <w:r w:rsidR="000B5431" w:rsidRPr="00F318AE">
        <w:rPr>
          <w:rFonts w:cstheme="minorHAnsi"/>
          <w:sz w:val="22"/>
        </w:rPr>
        <w:t>TTL</w:t>
      </w:r>
      <w:r w:rsidR="00652289">
        <w:rPr>
          <w:rFonts w:cstheme="minorHAnsi"/>
          <w:sz w:val="22"/>
        </w:rPr>
        <w:t>)</w:t>
      </w:r>
      <w:r w:rsidR="000B5431" w:rsidRPr="00F318AE">
        <w:rPr>
          <w:rFonts w:cstheme="minorHAnsi"/>
          <w:sz w:val="22"/>
        </w:rPr>
        <w:t xml:space="preserve"> to a </w:t>
      </w:r>
      <w:r w:rsidR="00322FD3">
        <w:rPr>
          <w:rFonts w:cstheme="minorHAnsi"/>
          <w:sz w:val="22"/>
        </w:rPr>
        <w:t>lump-sum</w:t>
      </w:r>
      <w:r w:rsidR="000B5431" w:rsidRPr="00F318AE">
        <w:rPr>
          <w:rFonts w:cstheme="minorHAnsi"/>
          <w:sz w:val="22"/>
        </w:rPr>
        <w:t xml:space="preserve"> contract, responding much better to the needs of the </w:t>
      </w:r>
      <w:r w:rsidR="00025B9B">
        <w:rPr>
          <w:rFonts w:cstheme="minorHAnsi"/>
          <w:sz w:val="22"/>
        </w:rPr>
        <w:t>p</w:t>
      </w:r>
      <w:r w:rsidR="000B5431" w:rsidRPr="00F318AE">
        <w:rPr>
          <w:rFonts w:cstheme="minorHAnsi"/>
          <w:sz w:val="22"/>
        </w:rPr>
        <w:t>roject and the ability of the PWA client to follow up.</w:t>
      </w:r>
    </w:p>
    <w:p w:rsidR="00587CE2" w:rsidRDefault="00B578E1" w:rsidP="00A63A6F">
      <w:pPr>
        <w:pStyle w:val="Normal0"/>
        <w:numPr>
          <w:ilvl w:val="0"/>
          <w:numId w:val="7"/>
        </w:numPr>
        <w:spacing w:after="240" w:line="240" w:lineRule="auto"/>
        <w:ind w:left="0" w:firstLine="0"/>
        <w:jc w:val="both"/>
        <w:rPr>
          <w:rFonts w:cstheme="minorHAnsi"/>
          <w:sz w:val="22"/>
        </w:rPr>
      </w:pPr>
      <w:r w:rsidRPr="00F318AE">
        <w:rPr>
          <w:rFonts w:cstheme="minorHAnsi"/>
          <w:b/>
          <w:sz w:val="22"/>
        </w:rPr>
        <w:t xml:space="preserve">The need for </w:t>
      </w:r>
      <w:r w:rsidR="00BB2A5E">
        <w:rPr>
          <w:rFonts w:cstheme="minorHAnsi"/>
          <w:b/>
          <w:sz w:val="22"/>
        </w:rPr>
        <w:t>AF</w:t>
      </w:r>
      <w:r w:rsidR="004579FA" w:rsidRPr="00F318AE">
        <w:rPr>
          <w:rFonts w:cstheme="minorHAnsi"/>
          <w:b/>
          <w:sz w:val="22"/>
        </w:rPr>
        <w:t xml:space="preserve"> and restructuring </w:t>
      </w:r>
      <w:r w:rsidRPr="00F318AE">
        <w:rPr>
          <w:rFonts w:cstheme="minorHAnsi"/>
          <w:b/>
          <w:sz w:val="22"/>
        </w:rPr>
        <w:t xml:space="preserve">added some </w:t>
      </w:r>
      <w:r w:rsidR="00385995" w:rsidRPr="00F318AE">
        <w:rPr>
          <w:rFonts w:cstheme="minorHAnsi"/>
          <w:b/>
          <w:sz w:val="22"/>
        </w:rPr>
        <w:t xml:space="preserve">delays </w:t>
      </w:r>
      <w:r w:rsidRPr="00F318AE">
        <w:rPr>
          <w:rFonts w:cstheme="minorHAnsi"/>
          <w:b/>
          <w:sz w:val="22"/>
        </w:rPr>
        <w:t xml:space="preserve">during the implementation of the </w:t>
      </w:r>
      <w:r w:rsidR="00950C8C">
        <w:rPr>
          <w:rFonts w:cstheme="minorHAnsi"/>
          <w:b/>
          <w:sz w:val="22"/>
        </w:rPr>
        <w:t>p</w:t>
      </w:r>
      <w:r w:rsidR="003B374C">
        <w:rPr>
          <w:rFonts w:cstheme="minorHAnsi"/>
          <w:b/>
          <w:sz w:val="22"/>
        </w:rPr>
        <w:t>r</w:t>
      </w:r>
      <w:r w:rsidRPr="00F318AE">
        <w:rPr>
          <w:rFonts w:cstheme="minorHAnsi"/>
          <w:b/>
          <w:sz w:val="22"/>
        </w:rPr>
        <w:t>oject</w:t>
      </w:r>
      <w:r w:rsidRPr="00F318AE">
        <w:rPr>
          <w:rFonts w:cstheme="minorHAnsi"/>
          <w:sz w:val="22"/>
        </w:rPr>
        <w:t>.</w:t>
      </w:r>
      <w:r w:rsidR="00385995" w:rsidRPr="00F318AE">
        <w:rPr>
          <w:rFonts w:cstheme="minorHAnsi"/>
          <w:sz w:val="22"/>
        </w:rPr>
        <w:t xml:space="preserve"> </w:t>
      </w:r>
      <w:r w:rsidR="000B5431" w:rsidRPr="00F318AE">
        <w:rPr>
          <w:rFonts w:cstheme="minorHAnsi"/>
          <w:sz w:val="22"/>
        </w:rPr>
        <w:t xml:space="preserve">The World Bank acted swiftly in responding to requests and questions from the client regarding the </w:t>
      </w:r>
      <w:r w:rsidR="00BB2A5E">
        <w:rPr>
          <w:rFonts w:cstheme="minorHAnsi"/>
          <w:sz w:val="22"/>
        </w:rPr>
        <w:t>AF</w:t>
      </w:r>
      <w:r w:rsidR="000B5431" w:rsidRPr="00F318AE">
        <w:rPr>
          <w:rFonts w:cstheme="minorHAnsi"/>
          <w:sz w:val="22"/>
        </w:rPr>
        <w:t xml:space="preserve">. The challenges posed by the restructuring were addressed by the World Bank, as also highlighted in the client </w:t>
      </w:r>
      <w:r w:rsidR="00950C8C">
        <w:rPr>
          <w:rFonts w:cstheme="minorHAnsi"/>
          <w:sz w:val="22"/>
        </w:rPr>
        <w:t>Implementation Completion and Results Reports (</w:t>
      </w:r>
      <w:r w:rsidR="000B5431" w:rsidRPr="00F318AE">
        <w:rPr>
          <w:rFonts w:cstheme="minorHAnsi"/>
          <w:sz w:val="22"/>
        </w:rPr>
        <w:t>ICRs</w:t>
      </w:r>
      <w:r w:rsidR="00950C8C">
        <w:rPr>
          <w:rFonts w:cstheme="minorHAnsi"/>
          <w:sz w:val="22"/>
        </w:rPr>
        <w:t>)</w:t>
      </w:r>
      <w:r w:rsidR="000B5431" w:rsidRPr="00F318AE">
        <w:rPr>
          <w:rFonts w:cstheme="minorHAnsi"/>
          <w:sz w:val="22"/>
        </w:rPr>
        <w:t xml:space="preserve"> (see </w:t>
      </w:r>
      <w:r w:rsidR="00950C8C">
        <w:rPr>
          <w:rFonts w:cstheme="minorHAnsi"/>
          <w:sz w:val="22"/>
        </w:rPr>
        <w:t>a</w:t>
      </w:r>
      <w:r w:rsidR="000B5431" w:rsidRPr="00F318AE">
        <w:rPr>
          <w:rFonts w:cstheme="minorHAnsi"/>
          <w:sz w:val="22"/>
        </w:rPr>
        <w:t>nnex</w:t>
      </w:r>
      <w:r w:rsidR="00906E5E">
        <w:rPr>
          <w:rFonts w:cstheme="minorHAnsi"/>
          <w:sz w:val="22"/>
        </w:rPr>
        <w:t>es</w:t>
      </w:r>
      <w:r w:rsidR="000B5431" w:rsidRPr="00F318AE">
        <w:rPr>
          <w:rFonts w:cstheme="minorHAnsi"/>
          <w:sz w:val="22"/>
        </w:rPr>
        <w:t xml:space="preserve"> </w:t>
      </w:r>
      <w:r w:rsidR="0064044E" w:rsidRPr="00F318AE">
        <w:rPr>
          <w:rFonts w:cstheme="minorHAnsi"/>
          <w:sz w:val="22"/>
        </w:rPr>
        <w:t>7 and 8</w:t>
      </w:r>
      <w:r w:rsidR="000B5431" w:rsidRPr="00F318AE">
        <w:rPr>
          <w:rFonts w:cstheme="minorHAnsi"/>
          <w:sz w:val="22"/>
        </w:rPr>
        <w:t>)</w:t>
      </w:r>
      <w:r w:rsidR="00D11EEE" w:rsidRPr="00F318AE">
        <w:rPr>
          <w:rFonts w:cstheme="minorHAnsi"/>
          <w:sz w:val="22"/>
        </w:rPr>
        <w:t>.</w:t>
      </w:r>
    </w:p>
    <w:p w:rsidR="003821C9" w:rsidRPr="00F318AE" w:rsidRDefault="00B578E1" w:rsidP="00A63A6F">
      <w:pPr>
        <w:pStyle w:val="Normal0"/>
        <w:numPr>
          <w:ilvl w:val="0"/>
          <w:numId w:val="7"/>
        </w:numPr>
        <w:spacing w:after="240" w:line="240" w:lineRule="auto"/>
        <w:ind w:left="0" w:firstLine="0"/>
        <w:jc w:val="both"/>
        <w:rPr>
          <w:rFonts w:cstheme="minorHAnsi"/>
          <w:sz w:val="22"/>
        </w:rPr>
      </w:pPr>
      <w:r w:rsidRPr="003821C9">
        <w:rPr>
          <w:rFonts w:cstheme="minorHAnsi"/>
          <w:b/>
          <w:sz w:val="22"/>
        </w:rPr>
        <w:t>Despite these challenges during implementation, the borrower achieved significant results.</w:t>
      </w:r>
      <w:r>
        <w:rPr>
          <w:rFonts w:cstheme="minorHAnsi"/>
          <w:sz w:val="22"/>
        </w:rPr>
        <w:t xml:space="preserve"> The borrower was responsive to these factors and adapted to them. Carrying out water reform, passing laws and establishing a regulatory authority such as the WSRC </w:t>
      </w:r>
      <w:r w:rsidRPr="00017794">
        <w:rPr>
          <w:sz w:val="22"/>
        </w:rPr>
        <w:t>was</w:t>
      </w:r>
      <w:r>
        <w:rPr>
          <w:rFonts w:cstheme="minorHAnsi"/>
          <w:sz w:val="22"/>
        </w:rPr>
        <w:t xml:space="preserve"> not an easy task, demonstrating the commitment and proactivity of the borrower.</w:t>
      </w:r>
    </w:p>
    <w:tbl>
      <w:tblPr>
        <w:tblStyle w:val="TableGrid"/>
        <w:tblW w:w="5000" w:type="pct"/>
        <w:tblLook w:val="04A0" w:firstRow="1" w:lastRow="0" w:firstColumn="1" w:lastColumn="0" w:noHBand="0" w:noVBand="1"/>
      </w:tblPr>
      <w:tblGrid>
        <w:gridCol w:w="9360"/>
      </w:tblGrid>
      <w:tr w:rsidR="0006032A" w:rsidTr="002574BE">
        <w:tc>
          <w:tcPr>
            <w:tcW w:w="5000" w:type="pct"/>
            <w:tcBorders>
              <w:top w:val="nil"/>
              <w:left w:val="nil"/>
              <w:bottom w:val="nil"/>
              <w:right w:val="nil"/>
            </w:tcBorders>
            <w:shd w:val="clear" w:color="auto" w:fill="E8EEF8"/>
          </w:tcPr>
          <w:p w:rsidR="00291AFE" w:rsidRDefault="00B578E1" w:rsidP="00B04F0C">
            <w:pPr>
              <w:pStyle w:val="NoSpacing"/>
              <w:keepNext/>
              <w:numPr>
                <w:ilvl w:val="0"/>
                <w:numId w:val="1"/>
              </w:numPr>
              <w:ind w:left="288" w:hanging="288"/>
              <w:outlineLvl w:val="0"/>
            </w:pPr>
            <w:bookmarkStart w:id="93" w:name="_Toc256000020"/>
            <w:bookmarkStart w:id="94" w:name="_Toc485984579"/>
            <w:bookmarkStart w:id="95" w:name="_Toc510969709"/>
            <w:bookmarkStart w:id="96" w:name="_Toc516132504"/>
            <w:r w:rsidRPr="00B04F0C">
              <w:rPr>
                <w:rFonts w:asciiTheme="minorHAnsi" w:hAnsiTheme="minorHAnsi"/>
                <w:b/>
                <w:sz w:val="22"/>
                <w:szCs w:val="22"/>
              </w:rPr>
              <w:t>BANK PERFORMANCE, COMPLIANCE ISSUES, AND RISK TO DEVELOPMENT OUTCOME</w:t>
            </w:r>
            <w:bookmarkEnd w:id="93"/>
            <w:bookmarkEnd w:id="94"/>
            <w:bookmarkEnd w:id="95"/>
            <w:bookmarkEnd w:id="96"/>
          </w:p>
        </w:tc>
      </w:tr>
      <w:tr w:rsidR="0006032A" w:rsidTr="002574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tcPr>
          <w:p w:rsidR="00291AFE" w:rsidRPr="00B04F0C" w:rsidRDefault="00B578E1" w:rsidP="00667D04">
            <w:pPr>
              <w:pStyle w:val="Heading2"/>
              <w:spacing w:before="240"/>
              <w:outlineLvl w:val="1"/>
            </w:pPr>
            <w:bookmarkStart w:id="97" w:name="_Toc256000021"/>
            <w:bookmarkStart w:id="98" w:name="_Toc433982420"/>
            <w:bookmarkStart w:id="99" w:name="_Toc460509200"/>
            <w:bookmarkStart w:id="100" w:name="_Toc485984580"/>
            <w:bookmarkStart w:id="101" w:name="_Toc510969710"/>
            <w:bookmarkStart w:id="102" w:name="_Toc516132505"/>
            <w:r w:rsidRPr="00B04F0C">
              <w:t>A. QUALITY OF MONITORING AND EVALUATION (M&amp;E)</w:t>
            </w:r>
            <w:bookmarkEnd w:id="97"/>
            <w:bookmarkEnd w:id="98"/>
            <w:bookmarkEnd w:id="99"/>
            <w:bookmarkEnd w:id="100"/>
            <w:bookmarkEnd w:id="101"/>
            <w:bookmarkEnd w:id="102"/>
          </w:p>
        </w:tc>
      </w:tr>
    </w:tbl>
    <w:p w:rsidR="00291AFE" w:rsidRDefault="00B578E1" w:rsidP="00A63A6F">
      <w:pPr>
        <w:pStyle w:val="Normal0"/>
        <w:numPr>
          <w:ilvl w:val="0"/>
          <w:numId w:val="7"/>
        </w:numPr>
        <w:spacing w:before="240" w:after="240" w:line="240" w:lineRule="auto"/>
        <w:ind w:left="0" w:firstLine="0"/>
        <w:jc w:val="both"/>
        <w:rPr>
          <w:rFonts w:eastAsia="Times New Roman" w:cstheme="minorHAnsi"/>
          <w:iCs/>
          <w:sz w:val="22"/>
        </w:rPr>
      </w:pPr>
      <w:r w:rsidRPr="00F318AE">
        <w:rPr>
          <w:rFonts w:ascii="Calibri" w:eastAsia="Times New Roman" w:hAnsi="Calibri" w:cs="Calibri"/>
          <w:b/>
          <w:iCs/>
          <w:sz w:val="22"/>
        </w:rPr>
        <w:t xml:space="preserve">M&amp;E </w:t>
      </w:r>
      <w:r w:rsidR="002574BE">
        <w:rPr>
          <w:rFonts w:ascii="Calibri" w:eastAsia="Times New Roman" w:hAnsi="Calibri" w:cs="Calibri"/>
          <w:b/>
          <w:iCs/>
          <w:sz w:val="22"/>
        </w:rPr>
        <w:t>d</w:t>
      </w:r>
      <w:r w:rsidRPr="00F318AE">
        <w:rPr>
          <w:rFonts w:ascii="Calibri" w:eastAsia="Times New Roman" w:hAnsi="Calibri" w:cs="Calibri"/>
          <w:b/>
          <w:iCs/>
          <w:sz w:val="22"/>
        </w:rPr>
        <w:t>esign.</w:t>
      </w:r>
      <w:r w:rsidRPr="00F318AE">
        <w:rPr>
          <w:rFonts w:ascii="Calibri" w:eastAsia="Times New Roman" w:hAnsi="Calibri" w:cs="Calibri"/>
          <w:iCs/>
          <w:sz w:val="22"/>
        </w:rPr>
        <w:t xml:space="preserve"> The </w:t>
      </w:r>
      <w:r w:rsidR="002574BE">
        <w:rPr>
          <w:rFonts w:ascii="Calibri" w:eastAsia="Times New Roman" w:hAnsi="Calibri" w:cs="Calibri"/>
          <w:iCs/>
          <w:sz w:val="22"/>
        </w:rPr>
        <w:t>p</w:t>
      </w:r>
      <w:r w:rsidRPr="00F318AE">
        <w:rPr>
          <w:rFonts w:ascii="Calibri" w:eastAsia="Times New Roman" w:hAnsi="Calibri" w:cs="Calibri"/>
          <w:iCs/>
          <w:sz w:val="22"/>
        </w:rPr>
        <w:t xml:space="preserve">roject’s </w:t>
      </w:r>
      <w:r w:rsidR="002574BE">
        <w:rPr>
          <w:rFonts w:ascii="Calibri" w:eastAsia="Times New Roman" w:hAnsi="Calibri" w:cs="Calibri"/>
          <w:iCs/>
          <w:sz w:val="22"/>
        </w:rPr>
        <w:t>R</w:t>
      </w:r>
      <w:r w:rsidRPr="00F318AE">
        <w:rPr>
          <w:rFonts w:ascii="Calibri" w:eastAsia="Times New Roman" w:hAnsi="Calibri" w:cs="Calibri"/>
          <w:iCs/>
          <w:sz w:val="22"/>
        </w:rPr>
        <w:t xml:space="preserve">esult </w:t>
      </w:r>
      <w:r w:rsidR="002574BE">
        <w:rPr>
          <w:rFonts w:ascii="Calibri" w:eastAsia="Times New Roman" w:hAnsi="Calibri" w:cs="Calibri"/>
          <w:iCs/>
          <w:sz w:val="22"/>
        </w:rPr>
        <w:t>F</w:t>
      </w:r>
      <w:r w:rsidRPr="00F318AE">
        <w:rPr>
          <w:rFonts w:ascii="Calibri" w:eastAsia="Times New Roman" w:hAnsi="Calibri" w:cs="Calibri"/>
          <w:iCs/>
          <w:sz w:val="22"/>
        </w:rPr>
        <w:t xml:space="preserve">ramework and indicators </w:t>
      </w:r>
      <w:r w:rsidR="002574BE">
        <w:rPr>
          <w:rFonts w:ascii="Calibri" w:eastAsia="Times New Roman" w:hAnsi="Calibri" w:cs="Calibri"/>
          <w:iCs/>
          <w:sz w:val="22"/>
        </w:rPr>
        <w:t>were not</w:t>
      </w:r>
      <w:r w:rsidRPr="00F318AE">
        <w:rPr>
          <w:rFonts w:ascii="Calibri" w:eastAsia="Times New Roman" w:hAnsi="Calibri" w:cs="Calibri"/>
          <w:iCs/>
          <w:sz w:val="22"/>
        </w:rPr>
        <w:t xml:space="preserve"> clearly formulated during project preparation. The Result</w:t>
      </w:r>
      <w:r w:rsidR="002574BE">
        <w:rPr>
          <w:rFonts w:ascii="Calibri" w:eastAsia="Times New Roman" w:hAnsi="Calibri" w:cs="Calibri"/>
          <w:iCs/>
          <w:sz w:val="22"/>
        </w:rPr>
        <w:t>s</w:t>
      </w:r>
      <w:r w:rsidRPr="00F318AE">
        <w:rPr>
          <w:rFonts w:ascii="Calibri" w:eastAsia="Times New Roman" w:hAnsi="Calibri" w:cs="Calibri"/>
          <w:iCs/>
          <w:sz w:val="22"/>
        </w:rPr>
        <w:t xml:space="preserve"> Framework in </w:t>
      </w:r>
      <w:r>
        <w:rPr>
          <w:rFonts w:ascii="Calibri" w:eastAsia="Times New Roman" w:hAnsi="Calibri" w:cs="Calibri"/>
          <w:iCs/>
          <w:sz w:val="22"/>
        </w:rPr>
        <w:t xml:space="preserve">the </w:t>
      </w:r>
      <w:r w:rsidRPr="00F318AE">
        <w:rPr>
          <w:rFonts w:ascii="Calibri" w:eastAsia="Times New Roman" w:hAnsi="Calibri" w:cs="Calibri"/>
          <w:iCs/>
          <w:sz w:val="22"/>
        </w:rPr>
        <w:t>PAD</w:t>
      </w:r>
      <w:r w:rsidR="002574BE" w:rsidRPr="002574BE">
        <w:rPr>
          <w:rFonts w:ascii="Calibri" w:eastAsia="Times New Roman" w:hAnsi="Calibri" w:cs="Calibri"/>
          <w:iCs/>
          <w:sz w:val="22"/>
        </w:rPr>
        <w:t xml:space="preserve"> </w:t>
      </w:r>
      <w:r w:rsidR="002574BE" w:rsidRPr="00F318AE">
        <w:rPr>
          <w:rFonts w:ascii="Calibri" w:eastAsia="Times New Roman" w:hAnsi="Calibri" w:cs="Calibri"/>
          <w:iCs/>
          <w:sz w:val="22"/>
        </w:rPr>
        <w:t>mostly</w:t>
      </w:r>
      <w:r w:rsidRPr="00F318AE">
        <w:rPr>
          <w:rFonts w:ascii="Calibri" w:eastAsia="Times New Roman" w:hAnsi="Calibri" w:cs="Calibri"/>
          <w:iCs/>
          <w:sz w:val="22"/>
        </w:rPr>
        <w:t xml:space="preserve"> included output-based indicators for both </w:t>
      </w:r>
      <w:r w:rsidR="002574BE">
        <w:rPr>
          <w:rFonts w:ascii="Calibri" w:eastAsia="Times New Roman" w:hAnsi="Calibri" w:cs="Calibri"/>
          <w:iCs/>
          <w:sz w:val="22"/>
        </w:rPr>
        <w:t>PDOs</w:t>
      </w:r>
      <w:r w:rsidRPr="00F318AE">
        <w:rPr>
          <w:rFonts w:ascii="Calibri" w:eastAsia="Times New Roman" w:hAnsi="Calibri" w:cs="Calibri"/>
          <w:iCs/>
          <w:sz w:val="22"/>
        </w:rPr>
        <w:t xml:space="preserve"> and </w:t>
      </w:r>
      <w:r w:rsidR="00AC1DA3">
        <w:rPr>
          <w:rFonts w:ascii="Calibri" w:eastAsia="Times New Roman" w:hAnsi="Calibri" w:cs="Calibri"/>
          <w:iCs/>
          <w:sz w:val="22"/>
        </w:rPr>
        <w:t>i</w:t>
      </w:r>
      <w:r w:rsidRPr="00F318AE">
        <w:rPr>
          <w:rFonts w:ascii="Calibri" w:eastAsia="Times New Roman" w:hAnsi="Calibri" w:cs="Calibri"/>
          <w:iCs/>
          <w:sz w:val="22"/>
        </w:rPr>
        <w:t xml:space="preserve">ntermediate </w:t>
      </w:r>
      <w:r w:rsidR="00AC1DA3">
        <w:rPr>
          <w:rFonts w:ascii="Calibri" w:eastAsia="Times New Roman" w:hAnsi="Calibri" w:cs="Calibri"/>
          <w:iCs/>
          <w:sz w:val="22"/>
        </w:rPr>
        <w:t>r</w:t>
      </w:r>
      <w:r w:rsidRPr="00F318AE">
        <w:rPr>
          <w:rFonts w:ascii="Calibri" w:eastAsia="Times New Roman" w:hAnsi="Calibri" w:cs="Calibri"/>
          <w:iCs/>
          <w:sz w:val="22"/>
        </w:rPr>
        <w:t xml:space="preserve">esults. Thus, the result chain toward the contribution to capacity improvement and behavioral transformation of </w:t>
      </w:r>
      <w:r w:rsidR="002574BE">
        <w:rPr>
          <w:rFonts w:ascii="Calibri" w:eastAsia="Times New Roman" w:hAnsi="Calibri" w:cs="Calibri"/>
          <w:iCs/>
          <w:sz w:val="22"/>
        </w:rPr>
        <w:t xml:space="preserve">the </w:t>
      </w:r>
      <w:r w:rsidRPr="00F318AE">
        <w:rPr>
          <w:rFonts w:ascii="Calibri" w:eastAsia="Times New Roman" w:hAnsi="Calibri" w:cs="Calibri"/>
          <w:iCs/>
          <w:sz w:val="22"/>
        </w:rPr>
        <w:t xml:space="preserve">PWA in planning, monitoring, and regulating the water sector </w:t>
      </w:r>
      <w:r w:rsidRPr="00291AFE">
        <w:rPr>
          <w:rFonts w:cstheme="minorHAnsi"/>
          <w:sz w:val="22"/>
        </w:rPr>
        <w:t>was</w:t>
      </w:r>
      <w:r w:rsidRPr="00F318AE">
        <w:rPr>
          <w:rFonts w:ascii="Calibri" w:eastAsia="Times New Roman" w:hAnsi="Calibri" w:cs="Calibri"/>
          <w:iCs/>
          <w:sz w:val="22"/>
        </w:rPr>
        <w:t xml:space="preserve"> not clear. At </w:t>
      </w:r>
      <w:r w:rsidR="002574BE">
        <w:rPr>
          <w:rFonts w:ascii="Calibri" w:eastAsia="Times New Roman" w:hAnsi="Calibri" w:cs="Calibri"/>
          <w:iCs/>
          <w:sz w:val="22"/>
        </w:rPr>
        <w:t xml:space="preserve">the </w:t>
      </w:r>
      <w:r w:rsidRPr="00F318AE">
        <w:rPr>
          <w:rFonts w:ascii="Calibri" w:eastAsia="Times New Roman" w:hAnsi="Calibri" w:cs="Calibri"/>
          <w:iCs/>
          <w:sz w:val="22"/>
        </w:rPr>
        <w:t xml:space="preserve">preparation stage, </w:t>
      </w:r>
      <w:r w:rsidR="002574BE">
        <w:rPr>
          <w:rFonts w:ascii="Calibri" w:eastAsia="Times New Roman" w:hAnsi="Calibri" w:cs="Calibri"/>
          <w:iCs/>
          <w:sz w:val="22"/>
        </w:rPr>
        <w:t xml:space="preserve">the </w:t>
      </w:r>
      <w:r w:rsidRPr="00F318AE">
        <w:rPr>
          <w:rFonts w:ascii="Calibri" w:eastAsia="Times New Roman" w:hAnsi="Calibri" w:cs="Calibri"/>
          <w:iCs/>
          <w:sz w:val="22"/>
        </w:rPr>
        <w:t>project</w:t>
      </w:r>
      <w:r w:rsidR="002574BE">
        <w:rPr>
          <w:rFonts w:ascii="Calibri" w:eastAsia="Times New Roman" w:hAnsi="Calibri" w:cs="Calibri"/>
          <w:iCs/>
          <w:sz w:val="22"/>
        </w:rPr>
        <w:t>’</w:t>
      </w:r>
      <w:r w:rsidRPr="00F318AE">
        <w:rPr>
          <w:rFonts w:ascii="Calibri" w:eastAsia="Times New Roman" w:hAnsi="Calibri" w:cs="Calibri"/>
          <w:iCs/>
          <w:sz w:val="22"/>
        </w:rPr>
        <w:t xml:space="preserve">s activities were not identified clearly. </w:t>
      </w:r>
      <w:r w:rsidR="002574BE">
        <w:rPr>
          <w:rFonts w:ascii="Calibri" w:eastAsia="Times New Roman" w:hAnsi="Calibri" w:cs="Calibri"/>
          <w:iCs/>
          <w:sz w:val="22"/>
        </w:rPr>
        <w:t>The a</w:t>
      </w:r>
      <w:r w:rsidRPr="00F318AE">
        <w:rPr>
          <w:rFonts w:ascii="Calibri" w:eastAsia="Times New Roman" w:hAnsi="Calibri" w:cs="Calibri"/>
          <w:iCs/>
          <w:sz w:val="22"/>
        </w:rPr>
        <w:t xml:space="preserve">ctivities were </w:t>
      </w:r>
      <w:r w:rsidR="002574BE">
        <w:rPr>
          <w:rFonts w:ascii="Calibri" w:eastAsia="Times New Roman" w:hAnsi="Calibri" w:cs="Calibri"/>
          <w:iCs/>
          <w:sz w:val="22"/>
        </w:rPr>
        <w:t xml:space="preserve">mainly </w:t>
      </w:r>
      <w:r w:rsidRPr="00F318AE">
        <w:rPr>
          <w:rFonts w:ascii="Calibri" w:eastAsia="Times New Roman" w:hAnsi="Calibri" w:cs="Calibri"/>
          <w:iCs/>
          <w:sz w:val="22"/>
        </w:rPr>
        <w:t xml:space="preserve">based on indicative action plans of </w:t>
      </w:r>
      <w:r w:rsidR="00AC1DA3">
        <w:rPr>
          <w:rFonts w:ascii="Calibri" w:eastAsia="Times New Roman" w:hAnsi="Calibri" w:cs="Calibri"/>
          <w:iCs/>
          <w:sz w:val="22"/>
        </w:rPr>
        <w:t xml:space="preserve">the </w:t>
      </w:r>
      <w:r w:rsidRPr="00F318AE">
        <w:rPr>
          <w:rFonts w:ascii="Calibri" w:eastAsia="Times New Roman" w:hAnsi="Calibri" w:cs="Calibri"/>
          <w:iCs/>
          <w:sz w:val="22"/>
        </w:rPr>
        <w:t xml:space="preserve">TPAT, which </w:t>
      </w:r>
      <w:r w:rsidR="00A2315E">
        <w:rPr>
          <w:rFonts w:ascii="Calibri" w:eastAsia="Times New Roman" w:hAnsi="Calibri" w:cs="Calibri"/>
          <w:iCs/>
          <w:sz w:val="22"/>
        </w:rPr>
        <w:t xml:space="preserve">were written in generic terms. </w:t>
      </w:r>
      <w:r w:rsidRPr="00F318AE">
        <w:rPr>
          <w:rFonts w:ascii="Calibri" w:eastAsia="Times New Roman" w:hAnsi="Calibri" w:cs="Calibri"/>
          <w:iCs/>
          <w:sz w:val="22"/>
        </w:rPr>
        <w:t xml:space="preserve">Therefore, </w:t>
      </w:r>
      <w:r>
        <w:rPr>
          <w:rFonts w:ascii="Calibri" w:eastAsia="Times New Roman" w:hAnsi="Calibri" w:cs="Calibri"/>
          <w:iCs/>
          <w:sz w:val="22"/>
        </w:rPr>
        <w:t xml:space="preserve">the </w:t>
      </w:r>
      <w:r w:rsidRPr="00017794">
        <w:rPr>
          <w:sz w:val="22"/>
        </w:rPr>
        <w:t>PAD</w:t>
      </w:r>
      <w:r w:rsidRPr="00F318AE">
        <w:rPr>
          <w:rFonts w:ascii="Calibri" w:eastAsia="Times New Roman" w:hAnsi="Calibri" w:cs="Calibri"/>
          <w:iCs/>
          <w:sz w:val="22"/>
        </w:rPr>
        <w:t xml:space="preserve"> did not </w:t>
      </w:r>
      <w:r w:rsidR="00AC1DA3">
        <w:rPr>
          <w:rFonts w:ascii="Calibri" w:eastAsia="Times New Roman" w:hAnsi="Calibri" w:cs="Calibri"/>
          <w:iCs/>
          <w:sz w:val="22"/>
        </w:rPr>
        <w:t xml:space="preserve">clearly </w:t>
      </w:r>
      <w:r w:rsidRPr="00F318AE">
        <w:rPr>
          <w:rFonts w:ascii="Calibri" w:eastAsia="Times New Roman" w:hAnsi="Calibri" w:cs="Calibri"/>
          <w:iCs/>
          <w:sz w:val="22"/>
        </w:rPr>
        <w:t xml:space="preserve">define a unit of measure for almost all indicators. </w:t>
      </w:r>
      <w:r w:rsidRPr="00F318AE">
        <w:rPr>
          <w:rFonts w:eastAsia="Times New Roman" w:cstheme="minorHAnsi"/>
          <w:iCs/>
          <w:sz w:val="22"/>
        </w:rPr>
        <w:t xml:space="preserve">The </w:t>
      </w:r>
      <w:r w:rsidR="00AC1DA3">
        <w:rPr>
          <w:rFonts w:eastAsia="Times New Roman" w:cstheme="minorHAnsi"/>
          <w:iCs/>
          <w:sz w:val="22"/>
        </w:rPr>
        <w:t>R</w:t>
      </w:r>
      <w:r w:rsidRPr="00F318AE">
        <w:rPr>
          <w:rFonts w:eastAsia="Times New Roman" w:cstheme="minorHAnsi"/>
          <w:iCs/>
          <w:sz w:val="22"/>
        </w:rPr>
        <w:t>esult</w:t>
      </w:r>
      <w:r w:rsidR="00AC1DA3">
        <w:rPr>
          <w:rFonts w:eastAsia="Times New Roman" w:cstheme="minorHAnsi"/>
          <w:iCs/>
          <w:sz w:val="22"/>
        </w:rPr>
        <w:t>s</w:t>
      </w:r>
      <w:r w:rsidRPr="00F318AE">
        <w:rPr>
          <w:rFonts w:eastAsia="Times New Roman" w:cstheme="minorHAnsi"/>
          <w:iCs/>
          <w:sz w:val="22"/>
        </w:rPr>
        <w:t xml:space="preserve"> </w:t>
      </w:r>
      <w:r w:rsidR="00AC1DA3">
        <w:rPr>
          <w:rFonts w:eastAsia="Times New Roman" w:cstheme="minorHAnsi"/>
          <w:iCs/>
          <w:sz w:val="22"/>
        </w:rPr>
        <w:t>F</w:t>
      </w:r>
      <w:r w:rsidRPr="00F318AE">
        <w:rPr>
          <w:rFonts w:eastAsia="Times New Roman" w:cstheme="minorHAnsi"/>
          <w:iCs/>
          <w:sz w:val="22"/>
        </w:rPr>
        <w:t xml:space="preserve">ramework </w:t>
      </w:r>
      <w:r w:rsidR="00AC1DA3">
        <w:rPr>
          <w:rFonts w:eastAsia="Times New Roman" w:cstheme="minorHAnsi"/>
          <w:iCs/>
          <w:sz w:val="22"/>
        </w:rPr>
        <w:t xml:space="preserve">was </w:t>
      </w:r>
      <w:r w:rsidRPr="00F318AE">
        <w:rPr>
          <w:rFonts w:eastAsia="Times New Roman" w:cstheme="minorHAnsi"/>
          <w:iCs/>
          <w:sz w:val="22"/>
        </w:rPr>
        <w:t xml:space="preserve">revised in </w:t>
      </w:r>
      <w:r w:rsidR="00AC1DA3">
        <w:rPr>
          <w:rFonts w:eastAsia="Times New Roman" w:cstheme="minorHAnsi"/>
          <w:iCs/>
          <w:sz w:val="22"/>
        </w:rPr>
        <w:t xml:space="preserve">the </w:t>
      </w:r>
      <w:r w:rsidR="00BB2A5E">
        <w:rPr>
          <w:rFonts w:eastAsia="Times New Roman" w:cstheme="minorHAnsi"/>
          <w:iCs/>
          <w:sz w:val="22"/>
        </w:rPr>
        <w:t>AF</w:t>
      </w:r>
      <w:r w:rsidRPr="00F318AE">
        <w:rPr>
          <w:rFonts w:eastAsia="Times New Roman" w:cstheme="minorHAnsi"/>
          <w:iCs/>
          <w:sz w:val="22"/>
        </w:rPr>
        <w:t xml:space="preserve"> </w:t>
      </w:r>
      <w:r>
        <w:rPr>
          <w:rFonts w:eastAsia="Times New Roman" w:cstheme="minorHAnsi"/>
          <w:iCs/>
          <w:sz w:val="22"/>
        </w:rPr>
        <w:t xml:space="preserve">Project </w:t>
      </w:r>
      <w:r w:rsidRPr="00F318AE">
        <w:rPr>
          <w:rFonts w:eastAsia="Times New Roman" w:cstheme="minorHAnsi"/>
          <w:iCs/>
          <w:sz w:val="22"/>
        </w:rPr>
        <w:t>Paper, which specified more clearly the PDO and i</w:t>
      </w:r>
      <w:r w:rsidR="003C7E9B">
        <w:rPr>
          <w:rFonts w:eastAsia="Times New Roman" w:cstheme="minorHAnsi"/>
          <w:iCs/>
          <w:sz w:val="22"/>
        </w:rPr>
        <w:t>nter</w:t>
      </w:r>
      <w:r w:rsidRPr="00F318AE">
        <w:rPr>
          <w:rFonts w:eastAsia="Times New Roman" w:cstheme="minorHAnsi"/>
          <w:iCs/>
          <w:sz w:val="22"/>
        </w:rPr>
        <w:t xml:space="preserve">mediate result indicators. However, the </w:t>
      </w:r>
      <w:r w:rsidR="00EA2A7C">
        <w:rPr>
          <w:rFonts w:eastAsia="Times New Roman" w:cstheme="minorHAnsi"/>
          <w:iCs/>
          <w:sz w:val="22"/>
        </w:rPr>
        <w:t>weakness</w:t>
      </w:r>
      <w:r w:rsidR="00FA7E9A" w:rsidRPr="00F318AE">
        <w:rPr>
          <w:rFonts w:eastAsia="Times New Roman" w:cstheme="minorHAnsi"/>
          <w:iCs/>
          <w:sz w:val="22"/>
        </w:rPr>
        <w:t xml:space="preserve"> </w:t>
      </w:r>
      <w:r w:rsidRPr="00F318AE">
        <w:rPr>
          <w:rFonts w:eastAsia="Times New Roman" w:cstheme="minorHAnsi"/>
          <w:iCs/>
          <w:sz w:val="22"/>
        </w:rPr>
        <w:t xml:space="preserve">of </w:t>
      </w:r>
      <w:r w:rsidR="00AC1DA3">
        <w:rPr>
          <w:rFonts w:eastAsia="Times New Roman" w:cstheme="minorHAnsi"/>
          <w:iCs/>
          <w:sz w:val="22"/>
        </w:rPr>
        <w:t xml:space="preserve">the </w:t>
      </w:r>
      <w:r w:rsidRPr="00F318AE">
        <w:rPr>
          <w:rFonts w:eastAsia="Times New Roman" w:cstheme="minorHAnsi"/>
          <w:iCs/>
          <w:sz w:val="22"/>
        </w:rPr>
        <w:t xml:space="preserve">output-based indicators </w:t>
      </w:r>
      <w:r w:rsidR="00EA2A7C">
        <w:rPr>
          <w:rFonts w:eastAsia="Times New Roman" w:cstheme="minorHAnsi"/>
          <w:iCs/>
          <w:sz w:val="22"/>
        </w:rPr>
        <w:t xml:space="preserve">(including lack of unit of measure) </w:t>
      </w:r>
      <w:r w:rsidRPr="00F318AE">
        <w:rPr>
          <w:rFonts w:eastAsia="Times New Roman" w:cstheme="minorHAnsi"/>
          <w:iCs/>
          <w:sz w:val="22"/>
        </w:rPr>
        <w:t>was not addressed.</w:t>
      </w:r>
    </w:p>
    <w:p w:rsidR="00291AFE" w:rsidRDefault="00B578E1" w:rsidP="00A63A6F">
      <w:pPr>
        <w:pStyle w:val="Normal0"/>
        <w:numPr>
          <w:ilvl w:val="0"/>
          <w:numId w:val="7"/>
        </w:numPr>
        <w:spacing w:after="240" w:line="240" w:lineRule="auto"/>
        <w:ind w:left="0" w:firstLine="0"/>
        <w:jc w:val="both"/>
        <w:rPr>
          <w:rFonts w:cstheme="minorHAnsi"/>
          <w:iCs/>
          <w:color w:val="000000" w:themeColor="text1"/>
          <w:sz w:val="22"/>
        </w:rPr>
      </w:pPr>
      <w:r w:rsidRPr="00F318AE">
        <w:rPr>
          <w:rFonts w:cstheme="minorHAnsi"/>
          <w:b/>
          <w:iCs/>
          <w:color w:val="000000" w:themeColor="text1"/>
          <w:sz w:val="22"/>
        </w:rPr>
        <w:t>M&amp;E implementation.</w:t>
      </w:r>
      <w:r w:rsidRPr="00F318AE">
        <w:rPr>
          <w:rFonts w:cstheme="minorHAnsi"/>
          <w:iCs/>
          <w:color w:val="000000" w:themeColor="text1"/>
          <w:sz w:val="22"/>
        </w:rPr>
        <w:t xml:space="preserve"> The </w:t>
      </w:r>
      <w:r w:rsidRPr="00291AFE">
        <w:rPr>
          <w:rFonts w:cstheme="minorHAnsi"/>
          <w:sz w:val="22"/>
        </w:rPr>
        <w:t>detailed</w:t>
      </w:r>
      <w:r w:rsidRPr="00F318AE">
        <w:rPr>
          <w:rFonts w:cstheme="minorHAnsi"/>
          <w:iCs/>
          <w:color w:val="000000" w:themeColor="text1"/>
          <w:sz w:val="22"/>
        </w:rPr>
        <w:t xml:space="preserve"> design and implementation of the M&amp;E system was done by an M&amp;E expert. Three M&amp;E mission</w:t>
      </w:r>
      <w:r w:rsidR="00AC1DA3">
        <w:rPr>
          <w:rFonts w:cstheme="minorHAnsi"/>
          <w:iCs/>
          <w:color w:val="000000" w:themeColor="text1"/>
          <w:sz w:val="22"/>
        </w:rPr>
        <w:t>s</w:t>
      </w:r>
      <w:r w:rsidRPr="00F318AE">
        <w:rPr>
          <w:rFonts w:cstheme="minorHAnsi"/>
          <w:iCs/>
          <w:color w:val="000000" w:themeColor="text1"/>
          <w:sz w:val="22"/>
        </w:rPr>
        <w:t xml:space="preserve"> were conducted by the consultant, the first one aimed at having direct M&amp;E for the program. The other two missions were </w:t>
      </w:r>
      <w:r w:rsidRPr="00017794">
        <w:rPr>
          <w:sz w:val="22"/>
        </w:rPr>
        <w:t>oriented</w:t>
      </w:r>
      <w:r w:rsidRPr="00F318AE">
        <w:rPr>
          <w:rFonts w:cstheme="minorHAnsi"/>
          <w:iCs/>
          <w:color w:val="000000" w:themeColor="text1"/>
          <w:sz w:val="22"/>
        </w:rPr>
        <w:t xml:space="preserve"> to build capacity of the </w:t>
      </w:r>
      <w:r w:rsidR="00AC1DA3">
        <w:rPr>
          <w:rFonts w:cstheme="minorHAnsi"/>
          <w:iCs/>
          <w:color w:val="000000" w:themeColor="text1"/>
          <w:sz w:val="22"/>
        </w:rPr>
        <w:t>m</w:t>
      </w:r>
      <w:r w:rsidRPr="00F318AE">
        <w:rPr>
          <w:rFonts w:cstheme="minorHAnsi"/>
          <w:iCs/>
          <w:color w:val="000000" w:themeColor="text1"/>
          <w:sz w:val="22"/>
        </w:rPr>
        <w:t xml:space="preserve">onitoring </w:t>
      </w:r>
      <w:r w:rsidR="00AC1DA3">
        <w:rPr>
          <w:rFonts w:cstheme="minorHAnsi"/>
          <w:iCs/>
          <w:color w:val="000000" w:themeColor="text1"/>
          <w:sz w:val="22"/>
        </w:rPr>
        <w:t>u</w:t>
      </w:r>
      <w:r w:rsidRPr="00F318AE">
        <w:rPr>
          <w:rFonts w:cstheme="minorHAnsi"/>
          <w:iCs/>
          <w:color w:val="000000" w:themeColor="text1"/>
          <w:sz w:val="22"/>
        </w:rPr>
        <w:t xml:space="preserve">nit to implement M&amp;E. The monitoring role expanded to the </w:t>
      </w:r>
      <w:r w:rsidR="00AC1DA3">
        <w:rPr>
          <w:rFonts w:cstheme="minorHAnsi"/>
          <w:iCs/>
          <w:color w:val="000000" w:themeColor="text1"/>
          <w:sz w:val="22"/>
        </w:rPr>
        <w:t xml:space="preserve">PWA’s </w:t>
      </w:r>
      <w:r w:rsidRPr="00F318AE">
        <w:rPr>
          <w:rFonts w:cstheme="minorHAnsi"/>
          <w:iCs/>
          <w:color w:val="000000" w:themeColor="text1"/>
          <w:sz w:val="22"/>
        </w:rPr>
        <w:t>strategic plan and implementation plan as well.</w:t>
      </w:r>
    </w:p>
    <w:p w:rsidR="00291AFE" w:rsidRDefault="00B578E1" w:rsidP="00A63A6F">
      <w:pPr>
        <w:pStyle w:val="Normal0"/>
        <w:numPr>
          <w:ilvl w:val="0"/>
          <w:numId w:val="7"/>
        </w:numPr>
        <w:spacing w:after="240" w:line="240" w:lineRule="auto"/>
        <w:ind w:left="0" w:firstLine="0"/>
        <w:jc w:val="both"/>
        <w:rPr>
          <w:rFonts w:cstheme="minorHAnsi"/>
          <w:iCs/>
          <w:sz w:val="22"/>
        </w:rPr>
      </w:pPr>
      <w:r w:rsidRPr="00F318AE">
        <w:rPr>
          <w:rFonts w:cstheme="minorHAnsi"/>
          <w:b/>
          <w:iCs/>
          <w:sz w:val="22"/>
        </w:rPr>
        <w:t>M&amp;E utilization.</w:t>
      </w:r>
      <w:r w:rsidRPr="00F318AE">
        <w:rPr>
          <w:rFonts w:cstheme="minorHAnsi"/>
          <w:iCs/>
          <w:sz w:val="22"/>
        </w:rPr>
        <w:t xml:space="preserve"> </w:t>
      </w:r>
      <w:r w:rsidR="00AC1DA3">
        <w:rPr>
          <w:rFonts w:cstheme="minorHAnsi"/>
          <w:iCs/>
          <w:sz w:val="22"/>
        </w:rPr>
        <w:t xml:space="preserve">The </w:t>
      </w:r>
      <w:r w:rsidRPr="00F318AE">
        <w:rPr>
          <w:rFonts w:cstheme="minorHAnsi"/>
          <w:iCs/>
          <w:sz w:val="22"/>
        </w:rPr>
        <w:t xml:space="preserve">PWA </w:t>
      </w:r>
      <w:r w:rsidR="00AC1DA3">
        <w:rPr>
          <w:rFonts w:cstheme="minorHAnsi"/>
          <w:iCs/>
          <w:sz w:val="22"/>
        </w:rPr>
        <w:t xml:space="preserve">closely </w:t>
      </w:r>
      <w:r w:rsidRPr="00F318AE">
        <w:rPr>
          <w:rFonts w:cstheme="minorHAnsi"/>
          <w:iCs/>
          <w:sz w:val="22"/>
        </w:rPr>
        <w:t xml:space="preserve">monitored all outputs produced and used </w:t>
      </w:r>
      <w:r w:rsidR="003C7E9B">
        <w:rPr>
          <w:rFonts w:cstheme="minorHAnsi"/>
          <w:iCs/>
          <w:sz w:val="22"/>
        </w:rPr>
        <w:t xml:space="preserve">the </w:t>
      </w:r>
      <w:r w:rsidRPr="00F318AE">
        <w:rPr>
          <w:rFonts w:cstheme="minorHAnsi"/>
          <w:iCs/>
          <w:sz w:val="22"/>
        </w:rPr>
        <w:t xml:space="preserve">developed technical regulations, guidelines, </w:t>
      </w:r>
      <w:r w:rsidR="00AC1DA3">
        <w:rPr>
          <w:rFonts w:cstheme="minorHAnsi"/>
          <w:iCs/>
          <w:sz w:val="22"/>
        </w:rPr>
        <w:t xml:space="preserve">and </w:t>
      </w:r>
      <w:r w:rsidRPr="00F318AE">
        <w:rPr>
          <w:rFonts w:cstheme="minorHAnsi"/>
          <w:iCs/>
          <w:sz w:val="22"/>
        </w:rPr>
        <w:t xml:space="preserve">standards in their daily work. The Project Steering Committee (PSC) headed by </w:t>
      </w:r>
      <w:r w:rsidR="00AC1DA3">
        <w:rPr>
          <w:rFonts w:cstheme="minorHAnsi"/>
          <w:iCs/>
          <w:sz w:val="22"/>
        </w:rPr>
        <w:t xml:space="preserve">the </w:t>
      </w:r>
      <w:r w:rsidRPr="00F318AE">
        <w:rPr>
          <w:rFonts w:cstheme="minorHAnsi"/>
          <w:iCs/>
          <w:sz w:val="22"/>
        </w:rPr>
        <w:t xml:space="preserve">PWA Minister was formed at the beginning of the program. </w:t>
      </w:r>
      <w:r w:rsidR="00AC1DA3">
        <w:rPr>
          <w:rFonts w:cstheme="minorHAnsi"/>
          <w:iCs/>
          <w:sz w:val="22"/>
        </w:rPr>
        <w:t xml:space="preserve">The </w:t>
      </w:r>
      <w:r w:rsidRPr="00F318AE">
        <w:rPr>
          <w:rFonts w:cstheme="minorHAnsi"/>
          <w:iCs/>
          <w:sz w:val="22"/>
        </w:rPr>
        <w:t xml:space="preserve">PSC was reviewing and validating the project progress and providing needed support. Upon </w:t>
      </w:r>
      <w:r w:rsidR="009B7D9A" w:rsidRPr="00F318AE">
        <w:rPr>
          <w:rFonts w:cstheme="minorHAnsi"/>
          <w:iCs/>
          <w:sz w:val="22"/>
        </w:rPr>
        <w:t xml:space="preserve">endorsement </w:t>
      </w:r>
      <w:r w:rsidR="009B7D9A">
        <w:rPr>
          <w:rFonts w:cstheme="minorHAnsi"/>
          <w:iCs/>
          <w:sz w:val="22"/>
        </w:rPr>
        <w:t xml:space="preserve">of the </w:t>
      </w:r>
      <w:r w:rsidR="00B2502B">
        <w:rPr>
          <w:rFonts w:cstheme="minorHAnsi"/>
          <w:iCs/>
          <w:sz w:val="22"/>
        </w:rPr>
        <w:t>W</w:t>
      </w:r>
      <w:r w:rsidRPr="00F318AE">
        <w:rPr>
          <w:rFonts w:cstheme="minorHAnsi"/>
          <w:iCs/>
          <w:sz w:val="22"/>
        </w:rPr>
        <w:t xml:space="preserve">ater </w:t>
      </w:r>
      <w:r w:rsidR="00B2502B">
        <w:rPr>
          <w:rFonts w:cstheme="minorHAnsi"/>
          <w:iCs/>
          <w:sz w:val="22"/>
        </w:rPr>
        <w:t>L</w:t>
      </w:r>
      <w:r w:rsidRPr="00F318AE">
        <w:rPr>
          <w:rFonts w:cstheme="minorHAnsi"/>
          <w:iCs/>
          <w:sz w:val="22"/>
        </w:rPr>
        <w:t xml:space="preserve">aw and change </w:t>
      </w:r>
      <w:r w:rsidR="009B7D9A">
        <w:rPr>
          <w:rFonts w:cstheme="minorHAnsi"/>
          <w:iCs/>
          <w:sz w:val="22"/>
        </w:rPr>
        <w:t xml:space="preserve">of the </w:t>
      </w:r>
      <w:r w:rsidRPr="00F318AE">
        <w:rPr>
          <w:rFonts w:cstheme="minorHAnsi"/>
          <w:iCs/>
          <w:sz w:val="22"/>
        </w:rPr>
        <w:t xml:space="preserve">PWA head, </w:t>
      </w:r>
      <w:r w:rsidR="009B7D9A">
        <w:rPr>
          <w:rFonts w:cstheme="minorHAnsi"/>
          <w:iCs/>
          <w:sz w:val="22"/>
        </w:rPr>
        <w:t xml:space="preserve">the </w:t>
      </w:r>
      <w:r w:rsidRPr="00F318AE">
        <w:rPr>
          <w:rFonts w:cstheme="minorHAnsi"/>
          <w:iCs/>
          <w:sz w:val="22"/>
        </w:rPr>
        <w:t xml:space="preserve">PSC followed up to the reform on </w:t>
      </w:r>
      <w:r w:rsidR="009B7D9A">
        <w:rPr>
          <w:rFonts w:cstheme="minorHAnsi"/>
          <w:iCs/>
          <w:sz w:val="22"/>
        </w:rPr>
        <w:t xml:space="preserve">a </w:t>
      </w:r>
      <w:r w:rsidRPr="00291AFE">
        <w:rPr>
          <w:rFonts w:cstheme="minorHAnsi"/>
          <w:sz w:val="22"/>
        </w:rPr>
        <w:t>daily</w:t>
      </w:r>
      <w:r w:rsidRPr="00F318AE">
        <w:rPr>
          <w:rFonts w:cstheme="minorHAnsi"/>
          <w:iCs/>
          <w:sz w:val="22"/>
        </w:rPr>
        <w:t xml:space="preserve"> basis. </w:t>
      </w:r>
      <w:r w:rsidR="009B7D9A">
        <w:rPr>
          <w:rFonts w:cstheme="minorHAnsi"/>
          <w:iCs/>
          <w:sz w:val="22"/>
        </w:rPr>
        <w:t xml:space="preserve">The </w:t>
      </w:r>
      <w:r w:rsidRPr="00F318AE">
        <w:rPr>
          <w:rFonts w:cstheme="minorHAnsi"/>
          <w:iCs/>
          <w:sz w:val="22"/>
        </w:rPr>
        <w:t xml:space="preserve">WSRC’s </w:t>
      </w:r>
      <w:r w:rsidR="009B7D9A">
        <w:rPr>
          <w:rFonts w:cstheme="minorHAnsi"/>
          <w:iCs/>
          <w:sz w:val="22"/>
        </w:rPr>
        <w:t>m</w:t>
      </w:r>
      <w:r w:rsidRPr="00F318AE">
        <w:rPr>
          <w:rFonts w:cstheme="minorHAnsi"/>
          <w:iCs/>
          <w:sz w:val="22"/>
        </w:rPr>
        <w:t xml:space="preserve">onitoring </w:t>
      </w:r>
      <w:r w:rsidR="009B7D9A">
        <w:rPr>
          <w:rFonts w:cstheme="minorHAnsi"/>
          <w:iCs/>
          <w:sz w:val="22"/>
        </w:rPr>
        <w:t>r</w:t>
      </w:r>
      <w:r w:rsidRPr="00F318AE">
        <w:rPr>
          <w:rFonts w:cstheme="minorHAnsi"/>
          <w:iCs/>
          <w:sz w:val="22"/>
        </w:rPr>
        <w:t xml:space="preserve">eports on </w:t>
      </w:r>
      <w:r w:rsidR="008D27C7">
        <w:rPr>
          <w:rFonts w:cstheme="minorHAnsi"/>
          <w:iCs/>
          <w:sz w:val="22"/>
        </w:rPr>
        <w:t>SP</w:t>
      </w:r>
      <w:r w:rsidRPr="00F318AE">
        <w:rPr>
          <w:rFonts w:cstheme="minorHAnsi"/>
          <w:iCs/>
          <w:sz w:val="22"/>
        </w:rPr>
        <w:t>s</w:t>
      </w:r>
      <w:r w:rsidR="009B7D9A">
        <w:rPr>
          <w:rFonts w:cstheme="minorHAnsi"/>
          <w:iCs/>
          <w:sz w:val="22"/>
        </w:rPr>
        <w:t>’</w:t>
      </w:r>
      <w:r w:rsidRPr="00F318AE">
        <w:rPr>
          <w:rFonts w:cstheme="minorHAnsi"/>
          <w:iCs/>
          <w:sz w:val="22"/>
        </w:rPr>
        <w:t xml:space="preserve"> performance </w:t>
      </w:r>
      <w:r w:rsidR="00061FAD">
        <w:rPr>
          <w:rFonts w:cstheme="minorHAnsi"/>
          <w:iCs/>
          <w:sz w:val="22"/>
        </w:rPr>
        <w:t>are</w:t>
      </w:r>
      <w:r w:rsidRPr="00F318AE">
        <w:rPr>
          <w:rFonts w:cstheme="minorHAnsi"/>
          <w:iCs/>
          <w:sz w:val="22"/>
        </w:rPr>
        <w:t xml:space="preserve"> developed and published annually.</w:t>
      </w:r>
      <w:r w:rsidR="00061FAD">
        <w:rPr>
          <w:rFonts w:cstheme="minorHAnsi"/>
          <w:iCs/>
          <w:sz w:val="22"/>
        </w:rPr>
        <w:t xml:space="preserve"> The </w:t>
      </w:r>
      <w:r w:rsidRPr="00F318AE">
        <w:rPr>
          <w:rFonts w:cstheme="minorHAnsi"/>
          <w:iCs/>
          <w:sz w:val="22"/>
        </w:rPr>
        <w:t xml:space="preserve">WSRC </w:t>
      </w:r>
      <w:r w:rsidR="00061FAD">
        <w:rPr>
          <w:rFonts w:cstheme="minorHAnsi"/>
          <w:iCs/>
          <w:sz w:val="22"/>
        </w:rPr>
        <w:t>i</w:t>
      </w:r>
      <w:r w:rsidRPr="00F318AE">
        <w:rPr>
          <w:rFonts w:cstheme="minorHAnsi"/>
          <w:iCs/>
          <w:sz w:val="22"/>
        </w:rPr>
        <w:t>nformation system, a localized version of IBNET, was prepared. However, the operations of monitoring reports and information systems relied on donors’ financing, which raised question</w:t>
      </w:r>
      <w:r w:rsidR="00061FAD">
        <w:rPr>
          <w:rFonts w:cstheme="minorHAnsi"/>
          <w:iCs/>
          <w:sz w:val="22"/>
        </w:rPr>
        <w:t>s about</w:t>
      </w:r>
      <w:r w:rsidRPr="00F318AE">
        <w:rPr>
          <w:rFonts w:cstheme="minorHAnsi"/>
          <w:iCs/>
          <w:sz w:val="22"/>
        </w:rPr>
        <w:t xml:space="preserve"> their long-term sustainability.</w:t>
      </w:r>
    </w:p>
    <w:p w:rsidR="00291AFE" w:rsidRDefault="00B578E1" w:rsidP="00A63A6F">
      <w:pPr>
        <w:pStyle w:val="Normal0"/>
        <w:numPr>
          <w:ilvl w:val="0"/>
          <w:numId w:val="7"/>
        </w:numPr>
        <w:spacing w:after="240" w:line="240" w:lineRule="auto"/>
        <w:ind w:left="0" w:firstLine="0"/>
        <w:jc w:val="both"/>
        <w:rPr>
          <w:rFonts w:eastAsia="Times New Roman" w:cstheme="minorHAnsi"/>
          <w:iCs/>
          <w:sz w:val="22"/>
        </w:rPr>
      </w:pPr>
      <w:r w:rsidRPr="00F318AE">
        <w:rPr>
          <w:rFonts w:cstheme="minorHAnsi"/>
          <w:b/>
          <w:iCs/>
          <w:color w:val="000000" w:themeColor="text1"/>
          <w:sz w:val="22"/>
        </w:rPr>
        <w:lastRenderedPageBreak/>
        <w:t>Rating for quality of M&amp;E</w:t>
      </w:r>
      <w:r w:rsidRPr="00F318AE">
        <w:rPr>
          <w:rFonts w:cstheme="minorHAnsi"/>
          <w:iCs/>
          <w:color w:val="000000" w:themeColor="text1"/>
          <w:sz w:val="22"/>
        </w:rPr>
        <w:t>. As there were some shortcomings in the M&amp;E system’s design, implementation</w:t>
      </w:r>
      <w:r w:rsidR="00061FAD">
        <w:rPr>
          <w:rFonts w:cstheme="minorHAnsi"/>
          <w:iCs/>
          <w:color w:val="000000" w:themeColor="text1"/>
          <w:sz w:val="22"/>
        </w:rPr>
        <w:t>,</w:t>
      </w:r>
      <w:r w:rsidRPr="00F318AE">
        <w:rPr>
          <w:rFonts w:cstheme="minorHAnsi"/>
          <w:iCs/>
          <w:color w:val="000000" w:themeColor="text1"/>
          <w:sz w:val="22"/>
        </w:rPr>
        <w:t xml:space="preserve"> and </w:t>
      </w:r>
      <w:r w:rsidRPr="00017794">
        <w:rPr>
          <w:sz w:val="22"/>
        </w:rPr>
        <w:t>utilization</w:t>
      </w:r>
      <w:r w:rsidRPr="00F318AE">
        <w:rPr>
          <w:rFonts w:cstheme="minorHAnsi"/>
          <w:iCs/>
          <w:color w:val="000000" w:themeColor="text1"/>
          <w:sz w:val="22"/>
        </w:rPr>
        <w:t xml:space="preserve">, the overall quality of the M&amp;E is rated </w:t>
      </w:r>
      <w:r w:rsidR="00061FAD">
        <w:rPr>
          <w:rFonts w:cstheme="minorHAnsi"/>
          <w:b/>
          <w:iCs/>
          <w:color w:val="000000" w:themeColor="text1"/>
          <w:sz w:val="22"/>
        </w:rPr>
        <w:t>M</w:t>
      </w:r>
      <w:r w:rsidRPr="00F318AE">
        <w:rPr>
          <w:rFonts w:cstheme="minorHAnsi"/>
          <w:b/>
          <w:iCs/>
          <w:color w:val="000000" w:themeColor="text1"/>
          <w:sz w:val="22"/>
        </w:rPr>
        <w:t>odest</w:t>
      </w:r>
      <w:r w:rsidRPr="00F318AE">
        <w:rPr>
          <w:rFonts w:cstheme="minorHAnsi"/>
          <w:iCs/>
          <w:color w:val="000000" w:themeColor="text1"/>
          <w:sz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A12B3B">
        <w:trPr>
          <w:trHeight w:val="80"/>
        </w:trPr>
        <w:tc>
          <w:tcPr>
            <w:tcW w:w="5000" w:type="pct"/>
          </w:tcPr>
          <w:p w:rsidR="003615CB" w:rsidRPr="00E32C06" w:rsidRDefault="00B578E1" w:rsidP="007C5F3D">
            <w:pPr>
              <w:pStyle w:val="Heading2"/>
              <w:outlineLvl w:val="1"/>
              <w:rPr>
                <w:sz w:val="24"/>
              </w:rPr>
            </w:pPr>
            <w:bookmarkStart w:id="103" w:name="_Toc256000025"/>
            <w:bookmarkStart w:id="104" w:name="_Toc433982421"/>
            <w:bookmarkStart w:id="105" w:name="_Toc460509201"/>
            <w:bookmarkStart w:id="106" w:name="_Toc485984581"/>
            <w:bookmarkStart w:id="107" w:name="_Toc510969711"/>
            <w:bookmarkStart w:id="108" w:name="_Toc516132506"/>
            <w:r w:rsidRPr="00B04F0C">
              <w:rPr>
                <w:bCs/>
              </w:rPr>
              <w:t>B.</w:t>
            </w:r>
            <w:r w:rsidRPr="00B04F0C">
              <w:t xml:space="preserve"> </w:t>
            </w:r>
            <w:r w:rsidR="007A3348" w:rsidRPr="007C5F3D">
              <w:t>ENVIRONMENTAL</w:t>
            </w:r>
            <w:r w:rsidR="007A3348" w:rsidRPr="00B04F0C">
              <w:t>, SOCIAL, AND FIDUCIARY COMPLIANCE</w:t>
            </w:r>
            <w:bookmarkEnd w:id="103"/>
            <w:bookmarkEnd w:id="104"/>
            <w:bookmarkEnd w:id="105"/>
            <w:bookmarkEnd w:id="106"/>
            <w:bookmarkEnd w:id="107"/>
            <w:bookmarkEnd w:id="108"/>
          </w:p>
        </w:tc>
      </w:tr>
    </w:tbl>
    <w:p w:rsidR="003A0B1C" w:rsidRPr="00F318AE" w:rsidRDefault="00B578E1" w:rsidP="00A63A6F">
      <w:pPr>
        <w:pStyle w:val="Normal0"/>
        <w:numPr>
          <w:ilvl w:val="0"/>
          <w:numId w:val="7"/>
        </w:numPr>
        <w:spacing w:before="240" w:after="240" w:line="240" w:lineRule="auto"/>
        <w:ind w:left="0" w:firstLine="0"/>
        <w:jc w:val="both"/>
        <w:rPr>
          <w:bCs/>
          <w:sz w:val="22"/>
        </w:rPr>
      </w:pPr>
      <w:r w:rsidRPr="00F318AE">
        <w:rPr>
          <w:b/>
          <w:bCs/>
          <w:sz w:val="22"/>
        </w:rPr>
        <w:t>Environmental and social safeguards.</w:t>
      </w:r>
      <w:r w:rsidRPr="00F318AE">
        <w:rPr>
          <w:bCs/>
          <w:sz w:val="22"/>
        </w:rPr>
        <w:t xml:space="preserve"> The </w:t>
      </w:r>
      <w:r w:rsidR="003C7E9B">
        <w:rPr>
          <w:bCs/>
          <w:sz w:val="22"/>
        </w:rPr>
        <w:t>p</w:t>
      </w:r>
      <w:r w:rsidRPr="00F318AE">
        <w:rPr>
          <w:bCs/>
          <w:sz w:val="22"/>
        </w:rPr>
        <w:t>roject was classified as environment category C and did not trigger any environmental safeguards</w:t>
      </w:r>
      <w:r w:rsidR="00362CF0" w:rsidRPr="00F318AE">
        <w:rPr>
          <w:bCs/>
          <w:sz w:val="22"/>
        </w:rPr>
        <w:t xml:space="preserve"> or any social </w:t>
      </w:r>
      <w:r w:rsidR="00362CF0" w:rsidRPr="00291AFE">
        <w:rPr>
          <w:rFonts w:cstheme="minorHAnsi"/>
          <w:sz w:val="22"/>
        </w:rPr>
        <w:t>safeguards</w:t>
      </w:r>
      <w:r w:rsidRPr="00F318AE">
        <w:rPr>
          <w:bCs/>
          <w:sz w:val="22"/>
        </w:rPr>
        <w:t>.</w:t>
      </w:r>
      <w:r w:rsidR="009E58AC" w:rsidRPr="00F318AE">
        <w:rPr>
          <w:bCs/>
          <w:sz w:val="22"/>
        </w:rPr>
        <w:t xml:space="preserve"> </w:t>
      </w:r>
    </w:p>
    <w:p w:rsidR="000577F5" w:rsidRPr="00F318AE" w:rsidRDefault="00B578E1" w:rsidP="00A63A6F">
      <w:pPr>
        <w:pStyle w:val="Normal0"/>
        <w:numPr>
          <w:ilvl w:val="0"/>
          <w:numId w:val="7"/>
        </w:numPr>
        <w:spacing w:after="240" w:line="240" w:lineRule="auto"/>
        <w:ind w:left="0" w:firstLine="0"/>
        <w:jc w:val="both"/>
        <w:rPr>
          <w:b/>
          <w:bCs/>
          <w:sz w:val="22"/>
        </w:rPr>
      </w:pPr>
      <w:r w:rsidRPr="00F318AE">
        <w:rPr>
          <w:b/>
          <w:bCs/>
          <w:sz w:val="22"/>
        </w:rPr>
        <w:t>Financial management.</w:t>
      </w:r>
      <w:r w:rsidR="00932E10" w:rsidRPr="00F318AE">
        <w:rPr>
          <w:b/>
          <w:bCs/>
          <w:sz w:val="22"/>
        </w:rPr>
        <w:t xml:space="preserve"> </w:t>
      </w:r>
      <w:r w:rsidRPr="00F318AE">
        <w:rPr>
          <w:bCs/>
          <w:sz w:val="22"/>
        </w:rPr>
        <w:t xml:space="preserve">The project performance in </w:t>
      </w:r>
      <w:r w:rsidR="00906E5E">
        <w:rPr>
          <w:bCs/>
          <w:sz w:val="22"/>
        </w:rPr>
        <w:t xml:space="preserve">financial management </w:t>
      </w:r>
      <w:r w:rsidRPr="00F318AE">
        <w:rPr>
          <w:bCs/>
          <w:sz w:val="22"/>
        </w:rPr>
        <w:t xml:space="preserve">was rated Satisfactory during the life of the </w:t>
      </w:r>
      <w:r w:rsidR="00061FAD">
        <w:rPr>
          <w:bCs/>
          <w:sz w:val="22"/>
        </w:rPr>
        <w:t>p</w:t>
      </w:r>
      <w:r w:rsidRPr="00F318AE">
        <w:rPr>
          <w:bCs/>
          <w:sz w:val="22"/>
        </w:rPr>
        <w:t xml:space="preserve">roject </w:t>
      </w:r>
      <w:r w:rsidR="00061FAD">
        <w:rPr>
          <w:bCs/>
          <w:sz w:val="22"/>
        </w:rPr>
        <w:t xml:space="preserve">mainly </w:t>
      </w:r>
      <w:r w:rsidRPr="00F318AE">
        <w:rPr>
          <w:bCs/>
          <w:sz w:val="22"/>
        </w:rPr>
        <w:t xml:space="preserve">due to the </w:t>
      </w:r>
      <w:r w:rsidR="00061FAD">
        <w:rPr>
          <w:bCs/>
          <w:sz w:val="22"/>
        </w:rPr>
        <w:t xml:space="preserve">PWA’s </w:t>
      </w:r>
      <w:r w:rsidRPr="00F318AE">
        <w:rPr>
          <w:bCs/>
          <w:sz w:val="22"/>
        </w:rPr>
        <w:t xml:space="preserve">familiarity with financial management systems of the </w:t>
      </w:r>
      <w:r w:rsidR="00061FAD">
        <w:rPr>
          <w:bCs/>
          <w:sz w:val="22"/>
        </w:rPr>
        <w:t>p</w:t>
      </w:r>
      <w:r w:rsidRPr="00F318AE">
        <w:rPr>
          <w:bCs/>
          <w:sz w:val="22"/>
        </w:rPr>
        <w:t xml:space="preserve">roject and satisfactory performance of the financial management specialist at the </w:t>
      </w:r>
      <w:r w:rsidR="00061FAD" w:rsidRPr="00802B50">
        <w:rPr>
          <w:rFonts w:ascii="Calibri" w:eastAsia="Times New Roman" w:hAnsi="Calibri" w:cs="Calibri"/>
          <w:sz w:val="22"/>
          <w:lang w:eastAsia="es-CO"/>
        </w:rPr>
        <w:t>Project Management Unit</w:t>
      </w:r>
      <w:r w:rsidR="00061FAD" w:rsidRPr="00F318AE">
        <w:rPr>
          <w:bCs/>
          <w:sz w:val="22"/>
        </w:rPr>
        <w:t xml:space="preserve"> </w:t>
      </w:r>
      <w:r w:rsidR="00061FAD">
        <w:rPr>
          <w:bCs/>
          <w:sz w:val="22"/>
        </w:rPr>
        <w:t>(</w:t>
      </w:r>
      <w:r w:rsidRPr="00F318AE">
        <w:rPr>
          <w:bCs/>
          <w:sz w:val="22"/>
        </w:rPr>
        <w:t>PMU</w:t>
      </w:r>
      <w:r w:rsidR="00061FAD">
        <w:rPr>
          <w:bCs/>
          <w:sz w:val="22"/>
        </w:rPr>
        <w:t>)</w:t>
      </w:r>
      <w:r w:rsidRPr="00F318AE">
        <w:rPr>
          <w:bCs/>
          <w:sz w:val="22"/>
        </w:rPr>
        <w:t xml:space="preserve">. Regular supervision missions have confirmed that the </w:t>
      </w:r>
      <w:r w:rsidR="00061FAD">
        <w:rPr>
          <w:bCs/>
          <w:sz w:val="22"/>
        </w:rPr>
        <w:t>p</w:t>
      </w:r>
      <w:r w:rsidRPr="00F318AE">
        <w:rPr>
          <w:bCs/>
          <w:sz w:val="22"/>
        </w:rPr>
        <w:t xml:space="preserve">roject has complied with the obligations of financial reporting and auditing: audit reports and </w:t>
      </w:r>
      <w:r w:rsidR="00061FAD">
        <w:rPr>
          <w:bCs/>
          <w:sz w:val="22"/>
        </w:rPr>
        <w:t>i</w:t>
      </w:r>
      <w:r w:rsidRPr="00F318AE">
        <w:rPr>
          <w:bCs/>
          <w:sz w:val="22"/>
        </w:rPr>
        <w:t xml:space="preserve">nterim </w:t>
      </w:r>
      <w:r w:rsidR="00061FAD">
        <w:rPr>
          <w:bCs/>
          <w:sz w:val="22"/>
        </w:rPr>
        <w:t>f</w:t>
      </w:r>
      <w:r w:rsidRPr="00F318AE">
        <w:rPr>
          <w:bCs/>
          <w:sz w:val="22"/>
        </w:rPr>
        <w:t xml:space="preserve">inancial </w:t>
      </w:r>
      <w:r w:rsidR="00061FAD">
        <w:rPr>
          <w:bCs/>
          <w:sz w:val="22"/>
        </w:rPr>
        <w:t>r</w:t>
      </w:r>
      <w:r w:rsidRPr="00F318AE">
        <w:rPr>
          <w:bCs/>
          <w:sz w:val="22"/>
        </w:rPr>
        <w:t xml:space="preserve">eports (IFRs) were submitted to the </w:t>
      </w:r>
      <w:r w:rsidR="00061FAD">
        <w:rPr>
          <w:bCs/>
          <w:sz w:val="22"/>
        </w:rPr>
        <w:t xml:space="preserve">World </w:t>
      </w:r>
      <w:r w:rsidRPr="00F318AE">
        <w:rPr>
          <w:bCs/>
          <w:sz w:val="22"/>
        </w:rPr>
        <w:t xml:space="preserve">Bank on time and there were no overdue external audit </w:t>
      </w:r>
      <w:r w:rsidRPr="00017794">
        <w:rPr>
          <w:sz w:val="22"/>
        </w:rPr>
        <w:t>reports</w:t>
      </w:r>
      <w:r w:rsidRPr="00F318AE">
        <w:rPr>
          <w:bCs/>
          <w:sz w:val="22"/>
        </w:rPr>
        <w:t xml:space="preserve"> and IFRs at the time of the project closing date. All audit reports and IFRs were reviewed by the </w:t>
      </w:r>
      <w:r w:rsidR="00D42F3F">
        <w:rPr>
          <w:bCs/>
          <w:sz w:val="22"/>
        </w:rPr>
        <w:t xml:space="preserve">World </w:t>
      </w:r>
      <w:r w:rsidRPr="00F318AE">
        <w:rPr>
          <w:bCs/>
          <w:sz w:val="22"/>
        </w:rPr>
        <w:t xml:space="preserve">Bank and comments provided to the </w:t>
      </w:r>
      <w:r w:rsidR="00D42F3F">
        <w:rPr>
          <w:bCs/>
          <w:sz w:val="22"/>
        </w:rPr>
        <w:t>G</w:t>
      </w:r>
      <w:r w:rsidRPr="00F318AE">
        <w:rPr>
          <w:bCs/>
          <w:sz w:val="22"/>
        </w:rPr>
        <w:t>overnment.</w:t>
      </w:r>
    </w:p>
    <w:p w:rsidR="0076778C" w:rsidRPr="00F318AE" w:rsidRDefault="00B578E1" w:rsidP="00A63A6F">
      <w:pPr>
        <w:pStyle w:val="Normal0"/>
        <w:numPr>
          <w:ilvl w:val="0"/>
          <w:numId w:val="7"/>
        </w:numPr>
        <w:spacing w:after="240" w:line="240" w:lineRule="auto"/>
        <w:ind w:left="0" w:firstLine="0"/>
        <w:jc w:val="both"/>
        <w:rPr>
          <w:b/>
          <w:bCs/>
          <w:sz w:val="22"/>
        </w:rPr>
      </w:pPr>
      <w:r w:rsidRPr="00F318AE">
        <w:rPr>
          <w:b/>
          <w:bCs/>
          <w:sz w:val="22"/>
        </w:rPr>
        <w:t>Procurement</w:t>
      </w:r>
      <w:r w:rsidR="00932E10" w:rsidRPr="00F318AE">
        <w:rPr>
          <w:b/>
          <w:bCs/>
          <w:sz w:val="22"/>
        </w:rPr>
        <w:t xml:space="preserve">. </w:t>
      </w:r>
      <w:r w:rsidR="0088149B" w:rsidRPr="00F318AE">
        <w:rPr>
          <w:bCs/>
          <w:sz w:val="22"/>
        </w:rPr>
        <w:t xml:space="preserve">Procurement </w:t>
      </w:r>
      <w:r w:rsidR="00D42F3F">
        <w:rPr>
          <w:bCs/>
          <w:sz w:val="22"/>
        </w:rPr>
        <w:t>did not have</w:t>
      </w:r>
      <w:r w:rsidR="009C12A8" w:rsidRPr="00F318AE">
        <w:rPr>
          <w:bCs/>
          <w:sz w:val="22"/>
        </w:rPr>
        <w:t xml:space="preserve"> any issues reported during the project period.</w:t>
      </w:r>
      <w:r w:rsidR="00816C81">
        <w:rPr>
          <w:bCs/>
          <w:sz w:val="22"/>
        </w:rPr>
        <w:t xml:space="preserve"> Procurement </w:t>
      </w:r>
      <w:r w:rsidR="00A53C74">
        <w:rPr>
          <w:bCs/>
          <w:sz w:val="22"/>
        </w:rPr>
        <w:t xml:space="preserve">performance </w:t>
      </w:r>
      <w:r w:rsidR="00816C81">
        <w:rPr>
          <w:bCs/>
          <w:sz w:val="22"/>
        </w:rPr>
        <w:t xml:space="preserve">was rated </w:t>
      </w:r>
      <w:r w:rsidR="00D42F3F">
        <w:rPr>
          <w:bCs/>
          <w:sz w:val="22"/>
        </w:rPr>
        <w:t>S</w:t>
      </w:r>
      <w:r w:rsidR="00E9700C">
        <w:rPr>
          <w:bCs/>
          <w:sz w:val="22"/>
        </w:rPr>
        <w:t xml:space="preserve">atisfactory throughout project implementation, as the </w:t>
      </w:r>
      <w:r w:rsidR="00D42F3F">
        <w:rPr>
          <w:bCs/>
          <w:sz w:val="22"/>
        </w:rPr>
        <w:t>c</w:t>
      </w:r>
      <w:r w:rsidR="00E9700C">
        <w:rPr>
          <w:bCs/>
          <w:sz w:val="22"/>
        </w:rPr>
        <w:t xml:space="preserve">lient </w:t>
      </w:r>
      <w:r w:rsidR="00D42F3F">
        <w:rPr>
          <w:bCs/>
          <w:sz w:val="22"/>
        </w:rPr>
        <w:t>complied</w:t>
      </w:r>
      <w:r w:rsidR="00E9700C">
        <w:rPr>
          <w:bCs/>
          <w:sz w:val="22"/>
        </w:rPr>
        <w:t xml:space="preserve"> with the </w:t>
      </w:r>
      <w:r w:rsidR="00A53C74">
        <w:rPr>
          <w:bCs/>
          <w:sz w:val="22"/>
        </w:rPr>
        <w:t>World B</w:t>
      </w:r>
      <w:r w:rsidR="00E9700C">
        <w:rPr>
          <w:bCs/>
          <w:sz w:val="22"/>
        </w:rPr>
        <w:t xml:space="preserve">ank </w:t>
      </w:r>
      <w:r w:rsidR="00E9700C" w:rsidRPr="00017794">
        <w:rPr>
          <w:sz w:val="22"/>
        </w:rPr>
        <w:t>procurement</w:t>
      </w:r>
      <w:r w:rsidR="00E9700C">
        <w:rPr>
          <w:bCs/>
          <w:sz w:val="22"/>
        </w:rPr>
        <w:t xml:space="preserve"> </w:t>
      </w:r>
      <w:r w:rsidR="00E9700C" w:rsidRPr="00291AFE">
        <w:rPr>
          <w:rFonts w:cstheme="minorHAnsi"/>
          <w:sz w:val="22"/>
        </w:rPr>
        <w:t>policies</w:t>
      </w:r>
      <w:r w:rsidR="00E9700C">
        <w:rPr>
          <w:bCs/>
          <w:sz w:val="22"/>
        </w:rPr>
        <w:t xml:space="preserve"> and procedures. </w:t>
      </w:r>
      <w:r w:rsidR="00D42F3F">
        <w:rPr>
          <w:bCs/>
          <w:sz w:val="22"/>
        </w:rPr>
        <w:t xml:space="preserve">The </w:t>
      </w:r>
      <w:r w:rsidR="00E9700C">
        <w:rPr>
          <w:bCs/>
          <w:sz w:val="22"/>
        </w:rPr>
        <w:t xml:space="preserve">PWA and the WSRC procurement capacity </w:t>
      </w:r>
      <w:r w:rsidR="00DA2805">
        <w:rPr>
          <w:bCs/>
          <w:sz w:val="22"/>
        </w:rPr>
        <w:t>has</w:t>
      </w:r>
      <w:r w:rsidR="00E9700C">
        <w:rPr>
          <w:bCs/>
          <w:sz w:val="22"/>
        </w:rPr>
        <w:t xml:space="preserve"> improved </w:t>
      </w:r>
      <w:r w:rsidR="00DA2805">
        <w:rPr>
          <w:bCs/>
          <w:sz w:val="22"/>
        </w:rPr>
        <w:t>throughout</w:t>
      </w:r>
      <w:r w:rsidR="00E9700C">
        <w:rPr>
          <w:bCs/>
          <w:sz w:val="22"/>
        </w:rPr>
        <w:t xml:space="preserve"> project implementation, </w:t>
      </w:r>
      <w:r w:rsidR="00A53C74">
        <w:rPr>
          <w:bCs/>
          <w:sz w:val="22"/>
        </w:rPr>
        <w:t>with</w:t>
      </w:r>
      <w:r w:rsidR="00E9700C">
        <w:rPr>
          <w:bCs/>
          <w:sz w:val="22"/>
        </w:rPr>
        <w:t xml:space="preserve"> the World Bank </w:t>
      </w:r>
      <w:r w:rsidR="00A53C74">
        <w:rPr>
          <w:bCs/>
          <w:sz w:val="22"/>
        </w:rPr>
        <w:t>team</w:t>
      </w:r>
      <w:r w:rsidR="00E9700C">
        <w:rPr>
          <w:bCs/>
          <w:sz w:val="22"/>
        </w:rPr>
        <w:t xml:space="preserve"> </w:t>
      </w:r>
      <w:r w:rsidR="00A72A1C">
        <w:rPr>
          <w:bCs/>
          <w:sz w:val="22"/>
        </w:rPr>
        <w:t>providing continuous</w:t>
      </w:r>
      <w:r w:rsidR="00E9700C">
        <w:rPr>
          <w:bCs/>
          <w:sz w:val="22"/>
        </w:rPr>
        <w:t xml:space="preserve"> support and </w:t>
      </w:r>
      <w:r w:rsidR="00A53C74">
        <w:rPr>
          <w:bCs/>
          <w:sz w:val="22"/>
        </w:rPr>
        <w:t>hand-holding.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A12B3B">
        <w:trPr>
          <w:trHeight w:val="108"/>
        </w:trPr>
        <w:tc>
          <w:tcPr>
            <w:tcW w:w="5000" w:type="pct"/>
          </w:tcPr>
          <w:p w:rsidR="003615CB" w:rsidRPr="00B04F0C" w:rsidRDefault="00B578E1" w:rsidP="007C5F3D">
            <w:pPr>
              <w:pStyle w:val="Heading2"/>
              <w:outlineLvl w:val="1"/>
            </w:pPr>
            <w:bookmarkStart w:id="109" w:name="_Toc256000026"/>
            <w:bookmarkStart w:id="110" w:name="_Toc433982422"/>
            <w:bookmarkStart w:id="111" w:name="_Toc460509202"/>
            <w:bookmarkStart w:id="112" w:name="_Toc485984582"/>
            <w:bookmarkStart w:id="113" w:name="_Toc510969712"/>
            <w:bookmarkStart w:id="114" w:name="_Toc516132507"/>
            <w:r w:rsidRPr="00B04F0C">
              <w:rPr>
                <w:bCs/>
              </w:rPr>
              <w:t>C.</w:t>
            </w:r>
            <w:r w:rsidRPr="00B04F0C">
              <w:t xml:space="preserve"> </w:t>
            </w:r>
            <w:r w:rsidR="007A3348" w:rsidRPr="00B04F0C">
              <w:t xml:space="preserve">BANK </w:t>
            </w:r>
            <w:r w:rsidR="007A3348" w:rsidRPr="007C5F3D">
              <w:t>PERFORMANCE</w:t>
            </w:r>
            <w:bookmarkEnd w:id="109"/>
            <w:bookmarkEnd w:id="110"/>
            <w:bookmarkEnd w:id="111"/>
            <w:bookmarkEnd w:id="112"/>
            <w:bookmarkEnd w:id="113"/>
            <w:bookmarkEnd w:id="114"/>
          </w:p>
        </w:tc>
      </w:tr>
    </w:tbl>
    <w:p w:rsidR="00A12B3B" w:rsidRPr="00A12B3B" w:rsidRDefault="00B578E1" w:rsidP="00A12B3B">
      <w:pPr>
        <w:pStyle w:val="Normal0"/>
        <w:spacing w:before="240" w:after="240" w:line="240" w:lineRule="auto"/>
        <w:jc w:val="both"/>
        <w:rPr>
          <w:color w:val="000000" w:themeColor="text1"/>
          <w:sz w:val="22"/>
        </w:rPr>
      </w:pPr>
      <w:bookmarkStart w:id="115" w:name="_Toc480984885"/>
      <w:bookmarkStart w:id="116" w:name="_Toc510969713"/>
      <w:r w:rsidRPr="00273143">
        <w:rPr>
          <w:b/>
          <w:sz w:val="22"/>
        </w:rPr>
        <w:t>Quality at Entry</w:t>
      </w:r>
      <w:bookmarkEnd w:id="115"/>
      <w:bookmarkEnd w:id="116"/>
    </w:p>
    <w:p w:rsidR="00291AFE" w:rsidRDefault="00B578E1" w:rsidP="00A63A6F">
      <w:pPr>
        <w:pStyle w:val="Normal0"/>
        <w:numPr>
          <w:ilvl w:val="0"/>
          <w:numId w:val="7"/>
        </w:numPr>
        <w:spacing w:before="240" w:after="240" w:line="240" w:lineRule="auto"/>
        <w:ind w:left="0" w:firstLine="0"/>
        <w:jc w:val="both"/>
        <w:rPr>
          <w:color w:val="000000" w:themeColor="text1"/>
          <w:sz w:val="22"/>
        </w:rPr>
      </w:pPr>
      <w:r w:rsidRPr="00F318AE">
        <w:rPr>
          <w:b/>
          <w:color w:val="000000" w:themeColor="text1"/>
          <w:sz w:val="22"/>
        </w:rPr>
        <w:t xml:space="preserve">The strategic relevance of the </w:t>
      </w:r>
      <w:r w:rsidR="00D42F3F">
        <w:rPr>
          <w:b/>
          <w:color w:val="000000" w:themeColor="text1"/>
          <w:sz w:val="22"/>
        </w:rPr>
        <w:t>p</w:t>
      </w:r>
      <w:r w:rsidRPr="00F318AE">
        <w:rPr>
          <w:b/>
          <w:color w:val="000000" w:themeColor="text1"/>
          <w:sz w:val="22"/>
        </w:rPr>
        <w:t>roject was well</w:t>
      </w:r>
      <w:r w:rsidR="00D42F3F">
        <w:rPr>
          <w:b/>
          <w:color w:val="000000" w:themeColor="text1"/>
          <w:sz w:val="22"/>
        </w:rPr>
        <w:t>-</w:t>
      </w:r>
      <w:r w:rsidRPr="00F318AE">
        <w:rPr>
          <w:b/>
          <w:color w:val="000000" w:themeColor="text1"/>
          <w:sz w:val="22"/>
        </w:rPr>
        <w:t xml:space="preserve">articulated at entry and built upon earlier </w:t>
      </w:r>
      <w:r w:rsidR="00D42F3F">
        <w:rPr>
          <w:b/>
          <w:color w:val="000000" w:themeColor="text1"/>
          <w:sz w:val="22"/>
        </w:rPr>
        <w:t xml:space="preserve">World </w:t>
      </w:r>
      <w:r w:rsidRPr="00F318AE">
        <w:rPr>
          <w:b/>
          <w:color w:val="000000" w:themeColor="text1"/>
          <w:sz w:val="22"/>
        </w:rPr>
        <w:t xml:space="preserve">Bank engagement in the sector and </w:t>
      </w:r>
      <w:r w:rsidR="00D42F3F">
        <w:rPr>
          <w:b/>
          <w:color w:val="000000" w:themeColor="text1"/>
          <w:sz w:val="22"/>
        </w:rPr>
        <w:t xml:space="preserve">was </w:t>
      </w:r>
      <w:r w:rsidRPr="00F318AE">
        <w:rPr>
          <w:b/>
          <w:color w:val="000000" w:themeColor="text1"/>
          <w:sz w:val="22"/>
        </w:rPr>
        <w:t xml:space="preserve">also well in line with the </w:t>
      </w:r>
      <w:r w:rsidR="00D42F3F">
        <w:rPr>
          <w:b/>
          <w:color w:val="000000" w:themeColor="text1"/>
          <w:sz w:val="22"/>
        </w:rPr>
        <w:t xml:space="preserve">client’s </w:t>
      </w:r>
      <w:r w:rsidRPr="00F318AE">
        <w:rPr>
          <w:b/>
          <w:color w:val="000000" w:themeColor="text1"/>
          <w:sz w:val="22"/>
        </w:rPr>
        <w:t>interest</w:t>
      </w:r>
      <w:r w:rsidRPr="00F318AE">
        <w:rPr>
          <w:color w:val="000000" w:themeColor="text1"/>
          <w:sz w:val="22"/>
        </w:rPr>
        <w:t>. It built on earlier work in the sector and the reform process supported by other donors (primarily Norway).</w:t>
      </w:r>
      <w:r w:rsidR="000F13ED">
        <w:rPr>
          <w:color w:val="000000" w:themeColor="text1"/>
          <w:sz w:val="22"/>
        </w:rPr>
        <w:t xml:space="preserve"> </w:t>
      </w:r>
      <w:r w:rsidRPr="00F318AE">
        <w:rPr>
          <w:color w:val="000000" w:themeColor="text1"/>
          <w:sz w:val="22"/>
        </w:rPr>
        <w:t xml:space="preserve">However, certain aspects relating to the project formulation of the </w:t>
      </w:r>
      <w:r w:rsidR="00D42F3F">
        <w:rPr>
          <w:color w:val="000000" w:themeColor="text1"/>
          <w:sz w:val="22"/>
        </w:rPr>
        <w:t>R</w:t>
      </w:r>
      <w:r w:rsidRPr="00F318AE">
        <w:rPr>
          <w:color w:val="000000" w:themeColor="text1"/>
          <w:sz w:val="22"/>
        </w:rPr>
        <w:t xml:space="preserve">esults </w:t>
      </w:r>
      <w:r w:rsidR="00D42F3F">
        <w:rPr>
          <w:color w:val="000000" w:themeColor="text1"/>
          <w:sz w:val="22"/>
        </w:rPr>
        <w:t>F</w:t>
      </w:r>
      <w:r w:rsidRPr="00F318AE">
        <w:rPr>
          <w:color w:val="000000" w:themeColor="text1"/>
          <w:sz w:val="22"/>
        </w:rPr>
        <w:t>ramework, objectives</w:t>
      </w:r>
      <w:r w:rsidR="00D42F3F">
        <w:rPr>
          <w:color w:val="000000" w:themeColor="text1"/>
          <w:sz w:val="22"/>
        </w:rPr>
        <w:t>,</w:t>
      </w:r>
      <w:r w:rsidRPr="00F318AE">
        <w:rPr>
          <w:color w:val="000000" w:themeColor="text1"/>
          <w:sz w:val="22"/>
        </w:rPr>
        <w:t xml:space="preserve"> and indicators were not well</w:t>
      </w:r>
      <w:r w:rsidR="00D42F3F">
        <w:rPr>
          <w:color w:val="000000" w:themeColor="text1"/>
          <w:sz w:val="22"/>
        </w:rPr>
        <w:t>-</w:t>
      </w:r>
      <w:r w:rsidRPr="00F318AE">
        <w:rPr>
          <w:color w:val="000000" w:themeColor="text1"/>
          <w:sz w:val="22"/>
        </w:rPr>
        <w:t xml:space="preserve">articulated and the PAD </w:t>
      </w:r>
      <w:r w:rsidR="00D42F3F">
        <w:rPr>
          <w:color w:val="000000" w:themeColor="text1"/>
          <w:sz w:val="22"/>
        </w:rPr>
        <w:t xml:space="preserve">mostly </w:t>
      </w:r>
      <w:r w:rsidRPr="00F318AE">
        <w:rPr>
          <w:color w:val="000000" w:themeColor="text1"/>
          <w:sz w:val="22"/>
        </w:rPr>
        <w:t>included output</w:t>
      </w:r>
      <w:r w:rsidR="00D42F3F">
        <w:rPr>
          <w:color w:val="000000" w:themeColor="text1"/>
          <w:sz w:val="22"/>
        </w:rPr>
        <w:t>-</w:t>
      </w:r>
      <w:r w:rsidRPr="00F318AE">
        <w:rPr>
          <w:color w:val="000000" w:themeColor="text1"/>
          <w:sz w:val="22"/>
        </w:rPr>
        <w:t xml:space="preserve">based indicators for both the PDO and intermediate </w:t>
      </w:r>
      <w:r w:rsidRPr="00002290">
        <w:rPr>
          <w:bCs/>
          <w:sz w:val="22"/>
        </w:rPr>
        <w:t>results</w:t>
      </w:r>
      <w:r w:rsidRPr="00F318AE">
        <w:rPr>
          <w:color w:val="000000" w:themeColor="text1"/>
          <w:sz w:val="22"/>
        </w:rPr>
        <w:t xml:space="preserve">. The </w:t>
      </w:r>
      <w:r w:rsidR="00D42F3F">
        <w:rPr>
          <w:color w:val="000000" w:themeColor="text1"/>
          <w:sz w:val="22"/>
        </w:rPr>
        <w:t>R</w:t>
      </w:r>
      <w:r w:rsidRPr="00F318AE">
        <w:rPr>
          <w:color w:val="000000" w:themeColor="text1"/>
          <w:sz w:val="22"/>
        </w:rPr>
        <w:t xml:space="preserve">esults </w:t>
      </w:r>
      <w:r w:rsidR="00D42F3F">
        <w:rPr>
          <w:color w:val="000000" w:themeColor="text1"/>
          <w:sz w:val="22"/>
        </w:rPr>
        <w:t>F</w:t>
      </w:r>
      <w:r w:rsidRPr="00F318AE">
        <w:rPr>
          <w:color w:val="000000" w:themeColor="text1"/>
          <w:sz w:val="22"/>
        </w:rPr>
        <w:t xml:space="preserve">ramework also </w:t>
      </w:r>
      <w:r w:rsidRPr="00017794">
        <w:rPr>
          <w:sz w:val="22"/>
        </w:rPr>
        <w:t>comes</w:t>
      </w:r>
      <w:r w:rsidRPr="00F318AE">
        <w:rPr>
          <w:color w:val="000000" w:themeColor="text1"/>
          <w:sz w:val="22"/>
        </w:rPr>
        <w:t xml:space="preserve"> across as somewhat optimistic in what can be achieved in terms of reforms. In addition, the </w:t>
      </w:r>
      <w:r w:rsidR="00D42F3F">
        <w:rPr>
          <w:color w:val="000000" w:themeColor="text1"/>
          <w:sz w:val="22"/>
        </w:rPr>
        <w:t>TPAT’s</w:t>
      </w:r>
      <w:r w:rsidR="00D42F3F" w:rsidRPr="00F318AE">
        <w:rPr>
          <w:color w:val="000000" w:themeColor="text1"/>
          <w:sz w:val="22"/>
        </w:rPr>
        <w:t xml:space="preserve"> </w:t>
      </w:r>
      <w:r w:rsidRPr="00F318AE">
        <w:rPr>
          <w:color w:val="000000" w:themeColor="text1"/>
          <w:sz w:val="22"/>
        </w:rPr>
        <w:t>setup was not well</w:t>
      </w:r>
      <w:r w:rsidR="00D42F3F">
        <w:rPr>
          <w:color w:val="000000" w:themeColor="text1"/>
          <w:sz w:val="22"/>
        </w:rPr>
        <w:t>-</w:t>
      </w:r>
      <w:r w:rsidRPr="00F318AE">
        <w:rPr>
          <w:color w:val="000000" w:themeColor="text1"/>
          <w:sz w:val="22"/>
        </w:rPr>
        <w:t>articulated</w:t>
      </w:r>
      <w:r w:rsidR="00D42F3F">
        <w:rPr>
          <w:color w:val="000000" w:themeColor="text1"/>
          <w:sz w:val="22"/>
        </w:rPr>
        <w:t>,</w:t>
      </w:r>
      <w:r w:rsidRPr="00F318AE">
        <w:rPr>
          <w:color w:val="000000" w:themeColor="text1"/>
          <w:sz w:val="22"/>
        </w:rPr>
        <w:t xml:space="preserve"> which provides a challenge when the client is still developing, as the PWA was, and hampered the movement toward concrete results as the consultant working with </w:t>
      </w:r>
      <w:r w:rsidR="000E6C50">
        <w:rPr>
          <w:color w:val="000000" w:themeColor="text1"/>
          <w:sz w:val="22"/>
        </w:rPr>
        <w:t xml:space="preserve">the </w:t>
      </w:r>
      <w:r w:rsidRPr="00F318AE">
        <w:rPr>
          <w:color w:val="000000" w:themeColor="text1"/>
          <w:sz w:val="22"/>
        </w:rPr>
        <w:t xml:space="preserve">PWA was </w:t>
      </w:r>
      <w:r>
        <w:rPr>
          <w:color w:val="000000" w:themeColor="text1"/>
          <w:sz w:val="22"/>
        </w:rPr>
        <w:t>hired under</w:t>
      </w:r>
      <w:r w:rsidRPr="00F318AE">
        <w:rPr>
          <w:color w:val="000000" w:themeColor="text1"/>
          <w:sz w:val="22"/>
        </w:rPr>
        <w:t xml:space="preserve"> a </w:t>
      </w:r>
      <w:r>
        <w:rPr>
          <w:color w:val="000000" w:themeColor="text1"/>
          <w:sz w:val="22"/>
        </w:rPr>
        <w:t>time</w:t>
      </w:r>
      <w:r w:rsidRPr="00F318AE">
        <w:rPr>
          <w:color w:val="000000" w:themeColor="text1"/>
          <w:sz w:val="22"/>
        </w:rPr>
        <w:t>-based contract.</w:t>
      </w:r>
    </w:p>
    <w:p w:rsidR="00291AFE" w:rsidRPr="00273143" w:rsidRDefault="00B578E1" w:rsidP="00DD56B7">
      <w:pPr>
        <w:spacing w:after="240" w:line="240" w:lineRule="auto"/>
        <w:rPr>
          <w:rFonts w:asciiTheme="minorHAnsi" w:hAnsiTheme="minorHAnsi"/>
          <w:b/>
          <w:color w:val="auto"/>
          <w:sz w:val="22"/>
        </w:rPr>
      </w:pPr>
      <w:bookmarkStart w:id="117" w:name="_Toc480984886"/>
      <w:bookmarkStart w:id="118" w:name="_Toc510969714"/>
      <w:r w:rsidRPr="00273143">
        <w:rPr>
          <w:rFonts w:asciiTheme="minorHAnsi" w:hAnsiTheme="minorHAnsi"/>
          <w:b/>
          <w:color w:val="auto"/>
          <w:sz w:val="22"/>
        </w:rPr>
        <w:t>Quality of Supervision</w:t>
      </w:r>
      <w:bookmarkEnd w:id="117"/>
      <w:bookmarkEnd w:id="118"/>
    </w:p>
    <w:p w:rsidR="00291AFE" w:rsidRPr="00F318AE" w:rsidRDefault="00B578E1" w:rsidP="00A63A6F">
      <w:pPr>
        <w:pStyle w:val="Normal0"/>
        <w:numPr>
          <w:ilvl w:val="0"/>
          <w:numId w:val="7"/>
        </w:numPr>
        <w:spacing w:after="240" w:line="240" w:lineRule="auto"/>
        <w:ind w:left="0" w:firstLine="0"/>
        <w:jc w:val="both"/>
        <w:rPr>
          <w:color w:val="000000" w:themeColor="text1"/>
          <w:sz w:val="22"/>
        </w:rPr>
      </w:pPr>
      <w:r w:rsidRPr="00F318AE">
        <w:rPr>
          <w:b/>
          <w:color w:val="000000" w:themeColor="text1"/>
          <w:sz w:val="22"/>
        </w:rPr>
        <w:t>The World Bank team remained responsive to the changing circumstances during implementation</w:t>
      </w:r>
      <w:r w:rsidRPr="00F318AE">
        <w:rPr>
          <w:color w:val="000000" w:themeColor="text1"/>
          <w:sz w:val="22"/>
        </w:rPr>
        <w:t xml:space="preserve">. The World Bank </w:t>
      </w:r>
      <w:r w:rsidRPr="00017794">
        <w:rPr>
          <w:sz w:val="22"/>
        </w:rPr>
        <w:t>respond</w:t>
      </w:r>
      <w:r w:rsidR="00DD56B7">
        <w:rPr>
          <w:sz w:val="22"/>
        </w:rPr>
        <w:t>ed</w:t>
      </w:r>
      <w:r w:rsidRPr="00F318AE">
        <w:rPr>
          <w:color w:val="000000" w:themeColor="text1"/>
          <w:sz w:val="22"/>
        </w:rPr>
        <w:t xml:space="preserve"> to requests and questions from the client. As highlighted by both the PWA and WSRC</w:t>
      </w:r>
      <w:r w:rsidR="00DD56B7">
        <w:rPr>
          <w:color w:val="000000" w:themeColor="text1"/>
          <w:sz w:val="22"/>
        </w:rPr>
        <w:t>, in the</w:t>
      </w:r>
      <w:r w:rsidRPr="00F318AE">
        <w:rPr>
          <w:color w:val="000000" w:themeColor="text1"/>
          <w:sz w:val="22"/>
        </w:rPr>
        <w:t xml:space="preserve"> client ICRs the quality of supervision was considered good. As noted by </w:t>
      </w:r>
      <w:r w:rsidR="00DD56B7">
        <w:rPr>
          <w:color w:val="000000" w:themeColor="text1"/>
          <w:sz w:val="22"/>
        </w:rPr>
        <w:t xml:space="preserve">the </w:t>
      </w:r>
      <w:r w:rsidRPr="00002290">
        <w:rPr>
          <w:bCs/>
          <w:sz w:val="22"/>
        </w:rPr>
        <w:t>WSRC</w:t>
      </w:r>
      <w:r w:rsidRPr="00F318AE">
        <w:rPr>
          <w:color w:val="000000" w:themeColor="text1"/>
          <w:sz w:val="22"/>
        </w:rPr>
        <w:t>, the TTL provided</w:t>
      </w:r>
      <w:r w:rsidR="00DD56B7">
        <w:rPr>
          <w:color w:val="000000" w:themeColor="text1"/>
          <w:sz w:val="22"/>
        </w:rPr>
        <w:t>,</w:t>
      </w:r>
      <w:r w:rsidRPr="00F318AE">
        <w:rPr>
          <w:color w:val="000000" w:themeColor="text1"/>
          <w:sz w:val="22"/>
        </w:rPr>
        <w:t xml:space="preserve"> through close engagement</w:t>
      </w:r>
      <w:r w:rsidR="00DD56B7">
        <w:rPr>
          <w:color w:val="000000" w:themeColor="text1"/>
          <w:sz w:val="22"/>
        </w:rPr>
        <w:t>,</w:t>
      </w:r>
      <w:r w:rsidRPr="00F318AE">
        <w:rPr>
          <w:color w:val="000000" w:themeColor="text1"/>
          <w:sz w:val="22"/>
        </w:rPr>
        <w:t xml:space="preserve"> an improved dialogue between </w:t>
      </w:r>
      <w:r w:rsidR="00DD56B7">
        <w:rPr>
          <w:color w:val="000000" w:themeColor="text1"/>
          <w:sz w:val="22"/>
        </w:rPr>
        <w:t xml:space="preserve">the </w:t>
      </w:r>
      <w:r w:rsidRPr="00F318AE">
        <w:rPr>
          <w:color w:val="000000" w:themeColor="text1"/>
          <w:sz w:val="22"/>
        </w:rPr>
        <w:t xml:space="preserve">PWA and </w:t>
      </w:r>
      <w:r w:rsidRPr="00F318AE">
        <w:rPr>
          <w:color w:val="000000" w:themeColor="text1"/>
          <w:sz w:val="22"/>
        </w:rPr>
        <w:lastRenderedPageBreak/>
        <w:t xml:space="preserve">WSRC. After the </w:t>
      </w:r>
      <w:r w:rsidR="00BB2A5E">
        <w:rPr>
          <w:color w:val="000000" w:themeColor="text1"/>
          <w:sz w:val="22"/>
        </w:rPr>
        <w:t>AF</w:t>
      </w:r>
      <w:r w:rsidRPr="00F318AE">
        <w:rPr>
          <w:color w:val="000000" w:themeColor="text1"/>
          <w:sz w:val="22"/>
        </w:rPr>
        <w:t xml:space="preserve"> was approved and the process of establishing </w:t>
      </w:r>
      <w:r w:rsidR="00DD56B7">
        <w:rPr>
          <w:color w:val="000000" w:themeColor="text1"/>
          <w:sz w:val="22"/>
        </w:rPr>
        <w:t xml:space="preserve">the </w:t>
      </w:r>
      <w:r w:rsidRPr="00F318AE">
        <w:rPr>
          <w:color w:val="000000" w:themeColor="text1"/>
          <w:sz w:val="22"/>
        </w:rPr>
        <w:t>WSRC started, one TTL enabled close follow</w:t>
      </w:r>
      <w:r w:rsidR="003C7E9B">
        <w:rPr>
          <w:color w:val="000000" w:themeColor="text1"/>
          <w:sz w:val="22"/>
        </w:rPr>
        <w:t>-</w:t>
      </w:r>
      <w:r w:rsidRPr="00F318AE">
        <w:rPr>
          <w:color w:val="000000" w:themeColor="text1"/>
          <w:sz w:val="22"/>
        </w:rPr>
        <w:t xml:space="preserve">up and the building of relationships between the </w:t>
      </w:r>
      <w:r w:rsidR="00DD56B7">
        <w:rPr>
          <w:color w:val="000000" w:themeColor="text1"/>
          <w:sz w:val="22"/>
        </w:rPr>
        <w:t xml:space="preserve">World </w:t>
      </w:r>
      <w:r w:rsidRPr="00F318AE">
        <w:rPr>
          <w:color w:val="000000" w:themeColor="text1"/>
          <w:sz w:val="22"/>
        </w:rPr>
        <w:t xml:space="preserve">Bank and the </w:t>
      </w:r>
      <w:r w:rsidR="00DD56B7">
        <w:rPr>
          <w:color w:val="000000" w:themeColor="text1"/>
          <w:sz w:val="22"/>
        </w:rPr>
        <w:t>c</w:t>
      </w:r>
      <w:r w:rsidRPr="00F318AE">
        <w:rPr>
          <w:color w:val="000000" w:themeColor="text1"/>
          <w:sz w:val="22"/>
        </w:rPr>
        <w:t xml:space="preserve">lient. </w:t>
      </w:r>
    </w:p>
    <w:p w:rsidR="00291AFE" w:rsidRPr="00F318AE" w:rsidRDefault="00B578E1" w:rsidP="00A63A6F">
      <w:pPr>
        <w:pStyle w:val="Normal0"/>
        <w:numPr>
          <w:ilvl w:val="0"/>
          <w:numId w:val="7"/>
        </w:numPr>
        <w:spacing w:after="240" w:line="240" w:lineRule="auto"/>
        <w:ind w:left="0" w:firstLine="0"/>
        <w:jc w:val="both"/>
        <w:rPr>
          <w:color w:val="000000" w:themeColor="text1"/>
          <w:sz w:val="22"/>
        </w:rPr>
      </w:pPr>
      <w:r w:rsidRPr="00F318AE">
        <w:rPr>
          <w:b/>
          <w:color w:val="000000" w:themeColor="text1"/>
          <w:sz w:val="22"/>
        </w:rPr>
        <w:t xml:space="preserve">The World Bank team was also responsive to the needs of client. </w:t>
      </w:r>
      <w:r w:rsidRPr="00F318AE">
        <w:rPr>
          <w:color w:val="000000" w:themeColor="text1"/>
          <w:sz w:val="22"/>
        </w:rPr>
        <w:t>In particular, the World Bank team acted after having recognized that the time-based consultancy contract that the PWA had set</w:t>
      </w:r>
      <w:r w:rsidR="00DD56B7">
        <w:rPr>
          <w:color w:val="000000" w:themeColor="text1"/>
          <w:sz w:val="22"/>
        </w:rPr>
        <w:t xml:space="preserve"> </w:t>
      </w:r>
      <w:r w:rsidRPr="00F318AE">
        <w:rPr>
          <w:color w:val="000000" w:themeColor="text1"/>
          <w:sz w:val="22"/>
        </w:rPr>
        <w:t xml:space="preserve">up was inadequate. </w:t>
      </w:r>
      <w:r w:rsidR="00DD56B7">
        <w:rPr>
          <w:color w:val="000000" w:themeColor="text1"/>
          <w:sz w:val="22"/>
        </w:rPr>
        <w:t>T</w:t>
      </w:r>
      <w:r w:rsidRPr="00F318AE">
        <w:rPr>
          <w:color w:val="000000" w:themeColor="text1"/>
          <w:sz w:val="22"/>
        </w:rPr>
        <w:t>hrough the engagement of the TTL</w:t>
      </w:r>
      <w:r w:rsidR="00DD56B7">
        <w:rPr>
          <w:color w:val="000000" w:themeColor="text1"/>
          <w:sz w:val="22"/>
        </w:rPr>
        <w:t>,</w:t>
      </w:r>
      <w:r w:rsidRPr="00F318AE">
        <w:rPr>
          <w:color w:val="000000" w:themeColor="text1"/>
          <w:sz w:val="22"/>
        </w:rPr>
        <w:t xml:space="preserve"> the contract was changed to a </w:t>
      </w:r>
      <w:r>
        <w:rPr>
          <w:color w:val="000000" w:themeColor="text1"/>
          <w:sz w:val="22"/>
        </w:rPr>
        <w:t>lump-sum</w:t>
      </w:r>
      <w:r w:rsidRPr="00F318AE">
        <w:rPr>
          <w:color w:val="000000" w:themeColor="text1"/>
          <w:sz w:val="22"/>
        </w:rPr>
        <w:t xml:space="preserve"> contract, responding much better to the needs of the </w:t>
      </w:r>
      <w:r w:rsidR="00DD56B7">
        <w:rPr>
          <w:color w:val="000000" w:themeColor="text1"/>
          <w:sz w:val="22"/>
        </w:rPr>
        <w:t>p</w:t>
      </w:r>
      <w:r w:rsidRPr="00F318AE">
        <w:rPr>
          <w:color w:val="000000" w:themeColor="text1"/>
          <w:sz w:val="22"/>
        </w:rPr>
        <w:t xml:space="preserve">roject and the ability of the client to follow up. </w:t>
      </w:r>
      <w:r w:rsidRPr="003C4498">
        <w:rPr>
          <w:color w:val="000000" w:themeColor="text1"/>
          <w:sz w:val="22"/>
        </w:rPr>
        <w:t xml:space="preserve">The risks </w:t>
      </w:r>
      <w:r w:rsidRPr="00002290">
        <w:rPr>
          <w:bCs/>
          <w:sz w:val="22"/>
        </w:rPr>
        <w:t>associated</w:t>
      </w:r>
      <w:r w:rsidRPr="003C4498">
        <w:rPr>
          <w:color w:val="000000" w:themeColor="text1"/>
          <w:sz w:val="22"/>
        </w:rPr>
        <w:t xml:space="preserve"> with a time-based contract were highlighted upfront especially given </w:t>
      </w:r>
      <w:r w:rsidR="00DD56B7">
        <w:rPr>
          <w:color w:val="000000" w:themeColor="text1"/>
          <w:sz w:val="22"/>
        </w:rPr>
        <w:t xml:space="preserve">the </w:t>
      </w:r>
      <w:r w:rsidRPr="003C4498">
        <w:rPr>
          <w:color w:val="000000" w:themeColor="text1"/>
          <w:sz w:val="22"/>
        </w:rPr>
        <w:t>PWA</w:t>
      </w:r>
      <w:r w:rsidR="00DD56B7">
        <w:rPr>
          <w:color w:val="000000" w:themeColor="text1"/>
          <w:sz w:val="22"/>
        </w:rPr>
        <w:t>’s</w:t>
      </w:r>
      <w:r w:rsidRPr="003C4498">
        <w:rPr>
          <w:color w:val="000000" w:themeColor="text1"/>
          <w:sz w:val="22"/>
        </w:rPr>
        <w:t xml:space="preserve"> weak contract management capacity. However, </w:t>
      </w:r>
      <w:r w:rsidRPr="00017794">
        <w:rPr>
          <w:sz w:val="22"/>
        </w:rPr>
        <w:t>given</w:t>
      </w:r>
      <w:r w:rsidRPr="003C4498">
        <w:rPr>
          <w:color w:val="000000" w:themeColor="text1"/>
          <w:sz w:val="22"/>
        </w:rPr>
        <w:t xml:space="preserve"> that the technical team could not define a set of outputs</w:t>
      </w:r>
      <w:r w:rsidR="00DD56B7">
        <w:rPr>
          <w:color w:val="000000" w:themeColor="text1"/>
          <w:sz w:val="22"/>
        </w:rPr>
        <w:t>,</w:t>
      </w:r>
      <w:r w:rsidRPr="003C4498">
        <w:rPr>
          <w:color w:val="000000" w:themeColor="text1"/>
          <w:sz w:val="22"/>
        </w:rPr>
        <w:t xml:space="preserve"> a lump-sum contract could not be used, initially</w:t>
      </w:r>
      <w:r w:rsidR="00DD56B7">
        <w:rPr>
          <w:color w:val="000000" w:themeColor="text1"/>
          <w:sz w:val="22"/>
        </w:rPr>
        <w:t>.</w:t>
      </w:r>
    </w:p>
    <w:p w:rsidR="00291AFE" w:rsidRPr="00273143" w:rsidRDefault="00B578E1" w:rsidP="00273143">
      <w:pPr>
        <w:spacing w:before="240" w:after="240" w:line="240" w:lineRule="auto"/>
        <w:rPr>
          <w:rFonts w:asciiTheme="minorHAnsi" w:hAnsiTheme="minorHAnsi"/>
          <w:b/>
          <w:color w:val="auto"/>
          <w:sz w:val="22"/>
        </w:rPr>
      </w:pPr>
      <w:bookmarkStart w:id="119" w:name="_Toc510969715"/>
      <w:r w:rsidRPr="00273143">
        <w:rPr>
          <w:rFonts w:asciiTheme="minorHAnsi" w:hAnsiTheme="minorHAnsi"/>
          <w:b/>
          <w:color w:val="auto"/>
          <w:sz w:val="22"/>
        </w:rPr>
        <w:t>Justification of Overall Rating of Bank Performance</w:t>
      </w:r>
      <w:bookmarkEnd w:id="119"/>
      <w:r w:rsidRPr="00273143">
        <w:rPr>
          <w:rFonts w:asciiTheme="minorHAnsi" w:hAnsiTheme="minorHAnsi"/>
          <w:b/>
          <w:color w:val="auto"/>
          <w:sz w:val="22"/>
        </w:rPr>
        <w:t xml:space="preserve"> </w:t>
      </w:r>
    </w:p>
    <w:p w:rsidR="00291AFE" w:rsidRDefault="00B578E1" w:rsidP="00A63A6F">
      <w:pPr>
        <w:pStyle w:val="Normal0"/>
        <w:numPr>
          <w:ilvl w:val="0"/>
          <w:numId w:val="7"/>
        </w:numPr>
        <w:spacing w:after="240" w:line="240" w:lineRule="auto"/>
        <w:ind w:left="0" w:firstLine="0"/>
        <w:jc w:val="both"/>
      </w:pPr>
      <w:r w:rsidRPr="00F318AE">
        <w:rPr>
          <w:b/>
          <w:color w:val="000000" w:themeColor="text1"/>
          <w:sz w:val="22"/>
        </w:rPr>
        <w:t>Rating of overall World Bank performance and underlying justification.</w:t>
      </w:r>
      <w:r w:rsidRPr="00F318AE">
        <w:rPr>
          <w:color w:val="000000" w:themeColor="text1"/>
          <w:sz w:val="22"/>
        </w:rPr>
        <w:t xml:space="preserve"> For the reasons outlined in the previous paragraphs, the overall rating is </w:t>
      </w:r>
      <w:r w:rsidR="00DD56B7">
        <w:rPr>
          <w:color w:val="000000" w:themeColor="text1"/>
          <w:sz w:val="22"/>
        </w:rPr>
        <w:t>M</w:t>
      </w:r>
      <w:r w:rsidRPr="00F318AE">
        <w:rPr>
          <w:color w:val="000000" w:themeColor="text1"/>
          <w:sz w:val="22"/>
        </w:rPr>
        <w:t xml:space="preserve">oderately </w:t>
      </w:r>
      <w:r w:rsidR="00DD56B7">
        <w:rPr>
          <w:color w:val="000000" w:themeColor="text1"/>
          <w:sz w:val="22"/>
        </w:rPr>
        <w:t>S</w:t>
      </w:r>
      <w:r w:rsidRPr="00F318AE">
        <w:rPr>
          <w:color w:val="000000" w:themeColor="text1"/>
          <w:sz w:val="22"/>
        </w:rPr>
        <w:t>atisfactory. The World Bank team</w:t>
      </w:r>
      <w:r w:rsidR="00DD56B7">
        <w:rPr>
          <w:color w:val="000000" w:themeColor="text1"/>
          <w:sz w:val="22"/>
        </w:rPr>
        <w:t xml:space="preserve">’s </w:t>
      </w:r>
      <w:r w:rsidRPr="00F318AE">
        <w:rPr>
          <w:color w:val="000000" w:themeColor="text1"/>
          <w:sz w:val="22"/>
        </w:rPr>
        <w:t xml:space="preserve">performance at entry was </w:t>
      </w:r>
      <w:r w:rsidR="00DD56B7">
        <w:rPr>
          <w:color w:val="000000" w:themeColor="text1"/>
          <w:sz w:val="22"/>
        </w:rPr>
        <w:t>M</w:t>
      </w:r>
      <w:r w:rsidRPr="00F318AE">
        <w:rPr>
          <w:color w:val="000000" w:themeColor="text1"/>
          <w:sz w:val="22"/>
        </w:rPr>
        <w:t xml:space="preserve">oderately </w:t>
      </w:r>
      <w:r w:rsidR="00DD56B7">
        <w:rPr>
          <w:sz w:val="22"/>
        </w:rPr>
        <w:t>S</w:t>
      </w:r>
      <w:r w:rsidRPr="00017794">
        <w:rPr>
          <w:sz w:val="22"/>
        </w:rPr>
        <w:t>atisfactory</w:t>
      </w:r>
      <w:r w:rsidRPr="00F318AE">
        <w:rPr>
          <w:color w:val="000000" w:themeColor="text1"/>
          <w:sz w:val="22"/>
        </w:rPr>
        <w:t xml:space="preserve"> for reasons outline</w:t>
      </w:r>
      <w:r>
        <w:rPr>
          <w:color w:val="000000" w:themeColor="text1"/>
          <w:sz w:val="22"/>
        </w:rPr>
        <w:t>d</w:t>
      </w:r>
      <w:r w:rsidRPr="00F318AE">
        <w:rPr>
          <w:color w:val="000000" w:themeColor="text1"/>
          <w:sz w:val="22"/>
        </w:rPr>
        <w:t xml:space="preserve"> e</w:t>
      </w:r>
      <w:r w:rsidR="00DD56B7">
        <w:rPr>
          <w:color w:val="000000" w:themeColor="text1"/>
          <w:sz w:val="22"/>
        </w:rPr>
        <w:t>arlier,</w:t>
      </w:r>
      <w:r w:rsidRPr="00F318AE">
        <w:rPr>
          <w:color w:val="000000" w:themeColor="text1"/>
          <w:sz w:val="22"/>
        </w:rPr>
        <w:t xml:space="preserve"> while during supervision </w:t>
      </w:r>
      <w:r w:rsidR="00DD56B7">
        <w:rPr>
          <w:color w:val="000000" w:themeColor="text1"/>
          <w:sz w:val="22"/>
        </w:rPr>
        <w:t>it was S</w:t>
      </w:r>
      <w:r w:rsidRPr="00F318AE">
        <w:rPr>
          <w:color w:val="000000" w:themeColor="text1"/>
          <w:sz w:val="22"/>
        </w:rPr>
        <w:t xml:space="preserve">atisfactory as it was quick in responding to requests and questions from the client and worked with them as </w:t>
      </w:r>
      <w:r w:rsidR="00FA0A03">
        <w:rPr>
          <w:color w:val="000000" w:themeColor="text1"/>
          <w:sz w:val="22"/>
        </w:rPr>
        <w:t xml:space="preserve">a </w:t>
      </w:r>
      <w:r w:rsidRPr="00F318AE">
        <w:rPr>
          <w:color w:val="000000" w:themeColor="text1"/>
          <w:sz w:val="22"/>
        </w:rPr>
        <w:t xml:space="preserve">partner and also </w:t>
      </w:r>
      <w:r w:rsidRPr="00002290">
        <w:rPr>
          <w:bCs/>
          <w:sz w:val="22"/>
        </w:rPr>
        <w:t>helped</w:t>
      </w:r>
      <w:r w:rsidRPr="00F318AE">
        <w:rPr>
          <w:color w:val="000000" w:themeColor="text1"/>
          <w:sz w:val="22"/>
        </w:rPr>
        <w:t xml:space="preserve"> the client reform the </w:t>
      </w:r>
      <w:r w:rsidR="00DD56B7">
        <w:rPr>
          <w:color w:val="000000" w:themeColor="text1"/>
          <w:sz w:val="22"/>
        </w:rPr>
        <w:t>p</w:t>
      </w:r>
      <w:r w:rsidRPr="00F318AE">
        <w:rPr>
          <w:color w:val="000000" w:themeColor="text1"/>
          <w:sz w:val="22"/>
        </w:rPr>
        <w:t>roject through the AF and restructuring</w:t>
      </w:r>
      <w:r>
        <w:rPr>
          <w:color w:val="000000" w:themeColor="text1"/>
          <w:sz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6032A" w:rsidTr="00A12B3B">
        <w:trPr>
          <w:trHeight w:val="108"/>
        </w:trPr>
        <w:tc>
          <w:tcPr>
            <w:tcW w:w="5000" w:type="pct"/>
          </w:tcPr>
          <w:p w:rsidR="003615CB" w:rsidRPr="00B04F0C" w:rsidRDefault="00B578E1" w:rsidP="007C5F3D">
            <w:pPr>
              <w:pStyle w:val="Heading2"/>
              <w:outlineLvl w:val="1"/>
            </w:pPr>
            <w:bookmarkStart w:id="120" w:name="_Toc256000029"/>
            <w:bookmarkStart w:id="121" w:name="_Toc460509203"/>
            <w:bookmarkStart w:id="122" w:name="_Toc485984583"/>
            <w:bookmarkStart w:id="123" w:name="_Toc510969716"/>
            <w:bookmarkStart w:id="124" w:name="_Toc516132508"/>
            <w:r w:rsidRPr="00B04F0C">
              <w:rPr>
                <w:bCs/>
              </w:rPr>
              <w:t>D.</w:t>
            </w:r>
            <w:r w:rsidRPr="00B04F0C">
              <w:t xml:space="preserve"> </w:t>
            </w:r>
            <w:r w:rsidR="00F3497E" w:rsidRPr="00B04F0C">
              <w:t xml:space="preserve">RISK TO DEVELOPMENT </w:t>
            </w:r>
            <w:r w:rsidR="00F3497E" w:rsidRPr="007C5F3D">
              <w:t>OUTCOME</w:t>
            </w:r>
            <w:bookmarkEnd w:id="120"/>
            <w:bookmarkEnd w:id="121"/>
            <w:bookmarkEnd w:id="122"/>
            <w:bookmarkEnd w:id="123"/>
            <w:bookmarkEnd w:id="124"/>
            <w:r w:rsidR="002211FE" w:rsidRPr="00B04F0C">
              <w:t xml:space="preserve"> </w:t>
            </w:r>
          </w:p>
        </w:tc>
      </w:tr>
    </w:tbl>
    <w:p w:rsidR="008707E0" w:rsidRPr="00F318AE" w:rsidRDefault="00B578E1" w:rsidP="00A63A6F">
      <w:pPr>
        <w:pStyle w:val="Normal0"/>
        <w:numPr>
          <w:ilvl w:val="0"/>
          <w:numId w:val="7"/>
        </w:numPr>
        <w:spacing w:before="240" w:after="240" w:line="240" w:lineRule="auto"/>
        <w:ind w:left="0" w:firstLine="0"/>
        <w:jc w:val="both"/>
        <w:rPr>
          <w:bCs/>
          <w:sz w:val="22"/>
        </w:rPr>
      </w:pPr>
      <w:r w:rsidRPr="00F318AE">
        <w:rPr>
          <w:b/>
          <w:bCs/>
          <w:sz w:val="22"/>
        </w:rPr>
        <w:t>There</w:t>
      </w:r>
      <w:r w:rsidR="00FB3030" w:rsidRPr="00F318AE">
        <w:rPr>
          <w:b/>
          <w:bCs/>
          <w:sz w:val="22"/>
        </w:rPr>
        <w:t xml:space="preserve"> is a significant risk that </w:t>
      </w:r>
      <w:r w:rsidRPr="00F318AE">
        <w:rPr>
          <w:b/>
          <w:bCs/>
          <w:sz w:val="22"/>
        </w:rPr>
        <w:t xml:space="preserve">development outcomes </w:t>
      </w:r>
      <w:r w:rsidR="00FB3030" w:rsidRPr="00F318AE">
        <w:rPr>
          <w:b/>
          <w:bCs/>
          <w:sz w:val="22"/>
        </w:rPr>
        <w:t>w</w:t>
      </w:r>
      <w:r w:rsidR="00DD56B7">
        <w:rPr>
          <w:b/>
          <w:bCs/>
          <w:sz w:val="22"/>
        </w:rPr>
        <w:t xml:space="preserve">ill </w:t>
      </w:r>
      <w:r w:rsidR="00FB3030" w:rsidRPr="00F318AE">
        <w:rPr>
          <w:b/>
          <w:bCs/>
          <w:sz w:val="22"/>
        </w:rPr>
        <w:t>n</w:t>
      </w:r>
      <w:r w:rsidR="00DD56B7">
        <w:rPr>
          <w:b/>
          <w:bCs/>
          <w:sz w:val="22"/>
        </w:rPr>
        <w:t>o</w:t>
      </w:r>
      <w:r w:rsidR="00FB3030" w:rsidRPr="00F318AE">
        <w:rPr>
          <w:b/>
          <w:bCs/>
          <w:sz w:val="22"/>
        </w:rPr>
        <w:t>t be sustained without outside support.</w:t>
      </w:r>
      <w:r w:rsidR="00FB3030" w:rsidRPr="00F318AE">
        <w:rPr>
          <w:bCs/>
          <w:sz w:val="22"/>
        </w:rPr>
        <w:t xml:space="preserve"> While the reform process has been moving forward at a relatively steady pace it is far from certain that the </w:t>
      </w:r>
      <w:r w:rsidR="00FB3030" w:rsidRPr="00AA74EF">
        <w:rPr>
          <w:bCs/>
          <w:sz w:val="22"/>
        </w:rPr>
        <w:t xml:space="preserve">outcomes </w:t>
      </w:r>
      <w:r w:rsidR="00FB3030" w:rsidRPr="00F318AE">
        <w:rPr>
          <w:bCs/>
          <w:sz w:val="22"/>
        </w:rPr>
        <w:t xml:space="preserve">envisaged in the </w:t>
      </w:r>
      <w:r w:rsidR="00FB3030" w:rsidRPr="00017794">
        <w:rPr>
          <w:sz w:val="22"/>
        </w:rPr>
        <w:t>design</w:t>
      </w:r>
      <w:r w:rsidR="00FB3030" w:rsidRPr="00F318AE">
        <w:rPr>
          <w:bCs/>
          <w:sz w:val="22"/>
        </w:rPr>
        <w:t xml:space="preserve"> of the </w:t>
      </w:r>
      <w:r w:rsidR="00DD56B7">
        <w:rPr>
          <w:bCs/>
          <w:sz w:val="22"/>
        </w:rPr>
        <w:t>p</w:t>
      </w:r>
      <w:r w:rsidR="00FB3030" w:rsidRPr="00F318AE">
        <w:rPr>
          <w:bCs/>
          <w:sz w:val="22"/>
        </w:rPr>
        <w:t>roject</w:t>
      </w:r>
      <w:r w:rsidR="00DD56B7">
        <w:rPr>
          <w:bCs/>
          <w:sz w:val="22"/>
        </w:rPr>
        <w:t>—</w:t>
      </w:r>
      <w:r w:rsidR="00FB3030" w:rsidRPr="00F318AE">
        <w:rPr>
          <w:bCs/>
          <w:sz w:val="22"/>
        </w:rPr>
        <w:t>many of which have been achieved (or are in the process of being achieved)</w:t>
      </w:r>
      <w:r w:rsidR="00DD56B7">
        <w:rPr>
          <w:bCs/>
          <w:sz w:val="22"/>
        </w:rPr>
        <w:t>—</w:t>
      </w:r>
      <w:r w:rsidR="00FB3030" w:rsidRPr="00F318AE">
        <w:rPr>
          <w:bCs/>
          <w:sz w:val="22"/>
        </w:rPr>
        <w:t xml:space="preserve">can be sustained without significant outside support. </w:t>
      </w:r>
    </w:p>
    <w:p w:rsidR="008707E0" w:rsidRPr="00F318AE" w:rsidRDefault="00B578E1" w:rsidP="00A63A6F">
      <w:pPr>
        <w:pStyle w:val="Normal0"/>
        <w:numPr>
          <w:ilvl w:val="0"/>
          <w:numId w:val="7"/>
        </w:numPr>
        <w:spacing w:after="240" w:line="240" w:lineRule="auto"/>
        <w:ind w:left="0" w:firstLine="0"/>
        <w:jc w:val="both"/>
        <w:rPr>
          <w:bCs/>
          <w:sz w:val="22"/>
        </w:rPr>
      </w:pPr>
      <w:r w:rsidRPr="00F318AE">
        <w:rPr>
          <w:b/>
          <w:bCs/>
          <w:sz w:val="22"/>
        </w:rPr>
        <w:t xml:space="preserve">Sustainability of the </w:t>
      </w:r>
      <w:r w:rsidRPr="00FA0A03">
        <w:rPr>
          <w:b/>
          <w:bCs/>
          <w:sz w:val="22"/>
        </w:rPr>
        <w:t>regulator</w:t>
      </w:r>
      <w:r w:rsidR="00F3174D">
        <w:rPr>
          <w:b/>
          <w:bCs/>
          <w:sz w:val="22"/>
        </w:rPr>
        <w:t>—</w:t>
      </w:r>
      <w:r w:rsidRPr="00F318AE">
        <w:rPr>
          <w:b/>
          <w:bCs/>
          <w:sz w:val="22"/>
        </w:rPr>
        <w:t>WSRC</w:t>
      </w:r>
      <w:r w:rsidR="00F3174D">
        <w:rPr>
          <w:b/>
          <w:bCs/>
          <w:sz w:val="22"/>
        </w:rPr>
        <w:t>—</w:t>
      </w:r>
      <w:r w:rsidRPr="00F318AE">
        <w:rPr>
          <w:b/>
          <w:bCs/>
          <w:sz w:val="22"/>
        </w:rPr>
        <w:t xml:space="preserve">and of performance monitoring is threatened by the lack of a sustainable source of </w:t>
      </w:r>
      <w:r w:rsidRPr="00FA0A03">
        <w:rPr>
          <w:b/>
          <w:sz w:val="22"/>
        </w:rPr>
        <w:t>domestic</w:t>
      </w:r>
      <w:r w:rsidRPr="00F318AE">
        <w:rPr>
          <w:b/>
          <w:bCs/>
          <w:sz w:val="22"/>
        </w:rPr>
        <w:t xml:space="preserve"> financing even though a provision for this was made (Licensing Bylaw) in the </w:t>
      </w:r>
      <w:r w:rsidRPr="00FA0A03">
        <w:rPr>
          <w:b/>
          <w:bCs/>
          <w:sz w:val="22"/>
        </w:rPr>
        <w:t>2014</w:t>
      </w:r>
      <w:r w:rsidRPr="00F318AE">
        <w:rPr>
          <w:b/>
          <w:bCs/>
          <w:sz w:val="22"/>
        </w:rPr>
        <w:t xml:space="preserve"> Water Law</w:t>
      </w:r>
      <w:r w:rsidRPr="00F318AE">
        <w:rPr>
          <w:bCs/>
          <w:sz w:val="22"/>
        </w:rPr>
        <w:t>.</w:t>
      </w:r>
      <w:r w:rsidR="00A9000A" w:rsidRPr="00F318AE">
        <w:rPr>
          <w:bCs/>
          <w:sz w:val="22"/>
        </w:rPr>
        <w:t xml:space="preserve"> Given the very low levels of private and foreign direct investment, the near-term economic outlook for </w:t>
      </w:r>
      <w:r w:rsidR="00FA0A03">
        <w:rPr>
          <w:bCs/>
          <w:sz w:val="22"/>
        </w:rPr>
        <w:t xml:space="preserve">the </w:t>
      </w:r>
      <w:r w:rsidR="007034EB" w:rsidRPr="00F318AE">
        <w:rPr>
          <w:bCs/>
          <w:sz w:val="22"/>
        </w:rPr>
        <w:t>West Bank and Gaza</w:t>
      </w:r>
      <w:r w:rsidR="00A9000A" w:rsidRPr="00F318AE">
        <w:rPr>
          <w:bCs/>
          <w:sz w:val="22"/>
        </w:rPr>
        <w:t xml:space="preserve"> remains worrying with project growth levels likely</w:t>
      </w:r>
      <w:r w:rsidR="00F3174D">
        <w:rPr>
          <w:bCs/>
          <w:sz w:val="22"/>
        </w:rPr>
        <w:t xml:space="preserve"> to be</w:t>
      </w:r>
      <w:r w:rsidR="00A9000A" w:rsidRPr="00F318AE">
        <w:rPr>
          <w:bCs/>
          <w:sz w:val="22"/>
        </w:rPr>
        <w:t xml:space="preserve"> insufficient to meet the financing needs of the water sector.</w:t>
      </w:r>
    </w:p>
    <w:p w:rsidR="00587CE2" w:rsidRPr="00F318AE" w:rsidRDefault="00B578E1" w:rsidP="00A63A6F">
      <w:pPr>
        <w:pStyle w:val="Normal0"/>
        <w:numPr>
          <w:ilvl w:val="0"/>
          <w:numId w:val="7"/>
        </w:numPr>
        <w:spacing w:after="240" w:line="240" w:lineRule="auto"/>
        <w:ind w:left="0" w:firstLine="0"/>
        <w:jc w:val="both"/>
        <w:rPr>
          <w:bCs/>
          <w:sz w:val="22"/>
        </w:rPr>
      </w:pPr>
      <w:r w:rsidRPr="00F318AE">
        <w:rPr>
          <w:b/>
          <w:bCs/>
          <w:sz w:val="22"/>
        </w:rPr>
        <w:t xml:space="preserve">The conflict and stalled </w:t>
      </w:r>
      <w:r w:rsidR="00F3174D">
        <w:rPr>
          <w:b/>
          <w:bCs/>
          <w:sz w:val="22"/>
        </w:rPr>
        <w:t xml:space="preserve">peace </w:t>
      </w:r>
      <w:r w:rsidRPr="00F318AE">
        <w:rPr>
          <w:b/>
          <w:bCs/>
          <w:sz w:val="22"/>
        </w:rPr>
        <w:t xml:space="preserve">process make it more difficult for Palestinians to mobilize resources to sustain efforts and implement </w:t>
      </w:r>
      <w:r w:rsidRPr="00FA0A03">
        <w:rPr>
          <w:b/>
          <w:sz w:val="22"/>
        </w:rPr>
        <w:t>reforms</w:t>
      </w:r>
      <w:r w:rsidRPr="00F318AE">
        <w:rPr>
          <w:b/>
          <w:bCs/>
          <w:sz w:val="22"/>
        </w:rPr>
        <w:t>.</w:t>
      </w:r>
      <w:r w:rsidRPr="00F318AE">
        <w:rPr>
          <w:bCs/>
          <w:sz w:val="22"/>
        </w:rPr>
        <w:t xml:space="preserve"> </w:t>
      </w:r>
      <w:r w:rsidR="00A9000A" w:rsidRPr="00F318AE">
        <w:rPr>
          <w:bCs/>
          <w:sz w:val="22"/>
        </w:rPr>
        <w:t xml:space="preserve">Conflicts hinder progress in institution building, reversing previous </w:t>
      </w:r>
      <w:r w:rsidR="00C911F3" w:rsidRPr="00F318AE">
        <w:rPr>
          <w:bCs/>
          <w:sz w:val="22"/>
        </w:rPr>
        <w:t>gains,</w:t>
      </w:r>
      <w:r w:rsidR="00A9000A" w:rsidRPr="00F318AE">
        <w:rPr>
          <w:bCs/>
          <w:sz w:val="22"/>
        </w:rPr>
        <w:t xml:space="preserve"> and threatening the development outcomes of the </w:t>
      </w:r>
      <w:r w:rsidR="00F3174D">
        <w:rPr>
          <w:bCs/>
          <w:sz w:val="22"/>
        </w:rPr>
        <w:t>p</w:t>
      </w:r>
      <w:r w:rsidR="00A9000A" w:rsidRPr="00F318AE">
        <w:rPr>
          <w:bCs/>
          <w:sz w:val="22"/>
        </w:rPr>
        <w:t>roject. The combined effect of conflict, Israeli restrictions</w:t>
      </w:r>
      <w:r w:rsidR="00F3174D">
        <w:rPr>
          <w:bCs/>
          <w:sz w:val="22"/>
        </w:rPr>
        <w:t>,</w:t>
      </w:r>
      <w:r w:rsidR="00A9000A" w:rsidRPr="00F318AE">
        <w:rPr>
          <w:bCs/>
          <w:sz w:val="22"/>
        </w:rPr>
        <w:t xml:space="preserve"> and fragmented Palestinian governance undermines the sustainability of the development outcomes.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06032A" w:rsidTr="00F60C18">
        <w:trPr>
          <w:trHeight w:val="432"/>
        </w:trPr>
        <w:tc>
          <w:tcPr>
            <w:tcW w:w="5000" w:type="pct"/>
            <w:shd w:val="clear" w:color="auto" w:fill="F2F7FC"/>
            <w:vAlign w:val="center"/>
          </w:tcPr>
          <w:p w:rsidR="003615CB" w:rsidRPr="00B04F0C" w:rsidRDefault="00B578E1" w:rsidP="00FF1C60">
            <w:pPr>
              <w:pStyle w:val="NoSpacing"/>
              <w:keepNext/>
              <w:numPr>
                <w:ilvl w:val="0"/>
                <w:numId w:val="1"/>
              </w:numPr>
              <w:ind w:left="288" w:hanging="288"/>
              <w:outlineLvl w:val="0"/>
              <w:rPr>
                <w:rFonts w:asciiTheme="minorHAnsi" w:hAnsiTheme="minorHAnsi"/>
                <w:b/>
                <w:sz w:val="22"/>
                <w:szCs w:val="22"/>
              </w:rPr>
            </w:pPr>
            <w:bookmarkStart w:id="125" w:name="_Toc256000030"/>
            <w:bookmarkStart w:id="126" w:name="_Toc480984889"/>
            <w:bookmarkStart w:id="127" w:name="_Toc485984584"/>
            <w:bookmarkStart w:id="128" w:name="_Toc510969717"/>
            <w:bookmarkStart w:id="129" w:name="_Toc516132509"/>
            <w:r w:rsidRPr="00B04F0C">
              <w:rPr>
                <w:rFonts w:asciiTheme="minorHAnsi" w:hAnsiTheme="minorHAnsi"/>
                <w:b/>
                <w:sz w:val="22"/>
                <w:szCs w:val="22"/>
              </w:rPr>
              <w:t>LESSONS AND RECOMMENDATIONS</w:t>
            </w:r>
            <w:bookmarkEnd w:id="125"/>
            <w:bookmarkEnd w:id="126"/>
            <w:bookmarkEnd w:id="127"/>
            <w:bookmarkEnd w:id="128"/>
            <w:bookmarkEnd w:id="129"/>
            <w:r w:rsidR="002211FE" w:rsidRPr="00B04F0C">
              <w:rPr>
                <w:rFonts w:asciiTheme="minorHAnsi" w:hAnsiTheme="minorHAnsi"/>
                <w:b/>
                <w:sz w:val="22"/>
                <w:szCs w:val="22"/>
              </w:rPr>
              <w:t xml:space="preserve"> </w:t>
            </w:r>
          </w:p>
        </w:tc>
      </w:tr>
    </w:tbl>
    <w:p w:rsidR="008707E0" w:rsidRPr="00F318AE" w:rsidRDefault="00B578E1" w:rsidP="00A63A6F">
      <w:pPr>
        <w:pStyle w:val="Normal0"/>
        <w:numPr>
          <w:ilvl w:val="0"/>
          <w:numId w:val="7"/>
        </w:numPr>
        <w:spacing w:before="240" w:after="240" w:line="240" w:lineRule="auto"/>
        <w:ind w:left="0" w:firstLine="0"/>
        <w:jc w:val="both"/>
        <w:rPr>
          <w:rFonts w:cstheme="minorHAnsi"/>
          <w:bCs/>
          <w:color w:val="000000" w:themeColor="text1"/>
          <w:sz w:val="22"/>
        </w:rPr>
      </w:pPr>
      <w:r w:rsidRPr="00F318AE">
        <w:rPr>
          <w:rFonts w:cstheme="minorHAnsi"/>
          <w:b/>
          <w:bCs/>
          <w:color w:val="000000" w:themeColor="text1"/>
          <w:sz w:val="22"/>
        </w:rPr>
        <w:t xml:space="preserve">Political will is key for a </w:t>
      </w:r>
      <w:r w:rsidR="00067346" w:rsidRPr="00F318AE">
        <w:rPr>
          <w:rFonts w:cstheme="minorHAnsi"/>
          <w:b/>
          <w:bCs/>
          <w:color w:val="000000" w:themeColor="text1"/>
          <w:sz w:val="22"/>
        </w:rPr>
        <w:t>reform-oriented</w:t>
      </w:r>
      <w:r w:rsidRPr="00F318AE">
        <w:rPr>
          <w:rFonts w:cstheme="minorHAnsi"/>
          <w:b/>
          <w:bCs/>
          <w:color w:val="000000" w:themeColor="text1"/>
          <w:sz w:val="22"/>
        </w:rPr>
        <w:t xml:space="preserve"> program to succeed</w:t>
      </w:r>
      <w:r w:rsidRPr="00F318AE">
        <w:rPr>
          <w:rFonts w:cstheme="minorHAnsi"/>
          <w:bCs/>
          <w:color w:val="000000" w:themeColor="text1"/>
          <w:sz w:val="22"/>
        </w:rPr>
        <w:t xml:space="preserve">. Since the </w:t>
      </w:r>
      <w:r w:rsidR="00F3174D">
        <w:rPr>
          <w:rFonts w:cstheme="minorHAnsi"/>
          <w:bCs/>
          <w:color w:val="000000" w:themeColor="text1"/>
          <w:sz w:val="22"/>
        </w:rPr>
        <w:t>p</w:t>
      </w:r>
      <w:r w:rsidRPr="00F318AE">
        <w:rPr>
          <w:rFonts w:cstheme="minorHAnsi"/>
          <w:bCs/>
          <w:color w:val="000000" w:themeColor="text1"/>
          <w:sz w:val="22"/>
        </w:rPr>
        <w:t xml:space="preserve">roject focused on ‘soft’ objectives such as establishment of </w:t>
      </w:r>
      <w:r w:rsidRPr="00002290">
        <w:rPr>
          <w:bCs/>
          <w:sz w:val="22"/>
        </w:rPr>
        <w:t>regulators</w:t>
      </w:r>
      <w:r w:rsidR="00F3174D">
        <w:rPr>
          <w:rFonts w:cstheme="minorHAnsi"/>
          <w:bCs/>
          <w:color w:val="000000" w:themeColor="text1"/>
          <w:sz w:val="22"/>
        </w:rPr>
        <w:t xml:space="preserve"> and</w:t>
      </w:r>
      <w:r w:rsidRPr="00F318AE">
        <w:rPr>
          <w:rFonts w:cstheme="minorHAnsi"/>
          <w:bCs/>
          <w:color w:val="000000" w:themeColor="text1"/>
          <w:sz w:val="22"/>
        </w:rPr>
        <w:t xml:space="preserve"> implementation of law(s) and regulations</w:t>
      </w:r>
      <w:r w:rsidR="000258A4" w:rsidRPr="00F318AE">
        <w:rPr>
          <w:rFonts w:cstheme="minorHAnsi"/>
          <w:bCs/>
          <w:color w:val="000000" w:themeColor="text1"/>
          <w:sz w:val="22"/>
        </w:rPr>
        <w:t xml:space="preserve">, political will </w:t>
      </w:r>
      <w:r w:rsidR="000258A4" w:rsidRPr="00F318AE">
        <w:rPr>
          <w:rFonts w:cstheme="minorHAnsi"/>
          <w:bCs/>
          <w:color w:val="000000" w:themeColor="text1"/>
          <w:sz w:val="22"/>
        </w:rPr>
        <w:lastRenderedPageBreak/>
        <w:t xml:space="preserve">was essential for its success. Political will </w:t>
      </w:r>
      <w:r w:rsidR="000258A4" w:rsidRPr="00017794">
        <w:rPr>
          <w:sz w:val="22"/>
        </w:rPr>
        <w:t>needs</w:t>
      </w:r>
      <w:r w:rsidR="000258A4" w:rsidRPr="00F318AE">
        <w:rPr>
          <w:rFonts w:cstheme="minorHAnsi"/>
          <w:bCs/>
          <w:color w:val="000000" w:themeColor="text1"/>
          <w:sz w:val="22"/>
        </w:rPr>
        <w:t xml:space="preserve"> to be sustained and the broader governance environment needs to provide enabling conditions for capacity</w:t>
      </w:r>
      <w:r w:rsidR="00F3174D">
        <w:rPr>
          <w:rFonts w:cstheme="minorHAnsi"/>
          <w:bCs/>
          <w:color w:val="000000" w:themeColor="text1"/>
          <w:sz w:val="22"/>
        </w:rPr>
        <w:t>-</w:t>
      </w:r>
      <w:r w:rsidR="000258A4" w:rsidRPr="00F318AE">
        <w:rPr>
          <w:rFonts w:cstheme="minorHAnsi"/>
          <w:bCs/>
          <w:color w:val="000000" w:themeColor="text1"/>
          <w:sz w:val="22"/>
        </w:rPr>
        <w:t xml:space="preserve">building projects to succeed. </w:t>
      </w:r>
    </w:p>
    <w:p w:rsidR="008707E0" w:rsidRPr="00F318AE" w:rsidRDefault="00B578E1" w:rsidP="00A63A6F">
      <w:pPr>
        <w:pStyle w:val="Normal0"/>
        <w:numPr>
          <w:ilvl w:val="0"/>
          <w:numId w:val="7"/>
        </w:numPr>
        <w:spacing w:after="240" w:line="240" w:lineRule="auto"/>
        <w:ind w:left="0" w:firstLine="0"/>
        <w:jc w:val="both"/>
        <w:rPr>
          <w:rFonts w:cstheme="minorHAnsi"/>
          <w:bCs/>
          <w:color w:val="000000" w:themeColor="text1"/>
          <w:sz w:val="22"/>
        </w:rPr>
      </w:pPr>
      <w:r w:rsidRPr="00F318AE">
        <w:rPr>
          <w:rFonts w:cstheme="minorHAnsi"/>
          <w:b/>
          <w:bCs/>
          <w:color w:val="000000" w:themeColor="text1"/>
          <w:sz w:val="22"/>
        </w:rPr>
        <w:t xml:space="preserve">While precautions relating to a fragile situation can be projected, wars are hard to plan for. </w:t>
      </w:r>
      <w:r w:rsidRPr="00F318AE">
        <w:rPr>
          <w:rFonts w:cstheme="minorHAnsi"/>
          <w:bCs/>
          <w:color w:val="000000" w:themeColor="text1"/>
          <w:sz w:val="22"/>
        </w:rPr>
        <w:t xml:space="preserve">In the planning for the </w:t>
      </w:r>
      <w:r w:rsidR="00F3174D">
        <w:rPr>
          <w:rFonts w:cstheme="minorHAnsi"/>
          <w:bCs/>
          <w:color w:val="000000" w:themeColor="text1"/>
          <w:sz w:val="22"/>
        </w:rPr>
        <w:t>p</w:t>
      </w:r>
      <w:r w:rsidRPr="00F318AE">
        <w:rPr>
          <w:rFonts w:cstheme="minorHAnsi"/>
          <w:bCs/>
          <w:color w:val="000000" w:themeColor="text1"/>
          <w:sz w:val="22"/>
        </w:rPr>
        <w:t>roject</w:t>
      </w:r>
      <w:r w:rsidR="007D40F9">
        <w:rPr>
          <w:rFonts w:cstheme="minorHAnsi"/>
          <w:bCs/>
          <w:color w:val="000000" w:themeColor="text1"/>
          <w:sz w:val="22"/>
        </w:rPr>
        <w:t>,</w:t>
      </w:r>
      <w:r w:rsidRPr="00F318AE">
        <w:rPr>
          <w:rFonts w:cstheme="minorHAnsi"/>
          <w:bCs/>
          <w:color w:val="000000" w:themeColor="text1"/>
          <w:sz w:val="22"/>
        </w:rPr>
        <w:t xml:space="preserve"> it </w:t>
      </w:r>
      <w:r w:rsidR="007D40F9">
        <w:rPr>
          <w:rFonts w:cstheme="minorHAnsi"/>
          <w:bCs/>
          <w:color w:val="000000" w:themeColor="text1"/>
          <w:sz w:val="22"/>
        </w:rPr>
        <w:t>was</w:t>
      </w:r>
      <w:r w:rsidRPr="00F318AE">
        <w:rPr>
          <w:rFonts w:cstheme="minorHAnsi"/>
          <w:bCs/>
          <w:color w:val="000000" w:themeColor="text1"/>
          <w:sz w:val="22"/>
        </w:rPr>
        <w:t xml:space="preserve"> clear that the task team as well as the client understood the challenges stemming from the civil armed conflict in late 2008 and early 2009 and took that into account. However, the war of 2014 was hard to foresee. </w:t>
      </w:r>
      <w:r w:rsidR="00EC49B1" w:rsidRPr="00F318AE">
        <w:rPr>
          <w:rFonts w:cstheme="minorHAnsi"/>
          <w:bCs/>
          <w:color w:val="000000" w:themeColor="text1"/>
          <w:sz w:val="22"/>
        </w:rPr>
        <w:t xml:space="preserve">In conflict situations flexibility and </w:t>
      </w:r>
      <w:r w:rsidR="009E58AC" w:rsidRPr="00F318AE">
        <w:rPr>
          <w:rFonts w:cstheme="minorHAnsi"/>
          <w:bCs/>
          <w:color w:val="000000" w:themeColor="text1"/>
          <w:sz w:val="22"/>
        </w:rPr>
        <w:t xml:space="preserve">active engagement is imperative and flexibility in being able to adapt </w:t>
      </w:r>
      <w:r w:rsidR="009E58AC" w:rsidRPr="00017794">
        <w:rPr>
          <w:sz w:val="22"/>
        </w:rPr>
        <w:t>and</w:t>
      </w:r>
      <w:r w:rsidR="009E58AC" w:rsidRPr="00F318AE">
        <w:rPr>
          <w:rFonts w:cstheme="minorHAnsi"/>
          <w:bCs/>
          <w:color w:val="000000" w:themeColor="text1"/>
          <w:sz w:val="22"/>
        </w:rPr>
        <w:t xml:space="preserve"> change are key.</w:t>
      </w:r>
    </w:p>
    <w:p w:rsidR="008707E0" w:rsidRPr="00F318AE" w:rsidRDefault="00B578E1" w:rsidP="00A63A6F">
      <w:pPr>
        <w:pStyle w:val="Normal0"/>
        <w:numPr>
          <w:ilvl w:val="0"/>
          <w:numId w:val="7"/>
        </w:numPr>
        <w:spacing w:after="240" w:line="240" w:lineRule="auto"/>
        <w:ind w:left="0" w:firstLine="0"/>
        <w:jc w:val="both"/>
        <w:rPr>
          <w:rFonts w:cstheme="minorHAnsi"/>
          <w:bCs/>
          <w:color w:val="000000" w:themeColor="text1"/>
          <w:sz w:val="22"/>
        </w:rPr>
      </w:pPr>
      <w:r w:rsidRPr="00F318AE">
        <w:rPr>
          <w:rFonts w:cstheme="minorHAnsi"/>
          <w:b/>
          <w:bCs/>
          <w:color w:val="000000" w:themeColor="text1"/>
          <w:sz w:val="22"/>
        </w:rPr>
        <w:t xml:space="preserve">Working closely with the partner to see reform efforts through is imperative. </w:t>
      </w:r>
      <w:r w:rsidRPr="00F318AE">
        <w:rPr>
          <w:rFonts w:cstheme="minorHAnsi"/>
          <w:bCs/>
          <w:color w:val="000000" w:themeColor="text1"/>
          <w:sz w:val="22"/>
        </w:rPr>
        <w:t xml:space="preserve">Close collaboration among project partners was crucial to ensure implementation and achievement of objectives. The longer-term nature of policy and </w:t>
      </w:r>
      <w:r w:rsidRPr="00002290">
        <w:rPr>
          <w:bCs/>
          <w:sz w:val="22"/>
        </w:rPr>
        <w:t>reform</w:t>
      </w:r>
      <w:r w:rsidRPr="00F318AE">
        <w:rPr>
          <w:rFonts w:cstheme="minorHAnsi"/>
          <w:bCs/>
          <w:color w:val="000000" w:themeColor="text1"/>
          <w:sz w:val="22"/>
        </w:rPr>
        <w:t xml:space="preserve"> investments means that to fully see them come to fruition, lasting partnerships with clear responsibilities </w:t>
      </w:r>
      <w:r w:rsidRPr="00017794">
        <w:rPr>
          <w:sz w:val="22"/>
        </w:rPr>
        <w:t>are</w:t>
      </w:r>
      <w:r w:rsidRPr="00F318AE">
        <w:rPr>
          <w:rFonts w:cstheme="minorHAnsi"/>
          <w:bCs/>
          <w:color w:val="000000" w:themeColor="text1"/>
          <w:sz w:val="22"/>
        </w:rPr>
        <w:t xml:space="preserve"> needed.</w:t>
      </w:r>
      <w:r w:rsidR="009E58AC" w:rsidRPr="00F318AE">
        <w:rPr>
          <w:rFonts w:cstheme="minorHAnsi"/>
          <w:bCs/>
          <w:color w:val="000000" w:themeColor="text1"/>
          <w:sz w:val="22"/>
        </w:rPr>
        <w:t xml:space="preserve"> </w:t>
      </w:r>
      <w:r w:rsidR="009E58AC" w:rsidRPr="00F318AE">
        <w:rPr>
          <w:bCs/>
          <w:sz w:val="22"/>
        </w:rPr>
        <w:t>The World Bank Water Security Development Program (under development) will be important in taking the reforms forward.</w:t>
      </w:r>
      <w:r w:rsidR="000F13ED">
        <w:rPr>
          <w:bCs/>
          <w:sz w:val="22"/>
        </w:rPr>
        <w:t xml:space="preserve"> </w:t>
      </w:r>
    </w:p>
    <w:p w:rsidR="008707E0" w:rsidRPr="00F318AE" w:rsidRDefault="00B578E1" w:rsidP="00A63A6F">
      <w:pPr>
        <w:pStyle w:val="Normal0"/>
        <w:numPr>
          <w:ilvl w:val="0"/>
          <w:numId w:val="7"/>
        </w:numPr>
        <w:spacing w:after="240" w:line="240" w:lineRule="auto"/>
        <w:ind w:left="0" w:firstLine="0"/>
        <w:jc w:val="both"/>
        <w:rPr>
          <w:rFonts w:cstheme="minorHAnsi"/>
          <w:bCs/>
          <w:color w:val="000000" w:themeColor="text1"/>
          <w:sz w:val="22"/>
        </w:rPr>
      </w:pPr>
      <w:r w:rsidRPr="00F318AE">
        <w:rPr>
          <w:rFonts w:cstheme="minorHAnsi"/>
          <w:b/>
          <w:bCs/>
          <w:color w:val="000000" w:themeColor="text1"/>
          <w:sz w:val="22"/>
        </w:rPr>
        <w:t>Break</w:t>
      </w:r>
      <w:r w:rsidR="003654EE" w:rsidRPr="00F318AE">
        <w:rPr>
          <w:rFonts w:cstheme="minorHAnsi"/>
          <w:b/>
          <w:bCs/>
          <w:color w:val="000000" w:themeColor="text1"/>
          <w:sz w:val="22"/>
        </w:rPr>
        <w:t>ing</w:t>
      </w:r>
      <w:r w:rsidRPr="00F318AE">
        <w:rPr>
          <w:rFonts w:cstheme="minorHAnsi"/>
          <w:b/>
          <w:bCs/>
          <w:color w:val="000000" w:themeColor="text1"/>
          <w:sz w:val="22"/>
        </w:rPr>
        <w:t xml:space="preserve"> reform TA into small parts </w:t>
      </w:r>
      <w:r w:rsidR="003654EE" w:rsidRPr="00F318AE">
        <w:rPr>
          <w:rFonts w:cstheme="minorHAnsi"/>
          <w:b/>
          <w:bCs/>
          <w:color w:val="000000" w:themeColor="text1"/>
          <w:sz w:val="22"/>
        </w:rPr>
        <w:t>ensures</w:t>
      </w:r>
      <w:r w:rsidRPr="00F318AE">
        <w:rPr>
          <w:rFonts w:cstheme="minorHAnsi"/>
          <w:b/>
          <w:bCs/>
          <w:color w:val="000000" w:themeColor="text1"/>
          <w:sz w:val="22"/>
        </w:rPr>
        <w:t xml:space="preserve"> that TA can iteratively adapt to the reform environment as it evolves and avoid funding </w:t>
      </w:r>
      <w:r w:rsidRPr="00FA0A03">
        <w:rPr>
          <w:b/>
          <w:sz w:val="22"/>
        </w:rPr>
        <w:t>unnecessary</w:t>
      </w:r>
      <w:r w:rsidRPr="00F318AE">
        <w:rPr>
          <w:rFonts w:cstheme="minorHAnsi"/>
          <w:b/>
          <w:bCs/>
          <w:color w:val="000000" w:themeColor="text1"/>
          <w:sz w:val="22"/>
        </w:rPr>
        <w:t xml:space="preserve"> outputs</w:t>
      </w:r>
      <w:r w:rsidR="008F268B" w:rsidRPr="00F318AE">
        <w:rPr>
          <w:rFonts w:cstheme="minorHAnsi"/>
          <w:b/>
          <w:bCs/>
          <w:color w:val="000000" w:themeColor="text1"/>
          <w:sz w:val="22"/>
        </w:rPr>
        <w:t>.</w:t>
      </w:r>
      <w:r w:rsidR="008F268B" w:rsidRPr="00F318AE">
        <w:rPr>
          <w:rFonts w:cstheme="minorHAnsi"/>
          <w:bCs/>
          <w:color w:val="000000" w:themeColor="text1"/>
          <w:sz w:val="22"/>
        </w:rPr>
        <w:t xml:space="preserve"> Similarly, </w:t>
      </w:r>
      <w:r w:rsidRPr="00F318AE">
        <w:rPr>
          <w:rFonts w:cstheme="minorHAnsi"/>
          <w:bCs/>
          <w:color w:val="000000" w:themeColor="text1"/>
          <w:sz w:val="22"/>
        </w:rPr>
        <w:t>outsourcing reform TA as large firm contracts</w:t>
      </w:r>
      <w:r w:rsidR="008F268B" w:rsidRPr="00F318AE">
        <w:rPr>
          <w:rFonts w:cstheme="minorHAnsi"/>
          <w:bCs/>
          <w:color w:val="000000" w:themeColor="text1"/>
          <w:sz w:val="22"/>
        </w:rPr>
        <w:t xml:space="preserve"> should be </w:t>
      </w:r>
      <w:r w:rsidR="008F268B" w:rsidRPr="00002290">
        <w:rPr>
          <w:bCs/>
          <w:sz w:val="22"/>
        </w:rPr>
        <w:t>avoided</w:t>
      </w:r>
      <w:r w:rsidR="00F3174D">
        <w:rPr>
          <w:bCs/>
          <w:sz w:val="22"/>
        </w:rPr>
        <w:t>,</w:t>
      </w:r>
      <w:r w:rsidRPr="00F318AE">
        <w:rPr>
          <w:rFonts w:cstheme="minorHAnsi"/>
          <w:bCs/>
          <w:color w:val="000000" w:themeColor="text1"/>
          <w:sz w:val="22"/>
        </w:rPr>
        <w:t xml:space="preserve"> particularly</w:t>
      </w:r>
      <w:r w:rsidR="00F3174D">
        <w:rPr>
          <w:rFonts w:cstheme="minorHAnsi"/>
          <w:bCs/>
          <w:color w:val="000000" w:themeColor="text1"/>
          <w:sz w:val="22"/>
        </w:rPr>
        <w:t>,</w:t>
      </w:r>
      <w:r w:rsidRPr="00F318AE">
        <w:rPr>
          <w:rFonts w:cstheme="minorHAnsi"/>
          <w:bCs/>
          <w:color w:val="000000" w:themeColor="text1"/>
          <w:sz w:val="22"/>
        </w:rPr>
        <w:t xml:space="preserve"> where the anchor reform document (law or policy) has not been endorsed by </w:t>
      </w:r>
      <w:r w:rsidR="00F3174D">
        <w:rPr>
          <w:rFonts w:cstheme="minorHAnsi"/>
          <w:bCs/>
          <w:color w:val="000000" w:themeColor="text1"/>
          <w:sz w:val="22"/>
        </w:rPr>
        <w:t xml:space="preserve">the </w:t>
      </w:r>
      <w:r w:rsidRPr="00F318AE">
        <w:rPr>
          <w:rFonts w:cstheme="minorHAnsi"/>
          <w:bCs/>
          <w:color w:val="000000" w:themeColor="text1"/>
          <w:sz w:val="22"/>
        </w:rPr>
        <w:t>cabinet (or equivalent).</w:t>
      </w:r>
    </w:p>
    <w:p w:rsidR="0046170A" w:rsidRPr="00F318AE" w:rsidRDefault="00B578E1" w:rsidP="00A63A6F">
      <w:pPr>
        <w:pStyle w:val="Normal0"/>
        <w:numPr>
          <w:ilvl w:val="0"/>
          <w:numId w:val="7"/>
        </w:numPr>
        <w:spacing w:after="240" w:line="240" w:lineRule="auto"/>
        <w:ind w:left="0" w:firstLine="0"/>
        <w:jc w:val="both"/>
        <w:rPr>
          <w:rFonts w:cstheme="minorHAnsi"/>
          <w:bCs/>
          <w:color w:val="000000" w:themeColor="text1"/>
          <w:sz w:val="22"/>
        </w:rPr>
      </w:pPr>
      <w:r w:rsidRPr="00F318AE">
        <w:rPr>
          <w:rFonts w:cstheme="minorHAnsi"/>
          <w:b/>
          <w:bCs/>
          <w:color w:val="000000" w:themeColor="text1"/>
          <w:sz w:val="22"/>
        </w:rPr>
        <w:t>Partition</w:t>
      </w:r>
      <w:r w:rsidR="003E23F2" w:rsidRPr="00F318AE">
        <w:rPr>
          <w:rFonts w:cstheme="minorHAnsi"/>
          <w:b/>
          <w:bCs/>
          <w:color w:val="000000" w:themeColor="text1"/>
          <w:sz w:val="22"/>
        </w:rPr>
        <w:t>ing</w:t>
      </w:r>
      <w:r w:rsidRPr="00F318AE">
        <w:rPr>
          <w:rFonts w:cstheme="minorHAnsi"/>
          <w:b/>
          <w:bCs/>
          <w:color w:val="000000" w:themeColor="text1"/>
          <w:sz w:val="22"/>
        </w:rPr>
        <w:t xml:space="preserve"> TA to the reform between </w:t>
      </w:r>
      <w:r w:rsidR="00F3174D">
        <w:rPr>
          <w:rFonts w:cstheme="minorHAnsi"/>
          <w:b/>
          <w:bCs/>
          <w:color w:val="000000" w:themeColor="text1"/>
          <w:sz w:val="22"/>
        </w:rPr>
        <w:t xml:space="preserve">World </w:t>
      </w:r>
      <w:r w:rsidRPr="00F318AE">
        <w:rPr>
          <w:rFonts w:cstheme="minorHAnsi"/>
          <w:b/>
          <w:bCs/>
          <w:color w:val="000000" w:themeColor="text1"/>
          <w:sz w:val="22"/>
        </w:rPr>
        <w:t xml:space="preserve">Bank and </w:t>
      </w:r>
      <w:r w:rsidR="00F3174D">
        <w:rPr>
          <w:rFonts w:cstheme="minorHAnsi"/>
          <w:b/>
          <w:bCs/>
          <w:color w:val="000000" w:themeColor="text1"/>
          <w:sz w:val="22"/>
        </w:rPr>
        <w:t>r</w:t>
      </w:r>
      <w:r w:rsidRPr="00F318AE">
        <w:rPr>
          <w:rFonts w:cstheme="minorHAnsi"/>
          <w:b/>
          <w:bCs/>
          <w:color w:val="000000" w:themeColor="text1"/>
          <w:sz w:val="22"/>
        </w:rPr>
        <w:t>ecipient execution</w:t>
      </w:r>
      <w:r w:rsidR="003E23F2" w:rsidRPr="00F318AE">
        <w:rPr>
          <w:rFonts w:cstheme="minorHAnsi"/>
          <w:b/>
          <w:bCs/>
          <w:color w:val="000000" w:themeColor="text1"/>
          <w:sz w:val="22"/>
        </w:rPr>
        <w:t xml:space="preserve"> ensures improved efficiency.</w:t>
      </w:r>
      <w:r w:rsidR="003E23F2" w:rsidRPr="00F318AE">
        <w:rPr>
          <w:rFonts w:cstheme="minorHAnsi"/>
          <w:bCs/>
          <w:color w:val="000000" w:themeColor="text1"/>
          <w:sz w:val="22"/>
        </w:rPr>
        <w:t xml:space="preserve"> This partitioning should</w:t>
      </w:r>
      <w:r w:rsidRPr="00F318AE">
        <w:rPr>
          <w:rFonts w:cstheme="minorHAnsi"/>
          <w:bCs/>
          <w:color w:val="000000" w:themeColor="text1"/>
          <w:sz w:val="22"/>
        </w:rPr>
        <w:t xml:space="preserve"> depend on the </w:t>
      </w:r>
      <w:r w:rsidR="00F3174D">
        <w:rPr>
          <w:rFonts w:cstheme="minorHAnsi"/>
          <w:bCs/>
          <w:color w:val="000000" w:themeColor="text1"/>
          <w:sz w:val="22"/>
        </w:rPr>
        <w:t>(</w:t>
      </w:r>
      <w:r w:rsidRPr="00F318AE">
        <w:rPr>
          <w:rFonts w:cstheme="minorHAnsi"/>
          <w:bCs/>
          <w:color w:val="000000" w:themeColor="text1"/>
          <w:sz w:val="22"/>
        </w:rPr>
        <w:t>a) level of expertise</w:t>
      </w:r>
      <w:r w:rsidR="007D40F9">
        <w:rPr>
          <w:rFonts w:cstheme="minorHAnsi"/>
          <w:bCs/>
          <w:color w:val="000000" w:themeColor="text1"/>
          <w:sz w:val="22"/>
        </w:rPr>
        <w:t>,</w:t>
      </w:r>
      <w:r w:rsidRPr="00F318AE">
        <w:rPr>
          <w:rFonts w:cstheme="minorHAnsi"/>
          <w:bCs/>
          <w:color w:val="000000" w:themeColor="text1"/>
          <w:sz w:val="22"/>
        </w:rPr>
        <w:t xml:space="preserve"> </w:t>
      </w:r>
      <w:r w:rsidR="00F3174D">
        <w:rPr>
          <w:rFonts w:cstheme="minorHAnsi"/>
          <w:bCs/>
          <w:color w:val="000000" w:themeColor="text1"/>
          <w:sz w:val="22"/>
        </w:rPr>
        <w:t>(</w:t>
      </w:r>
      <w:r w:rsidRPr="00F318AE">
        <w:rPr>
          <w:rFonts w:cstheme="minorHAnsi"/>
          <w:bCs/>
          <w:color w:val="000000" w:themeColor="text1"/>
          <w:sz w:val="22"/>
        </w:rPr>
        <w:t>b) flexibility</w:t>
      </w:r>
      <w:r w:rsidR="007D40F9">
        <w:rPr>
          <w:rFonts w:cstheme="minorHAnsi"/>
          <w:bCs/>
          <w:color w:val="000000" w:themeColor="text1"/>
          <w:sz w:val="22"/>
        </w:rPr>
        <w:t>,</w:t>
      </w:r>
      <w:r w:rsidRPr="00F318AE">
        <w:rPr>
          <w:rFonts w:cstheme="minorHAnsi"/>
          <w:bCs/>
          <w:color w:val="000000" w:themeColor="text1"/>
          <w:sz w:val="22"/>
        </w:rPr>
        <w:t xml:space="preserve"> and </w:t>
      </w:r>
      <w:r w:rsidR="00F3174D">
        <w:rPr>
          <w:rFonts w:cstheme="minorHAnsi"/>
          <w:bCs/>
          <w:color w:val="000000" w:themeColor="text1"/>
          <w:sz w:val="22"/>
        </w:rPr>
        <w:t>(</w:t>
      </w:r>
      <w:r w:rsidRPr="00F318AE">
        <w:rPr>
          <w:rFonts w:cstheme="minorHAnsi"/>
          <w:bCs/>
          <w:color w:val="000000" w:themeColor="text1"/>
          <w:sz w:val="22"/>
        </w:rPr>
        <w:t xml:space="preserve">c) country ownership required for different tangible </w:t>
      </w:r>
      <w:r w:rsidRPr="00002290">
        <w:rPr>
          <w:bCs/>
          <w:sz w:val="22"/>
        </w:rPr>
        <w:t>and</w:t>
      </w:r>
      <w:r w:rsidRPr="00F318AE">
        <w:rPr>
          <w:rFonts w:cstheme="minorHAnsi"/>
          <w:bCs/>
          <w:color w:val="000000" w:themeColor="text1"/>
          <w:sz w:val="22"/>
        </w:rPr>
        <w:t xml:space="preserve"> intangible parts of the reform</w:t>
      </w:r>
      <w:r w:rsidR="008F268B" w:rsidRPr="00F318AE">
        <w:rPr>
          <w:rFonts w:cstheme="minorHAnsi"/>
          <w:bCs/>
          <w:color w:val="000000" w:themeColor="text1"/>
          <w:sz w:val="22"/>
        </w:rPr>
        <w:t xml:space="preserve">. </w:t>
      </w:r>
      <w:r w:rsidRPr="00F318AE">
        <w:rPr>
          <w:rFonts w:cstheme="minorHAnsi"/>
          <w:bCs/>
          <w:color w:val="000000" w:themeColor="text1"/>
          <w:sz w:val="22"/>
        </w:rPr>
        <w:t>The institutionalization of functions (</w:t>
      </w:r>
      <w:r w:rsidR="00F3174D">
        <w:rPr>
          <w:rFonts w:cstheme="minorHAnsi"/>
          <w:bCs/>
          <w:color w:val="000000" w:themeColor="text1"/>
          <w:sz w:val="22"/>
        </w:rPr>
        <w:t>for example,</w:t>
      </w:r>
      <w:r w:rsidRPr="00F318AE">
        <w:rPr>
          <w:rFonts w:cstheme="minorHAnsi"/>
          <w:bCs/>
          <w:color w:val="000000" w:themeColor="text1"/>
          <w:sz w:val="22"/>
        </w:rPr>
        <w:t xml:space="preserve"> utility performance monitoring) needs to be supported with revenue assignments to finance those functions</w:t>
      </w:r>
      <w:r w:rsidR="008F268B" w:rsidRPr="00F318AE">
        <w:rPr>
          <w:rFonts w:cstheme="minorHAnsi"/>
          <w:bCs/>
          <w:color w:val="000000" w:themeColor="text1"/>
          <w:sz w:val="22"/>
        </w:rPr>
        <w:t xml:space="preserve">. </w:t>
      </w:r>
      <w:r w:rsidRPr="00F318AE">
        <w:rPr>
          <w:rFonts w:cstheme="minorHAnsi"/>
          <w:bCs/>
          <w:color w:val="000000" w:themeColor="text1"/>
          <w:sz w:val="22"/>
        </w:rPr>
        <w:t xml:space="preserve">The reform instruments and the performance monitoring of service provision should be integrated to ensure that there is a feedback loop to drive the evolution of reform instruments and that reform instruments </w:t>
      </w:r>
      <w:r w:rsidRPr="00017794">
        <w:rPr>
          <w:sz w:val="22"/>
        </w:rPr>
        <w:t>support</w:t>
      </w:r>
      <w:r w:rsidRPr="00F318AE">
        <w:rPr>
          <w:rFonts w:cstheme="minorHAnsi"/>
          <w:bCs/>
          <w:color w:val="000000" w:themeColor="text1"/>
          <w:sz w:val="22"/>
        </w:rPr>
        <w:t xml:space="preserve"> performance improvements.</w:t>
      </w:r>
    </w:p>
    <w:sdt>
      <w:sdtPr>
        <w:rPr>
          <w:rFonts w:asciiTheme="minorHAnsi" w:hAnsiTheme="minorHAnsi"/>
          <w:b/>
          <w:bCs/>
          <w:color w:val="7F7F7F" w:themeColor="text1" w:themeTint="80"/>
          <w:sz w:val="22"/>
          <w:szCs w:val="22"/>
        </w:rPr>
        <w:id w:val="1442621807"/>
        <w:lock w:val="sdtContentLocked"/>
        <w:placeholder>
          <w:docPart w:val="907ABA86110D43A3A29F785143380194"/>
        </w:placeholder>
        <w:showingPlcHdr/>
      </w:sdtPr>
      <w:sdtEndPr/>
      <w:sdtContent>
        <w:p w:rsidR="0037578F" w:rsidRDefault="00B578E1" w:rsidP="00735935">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rsidR="003615CB" w:rsidRDefault="003615CB" w:rsidP="00735935">
      <w:pPr>
        <w:spacing w:line="14" w:lineRule="exact"/>
        <w:ind w:left="-792"/>
        <w:rPr>
          <w:rFonts w:asciiTheme="minorHAnsi" w:hAnsiTheme="minorHAnsi"/>
          <w:b/>
          <w:bCs/>
          <w:color w:val="7F7F7F" w:themeColor="text1" w:themeTint="80"/>
          <w:sz w:val="22"/>
          <w:szCs w:val="22"/>
        </w:rPr>
        <w:sectPr w:rsidR="003615CB" w:rsidSect="00D22AE0">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06032A" w:rsidTr="008565D8">
        <w:trPr>
          <w:trHeight w:val="432"/>
        </w:trPr>
        <w:tc>
          <w:tcPr>
            <w:tcW w:w="14130" w:type="dxa"/>
            <w:shd w:val="clear" w:color="auto" w:fill="F2F7FC"/>
            <w:vAlign w:val="center"/>
          </w:tcPr>
          <w:p w:rsidR="003615CB" w:rsidRPr="00B77CBF" w:rsidRDefault="00B578E1" w:rsidP="003615CB">
            <w:pPr>
              <w:pStyle w:val="NoSpacing"/>
              <w:jc w:val="center"/>
              <w:outlineLvl w:val="0"/>
              <w:rPr>
                <w:rFonts w:asciiTheme="minorHAnsi" w:hAnsiTheme="minorHAnsi"/>
                <w:b/>
              </w:rPr>
            </w:pPr>
            <w:bookmarkStart w:id="130" w:name="_Toc256000031"/>
            <w:bookmarkStart w:id="131" w:name="_Toc485984585"/>
            <w:bookmarkStart w:id="132" w:name="_Toc510969718"/>
            <w:bookmarkStart w:id="133" w:name="_Toc516132510"/>
            <w:r w:rsidRPr="00467FB1">
              <w:rPr>
                <w:rFonts w:asciiTheme="minorHAnsi" w:hAnsiTheme="minorHAnsi"/>
                <w:b/>
              </w:rPr>
              <w:lastRenderedPageBreak/>
              <w:t>ANNEX 1. RESULTS FRAMEWORK AND KEY OUTPUTS</w:t>
            </w:r>
            <w:bookmarkEnd w:id="130"/>
            <w:bookmarkEnd w:id="131"/>
            <w:bookmarkEnd w:id="132"/>
            <w:bookmarkEnd w:id="133"/>
          </w:p>
        </w:tc>
      </w:tr>
    </w:tbl>
    <w:p w:rsidR="00787DFF" w:rsidRDefault="000636D9" w:rsidP="001C4803">
      <w:pPr>
        <w:spacing w:line="14" w:lineRule="exact"/>
        <w:ind w:left="-691" w:right="-418"/>
        <w:rPr>
          <w:rFonts w:asciiTheme="minorHAnsi" w:hAnsiTheme="minorHAnsi"/>
          <w:b/>
          <w:bCs/>
          <w:color w:val="7F7F7F" w:themeColor="text1" w:themeTint="80"/>
          <w:sz w:val="22"/>
          <w:szCs w:val="22"/>
        </w:rPr>
      </w:pPr>
      <w:sdt>
        <w:sdtPr>
          <w:rPr>
            <w:rFonts w:asciiTheme="minorHAnsi" w:hAnsiTheme="minorHAnsi"/>
            <w:b/>
            <w:bCs/>
            <w:color w:val="7F7F7F" w:themeColor="text1" w:themeTint="80"/>
            <w:sz w:val="22"/>
            <w:szCs w:val="22"/>
          </w:rPr>
          <w:id w:val="1954677205"/>
          <w:lock w:val="sdtContentLocked"/>
          <w:placeholder>
            <w:docPart w:val="3F0B331C2F344760AE61C9A706D5C719"/>
          </w:placeholder>
          <w:showingPlcHdr/>
        </w:sdtPr>
        <w:sdtEndPr/>
        <w:sdtContent>
          <w:r w:rsidR="0088031C">
            <w:rPr>
              <w:rFonts w:asciiTheme="minorHAnsi" w:hAnsiTheme="minorHAnsi"/>
              <w:b/>
              <w:bCs/>
              <w:color w:val="7F7F7F" w:themeColor="text1" w:themeTint="80"/>
              <w:sz w:val="22"/>
              <w:szCs w:val="22"/>
            </w:rPr>
            <w:t xml:space="preserve"> </w:t>
          </w:r>
        </w:sdtContent>
      </w:sdt>
    </w:p>
    <w:sdt>
      <w:sdtPr>
        <w:rPr>
          <w:rFonts w:asciiTheme="minorHAnsi" w:eastAsiaTheme="minorHAnsi" w:hAnsiTheme="minorHAnsi" w:cstheme="minorBidi"/>
          <w:color w:val="auto"/>
          <w:sz w:val="22"/>
          <w:szCs w:val="22"/>
        </w:rPr>
        <w:tag w:val="OPS_CORE_DATA_BLOCK"/>
        <w:id w:val="1532512630"/>
        <w:lock w:val="sdtContentLocked"/>
        <w:placeholder>
          <w:docPart w:val="DefaultPlaceholder_22675703"/>
        </w:placeholder>
        <w:group/>
      </w:sdtPr>
      <w:sdtEndPr/>
      <w:sdtContent>
        <w:sdt>
          <w:sdtPr>
            <w:rPr>
              <w:rFonts w:asciiTheme="minorHAnsi" w:hAnsiTheme="minorHAnsi"/>
              <w:b/>
              <w:bCs/>
              <w:color w:val="7F7F7F" w:themeColor="text1" w:themeTint="80"/>
              <w:sz w:val="22"/>
              <w:szCs w:val="22"/>
            </w:rPr>
            <w:tag w:val="OPS_CORE_SECTION_START_9"/>
            <w:id w:val="232408346"/>
            <w:lock w:val="sdtContentLocked"/>
            <w:placeholder>
              <w:docPart w:val="38EE8AFCAAEB42E59B4C2A50AE10D130"/>
            </w:placeholder>
          </w:sdtPr>
          <w:sdtEndPr/>
          <w:sdtContent>
            <w:p w:rsidR="00735935" w:rsidRPr="00735935" w:rsidRDefault="00B578E1" w:rsidP="00787DFF">
              <w:pPr>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3939DF" w:rsidRDefault="003939DF" w:rsidP="001C4803">
          <w:pPr>
            <w:pStyle w:val="Normal75"/>
            <w:spacing w:line="14" w:lineRule="exact"/>
            <w:ind w:left="-691" w:right="-418"/>
            <w:rPr>
              <w:rFonts w:ascii="Calibri" w:hAnsi="Calibri"/>
              <w:b/>
              <w:bCs/>
              <w:color w:val="7F7F7F"/>
              <w:sz w:val="22"/>
              <w:szCs w:val="22"/>
            </w:rPr>
          </w:pPr>
        </w:p>
        <w:p w:rsidR="003615CB" w:rsidRDefault="003615CB" w:rsidP="00735935">
          <w:pPr>
            <w:pStyle w:val="Normal75"/>
            <w:shd w:val="clear" w:color="auto" w:fill="F7F7F7"/>
            <w:ind w:left="-691" w:right="-418"/>
            <w:rPr>
              <w:rFonts w:ascii="Calibri" w:hAnsi="Calibri"/>
              <w:b/>
              <w:bCs/>
              <w:color w:val="7F7F7F"/>
              <w:sz w:val="22"/>
              <w:szCs w:val="22"/>
            </w:rPr>
          </w:pPr>
        </w:p>
        <w:p w:rsidR="00DE494F" w:rsidRPr="000B236A" w:rsidRDefault="00B578E1" w:rsidP="00DE494F">
          <w:pPr>
            <w:pStyle w:val="ListParagraph11"/>
            <w:numPr>
              <w:ilvl w:val="0"/>
              <w:numId w:val="2"/>
            </w:numPr>
            <w:shd w:val="clear" w:color="auto" w:fill="F7F7F7"/>
            <w:ind w:right="-418"/>
            <w:rPr>
              <w:rFonts w:ascii="Calibri" w:hAnsi="Calibri"/>
              <w:b/>
              <w:bCs/>
              <w:color w:val="172D5F"/>
              <w:sz w:val="22"/>
            </w:rPr>
          </w:pPr>
          <w:r w:rsidRPr="000B236A">
            <w:rPr>
              <w:rFonts w:ascii="Calibri" w:hAnsi="Calibri"/>
              <w:b/>
              <w:bCs/>
              <w:color w:val="172D5F"/>
              <w:sz w:val="22"/>
            </w:rPr>
            <w:t>RESULTS INDICATORS</w:t>
          </w:r>
        </w:p>
        <w:p w:rsidR="00DE494F" w:rsidRDefault="00DE494F" w:rsidP="00735935">
          <w:pPr>
            <w:pStyle w:val="Normal75"/>
            <w:shd w:val="clear" w:color="auto" w:fill="F7F7F7"/>
            <w:ind w:left="-691" w:right="-418"/>
            <w:rPr>
              <w:rFonts w:ascii="Calibri" w:hAnsi="Calibri"/>
              <w:b/>
              <w:bCs/>
              <w:color w:val="7F7F7F"/>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06032A" w:rsidTr="008B685B">
            <w:trPr>
              <w:trHeight w:val="243"/>
            </w:trPr>
            <w:tc>
              <w:tcPr>
                <w:tcW w:w="14130" w:type="dxa"/>
                <w:shd w:val="clear" w:color="auto" w:fill="F7F7F7"/>
              </w:tcPr>
              <w:p w:rsidR="00D8106A" w:rsidRPr="00C63E2C" w:rsidRDefault="00B578E1" w:rsidP="008B685B">
                <w:pPr>
                  <w:pStyle w:val="Normal75"/>
                  <w:keepNext/>
                  <w:rPr>
                    <w:rFonts w:ascii="Calibri" w:hAnsi="Calibri"/>
                    <w:b/>
                    <w:bCs/>
                    <w:color w:val="172D5F"/>
                    <w:sz w:val="22"/>
                  </w:rPr>
                </w:pPr>
                <w:r w:rsidRPr="00C63E2C">
                  <w:rPr>
                    <w:rFonts w:ascii="Calibri" w:hAnsi="Calibri"/>
                    <w:b/>
                    <w:bCs/>
                    <w:color w:val="172D5F"/>
                    <w:sz w:val="22"/>
                  </w:rPr>
                  <w:t>A.1 PDO Indicators</w:t>
                </w:r>
              </w:p>
              <w:p w:rsidR="00D8106A" w:rsidRPr="00C63E2C" w:rsidRDefault="00D8106A" w:rsidP="008B685B">
                <w:pPr>
                  <w:pStyle w:val="Normal75"/>
                  <w:keepNext/>
                  <w:rPr>
                    <w:rFonts w:ascii="Calibri" w:hAnsi="Calibri"/>
                    <w:sz w:val="22"/>
                  </w:rPr>
                </w:pPr>
              </w:p>
            </w:tc>
          </w:tr>
        </w:tbl>
        <w:p w:rsidR="00D8106A" w:rsidRPr="00C63E2C" w:rsidRDefault="00D8106A" w:rsidP="00D8106A">
          <w:pPr>
            <w:pStyle w:val="Normal75"/>
            <w:keepNext/>
            <w:shd w:val="clear" w:color="auto" w:fill="F7F7F7"/>
            <w:spacing w:line="14" w:lineRule="exact"/>
            <w:ind w:left="-691" w:right="-418"/>
            <w:rPr>
              <w:rFonts w:ascii="Calibri" w:hAnsi="Calibri"/>
              <w:b/>
              <w:bCs/>
              <w:color w:val="7F7F7F"/>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14130"/>
          </w:tblGrid>
          <w:tr w:rsidR="0006032A" w:rsidTr="008B685B">
            <w:trPr>
              <w:trHeight w:val="20"/>
              <w:tblHeader/>
            </w:trPr>
            <w:tc>
              <w:tcPr>
                <w:tcW w:w="14130" w:type="dxa"/>
                <w:shd w:val="clear" w:color="auto" w:fill="F7F7F7"/>
                <w:vAlign w:val="center"/>
              </w:tcPr>
              <w:p w:rsidR="00D8106A" w:rsidRPr="00C63E2C" w:rsidRDefault="00D8106A" w:rsidP="008B685B">
                <w:pPr>
                  <w:pStyle w:val="Normal75"/>
                  <w:keepNext/>
                  <w:widowControl/>
                  <w:spacing w:line="14" w:lineRule="exact"/>
                  <w:ind w:left="115"/>
                  <w:rPr>
                    <w:rFonts w:ascii="Calibri" w:hAnsi="Calibri"/>
                    <w:b/>
                    <w:color w:val="FF0000"/>
                    <w:sz w:val="2"/>
                    <w:szCs w:val="22"/>
                  </w:rPr>
                </w:pPr>
              </w:p>
            </w:tc>
          </w:tr>
          <w:tr w:rsidR="0006032A" w:rsidTr="008B685B">
            <w:trPr>
              <w:trHeight w:val="55"/>
            </w:trPr>
            <w:tc>
              <w:tcPr>
                <w:tcW w:w="14130" w:type="dxa"/>
                <w:shd w:val="clear" w:color="auto" w:fill="F7F7F7"/>
                <w:vAlign w:val="center"/>
              </w:tcPr>
              <w:p w:rsidR="00D8106A" w:rsidRPr="00C63E2C" w:rsidRDefault="00D8106A" w:rsidP="008B685B">
                <w:pPr>
                  <w:pStyle w:val="Normal75"/>
                  <w:shd w:val="clear" w:color="auto" w:fill="F7F7F7"/>
                  <w:spacing w:line="14" w:lineRule="exact"/>
                  <w:rPr>
                    <w:rFonts w:ascii="Calibri" w:hAnsi="Calibr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06032A" w:rsidTr="00B622A3">
                  <w:trPr>
                    <w:gridAfter w:val="1"/>
                    <w:wAfter w:w="21" w:type="dxa"/>
                    <w:trHeight w:val="20"/>
                  </w:trPr>
                  <w:tc>
                    <w:tcPr>
                      <w:tcW w:w="13955" w:type="dxa"/>
                      <w:gridSpan w:val="6"/>
                      <w:tcBorders>
                        <w:top w:val="nil"/>
                        <w:left w:val="nil"/>
                        <w:bottom w:val="nil"/>
                        <w:right w:val="nil"/>
                      </w:tcBorders>
                      <w:shd w:val="clear" w:color="auto" w:fill="F7F7F7"/>
                      <w:vAlign w:val="center"/>
                    </w:tcPr>
                    <w:p w:rsidR="00D8106A" w:rsidRPr="00F16CCF" w:rsidRDefault="00D8106A" w:rsidP="008B685B">
                      <w:pPr>
                        <w:pStyle w:val="Normal75"/>
                        <w:keepNext/>
                        <w:spacing w:line="14" w:lineRule="exact"/>
                        <w:ind w:left="115"/>
                        <w:rPr>
                          <w:rFonts w:ascii="Calibri" w:hAnsi="Calibri"/>
                          <w:b/>
                          <w:sz w:val="22"/>
                          <w:szCs w:val="22"/>
                        </w:rPr>
                      </w:pPr>
                    </w:p>
                  </w:tc>
                </w:tr>
                <w:tr w:rsidR="0006032A" w:rsidTr="00B622A3">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F16CCF">
                        <w:rPr>
                          <w:rFonts w:ascii="Calibri" w:hAnsi="Calibri"/>
                          <w:b/>
                          <w:sz w:val="22"/>
                          <w:szCs w:val="22"/>
                        </w:rPr>
                        <w:fldChar w:fldCharType="begin"/>
                      </w:r>
                      <w:r w:rsidRPr="00F16CCF">
                        <w:rPr>
                          <w:rFonts w:ascii="Calibri" w:hAnsi="Calibri"/>
                          <w:b/>
                          <w:sz w:val="22"/>
                          <w:szCs w:val="22"/>
                        </w:rPr>
                        <w:instrText xml:space="preserve"> IF </w:instrText>
                      </w:r>
                      <w:r w:rsidRPr="00F16CCF">
                        <w:rPr>
                          <w:rFonts w:ascii="Calibri" w:hAnsi="Calibri"/>
                          <w:b/>
                          <w:noProof/>
                          <w:sz w:val="22"/>
                          <w:szCs w:val="22"/>
                        </w:rPr>
                        <w:instrText>Y</w:instrText>
                      </w:r>
                      <w:r w:rsidRPr="00F16CCF">
                        <w:rPr>
                          <w:rFonts w:ascii="Calibri" w:hAnsi="Calibri"/>
                          <w:b/>
                          <w:sz w:val="22"/>
                          <w:szCs w:val="22"/>
                        </w:rPr>
                        <w:instrText xml:space="preserve"> ="Y" "</w:instrText>
                      </w:r>
                      <w:r w:rsidRPr="00F16CCF">
                        <w:rPr>
                          <w:rFonts w:ascii="Calibri" w:hAnsi="Calibri"/>
                          <w:b/>
                          <w:color w:val="404040"/>
                          <w:sz w:val="22"/>
                          <w:szCs w:val="22"/>
                        </w:rPr>
                        <w:instrText xml:space="preserve"> Objective/Outcome:</w:instrText>
                      </w:r>
                      <w:r>
                        <w:rPr>
                          <w:rFonts w:ascii="Calibri" w:hAnsi="Calibri"/>
                          <w:b/>
                          <w:color w:val="404040"/>
                          <w:sz w:val="22"/>
                          <w:szCs w:val="22"/>
                        </w:rPr>
                        <w:instrText xml:space="preserve"> </w:instrText>
                      </w:r>
                      <w:r w:rsidRPr="00F16CCF">
                        <w:rPr>
                          <w:rFonts w:ascii="Calibri" w:hAnsi="Calibri"/>
                          <w:b/>
                          <w:sz w:val="22"/>
                          <w:szCs w:val="22"/>
                        </w:rPr>
                        <w:instrText xml:space="preserve">" " " </w:instrText>
                      </w:r>
                      <w:r w:rsidRPr="00F16CCF">
                        <w:rPr>
                          <w:rFonts w:ascii="Calibri" w:hAnsi="Calibri"/>
                          <w:b/>
                          <w:sz w:val="22"/>
                          <w:szCs w:val="22"/>
                        </w:rPr>
                        <w:fldChar w:fldCharType="separate"/>
                      </w:r>
                      <w:r w:rsidRPr="00F16CCF">
                        <w:rPr>
                          <w:rFonts w:ascii="Calibri" w:hAnsi="Calibri"/>
                          <w:b/>
                          <w:color w:val="404040"/>
                          <w:sz w:val="22"/>
                          <w:szCs w:val="22"/>
                        </w:rPr>
                        <w:t xml:space="preserve"> Objective/Outcome:</w:t>
                      </w:r>
                      <w:r>
                        <w:rPr>
                          <w:rFonts w:ascii="Calibri" w:hAnsi="Calibri"/>
                          <w:b/>
                          <w:color w:val="404040"/>
                          <w:sz w:val="22"/>
                          <w:szCs w:val="22"/>
                        </w:rPr>
                        <w:t xml:space="preserve"> </w:t>
                      </w:r>
                      <w:r w:rsidRPr="00F16CCF">
                        <w:rPr>
                          <w:rFonts w:ascii="Calibri" w:hAnsi="Calibri"/>
                          <w:b/>
                          <w:sz w:val="22"/>
                          <w:szCs w:val="22"/>
                        </w:rPr>
                        <w:fldChar w:fldCharType="end"/>
                      </w:r>
                      <w:r w:rsidRPr="00D311A5">
                        <w:rPr>
                          <w:rFonts w:ascii="Calibri" w:hAnsi="Calibri"/>
                          <w:bCs/>
                          <w:noProof/>
                          <w:sz w:val="22"/>
                          <w:szCs w:val="22"/>
                        </w:rPr>
                        <w:t>Strengthen the capacity of PWA to effectively plan water sector development</w:t>
                      </w:r>
                    </w:p>
                  </w:tc>
                </w:tr>
                <w:tr w:rsidR="0006032A" w:rsidTr="00B622A3">
                  <w:trPr>
                    <w:trHeight w:val="288"/>
                  </w:trPr>
                  <w:tc>
                    <w:tcPr>
                      <w:tcW w:w="3155"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 xml:space="preserve">Formally Revised </w:t>
                      </w:r>
                    </w:p>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Actual Achieved at Completion</w:t>
                      </w:r>
                    </w:p>
                  </w:tc>
                </w:tr>
                <w:tr w:rsidR="0006032A" w:rsidTr="00B622A3">
                  <w:trPr>
                    <w:trHeight w:val="345"/>
                  </w:trPr>
                  <w:tc>
                    <w:tcPr>
                      <w:tcW w:w="3155" w:type="dxa"/>
                      <w:vMerge w:val="restart"/>
                      <w:tcBorders>
                        <w:top w:val="single" w:sz="4" w:space="0" w:color="D9D9D9"/>
                      </w:tcBorders>
                      <w:shd w:val="clear" w:color="auto" w:fill="F7F7F7"/>
                    </w:tcPr>
                    <w:p w:rsidR="00D8106A" w:rsidRPr="00C63E2C" w:rsidRDefault="00B578E1" w:rsidP="008B685B">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Sector Reform Planning Document developed, Updated yearly approved yearly by PWA and COMSC</w:t>
                      </w:r>
                    </w:p>
                  </w:tc>
                  <w:tc>
                    <w:tcPr>
                      <w:tcW w:w="14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r>
                <w:tr w:rsidR="0006032A" w:rsidTr="00B622A3">
                  <w:trPr>
                    <w:trHeight w:val="345"/>
                  </w:trPr>
                  <w:tc>
                    <w:tcPr>
                      <w:tcW w:w="3155" w:type="dxa"/>
                      <w:vMerge/>
                      <w:shd w:val="clear" w:color="auto" w:fill="F7F7F7"/>
                    </w:tcPr>
                    <w:p w:rsidR="00D8106A" w:rsidRPr="00C63E2C" w:rsidRDefault="00D8106A" w:rsidP="008B685B">
                      <w:pPr>
                        <w:pStyle w:val="Normal75"/>
                        <w:spacing w:before="100" w:after="100"/>
                        <w:ind w:left="144" w:right="144"/>
                        <w:rPr>
                          <w:rFonts w:ascii="Calibri" w:hAnsi="Calibri"/>
                          <w:b/>
                          <w:bCs/>
                          <w:color w:val="7F7F7F"/>
                          <w:sz w:val="22"/>
                          <w:szCs w:val="22"/>
                        </w:rPr>
                      </w:pPr>
                    </w:p>
                  </w:tc>
                  <w:tc>
                    <w:tcPr>
                      <w:tcW w:w="1440" w:type="dxa"/>
                      <w:tcBorders>
                        <w:top w:val="nil"/>
                      </w:tcBorders>
                      <w:shd w:val="clear" w:color="auto" w:fill="F7F7F7"/>
                    </w:tcPr>
                    <w:p w:rsidR="00D8106A" w:rsidRPr="00C63E2C" w:rsidRDefault="00D8106A" w:rsidP="008B685B">
                      <w:pPr>
                        <w:pStyle w:val="Normal75"/>
                        <w:spacing w:before="100" w:after="100"/>
                        <w:ind w:left="144"/>
                        <w:rPr>
                          <w:rFonts w:ascii="Calibri" w:hAnsi="Calibri"/>
                          <w:bCs/>
                          <w:sz w:val="22"/>
                          <w:szCs w:val="22"/>
                        </w:rPr>
                      </w:pP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03-Mar-2011</w:t>
                      </w: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tcBorders>
                      <w:shd w:val="clear" w:color="auto" w:fill="F7F7F7"/>
                    </w:tcPr>
                    <w:p w:rsidR="00D8106A" w:rsidRPr="00C63E2C" w:rsidRDefault="00B578E1" w:rsidP="008B685B">
                      <w:pPr>
                        <w:pStyle w:val="Normal75"/>
                        <w:spacing w:before="100" w:after="100"/>
                        <w:ind w:left="144" w:right="144"/>
                        <w:rPr>
                          <w:rFonts w:ascii="Calibri" w:hAnsi="Calibri"/>
                          <w:sz w:val="22"/>
                          <w:szCs w:val="22"/>
                        </w:rPr>
                      </w:pPr>
                      <w:r w:rsidRPr="00C63E2C">
                        <w:rPr>
                          <w:rFonts w:ascii="Calibri" w:hAnsi="Calibri"/>
                          <w:noProof/>
                          <w:sz w:val="22"/>
                          <w:szCs w:val="22"/>
                        </w:rPr>
                        <w:t>29-Dec-2017</w:t>
                      </w:r>
                    </w:p>
                  </w:tc>
                </w:tr>
                <w:tr w:rsidR="0006032A" w:rsidTr="00B622A3">
                  <w:trPr>
                    <w:gridAfter w:val="1"/>
                    <w:wAfter w:w="21" w:type="dxa"/>
                    <w:trHeight w:val="288"/>
                  </w:trPr>
                  <w:tc>
                    <w:tcPr>
                      <w:tcW w:w="13955" w:type="dxa"/>
                      <w:gridSpan w:val="6"/>
                      <w:tcBorders>
                        <w:bottom w:val="nil"/>
                      </w:tcBorders>
                      <w:shd w:val="clear" w:color="auto" w:fill="F7F7F7"/>
                    </w:tcPr>
                    <w:p w:rsidR="00D8106A" w:rsidRPr="00C63E2C" w:rsidRDefault="00D8106A" w:rsidP="008B685B">
                      <w:pPr>
                        <w:pStyle w:val="Normal75"/>
                        <w:spacing w:line="14" w:lineRule="exact"/>
                        <w:ind w:left="72"/>
                        <w:rPr>
                          <w:rFonts w:ascii="Calibri" w:hAnsi="Calibri"/>
                          <w:noProof/>
                          <w:sz w:val="22"/>
                          <w:szCs w:val="22"/>
                        </w:rPr>
                      </w:pPr>
                    </w:p>
                  </w:tc>
                </w:tr>
                <w:tr w:rsidR="0006032A" w:rsidTr="00B622A3">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100%,  as the Sector Planning Document has been developed and is updated yearly.  During project implementation four reform programs were developed and published, the latest one is for the Reform Plan for 2016-2018.</w:t>
                      </w:r>
                    </w:p>
                  </w:tc>
                </w:tr>
                <w:tr w:rsidR="0006032A" w:rsidTr="00B622A3">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RDefault="00D8106A" w:rsidP="008B685B">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rPr>
                    <w:rFonts w:ascii="Calibri" w:hAnsi="Calibri"/>
                    <w:b/>
                    <w:bCs/>
                    <w:color w:val="7F7F7F"/>
                    <w:sz w:val="22"/>
                    <w:szCs w:val="22"/>
                  </w:rPr>
                </w:pPr>
              </w:p>
              <w:p w:rsidR="00D8106A" w:rsidRPr="00C63E2C" w:rsidRDefault="00D8106A" w:rsidP="008B685B">
                <w:pPr>
                  <w:pStyle w:val="Normal75"/>
                  <w:shd w:val="clear" w:color="auto" w:fill="F7F7F7"/>
                  <w:spacing w:line="14" w:lineRule="exact"/>
                  <w:rPr>
                    <w:rFonts w:ascii="Calibri" w:hAnsi="Calibr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06032A" w:rsidTr="00B622A3">
                  <w:trPr>
                    <w:trHeight w:val="288"/>
                  </w:trPr>
                  <w:tc>
                    <w:tcPr>
                      <w:tcW w:w="3155"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 xml:space="preserve">Formally Revised </w:t>
                      </w:r>
                    </w:p>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Actual Achieved at Completion</w:t>
                      </w:r>
                    </w:p>
                  </w:tc>
                </w:tr>
                <w:tr w:rsidR="0006032A" w:rsidTr="00B622A3">
                  <w:trPr>
                    <w:trHeight w:val="345"/>
                  </w:trPr>
                  <w:tc>
                    <w:tcPr>
                      <w:tcW w:w="3155" w:type="dxa"/>
                      <w:vMerge w:val="restart"/>
                      <w:tcBorders>
                        <w:top w:val="single" w:sz="4" w:space="0" w:color="D9D9D9"/>
                      </w:tcBorders>
                      <w:shd w:val="clear" w:color="auto" w:fill="F7F7F7"/>
                    </w:tcPr>
                    <w:p w:rsidR="00D8106A" w:rsidRPr="00C63E2C" w:rsidRDefault="00B578E1" w:rsidP="008B685B">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Water Sector Policy and Strategy approved by PWA</w:t>
                      </w:r>
                    </w:p>
                  </w:tc>
                  <w:tc>
                    <w:tcPr>
                      <w:tcW w:w="14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r>
                <w:tr w:rsidR="0006032A" w:rsidTr="00B622A3">
                  <w:trPr>
                    <w:trHeight w:val="345"/>
                  </w:trPr>
                  <w:tc>
                    <w:tcPr>
                      <w:tcW w:w="3155" w:type="dxa"/>
                      <w:vMerge/>
                      <w:shd w:val="clear" w:color="auto" w:fill="F7F7F7"/>
                    </w:tcPr>
                    <w:p w:rsidR="00D8106A" w:rsidRPr="00C63E2C" w:rsidRDefault="00D8106A" w:rsidP="008B685B">
                      <w:pPr>
                        <w:pStyle w:val="Normal75"/>
                        <w:spacing w:before="100" w:after="100"/>
                        <w:ind w:left="144" w:right="144"/>
                        <w:rPr>
                          <w:rFonts w:ascii="Calibri" w:hAnsi="Calibri"/>
                          <w:b/>
                          <w:bCs/>
                          <w:color w:val="7F7F7F"/>
                          <w:sz w:val="22"/>
                          <w:szCs w:val="22"/>
                        </w:rPr>
                      </w:pPr>
                    </w:p>
                  </w:tc>
                  <w:tc>
                    <w:tcPr>
                      <w:tcW w:w="1440" w:type="dxa"/>
                      <w:tcBorders>
                        <w:top w:val="nil"/>
                      </w:tcBorders>
                      <w:shd w:val="clear" w:color="auto" w:fill="F7F7F7"/>
                    </w:tcPr>
                    <w:p w:rsidR="00D8106A" w:rsidRPr="00C63E2C" w:rsidRDefault="00D8106A" w:rsidP="008B685B">
                      <w:pPr>
                        <w:pStyle w:val="Normal75"/>
                        <w:spacing w:before="100" w:after="100"/>
                        <w:ind w:left="144"/>
                        <w:rPr>
                          <w:rFonts w:ascii="Calibri" w:hAnsi="Calibri"/>
                          <w:bCs/>
                          <w:sz w:val="22"/>
                          <w:szCs w:val="22"/>
                        </w:rPr>
                      </w:pP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tcBorders>
                      <w:shd w:val="clear" w:color="auto" w:fill="F7F7F7"/>
                    </w:tcPr>
                    <w:p w:rsidR="00D8106A" w:rsidRPr="00C63E2C" w:rsidRDefault="00B578E1" w:rsidP="008B685B">
                      <w:pPr>
                        <w:pStyle w:val="Normal75"/>
                        <w:spacing w:before="100" w:after="100"/>
                        <w:ind w:left="144" w:right="144"/>
                        <w:rPr>
                          <w:rFonts w:ascii="Calibri" w:hAnsi="Calibri"/>
                          <w:sz w:val="22"/>
                          <w:szCs w:val="22"/>
                        </w:rPr>
                      </w:pPr>
                      <w:r w:rsidRPr="00C63E2C">
                        <w:rPr>
                          <w:rFonts w:ascii="Calibri" w:hAnsi="Calibri"/>
                          <w:noProof/>
                          <w:sz w:val="22"/>
                          <w:szCs w:val="22"/>
                        </w:rPr>
                        <w:t>29-Dec-2017</w:t>
                      </w:r>
                    </w:p>
                  </w:tc>
                </w:tr>
                <w:tr w:rsidR="0006032A" w:rsidTr="00B622A3">
                  <w:trPr>
                    <w:gridAfter w:val="1"/>
                    <w:wAfter w:w="21" w:type="dxa"/>
                    <w:trHeight w:val="288"/>
                  </w:trPr>
                  <w:tc>
                    <w:tcPr>
                      <w:tcW w:w="13955" w:type="dxa"/>
                      <w:gridSpan w:val="6"/>
                      <w:tcBorders>
                        <w:bottom w:val="nil"/>
                      </w:tcBorders>
                      <w:shd w:val="clear" w:color="auto" w:fill="F7F7F7"/>
                    </w:tcPr>
                    <w:p w:rsidR="00D8106A" w:rsidRPr="00C63E2C" w:rsidRDefault="00D8106A" w:rsidP="008B685B">
                      <w:pPr>
                        <w:pStyle w:val="Normal75"/>
                        <w:spacing w:line="14" w:lineRule="exact"/>
                        <w:ind w:left="72"/>
                        <w:rPr>
                          <w:rFonts w:ascii="Calibri" w:hAnsi="Calibri"/>
                          <w:noProof/>
                          <w:sz w:val="22"/>
                          <w:szCs w:val="22"/>
                        </w:rPr>
                      </w:pPr>
                    </w:p>
                  </w:tc>
                </w:tr>
                <w:tr w:rsidR="0006032A" w:rsidTr="00B622A3">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Target over-achieved.  The PWA has developed the Water Sector Policy and Strategy for 2012-2032 which included the water sector strategic development plans (2017-2022 and 2013 – 2032) and developed the following water sector polices, which are under implementation: </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 Policy and a Strategy on Capacity Development of the Water Sector; </w:t>
                      </w:r>
                    </w:p>
                    <w:p w:rsidR="004B546B" w:rsidRDefault="00B578E1" w:rsidP="004B546B">
                      <w:pPr>
                        <w:pStyle w:val="Normal75"/>
                        <w:ind w:left="90"/>
                        <w:rPr>
                          <w:rFonts w:ascii="Calibri" w:hAnsi="Calibri"/>
                          <w:sz w:val="22"/>
                          <w:szCs w:val="22"/>
                        </w:rPr>
                      </w:pPr>
                      <w:r>
                        <w:rPr>
                          <w:rFonts w:ascii="Calibri" w:hAnsi="Calibri"/>
                          <w:noProof/>
                          <w:sz w:val="22"/>
                          <w:szCs w:val="22"/>
                        </w:rPr>
                        <w:t>2. National Water Awareness Strategy;</w:t>
                      </w:r>
                    </w:p>
                    <w:p w:rsidR="004B546B" w:rsidRDefault="00B578E1" w:rsidP="004B546B">
                      <w:pPr>
                        <w:pStyle w:val="Normal75"/>
                        <w:ind w:left="90"/>
                        <w:rPr>
                          <w:rFonts w:ascii="Calibri" w:hAnsi="Calibri"/>
                          <w:sz w:val="22"/>
                          <w:szCs w:val="22"/>
                        </w:rPr>
                      </w:pPr>
                      <w:r>
                        <w:rPr>
                          <w:rFonts w:ascii="Calibri" w:hAnsi="Calibri"/>
                          <w:noProof/>
                          <w:sz w:val="22"/>
                          <w:szCs w:val="22"/>
                        </w:rPr>
                        <w:t>3. General Policy for Water Demand Management Concepts and Principles;</w:t>
                      </w:r>
                    </w:p>
                    <w:p w:rsidR="004B546B" w:rsidRDefault="00B578E1" w:rsidP="004B546B">
                      <w:pPr>
                        <w:pStyle w:val="Normal75"/>
                        <w:ind w:left="90"/>
                        <w:rPr>
                          <w:rFonts w:ascii="Calibri" w:hAnsi="Calibri"/>
                          <w:sz w:val="22"/>
                          <w:szCs w:val="22"/>
                        </w:rPr>
                      </w:pPr>
                      <w:r>
                        <w:rPr>
                          <w:rFonts w:ascii="Calibri" w:hAnsi="Calibri"/>
                          <w:noProof/>
                          <w:sz w:val="22"/>
                          <w:szCs w:val="22"/>
                        </w:rPr>
                        <w:t>4. Strategic plan for Water Information System;</w:t>
                      </w:r>
                    </w:p>
                    <w:p w:rsidR="004B546B" w:rsidRDefault="00B578E1" w:rsidP="004B546B">
                      <w:pPr>
                        <w:pStyle w:val="Normal75"/>
                        <w:ind w:left="90"/>
                        <w:rPr>
                          <w:rFonts w:ascii="Calibri" w:hAnsi="Calibri"/>
                          <w:sz w:val="22"/>
                          <w:szCs w:val="22"/>
                        </w:rPr>
                      </w:pPr>
                      <w:r>
                        <w:rPr>
                          <w:rFonts w:ascii="Calibri" w:hAnsi="Calibri"/>
                          <w:noProof/>
                          <w:sz w:val="22"/>
                          <w:szCs w:val="22"/>
                        </w:rPr>
                        <w:t xml:space="preserve">5. Water Sector Strategic Plan and action plan; </w:t>
                      </w:r>
                    </w:p>
                    <w:p w:rsidR="004B546B" w:rsidRDefault="00B578E1" w:rsidP="004B546B">
                      <w:pPr>
                        <w:pStyle w:val="Normal75"/>
                        <w:ind w:left="90"/>
                        <w:rPr>
                          <w:rFonts w:ascii="Calibri" w:hAnsi="Calibri"/>
                          <w:sz w:val="22"/>
                          <w:szCs w:val="22"/>
                        </w:rPr>
                      </w:pPr>
                      <w:r>
                        <w:rPr>
                          <w:rFonts w:ascii="Calibri" w:hAnsi="Calibri"/>
                          <w:noProof/>
                          <w:sz w:val="22"/>
                          <w:szCs w:val="22"/>
                        </w:rPr>
                        <w:t>6. 10 policies for the Water Sector (Water Policy Equity in Water Distribution, Alternative Water Resources Policy, Non-Revenue Water Policy, Improving Sanitation Services Policy, Polluter Pays Policy, Financial Sustainability Policy, Transparency and Accountability Policy, Community Participation Policy, Partnership with Private Sector Policy, Promotion for Water Sector Policies);</w:t>
                      </w:r>
                    </w:p>
                    <w:p w:rsidR="004B546B" w:rsidRDefault="00B578E1" w:rsidP="004B546B">
                      <w:pPr>
                        <w:pStyle w:val="Normal75"/>
                        <w:ind w:left="90"/>
                        <w:rPr>
                          <w:rFonts w:ascii="Calibri" w:hAnsi="Calibri"/>
                          <w:sz w:val="22"/>
                          <w:szCs w:val="22"/>
                        </w:rPr>
                      </w:pPr>
                      <w:r>
                        <w:rPr>
                          <w:rFonts w:ascii="Calibri" w:hAnsi="Calibri"/>
                          <w:noProof/>
                          <w:sz w:val="22"/>
                          <w:szCs w:val="22"/>
                        </w:rPr>
                        <w:t xml:space="preserve">7. Trans-boundary Water Resources Strategy and Action Plan; </w:t>
                      </w:r>
                    </w:p>
                    <w:p w:rsidR="004B546B" w:rsidRDefault="00B578E1" w:rsidP="004B546B">
                      <w:pPr>
                        <w:pStyle w:val="Normal75"/>
                        <w:ind w:left="90"/>
                        <w:rPr>
                          <w:rFonts w:ascii="Calibri" w:hAnsi="Calibri"/>
                          <w:sz w:val="22"/>
                          <w:szCs w:val="22"/>
                        </w:rPr>
                      </w:pPr>
                      <w:r>
                        <w:rPr>
                          <w:rFonts w:ascii="Calibri" w:hAnsi="Calibri"/>
                          <w:noProof/>
                          <w:sz w:val="22"/>
                          <w:szCs w:val="22"/>
                        </w:rPr>
                        <w:t xml:space="preserve">8. Development of many Regulations; </w:t>
                      </w:r>
                    </w:p>
                    <w:p w:rsidR="004B546B" w:rsidRDefault="00B578E1" w:rsidP="004B546B">
                      <w:pPr>
                        <w:pStyle w:val="Normal75"/>
                        <w:ind w:left="90"/>
                        <w:rPr>
                          <w:rFonts w:ascii="Calibri" w:hAnsi="Calibri"/>
                          <w:sz w:val="22"/>
                          <w:szCs w:val="22"/>
                        </w:rPr>
                      </w:pPr>
                      <w:r>
                        <w:rPr>
                          <w:rFonts w:ascii="Calibri" w:hAnsi="Calibri"/>
                          <w:noProof/>
                          <w:sz w:val="22"/>
                          <w:szCs w:val="22"/>
                        </w:rPr>
                        <w:t>9. Gender Mainstreaming Guideline for Palestinian Water Sector.</w:t>
                      </w:r>
                    </w:p>
                    <w:p w:rsidR="004B546B" w:rsidRDefault="004B546B" w:rsidP="004B546B">
                      <w:pPr>
                        <w:pStyle w:val="Normal75"/>
                        <w:ind w:left="90"/>
                        <w:rPr>
                          <w:rFonts w:ascii="Calibri" w:hAnsi="Calibri"/>
                          <w:sz w:val="22"/>
                          <w:szCs w:val="22"/>
                        </w:rPr>
                      </w:pPr>
                    </w:p>
                    <w:p w:rsidR="00D8106A" w:rsidRPr="00C63E2C" w:rsidRDefault="004B546B" w:rsidP="004B546B">
                      <w:pPr>
                        <w:pStyle w:val="Normal75"/>
                        <w:ind w:left="90"/>
                        <w:rPr>
                          <w:rFonts w:ascii="Calibri" w:hAnsi="Calibri"/>
                          <w:sz w:val="22"/>
                          <w:szCs w:val="22"/>
                        </w:rPr>
                      </w:pPr>
                      <w:r>
                        <w:rPr>
                          <w:rFonts w:ascii="Calibri" w:hAnsi="Calibri"/>
                          <w:noProof/>
                          <w:sz w:val="22"/>
                          <w:szCs w:val="22"/>
                        </w:rPr>
                        <w:t>Within the reform at PWA level the following was completed: PWA Strategic plan and implementation plan 2017-2019, PWA Training and Development Strategy, and Training Guidelines, PWA Administrative and Financial Guidelines.</w:t>
                      </w:r>
                    </w:p>
                  </w:tc>
                </w:tr>
                <w:tr w:rsidR="0006032A" w:rsidTr="00B622A3">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RDefault="00D8106A" w:rsidP="008B685B">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rPr>
                    <w:rFonts w:ascii="Calibri" w:hAnsi="Calibri"/>
                    <w:b/>
                    <w:bCs/>
                    <w:color w:val="7F7F7F"/>
                    <w:sz w:val="22"/>
                    <w:szCs w:val="22"/>
                  </w:rPr>
                </w:pPr>
              </w:p>
              <w:p w:rsidR="00D8106A" w:rsidRPr="00C63E2C" w:rsidRDefault="00D8106A" w:rsidP="008B685B">
                <w:pPr>
                  <w:pStyle w:val="Normal75"/>
                  <w:shd w:val="clear" w:color="auto" w:fill="F7F7F7"/>
                  <w:spacing w:line="14" w:lineRule="exact"/>
                  <w:rPr>
                    <w:rFonts w:ascii="Calibri" w:hAnsi="Calibr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06032A" w:rsidTr="00B622A3">
                  <w:trPr>
                    <w:gridAfter w:val="1"/>
                    <w:wAfter w:w="21" w:type="dxa"/>
                    <w:trHeight w:val="20"/>
                  </w:trPr>
                  <w:tc>
                    <w:tcPr>
                      <w:tcW w:w="13955" w:type="dxa"/>
                      <w:gridSpan w:val="6"/>
                      <w:tcBorders>
                        <w:top w:val="nil"/>
                        <w:left w:val="nil"/>
                        <w:bottom w:val="nil"/>
                        <w:right w:val="nil"/>
                      </w:tcBorders>
                      <w:shd w:val="clear" w:color="auto" w:fill="F7F7F7"/>
                      <w:vAlign w:val="center"/>
                    </w:tcPr>
                    <w:p w:rsidR="00D8106A" w:rsidRPr="00F16CCF" w:rsidRDefault="00D8106A" w:rsidP="008B685B">
                      <w:pPr>
                        <w:pStyle w:val="Normal75"/>
                        <w:keepNext/>
                        <w:spacing w:line="14" w:lineRule="exact"/>
                        <w:ind w:left="115"/>
                        <w:rPr>
                          <w:rFonts w:ascii="Calibri" w:hAnsi="Calibri"/>
                          <w:b/>
                          <w:sz w:val="22"/>
                          <w:szCs w:val="22"/>
                        </w:rPr>
                      </w:pPr>
                    </w:p>
                  </w:tc>
                </w:tr>
                <w:tr w:rsidR="0006032A" w:rsidTr="00B622A3">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F16CCF">
                        <w:rPr>
                          <w:rFonts w:ascii="Calibri" w:hAnsi="Calibri"/>
                          <w:b/>
                          <w:sz w:val="22"/>
                          <w:szCs w:val="22"/>
                        </w:rPr>
                        <w:fldChar w:fldCharType="begin"/>
                      </w:r>
                      <w:r w:rsidRPr="00F16CCF">
                        <w:rPr>
                          <w:rFonts w:ascii="Calibri" w:hAnsi="Calibri"/>
                          <w:b/>
                          <w:sz w:val="22"/>
                          <w:szCs w:val="22"/>
                        </w:rPr>
                        <w:instrText xml:space="preserve"> IF </w:instrText>
                      </w:r>
                      <w:r w:rsidRPr="00F16CCF">
                        <w:rPr>
                          <w:rFonts w:ascii="Calibri" w:hAnsi="Calibri"/>
                          <w:b/>
                          <w:noProof/>
                          <w:sz w:val="22"/>
                          <w:szCs w:val="22"/>
                        </w:rPr>
                        <w:instrText>Y</w:instrText>
                      </w:r>
                      <w:r w:rsidRPr="00F16CCF">
                        <w:rPr>
                          <w:rFonts w:ascii="Calibri" w:hAnsi="Calibri"/>
                          <w:b/>
                          <w:sz w:val="22"/>
                          <w:szCs w:val="22"/>
                        </w:rPr>
                        <w:instrText xml:space="preserve"> ="Y" "</w:instrText>
                      </w:r>
                      <w:r w:rsidRPr="00F16CCF">
                        <w:rPr>
                          <w:rFonts w:ascii="Calibri" w:hAnsi="Calibri"/>
                          <w:b/>
                          <w:color w:val="404040"/>
                          <w:sz w:val="22"/>
                          <w:szCs w:val="22"/>
                        </w:rPr>
                        <w:instrText xml:space="preserve"> Objective/Outcome:</w:instrText>
                      </w:r>
                      <w:r>
                        <w:rPr>
                          <w:rFonts w:ascii="Calibri" w:hAnsi="Calibri"/>
                          <w:b/>
                          <w:color w:val="404040"/>
                          <w:sz w:val="22"/>
                          <w:szCs w:val="22"/>
                        </w:rPr>
                        <w:instrText xml:space="preserve"> </w:instrText>
                      </w:r>
                      <w:r w:rsidRPr="00F16CCF">
                        <w:rPr>
                          <w:rFonts w:ascii="Calibri" w:hAnsi="Calibri"/>
                          <w:b/>
                          <w:sz w:val="22"/>
                          <w:szCs w:val="22"/>
                        </w:rPr>
                        <w:instrText xml:space="preserve">" " " </w:instrText>
                      </w:r>
                      <w:r w:rsidRPr="00F16CCF">
                        <w:rPr>
                          <w:rFonts w:ascii="Calibri" w:hAnsi="Calibri"/>
                          <w:b/>
                          <w:sz w:val="22"/>
                          <w:szCs w:val="22"/>
                        </w:rPr>
                        <w:fldChar w:fldCharType="separate"/>
                      </w:r>
                      <w:r w:rsidRPr="00F16CCF">
                        <w:rPr>
                          <w:rFonts w:ascii="Calibri" w:hAnsi="Calibri"/>
                          <w:b/>
                          <w:color w:val="404040"/>
                          <w:sz w:val="22"/>
                          <w:szCs w:val="22"/>
                        </w:rPr>
                        <w:t xml:space="preserve"> Objective/Outcome:</w:t>
                      </w:r>
                      <w:r>
                        <w:rPr>
                          <w:rFonts w:ascii="Calibri" w:hAnsi="Calibri"/>
                          <w:b/>
                          <w:color w:val="404040"/>
                          <w:sz w:val="22"/>
                          <w:szCs w:val="22"/>
                        </w:rPr>
                        <w:t xml:space="preserve"> </w:t>
                      </w:r>
                      <w:r w:rsidRPr="00F16CCF">
                        <w:rPr>
                          <w:rFonts w:ascii="Calibri" w:hAnsi="Calibri"/>
                          <w:b/>
                          <w:sz w:val="22"/>
                          <w:szCs w:val="22"/>
                        </w:rPr>
                        <w:fldChar w:fldCharType="end"/>
                      </w:r>
                      <w:r w:rsidRPr="00D311A5">
                        <w:rPr>
                          <w:rFonts w:ascii="Calibri" w:hAnsi="Calibri"/>
                          <w:bCs/>
                          <w:noProof/>
                          <w:sz w:val="22"/>
                          <w:szCs w:val="22"/>
                        </w:rPr>
                        <w:t>Strengthen the capacity of PWA to effectively monitor water sector development</w:t>
                      </w:r>
                    </w:p>
                  </w:tc>
                </w:tr>
                <w:tr w:rsidR="0006032A" w:rsidTr="00B622A3">
                  <w:trPr>
                    <w:trHeight w:val="288"/>
                  </w:trPr>
                  <w:tc>
                    <w:tcPr>
                      <w:tcW w:w="3155"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 xml:space="preserve">Formally Revised </w:t>
                      </w:r>
                    </w:p>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Actual Achieved at Completion</w:t>
                      </w:r>
                    </w:p>
                  </w:tc>
                </w:tr>
                <w:tr w:rsidR="0006032A" w:rsidTr="00B622A3">
                  <w:trPr>
                    <w:trHeight w:val="345"/>
                  </w:trPr>
                  <w:tc>
                    <w:tcPr>
                      <w:tcW w:w="3155" w:type="dxa"/>
                      <w:vMerge w:val="restart"/>
                      <w:tcBorders>
                        <w:top w:val="single" w:sz="4" w:space="0" w:color="D9D9D9"/>
                      </w:tcBorders>
                      <w:shd w:val="clear" w:color="auto" w:fill="F7F7F7"/>
                    </w:tcPr>
                    <w:p w:rsidR="00D8106A" w:rsidRPr="00C63E2C" w:rsidRDefault="00B578E1" w:rsidP="008B685B">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Monitoring Reports on Service Providers performance are developed and published annually</w:t>
                      </w:r>
                    </w:p>
                  </w:tc>
                  <w:tc>
                    <w:tcPr>
                      <w:tcW w:w="14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Pr>
                          <w:rFonts w:ascii="Calibri" w:hAnsi="Calibri"/>
                          <w:bCs/>
                          <w:sz w:val="22"/>
                          <w:szCs w:val="22"/>
                        </w:rPr>
                      </w:pPr>
                      <w:r w:rsidRPr="00C63E2C">
                        <w:rPr>
                          <w:rFonts w:ascii="Calibri" w:hAnsi="Calibri"/>
                          <w:bCs/>
                          <w:noProof/>
                          <w:sz w:val="22"/>
                          <w:szCs w:val="22"/>
                        </w:rPr>
                        <w:t>Text</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noProof/>
                          <w:sz w:val="22"/>
                          <w:szCs w:val="22"/>
                        </w:rPr>
                        <w:t>None</w:t>
                      </w:r>
                    </w:p>
                  </w:tc>
                  <w:tc>
                    <w:tcPr>
                      <w:tcW w:w="23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Not in the original operation, indicator was added at the AF.</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Annual report is developed. published and disclosed</w:t>
                      </w:r>
                    </w:p>
                  </w:tc>
                  <w:tc>
                    <w:tcPr>
                      <w:tcW w:w="2347" w:type="dxa"/>
                      <w:gridSpan w:val="2"/>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Annual report is developed, published and regularly disclosed</w:t>
                      </w:r>
                    </w:p>
                  </w:tc>
                </w:tr>
                <w:tr w:rsidR="0006032A" w:rsidTr="00B622A3">
                  <w:trPr>
                    <w:trHeight w:val="345"/>
                  </w:trPr>
                  <w:tc>
                    <w:tcPr>
                      <w:tcW w:w="3155" w:type="dxa"/>
                      <w:vMerge/>
                      <w:shd w:val="clear" w:color="auto" w:fill="F7F7F7"/>
                    </w:tcPr>
                    <w:p w:rsidR="00D8106A" w:rsidRPr="00C63E2C" w:rsidRDefault="00D8106A" w:rsidP="008B685B">
                      <w:pPr>
                        <w:pStyle w:val="Normal75"/>
                        <w:spacing w:before="100" w:after="100"/>
                        <w:ind w:left="144" w:right="144"/>
                        <w:rPr>
                          <w:rFonts w:ascii="Calibri" w:hAnsi="Calibri"/>
                          <w:b/>
                          <w:bCs/>
                          <w:color w:val="7F7F7F"/>
                          <w:sz w:val="22"/>
                          <w:szCs w:val="22"/>
                        </w:rPr>
                      </w:pPr>
                    </w:p>
                  </w:tc>
                  <w:tc>
                    <w:tcPr>
                      <w:tcW w:w="1440" w:type="dxa"/>
                      <w:tcBorders>
                        <w:top w:val="nil"/>
                      </w:tcBorders>
                      <w:shd w:val="clear" w:color="auto" w:fill="F7F7F7"/>
                    </w:tcPr>
                    <w:p w:rsidR="00D8106A" w:rsidRPr="00C63E2C" w:rsidRDefault="00D8106A" w:rsidP="008B685B">
                      <w:pPr>
                        <w:pStyle w:val="Normal75"/>
                        <w:spacing w:before="100" w:after="100"/>
                        <w:ind w:left="144"/>
                        <w:rPr>
                          <w:rFonts w:ascii="Calibri" w:hAnsi="Calibri"/>
                          <w:bCs/>
                          <w:sz w:val="22"/>
                          <w:szCs w:val="22"/>
                        </w:rPr>
                      </w:pP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03-Mar-2011</w:t>
                      </w:r>
                    </w:p>
                  </w:tc>
                  <w:tc>
                    <w:tcPr>
                      <w:tcW w:w="2340"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tcBorders>
                      <w:shd w:val="clear" w:color="auto" w:fill="F7F7F7"/>
                    </w:tcPr>
                    <w:p w:rsidR="00D8106A" w:rsidRPr="00C63E2C" w:rsidRDefault="00B578E1" w:rsidP="008B685B">
                      <w:pPr>
                        <w:pStyle w:val="Normal75"/>
                        <w:spacing w:before="100" w:after="100"/>
                        <w:ind w:left="144" w:right="144"/>
                        <w:rPr>
                          <w:rFonts w:ascii="Calibri" w:hAnsi="Calibri"/>
                          <w:sz w:val="22"/>
                          <w:szCs w:val="22"/>
                        </w:rPr>
                      </w:pPr>
                      <w:r w:rsidRPr="00C63E2C">
                        <w:rPr>
                          <w:rFonts w:ascii="Calibri" w:hAnsi="Calibri"/>
                          <w:noProof/>
                          <w:sz w:val="22"/>
                          <w:szCs w:val="22"/>
                        </w:rPr>
                        <w:t>02-Nov-2017</w:t>
                      </w:r>
                    </w:p>
                  </w:tc>
                </w:tr>
                <w:tr w:rsidR="0006032A" w:rsidTr="00B622A3">
                  <w:trPr>
                    <w:gridAfter w:val="1"/>
                    <w:wAfter w:w="21" w:type="dxa"/>
                    <w:trHeight w:val="288"/>
                  </w:trPr>
                  <w:tc>
                    <w:tcPr>
                      <w:tcW w:w="13955" w:type="dxa"/>
                      <w:gridSpan w:val="6"/>
                      <w:tcBorders>
                        <w:bottom w:val="nil"/>
                      </w:tcBorders>
                      <w:shd w:val="clear" w:color="auto" w:fill="F7F7F7"/>
                    </w:tcPr>
                    <w:p w:rsidR="00D8106A" w:rsidRPr="00C63E2C" w:rsidRDefault="00D8106A" w:rsidP="008B685B">
                      <w:pPr>
                        <w:pStyle w:val="Normal75"/>
                        <w:spacing w:line="14" w:lineRule="exact"/>
                        <w:ind w:left="72"/>
                        <w:rPr>
                          <w:rFonts w:ascii="Calibri" w:hAnsi="Calibri"/>
                          <w:noProof/>
                          <w:sz w:val="22"/>
                          <w:szCs w:val="22"/>
                        </w:rPr>
                      </w:pPr>
                    </w:p>
                  </w:tc>
                </w:tr>
                <w:tr w:rsidR="0006032A" w:rsidTr="00B622A3">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100%.   The WSRC is doing regular monitoring of SPs performance and they published the Annual Performance Monitoring Reports from 2013-2016.The are being constantly further improved to expand on the performance monitoring indicators and to more Service Providers (SPs) and geographic areas.  The WSRC has also built online water database, where most SPs can access and upload their data, which is linked to the World Bank IBNET database.</w:t>
                      </w:r>
                    </w:p>
                  </w:tc>
                </w:tr>
                <w:tr w:rsidR="0006032A" w:rsidTr="00B622A3">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RDefault="00D8106A" w:rsidP="008B685B">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rPr>
                    <w:rFonts w:ascii="Calibri" w:hAnsi="Calibri"/>
                    <w:b/>
                    <w:bCs/>
                    <w:color w:val="7F7F7F"/>
                    <w:sz w:val="22"/>
                    <w:szCs w:val="22"/>
                  </w:rPr>
                </w:pPr>
              </w:p>
              <w:p w:rsidR="00D8106A" w:rsidRPr="00C63E2C" w:rsidRDefault="00D8106A" w:rsidP="008B685B">
                <w:pPr>
                  <w:pStyle w:val="Normal75"/>
                  <w:shd w:val="clear" w:color="auto" w:fill="F7F7F7"/>
                  <w:spacing w:line="14" w:lineRule="exact"/>
                  <w:rPr>
                    <w:rFonts w:ascii="Calibri" w:hAnsi="Calibr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06032A" w:rsidTr="00B622A3">
                  <w:trPr>
                    <w:gridAfter w:val="1"/>
                    <w:wAfter w:w="21" w:type="dxa"/>
                    <w:trHeight w:val="20"/>
                  </w:trPr>
                  <w:tc>
                    <w:tcPr>
                      <w:tcW w:w="13955" w:type="dxa"/>
                      <w:gridSpan w:val="6"/>
                      <w:tcBorders>
                        <w:top w:val="nil"/>
                        <w:left w:val="nil"/>
                        <w:bottom w:val="nil"/>
                        <w:right w:val="nil"/>
                      </w:tcBorders>
                      <w:shd w:val="clear" w:color="auto" w:fill="F7F7F7"/>
                      <w:vAlign w:val="center"/>
                    </w:tcPr>
                    <w:p w:rsidR="00D8106A" w:rsidRPr="00F16CCF" w:rsidRDefault="00D8106A" w:rsidP="008B685B">
                      <w:pPr>
                        <w:pStyle w:val="Normal75"/>
                        <w:keepNext/>
                        <w:spacing w:line="14" w:lineRule="exact"/>
                        <w:ind w:left="115"/>
                        <w:rPr>
                          <w:rFonts w:ascii="Calibri" w:hAnsi="Calibri"/>
                          <w:b/>
                          <w:sz w:val="22"/>
                          <w:szCs w:val="22"/>
                        </w:rPr>
                      </w:pPr>
                    </w:p>
                  </w:tc>
                </w:tr>
                <w:tr w:rsidR="0006032A" w:rsidTr="00B622A3">
                  <w:trPr>
                    <w:gridAfter w:val="1"/>
                    <w:wAfter w:w="21" w:type="dxa"/>
                    <w:trHeight w:val="387"/>
                  </w:trPr>
                  <w:tc>
                    <w:tcPr>
                      <w:tcW w:w="13955" w:type="dxa"/>
                      <w:gridSpan w:val="6"/>
                      <w:tcBorders>
                        <w:top w:val="nil"/>
                        <w:left w:val="nil"/>
                        <w:bottom w:val="single" w:sz="4" w:space="0" w:color="D9D9D9"/>
                        <w:right w:val="nil"/>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F16CCF">
                        <w:rPr>
                          <w:rFonts w:ascii="Calibri" w:hAnsi="Calibri"/>
                          <w:b/>
                          <w:sz w:val="22"/>
                          <w:szCs w:val="22"/>
                        </w:rPr>
                        <w:fldChar w:fldCharType="begin"/>
                      </w:r>
                      <w:r w:rsidRPr="00F16CCF">
                        <w:rPr>
                          <w:rFonts w:ascii="Calibri" w:hAnsi="Calibri"/>
                          <w:b/>
                          <w:sz w:val="22"/>
                          <w:szCs w:val="22"/>
                        </w:rPr>
                        <w:instrText xml:space="preserve"> IF </w:instrText>
                      </w:r>
                      <w:r w:rsidRPr="00F16CCF">
                        <w:rPr>
                          <w:rFonts w:ascii="Calibri" w:hAnsi="Calibri"/>
                          <w:b/>
                          <w:noProof/>
                          <w:sz w:val="22"/>
                          <w:szCs w:val="22"/>
                        </w:rPr>
                        <w:instrText>Y</w:instrText>
                      </w:r>
                      <w:r w:rsidRPr="00F16CCF">
                        <w:rPr>
                          <w:rFonts w:ascii="Calibri" w:hAnsi="Calibri"/>
                          <w:b/>
                          <w:sz w:val="22"/>
                          <w:szCs w:val="22"/>
                        </w:rPr>
                        <w:instrText xml:space="preserve"> ="Y" "</w:instrText>
                      </w:r>
                      <w:r w:rsidRPr="00F16CCF">
                        <w:rPr>
                          <w:rFonts w:ascii="Calibri" w:hAnsi="Calibri"/>
                          <w:b/>
                          <w:color w:val="404040"/>
                          <w:sz w:val="22"/>
                          <w:szCs w:val="22"/>
                        </w:rPr>
                        <w:instrText xml:space="preserve"> Objective/Outcome:</w:instrText>
                      </w:r>
                      <w:r>
                        <w:rPr>
                          <w:rFonts w:ascii="Calibri" w:hAnsi="Calibri"/>
                          <w:b/>
                          <w:color w:val="404040"/>
                          <w:sz w:val="22"/>
                          <w:szCs w:val="22"/>
                        </w:rPr>
                        <w:instrText xml:space="preserve"> </w:instrText>
                      </w:r>
                      <w:r w:rsidRPr="00F16CCF">
                        <w:rPr>
                          <w:rFonts w:ascii="Calibri" w:hAnsi="Calibri"/>
                          <w:b/>
                          <w:sz w:val="22"/>
                          <w:szCs w:val="22"/>
                        </w:rPr>
                        <w:instrText xml:space="preserve">" " " </w:instrText>
                      </w:r>
                      <w:r w:rsidRPr="00F16CCF">
                        <w:rPr>
                          <w:rFonts w:ascii="Calibri" w:hAnsi="Calibri"/>
                          <w:b/>
                          <w:sz w:val="22"/>
                          <w:szCs w:val="22"/>
                        </w:rPr>
                        <w:fldChar w:fldCharType="separate"/>
                      </w:r>
                      <w:r w:rsidRPr="00F16CCF">
                        <w:rPr>
                          <w:rFonts w:ascii="Calibri" w:hAnsi="Calibri"/>
                          <w:b/>
                          <w:color w:val="404040"/>
                          <w:sz w:val="22"/>
                          <w:szCs w:val="22"/>
                        </w:rPr>
                        <w:t xml:space="preserve"> Objective/Outcome:</w:t>
                      </w:r>
                      <w:r>
                        <w:rPr>
                          <w:rFonts w:ascii="Calibri" w:hAnsi="Calibri"/>
                          <w:b/>
                          <w:color w:val="404040"/>
                          <w:sz w:val="22"/>
                          <w:szCs w:val="22"/>
                        </w:rPr>
                        <w:t xml:space="preserve"> </w:t>
                      </w:r>
                      <w:r w:rsidRPr="00F16CCF">
                        <w:rPr>
                          <w:rFonts w:ascii="Calibri" w:hAnsi="Calibri"/>
                          <w:b/>
                          <w:sz w:val="22"/>
                          <w:szCs w:val="22"/>
                        </w:rPr>
                        <w:fldChar w:fldCharType="end"/>
                      </w:r>
                      <w:r w:rsidRPr="00D311A5">
                        <w:rPr>
                          <w:rFonts w:ascii="Calibri" w:hAnsi="Calibri"/>
                          <w:bCs/>
                          <w:noProof/>
                          <w:sz w:val="22"/>
                          <w:szCs w:val="22"/>
                        </w:rPr>
                        <w:t>Strengthen the capacity of PWA to effectively regulate water sector development</w:t>
                      </w:r>
                    </w:p>
                  </w:tc>
                </w:tr>
                <w:tr w:rsidR="0006032A" w:rsidTr="00B622A3">
                  <w:trPr>
                    <w:trHeight w:val="288"/>
                  </w:trPr>
                  <w:tc>
                    <w:tcPr>
                      <w:tcW w:w="3155"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 xml:space="preserve">Formally Revised </w:t>
                      </w:r>
                    </w:p>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Actual Achieved at Completion</w:t>
                      </w:r>
                    </w:p>
                  </w:tc>
                </w:tr>
                <w:tr w:rsidR="0006032A" w:rsidTr="00B622A3">
                  <w:trPr>
                    <w:trHeight w:val="345"/>
                  </w:trPr>
                  <w:tc>
                    <w:tcPr>
                      <w:tcW w:w="3155" w:type="dxa"/>
                      <w:vMerge w:val="restart"/>
                      <w:tcBorders>
                        <w:top w:val="single" w:sz="4" w:space="0" w:color="D9D9D9"/>
                      </w:tcBorders>
                      <w:shd w:val="clear" w:color="auto" w:fill="F7F7F7"/>
                    </w:tcPr>
                    <w:p w:rsidR="00D8106A" w:rsidRPr="00C63E2C" w:rsidRDefault="00B578E1" w:rsidP="008B685B">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Water law is updated and consulted with stakeholders and approved by responsible Authorities</w:t>
                      </w:r>
                    </w:p>
                  </w:tc>
                  <w:tc>
                    <w:tcPr>
                      <w:tcW w:w="14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r>
                <w:tr w:rsidR="0006032A" w:rsidTr="00B622A3">
                  <w:trPr>
                    <w:trHeight w:val="345"/>
                  </w:trPr>
                  <w:tc>
                    <w:tcPr>
                      <w:tcW w:w="3155" w:type="dxa"/>
                      <w:vMerge/>
                      <w:shd w:val="clear" w:color="auto" w:fill="F7F7F7"/>
                    </w:tcPr>
                    <w:p w:rsidR="00D8106A" w:rsidRPr="00C63E2C" w:rsidRDefault="00D8106A" w:rsidP="008B685B">
                      <w:pPr>
                        <w:pStyle w:val="Normal75"/>
                        <w:spacing w:before="100" w:after="100"/>
                        <w:ind w:left="144" w:right="144"/>
                        <w:rPr>
                          <w:rFonts w:ascii="Calibri" w:hAnsi="Calibri"/>
                          <w:b/>
                          <w:bCs/>
                          <w:color w:val="7F7F7F"/>
                          <w:sz w:val="22"/>
                          <w:szCs w:val="22"/>
                        </w:rPr>
                      </w:pPr>
                    </w:p>
                  </w:tc>
                  <w:tc>
                    <w:tcPr>
                      <w:tcW w:w="1440" w:type="dxa"/>
                      <w:tcBorders>
                        <w:top w:val="nil"/>
                      </w:tcBorders>
                      <w:shd w:val="clear" w:color="auto" w:fill="F7F7F7"/>
                    </w:tcPr>
                    <w:p w:rsidR="00D8106A" w:rsidRPr="00C63E2C" w:rsidRDefault="00D8106A" w:rsidP="008B685B">
                      <w:pPr>
                        <w:pStyle w:val="Normal75"/>
                        <w:spacing w:before="100" w:after="100"/>
                        <w:ind w:left="144"/>
                        <w:rPr>
                          <w:rFonts w:ascii="Calibri" w:hAnsi="Calibri"/>
                          <w:bCs/>
                          <w:sz w:val="22"/>
                          <w:szCs w:val="22"/>
                        </w:rPr>
                      </w:pP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tcBorders>
                      <w:shd w:val="clear" w:color="auto" w:fill="F7F7F7"/>
                    </w:tcPr>
                    <w:p w:rsidR="00D8106A" w:rsidRPr="00C63E2C" w:rsidRDefault="00B578E1" w:rsidP="008B685B">
                      <w:pPr>
                        <w:pStyle w:val="Normal75"/>
                        <w:spacing w:before="100" w:after="100"/>
                        <w:ind w:left="144" w:right="144"/>
                        <w:rPr>
                          <w:rFonts w:ascii="Calibri" w:hAnsi="Calibri"/>
                          <w:sz w:val="22"/>
                          <w:szCs w:val="22"/>
                        </w:rPr>
                      </w:pPr>
                      <w:r w:rsidRPr="00C63E2C">
                        <w:rPr>
                          <w:rFonts w:ascii="Calibri" w:hAnsi="Calibri"/>
                          <w:noProof/>
                          <w:sz w:val="22"/>
                          <w:szCs w:val="22"/>
                        </w:rPr>
                        <w:t>29-Dec-2017</w:t>
                      </w:r>
                    </w:p>
                  </w:tc>
                </w:tr>
                <w:tr w:rsidR="0006032A" w:rsidTr="00B622A3">
                  <w:trPr>
                    <w:gridAfter w:val="1"/>
                    <w:wAfter w:w="21" w:type="dxa"/>
                    <w:trHeight w:val="288"/>
                  </w:trPr>
                  <w:tc>
                    <w:tcPr>
                      <w:tcW w:w="13955" w:type="dxa"/>
                      <w:gridSpan w:val="6"/>
                      <w:tcBorders>
                        <w:bottom w:val="nil"/>
                      </w:tcBorders>
                      <w:shd w:val="clear" w:color="auto" w:fill="F7F7F7"/>
                    </w:tcPr>
                    <w:p w:rsidR="00D8106A" w:rsidRPr="00C63E2C" w:rsidRDefault="00D8106A" w:rsidP="008B685B">
                      <w:pPr>
                        <w:pStyle w:val="Normal75"/>
                        <w:spacing w:line="14" w:lineRule="exact"/>
                        <w:ind w:left="72"/>
                        <w:rPr>
                          <w:rFonts w:ascii="Calibri" w:hAnsi="Calibri"/>
                          <w:noProof/>
                          <w:sz w:val="22"/>
                          <w:szCs w:val="22"/>
                        </w:rPr>
                      </w:pPr>
                    </w:p>
                  </w:tc>
                </w:tr>
                <w:tr w:rsidR="0006032A" w:rsidTr="00B622A3">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- 100%.  The New Water law was approved in 2014 and is under implementation.  The new law defined the new water structure and supported the sustainability of the water services.   It also separated roles and responsibilities between water sector institutions (policy making, regulatory, service provision) and defined roles, responsibilities, mandates and interrelations between institutions working in the water sector. The institutional framework within the New Water Law was developed based on four main levels, namely: (i) Decision making and policy level, (ii) Regulatory level, (iii) Bulk supply level, (iv) Operational level.</w:t>
                      </w:r>
                    </w:p>
                  </w:tc>
                </w:tr>
                <w:tr w:rsidR="0006032A" w:rsidTr="00B622A3">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RDefault="00D8106A" w:rsidP="008B685B">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rPr>
                    <w:rFonts w:ascii="Calibri" w:hAnsi="Calibri"/>
                    <w:b/>
                    <w:bCs/>
                    <w:color w:val="7F7F7F"/>
                    <w:sz w:val="22"/>
                    <w:szCs w:val="22"/>
                  </w:rPr>
                </w:pPr>
              </w:p>
              <w:p w:rsidR="00D8106A" w:rsidRPr="00C63E2C" w:rsidRDefault="00D8106A" w:rsidP="008B685B">
                <w:pPr>
                  <w:pStyle w:val="Normal75"/>
                  <w:shd w:val="clear" w:color="auto" w:fill="F7F7F7"/>
                  <w:spacing w:line="14" w:lineRule="exact"/>
                  <w:rPr>
                    <w:rFonts w:ascii="Calibri" w:hAnsi="Calibri"/>
                    <w:b/>
                    <w:bCs/>
                    <w:color w:val="F7F7F7"/>
                    <w:sz w:val="22"/>
                    <w:szCs w:val="22"/>
                  </w:rPr>
                </w:pPr>
              </w:p>
              <w:tbl>
                <w:tblPr>
                  <w:tblStyle w:val="TableGrid1011"/>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55"/>
                  <w:gridCol w:w="1440"/>
                  <w:gridCol w:w="2347"/>
                  <w:gridCol w:w="2340"/>
                  <w:gridCol w:w="2347"/>
                  <w:gridCol w:w="2326"/>
                  <w:gridCol w:w="21"/>
                </w:tblGrid>
                <w:tr w:rsidR="0006032A" w:rsidTr="00B622A3">
                  <w:trPr>
                    <w:trHeight w:val="288"/>
                  </w:trPr>
                  <w:tc>
                    <w:tcPr>
                      <w:tcW w:w="3155"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bCs/>
                          <w:color w:val="404040"/>
                          <w:sz w:val="22"/>
                          <w:szCs w:val="22"/>
                        </w:rPr>
                        <w:t>Indicator Name</w:t>
                      </w:r>
                    </w:p>
                  </w:tc>
                  <w:tc>
                    <w:tcPr>
                      <w:tcW w:w="14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 xml:space="preserve">Formally Revised </w:t>
                      </w:r>
                    </w:p>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D8106A" w:rsidRPr="00C63E2C" w:rsidRDefault="00B578E1" w:rsidP="008B685B">
                      <w:pPr>
                        <w:pStyle w:val="Normal75"/>
                        <w:keepNext/>
                        <w:spacing w:before="60" w:after="60"/>
                        <w:ind w:left="115"/>
                        <w:rPr>
                          <w:rFonts w:ascii="Calibri" w:hAnsi="Calibri"/>
                          <w:b/>
                          <w:color w:val="404040"/>
                          <w:sz w:val="22"/>
                          <w:szCs w:val="22"/>
                        </w:rPr>
                      </w:pPr>
                      <w:r w:rsidRPr="00C63E2C">
                        <w:rPr>
                          <w:rFonts w:ascii="Calibri" w:hAnsi="Calibri"/>
                          <w:b/>
                          <w:color w:val="404040"/>
                          <w:sz w:val="22"/>
                          <w:szCs w:val="22"/>
                        </w:rPr>
                        <w:t>Actual Achieved at Completion</w:t>
                      </w:r>
                    </w:p>
                  </w:tc>
                </w:tr>
                <w:tr w:rsidR="0006032A" w:rsidTr="00B622A3">
                  <w:trPr>
                    <w:trHeight w:val="345"/>
                  </w:trPr>
                  <w:tc>
                    <w:tcPr>
                      <w:tcW w:w="3155" w:type="dxa"/>
                      <w:vMerge w:val="restart"/>
                      <w:tcBorders>
                        <w:top w:val="single" w:sz="4" w:space="0" w:color="D9D9D9"/>
                      </w:tcBorders>
                      <w:shd w:val="clear" w:color="auto" w:fill="F7F7F7"/>
                    </w:tcPr>
                    <w:p w:rsidR="00D8106A" w:rsidRPr="00C63E2C" w:rsidRDefault="00B578E1" w:rsidP="008B685B">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WSRC is strengthened and Functional</w:t>
                      </w:r>
                    </w:p>
                  </w:tc>
                  <w:tc>
                    <w:tcPr>
                      <w:tcW w:w="14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Pr>
                          <w:rFonts w:ascii="Calibri" w:hAnsi="Calibri"/>
                          <w:bCs/>
                          <w:sz w:val="22"/>
                          <w:szCs w:val="22"/>
                        </w:rPr>
                      </w:pPr>
                      <w:r w:rsidRPr="00C63E2C">
                        <w:rPr>
                          <w:rFonts w:ascii="Calibri" w:hAnsi="Calibri"/>
                          <w:bCs/>
                          <w:noProof/>
                          <w:sz w:val="22"/>
                          <w:szCs w:val="22"/>
                        </w:rPr>
                        <w:t>Text</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noProof/>
                          <w:sz w:val="22"/>
                          <w:szCs w:val="22"/>
                        </w:rPr>
                        <w:t>Government decree issued. BOD appointed.</w:t>
                      </w:r>
                    </w:p>
                  </w:tc>
                  <w:tc>
                    <w:tcPr>
                      <w:tcW w:w="2340"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Not in the original operation, indicator was added at the AF.</w:t>
                      </w:r>
                    </w:p>
                  </w:tc>
                  <w:tc>
                    <w:tcPr>
                      <w:tcW w:w="2347" w:type="dxa"/>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 xml:space="preserve">1. WSRC staffed, office set up, org structure and job description </w:t>
                      </w:r>
                      <w:r w:rsidRPr="00C63E2C">
                        <w:rPr>
                          <w:rFonts w:ascii="Calibri" w:hAnsi="Calibri"/>
                          <w:bCs/>
                          <w:noProof/>
                          <w:sz w:val="22"/>
                          <w:szCs w:val="22"/>
                        </w:rPr>
                        <w:lastRenderedPageBreak/>
                        <w:t xml:space="preserve">developed; HR guidelines drafted; Roadmap to complete establishment development and approved by BOD. </w:t>
                      </w:r>
                    </w:p>
                    <w:p w:rsidR="0006032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2. Org structure, job description and HR guidelines approved by BOD; all staff appointed Licensing bylaw developed and approved; public awareness campaign is planned;</w:t>
                      </w:r>
                    </w:p>
                    <w:p w:rsidR="0006032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t>3. Licensing fees started to be collected, public awareness campaigns to SPs are conducted.</w:t>
                      </w:r>
                    </w:p>
                  </w:tc>
                  <w:tc>
                    <w:tcPr>
                      <w:tcW w:w="2347" w:type="dxa"/>
                      <w:gridSpan w:val="2"/>
                      <w:tcBorders>
                        <w:top w:val="single" w:sz="4" w:space="0" w:color="D9D9D9"/>
                        <w:bottom w:val="nil"/>
                      </w:tcBorders>
                      <w:shd w:val="clear" w:color="auto" w:fill="F7F7F7"/>
                    </w:tcPr>
                    <w:p w:rsidR="00D8106A" w:rsidRPr="00C63E2C" w:rsidRDefault="00B578E1" w:rsidP="008B685B">
                      <w:pPr>
                        <w:pStyle w:val="Normal75"/>
                        <w:spacing w:before="100" w:after="100"/>
                        <w:ind w:left="144" w:right="144"/>
                        <w:rPr>
                          <w:rFonts w:ascii="Calibri" w:hAnsi="Calibri"/>
                          <w:bCs/>
                          <w:sz w:val="22"/>
                          <w:szCs w:val="22"/>
                        </w:rPr>
                      </w:pPr>
                      <w:r w:rsidRPr="00C63E2C">
                        <w:rPr>
                          <w:rFonts w:ascii="Calibri" w:hAnsi="Calibri"/>
                          <w:bCs/>
                          <w:noProof/>
                          <w:sz w:val="22"/>
                          <w:szCs w:val="22"/>
                        </w:rPr>
                        <w:lastRenderedPageBreak/>
                        <w:t xml:space="preserve">WSRC has been fully established, staffed, strategy and business </w:t>
                      </w:r>
                      <w:r w:rsidRPr="00C63E2C">
                        <w:rPr>
                          <w:rFonts w:ascii="Calibri" w:hAnsi="Calibri"/>
                          <w:bCs/>
                          <w:noProof/>
                          <w:sz w:val="22"/>
                          <w:szCs w:val="22"/>
                        </w:rPr>
                        <w:lastRenderedPageBreak/>
                        <w:t>plan developed and approved by the BOD, licensing by law developed but not yet approved; Public awareness campaigns developed and partially implemented.</w:t>
                      </w:r>
                    </w:p>
                  </w:tc>
                </w:tr>
                <w:tr w:rsidR="0006032A" w:rsidTr="00B622A3">
                  <w:trPr>
                    <w:trHeight w:val="345"/>
                  </w:trPr>
                  <w:tc>
                    <w:tcPr>
                      <w:tcW w:w="3155" w:type="dxa"/>
                      <w:vMerge/>
                      <w:shd w:val="clear" w:color="auto" w:fill="F7F7F7"/>
                    </w:tcPr>
                    <w:p w:rsidR="00D8106A" w:rsidRPr="00C63E2C" w:rsidRDefault="00D8106A" w:rsidP="008B685B">
                      <w:pPr>
                        <w:pStyle w:val="Normal75"/>
                        <w:spacing w:before="100" w:after="100"/>
                        <w:ind w:left="144" w:right="144"/>
                        <w:rPr>
                          <w:rFonts w:ascii="Calibri" w:hAnsi="Calibri"/>
                          <w:b/>
                          <w:bCs/>
                          <w:color w:val="7F7F7F"/>
                          <w:sz w:val="22"/>
                          <w:szCs w:val="22"/>
                        </w:rPr>
                      </w:pPr>
                    </w:p>
                  </w:tc>
                  <w:tc>
                    <w:tcPr>
                      <w:tcW w:w="1440" w:type="dxa"/>
                      <w:tcBorders>
                        <w:top w:val="nil"/>
                      </w:tcBorders>
                      <w:shd w:val="clear" w:color="auto" w:fill="F7F7F7"/>
                    </w:tcPr>
                    <w:p w:rsidR="00D8106A" w:rsidRPr="00C63E2C" w:rsidRDefault="00D8106A" w:rsidP="008B685B">
                      <w:pPr>
                        <w:pStyle w:val="Normal75"/>
                        <w:spacing w:before="100" w:after="100"/>
                        <w:ind w:left="144"/>
                        <w:rPr>
                          <w:rFonts w:ascii="Calibri" w:hAnsi="Calibri"/>
                          <w:bCs/>
                          <w:sz w:val="22"/>
                          <w:szCs w:val="22"/>
                        </w:rPr>
                      </w:pP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24-Jun-2015</w:t>
                      </w:r>
                    </w:p>
                  </w:tc>
                  <w:tc>
                    <w:tcPr>
                      <w:tcW w:w="2340"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tcBorders>
                      <w:shd w:val="clear" w:color="auto" w:fill="F7F7F7"/>
                    </w:tcPr>
                    <w:p w:rsidR="00D8106A" w:rsidRPr="00C63E2C" w:rsidRDefault="00B578E1" w:rsidP="008B685B">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tcBorders>
                      <w:shd w:val="clear" w:color="auto" w:fill="F7F7F7"/>
                    </w:tcPr>
                    <w:p w:rsidR="00D8106A" w:rsidRPr="00C63E2C" w:rsidRDefault="00B578E1" w:rsidP="008B685B">
                      <w:pPr>
                        <w:pStyle w:val="Normal75"/>
                        <w:spacing w:before="100" w:after="100"/>
                        <w:ind w:left="144" w:right="144"/>
                        <w:rPr>
                          <w:rFonts w:ascii="Calibri" w:hAnsi="Calibri"/>
                          <w:sz w:val="22"/>
                          <w:szCs w:val="22"/>
                        </w:rPr>
                      </w:pPr>
                      <w:r w:rsidRPr="00C63E2C">
                        <w:rPr>
                          <w:rFonts w:ascii="Calibri" w:hAnsi="Calibri"/>
                          <w:noProof/>
                          <w:sz w:val="22"/>
                          <w:szCs w:val="22"/>
                        </w:rPr>
                        <w:t>02-Nov-2017</w:t>
                      </w:r>
                    </w:p>
                  </w:tc>
                </w:tr>
                <w:tr w:rsidR="0006032A" w:rsidTr="00B622A3">
                  <w:trPr>
                    <w:gridAfter w:val="1"/>
                    <w:wAfter w:w="21" w:type="dxa"/>
                    <w:trHeight w:val="288"/>
                  </w:trPr>
                  <w:tc>
                    <w:tcPr>
                      <w:tcW w:w="13955" w:type="dxa"/>
                      <w:gridSpan w:val="6"/>
                      <w:tcBorders>
                        <w:bottom w:val="nil"/>
                      </w:tcBorders>
                      <w:shd w:val="clear" w:color="auto" w:fill="F7F7F7"/>
                    </w:tcPr>
                    <w:p w:rsidR="00D8106A" w:rsidRPr="00C63E2C" w:rsidRDefault="00D8106A" w:rsidP="008B685B">
                      <w:pPr>
                        <w:pStyle w:val="Normal75"/>
                        <w:spacing w:line="14" w:lineRule="exact"/>
                        <w:ind w:left="72"/>
                        <w:rPr>
                          <w:rFonts w:ascii="Calibri" w:hAnsi="Calibri"/>
                          <w:noProof/>
                          <w:sz w:val="22"/>
                          <w:szCs w:val="22"/>
                        </w:rPr>
                      </w:pPr>
                    </w:p>
                  </w:tc>
                </w:tr>
                <w:tr w:rsidR="0006032A" w:rsidTr="00B622A3">
                  <w:trPr>
                    <w:gridAfter w:val="1"/>
                    <w:wAfter w:w="21" w:type="dxa"/>
                    <w:trHeight w:val="288"/>
                  </w:trPr>
                  <w:tc>
                    <w:tcPr>
                      <w:tcW w:w="13955" w:type="dxa"/>
                      <w:gridSpan w:val="6"/>
                      <w:tcBorders>
                        <w:top w:val="nil"/>
                        <w:bottom w:val="single" w:sz="4" w:space="0" w:color="D9D9D9"/>
                      </w:tcBorders>
                      <w:shd w:val="clear" w:color="auto" w:fill="F7F7F7"/>
                    </w:tcPr>
                    <w:p w:rsidR="00D8106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90%.   WSRC was established in August 2014 , with the organizational structure, job descriptions and by-laws approved by the Cabinet of Ministers, key positions (CEO, procurement, financial, M&amp;E, communications, and others) fully staffed and operational, public awareness campaigns developed and partially implemented.   The Project was able to achieve all the targets under this indicator except for collection of the licensing fees from SPs.  The draft licensing bylaw is under the review by the Cabinet of Ministers and is expected to be approved within the coming months.</w:t>
                      </w:r>
                    </w:p>
                  </w:tc>
                </w:tr>
                <w:tr w:rsidR="0006032A" w:rsidTr="00B622A3">
                  <w:trPr>
                    <w:gridAfter w:val="1"/>
                    <w:wAfter w:w="21" w:type="dxa"/>
                    <w:trHeight w:val="288"/>
                  </w:trPr>
                  <w:tc>
                    <w:tcPr>
                      <w:tcW w:w="13955" w:type="dxa"/>
                      <w:gridSpan w:val="6"/>
                      <w:tcBorders>
                        <w:top w:val="single" w:sz="4" w:space="0" w:color="D9D9D9"/>
                        <w:left w:val="nil"/>
                        <w:bottom w:val="nil"/>
                        <w:right w:val="nil"/>
                      </w:tcBorders>
                      <w:shd w:val="clear" w:color="auto" w:fill="F7F7F7"/>
                    </w:tcPr>
                    <w:p w:rsidR="00D8106A" w:rsidRPr="00055E38" w:rsidRDefault="00D8106A" w:rsidP="008B685B">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rPr>
                    <w:rFonts w:ascii="Calibri" w:hAnsi="Calibri"/>
                    <w:b/>
                    <w:bCs/>
                    <w:color w:val="7F7F7F"/>
                    <w:sz w:val="22"/>
                    <w:szCs w:val="22"/>
                  </w:rPr>
                </w:pPr>
              </w:p>
            </w:tc>
          </w:tr>
        </w:tbl>
        <w:p w:rsidR="00D8106A" w:rsidRDefault="00D8106A" w:rsidP="00D8106A">
          <w:pPr>
            <w:pStyle w:val="Normal75"/>
            <w:shd w:val="clear" w:color="auto" w:fill="F7F7F7"/>
            <w:ind w:left="-691" w:right="-418"/>
            <w:rPr>
              <w:rFonts w:ascii="Calibri" w:hAnsi="Calibri"/>
              <w:b/>
              <w:bCs/>
              <w:color w:val="7F7F7F"/>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06032A" w:rsidTr="008B685B">
            <w:trPr>
              <w:trHeight w:val="360"/>
            </w:trPr>
            <w:tc>
              <w:tcPr>
                <w:tcW w:w="14130" w:type="dxa"/>
                <w:shd w:val="clear" w:color="auto" w:fill="F7F7F7"/>
              </w:tcPr>
              <w:p w:rsidR="00D8106A" w:rsidRPr="00C63E2C" w:rsidRDefault="00B578E1" w:rsidP="008B685B">
                <w:pPr>
                  <w:pStyle w:val="Normal75"/>
                  <w:keepNext/>
                  <w:rPr>
                    <w:rFonts w:ascii="Calibri" w:hAnsi="Calibri"/>
                    <w:sz w:val="22"/>
                  </w:rPr>
                </w:pPr>
                <w:r w:rsidRPr="00C63E2C">
                  <w:rPr>
                    <w:rFonts w:ascii="Calibri" w:hAnsi="Calibri"/>
                    <w:b/>
                    <w:bCs/>
                    <w:color w:val="172D5F"/>
                    <w:sz w:val="22"/>
                  </w:rPr>
                  <w:t>A.2 Intermediate Results Indicators</w:t>
                </w:r>
              </w:p>
            </w:tc>
          </w:tr>
        </w:tbl>
        <w:p w:rsidR="00D8106A" w:rsidRPr="00C63E2C" w:rsidRDefault="00D8106A" w:rsidP="00D8106A">
          <w:pPr>
            <w:pStyle w:val="Normal75"/>
            <w:keepNext/>
            <w:shd w:val="clear" w:color="auto" w:fill="F7F7F7"/>
            <w:spacing w:line="14" w:lineRule="exact"/>
            <w:ind w:left="-691" w:right="-418"/>
            <w:rPr>
              <w:rFonts w:ascii="Calibri" w:hAnsi="Calibri"/>
              <w:b/>
              <w:bCs/>
              <w:color w:val="7F7F7F"/>
              <w:sz w:val="22"/>
              <w:szCs w:val="22"/>
            </w:rPr>
          </w:pPr>
        </w:p>
        <w:tbl>
          <w:tblPr>
            <w:tblStyle w:val="TableGrid1011"/>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firstRow="1" w:lastRow="0" w:firstColumn="1" w:lastColumn="0" w:noHBand="0" w:noVBand="1"/>
          </w:tblPr>
          <w:tblGrid>
            <w:gridCol w:w="14130"/>
          </w:tblGrid>
          <w:tr w:rsidR="0006032A" w:rsidTr="008B685B">
            <w:trPr>
              <w:trHeight w:val="70"/>
              <w:tblHeader/>
            </w:trPr>
            <w:tc>
              <w:tcPr>
                <w:tcW w:w="14130" w:type="dxa"/>
                <w:shd w:val="clear" w:color="auto" w:fill="F7F7F7"/>
                <w:vAlign w:val="center"/>
              </w:tcPr>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c>
          </w:tr>
          <w:tr w:rsidR="0006032A" w:rsidTr="008B685B">
            <w:trPr>
              <w:trHeight w:val="405"/>
            </w:trPr>
            <w:tc>
              <w:tcPr>
                <w:tcW w:w="14130" w:type="dxa"/>
                <w:shd w:val="clear" w:color="auto" w:fill="F7F7F7"/>
                <w:vAlign w:val="center"/>
              </w:tcPr>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60EB">
                  <w:trPr>
                    <w:gridAfter w:val="1"/>
                    <w:wAfter w:w="17" w:type="dxa"/>
                    <w:trHeight w:val="20"/>
                  </w:trPr>
                  <w:tc>
                    <w:tcPr>
                      <w:tcW w:w="13925" w:type="dxa"/>
                      <w:gridSpan w:val="6"/>
                      <w:tcBorders>
                        <w:top w:val="nil"/>
                        <w:left w:val="nil"/>
                        <w:bottom w:val="nil"/>
                        <w:right w:val="nil"/>
                      </w:tcBorders>
                      <w:shd w:val="clear" w:color="auto" w:fill="F7F7F7"/>
                      <w:vAlign w:val="center"/>
                    </w:tcPr>
                    <w:p w:rsidR="0079125A" w:rsidRPr="00F16CCF" w:rsidRDefault="0079125A" w:rsidP="0079125A">
                      <w:pPr>
                        <w:pStyle w:val="Normal75"/>
                        <w:keepNext/>
                        <w:spacing w:line="14" w:lineRule="exact"/>
                        <w:ind w:left="115"/>
                        <w:rPr>
                          <w:rFonts w:ascii="Calibri" w:hAnsi="Calibri"/>
                          <w:b/>
                          <w:sz w:val="22"/>
                          <w:szCs w:val="22"/>
                        </w:rPr>
                      </w:pPr>
                    </w:p>
                  </w:tc>
                </w:tr>
                <w:tr w:rsidR="0006032A" w:rsidTr="00B860EB">
                  <w:trPr>
                    <w:gridAfter w:val="1"/>
                    <w:wAfter w:w="17" w:type="dxa"/>
                    <w:trHeight w:val="288"/>
                  </w:trPr>
                  <w:tc>
                    <w:tcPr>
                      <w:tcW w:w="13925" w:type="dxa"/>
                      <w:gridSpan w:val="6"/>
                      <w:tcBorders>
                        <w:top w:val="nil"/>
                        <w:left w:val="nil"/>
                        <w:bottom w:val="nil"/>
                        <w:right w:val="nil"/>
                      </w:tcBorders>
                      <w:shd w:val="clear" w:color="auto" w:fill="F7F7F7"/>
                    </w:tcPr>
                    <w:p w:rsidR="0079125A" w:rsidRPr="005C762D" w:rsidRDefault="00B578E1" w:rsidP="0079125A">
                      <w:pPr>
                        <w:pStyle w:val="Normal75"/>
                        <w:spacing w:before="100" w:after="100"/>
                        <w:ind w:left="55" w:right="144"/>
                        <w:rPr>
                          <w:rFonts w:ascii="Calibri" w:hAnsi="Calibri"/>
                          <w:b/>
                          <w:noProof/>
                          <w:sz w:val="22"/>
                          <w:szCs w:val="22"/>
                        </w:rPr>
                      </w:pPr>
                      <w:r w:rsidRPr="00F16CCF">
                        <w:rPr>
                          <w:rFonts w:ascii="Calibri" w:hAnsi="Calibri"/>
                          <w:b/>
                          <w:sz w:val="22"/>
                          <w:szCs w:val="22"/>
                        </w:rPr>
                        <w:fldChar w:fldCharType="begin"/>
                      </w:r>
                      <w:r w:rsidRPr="00F16CCF">
                        <w:rPr>
                          <w:rFonts w:ascii="Calibri" w:hAnsi="Calibri"/>
                          <w:b/>
                          <w:sz w:val="22"/>
                          <w:szCs w:val="22"/>
                        </w:rPr>
                        <w:instrText xml:space="preserve"> IF </w:instrText>
                      </w:r>
                      <w:r>
                        <w:rPr>
                          <w:rFonts w:ascii="Calibri" w:hAnsi="Calibri"/>
                          <w:b/>
                          <w:noProof/>
                          <w:sz w:val="22"/>
                          <w:szCs w:val="22"/>
                        </w:rPr>
                        <w:instrText>Y</w:instrText>
                      </w:r>
                      <w:r w:rsidRPr="00F16CCF">
                        <w:rPr>
                          <w:rFonts w:ascii="Calibri" w:hAnsi="Calibri"/>
                          <w:b/>
                          <w:sz w:val="22"/>
                          <w:szCs w:val="22"/>
                        </w:rPr>
                        <w:instrText xml:space="preserve"> ="Y" "</w:instrText>
                      </w:r>
                      <w:r w:rsidRPr="00F16CCF">
                        <w:rPr>
                          <w:rFonts w:ascii="Calibri" w:hAnsi="Calibri"/>
                          <w:b/>
                          <w:color w:val="404040"/>
                          <w:sz w:val="22"/>
                          <w:szCs w:val="22"/>
                        </w:rPr>
                        <w:instrText xml:space="preserve"> </w:instrText>
                      </w:r>
                      <w:r w:rsidRPr="005C762D">
                        <w:rPr>
                          <w:rFonts w:ascii="Calibri" w:hAnsi="Calibri"/>
                          <w:b/>
                          <w:color w:val="404040"/>
                          <w:sz w:val="22"/>
                          <w:szCs w:val="22"/>
                        </w:rPr>
                        <w:instrText>Component</w:instrText>
                      </w:r>
                      <w:r w:rsidRPr="00F16CCF">
                        <w:rPr>
                          <w:rFonts w:ascii="Calibri" w:hAnsi="Calibri"/>
                          <w:b/>
                          <w:color w:val="404040"/>
                          <w:sz w:val="22"/>
                          <w:szCs w:val="22"/>
                        </w:rPr>
                        <w:instrText>:</w:instrText>
                      </w:r>
                      <w:r>
                        <w:rPr>
                          <w:rFonts w:ascii="Calibri" w:hAnsi="Calibri"/>
                          <w:b/>
                          <w:color w:val="404040"/>
                          <w:sz w:val="22"/>
                          <w:szCs w:val="22"/>
                        </w:rPr>
                        <w:instrText xml:space="preserve"> </w:instrText>
                      </w:r>
                      <w:r w:rsidRPr="00F16CCF">
                        <w:rPr>
                          <w:rFonts w:ascii="Calibri" w:hAnsi="Calibri"/>
                          <w:b/>
                          <w:sz w:val="22"/>
                          <w:szCs w:val="22"/>
                        </w:rPr>
                        <w:instrText xml:space="preserve">" " " </w:instrText>
                      </w:r>
                      <w:r w:rsidRPr="00F16CCF">
                        <w:rPr>
                          <w:rFonts w:ascii="Calibri" w:hAnsi="Calibri"/>
                          <w:b/>
                          <w:sz w:val="22"/>
                          <w:szCs w:val="22"/>
                        </w:rPr>
                        <w:fldChar w:fldCharType="separate"/>
                      </w:r>
                      <w:r w:rsidRPr="00F16CCF">
                        <w:rPr>
                          <w:rFonts w:ascii="Calibri" w:hAnsi="Calibri"/>
                          <w:b/>
                          <w:color w:val="404040"/>
                          <w:sz w:val="22"/>
                          <w:szCs w:val="22"/>
                        </w:rPr>
                        <w:t xml:space="preserve"> </w:t>
                      </w:r>
                      <w:r w:rsidRPr="005C762D">
                        <w:rPr>
                          <w:rFonts w:ascii="Calibri" w:hAnsi="Calibri"/>
                          <w:b/>
                          <w:color w:val="404040"/>
                          <w:sz w:val="22"/>
                          <w:szCs w:val="22"/>
                        </w:rPr>
                        <w:t>Component</w:t>
                      </w:r>
                      <w:r w:rsidRPr="00F16CCF">
                        <w:rPr>
                          <w:rFonts w:ascii="Calibri" w:hAnsi="Calibri"/>
                          <w:b/>
                          <w:color w:val="404040"/>
                          <w:sz w:val="22"/>
                          <w:szCs w:val="22"/>
                        </w:rPr>
                        <w:t>:</w:t>
                      </w:r>
                      <w:r>
                        <w:rPr>
                          <w:rFonts w:ascii="Calibri" w:hAnsi="Calibri"/>
                          <w:b/>
                          <w:color w:val="404040"/>
                          <w:sz w:val="22"/>
                          <w:szCs w:val="22"/>
                        </w:rPr>
                        <w:t xml:space="preserve"> </w:t>
                      </w:r>
                      <w:r w:rsidRPr="00F16CCF">
                        <w:rPr>
                          <w:rFonts w:ascii="Calibri" w:hAnsi="Calibri"/>
                          <w:b/>
                          <w:sz w:val="22"/>
                          <w:szCs w:val="22"/>
                        </w:rPr>
                        <w:fldChar w:fldCharType="end"/>
                      </w:r>
                      <w:r w:rsidRPr="00D311A5">
                        <w:rPr>
                          <w:rFonts w:ascii="Calibri" w:hAnsi="Calibri"/>
                          <w:noProof/>
                          <w:sz w:val="22"/>
                          <w:szCs w:val="22"/>
                        </w:rPr>
                        <w:t>Component 1: Advisory Support, Technical Assistance and Capacity Building for PWA</w:t>
                      </w:r>
                    </w:p>
                  </w:tc>
                </w:tr>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Quarterly  Status Memoranda on Sector Reform produced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Y</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Quarterly status memorandum were issued for the period (March- May 2012), (June- August 2012), (September- December 2012), (January- June 2013), (July- December 2013), (January- March 2016), (April- September 2016), and were disseminated to relevant stakeholders. At later stage, summary reports of progress was presented in meetings or workshops as needed.</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New PWA organizational structured established and the redeployed staff implement its functions based on the developed job descriptions</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Text</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No</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No</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Yes</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Org.structure, job description developed, staff redeployment took place at higher level staff, but the org. structure is pending Cabinet of Ministers approval.</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01-May-2011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31-Dec-2016</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Organization Structure for PWA is completed from the DIWAN Committee.</w:t>
                      </w:r>
                    </w:p>
                    <w:p w:rsidR="004B546B" w:rsidRDefault="00B578E1" w:rsidP="004B546B">
                      <w:pPr>
                        <w:pStyle w:val="Normal75"/>
                        <w:ind w:left="90"/>
                        <w:rPr>
                          <w:rFonts w:ascii="Calibri" w:hAnsi="Calibri"/>
                          <w:sz w:val="22"/>
                          <w:szCs w:val="22"/>
                        </w:rPr>
                      </w:pPr>
                      <w:r>
                        <w:rPr>
                          <w:rFonts w:ascii="Calibri" w:hAnsi="Calibri"/>
                          <w:noProof/>
                          <w:sz w:val="22"/>
                          <w:szCs w:val="22"/>
                        </w:rPr>
                        <w:t>- PWA Job description is developed considering the new Organization structure and completed.</w:t>
                      </w:r>
                    </w:p>
                    <w:p w:rsidR="004B546B" w:rsidRDefault="00B578E1" w:rsidP="004B546B">
                      <w:pPr>
                        <w:pStyle w:val="Normal75"/>
                        <w:ind w:left="90"/>
                        <w:rPr>
                          <w:rFonts w:ascii="Calibri" w:hAnsi="Calibri"/>
                          <w:sz w:val="22"/>
                          <w:szCs w:val="22"/>
                        </w:rPr>
                      </w:pPr>
                      <w:r>
                        <w:rPr>
                          <w:rFonts w:ascii="Calibri" w:hAnsi="Calibri"/>
                          <w:noProof/>
                          <w:sz w:val="22"/>
                          <w:szCs w:val="22"/>
                        </w:rPr>
                        <w:t>- Redeployment took place at PWA for some high level staff during the reporting period.</w:t>
                      </w:r>
                    </w:p>
                    <w:p w:rsidR="0079125A" w:rsidRPr="00C63E2C" w:rsidRDefault="004B546B" w:rsidP="004B546B">
                      <w:pPr>
                        <w:pStyle w:val="Normal75"/>
                        <w:ind w:left="90"/>
                        <w:rPr>
                          <w:rFonts w:ascii="Calibri" w:hAnsi="Calibri"/>
                          <w:sz w:val="22"/>
                          <w:szCs w:val="22"/>
                        </w:rPr>
                      </w:pPr>
                      <w:r>
                        <w:rPr>
                          <w:rFonts w:ascii="Calibri" w:hAnsi="Calibri"/>
                          <w:noProof/>
                          <w:sz w:val="22"/>
                          <w:szCs w:val="22"/>
                        </w:rPr>
                        <w:t>- Organization Structure is pending Cabinet of Ministries approval.</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Technical regulations, guidelines, standards, are reviewed/ updated/,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14.00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14.00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01-May-2011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1. Technical Guidelines for PMU - Developed and partially implemented (staff is needed for full implementation);</w:t>
                      </w:r>
                    </w:p>
                    <w:p w:rsidR="004B546B" w:rsidRDefault="00B578E1" w:rsidP="004B546B">
                      <w:pPr>
                        <w:pStyle w:val="Normal75"/>
                        <w:ind w:left="90"/>
                        <w:rPr>
                          <w:rFonts w:ascii="Calibri" w:hAnsi="Calibri"/>
                          <w:sz w:val="22"/>
                          <w:szCs w:val="22"/>
                        </w:rPr>
                      </w:pPr>
                      <w:r>
                        <w:rPr>
                          <w:rFonts w:ascii="Calibri" w:hAnsi="Calibri"/>
                          <w:noProof/>
                          <w:sz w:val="22"/>
                          <w:szCs w:val="22"/>
                        </w:rPr>
                        <w:t>2. Financial Guidelines for PMU - Developed and implemented;</w:t>
                      </w:r>
                    </w:p>
                    <w:p w:rsidR="004B546B" w:rsidRDefault="00B578E1" w:rsidP="004B546B">
                      <w:pPr>
                        <w:pStyle w:val="Normal75"/>
                        <w:ind w:left="90"/>
                        <w:rPr>
                          <w:rFonts w:ascii="Calibri" w:hAnsi="Calibri"/>
                          <w:sz w:val="22"/>
                          <w:szCs w:val="22"/>
                        </w:rPr>
                      </w:pPr>
                      <w:r>
                        <w:rPr>
                          <w:rFonts w:ascii="Calibri" w:hAnsi="Calibri"/>
                          <w:noProof/>
                          <w:sz w:val="22"/>
                          <w:szCs w:val="22"/>
                        </w:rPr>
                        <w:t>3. Drinking water quality standards - Developed and adopted;</w:t>
                      </w:r>
                    </w:p>
                    <w:p w:rsidR="004B546B" w:rsidRDefault="00B578E1" w:rsidP="004B546B">
                      <w:pPr>
                        <w:pStyle w:val="Normal75"/>
                        <w:ind w:left="90"/>
                        <w:rPr>
                          <w:rFonts w:ascii="Calibri" w:hAnsi="Calibri"/>
                          <w:sz w:val="22"/>
                          <w:szCs w:val="22"/>
                        </w:rPr>
                      </w:pPr>
                      <w:r>
                        <w:rPr>
                          <w:rFonts w:ascii="Calibri" w:hAnsi="Calibri"/>
                          <w:noProof/>
                          <w:sz w:val="22"/>
                          <w:szCs w:val="22"/>
                        </w:rPr>
                        <w:t>4. PWA regulation on water tariff - Approved and adopted since 2013;</w:t>
                      </w:r>
                    </w:p>
                    <w:p w:rsidR="004B546B" w:rsidRDefault="00B578E1" w:rsidP="004B546B">
                      <w:pPr>
                        <w:pStyle w:val="Normal75"/>
                        <w:ind w:left="90"/>
                        <w:rPr>
                          <w:rFonts w:ascii="Calibri" w:hAnsi="Calibri"/>
                          <w:sz w:val="22"/>
                          <w:szCs w:val="22"/>
                        </w:rPr>
                      </w:pPr>
                      <w:r>
                        <w:rPr>
                          <w:rFonts w:ascii="Calibri" w:hAnsi="Calibri"/>
                          <w:noProof/>
                          <w:sz w:val="22"/>
                          <w:szCs w:val="22"/>
                        </w:rPr>
                        <w:t>5. PWA regulations on House connection - Approved and adopted;</w:t>
                      </w:r>
                    </w:p>
                    <w:p w:rsidR="004B546B" w:rsidRDefault="00B578E1" w:rsidP="004B546B">
                      <w:pPr>
                        <w:pStyle w:val="Normal75"/>
                        <w:ind w:left="90"/>
                        <w:rPr>
                          <w:rFonts w:ascii="Calibri" w:hAnsi="Calibri"/>
                          <w:sz w:val="22"/>
                          <w:szCs w:val="22"/>
                        </w:rPr>
                      </w:pPr>
                      <w:r>
                        <w:rPr>
                          <w:rFonts w:ascii="Calibri" w:hAnsi="Calibri"/>
                          <w:noProof/>
                          <w:sz w:val="22"/>
                          <w:szCs w:val="22"/>
                        </w:rPr>
                        <w:t>6. PWA guidelines produced on Planning &amp; Design - Developed by PWA but needs approval by PWA Head;</w:t>
                      </w:r>
                    </w:p>
                    <w:p w:rsidR="004B546B" w:rsidRDefault="00B578E1" w:rsidP="004B546B">
                      <w:pPr>
                        <w:pStyle w:val="Normal75"/>
                        <w:ind w:left="90"/>
                        <w:rPr>
                          <w:rFonts w:ascii="Calibri" w:hAnsi="Calibri"/>
                          <w:sz w:val="22"/>
                          <w:szCs w:val="22"/>
                        </w:rPr>
                      </w:pPr>
                      <w:r>
                        <w:rPr>
                          <w:rFonts w:ascii="Calibri" w:hAnsi="Calibri"/>
                          <w:noProof/>
                          <w:sz w:val="22"/>
                          <w:szCs w:val="22"/>
                        </w:rPr>
                        <w:t xml:space="preserve">8. Licensing of SPs - Developed as final draft; </w:t>
                      </w:r>
                    </w:p>
                    <w:p w:rsidR="004B546B" w:rsidRDefault="00B578E1" w:rsidP="004B546B">
                      <w:pPr>
                        <w:pStyle w:val="Normal75"/>
                        <w:ind w:left="90"/>
                        <w:rPr>
                          <w:rFonts w:ascii="Calibri" w:hAnsi="Calibri"/>
                          <w:sz w:val="22"/>
                          <w:szCs w:val="22"/>
                        </w:rPr>
                      </w:pPr>
                      <w:r>
                        <w:rPr>
                          <w:rFonts w:ascii="Calibri" w:hAnsi="Calibri"/>
                          <w:noProof/>
                          <w:sz w:val="22"/>
                          <w:szCs w:val="22"/>
                        </w:rPr>
                        <w:t>9. Guidelines on Financial &amp; Administration - Completed and implemented at PWA;</w:t>
                      </w:r>
                    </w:p>
                    <w:p w:rsidR="004B546B" w:rsidRDefault="00B578E1" w:rsidP="004B546B">
                      <w:pPr>
                        <w:pStyle w:val="Normal75"/>
                        <w:ind w:left="90"/>
                        <w:rPr>
                          <w:rFonts w:ascii="Calibri" w:hAnsi="Calibri"/>
                          <w:sz w:val="22"/>
                          <w:szCs w:val="22"/>
                        </w:rPr>
                      </w:pPr>
                      <w:r>
                        <w:rPr>
                          <w:rFonts w:ascii="Calibri" w:hAnsi="Calibri"/>
                          <w:noProof/>
                          <w:sz w:val="22"/>
                          <w:szCs w:val="22"/>
                        </w:rPr>
                        <w:t>10. Water &amp; WW Tariff &amp; Connection Services Fees - Unified tariff regulation is developed after a lot of deliberations with key stakeholders. It is considered as top priority to the Minister and is expected to be raised very soon to the CoM approval.</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11. Water &amp; WW Sector Specifications &amp; Design Guidelines - Draft finalized.  PWA has formulated a team comprising of different stakeholders that are </w:t>
                      </w:r>
                      <w:r>
                        <w:rPr>
                          <w:rFonts w:ascii="Calibri" w:hAnsi="Calibri"/>
                          <w:noProof/>
                          <w:sz w:val="22"/>
                          <w:szCs w:val="22"/>
                        </w:rPr>
                        <w:lastRenderedPageBreak/>
                        <w:t>responsible for finalizing the document.</w:t>
                      </w:r>
                    </w:p>
                    <w:p w:rsidR="004B546B" w:rsidRDefault="00B578E1" w:rsidP="004B546B">
                      <w:pPr>
                        <w:pStyle w:val="Normal75"/>
                        <w:ind w:left="90"/>
                        <w:rPr>
                          <w:rFonts w:ascii="Calibri" w:hAnsi="Calibri"/>
                          <w:sz w:val="22"/>
                          <w:szCs w:val="22"/>
                        </w:rPr>
                      </w:pPr>
                      <w:r>
                        <w:rPr>
                          <w:rFonts w:ascii="Calibri" w:hAnsi="Calibri"/>
                          <w:noProof/>
                          <w:sz w:val="22"/>
                          <w:szCs w:val="22"/>
                        </w:rPr>
                        <w:t>12. Standard Operation Procedure to PWA - Developed according to new structure, and implemented. Although SoP is based on new structure which is still pending CoM approval, PWA managed to implement it considering functions.</w:t>
                      </w:r>
                    </w:p>
                    <w:p w:rsidR="004B546B" w:rsidRDefault="00B578E1" w:rsidP="004B546B">
                      <w:pPr>
                        <w:pStyle w:val="Normal75"/>
                        <w:ind w:left="90"/>
                        <w:rPr>
                          <w:rFonts w:ascii="Calibri" w:hAnsi="Calibri"/>
                          <w:sz w:val="22"/>
                          <w:szCs w:val="22"/>
                        </w:rPr>
                      </w:pPr>
                      <w:r>
                        <w:rPr>
                          <w:rFonts w:ascii="Calibri" w:hAnsi="Calibri"/>
                          <w:noProof/>
                          <w:sz w:val="22"/>
                          <w:szCs w:val="22"/>
                        </w:rPr>
                        <w:t>13. Guideline for Pricing Services - Developed and completed. Guideline for prices might be subject to modifications based on the unified tariff regulation.</w:t>
                      </w:r>
                    </w:p>
                    <w:p w:rsidR="0079125A" w:rsidRPr="00C63E2C" w:rsidRDefault="004B546B" w:rsidP="004B546B">
                      <w:pPr>
                        <w:pStyle w:val="Normal75"/>
                        <w:ind w:left="90"/>
                        <w:rPr>
                          <w:rFonts w:ascii="Calibri" w:hAnsi="Calibri"/>
                          <w:sz w:val="22"/>
                          <w:szCs w:val="22"/>
                        </w:rPr>
                      </w:pPr>
                      <w:r>
                        <w:rPr>
                          <w:rFonts w:ascii="Calibri" w:hAnsi="Calibri"/>
                          <w:noProof/>
                          <w:sz w:val="22"/>
                          <w:szCs w:val="22"/>
                        </w:rPr>
                        <w:t>14. Water Resources and facilities protection - Developed but needs to be approved by PWA head and submitted to the CoM for final approval.</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National Water Company Bylaw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Text</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No</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Not part of the original operation; indicator added as part of the AF.</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Yes</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Road map developed and bylaw in draft</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PWA has developed a road map for the establishment of the National Water Company (NWC) responsible for the bulk water supply. It has also drafted its bylaw, but it was not yet approved by the CoM, which should result in the establishment of the NWC. The establishment of the NWC is major step in the reform agenda of the water sector.  </w:t>
                      </w:r>
                    </w:p>
                    <w:p w:rsidR="004B546B" w:rsidRDefault="00B578E1" w:rsidP="004B546B">
                      <w:pPr>
                        <w:pStyle w:val="Normal75"/>
                        <w:ind w:left="90"/>
                        <w:rPr>
                          <w:rFonts w:ascii="Calibri" w:hAnsi="Calibri"/>
                          <w:sz w:val="22"/>
                          <w:szCs w:val="22"/>
                        </w:rPr>
                      </w:pPr>
                      <w:r>
                        <w:rPr>
                          <w:rFonts w:ascii="Calibri" w:hAnsi="Calibri"/>
                          <w:noProof/>
                          <w:sz w:val="22"/>
                          <w:szCs w:val="22"/>
                        </w:rPr>
                        <w:t>Recently, the bulk water supply is done by the West Bank Water Department, an old and inefficient institution, which shall be replaced by the NWC</w:t>
                      </w:r>
                    </w:p>
                    <w:p w:rsidR="004B546B" w:rsidRDefault="00B578E1" w:rsidP="004B546B">
                      <w:pPr>
                        <w:pStyle w:val="Normal75"/>
                        <w:ind w:left="90"/>
                        <w:rPr>
                          <w:rFonts w:ascii="Calibri" w:hAnsi="Calibri"/>
                          <w:sz w:val="22"/>
                          <w:szCs w:val="22"/>
                        </w:rPr>
                      </w:pPr>
                      <w:r>
                        <w:rPr>
                          <w:rFonts w:ascii="Calibri" w:hAnsi="Calibri"/>
                          <w:noProof/>
                          <w:sz w:val="22"/>
                          <w:szCs w:val="22"/>
                        </w:rPr>
                        <w:t>as of the new water law of 2014.There are important step that need to take place (i.e. assets valuation, settlement of the debts with the service</w:t>
                      </w:r>
                    </w:p>
                    <w:p w:rsidR="0079125A" w:rsidRPr="00C63E2C" w:rsidRDefault="004B546B" w:rsidP="004B546B">
                      <w:pPr>
                        <w:pStyle w:val="Normal75"/>
                        <w:ind w:left="90"/>
                        <w:rPr>
                          <w:rFonts w:ascii="Calibri" w:hAnsi="Calibri"/>
                          <w:sz w:val="22"/>
                          <w:szCs w:val="22"/>
                        </w:rPr>
                      </w:pPr>
                      <w:r>
                        <w:rPr>
                          <w:rFonts w:ascii="Calibri" w:hAnsi="Calibri"/>
                          <w:noProof/>
                          <w:sz w:val="22"/>
                          <w:szCs w:val="22"/>
                        </w:rPr>
                        <w:t>providers, which account around US$240M, existing staff, etc.), along the establishment of the NWC.</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 xml:space="preserve">Regional Water Utilities Bylaw </w:t>
                      </w:r>
                      <w:r w:rsidRPr="00C63E2C">
                        <w:rPr>
                          <w:rFonts w:ascii="Calibri" w:hAnsi="Calibri"/>
                          <w:noProof/>
                          <w:sz w:val="22"/>
                          <w:szCs w:val="22"/>
                        </w:rPr>
                        <w:lastRenderedPageBreak/>
                        <w:t>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lastRenderedPageBreak/>
                        <w:t>Text</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No</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 xml:space="preserve">Not part of the original operation; </w:t>
                      </w:r>
                      <w:r w:rsidRPr="00C63E2C">
                        <w:rPr>
                          <w:rFonts w:ascii="Calibri" w:hAnsi="Calibri"/>
                          <w:bCs/>
                          <w:noProof/>
                          <w:sz w:val="22"/>
                          <w:szCs w:val="22"/>
                        </w:rPr>
                        <w:lastRenderedPageBreak/>
                        <w:t>indicator added as part of the AF.</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lastRenderedPageBreak/>
                        <w:t>Yes</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 xml:space="preserve">Yes. Approved by the PWA and forwarded </w:t>
                      </w:r>
                      <w:r>
                        <w:rPr>
                          <w:rFonts w:ascii="Calibri" w:hAnsi="Calibri"/>
                          <w:bCs/>
                          <w:noProof/>
                          <w:sz w:val="22"/>
                          <w:szCs w:val="22"/>
                        </w:rPr>
                        <w:lastRenderedPageBreak/>
                        <w:t>to the cabinet of Ministers for approval</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fully achieved.   PWA has developed a road map for the establishment of the Regional Water Utilities (RWUs), which is responsible for the domestic water and wastewater services, and has identified pilot areas to start implementations. PWA has also developed its bylaw and made consultations with stakeholders, and has forwarded it to the CoM for approval, but not yet approved. The establishment of the RWUs is part of the reform agenda for the water sector, which may need several years to be accomplished. The road map suggested some scenarios to achieve the establishment starting from corporatization through establishment of independent utilities and then amalgamation of utilities toward the RWUs. The bylaw is expected to be approved in the coming six months, as it has been discussed and consulted with relevant stakeholders.</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Strategies produced and consulted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9.00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9.00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01-Apr-2011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target fully achieved, all strategies were produced and consulted, as outlined below.  Many of them have taken them further and are under implementation depending on resource availability.   </w:t>
                      </w:r>
                    </w:p>
                    <w:p w:rsidR="004B546B" w:rsidRDefault="00B578E1" w:rsidP="004B546B">
                      <w:pPr>
                        <w:pStyle w:val="Normal75"/>
                        <w:ind w:left="90"/>
                        <w:rPr>
                          <w:rFonts w:ascii="Calibri" w:hAnsi="Calibri"/>
                          <w:sz w:val="22"/>
                          <w:szCs w:val="22"/>
                        </w:rPr>
                      </w:pPr>
                      <w:r>
                        <w:rPr>
                          <w:rFonts w:ascii="Calibri" w:hAnsi="Calibri"/>
                          <w:noProof/>
                          <w:sz w:val="22"/>
                          <w:szCs w:val="22"/>
                        </w:rPr>
                        <w:t>1. Sustainable Financing - Produced and published at PWA website, and is utilized by different stakeholders.</w:t>
                      </w:r>
                    </w:p>
                    <w:p w:rsidR="004B546B" w:rsidRDefault="00B578E1" w:rsidP="004B546B">
                      <w:pPr>
                        <w:pStyle w:val="Normal75"/>
                        <w:ind w:left="90"/>
                        <w:rPr>
                          <w:rFonts w:ascii="Calibri" w:hAnsi="Calibri"/>
                          <w:sz w:val="22"/>
                          <w:szCs w:val="22"/>
                        </w:rPr>
                      </w:pPr>
                      <w:r>
                        <w:rPr>
                          <w:rFonts w:ascii="Calibri" w:hAnsi="Calibri"/>
                          <w:noProof/>
                          <w:sz w:val="22"/>
                          <w:szCs w:val="22"/>
                        </w:rPr>
                        <w:t>2. Revenue Water - Produced and published at PWA website, and utilized by different stakeholders (e.g. KfW program fund).</w:t>
                      </w:r>
                    </w:p>
                    <w:p w:rsidR="004B546B" w:rsidRDefault="00B578E1" w:rsidP="004B546B">
                      <w:pPr>
                        <w:pStyle w:val="Normal75"/>
                        <w:ind w:left="90"/>
                        <w:rPr>
                          <w:rFonts w:ascii="Calibri" w:hAnsi="Calibri"/>
                          <w:sz w:val="22"/>
                          <w:szCs w:val="22"/>
                        </w:rPr>
                      </w:pPr>
                      <w:r>
                        <w:rPr>
                          <w:rFonts w:ascii="Calibri" w:hAnsi="Calibri"/>
                          <w:noProof/>
                          <w:sz w:val="22"/>
                          <w:szCs w:val="22"/>
                        </w:rPr>
                        <w:t>3. Communication - Produced and published at PWA website. Under implementation depending on fund availability.</w:t>
                      </w:r>
                    </w:p>
                    <w:p w:rsidR="004B546B" w:rsidRDefault="00B578E1" w:rsidP="004B546B">
                      <w:pPr>
                        <w:pStyle w:val="Normal75"/>
                        <w:ind w:left="90"/>
                        <w:rPr>
                          <w:rFonts w:ascii="Calibri" w:hAnsi="Calibri"/>
                          <w:sz w:val="22"/>
                          <w:szCs w:val="22"/>
                        </w:rPr>
                      </w:pPr>
                      <w:r>
                        <w:rPr>
                          <w:rFonts w:ascii="Calibri" w:hAnsi="Calibri"/>
                          <w:noProof/>
                          <w:sz w:val="22"/>
                          <w:szCs w:val="22"/>
                        </w:rPr>
                        <w:t>4. Sludge disposal - Desk study was produced and implemented. It served as the basis for the development and the endorsed “Obligatory Technical Instructions No. 59 for year 2015 : Treated Sludge for Agricultural Reuse”</w:t>
                      </w:r>
                    </w:p>
                    <w:p w:rsidR="004B546B" w:rsidRDefault="00B578E1" w:rsidP="004B546B">
                      <w:pPr>
                        <w:pStyle w:val="Normal75"/>
                        <w:ind w:left="90"/>
                        <w:rPr>
                          <w:rFonts w:ascii="Calibri" w:hAnsi="Calibri"/>
                          <w:sz w:val="22"/>
                          <w:szCs w:val="22"/>
                        </w:rPr>
                      </w:pPr>
                      <w:r>
                        <w:rPr>
                          <w:rFonts w:ascii="Calibri" w:hAnsi="Calibri"/>
                          <w:noProof/>
                          <w:sz w:val="22"/>
                          <w:szCs w:val="22"/>
                        </w:rPr>
                        <w:t>5. Capacity development - Developed and partially implemented depending on fund availability. Further support is needed for the implementation.</w:t>
                      </w:r>
                    </w:p>
                    <w:p w:rsidR="004B546B" w:rsidRDefault="00B578E1" w:rsidP="004B546B">
                      <w:pPr>
                        <w:pStyle w:val="Normal75"/>
                        <w:ind w:left="90"/>
                        <w:rPr>
                          <w:rFonts w:ascii="Calibri" w:hAnsi="Calibri"/>
                          <w:sz w:val="22"/>
                          <w:szCs w:val="22"/>
                        </w:rPr>
                      </w:pPr>
                      <w:r>
                        <w:rPr>
                          <w:rFonts w:ascii="Calibri" w:hAnsi="Calibri"/>
                          <w:noProof/>
                          <w:sz w:val="22"/>
                          <w:szCs w:val="22"/>
                        </w:rPr>
                        <w:t>6. PWA Strategic Plan (2016 -2018) - Developed, implemented</w:t>
                      </w:r>
                    </w:p>
                    <w:p w:rsidR="004B546B" w:rsidRDefault="00B578E1" w:rsidP="004B546B">
                      <w:pPr>
                        <w:pStyle w:val="Normal75"/>
                        <w:ind w:left="90"/>
                        <w:rPr>
                          <w:rFonts w:ascii="Calibri" w:hAnsi="Calibri"/>
                          <w:sz w:val="22"/>
                          <w:szCs w:val="22"/>
                        </w:rPr>
                      </w:pPr>
                      <w:r>
                        <w:rPr>
                          <w:rFonts w:ascii="Calibri" w:hAnsi="Calibri"/>
                          <w:noProof/>
                          <w:sz w:val="22"/>
                          <w:szCs w:val="22"/>
                        </w:rPr>
                        <w:lastRenderedPageBreak/>
                        <w:t>7. General Policy for Water Demand Management Concepts and Principals - Developed and finalized from PWA. Dissemination is yet to take place.</w:t>
                      </w:r>
                    </w:p>
                    <w:p w:rsidR="004B546B" w:rsidRDefault="00B578E1" w:rsidP="004B546B">
                      <w:pPr>
                        <w:pStyle w:val="Normal75"/>
                        <w:ind w:left="90"/>
                        <w:rPr>
                          <w:rFonts w:ascii="Calibri" w:hAnsi="Calibri"/>
                          <w:sz w:val="22"/>
                          <w:szCs w:val="22"/>
                        </w:rPr>
                      </w:pPr>
                      <w:r>
                        <w:rPr>
                          <w:rFonts w:ascii="Calibri" w:hAnsi="Calibri"/>
                          <w:noProof/>
                          <w:sz w:val="22"/>
                          <w:szCs w:val="22"/>
                        </w:rPr>
                        <w:t>8. Strategies covering-Public Awareness and civil engagement - Completed recently, further support is needed for implementation.</w:t>
                      </w:r>
                    </w:p>
                    <w:p w:rsidR="0079125A" w:rsidRPr="00C63E2C" w:rsidRDefault="004B546B" w:rsidP="004B546B">
                      <w:pPr>
                        <w:pStyle w:val="Normal75"/>
                        <w:ind w:left="90"/>
                        <w:rPr>
                          <w:rFonts w:ascii="Calibri" w:hAnsi="Calibri"/>
                          <w:sz w:val="22"/>
                          <w:szCs w:val="22"/>
                        </w:rPr>
                      </w:pPr>
                      <w:r>
                        <w:rPr>
                          <w:rFonts w:ascii="Calibri" w:hAnsi="Calibri"/>
                          <w:noProof/>
                          <w:sz w:val="22"/>
                          <w:szCs w:val="22"/>
                        </w:rPr>
                        <w:t>9. Transboundary Water Resources Strategy - developed, and adopted by PWA</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Plans and planning support tools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16.00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16.00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01-May-2011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31-Dec-2015</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1. Climate change mitigation measures - Produced and utilized by PWA and relevant stakeholders. </w:t>
                      </w:r>
                    </w:p>
                    <w:p w:rsidR="004B546B" w:rsidRDefault="00B578E1" w:rsidP="004B546B">
                      <w:pPr>
                        <w:pStyle w:val="Normal75"/>
                        <w:ind w:left="90"/>
                        <w:rPr>
                          <w:rFonts w:ascii="Calibri" w:hAnsi="Calibri"/>
                          <w:sz w:val="22"/>
                          <w:szCs w:val="22"/>
                        </w:rPr>
                      </w:pPr>
                      <w:r>
                        <w:rPr>
                          <w:rFonts w:ascii="Calibri" w:hAnsi="Calibri"/>
                          <w:noProof/>
                          <w:sz w:val="22"/>
                          <w:szCs w:val="22"/>
                        </w:rPr>
                        <w:t>2. Evaluation of surface water and groundwater surface models - completed and utilized, e.g. by Water Resources Directorate within PWA.</w:t>
                      </w:r>
                    </w:p>
                    <w:p w:rsidR="004B546B" w:rsidRDefault="00B578E1" w:rsidP="004B546B">
                      <w:pPr>
                        <w:pStyle w:val="Normal75"/>
                        <w:ind w:left="90"/>
                        <w:rPr>
                          <w:rFonts w:ascii="Calibri" w:hAnsi="Calibri"/>
                          <w:sz w:val="22"/>
                          <w:szCs w:val="22"/>
                        </w:rPr>
                      </w:pPr>
                      <w:r>
                        <w:rPr>
                          <w:rFonts w:ascii="Calibri" w:hAnsi="Calibri"/>
                          <w:noProof/>
                          <w:sz w:val="22"/>
                          <w:szCs w:val="22"/>
                        </w:rPr>
                        <w:t>3. Assessment of Hydro monitoring equipment, and specifications - Produced and follow up actions were undertaken accordingly.  Procurement of equipment needed based on the assessment</w:t>
                      </w:r>
                    </w:p>
                    <w:p w:rsidR="004B546B" w:rsidRDefault="00B578E1" w:rsidP="004B546B">
                      <w:pPr>
                        <w:pStyle w:val="Normal75"/>
                        <w:ind w:left="90"/>
                        <w:rPr>
                          <w:rFonts w:ascii="Calibri" w:hAnsi="Calibri"/>
                          <w:sz w:val="22"/>
                          <w:szCs w:val="22"/>
                        </w:rPr>
                      </w:pPr>
                      <w:r>
                        <w:rPr>
                          <w:rFonts w:ascii="Calibri" w:hAnsi="Calibri"/>
                          <w:noProof/>
                          <w:sz w:val="22"/>
                          <w:szCs w:val="22"/>
                        </w:rPr>
                        <w:t>4. Standard Formats and Methodology for Planning - produced and is utilized by the Planning directorate within PWA.</w:t>
                      </w:r>
                    </w:p>
                    <w:p w:rsidR="004B546B" w:rsidRDefault="00B578E1" w:rsidP="004B546B">
                      <w:pPr>
                        <w:pStyle w:val="Normal75"/>
                        <w:ind w:left="90"/>
                        <w:rPr>
                          <w:rFonts w:ascii="Calibri" w:hAnsi="Calibri"/>
                          <w:sz w:val="22"/>
                          <w:szCs w:val="22"/>
                        </w:rPr>
                      </w:pPr>
                      <w:r>
                        <w:rPr>
                          <w:rFonts w:ascii="Calibri" w:hAnsi="Calibri"/>
                          <w:noProof/>
                          <w:sz w:val="22"/>
                          <w:szCs w:val="22"/>
                        </w:rPr>
                        <w:t>5. ToR for Master Plan N-NE West Bank - Completed.  A comprehensive study was conducted based on the ToR and utilized by PWA and relevant stakeholders.</w:t>
                      </w:r>
                    </w:p>
                    <w:p w:rsidR="004B546B" w:rsidRDefault="00B578E1" w:rsidP="004B546B">
                      <w:pPr>
                        <w:pStyle w:val="Normal75"/>
                        <w:ind w:left="90"/>
                        <w:rPr>
                          <w:rFonts w:ascii="Calibri" w:hAnsi="Calibri"/>
                          <w:sz w:val="22"/>
                          <w:szCs w:val="22"/>
                        </w:rPr>
                      </w:pPr>
                      <w:r>
                        <w:rPr>
                          <w:rFonts w:ascii="Calibri" w:hAnsi="Calibri"/>
                          <w:noProof/>
                          <w:sz w:val="22"/>
                          <w:szCs w:val="22"/>
                        </w:rPr>
                        <w:t>6. Communication Plan produced and under implementation by PWA</w:t>
                      </w:r>
                    </w:p>
                    <w:p w:rsidR="004B546B" w:rsidRDefault="00B578E1" w:rsidP="004B546B">
                      <w:pPr>
                        <w:pStyle w:val="Normal75"/>
                        <w:ind w:left="90"/>
                        <w:rPr>
                          <w:rFonts w:ascii="Calibri" w:hAnsi="Calibri"/>
                          <w:sz w:val="22"/>
                          <w:szCs w:val="22"/>
                        </w:rPr>
                      </w:pPr>
                      <w:r>
                        <w:rPr>
                          <w:rFonts w:ascii="Calibri" w:hAnsi="Calibri"/>
                          <w:noProof/>
                          <w:sz w:val="22"/>
                          <w:szCs w:val="22"/>
                        </w:rPr>
                        <w:t>7. PWA Implementation (business) Plan for 2015 - Produced and endorsed, and was implemented and monitored accordingly.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8. Water Information System - Developed and under implementation.   Replaced by 2 systems considering MIS recommendation with the main objective having appropriate foundation for decision systems. </w:t>
                      </w:r>
                    </w:p>
                    <w:p w:rsidR="004B546B" w:rsidRDefault="00B578E1" w:rsidP="004B546B">
                      <w:pPr>
                        <w:pStyle w:val="Normal75"/>
                        <w:ind w:left="90"/>
                        <w:rPr>
                          <w:rFonts w:ascii="Calibri" w:hAnsi="Calibri"/>
                          <w:sz w:val="22"/>
                          <w:szCs w:val="22"/>
                        </w:rPr>
                      </w:pPr>
                      <w:r>
                        <w:rPr>
                          <w:rFonts w:ascii="Calibri" w:hAnsi="Calibri"/>
                          <w:noProof/>
                          <w:sz w:val="22"/>
                          <w:szCs w:val="22"/>
                        </w:rPr>
                        <w:t>9. Improved PWA Human Resource System - Developed, implemented and being utilized by PWA which has improved the performance of PWA significantly in this regard.</w:t>
                      </w:r>
                    </w:p>
                    <w:p w:rsidR="004B546B" w:rsidRDefault="00B578E1" w:rsidP="004B546B">
                      <w:pPr>
                        <w:pStyle w:val="Normal75"/>
                        <w:ind w:left="90"/>
                        <w:rPr>
                          <w:rFonts w:ascii="Calibri" w:hAnsi="Calibri"/>
                          <w:sz w:val="22"/>
                          <w:szCs w:val="22"/>
                        </w:rPr>
                      </w:pPr>
                      <w:r>
                        <w:rPr>
                          <w:rFonts w:ascii="Calibri" w:hAnsi="Calibri"/>
                          <w:noProof/>
                          <w:sz w:val="22"/>
                          <w:szCs w:val="22"/>
                        </w:rPr>
                        <w:t>11. PWA Implementation (business) Plan for 2016 - Developed and endorsed, and implemented and monitored accordingly.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12. Public Awareness Action Plan - Developed and finalized, implementation hinges on fund availability. </w:t>
                      </w:r>
                    </w:p>
                    <w:p w:rsidR="004B546B" w:rsidRDefault="00B578E1" w:rsidP="004B546B">
                      <w:pPr>
                        <w:pStyle w:val="Normal75"/>
                        <w:ind w:left="90"/>
                        <w:rPr>
                          <w:rFonts w:ascii="Calibri" w:hAnsi="Calibri"/>
                          <w:sz w:val="22"/>
                          <w:szCs w:val="22"/>
                        </w:rPr>
                      </w:pPr>
                      <w:r>
                        <w:rPr>
                          <w:rFonts w:ascii="Calibri" w:hAnsi="Calibri"/>
                          <w:noProof/>
                          <w:sz w:val="22"/>
                          <w:szCs w:val="22"/>
                        </w:rPr>
                        <w:t>13. Licensing for drilling and abstraction data base system  - Developed.  The system was considered in the EDMAS system. Further improvements to it might take place upon endorsing the drilling and abstraction regulation.</w:t>
                      </w:r>
                    </w:p>
                    <w:p w:rsidR="004B546B" w:rsidRDefault="00B578E1" w:rsidP="004B546B">
                      <w:pPr>
                        <w:pStyle w:val="Normal75"/>
                        <w:ind w:left="90"/>
                        <w:rPr>
                          <w:rFonts w:ascii="Calibri" w:hAnsi="Calibri"/>
                          <w:sz w:val="22"/>
                          <w:szCs w:val="22"/>
                        </w:rPr>
                      </w:pPr>
                      <w:r>
                        <w:rPr>
                          <w:rFonts w:ascii="Calibri" w:hAnsi="Calibri"/>
                          <w:noProof/>
                          <w:sz w:val="22"/>
                          <w:szCs w:val="22"/>
                        </w:rPr>
                        <w:lastRenderedPageBreak/>
                        <w:t>14. National Water Safety Plan - Completed, and pilot was developed. Safety plan was adopted and implementation took place in pilot areas (e.g. Qalqiliah municipality)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15. PWA implementation (business) plan for 2017 - Developed and is being implemented. </w:t>
                      </w:r>
                    </w:p>
                    <w:p w:rsidR="0079125A" w:rsidRPr="00C63E2C" w:rsidRDefault="004B546B" w:rsidP="004B546B">
                      <w:pPr>
                        <w:pStyle w:val="Normal75"/>
                        <w:ind w:left="90"/>
                        <w:rPr>
                          <w:rFonts w:ascii="Calibri" w:hAnsi="Calibri"/>
                          <w:sz w:val="22"/>
                          <w:szCs w:val="22"/>
                        </w:rPr>
                      </w:pPr>
                      <w:r>
                        <w:rPr>
                          <w:rFonts w:ascii="Calibri" w:hAnsi="Calibri"/>
                          <w:noProof/>
                          <w:sz w:val="22"/>
                          <w:szCs w:val="22"/>
                        </w:rPr>
                        <w:t>16. Complains System is developed - For PWA it is incorporated as part of the government system.</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Relevant Studies  conducted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3.00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3.00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01-May-2011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31-Dec-2015</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4B546B" w:rsidRDefault="00B578E1" w:rsidP="004B546B">
                      <w:pPr>
                        <w:pStyle w:val="Normal75"/>
                        <w:ind w:left="90"/>
                        <w:rPr>
                          <w:rFonts w:ascii="Calibri" w:hAnsi="Calibri"/>
                          <w:noProof/>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Pr>
                          <w:rFonts w:ascii="Calibri" w:hAnsi="Calibri"/>
                          <w:noProof/>
                          <w:sz w:val="22"/>
                          <w:szCs w:val="22"/>
                        </w:rPr>
                        <w:t xml:space="preserve">Target achieved. </w:t>
                      </w:r>
                    </w:p>
                    <w:p w:rsidR="0079125A" w:rsidRPr="00C63E2C" w:rsidRDefault="004B546B" w:rsidP="004B546B">
                      <w:pPr>
                        <w:pStyle w:val="Normal75"/>
                        <w:ind w:left="90"/>
                        <w:rPr>
                          <w:rFonts w:ascii="Calibri" w:hAnsi="Calibri"/>
                          <w:sz w:val="22"/>
                          <w:szCs w:val="22"/>
                        </w:rPr>
                      </w:pPr>
                      <w:r>
                        <w:rPr>
                          <w:rFonts w:ascii="Calibri" w:hAnsi="Calibri"/>
                          <w:noProof/>
                          <w:sz w:val="22"/>
                          <w:szCs w:val="22"/>
                        </w:rPr>
                        <w:t>Assessment of Acquired Regional Experience on Wastewater Treatment, Reuse and Sludge Management Studies - Completed. Results have been utilized upon need by relevant directorates within PWA.</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PWA’s improved capacities are effectively applied as measured by (i) 85 Staff Trained; Among which 18 females, and (ii) 14 TrainingCourses conducted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85.00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95.00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02-Nov-2017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over-achieved. 95 staff was trained and 28 Training Courses were conducted to improve PWA capacities on the following topics:</w:t>
                      </w:r>
                    </w:p>
                    <w:p w:rsidR="004B546B" w:rsidRDefault="00B578E1" w:rsidP="004B546B">
                      <w:pPr>
                        <w:pStyle w:val="Normal75"/>
                        <w:ind w:left="90"/>
                        <w:rPr>
                          <w:rFonts w:ascii="Calibri" w:hAnsi="Calibri"/>
                          <w:sz w:val="22"/>
                          <w:szCs w:val="22"/>
                        </w:rPr>
                      </w:pPr>
                      <w:r>
                        <w:rPr>
                          <w:rFonts w:ascii="Calibri" w:hAnsi="Calibri"/>
                          <w:noProof/>
                          <w:sz w:val="22"/>
                          <w:szCs w:val="22"/>
                        </w:rPr>
                        <w:t>- Training on Etiquette &amp; Protocol on January 2017</w:t>
                      </w:r>
                    </w:p>
                    <w:p w:rsidR="004B546B" w:rsidRDefault="00B578E1" w:rsidP="004B546B">
                      <w:pPr>
                        <w:pStyle w:val="Normal75"/>
                        <w:ind w:left="90"/>
                        <w:rPr>
                          <w:rFonts w:ascii="Calibri" w:hAnsi="Calibri"/>
                          <w:sz w:val="22"/>
                          <w:szCs w:val="22"/>
                        </w:rPr>
                      </w:pPr>
                      <w:r>
                        <w:rPr>
                          <w:rFonts w:ascii="Calibri" w:hAnsi="Calibri"/>
                          <w:noProof/>
                          <w:sz w:val="22"/>
                          <w:szCs w:val="22"/>
                        </w:rPr>
                        <w:lastRenderedPageBreak/>
                        <w:t>- Training for PWA personnel involved in communication and Public relation on December 2016</w:t>
                      </w:r>
                    </w:p>
                    <w:p w:rsidR="004B546B" w:rsidRDefault="00B578E1" w:rsidP="004B546B">
                      <w:pPr>
                        <w:pStyle w:val="Normal75"/>
                        <w:ind w:left="90"/>
                        <w:rPr>
                          <w:rFonts w:ascii="Calibri" w:hAnsi="Calibri"/>
                          <w:sz w:val="22"/>
                          <w:szCs w:val="22"/>
                        </w:rPr>
                      </w:pPr>
                      <w:r>
                        <w:rPr>
                          <w:rFonts w:ascii="Calibri" w:hAnsi="Calibri"/>
                          <w:noProof/>
                          <w:sz w:val="22"/>
                          <w:szCs w:val="22"/>
                        </w:rPr>
                        <w:t>- Training on the objectives and use of Sops on January 2016</w:t>
                      </w:r>
                    </w:p>
                    <w:p w:rsidR="004B546B" w:rsidRDefault="00B578E1" w:rsidP="004B546B">
                      <w:pPr>
                        <w:pStyle w:val="Normal75"/>
                        <w:ind w:left="90"/>
                        <w:rPr>
                          <w:rFonts w:ascii="Calibri" w:hAnsi="Calibri"/>
                          <w:sz w:val="22"/>
                          <w:szCs w:val="22"/>
                        </w:rPr>
                      </w:pPr>
                      <w:r>
                        <w:rPr>
                          <w:rFonts w:ascii="Calibri" w:hAnsi="Calibri"/>
                          <w:noProof/>
                          <w:sz w:val="22"/>
                          <w:szCs w:val="22"/>
                        </w:rPr>
                        <w:t>- Training on Water Resource Programs to PWA Staff</w:t>
                      </w:r>
                    </w:p>
                    <w:p w:rsidR="004B546B" w:rsidRDefault="00B578E1" w:rsidP="004B546B">
                      <w:pPr>
                        <w:pStyle w:val="Normal75"/>
                        <w:ind w:left="90"/>
                        <w:rPr>
                          <w:rFonts w:ascii="Calibri" w:hAnsi="Calibri"/>
                          <w:sz w:val="22"/>
                          <w:szCs w:val="22"/>
                        </w:rPr>
                      </w:pPr>
                      <w:r>
                        <w:rPr>
                          <w:rFonts w:ascii="Calibri" w:hAnsi="Calibri"/>
                          <w:noProof/>
                          <w:sz w:val="22"/>
                          <w:szCs w:val="22"/>
                        </w:rPr>
                        <w:t>- Training on Finance for Non Finance for High level Staff</w:t>
                      </w:r>
                    </w:p>
                    <w:p w:rsidR="004B546B" w:rsidRDefault="00B578E1" w:rsidP="004B546B">
                      <w:pPr>
                        <w:pStyle w:val="Normal75"/>
                        <w:ind w:left="90"/>
                        <w:rPr>
                          <w:rFonts w:ascii="Calibri" w:hAnsi="Calibri"/>
                          <w:sz w:val="22"/>
                          <w:szCs w:val="22"/>
                        </w:rPr>
                      </w:pPr>
                      <w:r>
                        <w:rPr>
                          <w:rFonts w:ascii="Calibri" w:hAnsi="Calibri"/>
                          <w:noProof/>
                          <w:sz w:val="22"/>
                          <w:szCs w:val="22"/>
                        </w:rPr>
                        <w:t>- Excel Training for different Staff</w:t>
                      </w:r>
                    </w:p>
                    <w:p w:rsidR="004B546B" w:rsidRDefault="00B578E1" w:rsidP="004B546B">
                      <w:pPr>
                        <w:pStyle w:val="Normal75"/>
                        <w:ind w:left="90"/>
                        <w:rPr>
                          <w:rFonts w:ascii="Calibri" w:hAnsi="Calibri"/>
                          <w:sz w:val="22"/>
                          <w:szCs w:val="22"/>
                        </w:rPr>
                      </w:pPr>
                      <w:r>
                        <w:rPr>
                          <w:rFonts w:ascii="Calibri" w:hAnsi="Calibri"/>
                          <w:noProof/>
                          <w:sz w:val="22"/>
                          <w:szCs w:val="22"/>
                        </w:rPr>
                        <w:t>- Advance level Financial Training</w:t>
                      </w:r>
                    </w:p>
                    <w:p w:rsidR="004B546B" w:rsidRDefault="00B578E1" w:rsidP="004B546B">
                      <w:pPr>
                        <w:pStyle w:val="Normal75"/>
                        <w:ind w:left="90"/>
                        <w:rPr>
                          <w:rFonts w:ascii="Calibri" w:hAnsi="Calibri"/>
                          <w:sz w:val="22"/>
                          <w:szCs w:val="22"/>
                        </w:rPr>
                      </w:pPr>
                      <w:r>
                        <w:rPr>
                          <w:rFonts w:ascii="Calibri" w:hAnsi="Calibri"/>
                          <w:noProof/>
                          <w:sz w:val="22"/>
                          <w:szCs w:val="22"/>
                        </w:rPr>
                        <w:t>- Project life cycle Training</w:t>
                      </w:r>
                    </w:p>
                    <w:p w:rsidR="004B546B" w:rsidRDefault="00B578E1" w:rsidP="004B546B">
                      <w:pPr>
                        <w:pStyle w:val="Normal75"/>
                        <w:ind w:left="90"/>
                        <w:rPr>
                          <w:rFonts w:ascii="Calibri" w:hAnsi="Calibri"/>
                          <w:sz w:val="22"/>
                          <w:szCs w:val="22"/>
                        </w:rPr>
                      </w:pPr>
                      <w:r>
                        <w:rPr>
                          <w:rFonts w:ascii="Calibri" w:hAnsi="Calibri"/>
                          <w:noProof/>
                          <w:sz w:val="22"/>
                          <w:szCs w:val="22"/>
                        </w:rPr>
                        <w:t>- SoP Training</w:t>
                      </w:r>
                    </w:p>
                    <w:p w:rsidR="004B546B" w:rsidRDefault="00B578E1" w:rsidP="004B546B">
                      <w:pPr>
                        <w:pStyle w:val="Normal75"/>
                        <w:ind w:left="90"/>
                        <w:rPr>
                          <w:rFonts w:ascii="Calibri" w:hAnsi="Calibri"/>
                          <w:sz w:val="22"/>
                          <w:szCs w:val="22"/>
                        </w:rPr>
                      </w:pPr>
                      <w:r>
                        <w:rPr>
                          <w:rFonts w:ascii="Calibri" w:hAnsi="Calibri"/>
                          <w:noProof/>
                          <w:sz w:val="22"/>
                          <w:szCs w:val="22"/>
                        </w:rPr>
                        <w:t>- Risk Management training</w:t>
                      </w:r>
                    </w:p>
                    <w:p w:rsidR="004B546B" w:rsidRDefault="00B578E1" w:rsidP="004B546B">
                      <w:pPr>
                        <w:pStyle w:val="Normal75"/>
                        <w:ind w:left="90"/>
                        <w:rPr>
                          <w:rFonts w:ascii="Calibri" w:hAnsi="Calibri"/>
                          <w:sz w:val="22"/>
                          <w:szCs w:val="22"/>
                        </w:rPr>
                      </w:pPr>
                      <w:r>
                        <w:rPr>
                          <w:rFonts w:ascii="Calibri" w:hAnsi="Calibri"/>
                          <w:noProof/>
                          <w:sz w:val="22"/>
                          <w:szCs w:val="22"/>
                        </w:rPr>
                        <w:t>- On job training to the library</w:t>
                      </w:r>
                    </w:p>
                    <w:p w:rsidR="004B546B" w:rsidRDefault="00B578E1" w:rsidP="004B546B">
                      <w:pPr>
                        <w:pStyle w:val="Normal75"/>
                        <w:ind w:left="90"/>
                        <w:rPr>
                          <w:rFonts w:ascii="Calibri" w:hAnsi="Calibri"/>
                          <w:sz w:val="22"/>
                          <w:szCs w:val="22"/>
                        </w:rPr>
                      </w:pPr>
                      <w:r>
                        <w:rPr>
                          <w:rFonts w:ascii="Calibri" w:hAnsi="Calibri"/>
                          <w:noProof/>
                          <w:sz w:val="22"/>
                          <w:szCs w:val="22"/>
                        </w:rPr>
                        <w:t>- Communication training</w:t>
                      </w:r>
                    </w:p>
                    <w:p w:rsidR="004B546B" w:rsidRDefault="00B578E1" w:rsidP="004B546B">
                      <w:pPr>
                        <w:pStyle w:val="Normal75"/>
                        <w:ind w:left="90"/>
                        <w:rPr>
                          <w:rFonts w:ascii="Calibri" w:hAnsi="Calibri"/>
                          <w:sz w:val="22"/>
                          <w:szCs w:val="22"/>
                        </w:rPr>
                      </w:pPr>
                      <w:r>
                        <w:rPr>
                          <w:rFonts w:ascii="Calibri" w:hAnsi="Calibri"/>
                          <w:noProof/>
                          <w:sz w:val="22"/>
                          <w:szCs w:val="22"/>
                        </w:rPr>
                        <w:t>- Training on the development of Strategic Plan and Implementation Plan to around</w:t>
                      </w:r>
                    </w:p>
                    <w:p w:rsidR="004B546B" w:rsidRDefault="00B578E1" w:rsidP="004B546B">
                      <w:pPr>
                        <w:pStyle w:val="Normal75"/>
                        <w:ind w:left="90"/>
                        <w:rPr>
                          <w:rFonts w:ascii="Calibri" w:hAnsi="Calibri"/>
                          <w:sz w:val="22"/>
                          <w:szCs w:val="22"/>
                        </w:rPr>
                      </w:pPr>
                      <w:r>
                        <w:rPr>
                          <w:rFonts w:ascii="Calibri" w:hAnsi="Calibri"/>
                          <w:noProof/>
                          <w:sz w:val="22"/>
                          <w:szCs w:val="22"/>
                        </w:rPr>
                        <w:t>- Reports writing training</w:t>
                      </w:r>
                    </w:p>
                    <w:p w:rsidR="004B546B" w:rsidRDefault="00B578E1" w:rsidP="004B546B">
                      <w:pPr>
                        <w:pStyle w:val="Normal75"/>
                        <w:ind w:left="90"/>
                        <w:rPr>
                          <w:rFonts w:ascii="Calibri" w:hAnsi="Calibri"/>
                          <w:sz w:val="22"/>
                          <w:szCs w:val="22"/>
                        </w:rPr>
                      </w:pPr>
                      <w:r>
                        <w:rPr>
                          <w:rFonts w:ascii="Calibri" w:hAnsi="Calibri"/>
                          <w:noProof/>
                          <w:sz w:val="22"/>
                          <w:szCs w:val="22"/>
                        </w:rPr>
                        <w:t>- Etiquette and Protocol for PWA staff</w:t>
                      </w:r>
                    </w:p>
                    <w:p w:rsidR="004B546B" w:rsidRDefault="00B578E1" w:rsidP="004B546B">
                      <w:pPr>
                        <w:pStyle w:val="Normal75"/>
                        <w:ind w:left="90"/>
                        <w:rPr>
                          <w:rFonts w:ascii="Calibri" w:hAnsi="Calibri"/>
                          <w:sz w:val="22"/>
                          <w:szCs w:val="22"/>
                        </w:rPr>
                      </w:pPr>
                      <w:r>
                        <w:rPr>
                          <w:rFonts w:ascii="Calibri" w:hAnsi="Calibri"/>
                          <w:noProof/>
                          <w:sz w:val="22"/>
                          <w:szCs w:val="22"/>
                        </w:rPr>
                        <w:t>- Advanced English language training</w:t>
                      </w:r>
                    </w:p>
                    <w:p w:rsidR="004B546B" w:rsidRDefault="00B578E1" w:rsidP="004B546B">
                      <w:pPr>
                        <w:pStyle w:val="Normal75"/>
                        <w:ind w:left="90"/>
                        <w:rPr>
                          <w:rFonts w:ascii="Calibri" w:hAnsi="Calibri"/>
                          <w:sz w:val="22"/>
                          <w:szCs w:val="22"/>
                        </w:rPr>
                      </w:pPr>
                      <w:r>
                        <w:rPr>
                          <w:rFonts w:ascii="Calibri" w:hAnsi="Calibri"/>
                          <w:noProof/>
                          <w:sz w:val="22"/>
                          <w:szCs w:val="22"/>
                        </w:rPr>
                        <w:t>- Training on advanced archiving systems</w:t>
                      </w:r>
                    </w:p>
                    <w:p w:rsidR="004B546B" w:rsidRDefault="00B578E1" w:rsidP="004B546B">
                      <w:pPr>
                        <w:pStyle w:val="Normal75"/>
                        <w:ind w:left="90"/>
                        <w:rPr>
                          <w:rFonts w:ascii="Calibri" w:hAnsi="Calibri"/>
                          <w:sz w:val="22"/>
                          <w:szCs w:val="22"/>
                        </w:rPr>
                      </w:pPr>
                      <w:r>
                        <w:rPr>
                          <w:rFonts w:ascii="Calibri" w:hAnsi="Calibri"/>
                          <w:noProof/>
                          <w:sz w:val="22"/>
                          <w:szCs w:val="22"/>
                        </w:rPr>
                        <w:t>- Human Resources management and planning</w:t>
                      </w:r>
                    </w:p>
                    <w:p w:rsidR="004B546B" w:rsidRDefault="00B578E1" w:rsidP="004B546B">
                      <w:pPr>
                        <w:pStyle w:val="Normal75"/>
                        <w:ind w:left="90"/>
                        <w:rPr>
                          <w:rFonts w:ascii="Calibri" w:hAnsi="Calibri"/>
                          <w:sz w:val="22"/>
                          <w:szCs w:val="22"/>
                        </w:rPr>
                      </w:pPr>
                      <w:r>
                        <w:rPr>
                          <w:rFonts w:ascii="Calibri" w:hAnsi="Calibri"/>
                          <w:noProof/>
                          <w:sz w:val="22"/>
                          <w:szCs w:val="22"/>
                        </w:rPr>
                        <w:t>- Public private partnership</w:t>
                      </w:r>
                    </w:p>
                    <w:p w:rsidR="004B546B" w:rsidRDefault="00B578E1" w:rsidP="004B546B">
                      <w:pPr>
                        <w:pStyle w:val="Normal75"/>
                        <w:ind w:left="90"/>
                        <w:rPr>
                          <w:rFonts w:ascii="Calibri" w:hAnsi="Calibri"/>
                          <w:sz w:val="22"/>
                          <w:szCs w:val="22"/>
                        </w:rPr>
                      </w:pPr>
                      <w:r>
                        <w:rPr>
                          <w:rFonts w:ascii="Calibri" w:hAnsi="Calibri"/>
                          <w:noProof/>
                          <w:sz w:val="22"/>
                          <w:szCs w:val="22"/>
                        </w:rPr>
                        <w:t>- Assets evaluation and management</w:t>
                      </w:r>
                    </w:p>
                    <w:p w:rsidR="004B546B" w:rsidRDefault="00B578E1" w:rsidP="004B546B">
                      <w:pPr>
                        <w:pStyle w:val="Normal75"/>
                        <w:ind w:left="90"/>
                        <w:rPr>
                          <w:rFonts w:ascii="Calibri" w:hAnsi="Calibri"/>
                          <w:sz w:val="22"/>
                          <w:szCs w:val="22"/>
                        </w:rPr>
                      </w:pPr>
                      <w:r>
                        <w:rPr>
                          <w:rFonts w:ascii="Calibri" w:hAnsi="Calibri"/>
                          <w:noProof/>
                          <w:sz w:val="22"/>
                          <w:szCs w:val="22"/>
                        </w:rPr>
                        <w:t>- Training on budgeting and financial reporting</w:t>
                      </w:r>
                    </w:p>
                    <w:p w:rsidR="004B546B" w:rsidRDefault="00B578E1" w:rsidP="004B546B">
                      <w:pPr>
                        <w:pStyle w:val="Normal75"/>
                        <w:ind w:left="90"/>
                        <w:rPr>
                          <w:rFonts w:ascii="Calibri" w:hAnsi="Calibri"/>
                          <w:sz w:val="22"/>
                          <w:szCs w:val="22"/>
                        </w:rPr>
                      </w:pPr>
                      <w:r>
                        <w:rPr>
                          <w:rFonts w:ascii="Calibri" w:hAnsi="Calibri"/>
                          <w:noProof/>
                          <w:sz w:val="22"/>
                          <w:szCs w:val="22"/>
                        </w:rPr>
                        <w:t>- Leadership skills and change management training</w:t>
                      </w:r>
                    </w:p>
                    <w:p w:rsidR="004B546B" w:rsidRDefault="00B578E1" w:rsidP="004B546B">
                      <w:pPr>
                        <w:pStyle w:val="Normal75"/>
                        <w:ind w:left="90"/>
                        <w:rPr>
                          <w:rFonts w:ascii="Calibri" w:hAnsi="Calibri"/>
                          <w:sz w:val="22"/>
                          <w:szCs w:val="22"/>
                        </w:rPr>
                      </w:pPr>
                      <w:r>
                        <w:rPr>
                          <w:rFonts w:ascii="Calibri" w:hAnsi="Calibri"/>
                          <w:noProof/>
                          <w:sz w:val="22"/>
                          <w:szCs w:val="22"/>
                        </w:rPr>
                        <w:t>- Etiquette and Protocol training for office boys</w:t>
                      </w:r>
                    </w:p>
                    <w:p w:rsidR="004B546B" w:rsidRDefault="00B578E1" w:rsidP="004B546B">
                      <w:pPr>
                        <w:pStyle w:val="Normal75"/>
                        <w:ind w:left="90"/>
                        <w:rPr>
                          <w:rFonts w:ascii="Calibri" w:hAnsi="Calibri"/>
                          <w:sz w:val="22"/>
                          <w:szCs w:val="22"/>
                        </w:rPr>
                      </w:pPr>
                      <w:r>
                        <w:rPr>
                          <w:rFonts w:ascii="Calibri" w:hAnsi="Calibri"/>
                          <w:noProof/>
                          <w:sz w:val="22"/>
                          <w:szCs w:val="22"/>
                        </w:rPr>
                        <w:t>- GIS training</w:t>
                      </w:r>
                    </w:p>
                    <w:p w:rsidR="004B546B" w:rsidRDefault="00B578E1" w:rsidP="004B546B">
                      <w:pPr>
                        <w:pStyle w:val="Normal75"/>
                        <w:ind w:left="90"/>
                        <w:rPr>
                          <w:rFonts w:ascii="Calibri" w:hAnsi="Calibri"/>
                          <w:sz w:val="22"/>
                          <w:szCs w:val="22"/>
                        </w:rPr>
                      </w:pPr>
                      <w:r>
                        <w:rPr>
                          <w:rFonts w:ascii="Calibri" w:hAnsi="Calibri"/>
                          <w:noProof/>
                          <w:sz w:val="22"/>
                          <w:szCs w:val="22"/>
                        </w:rPr>
                        <w:t>- Proposal writing and fund raising</w:t>
                      </w:r>
                    </w:p>
                    <w:p w:rsidR="004B546B" w:rsidRDefault="00B578E1" w:rsidP="004B546B">
                      <w:pPr>
                        <w:pStyle w:val="Normal75"/>
                        <w:ind w:left="90"/>
                        <w:rPr>
                          <w:rFonts w:ascii="Calibri" w:hAnsi="Calibri"/>
                          <w:sz w:val="22"/>
                          <w:szCs w:val="22"/>
                        </w:rPr>
                      </w:pPr>
                      <w:r>
                        <w:rPr>
                          <w:rFonts w:ascii="Calibri" w:hAnsi="Calibri"/>
                          <w:noProof/>
                          <w:sz w:val="22"/>
                          <w:szCs w:val="22"/>
                        </w:rPr>
                        <w:t>- Risk management</w:t>
                      </w:r>
                    </w:p>
                    <w:p w:rsidR="0079125A" w:rsidRPr="00C63E2C" w:rsidRDefault="004B546B" w:rsidP="004B546B">
                      <w:pPr>
                        <w:pStyle w:val="Normal75"/>
                        <w:ind w:left="90"/>
                        <w:rPr>
                          <w:rFonts w:ascii="Calibri" w:hAnsi="Calibri"/>
                          <w:sz w:val="22"/>
                          <w:szCs w:val="22"/>
                        </w:rPr>
                      </w:pPr>
                      <w:r>
                        <w:rPr>
                          <w:rFonts w:ascii="Calibri" w:hAnsi="Calibri"/>
                          <w:noProof/>
                          <w:sz w:val="22"/>
                          <w:szCs w:val="22"/>
                        </w:rPr>
                        <w:t>- Training on Strategic Planning.</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60EB">
                  <w:trPr>
                    <w:gridAfter w:val="1"/>
                    <w:wAfter w:w="17" w:type="dxa"/>
                    <w:trHeight w:val="20"/>
                  </w:trPr>
                  <w:tc>
                    <w:tcPr>
                      <w:tcW w:w="13925" w:type="dxa"/>
                      <w:gridSpan w:val="6"/>
                      <w:tcBorders>
                        <w:top w:val="nil"/>
                        <w:left w:val="nil"/>
                        <w:bottom w:val="nil"/>
                        <w:right w:val="nil"/>
                      </w:tcBorders>
                      <w:shd w:val="clear" w:color="auto" w:fill="F7F7F7"/>
                      <w:vAlign w:val="center"/>
                    </w:tcPr>
                    <w:p w:rsidR="0079125A" w:rsidRPr="00F16CCF" w:rsidRDefault="0079125A" w:rsidP="0079125A">
                      <w:pPr>
                        <w:pStyle w:val="Normal75"/>
                        <w:keepNext/>
                        <w:spacing w:line="14" w:lineRule="exact"/>
                        <w:ind w:left="115"/>
                        <w:rPr>
                          <w:rFonts w:ascii="Calibri" w:hAnsi="Calibri"/>
                          <w:b/>
                          <w:sz w:val="22"/>
                          <w:szCs w:val="22"/>
                        </w:rPr>
                      </w:pPr>
                    </w:p>
                  </w:tc>
                </w:tr>
                <w:tr w:rsidR="0006032A" w:rsidTr="00B860EB">
                  <w:trPr>
                    <w:gridAfter w:val="1"/>
                    <w:wAfter w:w="17" w:type="dxa"/>
                    <w:trHeight w:val="288"/>
                  </w:trPr>
                  <w:tc>
                    <w:tcPr>
                      <w:tcW w:w="13925" w:type="dxa"/>
                      <w:gridSpan w:val="6"/>
                      <w:tcBorders>
                        <w:top w:val="nil"/>
                        <w:left w:val="nil"/>
                        <w:bottom w:val="nil"/>
                        <w:right w:val="nil"/>
                      </w:tcBorders>
                      <w:shd w:val="clear" w:color="auto" w:fill="F7F7F7"/>
                    </w:tcPr>
                    <w:p w:rsidR="0079125A" w:rsidRPr="005C762D" w:rsidRDefault="00B578E1" w:rsidP="0079125A">
                      <w:pPr>
                        <w:pStyle w:val="Normal75"/>
                        <w:spacing w:before="100" w:after="100"/>
                        <w:ind w:left="55" w:right="144"/>
                        <w:rPr>
                          <w:rFonts w:ascii="Calibri" w:hAnsi="Calibri"/>
                          <w:b/>
                          <w:noProof/>
                          <w:sz w:val="22"/>
                          <w:szCs w:val="22"/>
                        </w:rPr>
                      </w:pPr>
                      <w:r w:rsidRPr="00F16CCF">
                        <w:rPr>
                          <w:rFonts w:ascii="Calibri" w:hAnsi="Calibri"/>
                          <w:b/>
                          <w:sz w:val="22"/>
                          <w:szCs w:val="22"/>
                        </w:rPr>
                        <w:fldChar w:fldCharType="begin"/>
                      </w:r>
                      <w:r w:rsidRPr="00F16CCF">
                        <w:rPr>
                          <w:rFonts w:ascii="Calibri" w:hAnsi="Calibri"/>
                          <w:b/>
                          <w:sz w:val="22"/>
                          <w:szCs w:val="22"/>
                        </w:rPr>
                        <w:instrText xml:space="preserve"> IF </w:instrText>
                      </w:r>
                      <w:r>
                        <w:rPr>
                          <w:rFonts w:ascii="Calibri" w:hAnsi="Calibri"/>
                          <w:b/>
                          <w:noProof/>
                          <w:sz w:val="22"/>
                          <w:szCs w:val="22"/>
                        </w:rPr>
                        <w:instrText>Y</w:instrText>
                      </w:r>
                      <w:r w:rsidRPr="00F16CCF">
                        <w:rPr>
                          <w:rFonts w:ascii="Calibri" w:hAnsi="Calibri"/>
                          <w:b/>
                          <w:sz w:val="22"/>
                          <w:szCs w:val="22"/>
                        </w:rPr>
                        <w:instrText xml:space="preserve"> ="Y" "</w:instrText>
                      </w:r>
                      <w:r w:rsidRPr="00F16CCF">
                        <w:rPr>
                          <w:rFonts w:ascii="Calibri" w:hAnsi="Calibri"/>
                          <w:b/>
                          <w:color w:val="404040"/>
                          <w:sz w:val="22"/>
                          <w:szCs w:val="22"/>
                        </w:rPr>
                        <w:instrText xml:space="preserve"> </w:instrText>
                      </w:r>
                      <w:r w:rsidRPr="005C762D">
                        <w:rPr>
                          <w:rFonts w:ascii="Calibri" w:hAnsi="Calibri"/>
                          <w:b/>
                          <w:color w:val="404040"/>
                          <w:sz w:val="22"/>
                          <w:szCs w:val="22"/>
                        </w:rPr>
                        <w:instrText>Component</w:instrText>
                      </w:r>
                      <w:r w:rsidRPr="00F16CCF">
                        <w:rPr>
                          <w:rFonts w:ascii="Calibri" w:hAnsi="Calibri"/>
                          <w:b/>
                          <w:color w:val="404040"/>
                          <w:sz w:val="22"/>
                          <w:szCs w:val="22"/>
                        </w:rPr>
                        <w:instrText>:</w:instrText>
                      </w:r>
                      <w:r>
                        <w:rPr>
                          <w:rFonts w:ascii="Calibri" w:hAnsi="Calibri"/>
                          <w:b/>
                          <w:color w:val="404040"/>
                          <w:sz w:val="22"/>
                          <w:szCs w:val="22"/>
                        </w:rPr>
                        <w:instrText xml:space="preserve"> </w:instrText>
                      </w:r>
                      <w:r w:rsidRPr="00F16CCF">
                        <w:rPr>
                          <w:rFonts w:ascii="Calibri" w:hAnsi="Calibri"/>
                          <w:b/>
                          <w:sz w:val="22"/>
                          <w:szCs w:val="22"/>
                        </w:rPr>
                        <w:instrText xml:space="preserve">" " " </w:instrText>
                      </w:r>
                      <w:r w:rsidRPr="00F16CCF">
                        <w:rPr>
                          <w:rFonts w:ascii="Calibri" w:hAnsi="Calibri"/>
                          <w:b/>
                          <w:sz w:val="22"/>
                          <w:szCs w:val="22"/>
                        </w:rPr>
                        <w:fldChar w:fldCharType="separate"/>
                      </w:r>
                      <w:r w:rsidRPr="00F16CCF">
                        <w:rPr>
                          <w:rFonts w:ascii="Calibri" w:hAnsi="Calibri"/>
                          <w:b/>
                          <w:color w:val="404040"/>
                          <w:sz w:val="22"/>
                          <w:szCs w:val="22"/>
                        </w:rPr>
                        <w:t xml:space="preserve"> </w:t>
                      </w:r>
                      <w:r w:rsidRPr="005C762D">
                        <w:rPr>
                          <w:rFonts w:ascii="Calibri" w:hAnsi="Calibri"/>
                          <w:b/>
                          <w:color w:val="404040"/>
                          <w:sz w:val="22"/>
                          <w:szCs w:val="22"/>
                        </w:rPr>
                        <w:t>Component</w:t>
                      </w:r>
                      <w:r w:rsidRPr="00F16CCF">
                        <w:rPr>
                          <w:rFonts w:ascii="Calibri" w:hAnsi="Calibri"/>
                          <w:b/>
                          <w:color w:val="404040"/>
                          <w:sz w:val="22"/>
                          <w:szCs w:val="22"/>
                        </w:rPr>
                        <w:t>:</w:t>
                      </w:r>
                      <w:r>
                        <w:rPr>
                          <w:rFonts w:ascii="Calibri" w:hAnsi="Calibri"/>
                          <w:b/>
                          <w:color w:val="404040"/>
                          <w:sz w:val="22"/>
                          <w:szCs w:val="22"/>
                        </w:rPr>
                        <w:t xml:space="preserve"> </w:t>
                      </w:r>
                      <w:r w:rsidRPr="00F16CCF">
                        <w:rPr>
                          <w:rFonts w:ascii="Calibri" w:hAnsi="Calibri"/>
                          <w:b/>
                          <w:sz w:val="22"/>
                          <w:szCs w:val="22"/>
                        </w:rPr>
                        <w:fldChar w:fldCharType="end"/>
                      </w:r>
                      <w:r w:rsidRPr="00D311A5">
                        <w:rPr>
                          <w:rFonts w:ascii="Calibri" w:hAnsi="Calibri"/>
                          <w:noProof/>
                          <w:sz w:val="22"/>
                          <w:szCs w:val="22"/>
                        </w:rPr>
                        <w:t>Component 2: Improved Capacity of WSRC - Supplementary Assistance for studies, training and institutional building of the WSRC</w:t>
                      </w:r>
                    </w:p>
                  </w:tc>
                </w:tr>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lastRenderedPageBreak/>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Water Regulatory Council establishment action Plan and Bylaw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Text</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No</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Not part of the original project; indicator added at AF.</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Yes</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Yes</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01-Jan-2011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Strategy and action plan document and bylaw developed and approved.</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Plans and planning support tools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16.00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16.00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01-May-2011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31-Dec-2015</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1. Climate change mitigation measures - Produced and utilized by PWA and relevant stakeholders. </w:t>
                      </w:r>
                    </w:p>
                    <w:p w:rsidR="004B546B" w:rsidRDefault="00B578E1" w:rsidP="004B546B">
                      <w:pPr>
                        <w:pStyle w:val="Normal75"/>
                        <w:ind w:left="90"/>
                        <w:rPr>
                          <w:rFonts w:ascii="Calibri" w:hAnsi="Calibri"/>
                          <w:sz w:val="22"/>
                          <w:szCs w:val="22"/>
                        </w:rPr>
                      </w:pPr>
                      <w:r>
                        <w:rPr>
                          <w:rFonts w:ascii="Calibri" w:hAnsi="Calibri"/>
                          <w:noProof/>
                          <w:sz w:val="22"/>
                          <w:szCs w:val="22"/>
                        </w:rPr>
                        <w:t>2. Evaluation of surface water and groundwater surface models - completed and utilized, e.g. by Water Resources Directorate within PWA.</w:t>
                      </w:r>
                    </w:p>
                    <w:p w:rsidR="004B546B" w:rsidRDefault="00B578E1" w:rsidP="004B546B">
                      <w:pPr>
                        <w:pStyle w:val="Normal75"/>
                        <w:ind w:left="90"/>
                        <w:rPr>
                          <w:rFonts w:ascii="Calibri" w:hAnsi="Calibri"/>
                          <w:sz w:val="22"/>
                          <w:szCs w:val="22"/>
                        </w:rPr>
                      </w:pPr>
                      <w:r>
                        <w:rPr>
                          <w:rFonts w:ascii="Calibri" w:hAnsi="Calibri"/>
                          <w:noProof/>
                          <w:sz w:val="22"/>
                          <w:szCs w:val="22"/>
                        </w:rPr>
                        <w:t>3. Assessment of Hydro monitoring equipment, and specifications - Produced and follow up actions were undertaken accordingly.  Procurement of equipment needed based on the assessment</w:t>
                      </w:r>
                    </w:p>
                    <w:p w:rsidR="004B546B" w:rsidRDefault="00B578E1" w:rsidP="004B546B">
                      <w:pPr>
                        <w:pStyle w:val="Normal75"/>
                        <w:ind w:left="90"/>
                        <w:rPr>
                          <w:rFonts w:ascii="Calibri" w:hAnsi="Calibri"/>
                          <w:sz w:val="22"/>
                          <w:szCs w:val="22"/>
                        </w:rPr>
                      </w:pPr>
                      <w:r>
                        <w:rPr>
                          <w:rFonts w:ascii="Calibri" w:hAnsi="Calibri"/>
                          <w:noProof/>
                          <w:sz w:val="22"/>
                          <w:szCs w:val="22"/>
                        </w:rPr>
                        <w:t>4. Standard Formats and Methodology for Planning - produced and is utilized by the Planning directorate within PWA.</w:t>
                      </w:r>
                    </w:p>
                    <w:p w:rsidR="004B546B" w:rsidRDefault="00B578E1" w:rsidP="004B546B">
                      <w:pPr>
                        <w:pStyle w:val="Normal75"/>
                        <w:ind w:left="90"/>
                        <w:rPr>
                          <w:rFonts w:ascii="Calibri" w:hAnsi="Calibri"/>
                          <w:sz w:val="22"/>
                          <w:szCs w:val="22"/>
                        </w:rPr>
                      </w:pPr>
                      <w:r>
                        <w:rPr>
                          <w:rFonts w:ascii="Calibri" w:hAnsi="Calibri"/>
                          <w:noProof/>
                          <w:sz w:val="22"/>
                          <w:szCs w:val="22"/>
                        </w:rPr>
                        <w:t>5. ToR for Master Plan N-NE West Bank - Completed.  A comprehensive study was conducted based on the ToR and utilized by PWA and relevant stakeholders.</w:t>
                      </w:r>
                    </w:p>
                    <w:p w:rsidR="004B546B" w:rsidRDefault="00B578E1" w:rsidP="004B546B">
                      <w:pPr>
                        <w:pStyle w:val="Normal75"/>
                        <w:ind w:left="90"/>
                        <w:rPr>
                          <w:rFonts w:ascii="Calibri" w:hAnsi="Calibri"/>
                          <w:sz w:val="22"/>
                          <w:szCs w:val="22"/>
                        </w:rPr>
                      </w:pPr>
                      <w:r>
                        <w:rPr>
                          <w:rFonts w:ascii="Calibri" w:hAnsi="Calibri"/>
                          <w:noProof/>
                          <w:sz w:val="22"/>
                          <w:szCs w:val="22"/>
                        </w:rPr>
                        <w:t>6. Communication Plan produced and under implementation by PWA</w:t>
                      </w:r>
                    </w:p>
                    <w:p w:rsidR="004B546B" w:rsidRDefault="00B578E1" w:rsidP="004B546B">
                      <w:pPr>
                        <w:pStyle w:val="Normal75"/>
                        <w:ind w:left="90"/>
                        <w:rPr>
                          <w:rFonts w:ascii="Calibri" w:hAnsi="Calibri"/>
                          <w:sz w:val="22"/>
                          <w:szCs w:val="22"/>
                        </w:rPr>
                      </w:pPr>
                      <w:r>
                        <w:rPr>
                          <w:rFonts w:ascii="Calibri" w:hAnsi="Calibri"/>
                          <w:noProof/>
                          <w:sz w:val="22"/>
                          <w:szCs w:val="22"/>
                        </w:rPr>
                        <w:t>7. PWA Implementation (business) Plan for 2015 - Produced and endorsed, and was implemented and monitored accordingly.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8. Water Information System - Developed and under implementation.   Replaced by 2 systems considering MIS recommendation with the main objective </w:t>
                      </w:r>
                      <w:r>
                        <w:rPr>
                          <w:rFonts w:ascii="Calibri" w:hAnsi="Calibri"/>
                          <w:noProof/>
                          <w:sz w:val="22"/>
                          <w:szCs w:val="22"/>
                        </w:rPr>
                        <w:lastRenderedPageBreak/>
                        <w:t xml:space="preserve">having appropriate foundation for decision systems. </w:t>
                      </w:r>
                    </w:p>
                    <w:p w:rsidR="004B546B" w:rsidRDefault="00B578E1" w:rsidP="004B546B">
                      <w:pPr>
                        <w:pStyle w:val="Normal75"/>
                        <w:ind w:left="90"/>
                        <w:rPr>
                          <w:rFonts w:ascii="Calibri" w:hAnsi="Calibri"/>
                          <w:sz w:val="22"/>
                          <w:szCs w:val="22"/>
                        </w:rPr>
                      </w:pPr>
                      <w:r>
                        <w:rPr>
                          <w:rFonts w:ascii="Calibri" w:hAnsi="Calibri"/>
                          <w:noProof/>
                          <w:sz w:val="22"/>
                          <w:szCs w:val="22"/>
                        </w:rPr>
                        <w:t>9. Improved PWA Human Resource System - Developed, implemented and being utilized by PWA which has improved the performance of PWA significantly in this regard.</w:t>
                      </w:r>
                    </w:p>
                    <w:p w:rsidR="004B546B" w:rsidRDefault="00B578E1" w:rsidP="004B546B">
                      <w:pPr>
                        <w:pStyle w:val="Normal75"/>
                        <w:ind w:left="90"/>
                        <w:rPr>
                          <w:rFonts w:ascii="Calibri" w:hAnsi="Calibri"/>
                          <w:sz w:val="22"/>
                          <w:szCs w:val="22"/>
                        </w:rPr>
                      </w:pPr>
                      <w:r>
                        <w:rPr>
                          <w:rFonts w:ascii="Calibri" w:hAnsi="Calibri"/>
                          <w:noProof/>
                          <w:sz w:val="22"/>
                          <w:szCs w:val="22"/>
                        </w:rPr>
                        <w:t>11. PWA Implementation (business) Plan for 2016 - Developed and endorsed, and implemented and monitored accordingly.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12. Public Awareness Action Plan - Developed and finalized, implementation hinges on fund availability. </w:t>
                      </w:r>
                    </w:p>
                    <w:p w:rsidR="004B546B" w:rsidRDefault="00B578E1" w:rsidP="004B546B">
                      <w:pPr>
                        <w:pStyle w:val="Normal75"/>
                        <w:ind w:left="90"/>
                        <w:rPr>
                          <w:rFonts w:ascii="Calibri" w:hAnsi="Calibri"/>
                          <w:sz w:val="22"/>
                          <w:szCs w:val="22"/>
                        </w:rPr>
                      </w:pPr>
                      <w:r>
                        <w:rPr>
                          <w:rFonts w:ascii="Calibri" w:hAnsi="Calibri"/>
                          <w:noProof/>
                          <w:sz w:val="22"/>
                          <w:szCs w:val="22"/>
                        </w:rPr>
                        <w:t>13. Licensing for drilling and abstraction data base system  - Developed.  The system was considered in the EDMAS system. Further improvements to it might take place upon endorsing the drilling and abstraction regulation.</w:t>
                      </w:r>
                    </w:p>
                    <w:p w:rsidR="004B546B" w:rsidRDefault="00B578E1" w:rsidP="004B546B">
                      <w:pPr>
                        <w:pStyle w:val="Normal75"/>
                        <w:ind w:left="90"/>
                        <w:rPr>
                          <w:rFonts w:ascii="Calibri" w:hAnsi="Calibri"/>
                          <w:sz w:val="22"/>
                          <w:szCs w:val="22"/>
                        </w:rPr>
                      </w:pPr>
                      <w:r>
                        <w:rPr>
                          <w:rFonts w:ascii="Calibri" w:hAnsi="Calibri"/>
                          <w:noProof/>
                          <w:sz w:val="22"/>
                          <w:szCs w:val="22"/>
                        </w:rPr>
                        <w:t>14. National Water Safety Plan - Completed, and pilot was developed. Safety plan was adopted and implementation took place in pilot areas (e.g. Qalqiliah municipality)</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15. PWA implementation (business) plan for 2017 - Developed and is being implemented. </w:t>
                      </w:r>
                    </w:p>
                    <w:p w:rsidR="0079125A" w:rsidRPr="00C63E2C" w:rsidRDefault="004B546B" w:rsidP="004B546B">
                      <w:pPr>
                        <w:pStyle w:val="Normal75"/>
                        <w:ind w:left="90"/>
                        <w:rPr>
                          <w:rFonts w:ascii="Calibri" w:hAnsi="Calibri"/>
                          <w:sz w:val="22"/>
                          <w:szCs w:val="22"/>
                        </w:rPr>
                      </w:pPr>
                      <w:r>
                        <w:rPr>
                          <w:rFonts w:ascii="Calibri" w:hAnsi="Calibri"/>
                          <w:noProof/>
                          <w:sz w:val="22"/>
                          <w:szCs w:val="22"/>
                        </w:rPr>
                        <w:t>16. Complains System is developed - For PWA it is incorporated as part of the government system.</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WSRC strategy and implementation plan developed and implemented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Y</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03-Mar-2011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30-Jun-2017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Strategy and action plan document was completed.  ****IS IT IMPLEMENTED?****</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WSRC Information system created and maintained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Yes/No</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N</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Y</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Y</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03-Mar-2011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30-Jun-2017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29-Dec-2017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Target achieved 100%.  WSRC information system developed and operational.</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bl>
                <w:tblPr>
                  <w:tblStyle w:val="TableGrid1011"/>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firstRow="1" w:lastRow="0" w:firstColumn="1" w:lastColumn="0" w:noHBand="0" w:noVBand="1"/>
                </w:tblPr>
                <w:tblGrid>
                  <w:gridCol w:w="3125"/>
                  <w:gridCol w:w="1436"/>
                  <w:gridCol w:w="2347"/>
                  <w:gridCol w:w="2340"/>
                  <w:gridCol w:w="2347"/>
                  <w:gridCol w:w="2330"/>
                  <w:gridCol w:w="17"/>
                </w:tblGrid>
                <w:tr w:rsidR="0006032A" w:rsidTr="00B87515">
                  <w:trPr>
                    <w:trHeight w:val="288"/>
                  </w:trPr>
                  <w:tc>
                    <w:tcPr>
                      <w:tcW w:w="3125"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bCs/>
                          <w:color w:val="404040"/>
                          <w:sz w:val="22"/>
                          <w:szCs w:val="22"/>
                        </w:rPr>
                        <w:t>Indicator Name</w:t>
                      </w:r>
                    </w:p>
                  </w:tc>
                  <w:tc>
                    <w:tcPr>
                      <w:tcW w:w="1436"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Unit of Measure</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Baseline</w:t>
                      </w:r>
                    </w:p>
                  </w:tc>
                  <w:tc>
                    <w:tcPr>
                      <w:tcW w:w="2340"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Original Target</w:t>
                      </w:r>
                    </w:p>
                  </w:tc>
                  <w:tc>
                    <w:tcPr>
                      <w:tcW w:w="2347" w:type="dxa"/>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 xml:space="preserve">Formally Revised </w:t>
                      </w:r>
                    </w:p>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Target</w:t>
                      </w:r>
                    </w:p>
                  </w:tc>
                  <w:tc>
                    <w:tcPr>
                      <w:tcW w:w="2347" w:type="dxa"/>
                      <w:gridSpan w:val="2"/>
                      <w:tcBorders>
                        <w:top w:val="single" w:sz="4" w:space="0" w:color="D9D9D9"/>
                      </w:tcBorders>
                      <w:shd w:val="clear" w:color="auto" w:fill="F7F7F7"/>
                      <w:vAlign w:val="center"/>
                    </w:tcPr>
                    <w:p w:rsidR="0079125A" w:rsidRPr="00AA6C25" w:rsidRDefault="00B578E1" w:rsidP="0079125A">
                      <w:pPr>
                        <w:pStyle w:val="Normal75"/>
                        <w:spacing w:before="60" w:after="60"/>
                        <w:ind w:left="115"/>
                        <w:rPr>
                          <w:rFonts w:ascii="Calibri" w:hAnsi="Calibri"/>
                          <w:b/>
                          <w:color w:val="404040"/>
                          <w:sz w:val="22"/>
                          <w:szCs w:val="22"/>
                        </w:rPr>
                      </w:pPr>
                      <w:r w:rsidRPr="00AA6C25">
                        <w:rPr>
                          <w:rFonts w:ascii="Calibri" w:hAnsi="Calibri"/>
                          <w:b/>
                          <w:color w:val="404040"/>
                          <w:sz w:val="22"/>
                          <w:szCs w:val="22"/>
                        </w:rPr>
                        <w:t>Actual Achieved at Completion</w:t>
                      </w:r>
                    </w:p>
                  </w:tc>
                </w:tr>
                <w:tr w:rsidR="0006032A" w:rsidTr="00B87515">
                  <w:trPr>
                    <w:trHeight w:val="368"/>
                  </w:trPr>
                  <w:tc>
                    <w:tcPr>
                      <w:tcW w:w="3125" w:type="dxa"/>
                      <w:vMerge w:val="restart"/>
                      <w:tcBorders>
                        <w:top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b/>
                          <w:bCs/>
                          <w:color w:val="7F7F7F"/>
                          <w:sz w:val="22"/>
                          <w:szCs w:val="22"/>
                        </w:rPr>
                      </w:pPr>
                      <w:r w:rsidRPr="00C63E2C">
                        <w:rPr>
                          <w:rFonts w:ascii="Calibri" w:hAnsi="Calibri"/>
                          <w:noProof/>
                          <w:sz w:val="22"/>
                          <w:szCs w:val="22"/>
                        </w:rPr>
                        <w:t>WSRC Technical regulations, guidelines, standards, and systems are reviewed/ updated/, developed</w:t>
                      </w:r>
                    </w:p>
                  </w:tc>
                  <w:tc>
                    <w:tcPr>
                      <w:tcW w:w="1436" w:type="dxa"/>
                      <w:tcBorders>
                        <w:top w:val="single" w:sz="4" w:space="0" w:color="D9D9D9"/>
                        <w:bottom w:val="nil"/>
                      </w:tcBorders>
                      <w:shd w:val="clear" w:color="auto" w:fill="F7F7F7"/>
                    </w:tcPr>
                    <w:p w:rsidR="0079125A" w:rsidRPr="00C63E2C" w:rsidRDefault="00B578E1" w:rsidP="0079125A">
                      <w:pPr>
                        <w:pStyle w:val="Normal75"/>
                        <w:spacing w:before="100" w:after="100"/>
                        <w:ind w:left="144"/>
                        <w:rPr>
                          <w:rFonts w:ascii="Calibri" w:hAnsi="Calibri"/>
                          <w:bCs/>
                          <w:sz w:val="22"/>
                          <w:szCs w:val="22"/>
                        </w:rPr>
                      </w:pPr>
                      <w:r w:rsidRPr="00C63E2C">
                        <w:rPr>
                          <w:rFonts w:ascii="Calibri" w:hAnsi="Calibri"/>
                          <w:bCs/>
                          <w:noProof/>
                          <w:sz w:val="22"/>
                          <w:szCs w:val="22"/>
                        </w:rPr>
                        <w:t>Number</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noProof/>
                          <w:sz w:val="22"/>
                          <w:szCs w:val="22"/>
                        </w:rPr>
                        <w:t>0.00</w:t>
                      </w:r>
                    </w:p>
                  </w:tc>
                  <w:tc>
                    <w:tcPr>
                      <w:tcW w:w="2340"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0.00</w:t>
                      </w:r>
                    </w:p>
                  </w:tc>
                  <w:tc>
                    <w:tcPr>
                      <w:tcW w:w="2347" w:type="dxa"/>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sidRPr="00C63E2C">
                        <w:rPr>
                          <w:rFonts w:ascii="Calibri" w:hAnsi="Calibri"/>
                          <w:bCs/>
                          <w:noProof/>
                          <w:sz w:val="22"/>
                          <w:szCs w:val="22"/>
                        </w:rPr>
                        <w:t>11.00</w:t>
                      </w:r>
                    </w:p>
                  </w:tc>
                  <w:tc>
                    <w:tcPr>
                      <w:tcW w:w="2347" w:type="dxa"/>
                      <w:gridSpan w:val="2"/>
                      <w:tcBorders>
                        <w:top w:val="single" w:sz="4" w:space="0" w:color="D9D9D9"/>
                        <w:bottom w:val="nil"/>
                      </w:tcBorders>
                      <w:shd w:val="clear" w:color="auto" w:fill="F7F7F7"/>
                    </w:tcPr>
                    <w:p w:rsidR="0079125A" w:rsidRPr="00C63E2C" w:rsidRDefault="00B578E1" w:rsidP="0079125A">
                      <w:pPr>
                        <w:pStyle w:val="Normal75"/>
                        <w:spacing w:before="100" w:after="100"/>
                        <w:ind w:left="144" w:right="144"/>
                        <w:rPr>
                          <w:rFonts w:ascii="Calibri" w:hAnsi="Calibri"/>
                          <w:bCs/>
                          <w:sz w:val="22"/>
                          <w:szCs w:val="22"/>
                        </w:rPr>
                      </w:pPr>
                      <w:r>
                        <w:rPr>
                          <w:rFonts w:ascii="Calibri" w:hAnsi="Calibri"/>
                          <w:bCs/>
                          <w:noProof/>
                          <w:sz w:val="22"/>
                          <w:szCs w:val="22"/>
                        </w:rPr>
                        <w:t>11.00</w:t>
                      </w:r>
                    </w:p>
                  </w:tc>
                </w:tr>
                <w:tr w:rsidR="0006032A" w:rsidTr="00B87515">
                  <w:trPr>
                    <w:trHeight w:val="367"/>
                  </w:trPr>
                  <w:tc>
                    <w:tcPr>
                      <w:tcW w:w="3125" w:type="dxa"/>
                      <w:vMerge/>
                      <w:shd w:val="clear" w:color="auto" w:fill="F7F7F7"/>
                    </w:tcPr>
                    <w:p w:rsidR="0079125A" w:rsidRPr="00C63E2C" w:rsidRDefault="0079125A" w:rsidP="0079125A">
                      <w:pPr>
                        <w:pStyle w:val="Normal75"/>
                        <w:spacing w:before="100" w:after="100"/>
                        <w:ind w:left="144" w:right="144"/>
                        <w:rPr>
                          <w:rFonts w:ascii="Calibri" w:hAnsi="Calibri"/>
                          <w:b/>
                          <w:bCs/>
                          <w:color w:val="7F7F7F"/>
                          <w:sz w:val="22"/>
                          <w:szCs w:val="22"/>
                        </w:rPr>
                      </w:pPr>
                    </w:p>
                  </w:tc>
                  <w:tc>
                    <w:tcPr>
                      <w:tcW w:w="1436" w:type="dxa"/>
                      <w:tcBorders>
                        <w:top w:val="nil"/>
                        <w:bottom w:val="single" w:sz="4" w:space="0" w:color="D9D9D9"/>
                      </w:tcBorders>
                      <w:shd w:val="clear" w:color="auto" w:fill="F7F7F7"/>
                    </w:tcPr>
                    <w:p w:rsidR="0079125A" w:rsidRPr="00C63E2C" w:rsidRDefault="0079125A" w:rsidP="0079125A">
                      <w:pPr>
                        <w:pStyle w:val="Normal75"/>
                        <w:spacing w:before="100" w:after="100"/>
                        <w:ind w:left="144"/>
                        <w:rPr>
                          <w:rFonts w:ascii="Calibri" w:hAnsi="Calibri"/>
                          <w:bCs/>
                          <w:sz w:val="22"/>
                          <w:szCs w:val="22"/>
                        </w:rPr>
                      </w:pP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03-Mar-2011</w:t>
                      </w:r>
                    </w:p>
                  </w:tc>
                  <w:tc>
                    <w:tcPr>
                      <w:tcW w:w="2340"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31-Jul-2014</w:t>
                      </w:r>
                    </w:p>
                  </w:tc>
                  <w:tc>
                    <w:tcPr>
                      <w:tcW w:w="2347" w:type="dxa"/>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30-Jun-2017</w:t>
                      </w:r>
                    </w:p>
                  </w:tc>
                  <w:tc>
                    <w:tcPr>
                      <w:tcW w:w="2347" w:type="dxa"/>
                      <w:gridSpan w:val="2"/>
                      <w:tcBorders>
                        <w:top w:val="nil"/>
                        <w:bottom w:val="single" w:sz="4" w:space="0" w:color="D9D9D9"/>
                      </w:tcBorders>
                      <w:shd w:val="clear" w:color="auto" w:fill="F7F7F7"/>
                    </w:tcPr>
                    <w:p w:rsidR="0079125A" w:rsidRPr="00C63E2C" w:rsidRDefault="00B578E1" w:rsidP="0079125A">
                      <w:pPr>
                        <w:pStyle w:val="Normal75"/>
                        <w:spacing w:before="100" w:after="100"/>
                        <w:ind w:left="144" w:right="144"/>
                        <w:rPr>
                          <w:rFonts w:ascii="Calibri" w:hAnsi="Calibri"/>
                          <w:noProof/>
                          <w:sz w:val="22"/>
                          <w:szCs w:val="22"/>
                        </w:rPr>
                      </w:pPr>
                      <w:r w:rsidRPr="00C63E2C">
                        <w:rPr>
                          <w:rFonts w:ascii="Calibri" w:hAnsi="Calibri"/>
                          <w:noProof/>
                          <w:sz w:val="22"/>
                          <w:szCs w:val="22"/>
                        </w:rPr>
                        <w:t>02-Nov-2017</w:t>
                      </w:r>
                    </w:p>
                  </w:tc>
                </w:tr>
                <w:tr w:rsidR="0006032A" w:rsidTr="00B860EB">
                  <w:trPr>
                    <w:gridAfter w:val="1"/>
                    <w:wAfter w:w="17" w:type="dxa"/>
                    <w:trHeight w:val="288"/>
                  </w:trPr>
                  <w:tc>
                    <w:tcPr>
                      <w:tcW w:w="13925" w:type="dxa"/>
                      <w:gridSpan w:val="6"/>
                      <w:tcBorders>
                        <w:bottom w:val="single" w:sz="4" w:space="0" w:color="D9D9D9"/>
                      </w:tcBorders>
                      <w:shd w:val="clear" w:color="auto" w:fill="F7F7F7"/>
                    </w:tcPr>
                    <w:p w:rsidR="0079125A" w:rsidRPr="00C63E2C" w:rsidRDefault="0079125A" w:rsidP="0079125A">
                      <w:pPr>
                        <w:pStyle w:val="Normal75"/>
                        <w:spacing w:line="14" w:lineRule="exact"/>
                        <w:ind w:left="72"/>
                        <w:rPr>
                          <w:rFonts w:ascii="Calibri" w:hAnsi="Calibri"/>
                          <w:noProof/>
                          <w:sz w:val="22"/>
                          <w:szCs w:val="22"/>
                        </w:rPr>
                      </w:pPr>
                    </w:p>
                  </w:tc>
                </w:tr>
                <w:tr w:rsidR="0006032A" w:rsidTr="00B860EB">
                  <w:trPr>
                    <w:gridAfter w:val="1"/>
                    <w:wAfter w:w="17" w:type="dxa"/>
                    <w:trHeight w:val="288"/>
                  </w:trPr>
                  <w:tc>
                    <w:tcPr>
                      <w:tcW w:w="13925" w:type="dxa"/>
                      <w:gridSpan w:val="6"/>
                      <w:tcBorders>
                        <w:top w:val="single" w:sz="4" w:space="0" w:color="D9D9D9"/>
                        <w:bottom w:val="single" w:sz="4" w:space="0" w:color="D9D9D9"/>
                      </w:tcBorders>
                      <w:shd w:val="clear" w:color="auto" w:fill="F7F7F7"/>
                    </w:tcPr>
                    <w:p w:rsidR="0079125A" w:rsidRPr="00C63E2C" w:rsidRDefault="00B578E1" w:rsidP="004B546B">
                      <w:pPr>
                        <w:pStyle w:val="Normal75"/>
                        <w:ind w:left="90"/>
                        <w:rPr>
                          <w:rFonts w:ascii="Calibri" w:hAnsi="Calibri"/>
                          <w:sz w:val="22"/>
                          <w:szCs w:val="22"/>
                        </w:rPr>
                      </w:pPr>
                      <w:r w:rsidRPr="00055E38">
                        <w:rPr>
                          <w:rFonts w:ascii="Calibri" w:hAnsi="Calibri"/>
                          <w:b/>
                          <w:bCs/>
                          <w:color w:val="7F7F7F"/>
                          <w:sz w:val="22"/>
                          <w:szCs w:val="22"/>
                        </w:rPr>
                        <w:t>Comments (achievements against targets):</w:t>
                      </w:r>
                      <w:r w:rsidRPr="00055E38">
                        <w:rPr>
                          <w:rFonts w:ascii="Calibri" w:hAnsi="Calibri"/>
                          <w:bCs/>
                          <w:color w:val="7F7F7F"/>
                          <w:sz w:val="22"/>
                          <w:szCs w:val="22"/>
                        </w:rPr>
                        <w:t xml:space="preserve"> </w:t>
                      </w:r>
                      <w:r w:rsidR="004B546B">
                        <w:rPr>
                          <w:rFonts w:ascii="Calibri" w:hAnsi="Calibri"/>
                          <w:noProof/>
                          <w:sz w:val="22"/>
                          <w:szCs w:val="22"/>
                        </w:rPr>
                        <w:t xml:space="preserve">Target mostly achieved fully completing 10 out of 11 regulations, standards, systems, with the exception of operational systems some of them still in draft and/or pending approval.  </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 WSRC Financial and Admin Completed and approved by the Cabinet of Ministers. </w:t>
                      </w:r>
                    </w:p>
                    <w:p w:rsidR="004B546B" w:rsidRDefault="00B578E1" w:rsidP="004B546B">
                      <w:pPr>
                        <w:pStyle w:val="Normal75"/>
                        <w:ind w:left="90"/>
                        <w:rPr>
                          <w:rFonts w:ascii="Calibri" w:hAnsi="Calibri"/>
                          <w:sz w:val="22"/>
                          <w:szCs w:val="22"/>
                        </w:rPr>
                      </w:pPr>
                      <w:r>
                        <w:rPr>
                          <w:rFonts w:ascii="Calibri" w:hAnsi="Calibri"/>
                          <w:noProof/>
                          <w:sz w:val="22"/>
                          <w:szCs w:val="22"/>
                        </w:rPr>
                        <w:t>2. Internal regulations - completed.</w:t>
                      </w:r>
                    </w:p>
                    <w:p w:rsidR="004B546B" w:rsidRDefault="00B578E1" w:rsidP="004B546B">
                      <w:pPr>
                        <w:pStyle w:val="Normal75"/>
                        <w:ind w:left="90"/>
                        <w:rPr>
                          <w:rFonts w:ascii="Calibri" w:hAnsi="Calibri"/>
                          <w:sz w:val="22"/>
                          <w:szCs w:val="22"/>
                        </w:rPr>
                      </w:pPr>
                      <w:r>
                        <w:rPr>
                          <w:rFonts w:ascii="Calibri" w:hAnsi="Calibri"/>
                          <w:noProof/>
                          <w:sz w:val="22"/>
                          <w:szCs w:val="22"/>
                        </w:rPr>
                        <w:t>3. Regulations on promotion - completed.</w:t>
                      </w:r>
                    </w:p>
                    <w:p w:rsidR="004B546B" w:rsidRDefault="00B578E1" w:rsidP="004B546B">
                      <w:pPr>
                        <w:pStyle w:val="Normal75"/>
                        <w:ind w:left="90"/>
                        <w:rPr>
                          <w:rFonts w:ascii="Calibri" w:hAnsi="Calibri"/>
                          <w:sz w:val="22"/>
                          <w:szCs w:val="22"/>
                        </w:rPr>
                      </w:pPr>
                      <w:r>
                        <w:rPr>
                          <w:rFonts w:ascii="Calibri" w:hAnsi="Calibri"/>
                          <w:noProof/>
                          <w:sz w:val="22"/>
                          <w:szCs w:val="22"/>
                        </w:rPr>
                        <w:t>4. Financial System - In place, bylaw approved by the Cabinet of Ministers, manual completed.</w:t>
                      </w:r>
                    </w:p>
                    <w:p w:rsidR="004B546B" w:rsidRDefault="00B578E1" w:rsidP="004B546B">
                      <w:pPr>
                        <w:pStyle w:val="Normal75"/>
                        <w:ind w:left="90"/>
                        <w:rPr>
                          <w:rFonts w:ascii="Calibri" w:hAnsi="Calibri"/>
                          <w:sz w:val="22"/>
                          <w:szCs w:val="22"/>
                        </w:rPr>
                      </w:pPr>
                      <w:r>
                        <w:rPr>
                          <w:rFonts w:ascii="Calibri" w:hAnsi="Calibri"/>
                          <w:noProof/>
                          <w:sz w:val="22"/>
                          <w:szCs w:val="22"/>
                        </w:rPr>
                        <w:t xml:space="preserve">5. Human Resource System - completed; may require some modifications based on the Cabinet of Ministers approach with independent institutions definitions. </w:t>
                      </w:r>
                    </w:p>
                    <w:p w:rsidR="004B546B" w:rsidRDefault="00B578E1" w:rsidP="004B546B">
                      <w:pPr>
                        <w:pStyle w:val="Normal75"/>
                        <w:ind w:left="90"/>
                        <w:rPr>
                          <w:rFonts w:ascii="Calibri" w:hAnsi="Calibri"/>
                          <w:sz w:val="22"/>
                          <w:szCs w:val="22"/>
                        </w:rPr>
                      </w:pPr>
                      <w:r>
                        <w:rPr>
                          <w:rFonts w:ascii="Calibri" w:hAnsi="Calibri"/>
                          <w:noProof/>
                          <w:sz w:val="22"/>
                          <w:szCs w:val="22"/>
                        </w:rPr>
                        <w:t xml:space="preserve">6. Administrative System - completed; may require some modifications based on the Cabinet of Ministers approach with independent institutions definitions.   </w:t>
                      </w:r>
                    </w:p>
                    <w:p w:rsidR="004B546B" w:rsidRDefault="00B578E1" w:rsidP="004B546B">
                      <w:pPr>
                        <w:pStyle w:val="Normal75"/>
                        <w:ind w:left="90"/>
                        <w:rPr>
                          <w:rFonts w:ascii="Calibri" w:hAnsi="Calibri"/>
                          <w:sz w:val="22"/>
                          <w:szCs w:val="22"/>
                        </w:rPr>
                      </w:pPr>
                      <w:r>
                        <w:rPr>
                          <w:rFonts w:ascii="Calibri" w:hAnsi="Calibri"/>
                          <w:noProof/>
                          <w:sz w:val="22"/>
                          <w:szCs w:val="22"/>
                        </w:rPr>
                        <w:t>7. Standard operation procedures - completed.</w:t>
                      </w:r>
                    </w:p>
                    <w:p w:rsidR="004B546B" w:rsidRDefault="00B578E1" w:rsidP="004B546B">
                      <w:pPr>
                        <w:pStyle w:val="Normal75"/>
                        <w:ind w:left="90"/>
                        <w:rPr>
                          <w:rFonts w:ascii="Calibri" w:hAnsi="Calibri"/>
                          <w:sz w:val="22"/>
                          <w:szCs w:val="22"/>
                        </w:rPr>
                      </w:pPr>
                      <w:r>
                        <w:rPr>
                          <w:rFonts w:ascii="Calibri" w:hAnsi="Calibri"/>
                          <w:noProof/>
                          <w:sz w:val="22"/>
                          <w:szCs w:val="22"/>
                        </w:rPr>
                        <w:t>8. Procurement Procedures - completed.</w:t>
                      </w:r>
                    </w:p>
                    <w:p w:rsidR="004B546B" w:rsidRDefault="00B578E1" w:rsidP="004B546B">
                      <w:pPr>
                        <w:pStyle w:val="Normal75"/>
                        <w:ind w:left="90"/>
                        <w:rPr>
                          <w:rFonts w:ascii="Calibri" w:hAnsi="Calibri"/>
                          <w:sz w:val="22"/>
                          <w:szCs w:val="22"/>
                        </w:rPr>
                      </w:pPr>
                      <w:r>
                        <w:rPr>
                          <w:rFonts w:ascii="Calibri" w:hAnsi="Calibri"/>
                          <w:noProof/>
                          <w:sz w:val="22"/>
                          <w:szCs w:val="22"/>
                        </w:rPr>
                        <w:t>9. Operational systems (licensing, complains, etc.) - Licensing is pending the issuance of licensing bylaw by PWA, Licensing procedures draft is prepared, Complaints manual under preparation.</w:t>
                      </w:r>
                    </w:p>
                    <w:p w:rsidR="004B546B" w:rsidRDefault="00B578E1" w:rsidP="004B546B">
                      <w:pPr>
                        <w:pStyle w:val="Normal75"/>
                        <w:ind w:left="90"/>
                        <w:rPr>
                          <w:rFonts w:ascii="Calibri" w:hAnsi="Calibri"/>
                          <w:sz w:val="22"/>
                          <w:szCs w:val="22"/>
                        </w:rPr>
                      </w:pPr>
                      <w:r>
                        <w:rPr>
                          <w:rFonts w:ascii="Calibri" w:hAnsi="Calibri"/>
                          <w:noProof/>
                          <w:sz w:val="22"/>
                          <w:szCs w:val="22"/>
                        </w:rPr>
                        <w:t xml:space="preserve">10. Public information system - Communication plan completed. </w:t>
                      </w:r>
                    </w:p>
                    <w:p w:rsidR="0079125A" w:rsidRPr="00C63E2C" w:rsidRDefault="004B546B" w:rsidP="004B546B">
                      <w:pPr>
                        <w:pStyle w:val="Normal75"/>
                        <w:ind w:left="90"/>
                        <w:rPr>
                          <w:rFonts w:ascii="Calibri" w:hAnsi="Calibri"/>
                          <w:sz w:val="22"/>
                          <w:szCs w:val="22"/>
                        </w:rPr>
                      </w:pPr>
                      <w:r>
                        <w:rPr>
                          <w:rFonts w:ascii="Calibri" w:hAnsi="Calibri"/>
                          <w:noProof/>
                          <w:sz w:val="22"/>
                          <w:szCs w:val="22"/>
                        </w:rPr>
                        <w:t>11. Complain System - Survey completed.</w:t>
                      </w:r>
                    </w:p>
                  </w:tc>
                </w:tr>
                <w:tr w:rsidR="0006032A" w:rsidTr="00B860EB">
                  <w:trPr>
                    <w:gridAfter w:val="1"/>
                    <w:wAfter w:w="17" w:type="dxa"/>
                    <w:trHeight w:val="288"/>
                  </w:trPr>
                  <w:tc>
                    <w:tcPr>
                      <w:tcW w:w="13925" w:type="dxa"/>
                      <w:gridSpan w:val="6"/>
                      <w:tcBorders>
                        <w:top w:val="single" w:sz="4" w:space="0" w:color="D9D9D9"/>
                        <w:left w:val="nil"/>
                        <w:bottom w:val="nil"/>
                        <w:right w:val="nil"/>
                      </w:tcBorders>
                      <w:shd w:val="clear" w:color="auto" w:fill="F7F7F7"/>
                    </w:tcPr>
                    <w:p w:rsidR="0079125A" w:rsidRPr="00055E38" w:rsidRDefault="0079125A" w:rsidP="0079125A">
                      <w:pPr>
                        <w:pStyle w:val="Normal75"/>
                        <w:ind w:left="90"/>
                        <w:rPr>
                          <w:rFonts w:ascii="Calibri" w:hAnsi="Calibri"/>
                          <w:b/>
                          <w:bCs/>
                          <w:color w:val="7F7F7F"/>
                          <w:sz w:val="22"/>
                          <w:szCs w:val="22"/>
                        </w:rPr>
                      </w:pPr>
                    </w:p>
                  </w:tc>
                </w:tr>
              </w:tbl>
              <w:p w:rsidR="00D8106A" w:rsidRPr="00C63E2C" w:rsidRDefault="00D8106A" w:rsidP="008B685B">
                <w:pPr>
                  <w:pStyle w:val="Normal75"/>
                  <w:shd w:val="clear" w:color="auto" w:fill="F7F7F7"/>
                  <w:spacing w:line="14" w:lineRule="exact"/>
                  <w:ind w:left="-115" w:right="-418"/>
                  <w:rPr>
                    <w:rFonts w:ascii="Calibri" w:hAnsi="Calibri"/>
                    <w:b/>
                    <w:bCs/>
                    <w:color w:val="7F7F7F"/>
                    <w:sz w:val="22"/>
                    <w:szCs w:val="22"/>
                  </w:rPr>
                </w:pPr>
              </w:p>
            </w:tc>
          </w:tr>
        </w:tbl>
        <w:sdt>
          <w:sdtPr>
            <w:tag w:val="OPS_CORE_SECTION_END_9"/>
            <w:id w:val="912167805"/>
            <w:lock w:val="sdtContentLocked"/>
            <w:placeholder>
              <w:docPart w:val="76FEC616301649459A349EB55870B9C4"/>
            </w:placeholder>
          </w:sdtPr>
          <w:sdtEndPr/>
          <w:sdtContent>
            <w:p w:rsidR="00D8106A" w:rsidRDefault="00B578E1" w:rsidP="008B685B">
              <w:pPr>
                <w:pStyle w:val="Normal4"/>
                <w:spacing w:after="0" w:line="14" w:lineRule="exact"/>
                <w:ind w:left="-907"/>
                <w:sectPr w:rsidR="00D8106A" w:rsidSect="00BF4A1F">
                  <w:headerReference w:type="default" r:id="rId18"/>
                  <w:type w:val="continuous"/>
                  <w:pgSz w:w="15840" w:h="12240" w:orient="landscape"/>
                  <w:pgMar w:top="1440" w:right="1440" w:bottom="1440" w:left="1440" w:header="720" w:footer="720" w:gutter="0"/>
                  <w:cols w:space="720"/>
                  <w:docGrid w:linePitch="360"/>
                </w:sectPr>
              </w:pPr>
              <w:r>
                <w:t xml:space="preserve"> </w:t>
              </w:r>
            </w:p>
          </w:sdtContent>
        </w:sdt>
      </w:sdtContent>
    </w:sdt>
    <w:p w:rsidR="00B16AC2" w:rsidRDefault="00B578E1" w:rsidP="00B16AC2">
      <w:pPr>
        <w:pStyle w:val="Normal4"/>
        <w:spacing w:after="0" w:line="240" w:lineRule="auto"/>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-866692</wp:posOffset>
                </wp:positionH>
                <wp:positionV relativeFrom="paragraph">
                  <wp:posOffset>167115</wp:posOffset>
                </wp:positionV>
                <wp:extent cx="9962984" cy="0"/>
                <wp:effectExtent l="0" t="0" r="19685" b="19050"/>
                <wp:wrapNone/>
                <wp:docPr id="19" name="Straight Connector 19"/>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30" style="mso-width-percent:0;mso-width-relative:margin;mso-wrap-distance-bottom:0;mso-wrap-distance-left:9pt;mso-wrap-distance-right:9pt;mso-wrap-distance-top:0;mso-wrap-style:square;position:absolute;visibility:visible;z-index:251665408" from="-68.25pt,13.15pt" to="716.25pt,13.15pt" strokecolor="gray">
                <v:stroke joinstyle="miter" dashstyle="dash" opacity="26214f"/>
              </v:line>
            </w:pict>
          </mc:Fallback>
        </mc:AlternateContent>
      </w:r>
      <w:sdt>
        <w:sdtPr>
          <w:id w:val="996905719"/>
          <w:lock w:val="sdtContentLocked"/>
          <w:placeholder>
            <w:docPart w:val="DC24153066F24F00AACEADBC73512BAC"/>
          </w:placeholder>
          <w:showingPlcHdr/>
        </w:sdtPr>
        <w:sdtEndPr/>
        <w:sdtContent>
          <w:r w:rsidR="0020672B">
            <w:t xml:space="preserve"> </w:t>
          </w:r>
        </w:sdtContent>
      </w:sdt>
    </w:p>
    <w:p w:rsidR="007E3322" w:rsidRDefault="007E3322" w:rsidP="00B16AC2">
      <w:pPr>
        <w:pStyle w:val="Normal4"/>
        <w:spacing w:after="0" w:line="240" w:lineRule="auto"/>
      </w:pPr>
    </w:p>
    <w:p w:rsidR="007E3322" w:rsidRPr="007E3322" w:rsidRDefault="00B578E1" w:rsidP="00B16AC2">
      <w:pPr>
        <w:pStyle w:val="ListParagraph1"/>
        <w:numPr>
          <w:ilvl w:val="0"/>
          <w:numId w:val="2"/>
        </w:numPr>
        <w:shd w:val="clear" w:color="auto" w:fill="F7F7F7"/>
        <w:ind w:right="-418"/>
        <w:rPr>
          <w:rFonts w:asciiTheme="minorHAnsi" w:hAnsiTheme="minorHAnsi"/>
          <w:b/>
          <w:bCs/>
          <w:color w:val="172D5F"/>
          <w:sz w:val="22"/>
        </w:rPr>
      </w:pPr>
      <w:r>
        <w:rPr>
          <w:rFonts w:asciiTheme="minorHAnsi" w:hAnsiTheme="minorHAnsi"/>
          <w:b/>
          <w:bCs/>
          <w:color w:val="172D5F"/>
          <w:sz w:val="22"/>
        </w:rPr>
        <w:t>Key Outputs by Component</w:t>
      </w:r>
    </w:p>
    <w:tbl>
      <w:tblPr>
        <w:tblpPr w:leftFromText="141" w:rightFromText="141" w:vertAnchor="page" w:horzAnchor="margin" w:tblpY="3436"/>
        <w:tblW w:w="1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4"/>
        <w:gridCol w:w="7711"/>
      </w:tblGrid>
      <w:tr w:rsidR="0006032A" w:rsidTr="00191F2F">
        <w:trPr>
          <w:trHeight w:val="288"/>
        </w:trPr>
        <w:tc>
          <w:tcPr>
            <w:tcW w:w="11785" w:type="dxa"/>
            <w:gridSpan w:val="2"/>
            <w:shd w:val="clear" w:color="auto" w:fill="auto"/>
            <w:noWrap/>
            <w:vAlign w:val="center"/>
            <w:hideMark/>
          </w:tcPr>
          <w:p w:rsidR="00B16AC2" w:rsidRPr="00B16AC2" w:rsidRDefault="00B578E1" w:rsidP="00191F2F">
            <w:pPr>
              <w:spacing w:after="0" w:line="240" w:lineRule="auto"/>
              <w:rPr>
                <w:rFonts w:ascii="Calibri" w:eastAsia="Times New Roman" w:hAnsi="Calibri" w:cs="Calibri"/>
                <w:b/>
                <w:sz w:val="22"/>
                <w:szCs w:val="22"/>
                <w:lang w:eastAsia="es-CO"/>
              </w:rPr>
            </w:pPr>
            <w:r w:rsidRPr="00B16AC2">
              <w:rPr>
                <w:rFonts w:ascii="Calibri" w:eastAsia="Times New Roman" w:hAnsi="Calibri" w:cs="Calibri"/>
                <w:b/>
                <w:sz w:val="22"/>
                <w:szCs w:val="22"/>
                <w:lang w:eastAsia="es-CO"/>
              </w:rPr>
              <w:t>Objective/Outcome 1: Strengthen the capacity of PWA to effectively plan water sector development</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Outcome indicator</w:t>
            </w:r>
          </w:p>
        </w:tc>
        <w:tc>
          <w:tcPr>
            <w:tcW w:w="7711" w:type="dxa"/>
            <w:shd w:val="clear" w:color="auto" w:fill="auto"/>
            <w:noWrap/>
            <w:vAlign w:val="center"/>
            <w:hideMark/>
          </w:tcPr>
          <w:p w:rsidR="005A5A48" w:rsidRPr="00191F2F" w:rsidRDefault="00B578E1" w:rsidP="00191F2F">
            <w:pPr>
              <w:pStyle w:val="ListParagraph"/>
              <w:numPr>
                <w:ilvl w:val="0"/>
                <w:numId w:val="24"/>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Sector Reform Planning document developed, </w:t>
            </w:r>
            <w:r w:rsidR="007E3322" w:rsidRPr="00191F2F">
              <w:rPr>
                <w:rFonts w:ascii="Calibri" w:eastAsia="Times New Roman" w:hAnsi="Calibri" w:cs="Calibri"/>
                <w:sz w:val="22"/>
                <w:szCs w:val="22"/>
                <w:lang w:eastAsia="es-CO"/>
              </w:rPr>
              <w:t>updated,</w:t>
            </w:r>
            <w:r w:rsidRPr="00191F2F">
              <w:rPr>
                <w:rFonts w:ascii="Calibri" w:eastAsia="Times New Roman" w:hAnsi="Calibri" w:cs="Calibri"/>
                <w:sz w:val="22"/>
                <w:szCs w:val="22"/>
                <w:lang w:eastAsia="es-CO"/>
              </w:rPr>
              <w:t xml:space="preserve"> and approved yearly</w:t>
            </w:r>
          </w:p>
          <w:p w:rsidR="00503C17" w:rsidRPr="00191F2F" w:rsidRDefault="00B578E1" w:rsidP="00191F2F">
            <w:pPr>
              <w:pStyle w:val="ListParagraph"/>
              <w:numPr>
                <w:ilvl w:val="0"/>
                <w:numId w:val="24"/>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Water Sector Policy and Strategy approved by PWA</w:t>
            </w:r>
          </w:p>
        </w:tc>
      </w:tr>
      <w:tr w:rsidR="0006032A" w:rsidTr="00191F2F">
        <w:trPr>
          <w:trHeight w:val="653"/>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Intermediate results indicator</w:t>
            </w:r>
          </w:p>
        </w:tc>
        <w:tc>
          <w:tcPr>
            <w:tcW w:w="7711" w:type="dxa"/>
            <w:shd w:val="clear" w:color="auto" w:fill="auto"/>
            <w:vAlign w:val="center"/>
          </w:tcPr>
          <w:p w:rsidR="007E3322" w:rsidRPr="00191F2F" w:rsidRDefault="00B578E1" w:rsidP="00191F2F">
            <w:pPr>
              <w:pStyle w:val="ListParagraph"/>
              <w:numPr>
                <w:ilvl w:val="0"/>
                <w:numId w:val="25"/>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Strategies produced and consulted</w:t>
            </w:r>
          </w:p>
          <w:p w:rsidR="007E3322" w:rsidRPr="00191F2F" w:rsidRDefault="00B578E1" w:rsidP="00191F2F">
            <w:pPr>
              <w:pStyle w:val="ListParagraph"/>
              <w:numPr>
                <w:ilvl w:val="0"/>
                <w:numId w:val="25"/>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Plans and planning support tools developed</w:t>
            </w:r>
          </w:p>
          <w:p w:rsidR="005A5A48" w:rsidRPr="00191F2F" w:rsidRDefault="00B578E1" w:rsidP="00191F2F">
            <w:pPr>
              <w:pStyle w:val="ListParagraph"/>
              <w:numPr>
                <w:ilvl w:val="0"/>
                <w:numId w:val="25"/>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Relevant studies conducted</w:t>
            </w:r>
          </w:p>
          <w:p w:rsidR="007E3322" w:rsidRPr="00191F2F" w:rsidRDefault="00B578E1" w:rsidP="00191F2F">
            <w:pPr>
              <w:pStyle w:val="ListParagraph"/>
              <w:numPr>
                <w:ilvl w:val="0"/>
                <w:numId w:val="25"/>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PWA </w:t>
            </w:r>
            <w:r w:rsidR="00191F2F">
              <w:rPr>
                <w:rFonts w:ascii="Calibri" w:eastAsia="Times New Roman" w:hAnsi="Calibri" w:cs="Calibri"/>
                <w:sz w:val="22"/>
                <w:szCs w:val="22"/>
                <w:lang w:eastAsia="es-CO"/>
              </w:rPr>
              <w:t xml:space="preserve">with </w:t>
            </w:r>
            <w:r w:rsidRPr="00191F2F">
              <w:rPr>
                <w:rFonts w:ascii="Calibri" w:eastAsia="Times New Roman" w:hAnsi="Calibri" w:cs="Calibri"/>
                <w:sz w:val="22"/>
                <w:szCs w:val="22"/>
                <w:lang w:eastAsia="es-CO"/>
              </w:rPr>
              <w:t>improved capacities</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Key outputs by component</w:t>
            </w:r>
          </w:p>
        </w:tc>
        <w:tc>
          <w:tcPr>
            <w:tcW w:w="7711" w:type="dxa"/>
            <w:shd w:val="clear" w:color="auto" w:fill="auto"/>
            <w:noWrap/>
            <w:vAlign w:val="center"/>
            <w:hideMark/>
          </w:tcPr>
          <w:p w:rsidR="005A5A48" w:rsidRDefault="00B578E1" w:rsidP="00191F2F">
            <w:pPr>
              <w:spacing w:after="0" w:line="240" w:lineRule="auto"/>
              <w:rPr>
                <w:rFonts w:ascii="Calibri" w:eastAsia="Times New Roman" w:hAnsi="Calibri" w:cs="Calibri"/>
                <w:sz w:val="22"/>
                <w:szCs w:val="22"/>
                <w:lang w:val="es-CO" w:eastAsia="es-CO"/>
              </w:rPr>
            </w:pPr>
            <w:r>
              <w:rPr>
                <w:rFonts w:ascii="Calibri" w:eastAsia="Times New Roman" w:hAnsi="Calibri" w:cs="Calibri"/>
                <w:sz w:val="22"/>
                <w:szCs w:val="22"/>
                <w:lang w:val="es-CO" w:eastAsia="es-CO"/>
              </w:rPr>
              <w:t>Under component 1:</w:t>
            </w:r>
          </w:p>
          <w:p w:rsidR="005A5A48" w:rsidRPr="00191F2F" w:rsidRDefault="00B578E1" w:rsidP="00191F2F">
            <w:pPr>
              <w:pStyle w:val="ListParagraph"/>
              <w:numPr>
                <w:ilvl w:val="0"/>
                <w:numId w:val="26"/>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Seven quarterly status memoranda issued between Mar 2012 and Sep 2016;</w:t>
            </w:r>
          </w:p>
          <w:p w:rsidR="005A5A48" w:rsidRPr="00191F2F" w:rsidRDefault="00B578E1" w:rsidP="00191F2F">
            <w:pPr>
              <w:pStyle w:val="ListParagraph"/>
              <w:numPr>
                <w:ilvl w:val="0"/>
                <w:numId w:val="26"/>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Organization structure of PWA </w:t>
            </w:r>
            <w:r w:rsidR="003C2D9D">
              <w:rPr>
                <w:rFonts w:ascii="Calibri" w:eastAsia="Times New Roman" w:hAnsi="Calibri" w:cs="Calibri"/>
                <w:sz w:val="22"/>
                <w:szCs w:val="22"/>
                <w:lang w:eastAsia="es-CO"/>
              </w:rPr>
              <w:t>wa</w:t>
            </w:r>
            <w:r w:rsidRPr="00191F2F">
              <w:rPr>
                <w:rFonts w:ascii="Calibri" w:eastAsia="Times New Roman" w:hAnsi="Calibri" w:cs="Calibri"/>
                <w:sz w:val="22"/>
                <w:szCs w:val="22"/>
                <w:lang w:eastAsia="es-CO"/>
              </w:rPr>
              <w:t>s completed</w:t>
            </w:r>
            <w:r w:rsidR="00A17EB2">
              <w:rPr>
                <w:rFonts w:ascii="Calibri" w:eastAsia="Times New Roman" w:hAnsi="Calibri" w:cs="Calibri"/>
                <w:sz w:val="22"/>
                <w:szCs w:val="22"/>
                <w:lang w:eastAsia="es-CO"/>
              </w:rPr>
              <w:t>and is pending approval</w:t>
            </w:r>
            <w:r w:rsidR="003C2D9D">
              <w:rPr>
                <w:rFonts w:ascii="Calibri" w:eastAsia="Times New Roman" w:hAnsi="Calibri" w:cs="Calibri"/>
                <w:sz w:val="22"/>
                <w:szCs w:val="22"/>
                <w:lang w:eastAsia="es-CO"/>
              </w:rPr>
              <w:t>;</w:t>
            </w:r>
          </w:p>
          <w:p w:rsidR="007E3322" w:rsidRPr="00191F2F" w:rsidRDefault="00B578E1" w:rsidP="00191F2F">
            <w:pPr>
              <w:pStyle w:val="ListParagraph"/>
              <w:numPr>
                <w:ilvl w:val="0"/>
                <w:numId w:val="26"/>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Nine strategies were produced and consulted, helping PWA to strengthen its planning capacity on the following</w:t>
            </w:r>
            <w:r w:rsidR="00191F2F">
              <w:rPr>
                <w:rFonts w:ascii="Calibri" w:eastAsia="Times New Roman" w:hAnsi="Calibri" w:cs="Calibri"/>
                <w:sz w:val="22"/>
                <w:szCs w:val="22"/>
                <w:lang w:eastAsia="es-CO"/>
              </w:rPr>
              <w:t xml:space="preserve"> aspects</w:t>
            </w:r>
            <w:r w:rsidRPr="00191F2F">
              <w:rPr>
                <w:rFonts w:ascii="Calibri" w:eastAsia="Times New Roman" w:hAnsi="Calibri" w:cs="Calibri"/>
                <w:sz w:val="22"/>
                <w:szCs w:val="22"/>
                <w:lang w:eastAsia="es-CO"/>
              </w:rPr>
              <w:t>:</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Sustainable financing</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Revenue water</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Communication</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Sludge disposal</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Capacity development</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PWA Strategic plan (2016-2018)</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Water demand management</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Public awareness and civic engagement</w:t>
            </w:r>
          </w:p>
          <w:p w:rsidR="007E3322" w:rsidRPr="00503C17" w:rsidRDefault="00B578E1" w:rsidP="00191F2F">
            <w:pPr>
              <w:pStyle w:val="ListParagraph"/>
              <w:numPr>
                <w:ilvl w:val="1"/>
                <w:numId w:val="26"/>
              </w:numPr>
              <w:spacing w:after="0" w:line="240" w:lineRule="auto"/>
              <w:rPr>
                <w:rFonts w:ascii="Calibri" w:eastAsia="Times New Roman" w:hAnsi="Calibri" w:cs="Calibri"/>
                <w:sz w:val="22"/>
                <w:szCs w:val="22"/>
                <w:lang w:eastAsia="es-CO"/>
              </w:rPr>
            </w:pPr>
            <w:r w:rsidRPr="00503C17">
              <w:rPr>
                <w:rFonts w:ascii="Calibri" w:eastAsia="Times New Roman" w:hAnsi="Calibri" w:cs="Calibri"/>
                <w:sz w:val="22"/>
                <w:szCs w:val="22"/>
                <w:lang w:eastAsia="es-CO"/>
              </w:rPr>
              <w:t>Transboundary water resources management</w:t>
            </w:r>
          </w:p>
          <w:p w:rsidR="007E3322" w:rsidRPr="00191F2F" w:rsidRDefault="00B578E1" w:rsidP="00191F2F">
            <w:pPr>
              <w:pStyle w:val="ListParagraph"/>
              <w:numPr>
                <w:ilvl w:val="0"/>
                <w:numId w:val="26"/>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Three relevant studies were conducted on wastewater treatment, reuse, and sludge management.</w:t>
            </w:r>
          </w:p>
          <w:p w:rsidR="00503C17" w:rsidRPr="00191F2F" w:rsidRDefault="00B578E1" w:rsidP="00191F2F">
            <w:pPr>
              <w:pStyle w:val="ListParagraph"/>
              <w:numPr>
                <w:ilvl w:val="0"/>
                <w:numId w:val="26"/>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lastRenderedPageBreak/>
              <w:t xml:space="preserve">95 staff trained and 28 training courses conducted to improve capacity </w:t>
            </w:r>
          </w:p>
          <w:p w:rsidR="00FB37FB" w:rsidRDefault="00B578E1" w:rsidP="00191F2F">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Under component 2:</w:t>
            </w:r>
          </w:p>
          <w:p w:rsidR="00503C17" w:rsidRPr="00FB37FB" w:rsidRDefault="00B578E1" w:rsidP="00FB37FB">
            <w:pPr>
              <w:pStyle w:val="ListParagraph"/>
              <w:numPr>
                <w:ilvl w:val="0"/>
                <w:numId w:val="35"/>
              </w:numPr>
              <w:spacing w:after="0" w:line="240" w:lineRule="auto"/>
              <w:rPr>
                <w:rFonts w:ascii="Calibri" w:eastAsia="Times New Roman" w:hAnsi="Calibri" w:cs="Calibri"/>
                <w:sz w:val="22"/>
                <w:szCs w:val="22"/>
                <w:lang w:eastAsia="es-CO"/>
              </w:rPr>
            </w:pPr>
            <w:r w:rsidRPr="00FB37FB">
              <w:rPr>
                <w:rFonts w:ascii="Calibri" w:eastAsia="Times New Roman" w:hAnsi="Calibri" w:cs="Calibri"/>
                <w:sz w:val="22"/>
                <w:szCs w:val="22"/>
                <w:lang w:eastAsia="es-CO"/>
              </w:rPr>
              <w:t>sixteen plans and planning support tools were developed</w:t>
            </w:r>
          </w:p>
        </w:tc>
      </w:tr>
      <w:tr w:rsidR="0006032A" w:rsidTr="00191F2F">
        <w:trPr>
          <w:trHeight w:val="288"/>
        </w:trPr>
        <w:tc>
          <w:tcPr>
            <w:tcW w:w="11785" w:type="dxa"/>
            <w:gridSpan w:val="2"/>
            <w:shd w:val="clear" w:color="auto" w:fill="auto"/>
            <w:noWrap/>
            <w:vAlign w:val="center"/>
            <w:hideMark/>
          </w:tcPr>
          <w:p w:rsidR="005A5A48" w:rsidRPr="00B16AC2" w:rsidRDefault="00B578E1" w:rsidP="00191F2F">
            <w:pPr>
              <w:spacing w:after="0" w:line="240" w:lineRule="auto"/>
              <w:rPr>
                <w:rFonts w:ascii="Calibri" w:eastAsia="Times New Roman" w:hAnsi="Calibri" w:cs="Calibri"/>
                <w:b/>
                <w:sz w:val="22"/>
                <w:szCs w:val="22"/>
                <w:lang w:eastAsia="es-CO"/>
              </w:rPr>
            </w:pPr>
            <w:r w:rsidRPr="00B16AC2">
              <w:rPr>
                <w:rFonts w:ascii="Calibri" w:eastAsia="Times New Roman" w:hAnsi="Calibri" w:cs="Calibri"/>
                <w:b/>
                <w:sz w:val="22"/>
                <w:szCs w:val="22"/>
                <w:lang w:eastAsia="es-CO"/>
              </w:rPr>
              <w:lastRenderedPageBreak/>
              <w:t>Objective/Outcome 2: Strengthen the capacity of PWA to effectively monitor water sector development</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Outcome indicator</w:t>
            </w:r>
          </w:p>
        </w:tc>
        <w:tc>
          <w:tcPr>
            <w:tcW w:w="7711" w:type="dxa"/>
            <w:shd w:val="clear" w:color="auto" w:fill="auto"/>
            <w:noWrap/>
            <w:vAlign w:val="center"/>
            <w:hideMark/>
          </w:tcPr>
          <w:p w:rsidR="00503C17" w:rsidRPr="00FB37FB" w:rsidRDefault="00B578E1" w:rsidP="00191F2F">
            <w:pPr>
              <w:pStyle w:val="ListParagraph"/>
              <w:numPr>
                <w:ilvl w:val="0"/>
                <w:numId w:val="28"/>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Monitoring reports on service providers performance are developed and published annually</w:t>
            </w:r>
          </w:p>
        </w:tc>
      </w:tr>
      <w:tr w:rsidR="0006032A" w:rsidTr="00191F2F">
        <w:trPr>
          <w:trHeight w:val="864"/>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Intermediate results indicator</w:t>
            </w:r>
          </w:p>
        </w:tc>
        <w:tc>
          <w:tcPr>
            <w:tcW w:w="7711" w:type="dxa"/>
            <w:shd w:val="clear" w:color="auto" w:fill="auto"/>
            <w:vAlign w:val="center"/>
            <w:hideMark/>
          </w:tcPr>
          <w:p w:rsidR="00191F2F" w:rsidRPr="00191F2F" w:rsidRDefault="00B578E1" w:rsidP="00191F2F">
            <w:pPr>
              <w:pStyle w:val="ListParagraph"/>
              <w:numPr>
                <w:ilvl w:val="0"/>
                <w:numId w:val="27"/>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Quarterly Status Memoranda on Sector Reform produced; </w:t>
            </w:r>
          </w:p>
          <w:p w:rsidR="005A5A48" w:rsidRPr="00191F2F" w:rsidRDefault="00B578E1" w:rsidP="00191F2F">
            <w:pPr>
              <w:pStyle w:val="ListParagraph"/>
              <w:numPr>
                <w:ilvl w:val="0"/>
                <w:numId w:val="27"/>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Technical regulation, guidelines, standards are reviewed, updated and developed</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Key outputs by component</w:t>
            </w:r>
          </w:p>
        </w:tc>
        <w:tc>
          <w:tcPr>
            <w:tcW w:w="7711" w:type="dxa"/>
            <w:shd w:val="clear" w:color="auto" w:fill="auto"/>
            <w:noWrap/>
            <w:vAlign w:val="center"/>
            <w:hideMark/>
          </w:tcPr>
          <w:p w:rsidR="005A5A48" w:rsidRDefault="00B578E1" w:rsidP="00191F2F">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Under component 1:</w:t>
            </w:r>
          </w:p>
          <w:p w:rsidR="00503C17" w:rsidRPr="00191F2F" w:rsidRDefault="00B578E1" w:rsidP="00191F2F">
            <w:pPr>
              <w:pStyle w:val="ListParagraph"/>
              <w:numPr>
                <w:ilvl w:val="0"/>
                <w:numId w:val="29"/>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Annual Performance Monitoring Reports have been published annually since 2013;</w:t>
            </w:r>
          </w:p>
          <w:p w:rsidR="00503C17" w:rsidRDefault="00B578E1" w:rsidP="00191F2F">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Under component 2:</w:t>
            </w:r>
          </w:p>
          <w:p w:rsidR="00191F2F" w:rsidRPr="00191F2F" w:rsidRDefault="00B578E1" w:rsidP="00191F2F">
            <w:pPr>
              <w:pStyle w:val="ListParagraph"/>
              <w:numPr>
                <w:ilvl w:val="0"/>
                <w:numId w:val="29"/>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WSRC information system </w:t>
            </w:r>
            <w:r w:rsidR="00FB37FB">
              <w:rPr>
                <w:rFonts w:ascii="Calibri" w:eastAsia="Times New Roman" w:hAnsi="Calibri" w:cs="Calibri"/>
                <w:sz w:val="22"/>
                <w:szCs w:val="22"/>
                <w:lang w:eastAsia="es-CO"/>
              </w:rPr>
              <w:t xml:space="preserve">has been </w:t>
            </w:r>
            <w:r w:rsidRPr="00191F2F">
              <w:rPr>
                <w:rFonts w:ascii="Calibri" w:eastAsia="Times New Roman" w:hAnsi="Calibri" w:cs="Calibri"/>
                <w:sz w:val="22"/>
                <w:szCs w:val="22"/>
                <w:lang w:eastAsia="es-CO"/>
              </w:rPr>
              <w:t>created and maintained</w:t>
            </w:r>
            <w:r w:rsidR="00FB37FB">
              <w:rPr>
                <w:rFonts w:ascii="Calibri" w:eastAsia="Times New Roman" w:hAnsi="Calibri" w:cs="Calibri"/>
                <w:sz w:val="22"/>
                <w:szCs w:val="22"/>
                <w:lang w:eastAsia="es-CO"/>
              </w:rPr>
              <w:t>.</w:t>
            </w:r>
          </w:p>
        </w:tc>
      </w:tr>
      <w:tr w:rsidR="0006032A" w:rsidTr="00191F2F">
        <w:trPr>
          <w:trHeight w:val="288"/>
        </w:trPr>
        <w:tc>
          <w:tcPr>
            <w:tcW w:w="11785" w:type="dxa"/>
            <w:gridSpan w:val="2"/>
            <w:shd w:val="clear" w:color="auto" w:fill="auto"/>
            <w:noWrap/>
            <w:vAlign w:val="center"/>
            <w:hideMark/>
          </w:tcPr>
          <w:p w:rsidR="005A5A48" w:rsidRPr="00B16AC2" w:rsidRDefault="00B578E1" w:rsidP="00191F2F">
            <w:pPr>
              <w:spacing w:after="0" w:line="240" w:lineRule="auto"/>
              <w:rPr>
                <w:rFonts w:ascii="Calibri" w:eastAsia="Times New Roman" w:hAnsi="Calibri" w:cs="Calibri"/>
                <w:b/>
                <w:sz w:val="22"/>
                <w:szCs w:val="22"/>
                <w:lang w:eastAsia="es-CO"/>
              </w:rPr>
            </w:pPr>
            <w:r w:rsidRPr="00B16AC2">
              <w:rPr>
                <w:rFonts w:ascii="Calibri" w:eastAsia="Times New Roman" w:hAnsi="Calibri" w:cs="Calibri"/>
                <w:b/>
                <w:sz w:val="22"/>
                <w:szCs w:val="22"/>
                <w:lang w:eastAsia="es-CO"/>
              </w:rPr>
              <w:t>Objective/Outcome 3: Strengthen the capacity of PWA to effectively regulate water sector development</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Outcome indicator</w:t>
            </w:r>
          </w:p>
        </w:tc>
        <w:tc>
          <w:tcPr>
            <w:tcW w:w="7711" w:type="dxa"/>
            <w:shd w:val="clear" w:color="auto" w:fill="auto"/>
            <w:noWrap/>
            <w:vAlign w:val="center"/>
            <w:hideMark/>
          </w:tcPr>
          <w:p w:rsidR="00503C17" w:rsidRPr="00191F2F" w:rsidRDefault="00B578E1" w:rsidP="00191F2F">
            <w:pPr>
              <w:pStyle w:val="ListParagraph"/>
              <w:numPr>
                <w:ilvl w:val="0"/>
                <w:numId w:val="30"/>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Water law is updated, consulted with stakeholders and approved;</w:t>
            </w:r>
          </w:p>
          <w:p w:rsidR="005A5A48" w:rsidRPr="00191F2F" w:rsidRDefault="00B578E1" w:rsidP="00191F2F">
            <w:pPr>
              <w:pStyle w:val="ListParagraph"/>
              <w:numPr>
                <w:ilvl w:val="0"/>
                <w:numId w:val="30"/>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WSRC is strengthened and functional; </w:t>
            </w:r>
          </w:p>
        </w:tc>
      </w:tr>
      <w:tr w:rsidR="0006032A" w:rsidTr="00FB37FB">
        <w:trPr>
          <w:trHeight w:val="1152"/>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Intermediate results indicator</w:t>
            </w:r>
          </w:p>
        </w:tc>
        <w:tc>
          <w:tcPr>
            <w:tcW w:w="7711" w:type="dxa"/>
            <w:shd w:val="clear" w:color="auto" w:fill="auto"/>
            <w:hideMark/>
          </w:tcPr>
          <w:p w:rsidR="007E3322" w:rsidRPr="00191F2F" w:rsidRDefault="00B578E1" w:rsidP="00FB37FB">
            <w:pPr>
              <w:pStyle w:val="ListParagraph"/>
              <w:numPr>
                <w:ilvl w:val="0"/>
                <w:numId w:val="31"/>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 xml:space="preserve">National Water Company bylaw is developed; </w:t>
            </w:r>
          </w:p>
          <w:p w:rsidR="00FB37FB" w:rsidRPr="00FB37FB" w:rsidRDefault="00B578E1" w:rsidP="00FB37FB">
            <w:pPr>
              <w:pStyle w:val="ListParagraph"/>
              <w:numPr>
                <w:ilvl w:val="0"/>
                <w:numId w:val="31"/>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Regional water utilities bylaw is develope</w:t>
            </w:r>
            <w:r>
              <w:rPr>
                <w:rFonts w:ascii="Calibri" w:eastAsia="Times New Roman" w:hAnsi="Calibri" w:cs="Calibri"/>
                <w:sz w:val="22"/>
                <w:szCs w:val="22"/>
                <w:lang w:eastAsia="es-CO"/>
              </w:rPr>
              <w:t>d</w:t>
            </w:r>
          </w:p>
        </w:tc>
      </w:tr>
      <w:tr w:rsidR="0006032A" w:rsidTr="00191F2F">
        <w:trPr>
          <w:trHeight w:val="288"/>
        </w:trPr>
        <w:tc>
          <w:tcPr>
            <w:tcW w:w="4074" w:type="dxa"/>
            <w:shd w:val="clear" w:color="auto" w:fill="auto"/>
            <w:noWrap/>
            <w:vAlign w:val="center"/>
            <w:hideMark/>
          </w:tcPr>
          <w:p w:rsidR="005A5A48" w:rsidRPr="00B16AC2" w:rsidRDefault="00B578E1" w:rsidP="00191F2F">
            <w:pPr>
              <w:spacing w:after="0" w:line="240" w:lineRule="auto"/>
              <w:rPr>
                <w:rFonts w:ascii="Calibri" w:eastAsia="Times New Roman" w:hAnsi="Calibri" w:cs="Calibri"/>
                <w:sz w:val="22"/>
                <w:szCs w:val="22"/>
                <w:lang w:val="es-CO" w:eastAsia="es-CO"/>
              </w:rPr>
            </w:pPr>
            <w:r w:rsidRPr="00B16AC2">
              <w:rPr>
                <w:rFonts w:ascii="Calibri" w:eastAsia="Times New Roman" w:hAnsi="Calibri" w:cs="Calibri"/>
                <w:sz w:val="22"/>
                <w:szCs w:val="22"/>
                <w:lang w:val="es-CO" w:eastAsia="es-CO"/>
              </w:rPr>
              <w:t>Key outputs by component</w:t>
            </w:r>
          </w:p>
        </w:tc>
        <w:tc>
          <w:tcPr>
            <w:tcW w:w="7711" w:type="dxa"/>
            <w:shd w:val="clear" w:color="auto" w:fill="auto"/>
            <w:noWrap/>
            <w:vAlign w:val="center"/>
            <w:hideMark/>
          </w:tcPr>
          <w:p w:rsidR="00191F2F" w:rsidRDefault="00B578E1" w:rsidP="00191F2F">
            <w:pPr>
              <w:spacing w:after="0" w:line="240" w:lineRule="auto"/>
              <w:rPr>
                <w:rFonts w:ascii="Calibri" w:eastAsia="Times New Roman" w:hAnsi="Calibri" w:cs="Calibri"/>
                <w:sz w:val="22"/>
                <w:szCs w:val="22"/>
                <w:lang w:eastAsia="es-CO"/>
              </w:rPr>
            </w:pPr>
            <w:r w:rsidRPr="005A5A48">
              <w:rPr>
                <w:rFonts w:ascii="Calibri" w:eastAsia="Times New Roman" w:hAnsi="Calibri" w:cs="Calibri"/>
                <w:sz w:val="22"/>
                <w:szCs w:val="22"/>
                <w:lang w:eastAsia="es-CO"/>
              </w:rPr>
              <w:t>Under component 1</w:t>
            </w:r>
            <w:r>
              <w:rPr>
                <w:rFonts w:ascii="Calibri" w:eastAsia="Times New Roman" w:hAnsi="Calibri" w:cs="Calibri"/>
                <w:sz w:val="22"/>
                <w:szCs w:val="22"/>
                <w:lang w:eastAsia="es-CO"/>
              </w:rPr>
              <w:t>,</w:t>
            </w:r>
          </w:p>
          <w:p w:rsidR="005A5A48" w:rsidRPr="00191F2F" w:rsidRDefault="00B578E1" w:rsidP="00191F2F">
            <w:pPr>
              <w:pStyle w:val="ListParagraph"/>
              <w:numPr>
                <w:ilvl w:val="0"/>
                <w:numId w:val="33"/>
              </w:num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Se</w:t>
            </w:r>
            <w:r w:rsidR="00191F2F" w:rsidRPr="00191F2F">
              <w:rPr>
                <w:rFonts w:ascii="Calibri" w:eastAsia="Times New Roman" w:hAnsi="Calibri" w:cs="Calibri"/>
                <w:sz w:val="22"/>
                <w:szCs w:val="22"/>
                <w:lang w:eastAsia="es-CO"/>
              </w:rPr>
              <w:t>ven</w:t>
            </w:r>
            <w:r w:rsidRPr="00191F2F">
              <w:rPr>
                <w:rFonts w:ascii="Calibri" w:eastAsia="Times New Roman" w:hAnsi="Calibri" w:cs="Calibri"/>
                <w:sz w:val="22"/>
                <w:szCs w:val="22"/>
                <w:lang w:eastAsia="es-CO"/>
              </w:rPr>
              <w:t xml:space="preserve"> regulations were approved and implemented:</w:t>
            </w:r>
          </w:p>
          <w:p w:rsidR="005A5A48"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Financial guidelines for PMU;</w:t>
            </w:r>
          </w:p>
          <w:p w:rsidR="005A5A48"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Drinking water quality standards;</w:t>
            </w:r>
          </w:p>
          <w:p w:rsidR="005A5A48"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PWA regulation of water tariff;</w:t>
            </w:r>
          </w:p>
          <w:p w:rsidR="005A5A48"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PWA regulations on house connections;</w:t>
            </w:r>
          </w:p>
          <w:p w:rsidR="005A5A48"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PWA regulations on planning and design</w:t>
            </w:r>
            <w:r w:rsidR="007E3322" w:rsidRPr="00191F2F">
              <w:rPr>
                <w:rFonts w:ascii="Calibri" w:eastAsia="Times New Roman" w:hAnsi="Calibri" w:cs="Calibri"/>
                <w:sz w:val="22"/>
                <w:szCs w:val="22"/>
                <w:lang w:eastAsia="es-CO"/>
              </w:rPr>
              <w:t>;</w:t>
            </w:r>
          </w:p>
          <w:p w:rsidR="007E3322"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lastRenderedPageBreak/>
              <w:t>Licensing of SPs;</w:t>
            </w:r>
          </w:p>
          <w:p w:rsidR="007E3322" w:rsidRPr="00191F2F" w:rsidRDefault="00B578E1" w:rsidP="00191F2F">
            <w:pPr>
              <w:pStyle w:val="ListParagraph"/>
              <w:numPr>
                <w:ilvl w:val="0"/>
                <w:numId w:val="32"/>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Guidelines on financial and administration;</w:t>
            </w:r>
          </w:p>
          <w:p w:rsidR="00503C17" w:rsidRPr="00191F2F" w:rsidRDefault="00B578E1" w:rsidP="00191F2F">
            <w:pPr>
              <w:pStyle w:val="ListParagraph"/>
              <w:numPr>
                <w:ilvl w:val="0"/>
                <w:numId w:val="33"/>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Regional Water Utilities by law approved</w:t>
            </w:r>
          </w:p>
          <w:p w:rsidR="007E3322" w:rsidRPr="00191F2F" w:rsidRDefault="00B578E1" w:rsidP="00191F2F">
            <w:pPr>
              <w:pStyle w:val="ListParagraph"/>
              <w:numPr>
                <w:ilvl w:val="0"/>
                <w:numId w:val="33"/>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A road map for the NWC bylaw has been developed and a draft produced</w:t>
            </w:r>
          </w:p>
          <w:p w:rsidR="00503C17" w:rsidRDefault="00B578E1" w:rsidP="00191F2F">
            <w:pPr>
              <w:spacing w:after="0" w:line="240" w:lineRule="auto"/>
              <w:rPr>
                <w:rFonts w:ascii="Calibri" w:eastAsia="Times New Roman" w:hAnsi="Calibri" w:cs="Calibri"/>
                <w:sz w:val="22"/>
                <w:szCs w:val="22"/>
                <w:lang w:eastAsia="es-CO"/>
              </w:rPr>
            </w:pPr>
            <w:r>
              <w:rPr>
                <w:rFonts w:ascii="Calibri" w:eastAsia="Times New Roman" w:hAnsi="Calibri" w:cs="Calibri"/>
                <w:sz w:val="22"/>
                <w:szCs w:val="22"/>
                <w:lang w:eastAsia="es-CO"/>
              </w:rPr>
              <w:t>Under component 2:</w:t>
            </w:r>
          </w:p>
          <w:p w:rsidR="007E3322" w:rsidRPr="00191F2F" w:rsidRDefault="00B578E1" w:rsidP="00191F2F">
            <w:pPr>
              <w:pStyle w:val="ListParagraph"/>
              <w:numPr>
                <w:ilvl w:val="0"/>
                <w:numId w:val="34"/>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WSRC strategy and implementation plan was developed and implemented.</w:t>
            </w:r>
          </w:p>
          <w:p w:rsidR="00503C17" w:rsidRPr="00191F2F" w:rsidRDefault="00B578E1" w:rsidP="00191F2F">
            <w:pPr>
              <w:pStyle w:val="ListParagraph"/>
              <w:numPr>
                <w:ilvl w:val="0"/>
                <w:numId w:val="34"/>
              </w:numPr>
              <w:spacing w:after="0" w:line="240" w:lineRule="auto"/>
              <w:rPr>
                <w:rFonts w:ascii="Calibri" w:eastAsia="Times New Roman" w:hAnsi="Calibri" w:cs="Calibri"/>
                <w:sz w:val="22"/>
                <w:szCs w:val="22"/>
                <w:lang w:eastAsia="es-CO"/>
              </w:rPr>
            </w:pPr>
            <w:r w:rsidRPr="00191F2F">
              <w:rPr>
                <w:rFonts w:ascii="Calibri" w:eastAsia="Times New Roman" w:hAnsi="Calibri" w:cs="Calibri"/>
                <w:sz w:val="22"/>
                <w:szCs w:val="22"/>
                <w:lang w:eastAsia="es-CO"/>
              </w:rPr>
              <w:t>10 out of 11 WSRC technical regulations were reviewed, updated and developed.</w:t>
            </w:r>
          </w:p>
        </w:tc>
      </w:tr>
    </w:tbl>
    <w:p w:rsidR="000A21F8" w:rsidRPr="006C09E3" w:rsidRDefault="000A21F8" w:rsidP="00F07597">
      <w:pPr>
        <w:tabs>
          <w:tab w:val="left" w:pos="3450"/>
        </w:tabs>
        <w:sectPr w:rsidR="000A21F8" w:rsidRPr="006C09E3" w:rsidSect="00BF4A1F">
          <w:headerReference w:type="default" r:id="rId19"/>
          <w:type w:val="continuous"/>
          <w:pgSz w:w="15840" w:h="12240" w:orient="landscape"/>
          <w:pgMar w:top="1440" w:right="1440" w:bottom="1440" w:left="1440" w:header="720" w:footer="720" w:gutter="0"/>
          <w:cols w:space="720"/>
          <w:docGrid w:linePitch="360"/>
        </w:sectPr>
      </w:pPr>
    </w:p>
    <w:p w:rsidR="003615CB" w:rsidRDefault="003615CB" w:rsidP="003615CB">
      <w:pPr>
        <w:spacing w:line="20" w:lineRule="exact"/>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06032A" w:rsidTr="008565D8">
        <w:trPr>
          <w:trHeight w:val="432"/>
        </w:trPr>
        <w:tc>
          <w:tcPr>
            <w:tcW w:w="10800" w:type="dxa"/>
            <w:shd w:val="clear" w:color="auto" w:fill="F2F7FC"/>
            <w:vAlign w:val="center"/>
          </w:tcPr>
          <w:p w:rsidR="003615CB" w:rsidRPr="00AF152D" w:rsidRDefault="00B578E1" w:rsidP="00FD0904">
            <w:pPr>
              <w:pStyle w:val="NoSpacing"/>
              <w:jc w:val="center"/>
              <w:outlineLvl w:val="0"/>
              <w:rPr>
                <w:rFonts w:asciiTheme="minorHAnsi" w:hAnsiTheme="minorHAnsi"/>
                <w:b/>
                <w:szCs w:val="22"/>
              </w:rPr>
            </w:pPr>
            <w:bookmarkStart w:id="134" w:name="_Toc256000032"/>
            <w:bookmarkStart w:id="135" w:name="_Toc485984586"/>
            <w:bookmarkStart w:id="136" w:name="_Toc510969719"/>
            <w:bookmarkStart w:id="137" w:name="_Toc516132511"/>
            <w:r w:rsidRPr="00AF152D">
              <w:rPr>
                <w:rFonts w:asciiTheme="minorHAnsi" w:hAnsiTheme="minorHAnsi"/>
                <w:b/>
                <w:szCs w:val="22"/>
              </w:rPr>
              <w:t>ANNEX 2. BANK LENDING AND IMPLEMENTATION SUPPORT/SUPERVISION</w:t>
            </w:r>
            <w:bookmarkEnd w:id="134"/>
            <w:bookmarkEnd w:id="135"/>
            <w:bookmarkEnd w:id="136"/>
            <w:bookmarkEnd w:id="137"/>
          </w:p>
        </w:tc>
      </w:tr>
    </w:tbl>
    <w:p w:rsidR="00222B3C" w:rsidRDefault="00222B3C" w:rsidP="00222B3C">
      <w:pPr>
        <w:ind w:left="-634"/>
        <w:rPr>
          <w:rFonts w:asciiTheme="minorHAnsi" w:hAnsiTheme="minorHAnsi"/>
          <w:bCs/>
          <w:color w:val="auto"/>
          <w:sz w:val="22"/>
          <w:szCs w:val="22"/>
        </w:rPr>
      </w:pPr>
    </w:p>
    <w:tbl>
      <w:tblPr>
        <w:tblStyle w:val="TableGrid6"/>
        <w:tblW w:w="10710" w:type="dxa"/>
        <w:tblInd w:w="-660" w:type="dxa"/>
        <w:shd w:val="clear" w:color="auto" w:fill="F7F7F7"/>
        <w:tblLayout w:type="fixed"/>
        <w:tblLook w:val="04A0" w:firstRow="1" w:lastRow="0" w:firstColumn="1" w:lastColumn="0" w:noHBand="0" w:noVBand="1"/>
      </w:tblPr>
      <w:tblGrid>
        <w:gridCol w:w="10710"/>
      </w:tblGrid>
      <w:tr w:rsidR="0006032A" w:rsidTr="00643C70">
        <w:trPr>
          <w:trHeight w:val="354"/>
        </w:trPr>
        <w:tc>
          <w:tcPr>
            <w:tcW w:w="1071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643C70" w:rsidRPr="00643C70" w:rsidRDefault="00B578E1" w:rsidP="002A155D">
            <w:pPr>
              <w:numPr>
                <w:ilvl w:val="0"/>
                <w:numId w:val="3"/>
              </w:numPr>
              <w:contextualSpacing/>
              <w:rPr>
                <w:rFonts w:asciiTheme="minorHAnsi" w:eastAsiaTheme="minorHAnsi" w:hAnsiTheme="minorHAnsi" w:cstheme="minorBidi"/>
                <w:b/>
                <w:color w:val="auto"/>
                <w:sz w:val="22"/>
                <w:szCs w:val="22"/>
              </w:rPr>
            </w:pPr>
            <w:r w:rsidRPr="00606DB1">
              <w:rPr>
                <w:rFonts w:asciiTheme="minorHAnsi" w:eastAsiaTheme="minorHAnsi" w:hAnsiTheme="minorHAnsi" w:cstheme="minorBidi"/>
                <w:b/>
                <w:color w:val="auto"/>
                <w:sz w:val="22"/>
                <w:szCs w:val="22"/>
              </w:rPr>
              <w:t>TASK TEAM MEMBERS</w:t>
            </w:r>
          </w:p>
        </w:tc>
      </w:tr>
    </w:tbl>
    <w:p w:rsidR="00222B3C" w:rsidRDefault="00222B3C" w:rsidP="00222B3C">
      <w:pPr>
        <w:ind w:left="-634"/>
        <w:rPr>
          <w:rFonts w:asciiTheme="minorHAnsi" w:hAnsiTheme="minorHAnsi"/>
          <w:bCs/>
          <w:color w:val="auto"/>
          <w:sz w:val="22"/>
          <w:szCs w:val="22"/>
        </w:rPr>
      </w:pPr>
    </w:p>
    <w:tbl>
      <w:tblPr>
        <w:tblStyle w:val="TableGrid"/>
        <w:tblW w:w="5000" w:type="pct"/>
        <w:tblBorders>
          <w:top w:val="nil"/>
          <w:left w:val="nil"/>
          <w:bottom w:val="nil"/>
          <w:right w:val="nil"/>
          <w:insideH w:val="nil"/>
          <w:insideV w:val="nil"/>
        </w:tblBorders>
        <w:shd w:val="clear" w:color="auto" w:fill="FFFFFF" w:themeFill="background1"/>
        <w:tblLook w:val="04A0" w:firstRow="1" w:lastRow="0" w:firstColumn="1" w:lastColumn="0" w:noHBand="0" w:noVBand="1"/>
      </w:tblPr>
      <w:tblGrid>
        <w:gridCol w:w="4759"/>
        <w:gridCol w:w="4601"/>
      </w:tblGrid>
      <w:tr w:rsidR="0006032A" w:rsidTr="00E97D18">
        <w:trPr>
          <w:trHeight w:val="387"/>
        </w:trPr>
        <w:tc>
          <w:tcPr>
            <w:tcW w:w="2542" w:type="pct"/>
            <w:tcBorders>
              <w:top w:val="nil"/>
              <w:bottom w:val="single" w:sz="12" w:space="0" w:color="D9D9D9" w:themeColor="background1" w:themeShade="D9"/>
            </w:tcBorders>
            <w:shd w:val="clear" w:color="auto" w:fill="FFFFFF" w:themeFill="background1"/>
            <w:vAlign w:val="center"/>
          </w:tcPr>
          <w:p w:rsidR="00816875" w:rsidRPr="00816875" w:rsidRDefault="00B578E1" w:rsidP="0002706F">
            <w:pPr>
              <w:keepNext/>
              <w:rPr>
                <w:rFonts w:asciiTheme="minorHAnsi" w:hAnsiTheme="minorHAnsi"/>
                <w:b/>
                <w:sz w:val="22"/>
                <w:szCs w:val="22"/>
              </w:rPr>
            </w:pPr>
            <w:r w:rsidRPr="00816875">
              <w:rPr>
                <w:rFonts w:asciiTheme="minorHAnsi" w:hAnsiTheme="minorHAnsi"/>
                <w:b/>
                <w:bCs/>
                <w:color w:val="7F7F7F" w:themeColor="text1" w:themeTint="80"/>
                <w:sz w:val="22"/>
                <w:szCs w:val="22"/>
              </w:rPr>
              <w:t>Name</w:t>
            </w:r>
          </w:p>
        </w:tc>
        <w:tc>
          <w:tcPr>
            <w:tcW w:w="2458" w:type="pct"/>
            <w:tcBorders>
              <w:top w:val="nil"/>
              <w:bottom w:val="single" w:sz="12" w:space="0" w:color="D9D9D9" w:themeColor="background1" w:themeShade="D9"/>
            </w:tcBorders>
            <w:shd w:val="clear" w:color="auto" w:fill="FFFFFF" w:themeFill="background1"/>
            <w:vAlign w:val="center"/>
          </w:tcPr>
          <w:p w:rsidR="00816875" w:rsidRPr="00816875" w:rsidRDefault="00B578E1" w:rsidP="0002706F">
            <w:pPr>
              <w:keepNext/>
              <w:rPr>
                <w:rFonts w:asciiTheme="minorHAnsi" w:hAnsiTheme="minorHAnsi"/>
                <w:b/>
                <w:sz w:val="22"/>
                <w:szCs w:val="22"/>
              </w:rPr>
            </w:pPr>
            <w:r w:rsidRPr="00816875">
              <w:rPr>
                <w:rFonts w:asciiTheme="minorHAnsi" w:hAnsiTheme="minorHAnsi"/>
                <w:b/>
                <w:bCs/>
                <w:color w:val="7F7F7F" w:themeColor="text1" w:themeTint="80"/>
                <w:sz w:val="22"/>
                <w:szCs w:val="22"/>
              </w:rPr>
              <w:t>Role</w:t>
            </w:r>
          </w:p>
        </w:tc>
      </w:tr>
      <w:tr w:rsidR="0006032A" w:rsidTr="00E97D18">
        <w:trPr>
          <w:trHeight w:val="387"/>
        </w:trPr>
        <w:tc>
          <w:tcPr>
            <w:tcW w:w="5000" w:type="pct"/>
            <w:gridSpan w:val="2"/>
            <w:tcBorders>
              <w:top w:val="single" w:sz="2" w:space="0" w:color="F2F2F2" w:themeColor="background1" w:themeShade="F2"/>
              <w:bottom w:val="single" w:sz="12" w:space="0" w:color="D9D9D9" w:themeColor="background1" w:themeShade="D9"/>
            </w:tcBorders>
            <w:shd w:val="clear" w:color="auto" w:fill="FFFFFF" w:themeFill="background1"/>
            <w:vAlign w:val="center"/>
          </w:tcPr>
          <w:p w:rsidR="00816875" w:rsidRPr="00816875" w:rsidRDefault="00B578E1" w:rsidP="0002706F">
            <w:pPr>
              <w:rPr>
                <w:rFonts w:asciiTheme="minorHAnsi" w:hAnsiTheme="minorHAnsi"/>
                <w:b/>
                <w:noProof/>
                <w:sz w:val="22"/>
                <w:szCs w:val="22"/>
              </w:rPr>
            </w:pPr>
            <w:r w:rsidRPr="00816875">
              <w:rPr>
                <w:rFonts w:asciiTheme="minorHAnsi" w:hAnsiTheme="minorHAnsi"/>
                <w:b/>
                <w:noProof/>
                <w:sz w:val="22"/>
                <w:szCs w:val="22"/>
              </w:rPr>
              <w:t>Preparation</w:t>
            </w:r>
          </w:p>
        </w:tc>
      </w:tr>
      <w:tr w:rsidR="0006032A" w:rsidTr="00E97D18">
        <w:trPr>
          <w:trHeight w:val="387"/>
        </w:trPr>
        <w:tc>
          <w:tcPr>
            <w:tcW w:w="5000" w:type="pct"/>
            <w:gridSpan w:val="2"/>
            <w:tcBorders>
              <w:top w:val="single" w:sz="12" w:space="0" w:color="D9D9D9" w:themeColor="background1" w:themeShade="D9"/>
              <w:bottom w:val="single" w:sz="12" w:space="0" w:color="D9D9D9" w:themeColor="background1" w:themeShade="D9"/>
            </w:tcBorders>
            <w:shd w:val="clear" w:color="auto" w:fill="FFFFFF" w:themeFill="background1"/>
            <w:vAlign w:val="center"/>
          </w:tcPr>
          <w:p w:rsidR="00816875" w:rsidRPr="00816875" w:rsidRDefault="00B578E1" w:rsidP="0002706F">
            <w:pPr>
              <w:rPr>
                <w:rFonts w:asciiTheme="minorHAnsi" w:hAnsiTheme="minorHAnsi"/>
                <w:b/>
                <w:sz w:val="22"/>
                <w:szCs w:val="22"/>
              </w:rPr>
            </w:pPr>
            <w:r w:rsidRPr="00816875">
              <w:rPr>
                <w:rFonts w:asciiTheme="minorHAnsi" w:hAnsiTheme="minorHAnsi"/>
                <w:b/>
                <w:sz w:val="22"/>
                <w:szCs w:val="22"/>
              </w:rPr>
              <w:t>Supervision/ICR</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eastAsiaTheme="minorHAnsi" w:hAnsiTheme="minorHAnsi" w:cstheme="minorBidi"/>
                <w:noProof/>
                <w:color w:val="auto"/>
                <w:sz w:val="22"/>
                <w:szCs w:val="22"/>
              </w:rPr>
              <w:t>Richard W. Pollard</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Task Team Leader(s)</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Lina Fathallah Rajoub</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Procurement Specialist(s)</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Riham Hussein</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Financial Management Specialist</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Helen Z. Shahriari</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Social Safeguards Specialist</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Fifi Z. Antar</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Team Member</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Zeyad Abu-Hassanein</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Environmental Safeguards Specialist</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Natalia Robalino</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Counsel</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szCs w:val="22"/>
              </w:rPr>
              <w:t>Khaled Mohamed Ben Brahim</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Team Member</w:t>
            </w:r>
          </w:p>
        </w:tc>
      </w:tr>
      <w:tr w:rsidR="0006032A" w:rsidTr="00E97D18">
        <w:trPr>
          <w:trHeight w:val="387"/>
        </w:trPr>
        <w:tc>
          <w:tcPr>
            <w:tcW w:w="2542"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1F0C86" w:rsidRDefault="00B578E1" w:rsidP="00C80363">
            <w:pPr>
              <w:rPr>
                <w:rFonts w:asciiTheme="minorHAnsi" w:hAnsiTheme="minorHAnsi"/>
                <w:sz w:val="22"/>
                <w:lang w:val="sv-SE"/>
              </w:rPr>
            </w:pPr>
            <w:r w:rsidRPr="001F0C86">
              <w:rPr>
                <w:rFonts w:asciiTheme="minorHAnsi" w:hAnsiTheme="minorHAnsi"/>
                <w:noProof/>
                <w:sz w:val="22"/>
                <w:szCs w:val="22"/>
                <w:lang w:val="sv-SE"/>
              </w:rPr>
              <w:t>Adnan Farouq Saad Aldin Ghosheh</w:t>
            </w:r>
          </w:p>
        </w:tc>
        <w:tc>
          <w:tcPr>
            <w:tcW w:w="2458" w:type="pct"/>
            <w:tcBorders>
              <w:top w:val="single" w:sz="12" w:space="0" w:color="D9D9D9" w:themeColor="background1" w:themeShade="D9"/>
              <w:bottom w:val="single" w:sz="2" w:space="0" w:color="F2F2F2" w:themeColor="background1" w:themeShade="F2"/>
            </w:tcBorders>
            <w:shd w:val="clear" w:color="auto" w:fill="FFFFFF" w:themeFill="background1"/>
          </w:tcPr>
          <w:p w:rsidR="00CC4FDE" w:rsidRPr="00643C70" w:rsidRDefault="00B578E1" w:rsidP="00C80363">
            <w:pPr>
              <w:rPr>
                <w:rFonts w:asciiTheme="minorHAnsi" w:hAnsiTheme="minorHAnsi"/>
                <w:sz w:val="22"/>
              </w:rPr>
            </w:pPr>
            <w:r>
              <w:rPr>
                <w:rFonts w:asciiTheme="minorHAnsi" w:hAnsiTheme="minorHAnsi"/>
                <w:noProof/>
                <w:sz w:val="22"/>
              </w:rPr>
              <w:t>Team Member</w:t>
            </w:r>
          </w:p>
        </w:tc>
      </w:tr>
    </w:tbl>
    <w:p w:rsidR="00E97D18" w:rsidRDefault="00B578E1" w:rsidP="00FB02CD">
      <w:pPr>
        <w:pStyle w:val="Normal3"/>
        <w:spacing w:after="0" w:line="14" w:lineRule="exact"/>
        <w:ind w:left="-691" w:right="-518"/>
      </w:pPr>
      <w:r>
        <w:rPr>
          <w:noProof/>
        </w:rPr>
        <mc:AlternateContent>
          <mc:Choice Requires="wps">
            <w:drawing>
              <wp:anchor distT="0" distB="0" distL="114300" distR="114300" simplePos="0" relativeHeight="251660288" behindDoc="0" locked="0" layoutInCell="1" allowOverlap="1">
                <wp:simplePos x="0" y="0"/>
                <wp:positionH relativeFrom="column">
                  <wp:posOffset>-952500</wp:posOffset>
                </wp:positionH>
                <wp:positionV relativeFrom="paragraph">
                  <wp:posOffset>561975</wp:posOffset>
                </wp:positionV>
                <wp:extent cx="7799705" cy="0"/>
                <wp:effectExtent l="0" t="0" r="10795" b="19050"/>
                <wp:wrapNone/>
                <wp:docPr id="227" name="Straight Connector 227"/>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7" o:spid="_x0000_s1031" style="mso-width-percent:0;mso-width-relative:margin;mso-wrap-distance-bottom:0;mso-wrap-distance-left:9pt;mso-wrap-distance-right:9pt;mso-wrap-distance-top:0;mso-wrap-style:square;position:absolute;visibility:visible;z-index:251661312" from="-75pt,44.25pt" to="539.15pt,44.25pt" strokecolor="gray">
                <v:stroke joinstyle="miter" dashstyle="dash" opacity="26214f"/>
              </v:line>
            </w:pict>
          </mc:Fallback>
        </mc:AlternateContent>
      </w:r>
    </w:p>
    <w:sdt>
      <w:sdtPr>
        <w:rPr>
          <w:rFonts w:asciiTheme="minorHAnsi" w:eastAsiaTheme="minorHAnsi" w:hAnsiTheme="minorHAnsi" w:cstheme="minorBidi"/>
          <w:color w:val="auto"/>
          <w:sz w:val="22"/>
          <w:szCs w:val="22"/>
        </w:rPr>
        <w:tag w:val="OPS_CORE_DATA_BLOCK"/>
        <w:id w:val="436103312"/>
        <w:lock w:val="sdtContentLocked"/>
        <w:placeholder>
          <w:docPart w:val="DefaultPlaceholder_22675703"/>
        </w:placeholder>
        <w:group/>
      </w:sdtPr>
      <w:sdtEndPr/>
      <w:sdtContent>
        <w:sdt>
          <w:sdtPr>
            <w:tag w:val="OPS_CORE_SECTION_START_12"/>
            <w:id w:val="1082363685"/>
            <w:lock w:val="sdtContentLocked"/>
            <w:placeholder>
              <w:docPart w:val="E481BF2110E44A16B624ABFEBAEC25A3"/>
            </w:placeholder>
          </w:sdtPr>
          <w:sdtEndPr/>
          <w:sdtContent>
            <w:p w:rsidR="00D4514A" w:rsidRDefault="00B578E1" w:rsidP="00E97D18">
              <w:r>
                <w:t xml:space="preserve"> </w:t>
              </w:r>
            </w:p>
          </w:sdtContent>
        </w:sdt>
        <w:p w:rsidR="00D4514A" w:rsidRDefault="00D4514A" w:rsidP="00222B3C">
          <w:pPr>
            <w:pStyle w:val="Normal75"/>
            <w:ind w:left="-634"/>
            <w:rPr>
              <w:rFonts w:ascii="Calibri" w:hAnsi="Calibri"/>
              <w:bCs/>
              <w:color w:val="auto"/>
              <w:sz w:val="22"/>
              <w:szCs w:val="22"/>
            </w:rPr>
          </w:pPr>
        </w:p>
        <w:tbl>
          <w:tblPr>
            <w:tblStyle w:val="TableGrid611"/>
            <w:tblW w:w="10710" w:type="dxa"/>
            <w:tblInd w:w="-660" w:type="dxa"/>
            <w:shd w:val="clear" w:color="auto" w:fill="F7F7F7"/>
            <w:tblLayout w:type="fixed"/>
            <w:tblLook w:val="04A0" w:firstRow="1" w:lastRow="0" w:firstColumn="1" w:lastColumn="0" w:noHBand="0" w:noVBand="1"/>
          </w:tblPr>
          <w:tblGrid>
            <w:gridCol w:w="10710"/>
          </w:tblGrid>
          <w:tr w:rsidR="0006032A" w:rsidTr="0002706F">
            <w:trPr>
              <w:trHeight w:val="354"/>
            </w:trPr>
            <w:tc>
              <w:tcPr>
                <w:tcW w:w="10710" w:type="dxa"/>
                <w:tcBorders>
                  <w:top w:val="nil"/>
                  <w:left w:val="single" w:sz="24" w:space="0" w:color="BFBFBF"/>
                  <w:bottom w:val="nil"/>
                  <w:right w:val="nil"/>
                </w:tcBorders>
                <w:shd w:val="clear" w:color="auto" w:fill="F2F2F2"/>
                <w:vAlign w:val="center"/>
                <w:hideMark/>
              </w:tcPr>
              <w:p w:rsidR="00643C70" w:rsidRPr="00643C70" w:rsidRDefault="00B578E1" w:rsidP="00643C70">
                <w:pPr>
                  <w:pStyle w:val="Normal75"/>
                  <w:widowControl/>
                  <w:numPr>
                    <w:ilvl w:val="0"/>
                    <w:numId w:val="3"/>
                  </w:numPr>
                  <w:autoSpaceDE/>
                  <w:autoSpaceDN/>
                  <w:adjustRightInd/>
                  <w:contextualSpacing/>
                  <w:rPr>
                    <w:rFonts w:ascii="Calibri" w:eastAsia="Calibri" w:hAnsi="Calibri" w:cs="Times New Roman"/>
                    <w:b/>
                    <w:color w:val="auto"/>
                    <w:sz w:val="22"/>
                    <w:szCs w:val="22"/>
                  </w:rPr>
                </w:pPr>
                <w:r w:rsidRPr="00606DB1">
                  <w:rPr>
                    <w:rFonts w:ascii="Calibri" w:hAnsi="Calibri"/>
                    <w:b/>
                    <w:sz w:val="22"/>
                  </w:rPr>
                  <w:t>STAFF TIME AND COST</w:t>
                </w:r>
              </w:p>
            </w:tc>
          </w:tr>
        </w:tbl>
        <w:tbl>
          <w:tblPr>
            <w:tblStyle w:val="TableGrid711"/>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06032A" w:rsidTr="00643C70">
            <w:trPr>
              <w:trHeight w:val="387"/>
            </w:trPr>
            <w:tc>
              <w:tcPr>
                <w:tcW w:w="2883" w:type="dxa"/>
                <w:tcBorders>
                  <w:top w:val="nil"/>
                  <w:bottom w:val="single" w:sz="12" w:space="0" w:color="D9D9D9"/>
                  <w:right w:val="nil"/>
                </w:tcBorders>
                <w:shd w:val="clear" w:color="auto" w:fill="F2F2F2"/>
                <w:vAlign w:val="center"/>
              </w:tcPr>
              <w:p w:rsidR="00643C70" w:rsidRDefault="00643C70" w:rsidP="0002706F">
                <w:pPr>
                  <w:pStyle w:val="Normal75"/>
                  <w:keepNext/>
                  <w:rPr>
                    <w:b/>
                    <w:bCs/>
                    <w:color w:val="7F7F7F"/>
                  </w:rPr>
                </w:pPr>
              </w:p>
            </w:tc>
            <w:tc>
              <w:tcPr>
                <w:tcW w:w="7827" w:type="dxa"/>
                <w:gridSpan w:val="2"/>
                <w:tcBorders>
                  <w:top w:val="nil"/>
                  <w:left w:val="nil"/>
                  <w:bottom w:val="single" w:sz="12" w:space="0" w:color="D9D9D9"/>
                </w:tcBorders>
                <w:shd w:val="clear" w:color="auto" w:fill="F2F2F2"/>
                <w:vAlign w:val="center"/>
              </w:tcPr>
              <w:p w:rsidR="00643C70" w:rsidRPr="00393FE2" w:rsidRDefault="00643C70" w:rsidP="0002706F">
                <w:pPr>
                  <w:pStyle w:val="Normal75"/>
                  <w:keepNext/>
                  <w:jc w:val="center"/>
                  <w:rPr>
                    <w:b/>
                    <w:bCs/>
                    <w:color w:val="7F7F7F"/>
                  </w:rPr>
                </w:pPr>
              </w:p>
            </w:tc>
          </w:tr>
          <w:tr w:rsidR="0006032A" w:rsidTr="00643C70">
            <w:trPr>
              <w:trHeight w:val="387"/>
            </w:trPr>
            <w:tc>
              <w:tcPr>
                <w:tcW w:w="2883" w:type="dxa"/>
                <w:vMerge w:val="restart"/>
                <w:tcBorders>
                  <w:top w:val="single" w:sz="12" w:space="0" w:color="D9D9D9"/>
                  <w:right w:val="single" w:sz="4" w:space="0" w:color="D0CECE"/>
                </w:tcBorders>
                <w:shd w:val="clear" w:color="auto" w:fill="F2F2F2"/>
                <w:vAlign w:val="center"/>
              </w:tcPr>
              <w:p w:rsidR="00643C70" w:rsidRPr="00643C70" w:rsidRDefault="00B578E1" w:rsidP="0002706F">
                <w:pPr>
                  <w:pStyle w:val="Normal75"/>
                  <w:keepNext/>
                  <w:rPr>
                    <w:rFonts w:ascii="Calibri" w:hAnsi="Calibri"/>
                    <w:b/>
                    <w:sz w:val="22"/>
                  </w:rPr>
                </w:pPr>
                <w:r w:rsidRPr="00643C70">
                  <w:rPr>
                    <w:rFonts w:ascii="Calibri" w:hAnsi="Calibri"/>
                    <w:b/>
                    <w:bCs/>
                    <w:color w:val="7F7F7F"/>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rsidR="00643C70" w:rsidRPr="00643C70" w:rsidRDefault="00B578E1" w:rsidP="00CB62E7">
                <w:pPr>
                  <w:pStyle w:val="Normal75"/>
                  <w:keepNext/>
                  <w:jc w:val="center"/>
                  <w:rPr>
                    <w:rFonts w:ascii="Calibri" w:hAnsi="Calibri"/>
                    <w:b/>
                    <w:sz w:val="22"/>
                  </w:rPr>
                </w:pPr>
                <w:r w:rsidRPr="00643C70">
                  <w:rPr>
                    <w:rFonts w:ascii="Calibri" w:hAnsi="Calibri"/>
                    <w:b/>
                    <w:bCs/>
                    <w:color w:val="7F7F7F"/>
                    <w:sz w:val="22"/>
                  </w:rPr>
                  <w:t>Staff Time and Cost</w:t>
                </w:r>
              </w:p>
            </w:tc>
          </w:tr>
          <w:tr w:rsidR="0006032A" w:rsidTr="00643C70">
            <w:trPr>
              <w:trHeight w:val="387"/>
            </w:trPr>
            <w:tc>
              <w:tcPr>
                <w:tcW w:w="2883" w:type="dxa"/>
                <w:vMerge/>
                <w:tcBorders>
                  <w:bottom w:val="single" w:sz="12" w:space="0" w:color="D9D9D9"/>
                  <w:right w:val="single" w:sz="4" w:space="0" w:color="D0CECE"/>
                </w:tcBorders>
                <w:shd w:val="clear" w:color="auto" w:fill="F2F2F2"/>
                <w:vAlign w:val="center"/>
              </w:tcPr>
              <w:p w:rsidR="00643C70" w:rsidRPr="00643C70" w:rsidRDefault="00643C70" w:rsidP="0002706F">
                <w:pPr>
                  <w:pStyle w:val="Normal75"/>
                  <w:keepNext/>
                  <w:rPr>
                    <w:rFonts w:ascii="Calibri" w:hAnsi="Calibri"/>
                    <w:b/>
                    <w:bCs/>
                    <w:color w:val="7F7F7F"/>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rsidR="00643C70" w:rsidRPr="00643C70" w:rsidRDefault="00B578E1" w:rsidP="0002706F">
                <w:pPr>
                  <w:pStyle w:val="Normal75"/>
                  <w:keepNext/>
                  <w:rPr>
                    <w:rFonts w:ascii="Calibri" w:hAnsi="Calibri"/>
                    <w:bCs/>
                    <w:color w:val="7F7F7F"/>
                    <w:sz w:val="22"/>
                  </w:rPr>
                </w:pPr>
                <w:r w:rsidRPr="00643C70">
                  <w:rPr>
                    <w:rFonts w:ascii="Calibri" w:hAnsi="Calibri"/>
                    <w:bCs/>
                    <w:color w:val="7F7F7F"/>
                    <w:sz w:val="22"/>
                  </w:rPr>
                  <w:t>No. of staff weeks</w:t>
                </w:r>
              </w:p>
            </w:tc>
            <w:tc>
              <w:tcPr>
                <w:tcW w:w="4673" w:type="dxa"/>
                <w:tcBorders>
                  <w:left w:val="single" w:sz="4" w:space="0" w:color="D0CECE"/>
                  <w:bottom w:val="single" w:sz="12" w:space="0" w:color="D9D9D9"/>
                </w:tcBorders>
                <w:shd w:val="clear" w:color="auto" w:fill="F2F2F2"/>
                <w:vAlign w:val="center"/>
              </w:tcPr>
              <w:p w:rsidR="00643C70" w:rsidRPr="00643C70" w:rsidRDefault="00B578E1" w:rsidP="00F34C7E">
                <w:pPr>
                  <w:pStyle w:val="Normal75"/>
                  <w:keepNext/>
                  <w:jc w:val="right"/>
                  <w:rPr>
                    <w:rFonts w:ascii="Calibri" w:hAnsi="Calibri"/>
                    <w:bCs/>
                    <w:color w:val="7F7F7F"/>
                    <w:sz w:val="22"/>
                  </w:rPr>
                </w:pPr>
                <w:r w:rsidRPr="00384B29">
                  <w:rPr>
                    <w:rFonts w:ascii="Calibri" w:hAnsi="Calibri"/>
                    <w:bCs/>
                    <w:color w:val="7F7F7F"/>
                    <w:sz w:val="22"/>
                  </w:rPr>
                  <w:t xml:space="preserve">US$ </w:t>
                </w:r>
                <w:r w:rsidRPr="00643C70">
                  <w:rPr>
                    <w:rFonts w:ascii="Calibri" w:hAnsi="Calibri"/>
                    <w:bCs/>
                    <w:color w:val="7F7F7F"/>
                    <w:sz w:val="22"/>
                  </w:rPr>
                  <w:t>(including travel and consultant costs)</w:t>
                </w:r>
              </w:p>
            </w:tc>
          </w:tr>
          <w:tr w:rsidR="0006032A" w:rsidTr="00643C70">
            <w:trPr>
              <w:trHeight w:val="387"/>
            </w:trPr>
            <w:tc>
              <w:tcPr>
                <w:tcW w:w="10710" w:type="dxa"/>
                <w:gridSpan w:val="3"/>
                <w:tcBorders>
                  <w:top w:val="single" w:sz="12" w:space="0" w:color="D9D9D9"/>
                  <w:bottom w:val="single" w:sz="4" w:space="0" w:color="D9D9D9"/>
                </w:tcBorders>
                <w:shd w:val="clear" w:color="auto" w:fill="F2F2F2"/>
                <w:vAlign w:val="center"/>
              </w:tcPr>
              <w:p w:rsidR="00643C70" w:rsidRPr="00643C70" w:rsidRDefault="00B578E1" w:rsidP="0002706F">
                <w:pPr>
                  <w:pStyle w:val="Normal75"/>
                  <w:rPr>
                    <w:rFonts w:ascii="Calibri" w:hAnsi="Calibri"/>
                    <w:sz w:val="22"/>
                  </w:rPr>
                </w:pPr>
                <w:r w:rsidRPr="00643C70">
                  <w:rPr>
                    <w:rFonts w:ascii="Calibri" w:hAnsi="Calibri"/>
                    <w:b/>
                    <w:sz w:val="22"/>
                  </w:rPr>
                  <w:t>Preparation</w:t>
                </w:r>
              </w:p>
            </w:tc>
          </w:tr>
          <w:tr w:rsidR="0006032A" w:rsidTr="00643C70">
            <w:trPr>
              <w:trHeight w:val="387"/>
            </w:trPr>
            <w:tc>
              <w:tcPr>
                <w:tcW w:w="2883" w:type="dxa"/>
                <w:tcBorders>
                  <w:top w:val="single" w:sz="4" w:space="0" w:color="D9D9D9"/>
                  <w:left w:val="nil"/>
                  <w:bottom w:val="single" w:sz="4" w:space="0" w:color="D9D9D9"/>
                  <w:right w:val="single" w:sz="4" w:space="0" w:color="D9D9D9"/>
                </w:tcBorders>
                <w:shd w:val="clear" w:color="auto" w:fill="F2F2F2"/>
                <w:vAlign w:val="center"/>
              </w:tcPr>
              <w:p w:rsidR="00643C70" w:rsidRPr="00643C70" w:rsidRDefault="00332434" w:rsidP="00332434">
                <w:pPr>
                  <w:pStyle w:val="Normal75"/>
                  <w:rPr>
                    <w:rFonts w:ascii="Calibri" w:hAnsi="Calibri"/>
                    <w:sz w:val="22"/>
                  </w:rPr>
                </w:pPr>
                <w:r>
                  <w:rPr>
                    <w:rFonts w:ascii="Calibri" w:hAnsi="Calibri"/>
                    <w:noProof/>
                    <w:sz w:val="22"/>
                    <w:szCs w:val="22"/>
                  </w:rPr>
                  <w:t>FY10</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643C70" w:rsidRPr="00643C70" w:rsidRDefault="00B578E1" w:rsidP="0002706F">
                <w:pPr>
                  <w:pStyle w:val="Normal75"/>
                  <w:rPr>
                    <w:rFonts w:ascii="Calibri" w:hAnsi="Calibri"/>
                    <w:sz w:val="22"/>
                  </w:rPr>
                </w:pPr>
                <w:r>
                  <w:rPr>
                    <w:rFonts w:ascii="Calibri" w:hAnsi="Calibri"/>
                    <w:noProof/>
                    <w:sz w:val="22"/>
                  </w:rPr>
                  <w:t>11.254</w:t>
                </w:r>
              </w:p>
            </w:tc>
            <w:tc>
              <w:tcPr>
                <w:tcW w:w="4673" w:type="dxa"/>
                <w:tcBorders>
                  <w:top w:val="single" w:sz="4" w:space="0" w:color="D9D9D9"/>
                  <w:left w:val="single" w:sz="4" w:space="0" w:color="D9D9D9"/>
                  <w:bottom w:val="single" w:sz="4" w:space="0" w:color="D9D9D9"/>
                  <w:right w:val="nil"/>
                </w:tcBorders>
                <w:shd w:val="clear" w:color="auto" w:fill="F2F2F2"/>
                <w:vAlign w:val="center"/>
              </w:tcPr>
              <w:p w:rsidR="00643C70" w:rsidRPr="00643C70" w:rsidRDefault="00B578E1" w:rsidP="00A36C3B">
                <w:pPr>
                  <w:pStyle w:val="Normal75"/>
                  <w:jc w:val="right"/>
                  <w:rPr>
                    <w:rFonts w:ascii="Calibri" w:hAnsi="Calibri"/>
                    <w:sz w:val="22"/>
                  </w:rPr>
                </w:pPr>
                <w:r>
                  <w:rPr>
                    <w:rFonts w:ascii="Calibri" w:hAnsi="Calibri"/>
                    <w:noProof/>
                    <w:sz w:val="22"/>
                    <w:szCs w:val="22"/>
                  </w:rPr>
                  <w:t>76,780.11</w:t>
                </w:r>
              </w:p>
            </w:tc>
          </w:tr>
          <w:tr w:rsidR="0006032A" w:rsidTr="00643C70">
            <w:trPr>
              <w:trHeight w:val="387"/>
            </w:trPr>
            <w:tc>
              <w:tcPr>
                <w:tcW w:w="2883" w:type="dxa"/>
                <w:tcBorders>
                  <w:top w:val="single" w:sz="4" w:space="0" w:color="D9D9D9"/>
                  <w:left w:val="nil"/>
                  <w:bottom w:val="single" w:sz="4" w:space="0" w:color="D9D9D9"/>
                  <w:right w:val="single" w:sz="4" w:space="0" w:color="D9D9D9"/>
                </w:tcBorders>
                <w:shd w:val="clear" w:color="auto" w:fill="F2F2F2"/>
                <w:vAlign w:val="center"/>
              </w:tcPr>
              <w:p w:rsidR="00643C70" w:rsidRPr="00643C70" w:rsidRDefault="00332434" w:rsidP="00332434">
                <w:pPr>
                  <w:pStyle w:val="Normal75"/>
                  <w:rPr>
                    <w:rFonts w:ascii="Calibri" w:hAnsi="Calibri"/>
                    <w:sz w:val="22"/>
                  </w:rPr>
                </w:pPr>
                <w:r>
                  <w:rPr>
                    <w:rFonts w:ascii="Calibri" w:hAnsi="Calibri"/>
                    <w:noProof/>
                    <w:sz w:val="22"/>
                    <w:szCs w:val="22"/>
                  </w:rPr>
                  <w:t>FY11</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643C70" w:rsidRPr="00643C70" w:rsidRDefault="00B578E1" w:rsidP="0002706F">
                <w:pPr>
                  <w:pStyle w:val="Normal75"/>
                  <w:rPr>
                    <w:rFonts w:ascii="Calibri" w:hAnsi="Calibri"/>
                    <w:sz w:val="22"/>
                  </w:rPr>
                </w:pPr>
                <w:r>
                  <w:rPr>
                    <w:rFonts w:ascii="Calibri" w:hAnsi="Calibri"/>
                    <w:noProof/>
                    <w:sz w:val="22"/>
                  </w:rPr>
                  <w:t>18.567</w:t>
                </w:r>
              </w:p>
            </w:tc>
            <w:tc>
              <w:tcPr>
                <w:tcW w:w="4673" w:type="dxa"/>
                <w:tcBorders>
                  <w:top w:val="single" w:sz="4" w:space="0" w:color="D9D9D9"/>
                  <w:left w:val="single" w:sz="4" w:space="0" w:color="D9D9D9"/>
                  <w:bottom w:val="single" w:sz="4" w:space="0" w:color="D9D9D9"/>
                  <w:right w:val="nil"/>
                </w:tcBorders>
                <w:shd w:val="clear" w:color="auto" w:fill="F2F2F2"/>
                <w:vAlign w:val="center"/>
              </w:tcPr>
              <w:p w:rsidR="00643C70" w:rsidRPr="00643C70" w:rsidRDefault="00B578E1" w:rsidP="00A36C3B">
                <w:pPr>
                  <w:pStyle w:val="Normal75"/>
                  <w:jc w:val="right"/>
                  <w:rPr>
                    <w:rFonts w:ascii="Calibri" w:hAnsi="Calibri"/>
                    <w:sz w:val="22"/>
                  </w:rPr>
                </w:pPr>
                <w:r>
                  <w:rPr>
                    <w:rFonts w:ascii="Calibri" w:hAnsi="Calibri"/>
                    <w:noProof/>
                    <w:sz w:val="22"/>
                    <w:szCs w:val="22"/>
                  </w:rPr>
                  <w:t>95,306.26</w:t>
                </w:r>
              </w:p>
            </w:tc>
          </w:tr>
          <w:tr w:rsidR="0006032A" w:rsidTr="00643C70">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FC05AE" w:rsidRPr="00643C70" w:rsidRDefault="00B578E1" w:rsidP="00FC05AE">
                <w:pPr>
                  <w:pStyle w:val="Normal75"/>
                  <w:rPr>
                    <w:rFonts w:ascii="Calibri" w:hAnsi="Calibri"/>
                    <w:b/>
                    <w:sz w:val="22"/>
                  </w:rPr>
                </w:pPr>
                <w:r w:rsidRPr="00643C70">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FC05AE" w:rsidRPr="00643C70" w:rsidRDefault="00B578E1" w:rsidP="00576F2C">
                <w:pPr>
                  <w:pStyle w:val="Normal75"/>
                  <w:ind w:left="-21"/>
                  <w:rPr>
                    <w:rFonts w:ascii="Calibri" w:hAnsi="Calibri"/>
                    <w:sz w:val="22"/>
                  </w:rPr>
                </w:pPr>
                <w:r>
                  <w:rPr>
                    <w:rFonts w:ascii="Calibri" w:hAnsi="Calibri"/>
                    <w:b/>
                    <w:sz w:val="22"/>
                    <w:szCs w:val="22"/>
                  </w:rPr>
                  <w:fldChar w:fldCharType="begin"/>
                </w:r>
                <w:r>
                  <w:rPr>
                    <w:rFonts w:ascii="Calibri" w:hAnsi="Calibri"/>
                    <w:b/>
                    <w:sz w:val="22"/>
                    <w:szCs w:val="22"/>
                  </w:rPr>
                  <w:instrText xml:space="preserve"> =SUM(ABOVE) \# “0.00” </w:instrText>
                </w:r>
                <w:r>
                  <w:rPr>
                    <w:rFonts w:ascii="Calibri" w:hAnsi="Calibri"/>
                    <w:b/>
                    <w:sz w:val="22"/>
                    <w:szCs w:val="22"/>
                  </w:rPr>
                  <w:fldChar w:fldCharType="separate"/>
                </w:r>
                <w:r>
                  <w:rPr>
                    <w:rFonts w:ascii="Calibri" w:hAnsi="Calibri"/>
                    <w:b/>
                    <w:sz w:val="22"/>
                    <w:szCs w:val="22"/>
                  </w:rPr>
                  <w:t>29.82</w:t>
                </w:r>
                <w:r>
                  <w:rPr>
                    <w:rFonts w:ascii="Calibri" w:hAnsi="Calibr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FC05AE" w:rsidRPr="00643C70" w:rsidRDefault="00B578E1" w:rsidP="00E27873">
                <w:pPr>
                  <w:pStyle w:val="Normal75"/>
                  <w:ind w:left="-205"/>
                  <w:jc w:val="right"/>
                  <w:rPr>
                    <w:rFonts w:ascii="Calibri" w:hAnsi="Calibri"/>
                    <w:sz w:val="22"/>
                  </w:rPr>
                </w:pPr>
                <w:r>
                  <w:rPr>
                    <w:rFonts w:ascii="Calibri" w:hAnsi="Calibri"/>
                    <w:b/>
                    <w:sz w:val="22"/>
                    <w:szCs w:val="22"/>
                  </w:rPr>
                  <w:fldChar w:fldCharType="begin"/>
                </w:r>
                <w:r>
                  <w:rPr>
                    <w:rFonts w:ascii="Calibri" w:hAnsi="Calibri"/>
                    <w:b/>
                    <w:sz w:val="22"/>
                    <w:szCs w:val="22"/>
                  </w:rPr>
                  <w:instrText xml:space="preserve"> =SUM(ABOVE) \# “#,##0.00” </w:instrText>
                </w:r>
                <w:r>
                  <w:rPr>
                    <w:rFonts w:ascii="Calibri" w:hAnsi="Calibri"/>
                    <w:b/>
                    <w:sz w:val="22"/>
                    <w:szCs w:val="22"/>
                  </w:rPr>
                  <w:fldChar w:fldCharType="separate"/>
                </w:r>
                <w:r>
                  <w:rPr>
                    <w:rFonts w:ascii="Calibri" w:hAnsi="Calibri"/>
                    <w:b/>
                    <w:sz w:val="22"/>
                    <w:szCs w:val="22"/>
                  </w:rPr>
                  <w:t>172,086.37</w:t>
                </w:r>
                <w:r>
                  <w:rPr>
                    <w:rFonts w:ascii="Calibri" w:hAnsi="Calibri"/>
                    <w:b/>
                    <w:sz w:val="22"/>
                    <w:szCs w:val="22"/>
                  </w:rPr>
                  <w:fldChar w:fldCharType="end"/>
                </w:r>
              </w:p>
            </w:tc>
          </w:tr>
        </w:tbl>
        <w:p w:rsidR="00643C70" w:rsidRDefault="00643C70" w:rsidP="00510DC4">
          <w:pPr>
            <w:pStyle w:val="Normal75"/>
            <w:spacing w:line="14" w:lineRule="exact"/>
            <w:ind w:left="-634"/>
            <w:rPr>
              <w:rFonts w:ascii="Calibri" w:hAnsi="Calibri"/>
              <w:bCs/>
              <w:color w:val="auto"/>
              <w:sz w:val="22"/>
              <w:szCs w:val="22"/>
            </w:rPr>
          </w:pPr>
        </w:p>
        <w:tbl>
          <w:tblPr>
            <w:tblStyle w:val="TableGrid711"/>
            <w:tblW w:w="10710" w:type="dxa"/>
            <w:tblInd w:w="-630" w:type="dxa"/>
            <w:tblBorders>
              <w:top w:val="nil"/>
              <w:left w:val="nil"/>
              <w:bottom w:val="nil"/>
              <w:right w:val="nil"/>
              <w:insideH w:val="nil"/>
              <w:insideV w:val="nil"/>
            </w:tblBorders>
            <w:shd w:val="clear" w:color="auto" w:fill="F2F2F2"/>
            <w:tblLayout w:type="fixed"/>
            <w:tblLook w:val="04A0" w:firstRow="1" w:lastRow="0" w:firstColumn="1" w:lastColumn="0" w:noHBand="0" w:noVBand="1"/>
          </w:tblPr>
          <w:tblGrid>
            <w:gridCol w:w="2883"/>
            <w:gridCol w:w="3154"/>
            <w:gridCol w:w="4673"/>
          </w:tblGrid>
          <w:tr w:rsidR="0006032A" w:rsidTr="00510DC4">
            <w:trPr>
              <w:trHeight w:val="387"/>
            </w:trPr>
            <w:tc>
              <w:tcPr>
                <w:tcW w:w="10710" w:type="dxa"/>
                <w:gridSpan w:val="3"/>
                <w:tcBorders>
                  <w:top w:val="nil"/>
                  <w:bottom w:val="single" w:sz="4" w:space="0" w:color="D9D9D9"/>
                </w:tcBorders>
                <w:shd w:val="clear" w:color="auto" w:fill="F2F2F2"/>
                <w:vAlign w:val="center"/>
              </w:tcPr>
              <w:p w:rsidR="00510DC4" w:rsidRPr="00643C70" w:rsidRDefault="00B578E1" w:rsidP="0002706F">
                <w:pPr>
                  <w:pStyle w:val="Normal75"/>
                  <w:rPr>
                    <w:rFonts w:ascii="Calibri" w:hAnsi="Calibri"/>
                    <w:b/>
                    <w:sz w:val="22"/>
                  </w:rPr>
                </w:pPr>
                <w:r w:rsidRPr="00643C70">
                  <w:rPr>
                    <w:rFonts w:ascii="Calibri" w:hAnsi="Calibri"/>
                    <w:b/>
                    <w:sz w:val="22"/>
                  </w:rPr>
                  <w:t>Supervision/ICR</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lastRenderedPageBreak/>
                  <w:t>FY12</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21.371</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82,778.46</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FY13</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19.835</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67,257.83</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FY14</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16.850</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63,809.28</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FY15</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10.285</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43,454.59</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FY16</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14.375</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81,430.31</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FY17</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28.539</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234,995.34</w:t>
                </w:r>
              </w:p>
            </w:tc>
          </w:tr>
          <w:tr w:rsidR="0006032A" w:rsidTr="0002706F">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510DC4" w:rsidRPr="00643C70" w:rsidRDefault="00332434" w:rsidP="00332434">
                <w:pPr>
                  <w:pStyle w:val="Normal75"/>
                  <w:rPr>
                    <w:rFonts w:ascii="Calibri" w:hAnsi="Calibri"/>
                    <w:sz w:val="22"/>
                  </w:rPr>
                </w:pPr>
                <w:r>
                  <w:rPr>
                    <w:rFonts w:ascii="Calibri" w:hAnsi="Calibri"/>
                    <w:noProof/>
                    <w:sz w:val="22"/>
                    <w:szCs w:val="22"/>
                  </w:rPr>
                  <w:t>FY18</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510DC4" w:rsidRPr="00643C70" w:rsidRDefault="00B578E1" w:rsidP="0002706F">
                <w:pPr>
                  <w:pStyle w:val="Normal75"/>
                  <w:rPr>
                    <w:rFonts w:ascii="Calibri" w:hAnsi="Calibri"/>
                    <w:sz w:val="22"/>
                  </w:rPr>
                </w:pPr>
                <w:r>
                  <w:rPr>
                    <w:rFonts w:ascii="Calibri" w:hAnsi="Calibri"/>
                    <w:noProof/>
                    <w:sz w:val="22"/>
                  </w:rPr>
                  <w:t>15.103</w:t>
                </w:r>
              </w:p>
            </w:tc>
            <w:tc>
              <w:tcPr>
                <w:tcW w:w="4673" w:type="dxa"/>
                <w:tcBorders>
                  <w:top w:val="single" w:sz="4" w:space="0" w:color="D9D9D9"/>
                  <w:left w:val="single" w:sz="4" w:space="0" w:color="D9D9D9"/>
                  <w:bottom w:val="single" w:sz="4" w:space="0" w:color="D9D9D9"/>
                </w:tcBorders>
                <w:shd w:val="clear" w:color="auto" w:fill="F2F2F2"/>
                <w:vAlign w:val="center"/>
              </w:tcPr>
              <w:p w:rsidR="00510DC4" w:rsidRPr="00643C70" w:rsidRDefault="00B578E1" w:rsidP="0002706F">
                <w:pPr>
                  <w:pStyle w:val="Normal75"/>
                  <w:jc w:val="right"/>
                  <w:rPr>
                    <w:rFonts w:ascii="Calibri" w:hAnsi="Calibri"/>
                    <w:sz w:val="22"/>
                  </w:rPr>
                </w:pPr>
                <w:r w:rsidRPr="00C83F00">
                  <w:rPr>
                    <w:rFonts w:ascii="Calibri" w:hAnsi="Calibri"/>
                    <w:noProof/>
                    <w:sz w:val="22"/>
                    <w:szCs w:val="22"/>
                  </w:rPr>
                  <w:t>106,379.97</w:t>
                </w:r>
              </w:p>
            </w:tc>
          </w:tr>
          <w:tr w:rsidR="0006032A" w:rsidTr="0002706F">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FC05AE" w:rsidRPr="00643C70" w:rsidRDefault="00B578E1" w:rsidP="00FC05AE">
                <w:pPr>
                  <w:pStyle w:val="Normal75"/>
                  <w:rPr>
                    <w:rFonts w:ascii="Calibri" w:hAnsi="Calibri"/>
                    <w:b/>
                    <w:sz w:val="22"/>
                  </w:rPr>
                </w:pPr>
                <w:r w:rsidRPr="00643C70">
                  <w:rPr>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FC05AE" w:rsidRPr="00643C70" w:rsidRDefault="00B578E1" w:rsidP="00576F2C">
                <w:pPr>
                  <w:pStyle w:val="Normal75"/>
                  <w:ind w:left="-21"/>
                  <w:rPr>
                    <w:rFonts w:ascii="Calibri" w:hAnsi="Calibri"/>
                    <w:sz w:val="22"/>
                  </w:rPr>
                </w:pPr>
                <w:r>
                  <w:rPr>
                    <w:rFonts w:ascii="Calibri" w:hAnsi="Calibri"/>
                    <w:b/>
                    <w:sz w:val="22"/>
                    <w:szCs w:val="22"/>
                  </w:rPr>
                  <w:fldChar w:fldCharType="begin"/>
                </w:r>
                <w:r>
                  <w:rPr>
                    <w:rFonts w:ascii="Calibri" w:hAnsi="Calibri"/>
                    <w:b/>
                    <w:sz w:val="22"/>
                    <w:szCs w:val="22"/>
                  </w:rPr>
                  <w:instrText xml:space="preserve"> =SUM(ABOVE) \# “0.00” </w:instrText>
                </w:r>
                <w:r>
                  <w:rPr>
                    <w:rFonts w:ascii="Calibri" w:hAnsi="Calibri"/>
                    <w:b/>
                    <w:sz w:val="22"/>
                    <w:szCs w:val="22"/>
                  </w:rPr>
                  <w:fldChar w:fldCharType="separate"/>
                </w:r>
                <w:r>
                  <w:rPr>
                    <w:rFonts w:ascii="Calibri" w:hAnsi="Calibri"/>
                    <w:b/>
                    <w:sz w:val="22"/>
                    <w:szCs w:val="22"/>
                  </w:rPr>
                  <w:t>126.36</w:t>
                </w:r>
                <w:r>
                  <w:rPr>
                    <w:rFonts w:ascii="Calibri" w:hAnsi="Calibr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FC05AE" w:rsidRPr="00643C70" w:rsidRDefault="00B578E1" w:rsidP="00E27873">
                <w:pPr>
                  <w:pStyle w:val="Normal75"/>
                  <w:ind w:left="-205"/>
                  <w:jc w:val="right"/>
                  <w:rPr>
                    <w:rFonts w:ascii="Calibri" w:hAnsi="Calibri"/>
                    <w:sz w:val="22"/>
                  </w:rPr>
                </w:pPr>
                <w:r>
                  <w:rPr>
                    <w:rFonts w:ascii="Calibri" w:hAnsi="Calibri"/>
                    <w:b/>
                    <w:sz w:val="22"/>
                    <w:szCs w:val="22"/>
                  </w:rPr>
                  <w:fldChar w:fldCharType="begin"/>
                </w:r>
                <w:r>
                  <w:rPr>
                    <w:rFonts w:ascii="Calibri" w:hAnsi="Calibri"/>
                    <w:b/>
                    <w:sz w:val="22"/>
                    <w:szCs w:val="22"/>
                  </w:rPr>
                  <w:instrText xml:space="preserve"> =SUM(ABOVE) \# “#,##0.00” </w:instrText>
                </w:r>
                <w:r>
                  <w:rPr>
                    <w:rFonts w:ascii="Calibri" w:hAnsi="Calibri"/>
                    <w:b/>
                    <w:sz w:val="22"/>
                    <w:szCs w:val="22"/>
                  </w:rPr>
                  <w:fldChar w:fldCharType="separate"/>
                </w:r>
                <w:r>
                  <w:rPr>
                    <w:rFonts w:ascii="Calibri" w:hAnsi="Calibri"/>
                    <w:b/>
                    <w:sz w:val="22"/>
                    <w:szCs w:val="22"/>
                  </w:rPr>
                  <w:t>680,105.78</w:t>
                </w:r>
                <w:r>
                  <w:rPr>
                    <w:rFonts w:ascii="Calibri" w:hAnsi="Calibri"/>
                    <w:b/>
                    <w:sz w:val="22"/>
                    <w:szCs w:val="22"/>
                  </w:rPr>
                  <w:fldChar w:fldCharType="end"/>
                </w:r>
              </w:p>
            </w:tc>
          </w:tr>
        </w:tbl>
        <w:sdt>
          <w:sdtPr>
            <w:tag w:val="OPS_CORE_SECTION_END_12"/>
            <w:id w:val="1027849491"/>
            <w:lock w:val="sdtContentLocked"/>
            <w:placeholder>
              <w:docPart w:val="D26C7ACB08264F4CBEFE99B107484CEE"/>
            </w:placeholder>
          </w:sdtPr>
          <w:sdtEndPr/>
          <w:sdtContent>
            <w:p w:rsidR="00D4514A" w:rsidRDefault="00B578E1" w:rsidP="00FB02CD">
              <w:pPr>
                <w:pStyle w:val="Normal3"/>
                <w:widowControl w:val="0"/>
                <w:spacing w:after="0" w:line="14" w:lineRule="exact"/>
                <w:ind w:left="-907"/>
              </w:pPr>
              <w:r>
                <w:t xml:space="preserve"> </w:t>
              </w:r>
            </w:p>
          </w:sdtContent>
        </w:sdt>
      </w:sdtContent>
    </w:sdt>
    <w:p w:rsidR="00D4514A" w:rsidRDefault="00D4514A" w:rsidP="00FB02CD">
      <w:pPr>
        <w:pStyle w:val="Normal3"/>
        <w:widowControl w:val="0"/>
        <w:spacing w:after="0" w:line="14" w:lineRule="exact"/>
        <w:ind w:left="-907"/>
      </w:pPr>
    </w:p>
    <w:p w:rsidR="00D4514A" w:rsidRDefault="00D4514A" w:rsidP="00FB02CD">
      <w:pPr>
        <w:pStyle w:val="Normal3"/>
        <w:widowControl w:val="0"/>
        <w:spacing w:after="0" w:line="14" w:lineRule="exact"/>
        <w:ind w:left="-907"/>
        <w:sectPr w:rsidR="00D4514A" w:rsidSect="00BF4A1F">
          <w:headerReference w:type="default" r:id="rId20"/>
          <w:type w:val="continuous"/>
          <w:pgSz w:w="12240" w:h="15840"/>
          <w:pgMar w:top="1440" w:right="1440" w:bottom="1440" w:left="1440" w:header="720" w:footer="720" w:gutter="0"/>
          <w:cols w:space="720"/>
          <w:docGrid w:linePitch="360"/>
        </w:sectPr>
      </w:pPr>
    </w:p>
    <w:p w:rsidR="00E97D18" w:rsidRDefault="00B578E1">
      <w:pPr>
        <w:rPr>
          <w:rFonts w:asciiTheme="minorHAnsi" w:eastAsiaTheme="minorHAnsi" w:hAnsiTheme="minorHAnsi" w:cstheme="minorBidi"/>
          <w:color w:val="auto"/>
          <w:sz w:val="22"/>
          <w:szCs w:val="22"/>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06032A" w:rsidTr="00E97D18">
        <w:trPr>
          <w:trHeight w:val="432"/>
        </w:trPr>
        <w:tc>
          <w:tcPr>
            <w:tcW w:w="5000" w:type="pct"/>
            <w:shd w:val="clear" w:color="auto" w:fill="F2F7FC"/>
            <w:vAlign w:val="center"/>
          </w:tcPr>
          <w:bookmarkStart w:id="138" w:name="_Toc516132512"/>
          <w:p w:rsidR="003615CB" w:rsidRPr="00AF152D" w:rsidRDefault="00B578E1" w:rsidP="003615CB">
            <w:pPr>
              <w:pStyle w:val="NoSpacing"/>
              <w:jc w:val="center"/>
              <w:outlineLvl w:val="0"/>
              <w:rPr>
                <w:rFonts w:asciiTheme="minorHAnsi" w:hAnsiTheme="minorHAnsi"/>
                <w:b/>
                <w:color w:val="000000" w:themeColor="text1"/>
                <w:szCs w:val="22"/>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233" name="Straight Connector 233"/>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3" o:spid="_x0000_s1032" style="mso-width-percent:0;mso-width-relative:margin;mso-wrap-distance-bottom:0;mso-wrap-distance-left:9pt;mso-wrap-distance-right:9pt;mso-wrap-distance-top:0;mso-wrap-style:square;position:absolute;visibility:visible;z-index:251663360" from="-73.9pt,13.4pt" to="540.3pt,13.4pt" strokecolor="gray">
                      <v:stroke joinstyle="miter" dashstyle="dash" opacity="26214f"/>
                    </v:line>
                  </w:pict>
                </mc:Fallback>
              </mc:AlternateContent>
            </w:r>
            <w:r>
              <w:rPr>
                <w:rFonts w:asciiTheme="minorHAnsi" w:hAnsiTheme="minorHAnsi"/>
                <w:b/>
                <w:bCs/>
                <w:color w:val="7F7F7F" w:themeColor="text1" w:themeTint="80"/>
                <w:sz w:val="22"/>
                <w:szCs w:val="22"/>
              </w:rPr>
              <w:br w:type="page"/>
            </w:r>
            <w:bookmarkStart w:id="139" w:name="_Toc256000033"/>
            <w:bookmarkStart w:id="140" w:name="_Toc485984587"/>
            <w:bookmarkStart w:id="141" w:name="_Toc510969720"/>
            <w:r w:rsidRPr="00AF152D">
              <w:rPr>
                <w:rFonts w:asciiTheme="minorHAnsi" w:hAnsiTheme="minorHAnsi"/>
                <w:b/>
                <w:color w:val="000000" w:themeColor="text1"/>
                <w:szCs w:val="22"/>
              </w:rPr>
              <w:t>ANNEX 3. PROJECT COST</w:t>
            </w:r>
            <w:r w:rsidR="00537147" w:rsidRPr="00AF152D">
              <w:t xml:space="preserve"> </w:t>
            </w:r>
            <w:r w:rsidR="00537147" w:rsidRPr="00AF152D">
              <w:rPr>
                <w:rFonts w:asciiTheme="minorHAnsi" w:hAnsiTheme="minorHAnsi"/>
                <w:b/>
                <w:color w:val="000000" w:themeColor="text1"/>
                <w:szCs w:val="22"/>
              </w:rPr>
              <w:t>BY COMPONENT</w:t>
            </w:r>
            <w:bookmarkEnd w:id="138"/>
            <w:bookmarkEnd w:id="139"/>
            <w:bookmarkEnd w:id="140"/>
            <w:bookmarkEnd w:id="141"/>
            <w:r w:rsidR="00537147" w:rsidRPr="00AF152D">
              <w:rPr>
                <w:rFonts w:asciiTheme="minorHAnsi" w:hAnsiTheme="minorHAnsi"/>
                <w:b/>
                <w:color w:val="000000" w:themeColor="text1"/>
                <w:szCs w:val="22"/>
              </w:rPr>
              <w:t xml:space="preserve"> </w:t>
            </w:r>
          </w:p>
        </w:tc>
      </w:tr>
    </w:tbl>
    <w:tbl>
      <w:tblPr>
        <w:tblStyle w:val="TableGrid8"/>
        <w:tblW w:w="5000" w:type="pct"/>
        <w:shd w:val="clear" w:color="auto" w:fill="FFFFFF" w:themeFill="background1"/>
        <w:tblLook w:val="04A0" w:firstRow="1" w:lastRow="0" w:firstColumn="1" w:lastColumn="0" w:noHBand="0" w:noVBand="1"/>
      </w:tblPr>
      <w:tblGrid>
        <w:gridCol w:w="1896"/>
        <w:gridCol w:w="2100"/>
        <w:gridCol w:w="1701"/>
        <w:gridCol w:w="1704"/>
        <w:gridCol w:w="1949"/>
      </w:tblGrid>
      <w:tr w:rsidR="0006032A" w:rsidTr="000A06D1">
        <w:trPr>
          <w:trHeight w:val="429"/>
        </w:trPr>
        <w:tc>
          <w:tcPr>
            <w:tcW w:w="1119" w:type="pct"/>
            <w:shd w:val="clear" w:color="auto" w:fill="FFFFFF" w:themeFill="background1"/>
            <w:vAlign w:val="center"/>
          </w:tcPr>
          <w:p w:rsidR="000A06D1" w:rsidRPr="00FA0A03" w:rsidRDefault="00B578E1" w:rsidP="000A06D1">
            <w:pPr>
              <w:keepNext/>
              <w:jc w:val="center"/>
              <w:rPr>
                <w:rFonts w:asciiTheme="minorHAnsi" w:hAnsiTheme="minorHAnsi"/>
                <w:b/>
                <w:bCs/>
                <w:color w:val="7F7F7F" w:themeColor="text1" w:themeTint="80"/>
                <w:sz w:val="20"/>
              </w:rPr>
            </w:pPr>
            <w:r w:rsidRPr="00FA0A03">
              <w:rPr>
                <w:rFonts w:asciiTheme="minorHAnsi" w:hAnsiTheme="minorHAnsi"/>
                <w:b/>
                <w:bCs/>
                <w:color w:val="7F7F7F" w:themeColor="text1" w:themeTint="80"/>
                <w:sz w:val="20"/>
              </w:rPr>
              <w:t>Components</w:t>
            </w:r>
          </w:p>
        </w:tc>
        <w:tc>
          <w:tcPr>
            <w:tcW w:w="1228" w:type="pct"/>
            <w:shd w:val="clear" w:color="auto" w:fill="FFFFFF" w:themeFill="background1"/>
            <w:vAlign w:val="center"/>
          </w:tcPr>
          <w:p w:rsidR="000A06D1" w:rsidRPr="00FA0A03" w:rsidRDefault="00B578E1" w:rsidP="000A06D1">
            <w:pPr>
              <w:keepNext/>
              <w:tabs>
                <w:tab w:val="left" w:pos="984"/>
              </w:tabs>
              <w:jc w:val="center"/>
              <w:rPr>
                <w:rFonts w:asciiTheme="minorHAnsi" w:hAnsiTheme="minorHAnsi"/>
                <w:b/>
                <w:bCs/>
                <w:color w:val="7F7F7F" w:themeColor="text1" w:themeTint="80"/>
                <w:sz w:val="20"/>
              </w:rPr>
            </w:pPr>
            <w:r w:rsidRPr="00FA0A03">
              <w:rPr>
                <w:rFonts w:asciiTheme="minorHAnsi" w:hAnsiTheme="minorHAnsi"/>
                <w:b/>
                <w:bCs/>
                <w:color w:val="7F7F7F" w:themeColor="text1" w:themeTint="80"/>
                <w:sz w:val="20"/>
              </w:rPr>
              <w:t>Amount at App</w:t>
            </w:r>
            <w:r>
              <w:rPr>
                <w:rFonts w:asciiTheme="minorHAnsi" w:hAnsiTheme="minorHAnsi"/>
                <w:b/>
                <w:bCs/>
                <w:color w:val="7F7F7F" w:themeColor="text1" w:themeTint="80"/>
                <w:sz w:val="20"/>
              </w:rPr>
              <w:t>raisal</w:t>
            </w:r>
          </w:p>
          <w:p w:rsidR="000A06D1" w:rsidRPr="00FA0A03" w:rsidRDefault="00B578E1" w:rsidP="000A06D1">
            <w:pPr>
              <w:keepNext/>
              <w:tabs>
                <w:tab w:val="left" w:pos="984"/>
              </w:tabs>
              <w:jc w:val="center"/>
              <w:rPr>
                <w:rFonts w:asciiTheme="minorHAnsi" w:hAnsiTheme="minorHAnsi"/>
                <w:b/>
                <w:bCs/>
                <w:color w:val="7F7F7F" w:themeColor="text1" w:themeTint="80"/>
                <w:sz w:val="20"/>
              </w:rPr>
            </w:pPr>
            <w:r w:rsidRPr="00FA0A03">
              <w:rPr>
                <w:rFonts w:asciiTheme="minorHAnsi" w:hAnsiTheme="minorHAnsi"/>
                <w:b/>
                <w:bCs/>
                <w:color w:val="7F7F7F" w:themeColor="text1" w:themeTint="80"/>
                <w:sz w:val="20"/>
              </w:rPr>
              <w:t>(US$, Million)</w:t>
            </w:r>
          </w:p>
        </w:tc>
        <w:tc>
          <w:tcPr>
            <w:tcW w:w="910" w:type="pct"/>
            <w:shd w:val="clear" w:color="auto" w:fill="FFFFFF" w:themeFill="background1"/>
            <w:vAlign w:val="center"/>
          </w:tcPr>
          <w:p w:rsidR="000A06D1" w:rsidRPr="00FA0A03" w:rsidRDefault="00B578E1" w:rsidP="000A06D1">
            <w:pPr>
              <w:keepNext/>
              <w:jc w:val="center"/>
              <w:rPr>
                <w:rFonts w:asciiTheme="minorHAnsi" w:hAnsiTheme="minorHAnsi"/>
                <w:b/>
                <w:bCs/>
                <w:color w:val="7F7F7F" w:themeColor="text1" w:themeTint="80"/>
                <w:sz w:val="20"/>
              </w:rPr>
            </w:pPr>
            <w:r w:rsidRPr="00FA0A03">
              <w:rPr>
                <w:rFonts w:asciiTheme="minorHAnsi" w:hAnsiTheme="minorHAnsi"/>
                <w:b/>
                <w:bCs/>
                <w:color w:val="7F7F7F" w:themeColor="text1" w:themeTint="80"/>
                <w:sz w:val="20"/>
              </w:rPr>
              <w:t>Actual at Project Closing (US$, Million)</w:t>
            </w:r>
          </w:p>
        </w:tc>
        <w:tc>
          <w:tcPr>
            <w:tcW w:w="911" w:type="pct"/>
            <w:tcBorders>
              <w:bottom w:val="single" w:sz="4" w:space="0" w:color="auto"/>
            </w:tcBorders>
            <w:shd w:val="clear" w:color="auto" w:fill="FFFFFF" w:themeFill="background1"/>
            <w:vAlign w:val="center"/>
          </w:tcPr>
          <w:p w:rsidR="000A06D1" w:rsidRPr="00FA0A03" w:rsidRDefault="00B578E1" w:rsidP="000A06D1">
            <w:pPr>
              <w:keepNext/>
              <w:jc w:val="center"/>
              <w:rPr>
                <w:rFonts w:asciiTheme="minorHAnsi" w:hAnsiTheme="minorHAnsi"/>
                <w:b/>
                <w:bCs/>
                <w:color w:val="7F7F7F" w:themeColor="text1" w:themeTint="80"/>
                <w:sz w:val="20"/>
              </w:rPr>
            </w:pPr>
            <w:r w:rsidRPr="00FA0A03">
              <w:rPr>
                <w:rFonts w:asciiTheme="minorHAnsi" w:hAnsiTheme="minorHAnsi"/>
                <w:b/>
                <w:bCs/>
                <w:color w:val="7F7F7F" w:themeColor="text1" w:themeTint="80"/>
                <w:sz w:val="20"/>
              </w:rPr>
              <w:t>Revised costs (US$, Million)</w:t>
            </w:r>
          </w:p>
        </w:tc>
        <w:tc>
          <w:tcPr>
            <w:tcW w:w="832" w:type="pct"/>
            <w:tcBorders>
              <w:bottom w:val="single" w:sz="4" w:space="0" w:color="auto"/>
            </w:tcBorders>
            <w:shd w:val="clear" w:color="auto" w:fill="FFFFFF" w:themeFill="background1"/>
            <w:vAlign w:val="center"/>
          </w:tcPr>
          <w:p w:rsidR="000A06D1" w:rsidRPr="00FA0A03" w:rsidRDefault="00B578E1" w:rsidP="000A06D1">
            <w:pPr>
              <w:keepNext/>
              <w:jc w:val="center"/>
              <w:rPr>
                <w:rFonts w:asciiTheme="minorHAnsi" w:hAnsiTheme="minorHAnsi"/>
                <w:b/>
                <w:bCs/>
                <w:color w:val="7F7F7F" w:themeColor="text1" w:themeTint="80"/>
                <w:sz w:val="20"/>
              </w:rPr>
            </w:pPr>
            <w:r>
              <w:rPr>
                <w:rFonts w:asciiTheme="minorHAnsi" w:hAnsiTheme="minorHAnsi"/>
                <w:b/>
                <w:bCs/>
                <w:color w:val="7F7F7F" w:themeColor="text1" w:themeTint="80"/>
                <w:sz w:val="20"/>
              </w:rPr>
              <w:t>Percentage of appraisal</w:t>
            </w:r>
          </w:p>
        </w:tc>
      </w:tr>
      <w:tr w:rsidR="0006032A" w:rsidTr="000A06D1">
        <w:trPr>
          <w:trHeight w:val="429"/>
        </w:trPr>
        <w:tc>
          <w:tcPr>
            <w:tcW w:w="1119" w:type="pct"/>
            <w:shd w:val="clear" w:color="auto" w:fill="FFFFFF" w:themeFill="background1"/>
            <w:vAlign w:val="center"/>
          </w:tcPr>
          <w:p w:rsidR="000A06D1" w:rsidRPr="00FA0A03" w:rsidRDefault="00B578E1" w:rsidP="000A06D1">
            <w:pPr>
              <w:jc w:val="center"/>
              <w:rPr>
                <w:rFonts w:asciiTheme="minorHAnsi" w:hAnsiTheme="minorHAnsi"/>
                <w:sz w:val="20"/>
              </w:rPr>
            </w:pPr>
            <w:r w:rsidRPr="00FA0A03">
              <w:rPr>
                <w:rFonts w:asciiTheme="minorHAnsi" w:hAnsiTheme="minorHAnsi"/>
                <w:noProof/>
                <w:sz w:val="20"/>
              </w:rPr>
              <w:t>Technical Planning and Advisory Team (TPAT)</w:t>
            </w:r>
          </w:p>
        </w:tc>
        <w:tc>
          <w:tcPr>
            <w:tcW w:w="1228"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4.9</w:t>
            </w:r>
            <w:r>
              <w:rPr>
                <w:rFonts w:asciiTheme="minorHAnsi" w:hAnsiTheme="minorHAnsi"/>
                <w:noProof/>
                <w:sz w:val="20"/>
              </w:rPr>
              <w:t>0</w:t>
            </w:r>
          </w:p>
        </w:tc>
        <w:tc>
          <w:tcPr>
            <w:tcW w:w="910"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4.30</w:t>
            </w:r>
          </w:p>
        </w:tc>
        <w:tc>
          <w:tcPr>
            <w:tcW w:w="911" w:type="pct"/>
            <w:tcBorders>
              <w:top w:val="single" w:sz="4" w:space="0" w:color="auto"/>
              <w:bottom w:val="single" w:sz="4" w:space="0" w:color="auto"/>
            </w:tcBorders>
            <w:shd w:val="clear" w:color="auto" w:fill="FFFFFF" w:themeFill="background1"/>
            <w:vAlign w:val="center"/>
          </w:tcPr>
          <w:p w:rsidR="000A06D1" w:rsidRPr="00FA0A03" w:rsidRDefault="00B578E1" w:rsidP="000A06D1">
            <w:pPr>
              <w:tabs>
                <w:tab w:val="decimal" w:pos="1231"/>
              </w:tabs>
              <w:jc w:val="center"/>
              <w:rPr>
                <w:rFonts w:asciiTheme="minorHAnsi" w:hAnsiTheme="minorHAnsi"/>
                <w:noProof/>
                <w:sz w:val="20"/>
              </w:rPr>
            </w:pPr>
            <w:r w:rsidRPr="00FA0A03">
              <w:rPr>
                <w:rFonts w:asciiTheme="minorHAnsi" w:hAnsiTheme="minorHAnsi"/>
                <w:noProof/>
                <w:sz w:val="20"/>
              </w:rPr>
              <w:t>5.0</w:t>
            </w:r>
            <w:r>
              <w:rPr>
                <w:rFonts w:asciiTheme="minorHAnsi" w:hAnsiTheme="minorHAnsi"/>
                <w:noProof/>
                <w:sz w:val="20"/>
              </w:rPr>
              <w:t>0</w:t>
            </w:r>
          </w:p>
        </w:tc>
        <w:tc>
          <w:tcPr>
            <w:tcW w:w="832" w:type="pct"/>
            <w:tcBorders>
              <w:top w:val="single" w:sz="4" w:space="0" w:color="auto"/>
              <w:left w:val="nil"/>
              <w:bottom w:val="single" w:sz="4" w:space="0" w:color="auto"/>
              <w:right w:val="single" w:sz="4" w:space="0" w:color="auto"/>
            </w:tcBorders>
            <w:shd w:val="clear" w:color="auto" w:fill="auto"/>
            <w:vAlign w:val="center"/>
          </w:tcPr>
          <w:p w:rsidR="000A06D1" w:rsidRPr="00FA0A03" w:rsidRDefault="00B578E1" w:rsidP="000A06D1">
            <w:pPr>
              <w:tabs>
                <w:tab w:val="decimal" w:pos="1231"/>
              </w:tabs>
              <w:jc w:val="center"/>
              <w:rPr>
                <w:rFonts w:asciiTheme="minorHAnsi" w:hAnsiTheme="minorHAnsi"/>
                <w:noProof/>
                <w:sz w:val="20"/>
              </w:rPr>
            </w:pPr>
            <w:r>
              <w:rPr>
                <w:rFonts w:ascii="Calibri" w:hAnsi="Calibri" w:cs="Calibri"/>
                <w:sz w:val="22"/>
                <w:szCs w:val="22"/>
              </w:rPr>
              <w:t>102.0408</w:t>
            </w:r>
          </w:p>
        </w:tc>
      </w:tr>
      <w:tr w:rsidR="0006032A" w:rsidTr="000A06D1">
        <w:trPr>
          <w:trHeight w:val="429"/>
        </w:trPr>
        <w:tc>
          <w:tcPr>
            <w:tcW w:w="1119" w:type="pct"/>
            <w:shd w:val="clear" w:color="auto" w:fill="FFFFFF" w:themeFill="background1"/>
            <w:vAlign w:val="center"/>
          </w:tcPr>
          <w:p w:rsidR="000A06D1" w:rsidRPr="00FA0A03" w:rsidRDefault="00B578E1" w:rsidP="000A06D1">
            <w:pPr>
              <w:jc w:val="center"/>
              <w:rPr>
                <w:rFonts w:asciiTheme="minorHAnsi" w:hAnsiTheme="minorHAnsi"/>
                <w:sz w:val="20"/>
              </w:rPr>
            </w:pPr>
            <w:r w:rsidRPr="00FA0A03">
              <w:rPr>
                <w:rFonts w:asciiTheme="minorHAnsi" w:hAnsiTheme="minorHAnsi"/>
                <w:noProof/>
                <w:sz w:val="20"/>
              </w:rPr>
              <w:t>Supplementary Studies and Training</w:t>
            </w:r>
          </w:p>
        </w:tc>
        <w:tc>
          <w:tcPr>
            <w:tcW w:w="1228"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0.3</w:t>
            </w:r>
            <w:r>
              <w:rPr>
                <w:rFonts w:asciiTheme="minorHAnsi" w:hAnsiTheme="minorHAnsi"/>
                <w:noProof/>
                <w:sz w:val="20"/>
              </w:rPr>
              <w:t>0</w:t>
            </w:r>
          </w:p>
        </w:tc>
        <w:tc>
          <w:tcPr>
            <w:tcW w:w="910"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0.30</w:t>
            </w:r>
          </w:p>
        </w:tc>
        <w:tc>
          <w:tcPr>
            <w:tcW w:w="911" w:type="pct"/>
            <w:tcBorders>
              <w:top w:val="single" w:sz="4" w:space="0" w:color="auto"/>
              <w:bottom w:val="single" w:sz="4" w:space="0" w:color="auto"/>
            </w:tcBorders>
            <w:shd w:val="clear" w:color="auto" w:fill="FFFFFF" w:themeFill="background1"/>
            <w:vAlign w:val="center"/>
          </w:tcPr>
          <w:p w:rsidR="000A06D1" w:rsidRPr="00FA0A03" w:rsidRDefault="00B578E1" w:rsidP="000A06D1">
            <w:pPr>
              <w:tabs>
                <w:tab w:val="decimal" w:pos="1231"/>
              </w:tabs>
              <w:jc w:val="center"/>
              <w:rPr>
                <w:rFonts w:asciiTheme="minorHAnsi" w:hAnsiTheme="minorHAnsi"/>
                <w:noProof/>
                <w:sz w:val="20"/>
              </w:rPr>
            </w:pPr>
            <w:r w:rsidRPr="00FA0A03">
              <w:rPr>
                <w:rFonts w:asciiTheme="minorHAnsi" w:hAnsiTheme="minorHAnsi"/>
                <w:noProof/>
                <w:sz w:val="20"/>
              </w:rPr>
              <w:t>1.2</w:t>
            </w:r>
            <w:r>
              <w:rPr>
                <w:rFonts w:asciiTheme="minorHAnsi" w:hAnsiTheme="minorHAnsi"/>
                <w:noProof/>
                <w:sz w:val="20"/>
              </w:rPr>
              <w:t>0</w:t>
            </w:r>
          </w:p>
        </w:tc>
        <w:tc>
          <w:tcPr>
            <w:tcW w:w="832" w:type="pct"/>
            <w:tcBorders>
              <w:top w:val="single" w:sz="4" w:space="0" w:color="auto"/>
              <w:left w:val="nil"/>
              <w:bottom w:val="single" w:sz="4" w:space="0" w:color="auto"/>
              <w:right w:val="single" w:sz="4" w:space="0" w:color="auto"/>
            </w:tcBorders>
            <w:shd w:val="clear" w:color="auto" w:fill="auto"/>
            <w:vAlign w:val="center"/>
          </w:tcPr>
          <w:p w:rsidR="000A06D1" w:rsidRPr="00FA0A03" w:rsidRDefault="00B578E1" w:rsidP="000A06D1">
            <w:pPr>
              <w:tabs>
                <w:tab w:val="decimal" w:pos="1231"/>
              </w:tabs>
              <w:jc w:val="center"/>
              <w:rPr>
                <w:rFonts w:asciiTheme="minorHAnsi" w:hAnsiTheme="minorHAnsi"/>
                <w:noProof/>
                <w:sz w:val="20"/>
              </w:rPr>
            </w:pPr>
            <w:r>
              <w:rPr>
                <w:rFonts w:ascii="Calibri" w:hAnsi="Calibri" w:cs="Calibri"/>
                <w:sz w:val="22"/>
                <w:szCs w:val="22"/>
              </w:rPr>
              <w:t>400</w:t>
            </w:r>
          </w:p>
        </w:tc>
      </w:tr>
      <w:tr w:rsidR="0006032A" w:rsidTr="000A06D1">
        <w:trPr>
          <w:trHeight w:val="429"/>
        </w:trPr>
        <w:tc>
          <w:tcPr>
            <w:tcW w:w="1119" w:type="pct"/>
            <w:shd w:val="clear" w:color="auto" w:fill="FFFFFF" w:themeFill="background1"/>
            <w:vAlign w:val="center"/>
          </w:tcPr>
          <w:p w:rsidR="000A06D1" w:rsidRPr="00FA0A03" w:rsidRDefault="00B578E1" w:rsidP="000A06D1">
            <w:pPr>
              <w:jc w:val="center"/>
              <w:rPr>
                <w:rFonts w:asciiTheme="minorHAnsi" w:hAnsiTheme="minorHAnsi"/>
                <w:sz w:val="20"/>
              </w:rPr>
            </w:pPr>
            <w:r w:rsidRPr="00FA0A03">
              <w:rPr>
                <w:rFonts w:asciiTheme="minorHAnsi" w:hAnsiTheme="minorHAnsi"/>
                <w:noProof/>
                <w:sz w:val="20"/>
              </w:rPr>
              <w:t>Project Management</w:t>
            </w:r>
          </w:p>
        </w:tc>
        <w:tc>
          <w:tcPr>
            <w:tcW w:w="1228"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0.8</w:t>
            </w:r>
            <w:r>
              <w:rPr>
                <w:rFonts w:asciiTheme="minorHAnsi" w:hAnsiTheme="minorHAnsi"/>
                <w:noProof/>
                <w:sz w:val="20"/>
              </w:rPr>
              <w:t>0</w:t>
            </w:r>
          </w:p>
        </w:tc>
        <w:tc>
          <w:tcPr>
            <w:tcW w:w="910"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noProof/>
                <w:sz w:val="20"/>
              </w:rPr>
              <w:t>0.80</w:t>
            </w:r>
          </w:p>
        </w:tc>
        <w:tc>
          <w:tcPr>
            <w:tcW w:w="911" w:type="pct"/>
            <w:tcBorders>
              <w:top w:val="single" w:sz="4" w:space="0" w:color="auto"/>
              <w:bottom w:val="single" w:sz="4" w:space="0" w:color="auto"/>
            </w:tcBorders>
            <w:shd w:val="clear" w:color="auto" w:fill="FFFFFF" w:themeFill="background1"/>
            <w:vAlign w:val="center"/>
          </w:tcPr>
          <w:p w:rsidR="000A06D1" w:rsidRPr="00FA0A03" w:rsidRDefault="00B578E1" w:rsidP="000A06D1">
            <w:pPr>
              <w:tabs>
                <w:tab w:val="decimal" w:pos="1231"/>
              </w:tabs>
              <w:jc w:val="center"/>
              <w:rPr>
                <w:rFonts w:asciiTheme="minorHAnsi" w:hAnsiTheme="minorHAnsi"/>
                <w:noProof/>
                <w:sz w:val="20"/>
              </w:rPr>
            </w:pPr>
            <w:r w:rsidRPr="00FA0A03">
              <w:rPr>
                <w:rFonts w:asciiTheme="minorHAnsi" w:hAnsiTheme="minorHAnsi"/>
                <w:noProof/>
                <w:sz w:val="20"/>
              </w:rPr>
              <w:t>1.5</w:t>
            </w:r>
            <w:r>
              <w:rPr>
                <w:rFonts w:asciiTheme="minorHAnsi" w:hAnsiTheme="minorHAnsi"/>
                <w:noProof/>
                <w:sz w:val="20"/>
              </w:rPr>
              <w:t>0</w:t>
            </w:r>
          </w:p>
        </w:tc>
        <w:tc>
          <w:tcPr>
            <w:tcW w:w="832" w:type="pct"/>
            <w:tcBorders>
              <w:top w:val="single" w:sz="4" w:space="0" w:color="auto"/>
              <w:left w:val="nil"/>
              <w:bottom w:val="single" w:sz="4" w:space="0" w:color="auto"/>
              <w:right w:val="single" w:sz="4" w:space="0" w:color="auto"/>
            </w:tcBorders>
            <w:shd w:val="clear" w:color="auto" w:fill="auto"/>
            <w:vAlign w:val="center"/>
          </w:tcPr>
          <w:p w:rsidR="000A06D1" w:rsidRPr="00FA0A03" w:rsidRDefault="00B578E1" w:rsidP="000A06D1">
            <w:pPr>
              <w:tabs>
                <w:tab w:val="decimal" w:pos="1231"/>
              </w:tabs>
              <w:jc w:val="center"/>
              <w:rPr>
                <w:rFonts w:asciiTheme="minorHAnsi" w:hAnsiTheme="minorHAnsi"/>
                <w:noProof/>
                <w:sz w:val="20"/>
              </w:rPr>
            </w:pPr>
            <w:r>
              <w:rPr>
                <w:rFonts w:ascii="Calibri" w:hAnsi="Calibri" w:cs="Calibri"/>
                <w:sz w:val="22"/>
                <w:szCs w:val="22"/>
              </w:rPr>
              <w:t>187.5</w:t>
            </w:r>
          </w:p>
        </w:tc>
      </w:tr>
      <w:tr w:rsidR="0006032A" w:rsidTr="000A06D1">
        <w:trPr>
          <w:trHeight w:val="429"/>
        </w:trPr>
        <w:tc>
          <w:tcPr>
            <w:tcW w:w="1119" w:type="pct"/>
            <w:shd w:val="clear" w:color="auto" w:fill="FFFFFF" w:themeFill="background1"/>
            <w:vAlign w:val="center"/>
          </w:tcPr>
          <w:p w:rsidR="000A06D1" w:rsidRPr="00FA0A03" w:rsidRDefault="00B578E1" w:rsidP="000A06D1">
            <w:pPr>
              <w:jc w:val="center"/>
              <w:rPr>
                <w:rFonts w:asciiTheme="minorHAnsi" w:hAnsiTheme="minorHAnsi"/>
                <w:b/>
                <w:sz w:val="20"/>
                <w:szCs w:val="22"/>
              </w:rPr>
            </w:pPr>
            <w:r w:rsidRPr="00FA0A03">
              <w:rPr>
                <w:rFonts w:asciiTheme="minorHAnsi" w:hAnsiTheme="minorHAnsi"/>
                <w:b/>
                <w:sz w:val="20"/>
                <w:szCs w:val="22"/>
              </w:rPr>
              <w:t>Total</w:t>
            </w:r>
          </w:p>
        </w:tc>
        <w:tc>
          <w:tcPr>
            <w:tcW w:w="1228"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Pr>
                <w:rFonts w:asciiTheme="minorHAnsi" w:hAnsiTheme="minorHAnsi"/>
                <w:b/>
                <w:sz w:val="20"/>
                <w:szCs w:val="22"/>
              </w:rPr>
              <w:t>6.10</w:t>
            </w:r>
          </w:p>
        </w:tc>
        <w:tc>
          <w:tcPr>
            <w:tcW w:w="910" w:type="pct"/>
            <w:shd w:val="clear" w:color="auto" w:fill="FFFFFF" w:themeFill="background1"/>
            <w:vAlign w:val="center"/>
          </w:tcPr>
          <w:p w:rsidR="000A06D1" w:rsidRPr="00FA0A03" w:rsidRDefault="00B578E1" w:rsidP="000A06D1">
            <w:pPr>
              <w:tabs>
                <w:tab w:val="decimal" w:pos="1231"/>
              </w:tabs>
              <w:jc w:val="center"/>
              <w:rPr>
                <w:rFonts w:asciiTheme="minorHAnsi" w:hAnsiTheme="minorHAnsi"/>
                <w:sz w:val="20"/>
              </w:rPr>
            </w:pPr>
            <w:r w:rsidRPr="00FA0A03">
              <w:rPr>
                <w:rFonts w:asciiTheme="minorHAnsi" w:hAnsiTheme="minorHAnsi"/>
                <w:b/>
                <w:sz w:val="20"/>
                <w:szCs w:val="22"/>
              </w:rPr>
              <w:fldChar w:fldCharType="begin"/>
            </w:r>
            <w:r w:rsidRPr="00FA0A03">
              <w:rPr>
                <w:rFonts w:asciiTheme="minorHAnsi" w:hAnsiTheme="minorHAnsi"/>
                <w:b/>
                <w:sz w:val="20"/>
                <w:szCs w:val="22"/>
              </w:rPr>
              <w:instrText xml:space="preserve"> =SUM(ABOVE) \# “#,##0.00” </w:instrText>
            </w:r>
            <w:r w:rsidRPr="00FA0A03">
              <w:rPr>
                <w:rFonts w:asciiTheme="minorHAnsi" w:hAnsiTheme="minorHAnsi"/>
                <w:b/>
                <w:sz w:val="20"/>
                <w:szCs w:val="22"/>
              </w:rPr>
              <w:fldChar w:fldCharType="separate"/>
            </w:r>
            <w:r w:rsidRPr="00FA0A03">
              <w:rPr>
                <w:rFonts w:asciiTheme="minorHAnsi" w:hAnsiTheme="minorHAnsi"/>
                <w:b/>
                <w:sz w:val="20"/>
                <w:szCs w:val="22"/>
              </w:rPr>
              <w:t xml:space="preserve">   5.40</w:t>
            </w:r>
            <w:r w:rsidRPr="00FA0A03">
              <w:rPr>
                <w:rFonts w:asciiTheme="minorHAnsi" w:hAnsiTheme="minorHAnsi"/>
                <w:b/>
                <w:sz w:val="20"/>
                <w:szCs w:val="22"/>
              </w:rPr>
              <w:fldChar w:fldCharType="end"/>
            </w:r>
          </w:p>
        </w:tc>
        <w:tc>
          <w:tcPr>
            <w:tcW w:w="911" w:type="pct"/>
            <w:tcBorders>
              <w:top w:val="single" w:sz="4" w:space="0" w:color="auto"/>
              <w:bottom w:val="single" w:sz="4" w:space="0" w:color="auto"/>
            </w:tcBorders>
            <w:shd w:val="clear" w:color="auto" w:fill="FFFFFF" w:themeFill="background1"/>
            <w:vAlign w:val="center"/>
          </w:tcPr>
          <w:p w:rsidR="000A06D1" w:rsidRPr="00FA0A03" w:rsidRDefault="00B578E1" w:rsidP="000A06D1">
            <w:pPr>
              <w:tabs>
                <w:tab w:val="decimal" w:pos="1231"/>
              </w:tabs>
              <w:jc w:val="center"/>
              <w:rPr>
                <w:rFonts w:asciiTheme="minorHAnsi" w:hAnsiTheme="minorHAnsi"/>
                <w:b/>
                <w:sz w:val="20"/>
                <w:szCs w:val="22"/>
              </w:rPr>
            </w:pPr>
            <w:r w:rsidRPr="00FA0A03">
              <w:rPr>
                <w:rFonts w:asciiTheme="minorHAnsi" w:hAnsiTheme="minorHAnsi"/>
                <w:b/>
                <w:sz w:val="20"/>
                <w:szCs w:val="22"/>
              </w:rPr>
              <w:t>7.7</w:t>
            </w:r>
            <w:r>
              <w:rPr>
                <w:rFonts w:asciiTheme="minorHAnsi" w:hAnsiTheme="minorHAnsi"/>
                <w:b/>
                <w:sz w:val="20"/>
                <w:szCs w:val="22"/>
              </w:rPr>
              <w:t>0</w:t>
            </w:r>
          </w:p>
        </w:tc>
        <w:tc>
          <w:tcPr>
            <w:tcW w:w="832" w:type="pct"/>
            <w:tcBorders>
              <w:top w:val="single" w:sz="4" w:space="0" w:color="auto"/>
              <w:left w:val="nil"/>
              <w:bottom w:val="single" w:sz="4" w:space="0" w:color="auto"/>
              <w:right w:val="single" w:sz="4" w:space="0" w:color="auto"/>
            </w:tcBorders>
            <w:shd w:val="clear" w:color="auto" w:fill="auto"/>
            <w:vAlign w:val="center"/>
          </w:tcPr>
          <w:p w:rsidR="000A06D1" w:rsidRPr="00FA0A03" w:rsidRDefault="00B578E1" w:rsidP="000A06D1">
            <w:pPr>
              <w:tabs>
                <w:tab w:val="decimal" w:pos="1231"/>
              </w:tabs>
              <w:jc w:val="center"/>
              <w:rPr>
                <w:rFonts w:asciiTheme="minorHAnsi" w:hAnsiTheme="minorHAnsi"/>
                <w:b/>
                <w:sz w:val="20"/>
                <w:szCs w:val="22"/>
              </w:rPr>
            </w:pPr>
            <w:r>
              <w:rPr>
                <w:rFonts w:ascii="Calibri" w:hAnsi="Calibri" w:cs="Calibri"/>
                <w:sz w:val="22"/>
                <w:szCs w:val="22"/>
              </w:rPr>
              <w:t>126.2295</w:t>
            </w:r>
          </w:p>
        </w:tc>
      </w:tr>
    </w:tbl>
    <w:p w:rsidR="003615CB" w:rsidRDefault="003615CB" w:rsidP="00512C9A">
      <w:pPr>
        <w:ind w:left="-630"/>
        <w:rPr>
          <w:rFonts w:asciiTheme="minorHAnsi" w:hAnsiTheme="minorHAnsi"/>
          <w:b/>
          <w:bCs/>
          <w:color w:val="7F7F7F" w:themeColor="text1" w:themeTint="80"/>
          <w:sz w:val="22"/>
          <w:szCs w:val="22"/>
        </w:rPr>
      </w:pPr>
    </w:p>
    <w:p w:rsidR="003615CB" w:rsidRDefault="003615CB" w:rsidP="00512C9A">
      <w:pPr>
        <w:ind w:left="-630"/>
        <w:rPr>
          <w:rFonts w:asciiTheme="minorHAnsi" w:hAnsiTheme="minorHAnsi"/>
          <w:b/>
          <w:bCs/>
          <w:color w:val="7F7F7F" w:themeColor="text1" w:themeTint="80"/>
          <w:sz w:val="22"/>
          <w:szCs w:val="22"/>
        </w:rPr>
      </w:pPr>
    </w:p>
    <w:p w:rsidR="00FB0BC4" w:rsidRDefault="00B578E1">
      <w:pPr>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03"/>
      </w:tblGrid>
      <w:tr w:rsidR="0006032A" w:rsidTr="008565D8">
        <w:trPr>
          <w:trHeight w:val="432"/>
        </w:trPr>
        <w:tc>
          <w:tcPr>
            <w:tcW w:w="10903" w:type="dxa"/>
            <w:shd w:val="clear" w:color="auto" w:fill="F2F7FC"/>
            <w:vAlign w:val="center"/>
          </w:tcPr>
          <w:p w:rsidR="003615CB" w:rsidRPr="00AF152D" w:rsidRDefault="00B578E1" w:rsidP="003615CB">
            <w:pPr>
              <w:pStyle w:val="NoSpacing"/>
              <w:jc w:val="center"/>
              <w:outlineLvl w:val="0"/>
              <w:rPr>
                <w:rFonts w:asciiTheme="minorHAnsi" w:hAnsiTheme="minorHAnsi"/>
                <w:b/>
                <w:szCs w:val="22"/>
              </w:rPr>
            </w:pPr>
            <w:bookmarkStart w:id="142" w:name="_Toc256000034"/>
            <w:bookmarkStart w:id="143" w:name="_Toc485984588"/>
            <w:bookmarkStart w:id="144" w:name="_Toc510969721"/>
            <w:bookmarkStart w:id="145" w:name="_Toc516132513"/>
            <w:r w:rsidRPr="00AF152D">
              <w:rPr>
                <w:rFonts w:asciiTheme="minorHAnsi" w:hAnsiTheme="minorHAnsi"/>
                <w:b/>
                <w:color w:val="000000" w:themeColor="text1"/>
                <w:szCs w:val="22"/>
              </w:rPr>
              <w:lastRenderedPageBreak/>
              <w:t>ANNEX 4. EFFICIENCY ANALYSIS</w:t>
            </w:r>
            <w:bookmarkEnd w:id="142"/>
            <w:bookmarkEnd w:id="143"/>
            <w:bookmarkEnd w:id="144"/>
            <w:bookmarkEnd w:id="145"/>
          </w:p>
        </w:tc>
      </w:tr>
    </w:tbl>
    <w:p w:rsidR="00867C5E" w:rsidRDefault="00867C5E" w:rsidP="00544EBC">
      <w:pPr>
        <w:pStyle w:val="Normal206"/>
        <w:rPr>
          <w:rFonts w:asciiTheme="minorHAnsi" w:hAnsiTheme="minorHAnsi"/>
          <w:b/>
          <w:bCs/>
          <w:color w:val="7F7F7F" w:themeColor="text1" w:themeTint="80"/>
          <w:sz w:val="22"/>
          <w:szCs w:val="22"/>
        </w:rPr>
      </w:pPr>
    </w:p>
    <w:p w:rsidR="004E0ECB" w:rsidRDefault="00B578E1" w:rsidP="00A63A6F">
      <w:pPr>
        <w:pStyle w:val="Normal0"/>
        <w:numPr>
          <w:ilvl w:val="0"/>
          <w:numId w:val="11"/>
        </w:numPr>
        <w:spacing w:after="240" w:line="240" w:lineRule="auto"/>
        <w:ind w:left="0" w:firstLine="0"/>
        <w:jc w:val="both"/>
        <w:rPr>
          <w:sz w:val="22"/>
        </w:rPr>
      </w:pPr>
      <w:r w:rsidRPr="001349FA">
        <w:rPr>
          <w:b/>
          <w:sz w:val="22"/>
        </w:rPr>
        <w:t xml:space="preserve">Economic and </w:t>
      </w:r>
      <w:r>
        <w:rPr>
          <w:b/>
          <w:sz w:val="22"/>
        </w:rPr>
        <w:t>f</w:t>
      </w:r>
      <w:r w:rsidRPr="001349FA">
        <w:rPr>
          <w:b/>
          <w:sz w:val="22"/>
        </w:rPr>
        <w:t xml:space="preserve">inancial analysis for </w:t>
      </w:r>
      <w:r w:rsidR="00FA0A03">
        <w:rPr>
          <w:b/>
          <w:sz w:val="22"/>
        </w:rPr>
        <w:t xml:space="preserve">the </w:t>
      </w:r>
      <w:r w:rsidRPr="001349FA">
        <w:rPr>
          <w:b/>
          <w:sz w:val="22"/>
        </w:rPr>
        <w:t>Water Sector Capacity Building Project</w:t>
      </w:r>
      <w:r>
        <w:rPr>
          <w:b/>
          <w:sz w:val="22"/>
        </w:rPr>
        <w:t>.</w:t>
      </w:r>
      <w:r w:rsidRPr="001349FA">
        <w:rPr>
          <w:b/>
          <w:sz w:val="22"/>
        </w:rPr>
        <w:t xml:space="preserve"> </w:t>
      </w:r>
      <w:r w:rsidRPr="001349FA">
        <w:rPr>
          <w:sz w:val="22"/>
        </w:rPr>
        <w:t xml:space="preserve">In both the original </w:t>
      </w:r>
      <w:r w:rsidRPr="00E97D18">
        <w:rPr>
          <w:sz w:val="22"/>
        </w:rPr>
        <w:t>PA</w:t>
      </w:r>
      <w:r w:rsidRPr="001349FA">
        <w:rPr>
          <w:sz w:val="22"/>
        </w:rPr>
        <w:t xml:space="preserve">D and the </w:t>
      </w:r>
      <w:r w:rsidRPr="00E97D18">
        <w:rPr>
          <w:sz w:val="22"/>
        </w:rPr>
        <w:t>AF</w:t>
      </w:r>
      <w:r>
        <w:rPr>
          <w:sz w:val="22"/>
        </w:rPr>
        <w:t>,</w:t>
      </w:r>
      <w:r w:rsidRPr="001349FA">
        <w:rPr>
          <w:sz w:val="22"/>
        </w:rPr>
        <w:t xml:space="preserve"> it </w:t>
      </w:r>
      <w:r>
        <w:rPr>
          <w:sz w:val="22"/>
        </w:rPr>
        <w:t>was</w:t>
      </w:r>
      <w:r w:rsidRPr="001349FA">
        <w:rPr>
          <w:sz w:val="22"/>
        </w:rPr>
        <w:t xml:space="preserve"> pointed out in the appraisal summary that “The nature of the activities to be financed by the Project does not lend itself to the standard quantitative cost-benefit analysis [and that] the benefits of these activities cannot be reliably estimated in monetary terms.” Retrospectively, however, it is possible to critically examine</w:t>
      </w:r>
      <w:r w:rsidRPr="001349FA">
        <w:rPr>
          <w:rFonts w:cstheme="minorHAnsi"/>
          <w:sz w:val="22"/>
        </w:rPr>
        <w:t xml:space="preserve"> w</w:t>
      </w:r>
      <w:r w:rsidRPr="001349FA">
        <w:rPr>
          <w:sz w:val="22"/>
        </w:rPr>
        <w:t xml:space="preserve">hether </w:t>
      </w:r>
      <w:r w:rsidR="004F148C">
        <w:rPr>
          <w:sz w:val="22"/>
        </w:rPr>
        <w:t>VFM</w:t>
      </w:r>
      <w:r w:rsidRPr="001349FA">
        <w:rPr>
          <w:sz w:val="22"/>
        </w:rPr>
        <w:t xml:space="preserve"> was achieved by the </w:t>
      </w:r>
      <w:r>
        <w:rPr>
          <w:sz w:val="22"/>
        </w:rPr>
        <w:t>p</w:t>
      </w:r>
      <w:r w:rsidRPr="001349FA">
        <w:rPr>
          <w:sz w:val="22"/>
        </w:rPr>
        <w:t>roject’s various components and subcomponents.</w:t>
      </w:r>
    </w:p>
    <w:p w:rsidR="004E0ECB" w:rsidRPr="00694043" w:rsidRDefault="00B578E1" w:rsidP="00A63A6F">
      <w:pPr>
        <w:pStyle w:val="Normal0"/>
        <w:numPr>
          <w:ilvl w:val="0"/>
          <w:numId w:val="11"/>
        </w:numPr>
        <w:spacing w:after="240" w:line="240" w:lineRule="auto"/>
        <w:ind w:left="0" w:firstLine="0"/>
        <w:jc w:val="both"/>
        <w:rPr>
          <w:rFonts w:cstheme="minorHAnsi"/>
          <w:sz w:val="22"/>
        </w:rPr>
      </w:pPr>
      <w:r>
        <w:rPr>
          <w:rFonts w:cstheme="minorHAnsi"/>
          <w:b/>
          <w:sz w:val="22"/>
        </w:rPr>
        <w:t>VFM</w:t>
      </w:r>
      <w:r w:rsidRPr="00694043">
        <w:rPr>
          <w:rFonts w:cstheme="minorHAnsi"/>
          <w:b/>
          <w:sz w:val="22"/>
        </w:rPr>
        <w:t xml:space="preserve"> analysis. </w:t>
      </w:r>
      <w:r w:rsidRPr="00694043">
        <w:rPr>
          <w:rFonts w:cstheme="minorHAnsi"/>
          <w:sz w:val="22"/>
        </w:rPr>
        <w:t xml:space="preserve">The </w:t>
      </w:r>
      <w:r>
        <w:rPr>
          <w:rFonts w:cstheme="minorHAnsi"/>
          <w:sz w:val="22"/>
        </w:rPr>
        <w:t>VFM</w:t>
      </w:r>
      <w:r w:rsidRPr="00694043">
        <w:rPr>
          <w:rFonts w:cstheme="minorHAnsi"/>
          <w:sz w:val="22"/>
        </w:rPr>
        <w:t xml:space="preserve"> analysis examines the relationship between </w:t>
      </w:r>
      <w:r w:rsidRPr="002141E3">
        <w:rPr>
          <w:sz w:val="22"/>
        </w:rPr>
        <w:t>reform</w:t>
      </w:r>
      <w:r w:rsidRPr="00694043">
        <w:rPr>
          <w:rFonts w:cstheme="minorHAnsi"/>
          <w:sz w:val="22"/>
        </w:rPr>
        <w:t xml:space="preserve"> inputs and reform outputs using comparator projects for similar size fragile countries and situations. It takes as a starting point two distinct sets of outputs:</w:t>
      </w:r>
    </w:p>
    <w:p w:rsidR="004E0ECB" w:rsidRPr="00E97D18" w:rsidRDefault="00B578E1" w:rsidP="00A63A6F">
      <w:pPr>
        <w:pStyle w:val="ListParagraph"/>
        <w:numPr>
          <w:ilvl w:val="0"/>
          <w:numId w:val="16"/>
        </w:numPr>
        <w:spacing w:after="240" w:line="240" w:lineRule="auto"/>
        <w:ind w:left="1195" w:hanging="475"/>
        <w:contextualSpacing w:val="0"/>
        <w:jc w:val="both"/>
        <w:rPr>
          <w:rFonts w:asciiTheme="minorHAnsi" w:hAnsiTheme="minorHAnsi" w:cstheme="minorHAnsi"/>
          <w:sz w:val="22"/>
          <w:szCs w:val="22"/>
        </w:rPr>
      </w:pPr>
      <w:r w:rsidRPr="00E97D18">
        <w:rPr>
          <w:rFonts w:asciiTheme="minorHAnsi" w:hAnsiTheme="minorHAnsi" w:cstheme="minorHAnsi"/>
          <w:b/>
          <w:sz w:val="22"/>
          <w:szCs w:val="22"/>
        </w:rPr>
        <w:t xml:space="preserve">Reform instruments. </w:t>
      </w:r>
      <w:r w:rsidRPr="00E97D18">
        <w:rPr>
          <w:rFonts w:asciiTheme="minorHAnsi" w:hAnsiTheme="minorHAnsi" w:cstheme="minorHAnsi"/>
          <w:sz w:val="22"/>
          <w:szCs w:val="22"/>
        </w:rPr>
        <w:t xml:space="preserve">The package of laws, policies, strategies, and plans generated by </w:t>
      </w:r>
      <w:r w:rsidR="00E97D18" w:rsidRPr="00E97D18">
        <w:rPr>
          <w:rFonts w:asciiTheme="minorHAnsi" w:hAnsiTheme="minorHAnsi" w:cstheme="minorHAnsi"/>
          <w:sz w:val="22"/>
          <w:szCs w:val="22"/>
        </w:rPr>
        <w:t xml:space="preserve">the </w:t>
      </w:r>
      <w:r w:rsidRPr="00E97D18">
        <w:rPr>
          <w:rFonts w:asciiTheme="minorHAnsi" w:hAnsiTheme="minorHAnsi" w:cstheme="minorHAnsi"/>
          <w:sz w:val="22"/>
          <w:szCs w:val="22"/>
        </w:rPr>
        <w:t>PWA and the consulting firm, and;</w:t>
      </w:r>
    </w:p>
    <w:p w:rsidR="004E0ECB" w:rsidRPr="00E97D18" w:rsidRDefault="00B578E1" w:rsidP="00A63A6F">
      <w:pPr>
        <w:pStyle w:val="ListParagraph"/>
        <w:numPr>
          <w:ilvl w:val="0"/>
          <w:numId w:val="16"/>
        </w:numPr>
        <w:spacing w:after="240" w:line="240" w:lineRule="auto"/>
        <w:ind w:left="1195" w:hanging="475"/>
        <w:contextualSpacing w:val="0"/>
        <w:jc w:val="both"/>
        <w:rPr>
          <w:rFonts w:asciiTheme="minorHAnsi" w:hAnsiTheme="minorHAnsi" w:cstheme="minorHAnsi"/>
          <w:sz w:val="22"/>
          <w:szCs w:val="22"/>
        </w:rPr>
      </w:pPr>
      <w:r w:rsidRPr="00E97D18">
        <w:rPr>
          <w:rFonts w:asciiTheme="minorHAnsi" w:hAnsiTheme="minorHAnsi" w:cstheme="minorHAnsi"/>
          <w:b/>
          <w:sz w:val="22"/>
          <w:szCs w:val="22"/>
        </w:rPr>
        <w:t xml:space="preserve">Utility performance reports. </w:t>
      </w:r>
      <w:r w:rsidRPr="00E97D18">
        <w:rPr>
          <w:rFonts w:asciiTheme="minorHAnsi" w:hAnsiTheme="minorHAnsi" w:cstheme="minorHAnsi"/>
          <w:sz w:val="22"/>
          <w:szCs w:val="22"/>
        </w:rPr>
        <w:t xml:space="preserve">The </w:t>
      </w:r>
      <w:r w:rsidR="008D27C7" w:rsidRPr="00E97D18">
        <w:rPr>
          <w:rFonts w:asciiTheme="minorHAnsi" w:hAnsiTheme="minorHAnsi" w:cstheme="minorHAnsi"/>
          <w:sz w:val="22"/>
          <w:szCs w:val="22"/>
        </w:rPr>
        <w:t>SP</w:t>
      </w:r>
      <w:r w:rsidRPr="00E97D18">
        <w:rPr>
          <w:rFonts w:asciiTheme="minorHAnsi" w:hAnsiTheme="minorHAnsi" w:cstheme="minorHAnsi"/>
          <w:sz w:val="22"/>
          <w:szCs w:val="22"/>
        </w:rPr>
        <w:t xml:space="preserve"> performance data and analysis generated by the WSRC</w:t>
      </w:r>
      <w:r w:rsidR="00FA0A03">
        <w:rPr>
          <w:rFonts w:asciiTheme="minorHAnsi" w:hAnsiTheme="minorHAnsi" w:cstheme="minorHAnsi"/>
          <w:sz w:val="22"/>
          <w:szCs w:val="22"/>
        </w:rPr>
        <w:t>.</w:t>
      </w:r>
    </w:p>
    <w:p w:rsidR="004E0ECB" w:rsidRPr="002141E3" w:rsidRDefault="00B578E1" w:rsidP="00A63A6F">
      <w:pPr>
        <w:pStyle w:val="Normal0"/>
        <w:numPr>
          <w:ilvl w:val="0"/>
          <w:numId w:val="11"/>
        </w:numPr>
        <w:spacing w:after="240" w:line="240" w:lineRule="auto"/>
        <w:ind w:left="0" w:firstLine="0"/>
        <w:jc w:val="both"/>
        <w:rPr>
          <w:sz w:val="22"/>
        </w:rPr>
      </w:pPr>
      <w:r w:rsidRPr="00694043">
        <w:rPr>
          <w:rFonts w:cstheme="minorHAnsi"/>
          <w:sz w:val="22"/>
        </w:rPr>
        <w:t>Both are fairly standard packages of outputs associated with a combination of tangible outputs (reports) and intangible outputs (</w:t>
      </w:r>
      <w:r>
        <w:rPr>
          <w:rFonts w:cstheme="minorHAnsi"/>
          <w:sz w:val="22"/>
        </w:rPr>
        <w:t>for example,</w:t>
      </w:r>
      <w:r w:rsidRPr="00694043">
        <w:rPr>
          <w:rFonts w:cstheme="minorHAnsi"/>
          <w:sz w:val="22"/>
        </w:rPr>
        <w:t xml:space="preserve"> capacity improvements, ownership</w:t>
      </w:r>
      <w:r>
        <w:rPr>
          <w:rFonts w:cstheme="minorHAnsi"/>
          <w:sz w:val="22"/>
        </w:rPr>
        <w:t>, and so on</w:t>
      </w:r>
      <w:r w:rsidRPr="00694043">
        <w:rPr>
          <w:rFonts w:cstheme="minorHAnsi"/>
          <w:sz w:val="22"/>
        </w:rPr>
        <w:t>) set out in table</w:t>
      </w:r>
      <w:r w:rsidR="00735266">
        <w:rPr>
          <w:rFonts w:cstheme="minorHAnsi"/>
          <w:sz w:val="22"/>
        </w:rPr>
        <w:t xml:space="preserve"> </w:t>
      </w:r>
      <w:r w:rsidRPr="00694043">
        <w:rPr>
          <w:rFonts w:cstheme="minorHAnsi"/>
          <w:sz w:val="22"/>
        </w:rPr>
        <w:t>4</w:t>
      </w:r>
      <w:r>
        <w:rPr>
          <w:rFonts w:cstheme="minorHAnsi"/>
          <w:sz w:val="22"/>
        </w:rPr>
        <w:t>.</w:t>
      </w:r>
      <w:r w:rsidRPr="00694043">
        <w:rPr>
          <w:rFonts w:cstheme="minorHAnsi"/>
          <w:sz w:val="22"/>
        </w:rPr>
        <w:t>1</w:t>
      </w:r>
      <w:r>
        <w:rPr>
          <w:rFonts w:cstheme="minorHAnsi"/>
          <w:sz w:val="22"/>
        </w:rPr>
        <w:t>.</w:t>
      </w:r>
    </w:p>
    <w:p w:rsidR="004E0ECB" w:rsidRPr="002141E3" w:rsidRDefault="00B578E1" w:rsidP="00930CE9">
      <w:pPr>
        <w:pStyle w:val="Caption"/>
      </w:pPr>
      <w:r>
        <w:t>Table 4.</w:t>
      </w:r>
      <w:r w:rsidR="004D6B70">
        <w:rPr>
          <w:noProof/>
        </w:rPr>
        <w:fldChar w:fldCharType="begin"/>
      </w:r>
      <w:r w:rsidR="004D6B70">
        <w:rPr>
          <w:noProof/>
        </w:rPr>
        <w:instrText xml:space="preserve"> SEQ Table_4. \* ARABIC </w:instrText>
      </w:r>
      <w:r w:rsidR="004D6B70">
        <w:rPr>
          <w:noProof/>
        </w:rPr>
        <w:fldChar w:fldCharType="separate"/>
      </w:r>
      <w:r w:rsidR="00B02148">
        <w:rPr>
          <w:noProof/>
        </w:rPr>
        <w:t>1</w:t>
      </w:r>
      <w:r w:rsidR="004D6B70">
        <w:rPr>
          <w:noProof/>
        </w:rPr>
        <w:fldChar w:fldCharType="end"/>
      </w:r>
      <w:r>
        <w:t>.</w:t>
      </w:r>
      <w:r w:rsidRPr="00930CE9">
        <w:t xml:space="preserve"> </w:t>
      </w:r>
      <w:r w:rsidRPr="001349FA">
        <w:t xml:space="preserve">Project </w:t>
      </w:r>
      <w:r>
        <w:t>I</w:t>
      </w:r>
      <w:r w:rsidRPr="001349FA">
        <w:t xml:space="preserve">nputs and </w:t>
      </w:r>
      <w:r>
        <w:t>O</w:t>
      </w:r>
      <w:r w:rsidRPr="001349FA">
        <w:t xml:space="preserve">utputs by </w:t>
      </w:r>
      <w:r>
        <w:t>P</w:t>
      </w:r>
      <w:r w:rsidRPr="001349FA">
        <w:t xml:space="preserve">ackage of </w:t>
      </w:r>
      <w:r>
        <w:t>O</w:t>
      </w:r>
      <w:r w:rsidRPr="001349FA">
        <w:t>utputs</w:t>
      </w:r>
    </w:p>
    <w:tbl>
      <w:tblPr>
        <w:tblStyle w:val="TableGrid"/>
        <w:tblW w:w="5000" w:type="pct"/>
        <w:tblLayout w:type="fixed"/>
        <w:tblLook w:val="04A0" w:firstRow="1" w:lastRow="0" w:firstColumn="1" w:lastColumn="0" w:noHBand="0" w:noVBand="1"/>
      </w:tblPr>
      <w:tblGrid>
        <w:gridCol w:w="2097"/>
        <w:gridCol w:w="2309"/>
        <w:gridCol w:w="2309"/>
        <w:gridCol w:w="2635"/>
      </w:tblGrid>
      <w:tr w:rsidR="0006032A" w:rsidTr="00930CE9">
        <w:tc>
          <w:tcPr>
            <w:tcW w:w="1121" w:type="pct"/>
          </w:tcPr>
          <w:p w:rsidR="004E0ECB" w:rsidRPr="00930CE9" w:rsidRDefault="00B578E1" w:rsidP="00930CE9">
            <w:pPr>
              <w:jc w:val="center"/>
              <w:rPr>
                <w:rFonts w:asciiTheme="minorHAnsi" w:hAnsiTheme="minorHAnsi" w:cstheme="minorHAnsi"/>
                <w:b/>
                <w:sz w:val="20"/>
                <w:szCs w:val="22"/>
              </w:rPr>
            </w:pPr>
            <w:r w:rsidRPr="00930CE9">
              <w:rPr>
                <w:rFonts w:asciiTheme="minorHAnsi" w:hAnsiTheme="minorHAnsi" w:cstheme="minorHAnsi"/>
                <w:b/>
                <w:sz w:val="20"/>
                <w:szCs w:val="22"/>
              </w:rPr>
              <w:t xml:space="preserve">Institutions </w:t>
            </w:r>
            <w:r w:rsidR="00930CE9">
              <w:rPr>
                <w:rFonts w:asciiTheme="minorHAnsi" w:hAnsiTheme="minorHAnsi" w:cstheme="minorHAnsi"/>
                <w:b/>
                <w:sz w:val="20"/>
                <w:szCs w:val="22"/>
              </w:rPr>
              <w:t>R</w:t>
            </w:r>
            <w:r w:rsidRPr="00930CE9">
              <w:rPr>
                <w:rFonts w:asciiTheme="minorHAnsi" w:hAnsiTheme="minorHAnsi" w:cstheme="minorHAnsi"/>
                <w:b/>
                <w:sz w:val="20"/>
                <w:szCs w:val="22"/>
              </w:rPr>
              <w:t>esponsible</w:t>
            </w:r>
          </w:p>
        </w:tc>
        <w:tc>
          <w:tcPr>
            <w:tcW w:w="1235" w:type="pct"/>
          </w:tcPr>
          <w:p w:rsidR="004E0ECB" w:rsidRPr="00930CE9" w:rsidRDefault="00B578E1" w:rsidP="00930CE9">
            <w:pPr>
              <w:jc w:val="center"/>
              <w:rPr>
                <w:rFonts w:asciiTheme="minorHAnsi" w:hAnsiTheme="minorHAnsi" w:cstheme="minorHAnsi"/>
                <w:b/>
                <w:sz w:val="20"/>
                <w:szCs w:val="22"/>
              </w:rPr>
            </w:pPr>
            <w:r w:rsidRPr="00930CE9">
              <w:rPr>
                <w:rFonts w:asciiTheme="minorHAnsi" w:hAnsiTheme="minorHAnsi" w:cstheme="minorHAnsi"/>
                <w:b/>
                <w:sz w:val="20"/>
                <w:szCs w:val="22"/>
              </w:rPr>
              <w:t>Inputs (US$</w:t>
            </w:r>
            <w:r w:rsidR="00930CE9">
              <w:rPr>
                <w:rFonts w:asciiTheme="minorHAnsi" w:hAnsiTheme="minorHAnsi" w:cstheme="minorHAnsi"/>
                <w:b/>
                <w:sz w:val="20"/>
                <w:szCs w:val="22"/>
              </w:rPr>
              <w:t>, million</w:t>
            </w:r>
            <w:r w:rsidRPr="00930CE9">
              <w:rPr>
                <w:rFonts w:asciiTheme="minorHAnsi" w:hAnsiTheme="minorHAnsi" w:cstheme="minorHAnsi"/>
                <w:b/>
                <w:sz w:val="20"/>
                <w:szCs w:val="22"/>
              </w:rPr>
              <w:t>)</w:t>
            </w:r>
          </w:p>
        </w:tc>
        <w:tc>
          <w:tcPr>
            <w:tcW w:w="1235" w:type="pct"/>
          </w:tcPr>
          <w:p w:rsidR="004E0ECB" w:rsidRPr="00930CE9" w:rsidRDefault="00B578E1" w:rsidP="00930CE9">
            <w:pPr>
              <w:jc w:val="center"/>
              <w:rPr>
                <w:rFonts w:asciiTheme="minorHAnsi" w:hAnsiTheme="minorHAnsi" w:cstheme="minorHAnsi"/>
                <w:b/>
                <w:sz w:val="20"/>
                <w:szCs w:val="22"/>
              </w:rPr>
            </w:pPr>
            <w:r w:rsidRPr="00930CE9">
              <w:rPr>
                <w:rFonts w:asciiTheme="minorHAnsi" w:hAnsiTheme="minorHAnsi" w:cstheme="minorHAnsi"/>
                <w:b/>
                <w:sz w:val="20"/>
                <w:szCs w:val="22"/>
              </w:rPr>
              <w:t>Tangible Outputs</w:t>
            </w:r>
          </w:p>
        </w:tc>
        <w:tc>
          <w:tcPr>
            <w:tcW w:w="1409" w:type="pct"/>
          </w:tcPr>
          <w:p w:rsidR="004E0ECB" w:rsidRPr="00930CE9" w:rsidRDefault="00B578E1" w:rsidP="00930CE9">
            <w:pPr>
              <w:jc w:val="center"/>
              <w:rPr>
                <w:rFonts w:asciiTheme="minorHAnsi" w:hAnsiTheme="minorHAnsi" w:cstheme="minorHAnsi"/>
                <w:b/>
                <w:sz w:val="20"/>
                <w:szCs w:val="22"/>
              </w:rPr>
            </w:pPr>
            <w:r w:rsidRPr="00930CE9">
              <w:rPr>
                <w:rFonts w:asciiTheme="minorHAnsi" w:hAnsiTheme="minorHAnsi" w:cstheme="minorHAnsi"/>
                <w:b/>
                <w:sz w:val="20"/>
                <w:szCs w:val="22"/>
              </w:rPr>
              <w:t>Intangible Outputs</w:t>
            </w:r>
          </w:p>
        </w:tc>
      </w:tr>
      <w:tr w:rsidR="0006032A" w:rsidTr="00930CE9">
        <w:tc>
          <w:tcPr>
            <w:tcW w:w="1121" w:type="pct"/>
          </w:tcPr>
          <w:p w:rsidR="004E0ECB" w:rsidRPr="00FA0A03" w:rsidRDefault="00B578E1" w:rsidP="00930CE9">
            <w:pPr>
              <w:rPr>
                <w:rFonts w:asciiTheme="minorHAnsi" w:hAnsiTheme="minorHAnsi" w:cstheme="minorHAnsi"/>
                <w:sz w:val="20"/>
                <w:szCs w:val="22"/>
              </w:rPr>
            </w:pPr>
            <w:r w:rsidRPr="00FA0A03">
              <w:rPr>
                <w:rFonts w:asciiTheme="minorHAnsi" w:hAnsiTheme="minorHAnsi" w:cstheme="minorHAnsi"/>
                <w:sz w:val="20"/>
                <w:szCs w:val="22"/>
              </w:rPr>
              <w:t xml:space="preserve">PWA + </w:t>
            </w:r>
            <w:r w:rsidR="00080FB6">
              <w:rPr>
                <w:rFonts w:asciiTheme="minorHAnsi" w:hAnsiTheme="minorHAnsi" w:cstheme="minorHAnsi"/>
                <w:sz w:val="20"/>
                <w:szCs w:val="22"/>
              </w:rPr>
              <w:t>c</w:t>
            </w:r>
            <w:r w:rsidRPr="00FA0A03">
              <w:rPr>
                <w:rFonts w:asciiTheme="minorHAnsi" w:hAnsiTheme="minorHAnsi" w:cstheme="minorHAnsi"/>
                <w:sz w:val="20"/>
                <w:szCs w:val="22"/>
              </w:rPr>
              <w:t>onsulting firm</w:t>
            </w:r>
          </w:p>
        </w:tc>
        <w:tc>
          <w:tcPr>
            <w:tcW w:w="1235" w:type="pct"/>
          </w:tcPr>
          <w:p w:rsidR="004E0ECB" w:rsidRPr="00B02148" w:rsidRDefault="00B578E1" w:rsidP="00930CE9">
            <w:pPr>
              <w:rPr>
                <w:rFonts w:asciiTheme="minorHAnsi" w:hAnsiTheme="minorHAnsi" w:cstheme="minorHAnsi"/>
                <w:sz w:val="20"/>
                <w:szCs w:val="22"/>
              </w:rPr>
            </w:pPr>
            <w:r w:rsidRPr="00FA0A03">
              <w:rPr>
                <w:rFonts w:asciiTheme="minorHAnsi" w:hAnsiTheme="minorHAnsi" w:cstheme="minorHAnsi"/>
                <w:sz w:val="20"/>
                <w:szCs w:val="22"/>
              </w:rPr>
              <w:t>5.3</w:t>
            </w:r>
            <w:r w:rsidR="00930CE9">
              <w:rPr>
                <w:rFonts w:asciiTheme="minorHAnsi" w:hAnsiTheme="minorHAnsi" w:cstheme="minorHAnsi"/>
                <w:sz w:val="20"/>
                <w:szCs w:val="22"/>
              </w:rPr>
              <w:t xml:space="preserve"> </w:t>
            </w:r>
            <w:r w:rsidRPr="00B02148">
              <w:rPr>
                <w:rFonts w:asciiTheme="minorHAnsi" w:hAnsiTheme="minorHAnsi" w:cstheme="minorHAnsi"/>
                <w:sz w:val="20"/>
                <w:szCs w:val="22"/>
              </w:rPr>
              <w:t>W</w:t>
            </w:r>
            <w:r w:rsidR="00930CE9">
              <w:rPr>
                <w:rFonts w:asciiTheme="minorHAnsi" w:hAnsiTheme="minorHAnsi" w:cstheme="minorHAnsi"/>
                <w:sz w:val="20"/>
                <w:szCs w:val="22"/>
              </w:rPr>
              <w:t xml:space="preserve">orld </w:t>
            </w:r>
            <w:r w:rsidRPr="00B02148">
              <w:rPr>
                <w:rFonts w:asciiTheme="minorHAnsi" w:hAnsiTheme="minorHAnsi" w:cstheme="minorHAnsi"/>
                <w:sz w:val="20"/>
                <w:szCs w:val="22"/>
              </w:rPr>
              <w:t>B</w:t>
            </w:r>
            <w:r w:rsidR="00930CE9">
              <w:rPr>
                <w:rFonts w:asciiTheme="minorHAnsi" w:hAnsiTheme="minorHAnsi" w:cstheme="minorHAnsi"/>
                <w:sz w:val="20"/>
                <w:szCs w:val="22"/>
              </w:rPr>
              <w:t>ank</w:t>
            </w:r>
            <w:r w:rsidRPr="00B02148">
              <w:rPr>
                <w:rFonts w:asciiTheme="minorHAnsi" w:hAnsiTheme="minorHAnsi" w:cstheme="minorHAnsi"/>
                <w:sz w:val="20"/>
                <w:szCs w:val="22"/>
              </w:rPr>
              <w:t xml:space="preserve"> + </w:t>
            </w:r>
          </w:p>
          <w:p w:rsidR="004E0ECB" w:rsidRPr="00B02148" w:rsidRDefault="00B578E1" w:rsidP="00930CE9">
            <w:pPr>
              <w:rPr>
                <w:rFonts w:asciiTheme="minorHAnsi" w:hAnsiTheme="minorHAnsi" w:cstheme="minorHAnsi"/>
                <w:sz w:val="20"/>
                <w:szCs w:val="22"/>
              </w:rPr>
            </w:pPr>
            <w:r w:rsidRPr="00B02148">
              <w:rPr>
                <w:rFonts w:asciiTheme="minorHAnsi" w:hAnsiTheme="minorHAnsi" w:cstheme="minorHAnsi"/>
                <w:sz w:val="20"/>
                <w:szCs w:val="22"/>
              </w:rPr>
              <w:t>1.4</w:t>
            </w:r>
            <w:r w:rsidR="00930CE9">
              <w:rPr>
                <w:rFonts w:asciiTheme="minorHAnsi" w:hAnsiTheme="minorHAnsi" w:cstheme="minorHAnsi"/>
                <w:sz w:val="20"/>
                <w:szCs w:val="22"/>
              </w:rPr>
              <w:t xml:space="preserve"> </w:t>
            </w:r>
            <w:r w:rsidRPr="00B02148">
              <w:rPr>
                <w:rFonts w:asciiTheme="minorHAnsi" w:hAnsiTheme="minorHAnsi" w:cstheme="minorHAnsi"/>
                <w:sz w:val="20"/>
                <w:szCs w:val="22"/>
              </w:rPr>
              <w:t xml:space="preserve">AFD </w:t>
            </w:r>
          </w:p>
          <w:p w:rsidR="004E0ECB" w:rsidRPr="00B02148" w:rsidRDefault="00B578E1" w:rsidP="00930CE9">
            <w:pPr>
              <w:rPr>
                <w:rFonts w:asciiTheme="minorHAnsi" w:hAnsiTheme="minorHAnsi" w:cstheme="minorHAnsi"/>
                <w:sz w:val="20"/>
                <w:szCs w:val="22"/>
              </w:rPr>
            </w:pPr>
            <w:r w:rsidRPr="00B02148">
              <w:rPr>
                <w:rFonts w:asciiTheme="minorHAnsi" w:hAnsiTheme="minorHAnsi" w:cstheme="minorHAnsi"/>
                <w:sz w:val="20"/>
                <w:szCs w:val="22"/>
              </w:rPr>
              <w:t>= 6.7</w:t>
            </w:r>
            <w:r w:rsidR="00930CE9">
              <w:rPr>
                <w:rFonts w:asciiTheme="minorHAnsi" w:hAnsiTheme="minorHAnsi" w:cstheme="minorHAnsi"/>
                <w:sz w:val="20"/>
                <w:szCs w:val="22"/>
              </w:rPr>
              <w:t xml:space="preserve"> </w:t>
            </w:r>
          </w:p>
        </w:tc>
        <w:tc>
          <w:tcPr>
            <w:tcW w:w="1235" w:type="pct"/>
          </w:tcPr>
          <w:p w:rsidR="004E0ECB" w:rsidRPr="00B02148" w:rsidRDefault="00B578E1" w:rsidP="00930CE9">
            <w:pPr>
              <w:rPr>
                <w:rFonts w:asciiTheme="minorHAnsi" w:hAnsiTheme="minorHAnsi" w:cstheme="minorHAnsi"/>
                <w:sz w:val="20"/>
                <w:szCs w:val="22"/>
              </w:rPr>
            </w:pPr>
            <w:r w:rsidRPr="00B02148">
              <w:rPr>
                <w:rFonts w:asciiTheme="minorHAnsi" w:hAnsiTheme="minorHAnsi" w:cstheme="minorHAnsi"/>
                <w:sz w:val="20"/>
                <w:szCs w:val="22"/>
              </w:rPr>
              <w:t xml:space="preserve">Reform instruments: </w:t>
            </w:r>
            <w:r w:rsidR="00FA0A03">
              <w:rPr>
                <w:rFonts w:asciiTheme="minorHAnsi" w:hAnsiTheme="minorHAnsi" w:cstheme="minorHAnsi"/>
                <w:sz w:val="20"/>
                <w:szCs w:val="22"/>
              </w:rPr>
              <w:t>l</w:t>
            </w:r>
            <w:r w:rsidRPr="00B02148">
              <w:rPr>
                <w:rFonts w:asciiTheme="minorHAnsi" w:hAnsiTheme="minorHAnsi" w:cstheme="minorHAnsi"/>
                <w:sz w:val="20"/>
                <w:szCs w:val="22"/>
              </w:rPr>
              <w:t>aws, policies, strategies</w:t>
            </w:r>
            <w:r w:rsidR="00930CE9">
              <w:rPr>
                <w:rFonts w:asciiTheme="minorHAnsi" w:hAnsiTheme="minorHAnsi" w:cstheme="minorHAnsi"/>
                <w:sz w:val="20"/>
                <w:szCs w:val="22"/>
              </w:rPr>
              <w:t>,</w:t>
            </w:r>
            <w:r w:rsidRPr="00B02148">
              <w:rPr>
                <w:rFonts w:asciiTheme="minorHAnsi" w:hAnsiTheme="minorHAnsi" w:cstheme="minorHAnsi"/>
                <w:sz w:val="20"/>
                <w:szCs w:val="22"/>
              </w:rPr>
              <w:t xml:space="preserve"> and regulations</w:t>
            </w:r>
          </w:p>
        </w:tc>
        <w:tc>
          <w:tcPr>
            <w:tcW w:w="1409" w:type="pct"/>
          </w:tcPr>
          <w:p w:rsidR="004E0ECB" w:rsidRPr="00B02148" w:rsidRDefault="00B578E1" w:rsidP="00930CE9">
            <w:pPr>
              <w:rPr>
                <w:rFonts w:asciiTheme="minorHAnsi" w:hAnsiTheme="minorHAnsi" w:cstheme="minorHAnsi"/>
                <w:sz w:val="20"/>
                <w:szCs w:val="22"/>
              </w:rPr>
            </w:pPr>
            <w:r w:rsidRPr="00B02148">
              <w:rPr>
                <w:rFonts w:asciiTheme="minorHAnsi" w:hAnsiTheme="minorHAnsi" w:cstheme="minorHAnsi"/>
                <w:sz w:val="20"/>
                <w:szCs w:val="22"/>
              </w:rPr>
              <w:t xml:space="preserve">Reform ownership, consensus building, capacity improvements, </w:t>
            </w:r>
          </w:p>
        </w:tc>
      </w:tr>
      <w:tr w:rsidR="0006032A" w:rsidTr="00930CE9">
        <w:tc>
          <w:tcPr>
            <w:tcW w:w="1121" w:type="pct"/>
          </w:tcPr>
          <w:p w:rsidR="004E0ECB" w:rsidRPr="00930CE9" w:rsidRDefault="00B578E1" w:rsidP="00930CE9">
            <w:pPr>
              <w:rPr>
                <w:rFonts w:asciiTheme="minorHAnsi" w:hAnsiTheme="minorHAnsi" w:cstheme="minorHAnsi"/>
                <w:sz w:val="20"/>
                <w:szCs w:val="22"/>
              </w:rPr>
            </w:pPr>
            <w:r w:rsidRPr="00930CE9">
              <w:rPr>
                <w:rFonts w:asciiTheme="minorHAnsi" w:hAnsiTheme="minorHAnsi" w:cstheme="minorHAnsi"/>
                <w:sz w:val="20"/>
                <w:szCs w:val="22"/>
              </w:rPr>
              <w:t>WSRC</w:t>
            </w:r>
          </w:p>
        </w:tc>
        <w:tc>
          <w:tcPr>
            <w:tcW w:w="1235" w:type="pct"/>
          </w:tcPr>
          <w:p w:rsidR="004E0ECB" w:rsidRPr="00930CE9" w:rsidRDefault="00B578E1" w:rsidP="00930CE9">
            <w:pPr>
              <w:rPr>
                <w:rFonts w:asciiTheme="minorHAnsi" w:hAnsiTheme="minorHAnsi" w:cstheme="minorHAnsi"/>
                <w:sz w:val="20"/>
                <w:szCs w:val="22"/>
              </w:rPr>
            </w:pPr>
            <w:r w:rsidRPr="00930CE9">
              <w:rPr>
                <w:rFonts w:asciiTheme="minorHAnsi" w:hAnsiTheme="minorHAnsi" w:cstheme="minorHAnsi"/>
                <w:sz w:val="20"/>
                <w:szCs w:val="22"/>
              </w:rPr>
              <w:t>1</w:t>
            </w:r>
          </w:p>
        </w:tc>
        <w:tc>
          <w:tcPr>
            <w:tcW w:w="1235" w:type="pct"/>
          </w:tcPr>
          <w:p w:rsidR="004E0ECB" w:rsidRPr="00B02148" w:rsidRDefault="00B578E1" w:rsidP="00930CE9">
            <w:pPr>
              <w:rPr>
                <w:rFonts w:asciiTheme="minorHAnsi" w:hAnsiTheme="minorHAnsi" w:cstheme="minorHAnsi"/>
                <w:sz w:val="20"/>
                <w:szCs w:val="22"/>
              </w:rPr>
            </w:pPr>
            <w:r w:rsidRPr="00930CE9">
              <w:rPr>
                <w:rFonts w:asciiTheme="minorHAnsi" w:hAnsiTheme="minorHAnsi" w:cstheme="minorHAnsi"/>
                <w:sz w:val="20"/>
                <w:szCs w:val="22"/>
              </w:rPr>
              <w:t xml:space="preserve">Utility performance reports: </w:t>
            </w:r>
            <w:r w:rsidR="008D27C7">
              <w:rPr>
                <w:rFonts w:asciiTheme="minorHAnsi" w:hAnsiTheme="minorHAnsi" w:cstheme="minorHAnsi"/>
                <w:sz w:val="20"/>
                <w:szCs w:val="22"/>
              </w:rPr>
              <w:t>SP</w:t>
            </w:r>
            <w:r w:rsidRPr="00B02148">
              <w:rPr>
                <w:rFonts w:asciiTheme="minorHAnsi" w:hAnsiTheme="minorHAnsi" w:cstheme="minorHAnsi"/>
                <w:sz w:val="20"/>
                <w:szCs w:val="22"/>
              </w:rPr>
              <w:t xml:space="preserve"> performance reports</w:t>
            </w:r>
          </w:p>
        </w:tc>
        <w:tc>
          <w:tcPr>
            <w:tcW w:w="1409" w:type="pct"/>
          </w:tcPr>
          <w:p w:rsidR="004E0ECB" w:rsidRPr="00930CE9" w:rsidRDefault="00B578E1" w:rsidP="00930CE9">
            <w:pPr>
              <w:rPr>
                <w:rFonts w:asciiTheme="minorHAnsi" w:hAnsiTheme="minorHAnsi" w:cstheme="minorHAnsi"/>
                <w:sz w:val="20"/>
                <w:szCs w:val="22"/>
              </w:rPr>
            </w:pPr>
            <w:r w:rsidRPr="00B02148">
              <w:rPr>
                <w:rFonts w:asciiTheme="minorHAnsi" w:hAnsiTheme="minorHAnsi" w:cstheme="minorHAnsi"/>
                <w:sz w:val="20"/>
                <w:szCs w:val="22"/>
              </w:rPr>
              <w:t xml:space="preserve">Learning and experience sharing platform for </w:t>
            </w:r>
            <w:r w:rsidR="008D27C7">
              <w:rPr>
                <w:rFonts w:asciiTheme="minorHAnsi" w:hAnsiTheme="minorHAnsi" w:cstheme="minorHAnsi"/>
                <w:sz w:val="20"/>
                <w:szCs w:val="22"/>
              </w:rPr>
              <w:t>SP</w:t>
            </w:r>
            <w:r w:rsidRPr="00930CE9">
              <w:rPr>
                <w:rFonts w:asciiTheme="minorHAnsi" w:hAnsiTheme="minorHAnsi" w:cstheme="minorHAnsi"/>
                <w:sz w:val="20"/>
                <w:szCs w:val="22"/>
              </w:rPr>
              <w:t>s</w:t>
            </w:r>
          </w:p>
        </w:tc>
      </w:tr>
    </w:tbl>
    <w:p w:rsidR="004E0ECB" w:rsidRPr="00FA0A03" w:rsidRDefault="00B578E1" w:rsidP="004E0ECB">
      <w:pPr>
        <w:jc w:val="both"/>
        <w:rPr>
          <w:rFonts w:asciiTheme="minorHAnsi" w:hAnsiTheme="minorHAnsi" w:cstheme="minorHAnsi"/>
          <w:sz w:val="20"/>
          <w:szCs w:val="22"/>
        </w:rPr>
      </w:pPr>
      <w:r w:rsidRPr="00FA0A03">
        <w:rPr>
          <w:rFonts w:asciiTheme="minorHAnsi" w:hAnsiTheme="minorHAnsi" w:cstheme="minorHAnsi"/>
          <w:i/>
          <w:sz w:val="20"/>
          <w:szCs w:val="22"/>
        </w:rPr>
        <w:t>Source:</w:t>
      </w:r>
      <w:r w:rsidRPr="00FA0A03">
        <w:rPr>
          <w:rFonts w:asciiTheme="minorHAnsi" w:hAnsiTheme="minorHAnsi" w:cstheme="minorHAnsi"/>
          <w:sz w:val="20"/>
          <w:szCs w:val="22"/>
        </w:rPr>
        <w:t xml:space="preserve"> World Bank project accounts and client ICR</w:t>
      </w:r>
      <w:r w:rsidR="00950C8C" w:rsidRPr="00FA0A03">
        <w:rPr>
          <w:rFonts w:asciiTheme="minorHAnsi" w:hAnsiTheme="minorHAnsi" w:cstheme="minorHAnsi"/>
          <w:sz w:val="20"/>
          <w:szCs w:val="22"/>
        </w:rPr>
        <w:t>.</w:t>
      </w:r>
    </w:p>
    <w:p w:rsidR="004E0ECB" w:rsidRDefault="00B578E1" w:rsidP="00A63A6F">
      <w:pPr>
        <w:pStyle w:val="Normal0"/>
        <w:numPr>
          <w:ilvl w:val="0"/>
          <w:numId w:val="11"/>
        </w:numPr>
        <w:spacing w:after="240" w:line="240" w:lineRule="auto"/>
        <w:ind w:left="0" w:firstLine="0"/>
        <w:jc w:val="both"/>
        <w:rPr>
          <w:sz w:val="22"/>
        </w:rPr>
      </w:pPr>
      <w:r w:rsidRPr="00930CE9">
        <w:rPr>
          <w:b/>
          <w:sz w:val="22"/>
        </w:rPr>
        <w:t xml:space="preserve">Reform instruments and </w:t>
      </w:r>
      <w:r w:rsidR="004F148C">
        <w:rPr>
          <w:b/>
          <w:sz w:val="22"/>
        </w:rPr>
        <w:t>VFM</w:t>
      </w:r>
      <w:r w:rsidRPr="00FA0A03">
        <w:rPr>
          <w:b/>
          <w:sz w:val="22"/>
        </w:rPr>
        <w:t>.</w:t>
      </w:r>
      <w:r w:rsidRPr="001349FA">
        <w:rPr>
          <w:sz w:val="22"/>
        </w:rPr>
        <w:t xml:space="preserve"> Over the past few years</w:t>
      </w:r>
      <w:r>
        <w:rPr>
          <w:sz w:val="22"/>
        </w:rPr>
        <w:t>,</w:t>
      </w:r>
      <w:r w:rsidRPr="001349FA">
        <w:rPr>
          <w:sz w:val="22"/>
        </w:rPr>
        <w:t xml:space="preserve"> there have been similar types of sector reform projects in Papua New Guinea, Sierra Leone</w:t>
      </w:r>
      <w:r>
        <w:rPr>
          <w:sz w:val="22"/>
        </w:rPr>
        <w:t>,</w:t>
      </w:r>
      <w:r w:rsidRPr="001349FA">
        <w:rPr>
          <w:sz w:val="22"/>
        </w:rPr>
        <w:t xml:space="preserve"> and Zimbabwe all of which are countries that have experienced fragility and are of comparable population sizes. All of these projects have involved getting high-level endorsement (by a cabinet or council of ministers) of an anchor document (a law or policy) that sets out a reformed institutional framework and policy </w:t>
      </w:r>
      <w:r w:rsidRPr="00B02148">
        <w:rPr>
          <w:sz w:val="22"/>
        </w:rPr>
        <w:t>principles</w:t>
      </w:r>
      <w:r w:rsidRPr="001349FA">
        <w:rPr>
          <w:sz w:val="22"/>
        </w:rPr>
        <w:t xml:space="preserve"> for sector management. The projects also all aimed at realizing the institutional vision set out in the anchor document over a period of around </w:t>
      </w:r>
      <w:r>
        <w:rPr>
          <w:sz w:val="22"/>
        </w:rPr>
        <w:t>five</w:t>
      </w:r>
      <w:r w:rsidRPr="001349FA">
        <w:rPr>
          <w:sz w:val="22"/>
        </w:rPr>
        <w:t xml:space="preserve"> years (see table </w:t>
      </w:r>
      <w:r>
        <w:rPr>
          <w:sz w:val="22"/>
        </w:rPr>
        <w:t>4.2</w:t>
      </w:r>
      <w:r w:rsidRPr="001349FA">
        <w:rPr>
          <w:sz w:val="22"/>
        </w:rPr>
        <w:t xml:space="preserve">). Costs across these projects ranged from </w:t>
      </w:r>
      <w:r>
        <w:rPr>
          <w:sz w:val="22"/>
        </w:rPr>
        <w:t>US</w:t>
      </w:r>
      <w:r w:rsidRPr="001349FA">
        <w:rPr>
          <w:sz w:val="22"/>
        </w:rPr>
        <w:t>$3.7</w:t>
      </w:r>
      <w:r>
        <w:rPr>
          <w:sz w:val="22"/>
        </w:rPr>
        <w:t xml:space="preserve"> </w:t>
      </w:r>
      <w:r w:rsidRPr="001349FA">
        <w:rPr>
          <w:sz w:val="22"/>
        </w:rPr>
        <w:t>m</w:t>
      </w:r>
      <w:r>
        <w:rPr>
          <w:sz w:val="22"/>
        </w:rPr>
        <w:t>illion</w:t>
      </w:r>
      <w:r w:rsidRPr="001349FA">
        <w:rPr>
          <w:sz w:val="22"/>
        </w:rPr>
        <w:t xml:space="preserve"> in Zimbabwe to </w:t>
      </w:r>
      <w:r>
        <w:rPr>
          <w:sz w:val="22"/>
        </w:rPr>
        <w:t>US</w:t>
      </w:r>
      <w:r w:rsidRPr="001349FA">
        <w:rPr>
          <w:sz w:val="22"/>
        </w:rPr>
        <w:t>$6.7</w:t>
      </w:r>
      <w:r>
        <w:rPr>
          <w:sz w:val="22"/>
        </w:rPr>
        <w:t xml:space="preserve"> </w:t>
      </w:r>
      <w:r w:rsidRPr="001349FA">
        <w:rPr>
          <w:sz w:val="22"/>
        </w:rPr>
        <w:t>m</w:t>
      </w:r>
      <w:r>
        <w:rPr>
          <w:sz w:val="22"/>
        </w:rPr>
        <w:t>illion</w:t>
      </w:r>
      <w:r w:rsidRPr="001349FA">
        <w:rPr>
          <w:sz w:val="22"/>
        </w:rPr>
        <w:t xml:space="preserve"> in West Bank and Gaza. Each project spanned a similar combination of outputs: law/policy, strategies, institutional framework, investment plans</w:t>
      </w:r>
      <w:r>
        <w:rPr>
          <w:sz w:val="22"/>
        </w:rPr>
        <w:t>,</w:t>
      </w:r>
      <w:r w:rsidRPr="001349FA">
        <w:rPr>
          <w:sz w:val="22"/>
        </w:rPr>
        <w:t xml:space="preserve"> and regulatory mechanism</w:t>
      </w:r>
      <w:r>
        <w:rPr>
          <w:sz w:val="22"/>
        </w:rPr>
        <w:t>—</w:t>
      </w:r>
      <w:r w:rsidRPr="001349FA">
        <w:rPr>
          <w:sz w:val="22"/>
        </w:rPr>
        <w:t>albeit with some variation at the margin. Three of the projects (West Bank and Gaza, Sierra Leone</w:t>
      </w:r>
      <w:r>
        <w:rPr>
          <w:sz w:val="22"/>
        </w:rPr>
        <w:t>,</w:t>
      </w:r>
      <w:r w:rsidRPr="001349FA">
        <w:rPr>
          <w:sz w:val="22"/>
        </w:rPr>
        <w:t xml:space="preserve"> and Zimbabwe) involved setting up an independent regulator</w:t>
      </w:r>
      <w:r>
        <w:rPr>
          <w:sz w:val="22"/>
        </w:rPr>
        <w:t>,</w:t>
      </w:r>
      <w:r w:rsidRPr="001349FA">
        <w:rPr>
          <w:sz w:val="22"/>
        </w:rPr>
        <w:t xml:space="preserve"> while the fourth (P</w:t>
      </w:r>
      <w:r w:rsidR="00811009">
        <w:rPr>
          <w:sz w:val="22"/>
        </w:rPr>
        <w:t xml:space="preserve">apua </w:t>
      </w:r>
      <w:r w:rsidRPr="00B02148">
        <w:rPr>
          <w:sz w:val="22"/>
        </w:rPr>
        <w:t>N</w:t>
      </w:r>
      <w:r w:rsidR="00811009">
        <w:rPr>
          <w:sz w:val="22"/>
        </w:rPr>
        <w:t xml:space="preserve">ew </w:t>
      </w:r>
      <w:r w:rsidRPr="00B02148">
        <w:rPr>
          <w:sz w:val="22"/>
        </w:rPr>
        <w:t>G</w:t>
      </w:r>
      <w:r w:rsidR="00811009">
        <w:rPr>
          <w:sz w:val="22"/>
        </w:rPr>
        <w:t>uinea</w:t>
      </w:r>
      <w:r w:rsidRPr="001349FA">
        <w:rPr>
          <w:sz w:val="22"/>
        </w:rPr>
        <w:t xml:space="preserve">) only involved setting up of </w:t>
      </w:r>
      <w:r w:rsidR="00811009">
        <w:rPr>
          <w:sz w:val="22"/>
        </w:rPr>
        <w:t xml:space="preserve">a </w:t>
      </w:r>
      <w:r w:rsidRPr="001349FA">
        <w:rPr>
          <w:sz w:val="22"/>
        </w:rPr>
        <w:t xml:space="preserve">mechanism to monitor the performance of services providers. </w:t>
      </w:r>
    </w:p>
    <w:p w:rsidR="004E0ECB" w:rsidRPr="002141E3" w:rsidRDefault="00B578E1" w:rsidP="00B02148">
      <w:pPr>
        <w:pStyle w:val="Caption"/>
      </w:pPr>
      <w:r w:rsidRPr="00B02148">
        <w:lastRenderedPageBreak/>
        <w:t>Table 4.</w:t>
      </w:r>
      <w:r w:rsidRPr="00B02148">
        <w:fldChar w:fldCharType="begin"/>
      </w:r>
      <w:r>
        <w:instrText xml:space="preserve"> SEQ Table_4. \* ARABIC </w:instrText>
      </w:r>
      <w:r w:rsidRPr="00B02148">
        <w:fldChar w:fldCharType="separate"/>
      </w:r>
      <w:r w:rsidRPr="00B02148">
        <w:t>2</w:t>
      </w:r>
      <w:r w:rsidRPr="00B02148">
        <w:fldChar w:fldCharType="end"/>
      </w:r>
      <w:r w:rsidRPr="00B02148">
        <w:t>.West Bank and Gaza Water Sector Capacity Building and Comparator Projects</w:t>
      </w:r>
    </w:p>
    <w:tbl>
      <w:tblPr>
        <w:tblStyle w:val="TableGrid"/>
        <w:tblW w:w="5000" w:type="pct"/>
        <w:tblLook w:val="04A0" w:firstRow="1" w:lastRow="0" w:firstColumn="1" w:lastColumn="0" w:noHBand="0" w:noVBand="1"/>
      </w:tblPr>
      <w:tblGrid>
        <w:gridCol w:w="1798"/>
        <w:gridCol w:w="1791"/>
        <w:gridCol w:w="1984"/>
        <w:gridCol w:w="1984"/>
        <w:gridCol w:w="1793"/>
      </w:tblGrid>
      <w:tr w:rsidR="0006032A" w:rsidTr="008A63BA">
        <w:tc>
          <w:tcPr>
            <w:tcW w:w="961" w:type="pct"/>
          </w:tcPr>
          <w:p w:rsidR="004E0ECB" w:rsidRPr="00B02148" w:rsidRDefault="00B578E1" w:rsidP="00B02148">
            <w:pPr>
              <w:jc w:val="center"/>
              <w:rPr>
                <w:rFonts w:asciiTheme="minorHAnsi" w:hAnsiTheme="minorHAnsi" w:cstheme="minorHAnsi"/>
                <w:b/>
                <w:sz w:val="20"/>
                <w:szCs w:val="22"/>
              </w:rPr>
            </w:pPr>
            <w:r w:rsidRPr="00B02148">
              <w:rPr>
                <w:rFonts w:asciiTheme="minorHAnsi" w:hAnsiTheme="minorHAnsi" w:cstheme="minorHAnsi"/>
                <w:b/>
                <w:sz w:val="20"/>
                <w:szCs w:val="22"/>
              </w:rPr>
              <w:t>Country</w:t>
            </w:r>
          </w:p>
        </w:tc>
        <w:tc>
          <w:tcPr>
            <w:tcW w:w="958" w:type="pct"/>
          </w:tcPr>
          <w:p w:rsidR="004E0ECB" w:rsidRPr="00B02148" w:rsidRDefault="00B578E1" w:rsidP="00B02148">
            <w:pPr>
              <w:jc w:val="center"/>
              <w:rPr>
                <w:rFonts w:asciiTheme="minorHAnsi" w:hAnsiTheme="minorHAnsi" w:cstheme="minorHAnsi"/>
                <w:b/>
                <w:sz w:val="20"/>
                <w:szCs w:val="22"/>
              </w:rPr>
            </w:pPr>
            <w:r w:rsidRPr="00B02148">
              <w:rPr>
                <w:rFonts w:asciiTheme="minorHAnsi" w:hAnsiTheme="minorHAnsi" w:cstheme="minorHAnsi"/>
                <w:b/>
                <w:sz w:val="20"/>
                <w:szCs w:val="22"/>
              </w:rPr>
              <w:t>Input Costs (US$</w:t>
            </w:r>
            <w:r w:rsidR="00B02148">
              <w:rPr>
                <w:rFonts w:asciiTheme="minorHAnsi" w:hAnsiTheme="minorHAnsi" w:cstheme="minorHAnsi"/>
                <w:b/>
                <w:sz w:val="20"/>
                <w:szCs w:val="22"/>
              </w:rPr>
              <w:t>, million</w:t>
            </w:r>
            <w:r w:rsidRPr="00B02148">
              <w:rPr>
                <w:rFonts w:asciiTheme="minorHAnsi" w:hAnsiTheme="minorHAnsi" w:cstheme="minorHAnsi"/>
                <w:b/>
                <w:sz w:val="20"/>
                <w:szCs w:val="22"/>
              </w:rPr>
              <w:t>)</w:t>
            </w:r>
          </w:p>
        </w:tc>
        <w:tc>
          <w:tcPr>
            <w:tcW w:w="1061" w:type="pct"/>
          </w:tcPr>
          <w:p w:rsidR="004E0ECB" w:rsidRPr="00B02148" w:rsidRDefault="00B578E1" w:rsidP="00B02148">
            <w:pPr>
              <w:jc w:val="center"/>
              <w:rPr>
                <w:rFonts w:asciiTheme="minorHAnsi" w:hAnsiTheme="minorHAnsi" w:cstheme="minorHAnsi"/>
                <w:b/>
                <w:sz w:val="20"/>
                <w:szCs w:val="22"/>
              </w:rPr>
            </w:pPr>
            <w:r w:rsidRPr="00B02148">
              <w:rPr>
                <w:rFonts w:asciiTheme="minorHAnsi" w:hAnsiTheme="minorHAnsi" w:cstheme="minorHAnsi"/>
                <w:b/>
                <w:sz w:val="20"/>
                <w:szCs w:val="22"/>
              </w:rPr>
              <w:t xml:space="preserve">Implementation </w:t>
            </w:r>
            <w:r w:rsidR="00B02148">
              <w:rPr>
                <w:rFonts w:asciiTheme="minorHAnsi" w:hAnsiTheme="minorHAnsi" w:cstheme="minorHAnsi"/>
                <w:b/>
                <w:sz w:val="20"/>
                <w:szCs w:val="22"/>
              </w:rPr>
              <w:t>A</w:t>
            </w:r>
            <w:r w:rsidRPr="00B02148">
              <w:rPr>
                <w:rFonts w:asciiTheme="minorHAnsi" w:hAnsiTheme="minorHAnsi" w:cstheme="minorHAnsi"/>
                <w:b/>
                <w:sz w:val="20"/>
                <w:szCs w:val="22"/>
              </w:rPr>
              <w:t>rrangements</w:t>
            </w:r>
          </w:p>
        </w:tc>
        <w:tc>
          <w:tcPr>
            <w:tcW w:w="1061" w:type="pct"/>
          </w:tcPr>
          <w:p w:rsidR="004E0ECB" w:rsidRPr="00B02148" w:rsidRDefault="00B578E1" w:rsidP="00B02148">
            <w:pPr>
              <w:jc w:val="center"/>
              <w:rPr>
                <w:rFonts w:asciiTheme="minorHAnsi" w:hAnsiTheme="minorHAnsi" w:cstheme="minorHAnsi"/>
                <w:b/>
                <w:sz w:val="20"/>
                <w:szCs w:val="22"/>
              </w:rPr>
            </w:pPr>
            <w:r w:rsidRPr="00B02148">
              <w:rPr>
                <w:rFonts w:asciiTheme="minorHAnsi" w:hAnsiTheme="minorHAnsi" w:cstheme="minorHAnsi"/>
                <w:b/>
                <w:sz w:val="20"/>
                <w:szCs w:val="22"/>
              </w:rPr>
              <w:t xml:space="preserve">Tangible Outputs Reform </w:t>
            </w:r>
            <w:r w:rsidR="00B02148">
              <w:rPr>
                <w:rFonts w:asciiTheme="minorHAnsi" w:hAnsiTheme="minorHAnsi" w:cstheme="minorHAnsi"/>
                <w:b/>
                <w:sz w:val="20"/>
                <w:szCs w:val="22"/>
              </w:rPr>
              <w:t>D</w:t>
            </w:r>
            <w:r w:rsidRPr="00B02148">
              <w:rPr>
                <w:rFonts w:asciiTheme="minorHAnsi" w:hAnsiTheme="minorHAnsi" w:cstheme="minorHAnsi"/>
                <w:b/>
                <w:sz w:val="20"/>
                <w:szCs w:val="22"/>
              </w:rPr>
              <w:t>ocumentation</w:t>
            </w:r>
          </w:p>
        </w:tc>
        <w:tc>
          <w:tcPr>
            <w:tcW w:w="959" w:type="pct"/>
          </w:tcPr>
          <w:p w:rsidR="004E0ECB" w:rsidRPr="00B02148" w:rsidRDefault="00B578E1" w:rsidP="00B02148">
            <w:pPr>
              <w:jc w:val="center"/>
              <w:rPr>
                <w:rFonts w:asciiTheme="minorHAnsi" w:hAnsiTheme="minorHAnsi" w:cstheme="minorHAnsi"/>
                <w:b/>
                <w:sz w:val="20"/>
                <w:szCs w:val="22"/>
              </w:rPr>
            </w:pPr>
            <w:r w:rsidRPr="00B02148">
              <w:rPr>
                <w:rFonts w:asciiTheme="minorHAnsi" w:hAnsiTheme="minorHAnsi" w:cstheme="minorHAnsi"/>
                <w:b/>
                <w:sz w:val="20"/>
                <w:szCs w:val="22"/>
              </w:rPr>
              <w:t>Intangible Outputs</w:t>
            </w:r>
          </w:p>
        </w:tc>
      </w:tr>
      <w:tr w:rsidR="0006032A" w:rsidTr="008A63BA">
        <w:tc>
          <w:tcPr>
            <w:tcW w:w="9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West Bank and Gaza</w:t>
            </w:r>
            <w:r w:rsidR="003E6004" w:rsidRPr="003E6004">
              <w:rPr>
                <w:rFonts w:asciiTheme="minorHAnsi" w:hAnsiTheme="minorHAnsi"/>
                <w:sz w:val="20"/>
                <w:szCs w:val="20"/>
                <w:vertAlign w:val="superscript"/>
              </w:rPr>
              <w:t xml:space="preserve"> a</w:t>
            </w:r>
          </w:p>
        </w:tc>
        <w:tc>
          <w:tcPr>
            <w:tcW w:w="958"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5.3 + 1.4 AFD = 6.7 RE</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RE project led by PWA supported by a consulting firm</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Laws, strategies, institutional framework, investment plans, and setup of regulator </w:t>
            </w:r>
          </w:p>
        </w:tc>
        <w:tc>
          <w:tcPr>
            <w:tcW w:w="959"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Reform ownership, stakeholder consensus building, </w:t>
            </w:r>
            <w:r w:rsidR="00811009">
              <w:rPr>
                <w:rFonts w:asciiTheme="minorHAnsi" w:hAnsiTheme="minorHAnsi" w:cstheme="minorHAnsi"/>
                <w:sz w:val="20"/>
                <w:szCs w:val="22"/>
              </w:rPr>
              <w:t xml:space="preserve">and </w:t>
            </w:r>
            <w:r w:rsidRPr="00B02148">
              <w:rPr>
                <w:rFonts w:asciiTheme="minorHAnsi" w:hAnsiTheme="minorHAnsi" w:cstheme="minorHAnsi"/>
                <w:sz w:val="20"/>
                <w:szCs w:val="22"/>
              </w:rPr>
              <w:t>capacity improvements</w:t>
            </w:r>
          </w:p>
        </w:tc>
      </w:tr>
      <w:tr w:rsidR="0006032A" w:rsidTr="008A63BA">
        <w:tc>
          <w:tcPr>
            <w:tcW w:w="9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Sierra Leone</w:t>
            </w:r>
          </w:p>
        </w:tc>
        <w:tc>
          <w:tcPr>
            <w:tcW w:w="958"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5.6 </w:t>
            </w:r>
          </w:p>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(£3.95</w:t>
            </w:r>
            <w:r w:rsidR="00B02148">
              <w:rPr>
                <w:rFonts w:asciiTheme="minorHAnsi" w:hAnsiTheme="minorHAnsi" w:cstheme="minorHAnsi"/>
                <w:sz w:val="20"/>
                <w:szCs w:val="22"/>
              </w:rPr>
              <w:t xml:space="preserve"> </w:t>
            </w:r>
            <w:r w:rsidRPr="00B02148">
              <w:rPr>
                <w:rFonts w:asciiTheme="minorHAnsi" w:hAnsiTheme="minorHAnsi" w:cstheme="minorHAnsi"/>
                <w:sz w:val="20"/>
                <w:szCs w:val="22"/>
              </w:rPr>
              <w:t>m</w:t>
            </w:r>
            <w:r w:rsidR="00B02148">
              <w:rPr>
                <w:rFonts w:asciiTheme="minorHAnsi" w:hAnsiTheme="minorHAnsi" w:cstheme="minorHAnsi"/>
                <w:sz w:val="20"/>
                <w:szCs w:val="22"/>
              </w:rPr>
              <w:t>illion</w:t>
            </w:r>
            <w:r w:rsidRPr="00B02148">
              <w:rPr>
                <w:rFonts w:asciiTheme="minorHAnsi" w:hAnsiTheme="minorHAnsi" w:cstheme="minorHAnsi"/>
                <w:sz w:val="20"/>
                <w:szCs w:val="22"/>
              </w:rPr>
              <w:t xml:space="preserve"> budget)</w:t>
            </w:r>
            <w:r w:rsidR="003E6004">
              <w:t xml:space="preserve"> </w:t>
            </w:r>
            <w:r w:rsidR="003E6004" w:rsidRPr="003E6004">
              <w:rPr>
                <w:rFonts w:asciiTheme="minorHAnsi" w:hAnsiTheme="minorHAnsi"/>
                <w:sz w:val="20"/>
                <w:szCs w:val="20"/>
                <w:vertAlign w:val="superscript"/>
              </w:rPr>
              <w:t>b</w:t>
            </w:r>
          </w:p>
        </w:tc>
        <w:tc>
          <w:tcPr>
            <w:tcW w:w="1061" w:type="pct"/>
          </w:tcPr>
          <w:p w:rsidR="004E0ECB" w:rsidRPr="00B02148" w:rsidRDefault="00B578E1" w:rsidP="00B02148">
            <w:pPr>
              <w:rPr>
                <w:rFonts w:asciiTheme="minorHAnsi" w:hAnsiTheme="minorHAnsi" w:cstheme="minorHAnsi"/>
                <w:sz w:val="20"/>
                <w:szCs w:val="22"/>
              </w:rPr>
            </w:pPr>
            <w:r w:rsidRPr="00574968">
              <w:rPr>
                <w:rFonts w:asciiTheme="minorHAnsi" w:hAnsiTheme="minorHAnsi" w:cstheme="minorHAnsi"/>
                <w:sz w:val="20"/>
                <w:szCs w:val="22"/>
              </w:rPr>
              <w:t>D</w:t>
            </w:r>
            <w:r w:rsidR="00811009" w:rsidRPr="00574968">
              <w:rPr>
                <w:rFonts w:asciiTheme="minorHAnsi" w:hAnsiTheme="minorHAnsi" w:cstheme="minorHAnsi"/>
                <w:sz w:val="20"/>
                <w:szCs w:val="22"/>
              </w:rPr>
              <w:t>F</w:t>
            </w:r>
            <w:r w:rsidRPr="00574968">
              <w:rPr>
                <w:rFonts w:asciiTheme="minorHAnsi" w:hAnsiTheme="minorHAnsi" w:cstheme="minorHAnsi"/>
                <w:sz w:val="20"/>
                <w:szCs w:val="22"/>
              </w:rPr>
              <w:t>ID</w:t>
            </w:r>
            <w:r w:rsidR="00574968">
              <w:rPr>
                <w:rFonts w:asciiTheme="minorHAnsi" w:hAnsiTheme="minorHAnsi" w:cstheme="minorHAnsi"/>
                <w:sz w:val="20"/>
                <w:szCs w:val="22"/>
              </w:rPr>
              <w:t>-</w:t>
            </w:r>
            <w:r w:rsidRPr="00B02148">
              <w:rPr>
                <w:rFonts w:asciiTheme="minorHAnsi" w:hAnsiTheme="minorHAnsi" w:cstheme="minorHAnsi"/>
                <w:sz w:val="20"/>
                <w:szCs w:val="22"/>
              </w:rPr>
              <w:t xml:space="preserve">funded consulting firm supporting Ministry of Water </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Policy, strategies, institutional framework, investment plans</w:t>
            </w:r>
            <w:r w:rsidR="00811009">
              <w:rPr>
                <w:rFonts w:asciiTheme="minorHAnsi" w:hAnsiTheme="minorHAnsi" w:cstheme="minorHAnsi"/>
                <w:sz w:val="20"/>
                <w:szCs w:val="22"/>
              </w:rPr>
              <w:t>,</w:t>
            </w:r>
            <w:r w:rsidRPr="00B02148">
              <w:rPr>
                <w:rFonts w:asciiTheme="minorHAnsi" w:hAnsiTheme="minorHAnsi" w:cstheme="minorHAnsi"/>
                <w:sz w:val="20"/>
                <w:szCs w:val="22"/>
              </w:rPr>
              <w:t xml:space="preserve"> and setup of regulator</w:t>
            </w:r>
          </w:p>
        </w:tc>
        <w:tc>
          <w:tcPr>
            <w:tcW w:w="959"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Reform ownership, stakeholder consensus building, </w:t>
            </w:r>
            <w:r w:rsidR="00811009">
              <w:rPr>
                <w:rFonts w:asciiTheme="minorHAnsi" w:hAnsiTheme="minorHAnsi" w:cstheme="minorHAnsi"/>
                <w:sz w:val="20"/>
                <w:szCs w:val="22"/>
              </w:rPr>
              <w:t xml:space="preserve">and </w:t>
            </w:r>
            <w:r w:rsidRPr="00B02148">
              <w:rPr>
                <w:rFonts w:asciiTheme="minorHAnsi" w:hAnsiTheme="minorHAnsi" w:cstheme="minorHAnsi"/>
                <w:sz w:val="20"/>
                <w:szCs w:val="22"/>
              </w:rPr>
              <w:t>capacity improvements</w:t>
            </w:r>
          </w:p>
        </w:tc>
      </w:tr>
      <w:tr w:rsidR="0006032A" w:rsidTr="008A63BA">
        <w:tc>
          <w:tcPr>
            <w:tcW w:w="9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Papua New Guinea</w:t>
            </w:r>
            <w:r w:rsidR="003E6004">
              <w:rPr>
                <w:rFonts w:asciiTheme="minorHAnsi" w:hAnsiTheme="minorHAnsi" w:cstheme="minorHAnsi"/>
                <w:sz w:val="20"/>
                <w:szCs w:val="22"/>
              </w:rPr>
              <w:t xml:space="preserve"> </w:t>
            </w:r>
            <w:r w:rsidR="003E6004" w:rsidRPr="003E6004">
              <w:rPr>
                <w:rFonts w:asciiTheme="minorHAnsi" w:hAnsiTheme="minorHAnsi"/>
                <w:sz w:val="20"/>
                <w:szCs w:val="20"/>
                <w:vertAlign w:val="superscript"/>
              </w:rPr>
              <w:t>c</w:t>
            </w:r>
          </w:p>
        </w:tc>
        <w:tc>
          <w:tcPr>
            <w:tcW w:w="958"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0.4 BE + 5.4 RE = 5.8</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BE + RE project led by Water P</w:t>
            </w:r>
            <w:r w:rsidR="00811009">
              <w:rPr>
                <w:rFonts w:asciiTheme="minorHAnsi" w:hAnsiTheme="minorHAnsi" w:cstheme="minorHAnsi"/>
                <w:sz w:val="20"/>
                <w:szCs w:val="22"/>
              </w:rPr>
              <w:t xml:space="preserve">apua </w:t>
            </w:r>
            <w:r w:rsidRPr="00B02148">
              <w:rPr>
                <w:rFonts w:asciiTheme="minorHAnsi" w:hAnsiTheme="minorHAnsi" w:cstheme="minorHAnsi"/>
                <w:sz w:val="20"/>
                <w:szCs w:val="22"/>
              </w:rPr>
              <w:t>N</w:t>
            </w:r>
            <w:r w:rsidR="00811009">
              <w:rPr>
                <w:rFonts w:asciiTheme="minorHAnsi" w:hAnsiTheme="minorHAnsi" w:cstheme="minorHAnsi"/>
                <w:sz w:val="20"/>
                <w:szCs w:val="22"/>
              </w:rPr>
              <w:t xml:space="preserve">ew </w:t>
            </w:r>
            <w:r w:rsidRPr="00B02148">
              <w:rPr>
                <w:rFonts w:asciiTheme="minorHAnsi" w:hAnsiTheme="minorHAnsi" w:cstheme="minorHAnsi"/>
                <w:sz w:val="20"/>
                <w:szCs w:val="22"/>
              </w:rPr>
              <w:t>G</w:t>
            </w:r>
            <w:r w:rsidR="00811009">
              <w:rPr>
                <w:rFonts w:asciiTheme="minorHAnsi" w:hAnsiTheme="minorHAnsi" w:cstheme="minorHAnsi"/>
                <w:sz w:val="20"/>
                <w:szCs w:val="22"/>
              </w:rPr>
              <w:t>uinea</w:t>
            </w:r>
            <w:r w:rsidRPr="00B02148">
              <w:rPr>
                <w:rFonts w:asciiTheme="minorHAnsi" w:hAnsiTheme="minorHAnsi" w:cstheme="minorHAnsi"/>
                <w:sz w:val="20"/>
                <w:szCs w:val="22"/>
              </w:rPr>
              <w:t xml:space="preserve"> </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Policy, strategies, institutional framework, investment plans</w:t>
            </w:r>
            <w:r w:rsidR="00811009">
              <w:rPr>
                <w:rFonts w:asciiTheme="minorHAnsi" w:hAnsiTheme="minorHAnsi" w:cstheme="minorHAnsi"/>
                <w:sz w:val="20"/>
                <w:szCs w:val="22"/>
              </w:rPr>
              <w:t>,</w:t>
            </w:r>
            <w:r w:rsidRPr="00B02148">
              <w:rPr>
                <w:rFonts w:asciiTheme="minorHAnsi" w:hAnsiTheme="minorHAnsi" w:cstheme="minorHAnsi"/>
                <w:sz w:val="20"/>
                <w:szCs w:val="22"/>
              </w:rPr>
              <w:t xml:space="preserve"> and regulatory mechanism</w:t>
            </w:r>
          </w:p>
        </w:tc>
        <w:tc>
          <w:tcPr>
            <w:tcW w:w="959"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Reform ownership, stakeholder consensus building, </w:t>
            </w:r>
            <w:r w:rsidR="00811009">
              <w:rPr>
                <w:rFonts w:asciiTheme="minorHAnsi" w:hAnsiTheme="minorHAnsi" w:cstheme="minorHAnsi"/>
                <w:sz w:val="20"/>
                <w:szCs w:val="22"/>
              </w:rPr>
              <w:t xml:space="preserve">and </w:t>
            </w:r>
            <w:r w:rsidRPr="00B02148">
              <w:rPr>
                <w:rFonts w:asciiTheme="minorHAnsi" w:hAnsiTheme="minorHAnsi" w:cstheme="minorHAnsi"/>
                <w:sz w:val="20"/>
                <w:szCs w:val="22"/>
              </w:rPr>
              <w:t>capacity improvements</w:t>
            </w:r>
          </w:p>
        </w:tc>
      </w:tr>
      <w:tr w:rsidR="0006032A" w:rsidTr="008A63BA">
        <w:tc>
          <w:tcPr>
            <w:tcW w:w="961" w:type="pct"/>
          </w:tcPr>
          <w:p w:rsidR="004E0ECB" w:rsidRPr="003E6004" w:rsidRDefault="00B578E1" w:rsidP="00B02148">
            <w:pPr>
              <w:rPr>
                <w:rFonts w:asciiTheme="minorHAnsi" w:hAnsiTheme="minorHAnsi" w:cstheme="minorHAnsi"/>
                <w:sz w:val="20"/>
                <w:szCs w:val="20"/>
              </w:rPr>
            </w:pPr>
            <w:r w:rsidRPr="003E6004">
              <w:rPr>
                <w:rFonts w:asciiTheme="minorHAnsi" w:hAnsiTheme="minorHAnsi" w:cstheme="minorHAnsi"/>
                <w:sz w:val="20"/>
                <w:szCs w:val="20"/>
              </w:rPr>
              <w:t>Zimbabwe</w:t>
            </w:r>
            <w:r w:rsidR="003E6004" w:rsidRPr="003E6004">
              <w:rPr>
                <w:rFonts w:asciiTheme="minorHAnsi" w:hAnsiTheme="minorHAnsi"/>
                <w:sz w:val="20"/>
                <w:szCs w:val="20"/>
              </w:rPr>
              <w:t xml:space="preserve"> </w:t>
            </w:r>
            <w:r w:rsidR="003E6004" w:rsidRPr="003E6004">
              <w:rPr>
                <w:rFonts w:asciiTheme="minorHAnsi" w:hAnsiTheme="minorHAnsi"/>
                <w:sz w:val="20"/>
                <w:szCs w:val="20"/>
                <w:vertAlign w:val="superscript"/>
              </w:rPr>
              <w:t>d</w:t>
            </w:r>
          </w:p>
          <w:p w:rsidR="004E0ECB" w:rsidRPr="00B02148" w:rsidRDefault="004E0ECB" w:rsidP="00B02148">
            <w:pPr>
              <w:rPr>
                <w:rFonts w:asciiTheme="minorHAnsi" w:hAnsiTheme="minorHAnsi" w:cstheme="minorHAnsi"/>
                <w:sz w:val="20"/>
                <w:szCs w:val="22"/>
              </w:rPr>
            </w:pPr>
          </w:p>
          <w:p w:rsidR="004E0ECB" w:rsidRPr="00B02148" w:rsidRDefault="004E0ECB" w:rsidP="00B02148">
            <w:pPr>
              <w:rPr>
                <w:rFonts w:asciiTheme="minorHAnsi" w:hAnsiTheme="minorHAnsi" w:cstheme="minorHAnsi"/>
                <w:sz w:val="20"/>
                <w:szCs w:val="22"/>
              </w:rPr>
            </w:pPr>
          </w:p>
        </w:tc>
        <w:tc>
          <w:tcPr>
            <w:tcW w:w="958"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2 BE + 1.7 RE = 3.7</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BE + RE project working with Ministry of Water and </w:t>
            </w:r>
            <w:r w:rsidR="00B13B4E">
              <w:rPr>
                <w:rFonts w:asciiTheme="minorHAnsi" w:hAnsiTheme="minorHAnsi" w:cstheme="minorHAnsi"/>
                <w:sz w:val="20"/>
                <w:szCs w:val="22"/>
              </w:rPr>
              <w:t>Zimbabwe National Water Authority (</w:t>
            </w:r>
            <w:r w:rsidRPr="00B02148">
              <w:rPr>
                <w:rFonts w:asciiTheme="minorHAnsi" w:hAnsiTheme="minorHAnsi" w:cstheme="minorHAnsi"/>
                <w:sz w:val="20"/>
                <w:szCs w:val="22"/>
              </w:rPr>
              <w:t>ZINWA</w:t>
            </w:r>
            <w:r w:rsidR="00B13B4E">
              <w:rPr>
                <w:rFonts w:asciiTheme="minorHAnsi" w:hAnsiTheme="minorHAnsi" w:cstheme="minorHAnsi"/>
                <w:sz w:val="20"/>
                <w:szCs w:val="22"/>
              </w:rPr>
              <w:t>)</w:t>
            </w:r>
            <w:r w:rsidRPr="00B02148">
              <w:rPr>
                <w:rFonts w:asciiTheme="minorHAnsi" w:hAnsiTheme="minorHAnsi" w:cstheme="minorHAnsi"/>
                <w:sz w:val="20"/>
                <w:szCs w:val="22"/>
              </w:rPr>
              <w:t xml:space="preserve"> </w:t>
            </w:r>
          </w:p>
        </w:tc>
        <w:tc>
          <w:tcPr>
            <w:tcW w:w="1061"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Policy, strategies, institutional framework, investment plans</w:t>
            </w:r>
            <w:r w:rsidR="00811009">
              <w:rPr>
                <w:rFonts w:asciiTheme="minorHAnsi" w:hAnsiTheme="minorHAnsi" w:cstheme="minorHAnsi"/>
                <w:sz w:val="20"/>
                <w:szCs w:val="22"/>
              </w:rPr>
              <w:t>,</w:t>
            </w:r>
            <w:r w:rsidRPr="00B02148">
              <w:rPr>
                <w:rFonts w:asciiTheme="minorHAnsi" w:hAnsiTheme="minorHAnsi" w:cstheme="minorHAnsi"/>
                <w:sz w:val="20"/>
                <w:szCs w:val="22"/>
              </w:rPr>
              <w:t xml:space="preserve"> and setup of regulator </w:t>
            </w:r>
          </w:p>
        </w:tc>
        <w:tc>
          <w:tcPr>
            <w:tcW w:w="959" w:type="pct"/>
          </w:tcPr>
          <w:p w:rsidR="004E0ECB" w:rsidRPr="00B02148" w:rsidRDefault="00B578E1" w:rsidP="00B02148">
            <w:pPr>
              <w:rPr>
                <w:rFonts w:asciiTheme="minorHAnsi" w:hAnsiTheme="minorHAnsi" w:cstheme="minorHAnsi"/>
                <w:sz w:val="20"/>
                <w:szCs w:val="22"/>
              </w:rPr>
            </w:pPr>
            <w:r w:rsidRPr="00B02148">
              <w:rPr>
                <w:rFonts w:asciiTheme="minorHAnsi" w:hAnsiTheme="minorHAnsi" w:cstheme="minorHAnsi"/>
                <w:sz w:val="20"/>
                <w:szCs w:val="22"/>
              </w:rPr>
              <w:t xml:space="preserve">Reform ownership, stakeholder consensus building, </w:t>
            </w:r>
            <w:r w:rsidR="00811009">
              <w:rPr>
                <w:rFonts w:asciiTheme="minorHAnsi" w:hAnsiTheme="minorHAnsi" w:cstheme="minorHAnsi"/>
                <w:sz w:val="20"/>
                <w:szCs w:val="22"/>
              </w:rPr>
              <w:t xml:space="preserve">and </w:t>
            </w:r>
            <w:r w:rsidRPr="00B02148">
              <w:rPr>
                <w:rFonts w:asciiTheme="minorHAnsi" w:hAnsiTheme="minorHAnsi" w:cstheme="minorHAnsi"/>
                <w:sz w:val="20"/>
                <w:szCs w:val="22"/>
              </w:rPr>
              <w:t>capacity improvements</w:t>
            </w:r>
          </w:p>
        </w:tc>
      </w:tr>
    </w:tbl>
    <w:p w:rsidR="00B02148" w:rsidRDefault="00B578E1" w:rsidP="000358BD">
      <w:pPr>
        <w:pStyle w:val="Normal0"/>
        <w:spacing w:after="0" w:line="240" w:lineRule="auto"/>
        <w:rPr>
          <w:rFonts w:cstheme="minorHAnsi"/>
          <w:sz w:val="20"/>
        </w:rPr>
      </w:pPr>
      <w:r w:rsidRPr="00B02148">
        <w:rPr>
          <w:i/>
          <w:sz w:val="20"/>
        </w:rPr>
        <w:t>Note:</w:t>
      </w:r>
      <w:r w:rsidRPr="00B02148">
        <w:rPr>
          <w:sz w:val="20"/>
        </w:rPr>
        <w:t xml:space="preserve"> </w:t>
      </w:r>
      <w:r w:rsidRPr="00B02148">
        <w:rPr>
          <w:rFonts w:cstheme="minorHAnsi"/>
          <w:i/>
          <w:sz w:val="20"/>
        </w:rPr>
        <w:t xml:space="preserve">RE = </w:t>
      </w:r>
      <w:r w:rsidRPr="00B02148">
        <w:rPr>
          <w:rFonts w:cstheme="minorHAnsi"/>
          <w:sz w:val="20"/>
        </w:rPr>
        <w:t>Recipient Executed</w:t>
      </w:r>
      <w:r w:rsidR="00811009">
        <w:rPr>
          <w:rFonts w:cstheme="minorHAnsi"/>
          <w:sz w:val="20"/>
        </w:rPr>
        <w:t>;</w:t>
      </w:r>
      <w:r w:rsidRPr="00B02148">
        <w:rPr>
          <w:rFonts w:cstheme="minorHAnsi"/>
          <w:sz w:val="20"/>
        </w:rPr>
        <w:t xml:space="preserve"> BE = Bank Executed</w:t>
      </w:r>
      <w:r>
        <w:rPr>
          <w:rFonts w:cstheme="minorHAnsi"/>
          <w:sz w:val="20"/>
        </w:rPr>
        <w:t>.</w:t>
      </w:r>
    </w:p>
    <w:p w:rsidR="003E6004" w:rsidRPr="000358BD" w:rsidRDefault="00B578E1" w:rsidP="00080FB6">
      <w:pPr>
        <w:pStyle w:val="FootnoteText"/>
        <w:spacing w:after="0" w:line="240" w:lineRule="auto"/>
        <w:rPr>
          <w:sz w:val="20"/>
        </w:rPr>
      </w:pPr>
      <w:r>
        <w:rPr>
          <w:sz w:val="20"/>
        </w:rPr>
        <w:t xml:space="preserve">a. </w:t>
      </w:r>
      <w:r w:rsidRPr="000358BD">
        <w:rPr>
          <w:sz w:val="20"/>
        </w:rPr>
        <w:t>US$4.2 million from Water Sector Capacity Building Project (P117443 and P153889) + US$1.4 million AFD parallel financing</w:t>
      </w:r>
    </w:p>
    <w:p w:rsidR="003E6004" w:rsidRPr="000358BD" w:rsidRDefault="00B578E1" w:rsidP="00740C8A">
      <w:pPr>
        <w:pStyle w:val="FootnoteText"/>
        <w:spacing w:after="0" w:line="240" w:lineRule="auto"/>
        <w:rPr>
          <w:sz w:val="20"/>
        </w:rPr>
      </w:pPr>
      <w:r w:rsidRPr="000358BD">
        <w:rPr>
          <w:sz w:val="20"/>
        </w:rPr>
        <w:t xml:space="preserve">b. </w:t>
      </w:r>
      <w:r w:rsidR="00574968">
        <w:rPr>
          <w:sz w:val="20"/>
        </w:rPr>
        <w:t>DFID (</w:t>
      </w:r>
      <w:r w:rsidRPr="00574968">
        <w:rPr>
          <w:sz w:val="20"/>
        </w:rPr>
        <w:t>U.K. Department for International Development</w:t>
      </w:r>
      <w:r w:rsidR="00574968">
        <w:rPr>
          <w:sz w:val="20"/>
        </w:rPr>
        <w:t>)</w:t>
      </w:r>
      <w:r w:rsidRPr="000358BD">
        <w:rPr>
          <w:sz w:val="20"/>
        </w:rPr>
        <w:t xml:space="preserve">-funded </w:t>
      </w:r>
      <w:hyperlink r:id="rId21" w:history="1">
        <w:r w:rsidRPr="00811009">
          <w:rPr>
            <w:rStyle w:val="Hyperlink"/>
            <w:i w:val="0"/>
            <w:sz w:val="20"/>
            <w:szCs w:val="20"/>
          </w:rPr>
          <w:t>Sierra Leone Hygiene, Sanitation</w:t>
        </w:r>
        <w:r>
          <w:rPr>
            <w:rStyle w:val="Hyperlink"/>
            <w:i w:val="0"/>
            <w:sz w:val="20"/>
            <w:szCs w:val="20"/>
          </w:rPr>
          <w:t>,</w:t>
        </w:r>
        <w:r w:rsidRPr="00811009">
          <w:rPr>
            <w:rStyle w:val="Hyperlink"/>
            <w:i w:val="0"/>
            <w:sz w:val="20"/>
            <w:szCs w:val="20"/>
          </w:rPr>
          <w:t xml:space="preserve"> and Water Supply Programme</w:t>
        </w:r>
      </w:hyperlink>
      <w:r>
        <w:rPr>
          <w:sz w:val="20"/>
        </w:rPr>
        <w:t>.</w:t>
      </w:r>
    </w:p>
    <w:p w:rsidR="003E6004" w:rsidRPr="000358BD" w:rsidRDefault="00B578E1">
      <w:pPr>
        <w:pStyle w:val="FootnoteText"/>
        <w:spacing w:after="0" w:line="240" w:lineRule="auto"/>
        <w:rPr>
          <w:sz w:val="20"/>
        </w:rPr>
      </w:pPr>
      <w:r>
        <w:rPr>
          <w:sz w:val="20"/>
        </w:rPr>
        <w:t>c.</w:t>
      </w:r>
      <w:r w:rsidR="00811009">
        <w:rPr>
          <w:sz w:val="20"/>
        </w:rPr>
        <w:t xml:space="preserve"> </w:t>
      </w:r>
      <w:r w:rsidRPr="000358BD">
        <w:rPr>
          <w:sz w:val="20"/>
        </w:rPr>
        <w:t>US$0.44 million Water and Sanitation Policy Development in Papua New Guinea (P144823) + US$5 million from Water Supply and Sanitation Development Project (P155087)</w:t>
      </w:r>
    </w:p>
    <w:p w:rsidR="003E6004" w:rsidRPr="000358BD" w:rsidRDefault="00B578E1" w:rsidP="00811009">
      <w:pPr>
        <w:pStyle w:val="Normal0"/>
        <w:spacing w:after="0" w:line="240" w:lineRule="auto"/>
        <w:rPr>
          <w:sz w:val="20"/>
          <w:szCs w:val="20"/>
        </w:rPr>
      </w:pPr>
      <w:r>
        <w:rPr>
          <w:sz w:val="20"/>
          <w:szCs w:val="20"/>
        </w:rPr>
        <w:t>d.</w:t>
      </w:r>
      <w:r w:rsidR="00811009">
        <w:rPr>
          <w:sz w:val="20"/>
          <w:szCs w:val="20"/>
        </w:rPr>
        <w:t xml:space="preserve"> </w:t>
      </w:r>
      <w:r w:rsidRPr="000358BD">
        <w:rPr>
          <w:sz w:val="20"/>
          <w:szCs w:val="20"/>
        </w:rPr>
        <w:t>US$1.5 million from Technical Assistance for Zimbabwe Water and Wastewater (P126703) + US$0.25 million from Delivering Water Supply and Sanitation in Fragile States: The Transition from Emergency to Development (P131964) + US$0.25 million from United Nations Children</w:t>
      </w:r>
      <w:r w:rsidR="00811009">
        <w:rPr>
          <w:sz w:val="20"/>
          <w:szCs w:val="20"/>
        </w:rPr>
        <w:t>’</w:t>
      </w:r>
      <w:r w:rsidRPr="000358BD">
        <w:rPr>
          <w:sz w:val="20"/>
          <w:szCs w:val="20"/>
        </w:rPr>
        <w:t>s Fund + US$1.7 million from Zimbabwe National Water Project (P154861)</w:t>
      </w:r>
      <w:r>
        <w:rPr>
          <w:sz w:val="20"/>
          <w:szCs w:val="20"/>
        </w:rPr>
        <w:t>.</w:t>
      </w:r>
    </w:p>
    <w:p w:rsidR="004E0ECB" w:rsidRPr="00F07597" w:rsidRDefault="00B578E1" w:rsidP="00A63A6F">
      <w:pPr>
        <w:pStyle w:val="Normal0"/>
        <w:numPr>
          <w:ilvl w:val="0"/>
          <w:numId w:val="11"/>
        </w:numPr>
        <w:spacing w:before="240" w:after="240" w:line="240" w:lineRule="auto"/>
        <w:ind w:left="0" w:firstLine="0"/>
        <w:jc w:val="both"/>
        <w:rPr>
          <w:rFonts w:cstheme="minorHAnsi"/>
          <w:b/>
          <w:sz w:val="22"/>
        </w:rPr>
      </w:pPr>
      <w:r w:rsidRPr="00F07597">
        <w:rPr>
          <w:rFonts w:cstheme="minorHAnsi"/>
          <w:b/>
          <w:sz w:val="22"/>
        </w:rPr>
        <w:t>While sector reform may start with an anchor reform document such as a law or policy</w:t>
      </w:r>
      <w:r>
        <w:rPr>
          <w:rFonts w:cstheme="minorHAnsi"/>
          <w:b/>
          <w:sz w:val="22"/>
        </w:rPr>
        <w:t>,</w:t>
      </w:r>
      <w:r w:rsidRPr="00F07597">
        <w:rPr>
          <w:rFonts w:cstheme="minorHAnsi"/>
          <w:b/>
          <w:sz w:val="22"/>
        </w:rPr>
        <w:t xml:space="preserve"> the end of the reform process is never as clear.</w:t>
      </w:r>
      <w:r w:rsidRPr="00F07597">
        <w:rPr>
          <w:rFonts w:cstheme="minorHAnsi"/>
          <w:sz w:val="22"/>
        </w:rPr>
        <w:t xml:space="preserve"> Equally</w:t>
      </w:r>
      <w:r>
        <w:rPr>
          <w:rFonts w:cstheme="minorHAnsi"/>
          <w:sz w:val="22"/>
        </w:rPr>
        <w:t>,</w:t>
      </w:r>
      <w:r w:rsidRPr="00F07597">
        <w:rPr>
          <w:rFonts w:cstheme="minorHAnsi"/>
          <w:sz w:val="22"/>
        </w:rPr>
        <w:t xml:space="preserve"> evaluations of the quality of reforms are few and far between. In all these specific country cases it is too early to evaluate effectiveness</w:t>
      </w:r>
      <w:r>
        <w:rPr>
          <w:rFonts w:cstheme="minorHAnsi"/>
          <w:sz w:val="22"/>
        </w:rPr>
        <w:t>—</w:t>
      </w:r>
      <w:r w:rsidRPr="00F07597">
        <w:rPr>
          <w:rFonts w:cstheme="minorHAnsi"/>
          <w:sz w:val="22"/>
        </w:rPr>
        <w:t>indeed the reform projects in P</w:t>
      </w:r>
      <w:r w:rsidR="00811009">
        <w:rPr>
          <w:rFonts w:cstheme="minorHAnsi"/>
          <w:sz w:val="22"/>
        </w:rPr>
        <w:t xml:space="preserve">apua </w:t>
      </w:r>
      <w:r w:rsidRPr="00F07597">
        <w:rPr>
          <w:rFonts w:cstheme="minorHAnsi"/>
          <w:sz w:val="22"/>
        </w:rPr>
        <w:t>N</w:t>
      </w:r>
      <w:r w:rsidR="00811009">
        <w:rPr>
          <w:rFonts w:cstheme="minorHAnsi"/>
          <w:sz w:val="22"/>
        </w:rPr>
        <w:t xml:space="preserve">ew </w:t>
      </w:r>
      <w:r w:rsidRPr="00F07597">
        <w:rPr>
          <w:rFonts w:cstheme="minorHAnsi"/>
          <w:sz w:val="22"/>
        </w:rPr>
        <w:t>G</w:t>
      </w:r>
      <w:r w:rsidR="00811009">
        <w:rPr>
          <w:rFonts w:cstheme="minorHAnsi"/>
          <w:sz w:val="22"/>
        </w:rPr>
        <w:t>uinea</w:t>
      </w:r>
      <w:r w:rsidRPr="00F07597">
        <w:rPr>
          <w:rFonts w:cstheme="minorHAnsi"/>
          <w:sz w:val="22"/>
        </w:rPr>
        <w:t xml:space="preserve"> and Zimbabwe are still ongoing. However, </w:t>
      </w:r>
      <w:r w:rsidRPr="002141E3">
        <w:rPr>
          <w:sz w:val="22"/>
        </w:rPr>
        <w:t>initial</w:t>
      </w:r>
      <w:r w:rsidRPr="00F07597">
        <w:rPr>
          <w:rFonts w:cstheme="minorHAnsi"/>
          <w:sz w:val="22"/>
        </w:rPr>
        <w:t xml:space="preserve"> observations comparing </w:t>
      </w:r>
      <w:r w:rsidR="004F148C">
        <w:rPr>
          <w:rFonts w:cstheme="minorHAnsi"/>
          <w:sz w:val="22"/>
        </w:rPr>
        <w:t>VFM</w:t>
      </w:r>
      <w:r w:rsidRPr="00F07597">
        <w:rPr>
          <w:rFonts w:cstheme="minorHAnsi"/>
          <w:sz w:val="22"/>
        </w:rPr>
        <w:t xml:space="preserve"> can usefully be drawn from across these four countries.</w:t>
      </w:r>
    </w:p>
    <w:p w:rsidR="004E0ECB" w:rsidRPr="00694043" w:rsidRDefault="00B578E1" w:rsidP="00A63A6F">
      <w:pPr>
        <w:pStyle w:val="Normal0"/>
        <w:numPr>
          <w:ilvl w:val="0"/>
          <w:numId w:val="11"/>
        </w:numPr>
        <w:spacing w:after="240" w:line="240" w:lineRule="auto"/>
        <w:ind w:left="0" w:firstLine="0"/>
        <w:jc w:val="both"/>
        <w:rPr>
          <w:rFonts w:cstheme="minorHAnsi"/>
          <w:b/>
          <w:sz w:val="22"/>
        </w:rPr>
      </w:pPr>
      <w:r w:rsidRPr="00694043">
        <w:rPr>
          <w:rFonts w:cstheme="minorHAnsi"/>
          <w:sz w:val="22"/>
        </w:rPr>
        <w:lastRenderedPageBreak/>
        <w:t>While there was a range of costs across these projects (US$3.7 million to US$6.7 mill</w:t>
      </w:r>
      <w:r>
        <w:rPr>
          <w:rFonts w:cstheme="minorHAnsi"/>
          <w:sz w:val="22"/>
        </w:rPr>
        <w:t>i</w:t>
      </w:r>
      <w:r w:rsidRPr="00694043">
        <w:rPr>
          <w:rFonts w:cstheme="minorHAnsi"/>
          <w:sz w:val="22"/>
        </w:rPr>
        <w:t xml:space="preserve">on), these projects are of the same order of </w:t>
      </w:r>
      <w:r w:rsidRPr="002141E3">
        <w:rPr>
          <w:sz w:val="22"/>
        </w:rPr>
        <w:t>magnitude</w:t>
      </w:r>
      <w:r w:rsidRPr="00694043">
        <w:rPr>
          <w:rFonts w:cstheme="minorHAnsi"/>
          <w:sz w:val="22"/>
        </w:rPr>
        <w:t xml:space="preserve"> and linked to similar outputs. Supervision and completion reports from across the projects raise a number of common challenges to the reform process</w:t>
      </w:r>
      <w:r>
        <w:rPr>
          <w:rFonts w:cstheme="minorHAnsi"/>
          <w:sz w:val="22"/>
        </w:rPr>
        <w:t>,</w:t>
      </w:r>
      <w:r w:rsidRPr="00694043">
        <w:rPr>
          <w:rFonts w:cstheme="minorHAnsi"/>
          <w:sz w:val="22"/>
        </w:rPr>
        <w:t xml:space="preserve"> including</w:t>
      </w:r>
      <w:r>
        <w:rPr>
          <w:rFonts w:cstheme="minorHAnsi"/>
          <w:sz w:val="22"/>
        </w:rPr>
        <w:t xml:space="preserve"> the following</w:t>
      </w:r>
      <w:r w:rsidRPr="00694043">
        <w:rPr>
          <w:rFonts w:cstheme="minorHAnsi"/>
          <w:sz w:val="22"/>
        </w:rPr>
        <w:t xml:space="preserve">: </w:t>
      </w:r>
    </w:p>
    <w:p w:rsidR="004E0ECB" w:rsidRPr="00694043" w:rsidRDefault="00B578E1" w:rsidP="00A63A6F">
      <w:pPr>
        <w:pStyle w:val="ListParagraph"/>
        <w:numPr>
          <w:ilvl w:val="0"/>
          <w:numId w:val="13"/>
        </w:numPr>
        <w:spacing w:after="240" w:line="240" w:lineRule="auto"/>
        <w:ind w:left="1195" w:hanging="475"/>
        <w:contextualSpacing w:val="0"/>
        <w:jc w:val="both"/>
        <w:rPr>
          <w:rFonts w:asciiTheme="minorHAnsi" w:hAnsiTheme="minorHAnsi" w:cstheme="minorHAnsi"/>
          <w:sz w:val="22"/>
          <w:szCs w:val="22"/>
        </w:rPr>
      </w:pPr>
      <w:r w:rsidRPr="00694043">
        <w:rPr>
          <w:rFonts w:asciiTheme="minorHAnsi" w:hAnsiTheme="minorHAnsi" w:cstheme="minorHAnsi"/>
          <w:sz w:val="22"/>
          <w:szCs w:val="22"/>
        </w:rPr>
        <w:t>Though outputs were delivered, reforms were slow to be realized due to delays in decision making, institutional inertia, and unforeseen funding gaps</w:t>
      </w:r>
      <w:r>
        <w:rPr>
          <w:rFonts w:asciiTheme="minorHAnsi" w:hAnsiTheme="minorHAnsi" w:cstheme="minorHAnsi"/>
          <w:sz w:val="22"/>
          <w:szCs w:val="22"/>
        </w:rPr>
        <w:t>.</w:t>
      </w:r>
    </w:p>
    <w:p w:rsidR="004E0ECB" w:rsidRPr="00694043" w:rsidRDefault="00B578E1" w:rsidP="00A63A6F">
      <w:pPr>
        <w:pStyle w:val="ListParagraph"/>
        <w:numPr>
          <w:ilvl w:val="0"/>
          <w:numId w:val="13"/>
        </w:numPr>
        <w:spacing w:after="240" w:line="240" w:lineRule="auto"/>
        <w:ind w:left="1195" w:hanging="475"/>
        <w:contextualSpacing w:val="0"/>
        <w:jc w:val="both"/>
        <w:rPr>
          <w:rFonts w:asciiTheme="minorHAnsi" w:hAnsiTheme="minorHAnsi" w:cstheme="minorHAnsi"/>
          <w:sz w:val="22"/>
          <w:szCs w:val="22"/>
        </w:rPr>
      </w:pPr>
      <w:r w:rsidRPr="00694043">
        <w:rPr>
          <w:rFonts w:asciiTheme="minorHAnsi" w:hAnsiTheme="minorHAnsi" w:cstheme="minorHAnsi"/>
          <w:sz w:val="22"/>
          <w:szCs w:val="22"/>
        </w:rPr>
        <w:t>That reforms were only selectively implemented</w:t>
      </w:r>
      <w:r>
        <w:rPr>
          <w:rFonts w:asciiTheme="minorHAnsi" w:hAnsiTheme="minorHAnsi" w:cstheme="minorHAnsi"/>
          <w:sz w:val="22"/>
          <w:szCs w:val="22"/>
        </w:rPr>
        <w:t>—for example,</w:t>
      </w:r>
      <w:r w:rsidRPr="00694043">
        <w:rPr>
          <w:rFonts w:asciiTheme="minorHAnsi" w:hAnsiTheme="minorHAnsi" w:cstheme="minorHAnsi"/>
          <w:sz w:val="22"/>
          <w:szCs w:val="22"/>
        </w:rPr>
        <w:t xml:space="preserve"> only some institutional changes set out in the anchor document were made while others </w:t>
      </w:r>
      <w:r w:rsidR="00811009">
        <w:rPr>
          <w:rFonts w:asciiTheme="minorHAnsi" w:hAnsiTheme="minorHAnsi" w:cstheme="minorHAnsi"/>
          <w:sz w:val="22"/>
          <w:szCs w:val="22"/>
        </w:rPr>
        <w:t xml:space="preserve">were </w:t>
      </w:r>
      <w:r w:rsidRPr="00694043">
        <w:rPr>
          <w:rFonts w:asciiTheme="minorHAnsi" w:hAnsiTheme="minorHAnsi" w:cstheme="minorHAnsi"/>
          <w:sz w:val="22"/>
          <w:szCs w:val="22"/>
        </w:rPr>
        <w:t xml:space="preserve">not. Only some policy principles and bylaws were acted </w:t>
      </w:r>
      <w:r>
        <w:rPr>
          <w:rFonts w:asciiTheme="minorHAnsi" w:hAnsiTheme="minorHAnsi" w:cstheme="minorHAnsi"/>
          <w:sz w:val="22"/>
          <w:szCs w:val="22"/>
        </w:rPr>
        <w:t>up</w:t>
      </w:r>
      <w:r w:rsidRPr="00694043">
        <w:rPr>
          <w:rFonts w:asciiTheme="minorHAnsi" w:hAnsiTheme="minorHAnsi" w:cstheme="minorHAnsi"/>
          <w:sz w:val="22"/>
          <w:szCs w:val="22"/>
        </w:rPr>
        <w:t>on</w:t>
      </w:r>
      <w:r>
        <w:rPr>
          <w:rFonts w:asciiTheme="minorHAnsi" w:hAnsiTheme="minorHAnsi" w:cstheme="minorHAnsi"/>
          <w:sz w:val="22"/>
          <w:szCs w:val="22"/>
        </w:rPr>
        <w:t>.</w:t>
      </w:r>
    </w:p>
    <w:p w:rsidR="004E0ECB" w:rsidRPr="00694043" w:rsidRDefault="00B578E1" w:rsidP="00A63A6F">
      <w:pPr>
        <w:pStyle w:val="ListParagraph"/>
        <w:numPr>
          <w:ilvl w:val="0"/>
          <w:numId w:val="13"/>
        </w:numPr>
        <w:spacing w:after="240" w:line="240" w:lineRule="auto"/>
        <w:ind w:left="1195" w:hanging="475"/>
        <w:contextualSpacing w:val="0"/>
        <w:jc w:val="both"/>
        <w:rPr>
          <w:rFonts w:asciiTheme="minorHAnsi" w:hAnsiTheme="minorHAnsi" w:cstheme="minorHAnsi"/>
          <w:sz w:val="22"/>
          <w:szCs w:val="22"/>
        </w:rPr>
      </w:pPr>
      <w:r w:rsidRPr="00694043">
        <w:rPr>
          <w:rFonts w:asciiTheme="minorHAnsi" w:hAnsiTheme="minorHAnsi" w:cstheme="minorHAnsi"/>
          <w:sz w:val="22"/>
          <w:szCs w:val="22"/>
        </w:rPr>
        <w:t>Though all these projects had capacity</w:t>
      </w:r>
      <w:r>
        <w:rPr>
          <w:rFonts w:asciiTheme="minorHAnsi" w:hAnsiTheme="minorHAnsi" w:cstheme="minorHAnsi"/>
          <w:sz w:val="22"/>
          <w:szCs w:val="22"/>
        </w:rPr>
        <w:t>-</w:t>
      </w:r>
      <w:r w:rsidRPr="00694043">
        <w:rPr>
          <w:rFonts w:asciiTheme="minorHAnsi" w:hAnsiTheme="minorHAnsi" w:cstheme="minorHAnsi"/>
          <w:sz w:val="22"/>
          <w:szCs w:val="22"/>
        </w:rPr>
        <w:t xml:space="preserve">building components, they also highlight that </w:t>
      </w:r>
      <w:r w:rsidR="00811009">
        <w:rPr>
          <w:rFonts w:asciiTheme="minorHAnsi" w:hAnsiTheme="minorHAnsi" w:cstheme="minorHAnsi"/>
          <w:sz w:val="22"/>
          <w:szCs w:val="22"/>
        </w:rPr>
        <w:t xml:space="preserve">the </w:t>
      </w:r>
      <w:r w:rsidRPr="00694043">
        <w:rPr>
          <w:rFonts w:asciiTheme="minorHAnsi" w:hAnsiTheme="minorHAnsi" w:cstheme="minorHAnsi"/>
          <w:sz w:val="22"/>
          <w:szCs w:val="22"/>
        </w:rPr>
        <w:t xml:space="preserve">capacity to implement them was constrained. </w:t>
      </w:r>
    </w:p>
    <w:p w:rsidR="004E0ECB" w:rsidRPr="00694043" w:rsidRDefault="00B578E1" w:rsidP="00A63A6F">
      <w:pPr>
        <w:pStyle w:val="Normal0"/>
        <w:numPr>
          <w:ilvl w:val="0"/>
          <w:numId w:val="11"/>
        </w:numPr>
        <w:spacing w:after="240" w:line="240" w:lineRule="auto"/>
        <w:ind w:left="0" w:firstLine="0"/>
        <w:jc w:val="both"/>
        <w:rPr>
          <w:rFonts w:cstheme="minorHAnsi"/>
          <w:sz w:val="22"/>
        </w:rPr>
      </w:pPr>
      <w:r w:rsidRPr="00694043">
        <w:rPr>
          <w:rFonts w:cstheme="minorHAnsi"/>
          <w:sz w:val="22"/>
        </w:rPr>
        <w:t xml:space="preserve">Differences between the four cases, relevant to the analysis of </w:t>
      </w:r>
      <w:r w:rsidR="004F148C">
        <w:rPr>
          <w:rFonts w:cstheme="minorHAnsi"/>
          <w:sz w:val="22"/>
        </w:rPr>
        <w:t>VFM</w:t>
      </w:r>
      <w:r w:rsidRPr="00694043">
        <w:rPr>
          <w:rFonts w:cstheme="minorHAnsi"/>
          <w:sz w:val="22"/>
        </w:rPr>
        <w:t xml:space="preserve">, were mainly in the implementation </w:t>
      </w:r>
      <w:r w:rsidRPr="002141E3">
        <w:rPr>
          <w:sz w:val="22"/>
        </w:rPr>
        <w:t>arrangements</w:t>
      </w:r>
      <w:r w:rsidRPr="00694043">
        <w:rPr>
          <w:rFonts w:cstheme="minorHAnsi"/>
          <w:sz w:val="22"/>
        </w:rPr>
        <w:t xml:space="preserve">. In two of the cases (West Bank and Gaza and Sierra Leone), much of the </w:t>
      </w:r>
      <w:r w:rsidRPr="000358BD">
        <w:rPr>
          <w:rFonts w:cstheme="minorHAnsi"/>
          <w:sz w:val="22"/>
        </w:rPr>
        <w:t>TA</w:t>
      </w:r>
      <w:r w:rsidRPr="00694043">
        <w:rPr>
          <w:rFonts w:cstheme="minorHAnsi"/>
          <w:sz w:val="22"/>
        </w:rPr>
        <w:t xml:space="preserve"> was provided by an external consulting firm. There were also differences in the balance of </w:t>
      </w:r>
      <w:r>
        <w:rPr>
          <w:rFonts w:cstheme="minorHAnsi"/>
          <w:sz w:val="22"/>
        </w:rPr>
        <w:t xml:space="preserve">the World </w:t>
      </w:r>
      <w:r w:rsidRPr="00694043">
        <w:rPr>
          <w:rFonts w:cstheme="minorHAnsi"/>
          <w:sz w:val="22"/>
        </w:rPr>
        <w:t>Bank</w:t>
      </w:r>
      <w:r>
        <w:rPr>
          <w:rFonts w:cstheme="minorHAnsi"/>
          <w:sz w:val="22"/>
        </w:rPr>
        <w:t>-</w:t>
      </w:r>
      <w:r w:rsidR="00811009">
        <w:rPr>
          <w:rFonts w:cstheme="minorHAnsi"/>
          <w:sz w:val="22"/>
        </w:rPr>
        <w:t>executed</w:t>
      </w:r>
      <w:r w:rsidRPr="00694043">
        <w:rPr>
          <w:rFonts w:cstheme="minorHAnsi"/>
          <w:sz w:val="22"/>
        </w:rPr>
        <w:t xml:space="preserve"> and </w:t>
      </w:r>
      <w:r>
        <w:rPr>
          <w:rFonts w:cstheme="minorHAnsi"/>
          <w:sz w:val="22"/>
        </w:rPr>
        <w:t>r</w:t>
      </w:r>
      <w:r w:rsidRPr="00694043">
        <w:rPr>
          <w:rFonts w:cstheme="minorHAnsi"/>
          <w:sz w:val="22"/>
        </w:rPr>
        <w:t>ecipient</w:t>
      </w:r>
      <w:r>
        <w:rPr>
          <w:rFonts w:cstheme="minorHAnsi"/>
          <w:sz w:val="22"/>
        </w:rPr>
        <w:t>-</w:t>
      </w:r>
      <w:r w:rsidR="00811009">
        <w:rPr>
          <w:rFonts w:cstheme="minorHAnsi"/>
          <w:sz w:val="22"/>
        </w:rPr>
        <w:t>e</w:t>
      </w:r>
      <w:r w:rsidRPr="00694043">
        <w:rPr>
          <w:rFonts w:cstheme="minorHAnsi"/>
          <w:sz w:val="22"/>
        </w:rPr>
        <w:t xml:space="preserve">xecuted activities. These differences in implementation arrangements influenced </w:t>
      </w:r>
      <w:r>
        <w:rPr>
          <w:rFonts w:cstheme="minorHAnsi"/>
          <w:sz w:val="22"/>
        </w:rPr>
        <w:t>(</w:t>
      </w:r>
      <w:r w:rsidRPr="00694043">
        <w:rPr>
          <w:rFonts w:cstheme="minorHAnsi"/>
          <w:sz w:val="22"/>
        </w:rPr>
        <w:t>a) clarity of reform objectives at the start of the recipient</w:t>
      </w:r>
      <w:r>
        <w:rPr>
          <w:rFonts w:cstheme="minorHAnsi"/>
          <w:sz w:val="22"/>
        </w:rPr>
        <w:t>-</w:t>
      </w:r>
      <w:r w:rsidRPr="00694043">
        <w:rPr>
          <w:rFonts w:cstheme="minorHAnsi"/>
          <w:sz w:val="22"/>
        </w:rPr>
        <w:t xml:space="preserve">executed reform process and </w:t>
      </w:r>
      <w:r>
        <w:rPr>
          <w:rFonts w:cstheme="minorHAnsi"/>
          <w:sz w:val="22"/>
        </w:rPr>
        <w:t>(</w:t>
      </w:r>
      <w:r w:rsidRPr="00694043">
        <w:rPr>
          <w:rFonts w:cstheme="minorHAnsi"/>
          <w:sz w:val="22"/>
        </w:rPr>
        <w:t xml:space="preserve">b) how adaptable (or responsive) the external </w:t>
      </w:r>
      <w:r w:rsidRPr="000358BD">
        <w:rPr>
          <w:rFonts w:cstheme="minorHAnsi"/>
          <w:sz w:val="22"/>
        </w:rPr>
        <w:t>T</w:t>
      </w:r>
      <w:r w:rsidRPr="00694043">
        <w:rPr>
          <w:rFonts w:cstheme="minorHAnsi"/>
          <w:sz w:val="22"/>
        </w:rPr>
        <w:t xml:space="preserve">A was to the reform environment. </w:t>
      </w:r>
    </w:p>
    <w:p w:rsidR="004E0ECB" w:rsidRPr="00F07597" w:rsidRDefault="00B578E1" w:rsidP="00A63A6F">
      <w:pPr>
        <w:pStyle w:val="Normal0"/>
        <w:numPr>
          <w:ilvl w:val="0"/>
          <w:numId w:val="11"/>
        </w:numPr>
        <w:spacing w:after="240" w:line="240" w:lineRule="auto"/>
        <w:ind w:left="0" w:firstLine="0"/>
        <w:jc w:val="both"/>
        <w:rPr>
          <w:rFonts w:cstheme="minorHAnsi"/>
          <w:sz w:val="22"/>
        </w:rPr>
      </w:pPr>
      <w:r w:rsidRPr="00694043">
        <w:rPr>
          <w:rFonts w:cstheme="minorHAnsi"/>
          <w:sz w:val="22"/>
        </w:rPr>
        <w:t xml:space="preserve">In the West Bank and Gaza project, clarity of the reform objectives was obscured by the fact that the design of the </w:t>
      </w:r>
      <w:r>
        <w:rPr>
          <w:rFonts w:cstheme="minorHAnsi"/>
          <w:sz w:val="22"/>
        </w:rPr>
        <w:t>p</w:t>
      </w:r>
      <w:r w:rsidRPr="00694043">
        <w:rPr>
          <w:rFonts w:cstheme="minorHAnsi"/>
          <w:sz w:val="22"/>
        </w:rPr>
        <w:t>roject (at the PAD stage) had to be done before the Institutional Water Sector Review and the Legislative Review (</w:t>
      </w:r>
      <w:r w:rsidRPr="002141E3">
        <w:rPr>
          <w:sz w:val="22"/>
        </w:rPr>
        <w:t>which</w:t>
      </w:r>
      <w:r w:rsidRPr="00694043">
        <w:rPr>
          <w:rFonts w:cstheme="minorHAnsi"/>
          <w:sz w:val="22"/>
        </w:rPr>
        <w:t xml:space="preserve"> were funded by other donors) had been completed (see figure 4.1) and before the anchor reform document (the law) was enacted. This meant that key reform objectives were not yet determined during the design phase or even at the beginning of project. This led to the </w:t>
      </w:r>
      <w:r w:rsidRPr="000358BD">
        <w:rPr>
          <w:rFonts w:cstheme="minorHAnsi"/>
          <w:sz w:val="22"/>
        </w:rPr>
        <w:t>TOR</w:t>
      </w:r>
      <w:r w:rsidRPr="00694043">
        <w:rPr>
          <w:rFonts w:cstheme="minorHAnsi"/>
          <w:sz w:val="22"/>
        </w:rPr>
        <w:t>s for the first TA consulting contract (TPAT</w:t>
      </w:r>
      <w:r w:rsidR="006E77E9">
        <w:rPr>
          <w:rFonts w:cstheme="minorHAnsi"/>
          <w:sz w:val="22"/>
        </w:rPr>
        <w:t xml:space="preserve"> </w:t>
      </w:r>
      <w:r w:rsidRPr="00694043">
        <w:rPr>
          <w:rFonts w:cstheme="minorHAnsi"/>
          <w:sz w:val="22"/>
        </w:rPr>
        <w:t xml:space="preserve">1) being based on a very long and unfocused list of outputs </w:t>
      </w:r>
      <w:r>
        <w:rPr>
          <w:rFonts w:cstheme="minorHAnsi"/>
          <w:sz w:val="22"/>
        </w:rPr>
        <w:t>and</w:t>
      </w:r>
      <w:r w:rsidRPr="00694043">
        <w:rPr>
          <w:rFonts w:cstheme="minorHAnsi"/>
          <w:sz w:val="22"/>
        </w:rPr>
        <w:t xml:space="preserve"> payment</w:t>
      </w:r>
      <w:r>
        <w:rPr>
          <w:rFonts w:cstheme="minorHAnsi"/>
          <w:sz w:val="22"/>
        </w:rPr>
        <w:t>s</w:t>
      </w:r>
      <w:r w:rsidRPr="00694043">
        <w:rPr>
          <w:rFonts w:cstheme="minorHAnsi"/>
          <w:sz w:val="22"/>
        </w:rPr>
        <w:t xml:space="preserve"> being time</w:t>
      </w:r>
      <w:r>
        <w:rPr>
          <w:rFonts w:cstheme="minorHAnsi"/>
          <w:sz w:val="22"/>
        </w:rPr>
        <w:t xml:space="preserve"> </w:t>
      </w:r>
      <w:r w:rsidRPr="00694043">
        <w:rPr>
          <w:rFonts w:cstheme="minorHAnsi"/>
          <w:sz w:val="22"/>
        </w:rPr>
        <w:t>based rather than output</w:t>
      </w:r>
      <w:r>
        <w:rPr>
          <w:rFonts w:cstheme="minorHAnsi"/>
          <w:sz w:val="22"/>
        </w:rPr>
        <w:t xml:space="preserve"> </w:t>
      </w:r>
      <w:r w:rsidRPr="00694043">
        <w:rPr>
          <w:rFonts w:cstheme="minorHAnsi"/>
          <w:sz w:val="22"/>
        </w:rPr>
        <w:t>based. While this could have made the TA responsive to the reform environment</w:t>
      </w:r>
      <w:r>
        <w:rPr>
          <w:rFonts w:cstheme="minorHAnsi"/>
          <w:sz w:val="22"/>
        </w:rPr>
        <w:t>,</w:t>
      </w:r>
      <w:r w:rsidRPr="00694043">
        <w:rPr>
          <w:rFonts w:cstheme="minorHAnsi"/>
          <w:sz w:val="22"/>
        </w:rPr>
        <w:t xml:space="preserve"> it led to ambiguity for at least two reasons. First, it left the outputs of the consulting firm to be directed by the PWA</w:t>
      </w:r>
      <w:r>
        <w:rPr>
          <w:rFonts w:cstheme="minorHAnsi"/>
          <w:sz w:val="22"/>
        </w:rPr>
        <w:t>—</w:t>
      </w:r>
      <w:r w:rsidRPr="00694043">
        <w:rPr>
          <w:rFonts w:cstheme="minorHAnsi"/>
          <w:sz w:val="22"/>
        </w:rPr>
        <w:t xml:space="preserve">whose capacity the consulting firm was meant to be building. </w:t>
      </w:r>
      <w:r w:rsidRPr="005D2034">
        <w:rPr>
          <w:rFonts w:cstheme="minorHAnsi"/>
          <w:sz w:val="22"/>
        </w:rPr>
        <w:t>Second,</w:t>
      </w:r>
      <w:r w:rsidRPr="00694043">
        <w:rPr>
          <w:rFonts w:cstheme="minorHAnsi"/>
          <w:sz w:val="22"/>
        </w:rPr>
        <w:t xml:space="preserve"> when </w:t>
      </w:r>
      <w:r w:rsidR="00735266">
        <w:rPr>
          <w:rFonts w:cstheme="minorHAnsi"/>
          <w:sz w:val="22"/>
        </w:rPr>
        <w:t xml:space="preserve">PWA with the support of </w:t>
      </w:r>
      <w:r w:rsidRPr="00694043">
        <w:rPr>
          <w:rFonts w:cstheme="minorHAnsi"/>
          <w:sz w:val="22"/>
        </w:rPr>
        <w:t xml:space="preserve">the </w:t>
      </w:r>
      <w:r>
        <w:rPr>
          <w:rFonts w:cstheme="minorHAnsi"/>
          <w:sz w:val="22"/>
        </w:rPr>
        <w:t xml:space="preserve">World </w:t>
      </w:r>
      <w:r w:rsidRPr="00694043">
        <w:rPr>
          <w:rFonts w:cstheme="minorHAnsi"/>
          <w:sz w:val="22"/>
        </w:rPr>
        <w:t xml:space="preserve">Bank and other donors tried </w:t>
      </w:r>
      <w:r w:rsidR="00811009">
        <w:rPr>
          <w:rFonts w:cstheme="minorHAnsi"/>
          <w:sz w:val="22"/>
        </w:rPr>
        <w:t xml:space="preserve">to </w:t>
      </w:r>
      <w:r w:rsidRPr="00694043">
        <w:rPr>
          <w:rFonts w:cstheme="minorHAnsi"/>
          <w:sz w:val="22"/>
        </w:rPr>
        <w:t>redirect the TA to be more responsive to the reform needs</w:t>
      </w:r>
      <w:r w:rsidR="00811009">
        <w:rPr>
          <w:rFonts w:cstheme="minorHAnsi"/>
          <w:sz w:val="22"/>
        </w:rPr>
        <w:t>,</w:t>
      </w:r>
      <w:r w:rsidRPr="00694043">
        <w:rPr>
          <w:rFonts w:cstheme="minorHAnsi"/>
          <w:sz w:val="22"/>
        </w:rPr>
        <w:t xml:space="preserve"> the firm, reasonably, referred back to their contract to limit variance in the scope.</w:t>
      </w:r>
      <w:r>
        <w:rPr>
          <w:rFonts w:cstheme="minorHAnsi"/>
          <w:sz w:val="22"/>
        </w:rPr>
        <w:t xml:space="preserve"> </w:t>
      </w:r>
      <w:r w:rsidR="00735266">
        <w:rPr>
          <w:rFonts w:cstheme="minorHAnsi"/>
          <w:sz w:val="22"/>
        </w:rPr>
        <w:t xml:space="preserve">Third, TPAT started before finalizing the Institutional Water Sector Review and adapting its results at policy-making level, resulting in delays in the formulation and adoption of the Water Law. </w:t>
      </w:r>
      <w:r w:rsidRPr="00694043">
        <w:rPr>
          <w:rFonts w:cstheme="minorHAnsi"/>
          <w:sz w:val="22"/>
        </w:rPr>
        <w:t>This ambiguity of direction (a basic prin</w:t>
      </w:r>
      <w:r w:rsidRPr="005D2034">
        <w:rPr>
          <w:rFonts w:cstheme="minorHAnsi"/>
          <w:sz w:val="22"/>
        </w:rPr>
        <w:t>cipa</w:t>
      </w:r>
      <w:r w:rsidRPr="00694043">
        <w:rPr>
          <w:rFonts w:cstheme="minorHAnsi"/>
          <w:sz w:val="22"/>
        </w:rPr>
        <w:t xml:space="preserve">l-agent problem) undermined achieving good </w:t>
      </w:r>
      <w:r w:rsidR="004F148C">
        <w:rPr>
          <w:rFonts w:cstheme="minorHAnsi"/>
          <w:sz w:val="22"/>
        </w:rPr>
        <w:t>VFM</w:t>
      </w:r>
      <w:r w:rsidRPr="00694043">
        <w:rPr>
          <w:rFonts w:cstheme="minorHAnsi"/>
          <w:sz w:val="22"/>
        </w:rPr>
        <w:t>. The first US$1.7 million TA contract was then extended. The TORs for the second TA contract (TPAT</w:t>
      </w:r>
      <w:r w:rsidR="005D2034">
        <w:rPr>
          <w:rFonts w:cstheme="minorHAnsi"/>
          <w:sz w:val="22"/>
        </w:rPr>
        <w:t xml:space="preserve"> </w:t>
      </w:r>
      <w:r w:rsidRPr="00694043">
        <w:rPr>
          <w:rFonts w:cstheme="minorHAnsi"/>
          <w:sz w:val="22"/>
        </w:rPr>
        <w:t xml:space="preserve">2) were tightened with payments more clearly linked to outputs. While this did improve clarity and the link between inputs and outputs it naturally constrained adaptability to the reform environment. </w:t>
      </w:r>
    </w:p>
    <w:p w:rsidR="004E0ECB" w:rsidRPr="00F07597" w:rsidRDefault="00B578E1" w:rsidP="00A63A6F">
      <w:pPr>
        <w:pStyle w:val="Normal0"/>
        <w:numPr>
          <w:ilvl w:val="0"/>
          <w:numId w:val="11"/>
        </w:numPr>
        <w:spacing w:after="240" w:line="240" w:lineRule="auto"/>
        <w:ind w:left="0" w:firstLine="0"/>
        <w:jc w:val="both"/>
        <w:rPr>
          <w:rFonts w:cstheme="minorHAnsi"/>
          <w:sz w:val="22"/>
        </w:rPr>
        <w:sectPr w:rsidR="004E0ECB" w:rsidRPr="00F07597" w:rsidSect="00FC35E7">
          <w:headerReference w:type="default" r:id="rId22"/>
          <w:footerReference w:type="even" r:id="rId23"/>
          <w:footerReference w:type="default" r:id="rId24"/>
          <w:footerReference w:type="first" r:id="rId25"/>
          <w:type w:val="continuous"/>
          <w:pgSz w:w="12240" w:h="15840"/>
          <w:pgMar w:top="1440" w:right="1440" w:bottom="1440" w:left="1440" w:header="720" w:footer="720" w:gutter="0"/>
          <w:cols w:space="720"/>
          <w:titlePg/>
        </w:sectPr>
      </w:pPr>
      <w:r w:rsidRPr="005D2034">
        <w:rPr>
          <w:rFonts w:cstheme="minorHAnsi"/>
          <w:sz w:val="22"/>
        </w:rPr>
        <w:t>In</w:t>
      </w:r>
      <w:r w:rsidRPr="00F07597">
        <w:rPr>
          <w:rFonts w:cstheme="minorHAnsi"/>
          <w:sz w:val="22"/>
        </w:rPr>
        <w:t xml:space="preserve"> the other three country cases, there was greater </w:t>
      </w:r>
      <w:r w:rsidRPr="00740157">
        <w:rPr>
          <w:rFonts w:cstheme="minorHAnsi"/>
          <w:sz w:val="22"/>
        </w:rPr>
        <w:t>ex ante</w:t>
      </w:r>
      <w:r w:rsidRPr="00F07597">
        <w:rPr>
          <w:rFonts w:cstheme="minorHAnsi"/>
          <w:sz w:val="22"/>
        </w:rPr>
        <w:t xml:space="preserve"> clarity on the anchor reform document.</w:t>
      </w:r>
      <w:r>
        <w:rPr>
          <w:rFonts w:cstheme="minorHAnsi"/>
          <w:sz w:val="22"/>
        </w:rPr>
        <w:t xml:space="preserve"> </w:t>
      </w:r>
      <w:r w:rsidRPr="00F07597">
        <w:rPr>
          <w:rFonts w:cstheme="minorHAnsi"/>
          <w:sz w:val="22"/>
        </w:rPr>
        <w:t>In Zimbabwe and P</w:t>
      </w:r>
      <w:r w:rsidR="00740157">
        <w:rPr>
          <w:rFonts w:cstheme="minorHAnsi"/>
          <w:sz w:val="22"/>
        </w:rPr>
        <w:t xml:space="preserve">apua </w:t>
      </w:r>
      <w:r w:rsidRPr="00F07597">
        <w:rPr>
          <w:rFonts w:cstheme="minorHAnsi"/>
          <w:sz w:val="22"/>
        </w:rPr>
        <w:t>N</w:t>
      </w:r>
      <w:r w:rsidR="00740157">
        <w:rPr>
          <w:rFonts w:cstheme="minorHAnsi"/>
          <w:sz w:val="22"/>
        </w:rPr>
        <w:t xml:space="preserve">ew </w:t>
      </w:r>
      <w:r w:rsidRPr="00F07597">
        <w:rPr>
          <w:rFonts w:cstheme="minorHAnsi"/>
          <w:sz w:val="22"/>
        </w:rPr>
        <w:t>G</w:t>
      </w:r>
      <w:r w:rsidR="00740157">
        <w:rPr>
          <w:rFonts w:cstheme="minorHAnsi"/>
          <w:sz w:val="22"/>
        </w:rPr>
        <w:t>uinea</w:t>
      </w:r>
      <w:r w:rsidRPr="00F07597">
        <w:rPr>
          <w:rFonts w:cstheme="minorHAnsi"/>
          <w:sz w:val="22"/>
        </w:rPr>
        <w:t xml:space="preserve">, this greater clarity was achieved by breaking the scope of the reform TA into smaller packages of outputs with some parts being </w:t>
      </w:r>
      <w:r>
        <w:rPr>
          <w:rFonts w:cstheme="minorHAnsi"/>
          <w:sz w:val="22"/>
        </w:rPr>
        <w:t xml:space="preserve">World </w:t>
      </w:r>
      <w:r w:rsidRPr="00F07597">
        <w:rPr>
          <w:rFonts w:cstheme="minorHAnsi"/>
          <w:sz w:val="22"/>
        </w:rPr>
        <w:t xml:space="preserve">Bank executed </w:t>
      </w:r>
      <w:r w:rsidR="00740157">
        <w:rPr>
          <w:rFonts w:cstheme="minorHAnsi"/>
          <w:sz w:val="22"/>
        </w:rPr>
        <w:t>and</w:t>
      </w:r>
      <w:r w:rsidR="00740157" w:rsidRPr="00F07597">
        <w:rPr>
          <w:rFonts w:cstheme="minorHAnsi"/>
          <w:sz w:val="22"/>
        </w:rPr>
        <w:t xml:space="preserve"> </w:t>
      </w:r>
      <w:r w:rsidRPr="00F07597">
        <w:rPr>
          <w:rFonts w:cstheme="minorHAnsi"/>
          <w:sz w:val="22"/>
        </w:rPr>
        <w:t xml:space="preserve">other parts being </w:t>
      </w:r>
      <w:r>
        <w:rPr>
          <w:rFonts w:cstheme="minorHAnsi"/>
          <w:sz w:val="22"/>
        </w:rPr>
        <w:t>r</w:t>
      </w:r>
      <w:r w:rsidRPr="00F07597">
        <w:rPr>
          <w:rFonts w:cstheme="minorHAnsi"/>
          <w:sz w:val="22"/>
        </w:rPr>
        <w:t xml:space="preserve">ecipient executed. For example, the TA to the anchor reform document was provided though </w:t>
      </w:r>
      <w:r>
        <w:rPr>
          <w:rFonts w:cstheme="minorHAnsi"/>
          <w:sz w:val="22"/>
        </w:rPr>
        <w:lastRenderedPageBreak/>
        <w:t xml:space="preserve">World </w:t>
      </w:r>
      <w:r w:rsidRPr="00F07597">
        <w:rPr>
          <w:rFonts w:cstheme="minorHAnsi"/>
          <w:sz w:val="22"/>
        </w:rPr>
        <w:t>Bank</w:t>
      </w:r>
      <w:r>
        <w:rPr>
          <w:rFonts w:cstheme="minorHAnsi"/>
          <w:sz w:val="22"/>
        </w:rPr>
        <w:t>-</w:t>
      </w:r>
      <w:r w:rsidRPr="00F07597">
        <w:rPr>
          <w:rFonts w:cstheme="minorHAnsi"/>
          <w:sz w:val="22"/>
        </w:rPr>
        <w:t xml:space="preserve">executed TA in both these countries. The anchor reform document then received cabinet endorsement before designing a </w:t>
      </w:r>
      <w:r>
        <w:rPr>
          <w:rFonts w:cstheme="minorHAnsi"/>
          <w:sz w:val="22"/>
        </w:rPr>
        <w:t>r</w:t>
      </w:r>
      <w:r w:rsidRPr="00F07597">
        <w:rPr>
          <w:rFonts w:cstheme="minorHAnsi"/>
          <w:sz w:val="22"/>
        </w:rPr>
        <w:t>ecipient</w:t>
      </w:r>
      <w:r>
        <w:rPr>
          <w:rFonts w:cstheme="minorHAnsi"/>
          <w:sz w:val="22"/>
        </w:rPr>
        <w:t>-</w:t>
      </w:r>
      <w:r w:rsidRPr="00F07597">
        <w:rPr>
          <w:rFonts w:cstheme="minorHAnsi"/>
          <w:sz w:val="22"/>
        </w:rPr>
        <w:t>executed TA component around realizing the institutional and policy direction set out in it. This breakdown of reform TA an</w:t>
      </w:r>
      <w:r>
        <w:rPr>
          <w:rFonts w:cstheme="minorHAnsi"/>
          <w:sz w:val="22"/>
        </w:rPr>
        <w:t>d</w:t>
      </w:r>
      <w:r w:rsidRPr="00F07597">
        <w:rPr>
          <w:rFonts w:cstheme="minorHAnsi"/>
          <w:sz w:val="22"/>
        </w:rPr>
        <w:t xml:space="preserve"> partitioning between </w:t>
      </w:r>
      <w:r>
        <w:rPr>
          <w:rFonts w:cstheme="minorHAnsi"/>
          <w:sz w:val="22"/>
        </w:rPr>
        <w:t xml:space="preserve">the World </w:t>
      </w:r>
      <w:r w:rsidRPr="00F07597">
        <w:rPr>
          <w:rFonts w:cstheme="minorHAnsi"/>
          <w:sz w:val="22"/>
        </w:rPr>
        <w:t>Bank</w:t>
      </w:r>
      <w:r>
        <w:rPr>
          <w:rFonts w:cstheme="minorHAnsi"/>
          <w:sz w:val="22"/>
        </w:rPr>
        <w:t>-</w:t>
      </w:r>
      <w:r w:rsidR="00740157">
        <w:rPr>
          <w:rFonts w:cstheme="minorHAnsi"/>
          <w:sz w:val="22"/>
        </w:rPr>
        <w:t>executed</w:t>
      </w:r>
      <w:r w:rsidRPr="00F07597">
        <w:rPr>
          <w:rFonts w:cstheme="minorHAnsi"/>
          <w:sz w:val="22"/>
        </w:rPr>
        <w:t xml:space="preserve"> and </w:t>
      </w:r>
      <w:r>
        <w:rPr>
          <w:rFonts w:cstheme="minorHAnsi"/>
          <w:sz w:val="22"/>
        </w:rPr>
        <w:t>r</w:t>
      </w:r>
      <w:r w:rsidRPr="00F07597">
        <w:rPr>
          <w:rFonts w:cstheme="minorHAnsi"/>
          <w:sz w:val="22"/>
        </w:rPr>
        <w:t>ecipient</w:t>
      </w:r>
      <w:r>
        <w:rPr>
          <w:rFonts w:cstheme="minorHAnsi"/>
          <w:sz w:val="22"/>
        </w:rPr>
        <w:t>-</w:t>
      </w:r>
      <w:r w:rsidRPr="00F07597">
        <w:rPr>
          <w:rFonts w:cstheme="minorHAnsi"/>
          <w:sz w:val="22"/>
        </w:rPr>
        <w:t xml:space="preserve">executed components also supported adaptability to the reform environment. In Zimbabwe, for example, the complex analysis for the sector investment framework was </w:t>
      </w:r>
      <w:r>
        <w:rPr>
          <w:rFonts w:cstheme="minorHAnsi"/>
          <w:sz w:val="22"/>
        </w:rPr>
        <w:t xml:space="preserve">World </w:t>
      </w:r>
      <w:r w:rsidRPr="00F07597">
        <w:rPr>
          <w:rFonts w:cstheme="minorHAnsi"/>
          <w:sz w:val="22"/>
        </w:rPr>
        <w:t xml:space="preserve">Bank executed, in order that it could inform the </w:t>
      </w:r>
      <w:r>
        <w:rPr>
          <w:rFonts w:cstheme="minorHAnsi"/>
          <w:sz w:val="22"/>
        </w:rPr>
        <w:t>r</w:t>
      </w:r>
      <w:r w:rsidRPr="00F07597">
        <w:rPr>
          <w:rFonts w:cstheme="minorHAnsi"/>
          <w:sz w:val="22"/>
        </w:rPr>
        <w:t>ecipient</w:t>
      </w:r>
      <w:r>
        <w:rPr>
          <w:rFonts w:cstheme="minorHAnsi"/>
          <w:sz w:val="22"/>
        </w:rPr>
        <w:t>-</w:t>
      </w:r>
      <w:r w:rsidRPr="00F07597">
        <w:rPr>
          <w:rFonts w:cstheme="minorHAnsi"/>
          <w:sz w:val="22"/>
        </w:rPr>
        <w:t>executed reform comp</w:t>
      </w:r>
      <w:r w:rsidR="00F650B7">
        <w:rPr>
          <w:rFonts w:cstheme="minorHAnsi"/>
          <w:sz w:val="22"/>
        </w:rPr>
        <w:t>onents. In Sierra Leone, though</w:t>
      </w:r>
      <w:r w:rsidRPr="00F07597">
        <w:rPr>
          <w:rFonts w:cstheme="minorHAnsi"/>
          <w:sz w:val="22"/>
        </w:rPr>
        <w:t xml:space="preserve"> the anchor reform document was in place before TA was designed</w:t>
      </w:r>
      <w:r w:rsidR="005D2034">
        <w:rPr>
          <w:rFonts w:cstheme="minorHAnsi"/>
          <w:sz w:val="22"/>
        </w:rPr>
        <w:t xml:space="preserve"> and</w:t>
      </w:r>
      <w:r w:rsidRPr="00F07597">
        <w:rPr>
          <w:rFonts w:cstheme="minorHAnsi"/>
          <w:sz w:val="22"/>
        </w:rPr>
        <w:t xml:space="preserve"> TA was contracted to </w:t>
      </w:r>
      <w:r w:rsidR="005D2034">
        <w:rPr>
          <w:rFonts w:cstheme="minorHAnsi"/>
          <w:sz w:val="22"/>
        </w:rPr>
        <w:t xml:space="preserve">a </w:t>
      </w:r>
      <w:r w:rsidRPr="00F07597">
        <w:rPr>
          <w:rFonts w:cstheme="minorHAnsi"/>
          <w:sz w:val="22"/>
        </w:rPr>
        <w:t>consulting firm as a large predefined output. As in West Bank and Gaza, there were significant cost escalations during the implementation of the TA contract, principally associated with the firm requiring originally unforeseen extensions of scope to be matched with additional funding.</w:t>
      </w:r>
    </w:p>
    <w:p w:rsidR="004E0ECB" w:rsidRPr="005D2034" w:rsidRDefault="00B578E1" w:rsidP="005D2034">
      <w:pPr>
        <w:pStyle w:val="Caption"/>
      </w:pPr>
      <w:r w:rsidRPr="005D2034">
        <w:lastRenderedPageBreak/>
        <w:t>Figure 4.</w:t>
      </w:r>
      <w:r w:rsidRPr="005D2034">
        <w:fldChar w:fldCharType="begin"/>
      </w:r>
      <w:r>
        <w:instrText xml:space="preserve"> SEQ Figure_4. \* ARABIC </w:instrText>
      </w:r>
      <w:r w:rsidRPr="005D2034">
        <w:fldChar w:fldCharType="separate"/>
      </w:r>
      <w:r w:rsidRPr="005D2034">
        <w:t>1</w:t>
      </w:r>
      <w:r w:rsidRPr="005D2034">
        <w:fldChar w:fldCharType="end"/>
      </w:r>
      <w:r w:rsidRPr="005D2034">
        <w:t>.PWA Action Plan for Reform</w:t>
      </w:r>
    </w:p>
    <w:p w:rsidR="004E0ECB" w:rsidRDefault="00B578E1" w:rsidP="005D2034">
      <w:pPr>
        <w:ind w:right="-540"/>
        <w:jc w:val="center"/>
        <w:rPr>
          <w:rFonts w:asciiTheme="minorHAnsi" w:hAnsiTheme="minorHAnsi"/>
          <w:b/>
          <w:sz w:val="22"/>
          <w:szCs w:val="22"/>
        </w:rPr>
      </w:pPr>
      <w:r w:rsidRPr="00BE659D">
        <w:rPr>
          <w:noProof/>
          <w:szCs w:val="22"/>
        </w:rPr>
        <w:drawing>
          <wp:inline distT="0" distB="0" distL="0" distR="0">
            <wp:extent cx="6891655" cy="5329368"/>
            <wp:effectExtent l="0" t="0" r="4445" b="5080"/>
            <wp:docPr id="77056" name="Picture 7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28146"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905252" cy="5339883"/>
                    </a:xfrm>
                    <a:prstGeom prst="rect">
                      <a:avLst/>
                    </a:prstGeom>
                    <a:noFill/>
                    <a:ln>
                      <a:noFill/>
                    </a:ln>
                  </pic:spPr>
                </pic:pic>
              </a:graphicData>
            </a:graphic>
          </wp:inline>
        </w:drawing>
      </w:r>
    </w:p>
    <w:p w:rsidR="004E0ECB" w:rsidRDefault="004E0ECB" w:rsidP="004E0ECB">
      <w:pPr>
        <w:ind w:right="-540"/>
        <w:jc w:val="both"/>
        <w:rPr>
          <w:rFonts w:asciiTheme="minorHAnsi" w:hAnsiTheme="minorHAnsi"/>
          <w:b/>
          <w:sz w:val="22"/>
          <w:szCs w:val="22"/>
        </w:rPr>
        <w:sectPr w:rsidR="004E0ECB" w:rsidSect="00E47747">
          <w:pgSz w:w="15840" w:h="12240" w:orient="landscape"/>
          <w:pgMar w:top="1440" w:right="1440" w:bottom="1440" w:left="1440" w:header="720" w:footer="720" w:gutter="0"/>
          <w:cols w:space="720"/>
          <w:titlePg/>
          <w:docGrid w:linePitch="326"/>
        </w:sectPr>
      </w:pPr>
    </w:p>
    <w:p w:rsidR="004E0ECB" w:rsidRPr="00F07597" w:rsidRDefault="00B578E1" w:rsidP="00A63A6F">
      <w:pPr>
        <w:pStyle w:val="Normal0"/>
        <w:numPr>
          <w:ilvl w:val="0"/>
          <w:numId w:val="11"/>
        </w:numPr>
        <w:spacing w:after="240" w:line="240" w:lineRule="auto"/>
        <w:ind w:left="0" w:firstLine="0"/>
        <w:jc w:val="both"/>
        <w:rPr>
          <w:sz w:val="22"/>
        </w:rPr>
      </w:pPr>
      <w:r w:rsidRPr="00F07597">
        <w:rPr>
          <w:b/>
          <w:sz w:val="22"/>
        </w:rPr>
        <w:lastRenderedPageBreak/>
        <w:t xml:space="preserve">Utility performance reports and </w:t>
      </w:r>
      <w:r w:rsidR="004F148C">
        <w:rPr>
          <w:b/>
          <w:sz w:val="22"/>
        </w:rPr>
        <w:t>VFM</w:t>
      </w:r>
      <w:r w:rsidR="006E77E9">
        <w:rPr>
          <w:b/>
          <w:sz w:val="22"/>
        </w:rPr>
        <w:t>.</w:t>
      </w:r>
      <w:r w:rsidRPr="00F07597">
        <w:rPr>
          <w:b/>
          <w:sz w:val="22"/>
        </w:rPr>
        <w:t xml:space="preserve"> </w:t>
      </w:r>
      <w:r w:rsidRPr="00F07597">
        <w:rPr>
          <w:sz w:val="22"/>
        </w:rPr>
        <w:t xml:space="preserve">All the above projects also supported performance monitoring of </w:t>
      </w:r>
      <w:r w:rsidR="008D27C7">
        <w:rPr>
          <w:sz w:val="22"/>
        </w:rPr>
        <w:t>SP</w:t>
      </w:r>
      <w:r w:rsidRPr="00F07597">
        <w:rPr>
          <w:sz w:val="22"/>
        </w:rPr>
        <w:t xml:space="preserve">s. The most directly comparable outputs were in Zimbabwe where three years of </w:t>
      </w:r>
      <w:r w:rsidR="008D27C7">
        <w:rPr>
          <w:sz w:val="22"/>
        </w:rPr>
        <w:t>SP</w:t>
      </w:r>
      <w:r w:rsidRPr="00F07597">
        <w:rPr>
          <w:sz w:val="22"/>
        </w:rPr>
        <w:t xml:space="preserve"> </w:t>
      </w:r>
      <w:r w:rsidRPr="002141E3">
        <w:rPr>
          <w:rFonts w:cstheme="minorHAnsi"/>
          <w:sz w:val="22"/>
        </w:rPr>
        <w:t>benchmarking</w:t>
      </w:r>
      <w:r w:rsidRPr="00F07597">
        <w:rPr>
          <w:sz w:val="22"/>
        </w:rPr>
        <w:t xml:space="preserve"> reports were generated. In the case of Zimbabwe, these were for 32 </w:t>
      </w:r>
      <w:r w:rsidR="008D27C7">
        <w:rPr>
          <w:sz w:val="22"/>
        </w:rPr>
        <w:t>SP</w:t>
      </w:r>
      <w:r w:rsidRPr="00F07597">
        <w:rPr>
          <w:sz w:val="22"/>
        </w:rPr>
        <w:t xml:space="preserve">s, compared to </w:t>
      </w:r>
      <w:r w:rsidR="00740157">
        <w:rPr>
          <w:sz w:val="22"/>
        </w:rPr>
        <w:t xml:space="preserve">the </w:t>
      </w:r>
      <w:r w:rsidRPr="00F07597">
        <w:rPr>
          <w:sz w:val="22"/>
        </w:rPr>
        <w:t xml:space="preserve">West Bank and Gaza where the WSRC covered 16 in 2013, expanded to 33 in 2014 and 65 in 2015 and 2016. The costs and outputs of the utility performance monitoring and reporting process in </w:t>
      </w:r>
      <w:r w:rsidR="00740157">
        <w:rPr>
          <w:sz w:val="22"/>
        </w:rPr>
        <w:t xml:space="preserve">the </w:t>
      </w:r>
      <w:r w:rsidRPr="00F07597">
        <w:rPr>
          <w:sz w:val="22"/>
        </w:rPr>
        <w:t xml:space="preserve">West Bank and Gaza (US$1 million) and Zimbabwe (US$0.75 million) were comparable. </w:t>
      </w:r>
    </w:p>
    <w:p w:rsidR="004E0ECB" w:rsidRPr="00F07597" w:rsidRDefault="00B578E1" w:rsidP="00A63A6F">
      <w:pPr>
        <w:pStyle w:val="Normal0"/>
        <w:numPr>
          <w:ilvl w:val="0"/>
          <w:numId w:val="11"/>
        </w:numPr>
        <w:spacing w:after="240" w:line="240" w:lineRule="auto"/>
        <w:ind w:left="0" w:firstLine="0"/>
        <w:jc w:val="both"/>
        <w:rPr>
          <w:sz w:val="22"/>
        </w:rPr>
      </w:pPr>
      <w:r w:rsidRPr="00F07597">
        <w:rPr>
          <w:sz w:val="22"/>
        </w:rPr>
        <w:t xml:space="preserve">The implementation arrangements were different in </w:t>
      </w:r>
      <w:r w:rsidR="00740157">
        <w:rPr>
          <w:sz w:val="22"/>
        </w:rPr>
        <w:t xml:space="preserve">the </w:t>
      </w:r>
      <w:r w:rsidRPr="00F07597">
        <w:rPr>
          <w:sz w:val="22"/>
        </w:rPr>
        <w:t xml:space="preserve">West Bank and Gaza and Zimbabwe. In </w:t>
      </w:r>
      <w:r w:rsidR="00740157">
        <w:rPr>
          <w:sz w:val="22"/>
        </w:rPr>
        <w:t xml:space="preserve">the </w:t>
      </w:r>
      <w:r w:rsidRPr="00F07597">
        <w:rPr>
          <w:sz w:val="22"/>
        </w:rPr>
        <w:t>West Bank and Gaza, the performance monitoring process was carried out but the newly set up WSRC (</w:t>
      </w:r>
      <w:r w:rsidR="005D2034">
        <w:rPr>
          <w:sz w:val="22"/>
        </w:rPr>
        <w:t>recipient executed</w:t>
      </w:r>
      <w:r w:rsidRPr="005D2034">
        <w:rPr>
          <w:sz w:val="22"/>
        </w:rPr>
        <w:t>)</w:t>
      </w:r>
      <w:r>
        <w:rPr>
          <w:sz w:val="22"/>
        </w:rPr>
        <w:t>,</w:t>
      </w:r>
      <w:r w:rsidRPr="00F07597">
        <w:rPr>
          <w:sz w:val="22"/>
        </w:rPr>
        <w:t xml:space="preserve"> while in Zimbabwe it was </w:t>
      </w:r>
      <w:r>
        <w:rPr>
          <w:sz w:val="22"/>
        </w:rPr>
        <w:t xml:space="preserve">World </w:t>
      </w:r>
      <w:r w:rsidRPr="00F07597">
        <w:rPr>
          <w:sz w:val="22"/>
        </w:rPr>
        <w:t>Bank</w:t>
      </w:r>
      <w:r w:rsidR="00740157">
        <w:rPr>
          <w:sz w:val="22"/>
        </w:rPr>
        <w:t>-</w:t>
      </w:r>
      <w:r w:rsidRPr="00F07597">
        <w:rPr>
          <w:sz w:val="22"/>
        </w:rPr>
        <w:t xml:space="preserve">executed working closely with the </w:t>
      </w:r>
      <w:r w:rsidRPr="005D2034">
        <w:rPr>
          <w:sz w:val="22"/>
        </w:rPr>
        <w:t>Urban Councils Association of Zimbabwe</w:t>
      </w:r>
      <w:r w:rsidRPr="00F07597">
        <w:rPr>
          <w:sz w:val="22"/>
        </w:rPr>
        <w:t xml:space="preserve">. In </w:t>
      </w:r>
      <w:r w:rsidR="00740157">
        <w:rPr>
          <w:sz w:val="22"/>
        </w:rPr>
        <w:t xml:space="preserve">the </w:t>
      </w:r>
      <w:r w:rsidRPr="00F07597">
        <w:rPr>
          <w:sz w:val="22"/>
        </w:rPr>
        <w:t xml:space="preserve">West Bank and Gaza, </w:t>
      </w:r>
      <w:r w:rsidRPr="002141E3">
        <w:rPr>
          <w:rFonts w:cstheme="minorHAnsi"/>
          <w:sz w:val="22"/>
        </w:rPr>
        <w:t>there</w:t>
      </w:r>
      <w:r w:rsidRPr="00F07597">
        <w:rPr>
          <w:sz w:val="22"/>
        </w:rPr>
        <w:t xml:space="preserve"> was very strong institutional ownership of the performance monitoring process by </w:t>
      </w:r>
      <w:r w:rsidR="006E77E9">
        <w:rPr>
          <w:sz w:val="22"/>
        </w:rPr>
        <w:t xml:space="preserve">the </w:t>
      </w:r>
      <w:r w:rsidRPr="00F07597">
        <w:rPr>
          <w:sz w:val="22"/>
        </w:rPr>
        <w:t>WSRC</w:t>
      </w:r>
      <w:r w:rsidRPr="005D2034">
        <w:rPr>
          <w:sz w:val="22"/>
        </w:rPr>
        <w:t>. In</w:t>
      </w:r>
      <w:r w:rsidRPr="00F07597">
        <w:rPr>
          <w:sz w:val="22"/>
        </w:rPr>
        <w:t xml:space="preserve"> Zimbabwe, while there was a high level of engagement and enthusiasm among stakeholders in the process, the lack </w:t>
      </w:r>
      <w:r w:rsidR="009F2D04">
        <w:rPr>
          <w:sz w:val="22"/>
        </w:rPr>
        <w:t>of an ‘institutional home’</w:t>
      </w:r>
      <w:r w:rsidRPr="00F07597">
        <w:rPr>
          <w:sz w:val="22"/>
        </w:rPr>
        <w:t xml:space="preserve"> for the process threatens to dampened momentum.</w:t>
      </w:r>
    </w:p>
    <w:p w:rsidR="004E0ECB" w:rsidRPr="00F07597" w:rsidRDefault="00B578E1" w:rsidP="00A63A6F">
      <w:pPr>
        <w:pStyle w:val="Normal0"/>
        <w:numPr>
          <w:ilvl w:val="0"/>
          <w:numId w:val="11"/>
        </w:numPr>
        <w:spacing w:after="240" w:line="240" w:lineRule="auto"/>
        <w:ind w:left="0" w:firstLine="0"/>
        <w:jc w:val="both"/>
        <w:rPr>
          <w:sz w:val="22"/>
        </w:rPr>
      </w:pPr>
      <w:r w:rsidRPr="00F07597">
        <w:rPr>
          <w:sz w:val="22"/>
        </w:rPr>
        <w:t xml:space="preserve">In both cases, financial support for performance monitoring was from external donors with sustainability of the process challenged by the absence of a reliable domestic revenue stream. In the case of </w:t>
      </w:r>
      <w:r w:rsidR="00740157">
        <w:rPr>
          <w:sz w:val="22"/>
        </w:rPr>
        <w:t xml:space="preserve">the </w:t>
      </w:r>
      <w:r w:rsidRPr="00F07597">
        <w:rPr>
          <w:sz w:val="22"/>
        </w:rPr>
        <w:t>West Bank and Gaza, there was</w:t>
      </w:r>
      <w:r>
        <w:rPr>
          <w:sz w:val="22"/>
        </w:rPr>
        <w:t xml:space="preserve"> </w:t>
      </w:r>
      <w:r w:rsidRPr="002141E3">
        <w:rPr>
          <w:rFonts w:cstheme="minorHAnsi"/>
          <w:sz w:val="22"/>
        </w:rPr>
        <w:t>potentially</w:t>
      </w:r>
      <w:r w:rsidRPr="00F07597">
        <w:rPr>
          <w:sz w:val="22"/>
        </w:rPr>
        <w:t xml:space="preserve"> a mechanism for domestic financing</w:t>
      </w:r>
      <w:r>
        <w:rPr>
          <w:sz w:val="22"/>
        </w:rPr>
        <w:t>,</w:t>
      </w:r>
      <w:r w:rsidRPr="00F07597">
        <w:rPr>
          <w:sz w:val="22"/>
        </w:rPr>
        <w:t xml:space="preserve"> but</w:t>
      </w:r>
      <w:r>
        <w:rPr>
          <w:sz w:val="22"/>
        </w:rPr>
        <w:t xml:space="preserve"> </w:t>
      </w:r>
      <w:r w:rsidRPr="00F07597">
        <w:rPr>
          <w:sz w:val="22"/>
        </w:rPr>
        <w:t>at the time of the</w:t>
      </w:r>
      <w:r>
        <w:rPr>
          <w:sz w:val="22"/>
        </w:rPr>
        <w:t xml:space="preserve"> </w:t>
      </w:r>
      <w:r w:rsidRPr="00F07597">
        <w:rPr>
          <w:sz w:val="22"/>
        </w:rPr>
        <w:t xml:space="preserve">ICR, the </w:t>
      </w:r>
      <w:r w:rsidR="005D2034">
        <w:rPr>
          <w:sz w:val="22"/>
        </w:rPr>
        <w:t>L</w:t>
      </w:r>
      <w:r w:rsidRPr="00F07597">
        <w:rPr>
          <w:sz w:val="22"/>
        </w:rPr>
        <w:t xml:space="preserve">icensing </w:t>
      </w:r>
      <w:r w:rsidR="005D2034">
        <w:rPr>
          <w:sz w:val="22"/>
        </w:rPr>
        <w:t>B</w:t>
      </w:r>
      <w:r w:rsidRPr="005D2034">
        <w:rPr>
          <w:sz w:val="22"/>
        </w:rPr>
        <w:t>yla</w:t>
      </w:r>
      <w:r w:rsidRPr="00F07597">
        <w:rPr>
          <w:sz w:val="22"/>
        </w:rPr>
        <w:t>w has not been enacted though the broader sector reform process.</w:t>
      </w:r>
      <w:r>
        <w:rPr>
          <w:sz w:val="22"/>
        </w:rPr>
        <w:t xml:space="preserve"> </w:t>
      </w:r>
    </w:p>
    <w:p w:rsidR="004E0ECB" w:rsidRPr="00F07597" w:rsidRDefault="00B578E1" w:rsidP="00A63A6F">
      <w:pPr>
        <w:pStyle w:val="Normal0"/>
        <w:numPr>
          <w:ilvl w:val="0"/>
          <w:numId w:val="11"/>
        </w:numPr>
        <w:spacing w:after="240" w:line="240" w:lineRule="auto"/>
        <w:ind w:left="0" w:firstLine="0"/>
        <w:jc w:val="both"/>
        <w:rPr>
          <w:sz w:val="22"/>
        </w:rPr>
      </w:pPr>
      <w:r w:rsidRPr="00F07597">
        <w:rPr>
          <w:sz w:val="22"/>
        </w:rPr>
        <w:t xml:space="preserve">The utility performance reports in both countries were of similar breadth and depth as well as being associated with </w:t>
      </w:r>
      <w:r w:rsidR="00222B8E">
        <w:rPr>
          <w:sz w:val="22"/>
        </w:rPr>
        <w:t xml:space="preserve">an </w:t>
      </w:r>
      <w:r w:rsidRPr="00F07597">
        <w:rPr>
          <w:sz w:val="22"/>
        </w:rPr>
        <w:t xml:space="preserve">equivalent </w:t>
      </w:r>
      <w:r w:rsidRPr="002141E3">
        <w:rPr>
          <w:rFonts w:cstheme="minorHAnsi"/>
          <w:sz w:val="22"/>
        </w:rPr>
        <w:t>horizontal</w:t>
      </w:r>
      <w:r w:rsidRPr="00F07597">
        <w:rPr>
          <w:sz w:val="22"/>
        </w:rPr>
        <w:t xml:space="preserve"> learning process promoting exchange among </w:t>
      </w:r>
      <w:r w:rsidR="008D27C7">
        <w:rPr>
          <w:sz w:val="22"/>
        </w:rPr>
        <w:t>SP</w:t>
      </w:r>
      <w:r w:rsidRPr="00F07597">
        <w:rPr>
          <w:sz w:val="22"/>
        </w:rPr>
        <w:t xml:space="preserve">s. The learning processes in both cases led to incremental improvements in </w:t>
      </w:r>
      <w:r w:rsidR="008D27C7">
        <w:rPr>
          <w:sz w:val="22"/>
        </w:rPr>
        <w:t>SP</w:t>
      </w:r>
      <w:r w:rsidRPr="00F07597">
        <w:rPr>
          <w:sz w:val="22"/>
        </w:rPr>
        <w:t xml:space="preserve"> performance such as reducing </w:t>
      </w:r>
      <w:r w:rsidRPr="005D2034">
        <w:rPr>
          <w:sz w:val="22"/>
        </w:rPr>
        <w:t>NRW</w:t>
      </w:r>
      <w:r w:rsidRPr="00F07597">
        <w:rPr>
          <w:sz w:val="22"/>
        </w:rPr>
        <w:t xml:space="preserve"> that showed promise of short-to-medium</w:t>
      </w:r>
      <w:r w:rsidR="006E77E9">
        <w:rPr>
          <w:sz w:val="22"/>
        </w:rPr>
        <w:t>-</w:t>
      </w:r>
      <w:r w:rsidRPr="00F07597">
        <w:rPr>
          <w:sz w:val="22"/>
        </w:rPr>
        <w:t xml:space="preserve">term improvements in cost recovery and financial stability of </w:t>
      </w:r>
      <w:r w:rsidR="008D27C7">
        <w:rPr>
          <w:sz w:val="22"/>
        </w:rPr>
        <w:t>SP</w:t>
      </w:r>
      <w:r w:rsidRPr="00F07597">
        <w:rPr>
          <w:sz w:val="22"/>
        </w:rPr>
        <w:t>s.</w:t>
      </w:r>
    </w:p>
    <w:p w:rsidR="004E0ECB" w:rsidRPr="00F07597" w:rsidRDefault="00B578E1" w:rsidP="00A63A6F">
      <w:pPr>
        <w:pStyle w:val="Normal0"/>
        <w:numPr>
          <w:ilvl w:val="0"/>
          <w:numId w:val="11"/>
        </w:numPr>
        <w:spacing w:after="240" w:line="240" w:lineRule="auto"/>
        <w:ind w:left="0" w:firstLine="0"/>
        <w:jc w:val="both"/>
        <w:rPr>
          <w:sz w:val="22"/>
        </w:rPr>
      </w:pPr>
      <w:r w:rsidRPr="00F07597">
        <w:rPr>
          <w:sz w:val="22"/>
        </w:rPr>
        <w:t xml:space="preserve">Across all cases, there has been a lack of connection between the reform instruments and the performance monitoring </w:t>
      </w:r>
      <w:r w:rsidRPr="002141E3">
        <w:rPr>
          <w:rFonts w:cstheme="minorHAnsi"/>
          <w:sz w:val="22"/>
        </w:rPr>
        <w:t>components</w:t>
      </w:r>
      <w:r w:rsidRPr="00F07597">
        <w:rPr>
          <w:sz w:val="22"/>
        </w:rPr>
        <w:t>. There should be much greater opportunities for performance monitoring to generate feedback that will guide the sector reform process</w:t>
      </w:r>
      <w:r>
        <w:rPr>
          <w:sz w:val="22"/>
        </w:rPr>
        <w:t>, for example,</w:t>
      </w:r>
      <w:r w:rsidRPr="00F07597">
        <w:rPr>
          <w:sz w:val="22"/>
        </w:rPr>
        <w:t xml:space="preserve"> on constraints to bulk water supply or cost recovery as well as for the sector reform process to enable the performance improvements.</w:t>
      </w:r>
      <w:r>
        <w:rPr>
          <w:sz w:val="22"/>
        </w:rPr>
        <w:t xml:space="preserve"> </w:t>
      </w:r>
      <w:r w:rsidRPr="00F07597">
        <w:rPr>
          <w:sz w:val="22"/>
        </w:rPr>
        <w:t xml:space="preserve">Most obviously, the fact that the sector reform process in </w:t>
      </w:r>
      <w:r w:rsidR="00222B8E">
        <w:rPr>
          <w:sz w:val="22"/>
        </w:rPr>
        <w:t xml:space="preserve">the </w:t>
      </w:r>
      <w:r w:rsidRPr="00F07597">
        <w:rPr>
          <w:sz w:val="22"/>
        </w:rPr>
        <w:t xml:space="preserve">West Bank and Gaza has not put in place the Licensing Bylaw to finance </w:t>
      </w:r>
      <w:r w:rsidR="006E77E9">
        <w:rPr>
          <w:sz w:val="22"/>
        </w:rPr>
        <w:t xml:space="preserve">the </w:t>
      </w:r>
      <w:r w:rsidRPr="00F07597">
        <w:rPr>
          <w:sz w:val="22"/>
        </w:rPr>
        <w:t xml:space="preserve">WSRC. This connection between the reform instruments and performance monitoring might have been addressed better in </w:t>
      </w:r>
      <w:r w:rsidR="00222B8E">
        <w:rPr>
          <w:sz w:val="22"/>
        </w:rPr>
        <w:t xml:space="preserve">the </w:t>
      </w:r>
      <w:r w:rsidRPr="00F07597">
        <w:rPr>
          <w:sz w:val="22"/>
        </w:rPr>
        <w:t xml:space="preserve">West Bank and Gaza, had </w:t>
      </w:r>
      <w:r>
        <w:rPr>
          <w:sz w:val="22"/>
        </w:rPr>
        <w:t>C</w:t>
      </w:r>
      <w:r w:rsidRPr="00F07597">
        <w:rPr>
          <w:sz w:val="22"/>
        </w:rPr>
        <w:t xml:space="preserve">omponent 2 been refocused on </w:t>
      </w:r>
      <w:r w:rsidR="006E77E9">
        <w:rPr>
          <w:sz w:val="22"/>
        </w:rPr>
        <w:t xml:space="preserve">the </w:t>
      </w:r>
      <w:r w:rsidRPr="00F07597">
        <w:rPr>
          <w:sz w:val="22"/>
        </w:rPr>
        <w:t>Water Services Regulatory Council at the point of restructuring.</w:t>
      </w:r>
    </w:p>
    <w:p w:rsidR="004E0ECB" w:rsidRPr="00F07597" w:rsidRDefault="00B578E1" w:rsidP="00A63A6F">
      <w:pPr>
        <w:pStyle w:val="Normal0"/>
        <w:numPr>
          <w:ilvl w:val="0"/>
          <w:numId w:val="11"/>
        </w:numPr>
        <w:spacing w:after="240" w:line="240" w:lineRule="auto"/>
        <w:ind w:left="0" w:firstLine="0"/>
        <w:jc w:val="both"/>
        <w:rPr>
          <w:sz w:val="22"/>
        </w:rPr>
      </w:pPr>
      <w:r w:rsidRPr="00F07597">
        <w:rPr>
          <w:b/>
          <w:sz w:val="22"/>
        </w:rPr>
        <w:t xml:space="preserve">Conclusions and </w:t>
      </w:r>
      <w:r w:rsidRPr="00222B8E">
        <w:rPr>
          <w:rFonts w:cstheme="minorHAnsi"/>
          <w:b/>
          <w:sz w:val="22"/>
        </w:rPr>
        <w:t>lessons</w:t>
      </w:r>
      <w:r w:rsidRPr="00F07597">
        <w:rPr>
          <w:b/>
          <w:sz w:val="22"/>
        </w:rPr>
        <w:t xml:space="preserve"> on </w:t>
      </w:r>
      <w:r w:rsidR="004F148C">
        <w:rPr>
          <w:b/>
          <w:sz w:val="22"/>
        </w:rPr>
        <w:t>VFM</w:t>
      </w:r>
      <w:r>
        <w:rPr>
          <w:b/>
          <w:sz w:val="22"/>
        </w:rPr>
        <w:t xml:space="preserve">. </w:t>
      </w:r>
      <w:r w:rsidRPr="00F07597">
        <w:rPr>
          <w:sz w:val="22"/>
        </w:rPr>
        <w:t xml:space="preserve">Reflecting on this comparative analysis of </w:t>
      </w:r>
      <w:r w:rsidR="00222B8E">
        <w:rPr>
          <w:sz w:val="22"/>
        </w:rPr>
        <w:t xml:space="preserve">the </w:t>
      </w:r>
      <w:r w:rsidRPr="00F07597">
        <w:rPr>
          <w:sz w:val="22"/>
        </w:rPr>
        <w:t xml:space="preserve">water sector reform initiative in </w:t>
      </w:r>
      <w:r w:rsidR="00222B8E">
        <w:rPr>
          <w:sz w:val="22"/>
        </w:rPr>
        <w:t xml:space="preserve">the </w:t>
      </w:r>
      <w:r w:rsidRPr="00F07597">
        <w:rPr>
          <w:sz w:val="22"/>
        </w:rPr>
        <w:t>West Bank and Gaza against the experience in the other three countries</w:t>
      </w:r>
      <w:r>
        <w:rPr>
          <w:sz w:val="22"/>
        </w:rPr>
        <w:t>,</w:t>
      </w:r>
      <w:r w:rsidRPr="00F07597">
        <w:rPr>
          <w:sz w:val="22"/>
        </w:rPr>
        <w:t xml:space="preserve"> the following conclusions can be drawn on </w:t>
      </w:r>
      <w:r w:rsidRPr="005D2034">
        <w:rPr>
          <w:sz w:val="22"/>
        </w:rPr>
        <w:t>VFM</w:t>
      </w:r>
      <w:r w:rsidRPr="00F07597">
        <w:rPr>
          <w:sz w:val="22"/>
        </w:rPr>
        <w:t xml:space="preserve">. While the reform instrument part of the </w:t>
      </w:r>
      <w:r>
        <w:rPr>
          <w:sz w:val="22"/>
        </w:rPr>
        <w:t>p</w:t>
      </w:r>
      <w:r w:rsidRPr="00F07597">
        <w:rPr>
          <w:sz w:val="22"/>
        </w:rPr>
        <w:t>roject was within the range of comparator projects, it was at the upper end. The VFM of TA to reform instruments was challenged by</w:t>
      </w:r>
    </w:p>
    <w:p w:rsidR="004E0ECB" w:rsidRPr="001349FA" w:rsidRDefault="00B578E1" w:rsidP="00A63A6F">
      <w:pPr>
        <w:pStyle w:val="ListParagraph"/>
        <w:numPr>
          <w:ilvl w:val="0"/>
          <w:numId w:val="12"/>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The anchor reform document not being in place before the start of the recipient</w:t>
      </w:r>
      <w:r w:rsidR="00222B8E">
        <w:rPr>
          <w:rFonts w:asciiTheme="minorHAnsi" w:hAnsiTheme="minorHAnsi"/>
          <w:sz w:val="22"/>
          <w:szCs w:val="22"/>
        </w:rPr>
        <w:t>-</w:t>
      </w:r>
      <w:r w:rsidRPr="001349FA">
        <w:rPr>
          <w:rFonts w:asciiTheme="minorHAnsi" w:hAnsiTheme="minorHAnsi"/>
          <w:sz w:val="22"/>
          <w:szCs w:val="22"/>
        </w:rPr>
        <w:t>executed project;</w:t>
      </w:r>
    </w:p>
    <w:p w:rsidR="004E0ECB" w:rsidRPr="001349FA" w:rsidRDefault="00B578E1" w:rsidP="00A63A6F">
      <w:pPr>
        <w:pStyle w:val="ListParagraph"/>
        <w:numPr>
          <w:ilvl w:val="0"/>
          <w:numId w:val="12"/>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The outsourcing of TA to a single large firm contract without clear phasing or milestones;</w:t>
      </w:r>
      <w:r>
        <w:rPr>
          <w:rFonts w:asciiTheme="minorHAnsi" w:hAnsiTheme="minorHAnsi"/>
          <w:sz w:val="22"/>
          <w:szCs w:val="22"/>
        </w:rPr>
        <w:t xml:space="preserve"> and</w:t>
      </w:r>
    </w:p>
    <w:p w:rsidR="004E0ECB" w:rsidRPr="001349FA" w:rsidRDefault="00B578E1" w:rsidP="00A63A6F">
      <w:pPr>
        <w:pStyle w:val="ListParagraph"/>
        <w:numPr>
          <w:ilvl w:val="0"/>
          <w:numId w:val="12"/>
        </w:numPr>
        <w:spacing w:after="240" w:line="240" w:lineRule="auto"/>
        <w:ind w:left="1195" w:hanging="475"/>
        <w:contextualSpacing w:val="0"/>
        <w:jc w:val="both"/>
        <w:rPr>
          <w:rFonts w:asciiTheme="minorHAnsi" w:hAnsiTheme="minorHAnsi"/>
          <w:sz w:val="22"/>
          <w:szCs w:val="22"/>
        </w:rPr>
      </w:pPr>
      <w:r w:rsidRPr="009D2749">
        <w:rPr>
          <w:rFonts w:asciiTheme="minorHAnsi" w:hAnsiTheme="minorHAnsi"/>
          <w:sz w:val="22"/>
          <w:szCs w:val="22"/>
        </w:rPr>
        <w:lastRenderedPageBreak/>
        <w:t xml:space="preserve">Packaging the whole reform process as in a </w:t>
      </w:r>
      <w:r>
        <w:rPr>
          <w:rFonts w:asciiTheme="minorHAnsi" w:hAnsiTheme="minorHAnsi"/>
          <w:sz w:val="22"/>
          <w:szCs w:val="22"/>
        </w:rPr>
        <w:t>r</w:t>
      </w:r>
      <w:r w:rsidRPr="009D2749">
        <w:rPr>
          <w:rFonts w:asciiTheme="minorHAnsi" w:hAnsiTheme="minorHAnsi"/>
          <w:sz w:val="22"/>
          <w:szCs w:val="22"/>
        </w:rPr>
        <w:t>ecipient</w:t>
      </w:r>
      <w:r>
        <w:rPr>
          <w:rFonts w:asciiTheme="minorHAnsi" w:hAnsiTheme="minorHAnsi"/>
          <w:sz w:val="22"/>
          <w:szCs w:val="22"/>
        </w:rPr>
        <w:t>-</w:t>
      </w:r>
      <w:r w:rsidRPr="009D2749">
        <w:rPr>
          <w:rFonts w:asciiTheme="minorHAnsi" w:hAnsiTheme="minorHAnsi"/>
          <w:sz w:val="22"/>
          <w:szCs w:val="22"/>
        </w:rPr>
        <w:t xml:space="preserve">executed project rather than a combination of </w:t>
      </w:r>
      <w:r>
        <w:rPr>
          <w:rFonts w:asciiTheme="minorHAnsi" w:hAnsiTheme="minorHAnsi"/>
          <w:sz w:val="22"/>
          <w:szCs w:val="22"/>
        </w:rPr>
        <w:t xml:space="preserve">World </w:t>
      </w:r>
      <w:r w:rsidRPr="009D2749">
        <w:rPr>
          <w:rFonts w:asciiTheme="minorHAnsi" w:hAnsiTheme="minorHAnsi"/>
          <w:sz w:val="22"/>
          <w:szCs w:val="22"/>
        </w:rPr>
        <w:t>Bank</w:t>
      </w:r>
      <w:r>
        <w:rPr>
          <w:rFonts w:asciiTheme="minorHAnsi" w:hAnsiTheme="minorHAnsi"/>
          <w:sz w:val="22"/>
          <w:szCs w:val="22"/>
        </w:rPr>
        <w:t>-</w:t>
      </w:r>
      <w:r w:rsidR="00222B8E">
        <w:rPr>
          <w:rFonts w:asciiTheme="minorHAnsi" w:hAnsiTheme="minorHAnsi"/>
          <w:sz w:val="22"/>
          <w:szCs w:val="22"/>
        </w:rPr>
        <w:t>executed</w:t>
      </w:r>
      <w:r w:rsidRPr="009D2749">
        <w:rPr>
          <w:rFonts w:asciiTheme="minorHAnsi" w:hAnsiTheme="minorHAnsi"/>
          <w:sz w:val="22"/>
          <w:szCs w:val="22"/>
        </w:rPr>
        <w:t xml:space="preserve"> and </w:t>
      </w:r>
      <w:r>
        <w:rPr>
          <w:rFonts w:asciiTheme="minorHAnsi" w:hAnsiTheme="minorHAnsi"/>
          <w:sz w:val="22"/>
          <w:szCs w:val="22"/>
        </w:rPr>
        <w:t>r</w:t>
      </w:r>
      <w:r w:rsidRPr="009D2749">
        <w:rPr>
          <w:rFonts w:asciiTheme="minorHAnsi" w:hAnsiTheme="minorHAnsi"/>
          <w:sz w:val="22"/>
          <w:szCs w:val="22"/>
        </w:rPr>
        <w:t>ecipient</w:t>
      </w:r>
      <w:r>
        <w:rPr>
          <w:rFonts w:asciiTheme="minorHAnsi" w:hAnsiTheme="minorHAnsi"/>
          <w:sz w:val="22"/>
          <w:szCs w:val="22"/>
        </w:rPr>
        <w:t>-</w:t>
      </w:r>
      <w:r w:rsidRPr="009D2749">
        <w:rPr>
          <w:rFonts w:asciiTheme="minorHAnsi" w:hAnsiTheme="minorHAnsi"/>
          <w:sz w:val="22"/>
          <w:szCs w:val="22"/>
        </w:rPr>
        <w:t>executed parts</w:t>
      </w:r>
      <w:r>
        <w:rPr>
          <w:rFonts w:asciiTheme="minorHAnsi" w:hAnsiTheme="minorHAnsi"/>
          <w:sz w:val="22"/>
          <w:szCs w:val="22"/>
        </w:rPr>
        <w:t>—</w:t>
      </w:r>
      <w:r w:rsidRPr="009D2749">
        <w:rPr>
          <w:rFonts w:asciiTheme="minorHAnsi" w:hAnsiTheme="minorHAnsi"/>
          <w:sz w:val="22"/>
          <w:szCs w:val="22"/>
        </w:rPr>
        <w:t xml:space="preserve">particularly as the trust fund supporting the project can be used for </w:t>
      </w:r>
      <w:r>
        <w:rPr>
          <w:rFonts w:asciiTheme="minorHAnsi" w:hAnsiTheme="minorHAnsi"/>
          <w:sz w:val="22"/>
          <w:szCs w:val="22"/>
        </w:rPr>
        <w:t xml:space="preserve">World </w:t>
      </w:r>
      <w:r w:rsidRPr="009D2749">
        <w:rPr>
          <w:rFonts w:asciiTheme="minorHAnsi" w:hAnsiTheme="minorHAnsi"/>
          <w:sz w:val="22"/>
          <w:szCs w:val="22"/>
        </w:rPr>
        <w:t>Bank</w:t>
      </w:r>
      <w:r>
        <w:rPr>
          <w:rFonts w:asciiTheme="minorHAnsi" w:hAnsiTheme="minorHAnsi"/>
          <w:sz w:val="22"/>
          <w:szCs w:val="22"/>
        </w:rPr>
        <w:t>-</w:t>
      </w:r>
      <w:r w:rsidR="00222B8E">
        <w:rPr>
          <w:rFonts w:asciiTheme="minorHAnsi" w:hAnsiTheme="minorHAnsi"/>
          <w:sz w:val="22"/>
          <w:szCs w:val="22"/>
        </w:rPr>
        <w:t>executed</w:t>
      </w:r>
      <w:r w:rsidRPr="009D2749">
        <w:rPr>
          <w:rFonts w:asciiTheme="minorHAnsi" w:hAnsiTheme="minorHAnsi"/>
          <w:sz w:val="22"/>
          <w:szCs w:val="22"/>
        </w:rPr>
        <w:t xml:space="preserve"> and </w:t>
      </w:r>
      <w:r>
        <w:rPr>
          <w:rFonts w:asciiTheme="minorHAnsi" w:hAnsiTheme="minorHAnsi"/>
          <w:sz w:val="22"/>
          <w:szCs w:val="22"/>
        </w:rPr>
        <w:t>r</w:t>
      </w:r>
      <w:r w:rsidRPr="009D2749">
        <w:rPr>
          <w:rFonts w:asciiTheme="minorHAnsi" w:hAnsiTheme="minorHAnsi"/>
          <w:sz w:val="22"/>
          <w:szCs w:val="22"/>
        </w:rPr>
        <w:t>ecipient</w:t>
      </w:r>
      <w:r>
        <w:rPr>
          <w:rFonts w:asciiTheme="minorHAnsi" w:hAnsiTheme="minorHAnsi"/>
          <w:sz w:val="22"/>
          <w:szCs w:val="22"/>
        </w:rPr>
        <w:t>-</w:t>
      </w:r>
      <w:r w:rsidRPr="009D2749">
        <w:rPr>
          <w:rFonts w:asciiTheme="minorHAnsi" w:hAnsiTheme="minorHAnsi"/>
          <w:sz w:val="22"/>
          <w:szCs w:val="22"/>
        </w:rPr>
        <w:t>executed work</w:t>
      </w:r>
    </w:p>
    <w:p w:rsidR="004E0ECB" w:rsidRPr="00F07597" w:rsidRDefault="00B578E1" w:rsidP="00A63A6F">
      <w:pPr>
        <w:pStyle w:val="Normal0"/>
        <w:numPr>
          <w:ilvl w:val="0"/>
          <w:numId w:val="11"/>
        </w:numPr>
        <w:spacing w:after="240" w:line="240" w:lineRule="auto"/>
        <w:ind w:left="0" w:firstLine="0"/>
        <w:jc w:val="both"/>
        <w:rPr>
          <w:sz w:val="22"/>
        </w:rPr>
      </w:pPr>
      <w:r w:rsidRPr="00F07597">
        <w:rPr>
          <w:sz w:val="22"/>
        </w:rPr>
        <w:t>VFM of the utility performance monitoring reports was comparable with at least one other project</w:t>
      </w:r>
      <w:r w:rsidR="00222B8E">
        <w:rPr>
          <w:sz w:val="22"/>
        </w:rPr>
        <w:t>,</w:t>
      </w:r>
      <w:r w:rsidRPr="00F07597">
        <w:rPr>
          <w:sz w:val="22"/>
        </w:rPr>
        <w:t xml:space="preserve"> both in its tangible and intangible outputs. However, </w:t>
      </w:r>
      <w:r w:rsidR="00080FB6">
        <w:rPr>
          <w:sz w:val="22"/>
        </w:rPr>
        <w:t xml:space="preserve">the WSRC’s </w:t>
      </w:r>
      <w:r w:rsidRPr="00F07597">
        <w:rPr>
          <w:sz w:val="22"/>
        </w:rPr>
        <w:t>sustainability</w:t>
      </w:r>
      <w:r>
        <w:rPr>
          <w:sz w:val="22"/>
        </w:rPr>
        <w:t>—</w:t>
      </w:r>
      <w:r w:rsidRPr="00F07597">
        <w:rPr>
          <w:sz w:val="22"/>
        </w:rPr>
        <w:t>and performance monitoring</w:t>
      </w:r>
      <w:r>
        <w:rPr>
          <w:sz w:val="22"/>
        </w:rPr>
        <w:t>—</w:t>
      </w:r>
      <w:r w:rsidRPr="00F07597">
        <w:rPr>
          <w:sz w:val="22"/>
        </w:rPr>
        <w:t>is threatened by the lack of a sustainable source of domestic financing even though a provision for this was made (</w:t>
      </w:r>
      <w:r w:rsidRPr="005D2034">
        <w:rPr>
          <w:sz w:val="22"/>
        </w:rPr>
        <w:t>Licensing By</w:t>
      </w:r>
      <w:r w:rsidRPr="00F07597">
        <w:rPr>
          <w:sz w:val="22"/>
        </w:rPr>
        <w:t xml:space="preserve">law) in the anchor reform document (the 2014 Water Law). </w:t>
      </w:r>
    </w:p>
    <w:p w:rsidR="004E0ECB" w:rsidRPr="00F07597" w:rsidRDefault="00B578E1" w:rsidP="00A63A6F">
      <w:pPr>
        <w:pStyle w:val="Normal0"/>
        <w:numPr>
          <w:ilvl w:val="0"/>
          <w:numId w:val="11"/>
        </w:numPr>
        <w:spacing w:after="240" w:line="240" w:lineRule="auto"/>
        <w:ind w:left="0" w:firstLine="0"/>
        <w:jc w:val="both"/>
        <w:rPr>
          <w:sz w:val="22"/>
        </w:rPr>
      </w:pPr>
      <w:r w:rsidRPr="005D2034">
        <w:rPr>
          <w:sz w:val="22"/>
        </w:rPr>
        <w:t>Th</w:t>
      </w:r>
      <w:r w:rsidRPr="00F07597">
        <w:rPr>
          <w:sz w:val="22"/>
        </w:rPr>
        <w:t xml:space="preserve">e </w:t>
      </w:r>
      <w:r w:rsidR="005D2034">
        <w:rPr>
          <w:sz w:val="22"/>
        </w:rPr>
        <w:t xml:space="preserve">following </w:t>
      </w:r>
      <w:r w:rsidRPr="00F07597">
        <w:rPr>
          <w:sz w:val="22"/>
        </w:rPr>
        <w:t>emerging lessons on VFM are for both the reform instruments and the utility performance reports as well as the link between the two sets of outputs:</w:t>
      </w:r>
    </w:p>
    <w:p w:rsidR="004E0ECB" w:rsidRPr="001349FA" w:rsidRDefault="00B578E1" w:rsidP="00A63A6F">
      <w:pPr>
        <w:pStyle w:val="ListParagraph"/>
        <w:numPr>
          <w:ilvl w:val="0"/>
          <w:numId w:val="5"/>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Break reform TA into small parts to ensure that TA can iteratively adapt to the reform environment as it evolves and avoid funding unnecessary outputs</w:t>
      </w:r>
      <w:r w:rsidR="005D2034">
        <w:rPr>
          <w:rFonts w:asciiTheme="minorHAnsi" w:hAnsiTheme="minorHAnsi"/>
          <w:sz w:val="22"/>
          <w:szCs w:val="22"/>
        </w:rPr>
        <w:t>.</w:t>
      </w:r>
    </w:p>
    <w:p w:rsidR="004E0ECB" w:rsidRPr="001349FA" w:rsidRDefault="00B578E1" w:rsidP="00A63A6F">
      <w:pPr>
        <w:pStyle w:val="ListParagraph"/>
        <w:numPr>
          <w:ilvl w:val="0"/>
          <w:numId w:val="5"/>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Avoid outsourcing reform TA as large firm contracts particularly where the anchor reform document has not been endorsed by cabinet (or equivalent)</w:t>
      </w:r>
      <w:r w:rsidR="005D2034">
        <w:rPr>
          <w:rFonts w:asciiTheme="minorHAnsi" w:hAnsiTheme="minorHAnsi"/>
          <w:sz w:val="22"/>
          <w:szCs w:val="22"/>
        </w:rPr>
        <w:t>.</w:t>
      </w:r>
    </w:p>
    <w:p w:rsidR="004E0ECB" w:rsidRPr="001349FA" w:rsidRDefault="00B578E1" w:rsidP="00A63A6F">
      <w:pPr>
        <w:pStyle w:val="ListParagraph"/>
        <w:numPr>
          <w:ilvl w:val="0"/>
          <w:numId w:val="5"/>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 xml:space="preserve">Partition TA to the reform between </w:t>
      </w:r>
      <w:r w:rsidR="005D2034">
        <w:rPr>
          <w:rFonts w:asciiTheme="minorHAnsi" w:hAnsiTheme="minorHAnsi"/>
          <w:sz w:val="22"/>
          <w:szCs w:val="22"/>
        </w:rPr>
        <w:t xml:space="preserve">World </w:t>
      </w:r>
      <w:r w:rsidRPr="001349FA">
        <w:rPr>
          <w:rFonts w:asciiTheme="minorHAnsi" w:hAnsiTheme="minorHAnsi"/>
          <w:sz w:val="22"/>
          <w:szCs w:val="22"/>
        </w:rPr>
        <w:t xml:space="preserve">Bank and </w:t>
      </w:r>
      <w:r w:rsidR="005D2034">
        <w:rPr>
          <w:rFonts w:asciiTheme="minorHAnsi" w:hAnsiTheme="minorHAnsi"/>
          <w:sz w:val="22"/>
          <w:szCs w:val="22"/>
        </w:rPr>
        <w:t>r</w:t>
      </w:r>
      <w:r w:rsidRPr="001349FA">
        <w:rPr>
          <w:rFonts w:asciiTheme="minorHAnsi" w:hAnsiTheme="minorHAnsi"/>
          <w:sz w:val="22"/>
          <w:szCs w:val="22"/>
        </w:rPr>
        <w:t xml:space="preserve">ecipient execution depending on the </w:t>
      </w:r>
      <w:r w:rsidR="005D2034">
        <w:rPr>
          <w:rFonts w:asciiTheme="minorHAnsi" w:hAnsiTheme="minorHAnsi"/>
          <w:sz w:val="22"/>
          <w:szCs w:val="22"/>
        </w:rPr>
        <w:t>(</w:t>
      </w:r>
      <w:r w:rsidRPr="001349FA">
        <w:rPr>
          <w:rFonts w:asciiTheme="minorHAnsi" w:hAnsiTheme="minorHAnsi"/>
          <w:sz w:val="22"/>
          <w:szCs w:val="22"/>
        </w:rPr>
        <w:t>a) level of expertise</w:t>
      </w:r>
      <w:r w:rsidR="005D2034">
        <w:rPr>
          <w:rFonts w:asciiTheme="minorHAnsi" w:hAnsiTheme="minorHAnsi"/>
          <w:sz w:val="22"/>
          <w:szCs w:val="22"/>
        </w:rPr>
        <w:t>,</w:t>
      </w:r>
      <w:r w:rsidRPr="001349FA">
        <w:rPr>
          <w:rFonts w:asciiTheme="minorHAnsi" w:hAnsiTheme="minorHAnsi"/>
          <w:sz w:val="22"/>
          <w:szCs w:val="22"/>
        </w:rPr>
        <w:t xml:space="preserve"> </w:t>
      </w:r>
      <w:r w:rsidR="005D2034">
        <w:rPr>
          <w:rFonts w:asciiTheme="minorHAnsi" w:hAnsiTheme="minorHAnsi"/>
          <w:sz w:val="22"/>
          <w:szCs w:val="22"/>
        </w:rPr>
        <w:t>(</w:t>
      </w:r>
      <w:r w:rsidRPr="001349FA">
        <w:rPr>
          <w:rFonts w:asciiTheme="minorHAnsi" w:hAnsiTheme="minorHAnsi"/>
          <w:sz w:val="22"/>
          <w:szCs w:val="22"/>
        </w:rPr>
        <w:t>b) flexibility</w:t>
      </w:r>
      <w:r w:rsidR="005D2034">
        <w:rPr>
          <w:rFonts w:asciiTheme="minorHAnsi" w:hAnsiTheme="minorHAnsi"/>
          <w:sz w:val="22"/>
          <w:szCs w:val="22"/>
        </w:rPr>
        <w:t>,</w:t>
      </w:r>
      <w:r w:rsidRPr="001349FA">
        <w:rPr>
          <w:rFonts w:asciiTheme="minorHAnsi" w:hAnsiTheme="minorHAnsi"/>
          <w:sz w:val="22"/>
          <w:szCs w:val="22"/>
        </w:rPr>
        <w:t xml:space="preserve"> and </w:t>
      </w:r>
      <w:r w:rsidR="005D2034">
        <w:rPr>
          <w:rFonts w:asciiTheme="minorHAnsi" w:hAnsiTheme="minorHAnsi"/>
          <w:sz w:val="22"/>
          <w:szCs w:val="22"/>
        </w:rPr>
        <w:t>(</w:t>
      </w:r>
      <w:r w:rsidRPr="001349FA">
        <w:rPr>
          <w:rFonts w:asciiTheme="minorHAnsi" w:hAnsiTheme="minorHAnsi"/>
          <w:sz w:val="22"/>
          <w:szCs w:val="22"/>
        </w:rPr>
        <w:t>c) country ownership required for different tangible and intangible parts of the reform</w:t>
      </w:r>
      <w:r w:rsidR="005D2034">
        <w:rPr>
          <w:rFonts w:asciiTheme="minorHAnsi" w:hAnsiTheme="minorHAnsi"/>
          <w:sz w:val="22"/>
          <w:szCs w:val="22"/>
        </w:rPr>
        <w:t>.</w:t>
      </w:r>
    </w:p>
    <w:p w:rsidR="004E0ECB" w:rsidRPr="001349FA" w:rsidRDefault="00B578E1" w:rsidP="00A63A6F">
      <w:pPr>
        <w:pStyle w:val="ListParagraph"/>
        <w:numPr>
          <w:ilvl w:val="0"/>
          <w:numId w:val="5"/>
        </w:numPr>
        <w:spacing w:after="240" w:line="240" w:lineRule="auto"/>
        <w:ind w:left="1195" w:hanging="475"/>
        <w:contextualSpacing w:val="0"/>
        <w:jc w:val="both"/>
        <w:rPr>
          <w:rFonts w:asciiTheme="minorHAnsi" w:hAnsiTheme="minorHAnsi"/>
          <w:sz w:val="22"/>
          <w:szCs w:val="22"/>
        </w:rPr>
      </w:pPr>
      <w:r w:rsidRPr="001349FA">
        <w:rPr>
          <w:rFonts w:asciiTheme="minorHAnsi" w:hAnsiTheme="minorHAnsi"/>
          <w:sz w:val="22"/>
          <w:szCs w:val="22"/>
        </w:rPr>
        <w:t>The institutionalization of functions (</w:t>
      </w:r>
      <w:r w:rsidR="005D2034">
        <w:rPr>
          <w:rFonts w:asciiTheme="minorHAnsi" w:hAnsiTheme="minorHAnsi"/>
          <w:sz w:val="22"/>
          <w:szCs w:val="22"/>
        </w:rPr>
        <w:t>for example,</w:t>
      </w:r>
      <w:r w:rsidRPr="001349FA">
        <w:rPr>
          <w:rFonts w:asciiTheme="minorHAnsi" w:hAnsiTheme="minorHAnsi"/>
          <w:sz w:val="22"/>
          <w:szCs w:val="22"/>
        </w:rPr>
        <w:t xml:space="preserve"> utility performance monitoring) needs to be supported with revenue assignments to finance those functions</w:t>
      </w:r>
      <w:r>
        <w:rPr>
          <w:rFonts w:asciiTheme="minorHAnsi" w:hAnsiTheme="minorHAnsi"/>
          <w:sz w:val="22"/>
          <w:szCs w:val="22"/>
        </w:rPr>
        <w:t>.</w:t>
      </w:r>
    </w:p>
    <w:p w:rsidR="00032CB9" w:rsidRDefault="00B578E1" w:rsidP="009D2749">
      <w:pPr>
        <w:rPr>
          <w:rFonts w:asciiTheme="minorHAnsi" w:hAnsiTheme="minorHAnsi"/>
          <w:bCs/>
          <w:color w:val="auto"/>
          <w:sz w:val="20"/>
          <w:szCs w:val="22"/>
        </w:rPr>
      </w:pPr>
      <w:r>
        <w:rPr>
          <w:rFonts w:asciiTheme="minorHAnsi" w:hAnsiTheme="minorHAnsi"/>
          <w:bCs/>
          <w:color w:val="auto"/>
          <w:sz w:val="20"/>
          <w:szCs w:val="22"/>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06032A" w:rsidTr="00326D38">
        <w:trPr>
          <w:trHeight w:val="432"/>
        </w:trPr>
        <w:tc>
          <w:tcPr>
            <w:tcW w:w="5000" w:type="pct"/>
            <w:shd w:val="clear" w:color="auto" w:fill="F2F7FC"/>
            <w:vAlign w:val="center"/>
          </w:tcPr>
          <w:p w:rsidR="001B785D" w:rsidRPr="00AF152D" w:rsidRDefault="00B578E1" w:rsidP="003F6A68">
            <w:pPr>
              <w:pStyle w:val="NoSpacing"/>
              <w:jc w:val="center"/>
              <w:outlineLvl w:val="0"/>
              <w:rPr>
                <w:rFonts w:asciiTheme="minorHAnsi" w:hAnsiTheme="minorHAnsi"/>
                <w:b/>
                <w:szCs w:val="22"/>
              </w:rPr>
            </w:pPr>
            <w:bookmarkStart w:id="146" w:name="_Toc256000035"/>
            <w:bookmarkStart w:id="147" w:name="_Toc485984589"/>
            <w:bookmarkStart w:id="148" w:name="_Toc510969722"/>
            <w:bookmarkStart w:id="149" w:name="_Toc516132514"/>
            <w:r w:rsidRPr="00AF152D">
              <w:rPr>
                <w:rFonts w:asciiTheme="minorHAnsi" w:hAnsiTheme="minorHAnsi"/>
                <w:b/>
                <w:color w:val="000000" w:themeColor="text1"/>
                <w:szCs w:val="22"/>
              </w:rPr>
              <w:lastRenderedPageBreak/>
              <w:t>ANNEX 5. BORROWER, CO-FINANCIER AND OTHER PARTNER/STAKEHOLDER COMMENTS</w:t>
            </w:r>
            <w:bookmarkEnd w:id="146"/>
            <w:bookmarkEnd w:id="147"/>
            <w:bookmarkEnd w:id="148"/>
            <w:bookmarkEnd w:id="149"/>
          </w:p>
        </w:tc>
      </w:tr>
    </w:tbl>
    <w:p w:rsidR="00A63A6F" w:rsidRPr="004F2C66" w:rsidRDefault="00A63A6F" w:rsidP="00A63A6F">
      <w:pPr>
        <w:shd w:val="clear" w:color="auto" w:fill="FFFFFF"/>
        <w:spacing w:after="0" w:line="240" w:lineRule="auto"/>
        <w:jc w:val="both"/>
        <w:rPr>
          <w:rFonts w:asciiTheme="minorHAnsi" w:eastAsia="Times New Roman" w:hAnsiTheme="minorHAnsi" w:cstheme="minorHAnsi"/>
          <w:color w:val="000000" w:themeColor="text1"/>
          <w:sz w:val="22"/>
          <w:szCs w:val="22"/>
          <w:bdr w:val="none" w:sz="0" w:space="0" w:color="auto" w:frame="1"/>
        </w:rPr>
      </w:pPr>
    </w:p>
    <w:p w:rsidR="00A63A6F" w:rsidRPr="004F2C66" w:rsidRDefault="00B578E1" w:rsidP="00A63A6F">
      <w:pPr>
        <w:shd w:val="clear" w:color="auto" w:fill="FFFFFF"/>
        <w:tabs>
          <w:tab w:val="left" w:pos="3210"/>
        </w:tabs>
        <w:spacing w:after="0" w:line="240" w:lineRule="auto"/>
        <w:jc w:val="both"/>
        <w:rPr>
          <w:rFonts w:asciiTheme="minorHAnsi" w:hAnsiTheme="minorHAnsi" w:cstheme="minorHAnsi"/>
          <w:b/>
          <w:bCs/>
          <w:color w:val="000000" w:themeColor="text1"/>
          <w:sz w:val="22"/>
          <w:szCs w:val="22"/>
          <w:u w:val="single"/>
        </w:rPr>
      </w:pPr>
      <w:r w:rsidRPr="004F2C66">
        <w:rPr>
          <w:rFonts w:asciiTheme="minorHAnsi" w:hAnsiTheme="minorHAnsi" w:cstheme="minorHAnsi"/>
          <w:b/>
          <w:bCs/>
          <w:color w:val="000000" w:themeColor="text1"/>
          <w:sz w:val="22"/>
          <w:szCs w:val="22"/>
          <w:u w:val="single"/>
        </w:rPr>
        <w:t>Comments from PWA to the GZ- Water Sector Capacity Building Program with World Bank responses</w:t>
      </w:r>
    </w:p>
    <w:p w:rsidR="00A63A6F" w:rsidRPr="004F2C66" w:rsidRDefault="00A63A6F" w:rsidP="00A63A6F">
      <w:pPr>
        <w:shd w:val="clear" w:color="auto" w:fill="FFFFFF"/>
        <w:tabs>
          <w:tab w:val="left" w:pos="3210"/>
        </w:tabs>
        <w:spacing w:after="0" w:line="240" w:lineRule="auto"/>
        <w:jc w:val="both"/>
        <w:rPr>
          <w:rFonts w:asciiTheme="minorHAnsi" w:hAnsiTheme="minorHAnsi" w:cstheme="minorHAnsi"/>
          <w:b/>
          <w:bCs/>
          <w:color w:val="000000" w:themeColor="text1"/>
          <w:sz w:val="22"/>
          <w:szCs w:val="22"/>
          <w:u w:val="single"/>
        </w:rPr>
      </w:pP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Page 8 figure 1 Causal Chain: The suggested classification under the Activities/outputs needs to be revised considering the following:</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 strategic studies (transboundary, and climate change) and develop regulations , policies, procedures and standards for the sector are under TPAT Component not  the Supplementary assistance for studies, training and institutional building of the WSRC .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 you, the figure has been modified accordingly.</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What is the difference between “Staff training” and “Capacity and training of WSRC” under the Supplementary assistance for studies, training and institutional building of the WSRC?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The figure has been updated to avoid this repetition</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Section B Achievement of PDOs (Efficacy)</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tl/>
        </w:rPr>
      </w:pPr>
      <w:r w:rsidRPr="003607F7">
        <w:rPr>
          <w:rFonts w:asciiTheme="minorHAnsi" w:hAnsiTheme="minorHAnsi" w:cstheme="minorHAnsi"/>
          <w:color w:val="auto"/>
          <w:sz w:val="22"/>
          <w:szCs w:val="22"/>
        </w:rPr>
        <w:t>In general, we would like to highlight the fact that sector regulation implies laws, legislations, guidelines, monitoring tools and other instruments that help improve the overall accountability, as well as performance of the water sector. While, economic regulation is represented by rules and organizations that should monitor and enforce certain tariffs, services and other standards for water and sanitation service providers</w:t>
      </w:r>
      <w:r w:rsidRPr="003607F7">
        <w:rPr>
          <w:rFonts w:asciiTheme="minorHAnsi" w:hAnsiTheme="minorHAnsi" w:cstheme="minorHAnsi"/>
          <w:color w:val="auto"/>
          <w:sz w:val="22"/>
          <w:szCs w:val="22"/>
          <w:rtl/>
        </w:rPr>
        <w:t xml:space="preserve">.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We agree, and have tried to modify the text in places to reflect this notion.</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PDO1: effectively plan water sector development: (a) point 27 page 13needs to be revised: Many Policies, strategies and plans were developed and adopted. One of the key achievements (that the ICR report has referred to) is the Water Sector Policy and Strategy 2012-2032. Based on this Policy and Strategy, Water Sector Strategic Plan 2014-2017, and 2018-2021, and Action Plans were developed and adapted by the cabinet as well. On the other hand, PWA has developed its strategic plan and Implementation plan for 2016-2018, (b)  point 28 page 13 : in addition to was mentioned its worth highlighting plans and strategies ; such as water safety plans, Financial Sustainable Strategy, Non-Revenue water strategy, Strategic water resources and transmission plan, Drinking Water quality Standards, Climate change mitigation measures . On the other hand, PWA preparation of its organizational structure and job descriptions, and the standard operation procedures…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for the clarification and addition, the text has been modified accordingly.</w:t>
      </w:r>
    </w:p>
    <w:p w:rsidR="00A63A6F" w:rsidRPr="003607F7" w:rsidRDefault="00B578E1" w:rsidP="00A63A6F">
      <w:pPr>
        <w:pStyle w:val="ListParagraph"/>
        <w:numPr>
          <w:ilvl w:val="1"/>
          <w:numId w:val="20"/>
        </w:numPr>
        <w:spacing w:after="200" w:line="276"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PDO 2: effectively monitor water sector development: (a) point 31 page 14: It is excellent that an online database is developed for WSP and feeds into the World Bank International Benchmarking Network for Water and Sanitation Utilities (IBNET) database, but this system should also have been linked and integrated to PWA for maximum benefit and utilization of the outputs for water sector development (b) it is worth mentioning that PWA has developed several systems and measures for monitoring the development and performance of water sector institutions (e.g. Water supply and distribution information </w:t>
      </w:r>
      <w:r w:rsidRPr="003607F7">
        <w:rPr>
          <w:rFonts w:asciiTheme="minorHAnsi" w:hAnsiTheme="minorHAnsi" w:cstheme="minorHAnsi"/>
          <w:color w:val="auto"/>
          <w:sz w:val="22"/>
          <w:szCs w:val="22"/>
        </w:rPr>
        <w:lastRenderedPageBreak/>
        <w:t xml:space="preserve">system, advanced billing system for the bulk supplier, water quality control system, updating Water &amp; WW Sector Specifications &amp; Design Guidelines, Evaluation of surface water and groundwater surface models,… ); to assure efficiency of service provision.   </w:t>
      </w:r>
    </w:p>
    <w:p w:rsidR="00A63A6F" w:rsidRPr="003607F7" w:rsidRDefault="00B578E1" w:rsidP="00A63A6F">
      <w:pPr>
        <w:pStyle w:val="ListParagraph"/>
        <w:numPr>
          <w:ilvl w:val="3"/>
          <w:numId w:val="20"/>
        </w:numPr>
        <w:spacing w:after="200" w:line="276"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this has been added.</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PDO 3:  effectively regulate water sector development:</w:t>
      </w:r>
    </w:p>
    <w:p w:rsidR="00A63A6F" w:rsidRPr="003607F7" w:rsidRDefault="00B578E1" w:rsidP="00A63A6F">
      <w:pPr>
        <w:pStyle w:val="ListParagraph"/>
        <w:shd w:val="clear" w:color="auto" w:fill="FFFFFF"/>
        <w:tabs>
          <w:tab w:val="left" w:pos="3210"/>
        </w:tabs>
        <w:spacing w:after="0" w:line="240" w:lineRule="auto"/>
        <w:ind w:left="1500"/>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(a) Point 39 page 16, the policies, strategies, regulations and action plans developed to improve the regulatory capacity were not highlighted (e.g. Non-revenue Strategy, Financial sustainable Strategy, water demand policy, water sector policies (10 policies), adapted regulations such as; water tariff regulation, connection fee regulation , Water User Association Regulation , and other regulations that are in process of approval (such as the unified water and wastewater tariff regulation, licensing regulation for wells drilling and water abstraction,…)</w:t>
      </w:r>
    </w:p>
    <w:p w:rsidR="00A63A6F" w:rsidRPr="003607F7" w:rsidRDefault="00B578E1" w:rsidP="00A63A6F">
      <w:pPr>
        <w:pStyle w:val="ListParagraph"/>
        <w:numPr>
          <w:ilvl w:val="0"/>
          <w:numId w:val="22"/>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this has been added.</w:t>
      </w:r>
    </w:p>
    <w:p w:rsidR="00A63A6F" w:rsidRPr="003607F7" w:rsidRDefault="00B578E1" w:rsidP="00A63A6F">
      <w:pPr>
        <w:pStyle w:val="ListParagraph"/>
        <w:numPr>
          <w:ilvl w:val="1"/>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PWA achievements related to the rehabilitation of WBWD and establishment of NWC, studying bulk water prices and setting police to reduce the government subsidy, and to the establishment of RWUs were not reflected although they are core items in the reform process</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This is discussed in paragraph 40.</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41 page 17: The delay in the approval of the NWC Bylaw is due to the fact that according to the Water law this regulation aims at Rehabilitating the WBWD and Establishing a NWC, therefore, road man was developed to feed in the mentioned Bylaw that was developed and finalized recently.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for this clarification. We have included text in the ICR that highlights that the reform and approval or laws etc are a process and we have noted that the likelihood of them being adopted is high.</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Point 48 page 18: The main reason for the extension was the fact that the Water Law was endorsed. Therefore, vision to proceed with the reform process and restructuring the Water Sector became clear and needed support</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for clarifying this, we have modified the text accordingly.</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51 page 19: Concerning the licensing Regulation:  we would like to highlight the fact that there are more than 13 regulation and Guidelines that are important to the Water Sector. Some have already been endorsed such as the Water User Association Regulation, Tariff Regulation, Connection regulation and other are still in endorsement process. However, the process of endorsing regulations takes time not only in </w:t>
      </w:r>
      <w:r w:rsidR="000636D9">
        <w:rPr>
          <w:rFonts w:asciiTheme="minorHAnsi" w:hAnsiTheme="minorHAnsi" w:cstheme="minorHAnsi"/>
          <w:color w:val="auto"/>
          <w:sz w:val="22"/>
          <w:szCs w:val="22"/>
        </w:rPr>
        <w:t>West Bank and Gaza</w:t>
      </w:r>
      <w:bookmarkStart w:id="150" w:name="_GoBack"/>
      <w:bookmarkEnd w:id="150"/>
      <w:r w:rsidRPr="003607F7">
        <w:rPr>
          <w:rFonts w:asciiTheme="minorHAnsi" w:hAnsiTheme="minorHAnsi" w:cstheme="minorHAnsi"/>
          <w:color w:val="auto"/>
          <w:sz w:val="22"/>
          <w:szCs w:val="22"/>
        </w:rPr>
        <w:t xml:space="preserve"> but worldwide. We would have appreciated if this has been considered in the ICR report as your point concerning the regulation have been repeated and </w:t>
      </w:r>
      <w:r w:rsidR="00EB38B8" w:rsidRPr="003607F7">
        <w:rPr>
          <w:rFonts w:asciiTheme="minorHAnsi" w:hAnsiTheme="minorHAnsi" w:cstheme="minorHAnsi"/>
          <w:color w:val="auto"/>
          <w:sz w:val="22"/>
          <w:szCs w:val="22"/>
        </w:rPr>
        <w:t>overstated in</w:t>
      </w:r>
      <w:r w:rsidRPr="003607F7">
        <w:rPr>
          <w:rFonts w:asciiTheme="minorHAnsi" w:hAnsiTheme="minorHAnsi" w:cstheme="minorHAnsi"/>
          <w:color w:val="auto"/>
          <w:sz w:val="22"/>
          <w:szCs w:val="22"/>
        </w:rPr>
        <w:t xml:space="preserve"> many sections of the report such as point 24,37,38, 40,41,49,</w:t>
      </w:r>
      <w:r w:rsidR="00EB38B8">
        <w:rPr>
          <w:rFonts w:asciiTheme="minorHAnsi" w:hAnsiTheme="minorHAnsi" w:cstheme="minorHAnsi"/>
          <w:color w:val="auto"/>
          <w:sz w:val="22"/>
          <w:szCs w:val="22"/>
        </w:rPr>
        <w:t>51,79,annex1, annex4 , annex 6</w:t>
      </w:r>
      <w:r w:rsidRPr="003607F7">
        <w:rPr>
          <w:rFonts w:asciiTheme="minorHAnsi" w:hAnsiTheme="minorHAnsi" w:cstheme="minorHAnsi"/>
          <w:color w:val="auto"/>
          <w:sz w:val="22"/>
          <w:szCs w:val="22"/>
        </w:rPr>
        <w:t>.</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 xml:space="preserve">We agree that putting in place regulation takes time, but the licensing bylaw is an output of the project and this is why it cannot be taken out of the assessment of efficiency. </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Section E Other Outcomes and Impacts: Many important outputs were produced that will have important impact on developing the Water Sector such as the process and actions taken for </w:t>
      </w:r>
      <w:r w:rsidRPr="003607F7">
        <w:rPr>
          <w:rFonts w:asciiTheme="minorHAnsi" w:hAnsiTheme="minorHAnsi" w:cstheme="minorHAnsi"/>
          <w:color w:val="auto"/>
          <w:sz w:val="22"/>
          <w:szCs w:val="22"/>
        </w:rPr>
        <w:lastRenderedPageBreak/>
        <w:t>the Rehabilitating the WBWD and establishing the NWC, Road map for establishing RWW, studying water prices at Bulk level and setting polices to reduce the Government subsidy,…</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This is a good point which we have elaborated upon under ‘institutional strengthening’ [paragraphs 54-55].</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62 page 21Statment needs to be revised: (a) the political will to develop the water sector is there, for sure. However, the question of how the Reform shall be done may have different view from different perspectives and at different level. While, PWA is taking the lead based on a clear road maps and plans. (b) The Political divide may have created challenges. However, PWA in Gaza have played important role in the development of many outputs related to the reform.  The Head of the RCU was the Deputy Head of PWA (from Gaza) and some workshops related to polices and regulation development were held in Gaza, and the monitoring report included data of Gaza Strip Service Provider.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 you for pointing this out, the text has been revised accordingly.</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63 page 21: “…the consultants hired by PWA didn’t deliver the outputs expected. Furthermore, PWA’s ability to follow-up on the work under this type of contract was severely limited, adding to challenges.” Please revise considering the following facts: the statement (a) “consultants hired by PWA </w:t>
      </w:r>
      <w:r w:rsidRPr="003607F7">
        <w:rPr>
          <w:rFonts w:asciiTheme="minorHAnsi" w:hAnsiTheme="minorHAnsi" w:cstheme="minorHAnsi"/>
          <w:i/>
          <w:iCs/>
          <w:color w:val="auto"/>
          <w:sz w:val="22"/>
          <w:szCs w:val="22"/>
        </w:rPr>
        <w:t>didn’t deliver</w:t>
      </w:r>
      <w:r w:rsidRPr="003607F7">
        <w:rPr>
          <w:rFonts w:asciiTheme="minorHAnsi" w:hAnsiTheme="minorHAnsi" w:cstheme="minorHAnsi"/>
          <w:color w:val="auto"/>
          <w:sz w:val="22"/>
          <w:szCs w:val="22"/>
        </w:rPr>
        <w:t xml:space="preserve"> the outputs expected” is exaggerated.  (b) “…type of contract was severely limited…” this was not the main </w:t>
      </w:r>
      <w:r w:rsidR="00EB38B8" w:rsidRPr="003607F7">
        <w:rPr>
          <w:rFonts w:asciiTheme="minorHAnsi" w:hAnsiTheme="minorHAnsi" w:cstheme="minorHAnsi"/>
          <w:color w:val="auto"/>
          <w:sz w:val="22"/>
          <w:szCs w:val="22"/>
        </w:rPr>
        <w:t>problem;</w:t>
      </w:r>
      <w:r w:rsidRPr="003607F7">
        <w:rPr>
          <w:rFonts w:asciiTheme="minorHAnsi" w:hAnsiTheme="minorHAnsi" w:cstheme="minorHAnsi"/>
          <w:color w:val="auto"/>
          <w:sz w:val="22"/>
          <w:szCs w:val="22"/>
        </w:rPr>
        <w:t xml:space="preserve"> the problem was with the fact that ToR is very general and was dependent on progress of other reform programs such as the legislative review which took longer time that what is expected.</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We will tone-down the language to more appropriately reflect these points and also specify that the ToR was very general.</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66 Page 22: “However, the weakness of output-based indicators was not addressed.” Not clear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We have clarified that this weakness arose from lack of units of measure.</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69 page 22: “Rating for quality of M&amp;E and underlying justification. As there were some shortcomings in the M&amp;E system’s design, implementation and utilization, the overall quality of the M&amp;E is rated as modest”: the reasons highlighted are not clear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The reasons for this rating are provided in the preceding paragraphs.</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Annex 1: page 38 comments related to the Strategy and implementation plan has uncompleted statement</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 xml:space="preserve">Thanks. We will update the document. </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Annex 4 – (a) Table A4.1Division of fund is the Input (US $ ) needs to be revised considering what has been reflected in Table 1 of the same report , (b) it’s difficult to make comparison of the reform between countries as the context, institutional set up , political situation, needed legislations upon, availability of needed expert in the local market…, therefore, Im not sure to what extend the proposed comparison can provide tentative results or indicators .  </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 xml:space="preserve">Thanks for pointing this out. We agree that it is difficult to make cross country comparisons and this limitation has been described in the text. </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 xml:space="preserve">Point 8 page 45: “…While this could have made the TA responsive to the reform environment it led to ambiguity for at least two reasons. First, it left the outputs of the consulting firm to be directed by the PWA – whose capacity the consulting firm was meant to be building. Second, when the Bank and other donors tried redirect the TA to be more responsive to the reform </w:t>
      </w:r>
      <w:r w:rsidRPr="003607F7">
        <w:rPr>
          <w:rFonts w:asciiTheme="minorHAnsi" w:hAnsiTheme="minorHAnsi" w:cstheme="minorHAnsi"/>
          <w:color w:val="auto"/>
          <w:sz w:val="22"/>
          <w:szCs w:val="22"/>
        </w:rPr>
        <w:lastRenderedPageBreak/>
        <w:t xml:space="preserve">needs the firm, reasonably, referred back to their contract to limit variance in the scope”. (a) The ambiguity was mainly due to the fact that TPAT started before finalizing the Institutional </w:t>
      </w:r>
      <w:r w:rsidR="00EB38B8">
        <w:rPr>
          <w:rFonts w:asciiTheme="minorHAnsi" w:hAnsiTheme="minorHAnsi" w:cstheme="minorHAnsi"/>
          <w:color w:val="auto"/>
          <w:sz w:val="22"/>
          <w:szCs w:val="22"/>
        </w:rPr>
        <w:t>W</w:t>
      </w:r>
      <w:r w:rsidRPr="003607F7">
        <w:rPr>
          <w:rFonts w:asciiTheme="minorHAnsi" w:hAnsiTheme="minorHAnsi" w:cstheme="minorHAnsi"/>
          <w:color w:val="auto"/>
          <w:sz w:val="22"/>
          <w:szCs w:val="22"/>
        </w:rPr>
        <w:t xml:space="preserve">ater Sector Review (IWSR) and adapting its results at policy making level. This has resulted in delays in formulating the Water Law and adapting it. On the other hand, according to the reform plan the water Law should have been endorsed in one year, which was optimistic considering world wide experience in the endorsement of similar </w:t>
      </w:r>
      <w:r w:rsidR="00EB38B8">
        <w:rPr>
          <w:rFonts w:asciiTheme="minorHAnsi" w:hAnsiTheme="minorHAnsi" w:cstheme="minorHAnsi"/>
          <w:color w:val="auto"/>
          <w:sz w:val="22"/>
          <w:szCs w:val="22"/>
        </w:rPr>
        <w:t>legislation (see figure below)</w:t>
      </w:r>
      <w:r w:rsidRPr="003607F7">
        <w:rPr>
          <w:rFonts w:asciiTheme="minorHAnsi" w:hAnsiTheme="minorHAnsi" w:cstheme="minorHAnsi"/>
          <w:color w:val="auto"/>
          <w:sz w:val="22"/>
          <w:szCs w:val="22"/>
        </w:rPr>
        <w:t xml:space="preserve">. </w:t>
      </w:r>
    </w:p>
    <w:p w:rsidR="00A63A6F" w:rsidRPr="003607F7" w:rsidRDefault="00EB38B8" w:rsidP="00A63A6F">
      <w:pPr>
        <w:pStyle w:val="ListParagraph"/>
        <w:shd w:val="clear" w:color="auto" w:fill="FFFFFF"/>
        <w:tabs>
          <w:tab w:val="left" w:pos="3210"/>
        </w:tabs>
        <w:spacing w:after="0" w:line="240" w:lineRule="auto"/>
        <w:ind w:left="990"/>
        <w:jc w:val="both"/>
        <w:rPr>
          <w:rFonts w:asciiTheme="minorHAnsi" w:hAnsiTheme="minorHAnsi" w:cstheme="minorHAnsi"/>
          <w:noProof/>
          <w:color w:val="auto"/>
          <w:sz w:val="22"/>
          <w:szCs w:val="22"/>
        </w:rPr>
      </w:pPr>
      <w:r>
        <w:rPr>
          <w:rFonts w:asciiTheme="minorHAnsi" w:hAnsiTheme="minorHAnsi" w:cstheme="minorHAnsi"/>
          <w:color w:val="auto"/>
          <w:sz w:val="22"/>
          <w:szCs w:val="22"/>
        </w:rPr>
        <w:t xml:space="preserve">(b) As for the </w:t>
      </w:r>
      <w:r w:rsidR="00B578E1" w:rsidRPr="003607F7">
        <w:rPr>
          <w:rFonts w:asciiTheme="minorHAnsi" w:hAnsiTheme="minorHAnsi" w:cstheme="minorHAnsi"/>
          <w:color w:val="auto"/>
          <w:sz w:val="22"/>
          <w:szCs w:val="22"/>
        </w:rPr>
        <w:t xml:space="preserve">Second point mentioned , I would like to rephrase it to the following: “ </w:t>
      </w:r>
      <w:r w:rsidR="00B578E1" w:rsidRPr="003607F7">
        <w:rPr>
          <w:rFonts w:asciiTheme="minorHAnsi" w:hAnsiTheme="minorHAnsi" w:cstheme="minorHAnsi"/>
          <w:color w:val="auto"/>
          <w:sz w:val="22"/>
          <w:szCs w:val="22"/>
          <w:u w:val="single"/>
        </w:rPr>
        <w:t>when PWA</w:t>
      </w:r>
      <w:r w:rsidR="00B578E1" w:rsidRPr="003607F7">
        <w:rPr>
          <w:rFonts w:asciiTheme="minorHAnsi" w:hAnsiTheme="minorHAnsi" w:cstheme="minorHAnsi"/>
          <w:color w:val="auto"/>
          <w:sz w:val="22"/>
          <w:szCs w:val="22"/>
        </w:rPr>
        <w:t xml:space="preserve"> with the support of the Bank and other donors tried redirect the TA to be more responsive to the reform needs the firm, reasonably, referred back to their contract to limit variance in the scope”</w:t>
      </w:r>
      <w:r w:rsidR="00B578E1" w:rsidRPr="003607F7">
        <w:rPr>
          <w:rFonts w:asciiTheme="minorHAnsi" w:hAnsiTheme="minorHAnsi" w:cstheme="minorHAnsi"/>
          <w:noProof/>
          <w:color w:val="auto"/>
          <w:sz w:val="22"/>
          <w:szCs w:val="22"/>
        </w:rPr>
        <w:t xml:space="preserve"> </w:t>
      </w:r>
    </w:p>
    <w:p w:rsidR="00A63A6F" w:rsidRPr="003607F7" w:rsidRDefault="00B578E1" w:rsidP="00A63A6F">
      <w:pPr>
        <w:pStyle w:val="ListParagraph"/>
        <w:numPr>
          <w:ilvl w:val="0"/>
          <w:numId w:val="21"/>
        </w:numPr>
        <w:shd w:val="clear" w:color="auto" w:fill="FFFFFF"/>
        <w:tabs>
          <w:tab w:val="left" w:pos="3210"/>
        </w:tabs>
        <w:spacing w:after="0" w:line="240" w:lineRule="auto"/>
        <w:jc w:val="both"/>
        <w:rPr>
          <w:rFonts w:asciiTheme="minorHAnsi" w:hAnsiTheme="minorHAnsi" w:cstheme="minorHAnsi"/>
          <w:b/>
          <w:noProof/>
          <w:color w:val="auto"/>
          <w:sz w:val="22"/>
          <w:szCs w:val="22"/>
        </w:rPr>
      </w:pPr>
      <w:r w:rsidRPr="003607F7">
        <w:rPr>
          <w:rFonts w:asciiTheme="minorHAnsi" w:hAnsiTheme="minorHAnsi" w:cstheme="minorHAnsi"/>
          <w:b/>
          <w:noProof/>
          <w:color w:val="auto"/>
          <w:sz w:val="22"/>
          <w:szCs w:val="22"/>
        </w:rPr>
        <w:t>Thanks for pointing this out, the text has been modified accordingly.</w:t>
      </w:r>
    </w:p>
    <w:p w:rsidR="00A63A6F" w:rsidRPr="003607F7" w:rsidRDefault="00B578E1" w:rsidP="00A63A6F">
      <w:pPr>
        <w:pStyle w:val="ListParagraph"/>
        <w:numPr>
          <w:ilvl w:val="0"/>
          <w:numId w:val="20"/>
        </w:numPr>
        <w:shd w:val="clear" w:color="auto" w:fill="FFFFFF"/>
        <w:tabs>
          <w:tab w:val="left" w:pos="3210"/>
        </w:tabs>
        <w:spacing w:after="0" w:line="240" w:lineRule="auto"/>
        <w:jc w:val="both"/>
        <w:rPr>
          <w:rFonts w:asciiTheme="minorHAnsi" w:hAnsiTheme="minorHAnsi" w:cstheme="minorHAnsi"/>
          <w:color w:val="auto"/>
          <w:sz w:val="22"/>
          <w:szCs w:val="22"/>
        </w:rPr>
      </w:pPr>
      <w:r w:rsidRPr="003607F7">
        <w:rPr>
          <w:rFonts w:asciiTheme="minorHAnsi" w:hAnsiTheme="minorHAnsi" w:cstheme="minorHAnsi"/>
          <w:color w:val="auto"/>
          <w:sz w:val="22"/>
          <w:szCs w:val="22"/>
        </w:rPr>
        <w:t>Annex 6 and 7 (a) There is only one ICR report for the program and that is the comprehensive report that was submitted by PIU officially, (b) it is not clear why Annex 6 includes executive summary of Achievements while Annex 7 includes Assessment of outcomes.</w:t>
      </w:r>
    </w:p>
    <w:p w:rsidR="00A63A6F" w:rsidRPr="003607F7" w:rsidRDefault="00B578E1" w:rsidP="00A63A6F">
      <w:pPr>
        <w:pStyle w:val="ListParagraph"/>
        <w:numPr>
          <w:ilvl w:val="3"/>
          <w:numId w:val="20"/>
        </w:numPr>
        <w:shd w:val="clear" w:color="auto" w:fill="FFFFFF"/>
        <w:tabs>
          <w:tab w:val="left" w:pos="3210"/>
        </w:tabs>
        <w:spacing w:after="0" w:line="240" w:lineRule="auto"/>
        <w:jc w:val="both"/>
        <w:rPr>
          <w:rFonts w:asciiTheme="minorHAnsi" w:hAnsiTheme="minorHAnsi" w:cstheme="minorHAnsi"/>
          <w:b/>
          <w:color w:val="auto"/>
          <w:sz w:val="22"/>
          <w:szCs w:val="22"/>
        </w:rPr>
      </w:pPr>
      <w:r w:rsidRPr="003607F7">
        <w:rPr>
          <w:rFonts w:asciiTheme="minorHAnsi" w:hAnsiTheme="minorHAnsi" w:cstheme="minorHAnsi"/>
          <w:b/>
          <w:color w:val="auto"/>
          <w:sz w:val="22"/>
          <w:szCs w:val="22"/>
        </w:rPr>
        <w:t>Thanks for the comment. We have received the official PWA ICR client report and also an additional one from the WSRC focusing on their part of the project. We intend to include summaries of both as they are input to the process.</w:t>
      </w:r>
    </w:p>
    <w:p w:rsidR="001B785D" w:rsidRPr="004F2C66"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1B785D" w:rsidP="00D67B87">
      <w:pPr>
        <w:ind w:left="-630"/>
        <w:rPr>
          <w:rFonts w:asciiTheme="minorHAnsi" w:hAnsiTheme="minorHAnsi"/>
          <w:b/>
          <w:bCs/>
          <w:color w:val="7F7F7F" w:themeColor="text1" w:themeTint="80"/>
          <w:sz w:val="22"/>
          <w:szCs w:val="22"/>
        </w:rPr>
      </w:pPr>
    </w:p>
    <w:p w:rsidR="001B785D" w:rsidRDefault="00B578E1" w:rsidP="00D67B87">
      <w:pPr>
        <w:ind w:left="-630"/>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06032A" w:rsidTr="002141E3">
        <w:trPr>
          <w:trHeight w:val="432"/>
        </w:trPr>
        <w:tc>
          <w:tcPr>
            <w:tcW w:w="5000" w:type="pct"/>
            <w:shd w:val="clear" w:color="auto" w:fill="F2F7FC"/>
            <w:vAlign w:val="center"/>
          </w:tcPr>
          <w:p w:rsidR="001B785D" w:rsidRPr="00AF152D" w:rsidRDefault="00B578E1" w:rsidP="00880E70">
            <w:pPr>
              <w:pStyle w:val="NoSpacing"/>
              <w:jc w:val="center"/>
              <w:outlineLvl w:val="0"/>
              <w:rPr>
                <w:rFonts w:asciiTheme="minorHAnsi" w:hAnsiTheme="minorHAnsi"/>
                <w:b/>
                <w:szCs w:val="22"/>
              </w:rPr>
            </w:pPr>
            <w:bookmarkStart w:id="151" w:name="_Toc256000036"/>
            <w:bookmarkStart w:id="152" w:name="_Toc485984590"/>
            <w:bookmarkStart w:id="153" w:name="_Toc510969723"/>
            <w:bookmarkStart w:id="154" w:name="_Hlk510971028"/>
            <w:bookmarkStart w:id="155" w:name="_Toc516132515"/>
            <w:bookmarkStart w:id="156" w:name="_Hlk510971244"/>
            <w:r w:rsidRPr="00AF152D">
              <w:rPr>
                <w:rFonts w:asciiTheme="minorHAnsi" w:hAnsiTheme="minorHAnsi"/>
                <w:b/>
                <w:color w:val="000000" w:themeColor="text1"/>
                <w:szCs w:val="22"/>
              </w:rPr>
              <w:lastRenderedPageBreak/>
              <w:t xml:space="preserve">ANNEX 6. </w:t>
            </w:r>
            <w:bookmarkEnd w:id="151"/>
            <w:bookmarkEnd w:id="152"/>
            <w:bookmarkEnd w:id="153"/>
            <w:r w:rsidR="000A5756" w:rsidRPr="000A5756">
              <w:rPr>
                <w:rFonts w:asciiTheme="minorHAnsi" w:hAnsiTheme="minorHAnsi"/>
                <w:b/>
                <w:color w:val="000000" w:themeColor="text1"/>
                <w:szCs w:val="22"/>
              </w:rPr>
              <w:t>CLIENT ICR REPORT</w:t>
            </w:r>
            <w:r w:rsidR="000A5756" w:rsidRPr="00AF152D">
              <w:rPr>
                <w:rFonts w:asciiTheme="minorHAnsi" w:hAnsiTheme="minorHAnsi"/>
                <w:b/>
                <w:color w:val="000000" w:themeColor="text1"/>
                <w:szCs w:val="22"/>
              </w:rPr>
              <w:t xml:space="preserve"> -</w:t>
            </w:r>
            <w:r w:rsidR="000A5756">
              <w:rPr>
                <w:rFonts w:asciiTheme="minorHAnsi" w:hAnsiTheme="minorHAnsi"/>
                <w:b/>
                <w:color w:val="000000" w:themeColor="text1"/>
                <w:szCs w:val="22"/>
              </w:rPr>
              <w:t xml:space="preserve"> </w:t>
            </w:r>
            <w:r w:rsidR="000A5756" w:rsidRPr="00AF152D">
              <w:rPr>
                <w:rFonts w:asciiTheme="minorHAnsi" w:hAnsiTheme="minorHAnsi"/>
                <w:b/>
                <w:color w:val="000000" w:themeColor="text1"/>
                <w:szCs w:val="22"/>
              </w:rPr>
              <w:t>WATER SECTOR REGULATORY COUNCIL</w:t>
            </w:r>
            <w:bookmarkEnd w:id="154"/>
            <w:bookmarkEnd w:id="155"/>
          </w:p>
        </w:tc>
      </w:tr>
    </w:tbl>
    <w:bookmarkEnd w:id="156"/>
    <w:p w:rsidR="00621DDC" w:rsidRPr="00F95D6B" w:rsidRDefault="00B578E1" w:rsidP="00326D38">
      <w:pPr>
        <w:pStyle w:val="Normal0"/>
        <w:spacing w:before="240" w:after="240" w:line="240" w:lineRule="auto"/>
        <w:jc w:val="both"/>
        <w:rPr>
          <w:b/>
          <w:sz w:val="22"/>
        </w:rPr>
      </w:pPr>
      <w:r w:rsidRPr="00F95D6B">
        <w:rPr>
          <w:b/>
          <w:sz w:val="22"/>
        </w:rPr>
        <w:t>Executive Summary of Achievements</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4D3D71">
        <w:rPr>
          <w:rFonts w:cstheme="minorHAnsi"/>
          <w:sz w:val="22"/>
        </w:rPr>
        <w:t>In</w:t>
      </w:r>
      <w:r w:rsidRPr="00F95D6B">
        <w:rPr>
          <w:rFonts w:cstheme="minorHAnsi"/>
          <w:sz w:val="22"/>
        </w:rPr>
        <w:t xml:space="preserve"> 2016 and 2017, the WSRC achieved the following milestones: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83623F">
        <w:rPr>
          <w:rFonts w:cstheme="minorHAnsi"/>
          <w:sz w:val="22"/>
        </w:rPr>
        <w:t xml:space="preserve">Establishment of a regulatory information system based on a software (digitalized), which had now for the first time, provisions to verify data provided by the WSPs. </w:t>
      </w:r>
      <w:r w:rsidRPr="00F95D6B">
        <w:rPr>
          <w:rFonts w:cstheme="minorHAnsi"/>
          <w:sz w:val="22"/>
        </w:rPr>
        <w:t xml:space="preserve">The number of WSPs </w:t>
      </w:r>
      <w:r>
        <w:rPr>
          <w:rFonts w:cstheme="minorHAnsi"/>
          <w:sz w:val="22"/>
        </w:rPr>
        <w:t>that</w:t>
      </w:r>
      <w:r w:rsidRPr="00F95D6B">
        <w:rPr>
          <w:rFonts w:cstheme="minorHAnsi"/>
          <w:sz w:val="22"/>
        </w:rPr>
        <w:t xml:space="preserve"> annually report on their performance increased from 12 (previously reported to </w:t>
      </w:r>
      <w:r w:rsidR="00080FB6">
        <w:rPr>
          <w:rFonts w:cstheme="minorHAnsi"/>
          <w:sz w:val="22"/>
        </w:rPr>
        <w:t xml:space="preserve">the </w:t>
      </w:r>
      <w:r w:rsidRPr="00F95D6B">
        <w:rPr>
          <w:rFonts w:cstheme="minorHAnsi"/>
          <w:sz w:val="22"/>
        </w:rPr>
        <w:t>PWA) to 65 (40 WSP</w:t>
      </w:r>
      <w:r>
        <w:rPr>
          <w:rFonts w:cstheme="minorHAnsi"/>
          <w:sz w:val="22"/>
        </w:rPr>
        <w:t>s</w:t>
      </w:r>
      <w:r w:rsidRPr="00F95D6B">
        <w:rPr>
          <w:rFonts w:cstheme="minorHAnsi"/>
          <w:sz w:val="22"/>
        </w:rPr>
        <w:t xml:space="preserve"> in the West Bank</w:t>
      </w:r>
      <w:r>
        <w:rPr>
          <w:rFonts w:cstheme="minorHAnsi"/>
          <w:sz w:val="22"/>
        </w:rPr>
        <w:t xml:space="preserve"> and</w:t>
      </w:r>
      <w:r w:rsidRPr="00F95D6B">
        <w:rPr>
          <w:rFonts w:cstheme="minorHAnsi"/>
          <w:sz w:val="22"/>
        </w:rPr>
        <w:t xml:space="preserve"> 25 WSP</w:t>
      </w:r>
      <w:r>
        <w:rPr>
          <w:rFonts w:cstheme="minorHAnsi"/>
          <w:sz w:val="22"/>
        </w:rPr>
        <w:t>s</w:t>
      </w:r>
      <w:r w:rsidRPr="00F95D6B">
        <w:rPr>
          <w:rFonts w:cstheme="minorHAnsi"/>
          <w:sz w:val="22"/>
        </w:rPr>
        <w:t xml:space="preserve"> in Gaza). In addition, the data for 2012 to 2016 has been entered into the new information system. This allows a follow-up of sector progress over </w:t>
      </w:r>
      <w:r>
        <w:rPr>
          <w:rFonts w:cstheme="minorHAnsi"/>
          <w:sz w:val="22"/>
        </w:rPr>
        <w:t xml:space="preserve">the </w:t>
      </w:r>
      <w:r w:rsidRPr="00F95D6B">
        <w:rPr>
          <w:rFonts w:cstheme="minorHAnsi"/>
          <w:sz w:val="22"/>
        </w:rPr>
        <w:t xml:space="preserve">years. In addition, the information system was complemented with key modules such as water balance, cost calculations, </w:t>
      </w:r>
      <w:r>
        <w:rPr>
          <w:rFonts w:cstheme="minorHAnsi"/>
          <w:sz w:val="22"/>
        </w:rPr>
        <w:t>and so on</w:t>
      </w:r>
      <w:r w:rsidRPr="00F95D6B">
        <w:rPr>
          <w:rFonts w:cstheme="minorHAnsi"/>
          <w:sz w:val="22"/>
        </w:rPr>
        <w:t>.</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Elaboration and publication of sector performance reports </w:t>
      </w:r>
      <w:r>
        <w:rPr>
          <w:rFonts w:cstheme="minorHAnsi"/>
          <w:sz w:val="22"/>
        </w:rPr>
        <w:t>showed that</w:t>
      </w:r>
      <w:r w:rsidR="00500723">
        <w:rPr>
          <w:rFonts w:cstheme="minorHAnsi"/>
          <w:sz w:val="22"/>
        </w:rPr>
        <w:t xml:space="preserve"> the number of WSPs </w:t>
      </w:r>
      <w:r w:rsidRPr="00F95D6B">
        <w:rPr>
          <w:rFonts w:cstheme="minorHAnsi"/>
          <w:sz w:val="22"/>
        </w:rPr>
        <w:t>as well as the number of indicators to be monitored</w:t>
      </w:r>
      <w:r w:rsidR="00222B8E">
        <w:rPr>
          <w:rFonts w:cstheme="minorHAnsi"/>
          <w:sz w:val="22"/>
        </w:rPr>
        <w:t xml:space="preserve"> have </w:t>
      </w:r>
      <w:r>
        <w:rPr>
          <w:rFonts w:cstheme="minorHAnsi"/>
          <w:sz w:val="22"/>
        </w:rPr>
        <w:t>gradually increased</w:t>
      </w:r>
      <w:r w:rsidRPr="00F95D6B">
        <w:rPr>
          <w:rFonts w:cstheme="minorHAnsi"/>
          <w:sz w:val="22"/>
        </w:rPr>
        <w:t>. These reports are a first step toward a benchmarking system (comparative competition among WSP</w:t>
      </w:r>
      <w:r>
        <w:rPr>
          <w:rFonts w:cstheme="minorHAnsi"/>
          <w:sz w:val="22"/>
        </w:rPr>
        <w:t>s</w:t>
      </w:r>
      <w:r w:rsidRPr="00F95D6B">
        <w:rPr>
          <w:rFonts w:cstheme="minorHAnsi"/>
          <w:sz w:val="22"/>
        </w:rPr>
        <w:t>) which is elaborated as part of a major regulatory tool. It offers a comparison between the performance of WSPs and a development of the sector progress over time.</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Establishment of an inventory of WSPs (281) by carrying out a national tariff survey. This included the collection of basic data for each WSP, which were entered into the new database of </w:t>
      </w:r>
      <w:r>
        <w:rPr>
          <w:rFonts w:cstheme="minorHAnsi"/>
          <w:sz w:val="22"/>
        </w:rPr>
        <w:t xml:space="preserve">the </w:t>
      </w:r>
      <w:r w:rsidRPr="00F95D6B">
        <w:rPr>
          <w:rFonts w:cstheme="minorHAnsi"/>
          <w:sz w:val="22"/>
        </w:rPr>
        <w:t>WSRC.</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Publication of a comparative report for the WSPs to </w:t>
      </w:r>
      <w:r>
        <w:rPr>
          <w:rFonts w:cstheme="minorHAnsi"/>
          <w:sz w:val="22"/>
        </w:rPr>
        <w:t>observe</w:t>
      </w:r>
      <w:r w:rsidRPr="00F95D6B">
        <w:rPr>
          <w:rFonts w:cstheme="minorHAnsi"/>
          <w:sz w:val="22"/>
        </w:rPr>
        <w:t xml:space="preserve"> their own (and other WSPs</w:t>
      </w:r>
      <w:r>
        <w:rPr>
          <w:rFonts w:cstheme="minorHAnsi"/>
          <w:sz w:val="22"/>
        </w:rPr>
        <w:t>’</w:t>
      </w:r>
      <w:r w:rsidRPr="00F95D6B">
        <w:rPr>
          <w:rFonts w:cstheme="minorHAnsi"/>
          <w:sz w:val="22"/>
        </w:rPr>
        <w:t>) progress over 2 years.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Analysis of tariffs and tariff review for around 30 WSPs.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Elaboration of guidelines such as cost calculation manual, tariff setting, achievement of cost recovery, </w:t>
      </w:r>
      <w:r>
        <w:rPr>
          <w:rFonts w:cstheme="minorHAnsi"/>
          <w:sz w:val="22"/>
        </w:rPr>
        <w:t>and so on</w:t>
      </w:r>
      <w:r w:rsidRPr="00F95D6B">
        <w:rPr>
          <w:rFonts w:cstheme="minorHAnsi"/>
          <w:sz w:val="22"/>
        </w:rPr>
        <w:t>.</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Orientation of WSPs on regulatory tools </w:t>
      </w:r>
      <w:r>
        <w:rPr>
          <w:rFonts w:cstheme="minorHAnsi"/>
          <w:sz w:val="22"/>
        </w:rPr>
        <w:t>such as</w:t>
      </w:r>
      <w:r w:rsidRPr="00F95D6B">
        <w:rPr>
          <w:rFonts w:cstheme="minorHAnsi"/>
          <w:sz w:val="22"/>
        </w:rPr>
        <w:t xml:space="preserve"> reporting, data collection</w:t>
      </w:r>
      <w:r>
        <w:rPr>
          <w:rFonts w:cstheme="minorHAnsi"/>
          <w:sz w:val="22"/>
        </w:rPr>
        <w:t>,</w:t>
      </w:r>
      <w:r w:rsidRPr="00F95D6B">
        <w:rPr>
          <w:rFonts w:cstheme="minorHAnsi"/>
          <w:sz w:val="22"/>
        </w:rPr>
        <w:t xml:space="preserve"> and tariff calculation.</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Organi</w:t>
      </w:r>
      <w:r>
        <w:rPr>
          <w:rFonts w:cstheme="minorHAnsi"/>
          <w:sz w:val="22"/>
        </w:rPr>
        <w:t>z</w:t>
      </w:r>
      <w:r w:rsidRPr="00F95D6B">
        <w:rPr>
          <w:rFonts w:cstheme="minorHAnsi"/>
          <w:sz w:val="22"/>
        </w:rPr>
        <w:t>ation and support of peer-to-peer-learning between WSPs.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Establishment of communication channels with national and international key stakeholders through </w:t>
      </w:r>
      <w:r w:rsidR="00222B8E">
        <w:rPr>
          <w:rFonts w:cstheme="minorHAnsi"/>
          <w:sz w:val="22"/>
        </w:rPr>
        <w:t xml:space="preserve">the </w:t>
      </w:r>
      <w:r w:rsidRPr="00F95D6B">
        <w:rPr>
          <w:rFonts w:cstheme="minorHAnsi"/>
          <w:sz w:val="22"/>
        </w:rPr>
        <w:t xml:space="preserve">WSRC website to allow access to data and information, </w:t>
      </w:r>
      <w:r>
        <w:rPr>
          <w:rFonts w:cstheme="minorHAnsi"/>
          <w:sz w:val="22"/>
        </w:rPr>
        <w:t>F</w:t>
      </w:r>
      <w:r w:rsidRPr="0083623F">
        <w:rPr>
          <w:rFonts w:cstheme="minorHAnsi"/>
          <w:sz w:val="22"/>
        </w:rPr>
        <w:t>acebook</w:t>
      </w:r>
      <w:r w:rsidRPr="00F95D6B">
        <w:rPr>
          <w:rFonts w:cstheme="minorHAnsi"/>
          <w:sz w:val="22"/>
        </w:rPr>
        <w:t xml:space="preserve">, personal visits, participation in workshops, </w:t>
      </w:r>
      <w:r w:rsidRPr="00326D38">
        <w:rPr>
          <w:rFonts w:cstheme="minorHAnsi"/>
          <w:sz w:val="22"/>
        </w:rPr>
        <w:t>steering committees</w:t>
      </w:r>
      <w:r>
        <w:rPr>
          <w:rFonts w:cstheme="minorHAnsi"/>
          <w:sz w:val="22"/>
        </w:rPr>
        <w:t>,</w:t>
      </w:r>
      <w:r w:rsidRPr="00F95D6B">
        <w:rPr>
          <w:rFonts w:cstheme="minorHAnsi"/>
          <w:sz w:val="22"/>
        </w:rPr>
        <w:t xml:space="preserve"> and input to international conferences.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Elaboration of a (provisional) licen</w:t>
      </w:r>
      <w:r>
        <w:rPr>
          <w:rFonts w:cstheme="minorHAnsi"/>
          <w:sz w:val="22"/>
        </w:rPr>
        <w:t>s</w:t>
      </w:r>
      <w:r w:rsidRPr="00F95D6B">
        <w:rPr>
          <w:rFonts w:cstheme="minorHAnsi"/>
          <w:sz w:val="22"/>
        </w:rPr>
        <w:t xml:space="preserve">ing concept including a categorization system for WSPs, minimum standards for operation, </w:t>
      </w:r>
      <w:r>
        <w:rPr>
          <w:rFonts w:cstheme="minorHAnsi"/>
          <w:sz w:val="22"/>
        </w:rPr>
        <w:t>and so on</w:t>
      </w:r>
      <w:r w:rsidRPr="00F95D6B">
        <w:rPr>
          <w:rFonts w:cstheme="minorHAnsi"/>
          <w:sz w:val="22"/>
        </w:rPr>
        <w:t xml:space="preserve"> and commenting of the </w:t>
      </w:r>
      <w:r w:rsidR="00222B8E">
        <w:rPr>
          <w:rFonts w:cstheme="minorHAnsi"/>
          <w:sz w:val="22"/>
        </w:rPr>
        <w:t>L</w:t>
      </w:r>
      <w:r w:rsidRPr="00F95D6B">
        <w:rPr>
          <w:rFonts w:cstheme="minorHAnsi"/>
          <w:sz w:val="22"/>
        </w:rPr>
        <w:t>icen</w:t>
      </w:r>
      <w:r>
        <w:rPr>
          <w:rFonts w:cstheme="minorHAnsi"/>
          <w:sz w:val="22"/>
        </w:rPr>
        <w:t>s</w:t>
      </w:r>
      <w:r w:rsidRPr="00F95D6B">
        <w:rPr>
          <w:rFonts w:cstheme="minorHAnsi"/>
          <w:sz w:val="22"/>
        </w:rPr>
        <w:t xml:space="preserve">ing </w:t>
      </w:r>
      <w:r w:rsidR="00222B8E">
        <w:rPr>
          <w:rFonts w:cstheme="minorHAnsi"/>
          <w:sz w:val="22"/>
        </w:rPr>
        <w:t>B</w:t>
      </w:r>
      <w:r w:rsidRPr="00F95D6B">
        <w:rPr>
          <w:rFonts w:cstheme="minorHAnsi"/>
          <w:sz w:val="22"/>
        </w:rPr>
        <w:t>ylaw.</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lastRenderedPageBreak/>
        <w:t>Elaboration of a concept for inspections with a dynamic categorization system for WSPs based on their performance as well as inspection procedures and indicators.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Implementation of the first nationwide survey on the situation of wastewater and desalination management resulting in the first </w:t>
      </w:r>
      <w:r>
        <w:rPr>
          <w:rFonts w:cstheme="minorHAnsi"/>
          <w:sz w:val="22"/>
        </w:rPr>
        <w:t>p</w:t>
      </w:r>
      <w:r w:rsidRPr="00F95D6B">
        <w:rPr>
          <w:rFonts w:cstheme="minorHAnsi"/>
          <w:sz w:val="22"/>
        </w:rPr>
        <w:t xml:space="preserve">erformance </w:t>
      </w:r>
      <w:r>
        <w:rPr>
          <w:rFonts w:cstheme="minorHAnsi"/>
          <w:sz w:val="22"/>
        </w:rPr>
        <w:t>m</w:t>
      </w:r>
      <w:r w:rsidRPr="00F95D6B">
        <w:rPr>
          <w:rFonts w:cstheme="minorHAnsi"/>
          <w:sz w:val="22"/>
        </w:rPr>
        <w:t>onitoring report on wastewater and desalination SP</w:t>
      </w:r>
      <w:r w:rsidR="00222B8E">
        <w:rPr>
          <w:rFonts w:cstheme="minorHAnsi"/>
          <w:sz w:val="22"/>
        </w:rPr>
        <w:t>s</w:t>
      </w:r>
      <w:r w:rsidRPr="00F95D6B">
        <w:rPr>
          <w:rFonts w:cstheme="minorHAnsi"/>
          <w:sz w:val="22"/>
        </w:rPr>
        <w:t>. This included an inventory of existing systems and SPs as well as testing of relevant indicators.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Elaboration and implementation of legal documents such as bylaws (financing, procurement) and internal procedures for the development of the organi</w:t>
      </w:r>
      <w:r>
        <w:rPr>
          <w:rFonts w:cstheme="minorHAnsi"/>
          <w:sz w:val="22"/>
        </w:rPr>
        <w:t>z</w:t>
      </w:r>
      <w:r w:rsidRPr="00F95D6B">
        <w:rPr>
          <w:rFonts w:cstheme="minorHAnsi"/>
          <w:sz w:val="22"/>
        </w:rPr>
        <w:t xml:space="preserve">ation of WSRC, subject to endorsement by the </w:t>
      </w:r>
      <w:r w:rsidR="00AE45BD">
        <w:rPr>
          <w:rFonts w:cstheme="minorHAnsi"/>
          <w:sz w:val="22"/>
        </w:rPr>
        <w:t>CoM</w:t>
      </w:r>
      <w:r w:rsidRPr="00F95D6B">
        <w:rPr>
          <w:rFonts w:cstheme="minorHAnsi"/>
          <w:sz w:val="22"/>
        </w:rPr>
        <w:t>s.</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Elaboration of a strategic </w:t>
      </w:r>
      <w:r>
        <w:rPr>
          <w:rFonts w:cstheme="minorHAnsi"/>
          <w:sz w:val="22"/>
        </w:rPr>
        <w:t>p</w:t>
      </w:r>
      <w:r w:rsidRPr="00F95D6B">
        <w:rPr>
          <w:rFonts w:cstheme="minorHAnsi"/>
          <w:sz w:val="22"/>
        </w:rPr>
        <w:t>lan for the WSRC.</w:t>
      </w:r>
    </w:p>
    <w:p w:rsidR="00621DDC" w:rsidRPr="00F95D6B" w:rsidRDefault="00B578E1" w:rsidP="00A63A6F">
      <w:pPr>
        <w:pStyle w:val="Normal0"/>
        <w:numPr>
          <w:ilvl w:val="0"/>
          <w:numId w:val="9"/>
        </w:numPr>
        <w:spacing w:after="240" w:line="240" w:lineRule="auto"/>
        <w:ind w:left="1195" w:hanging="475"/>
        <w:jc w:val="both"/>
        <w:rPr>
          <w:rFonts w:cstheme="minorHAnsi"/>
          <w:sz w:val="22"/>
        </w:rPr>
      </w:pPr>
      <w:r w:rsidRPr="00F95D6B">
        <w:rPr>
          <w:rFonts w:cstheme="minorHAnsi"/>
          <w:sz w:val="22"/>
        </w:rPr>
        <w:t xml:space="preserve">Commencement of the elaboration of concepts for incentive regulation, communication (plan), governance and integrity of WSP as well as survey for the status of consumer complaints and their resolution, </w:t>
      </w:r>
      <w:r>
        <w:rPr>
          <w:rFonts w:cstheme="minorHAnsi"/>
          <w:sz w:val="22"/>
        </w:rPr>
        <w:t>and so on</w:t>
      </w:r>
      <w:r w:rsidRPr="00F95D6B">
        <w:rPr>
          <w:rFonts w:cstheme="minorHAnsi"/>
          <w:sz w:val="22"/>
        </w:rPr>
        <w:t>.</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F95D6B">
        <w:rPr>
          <w:rFonts w:cstheme="minorHAnsi"/>
          <w:sz w:val="22"/>
        </w:rPr>
        <w:t xml:space="preserve">It </w:t>
      </w:r>
      <w:r>
        <w:rPr>
          <w:rFonts w:cstheme="minorHAnsi"/>
          <w:sz w:val="22"/>
        </w:rPr>
        <w:t>must be</w:t>
      </w:r>
      <w:r w:rsidRPr="00F95D6B">
        <w:rPr>
          <w:rFonts w:cstheme="minorHAnsi"/>
          <w:sz w:val="22"/>
        </w:rPr>
        <w:t xml:space="preserve"> note</w:t>
      </w:r>
      <w:r>
        <w:rPr>
          <w:rFonts w:cstheme="minorHAnsi"/>
          <w:sz w:val="22"/>
        </w:rPr>
        <w:t>d</w:t>
      </w:r>
      <w:r w:rsidRPr="00F95D6B">
        <w:rPr>
          <w:rFonts w:cstheme="minorHAnsi"/>
          <w:sz w:val="22"/>
        </w:rPr>
        <w:t xml:space="preserve"> that for the first time most activities not only covered the West Bank</w:t>
      </w:r>
      <w:r w:rsidR="00AE45BD">
        <w:rPr>
          <w:rFonts w:cstheme="minorHAnsi"/>
          <w:sz w:val="22"/>
        </w:rPr>
        <w:t>,</w:t>
      </w:r>
      <w:r w:rsidRPr="00F95D6B">
        <w:rPr>
          <w:rFonts w:cstheme="minorHAnsi"/>
          <w:sz w:val="22"/>
        </w:rPr>
        <w:t xml:space="preserve"> but also the </w:t>
      </w:r>
      <w:r w:rsidRPr="00AE45BD">
        <w:rPr>
          <w:rFonts w:cstheme="minorHAnsi"/>
          <w:sz w:val="22"/>
        </w:rPr>
        <w:t xml:space="preserve">Gaza </w:t>
      </w:r>
      <w:r w:rsidR="00AE45BD">
        <w:rPr>
          <w:rFonts w:cstheme="minorHAnsi"/>
          <w:sz w:val="22"/>
        </w:rPr>
        <w:t>s</w:t>
      </w:r>
      <w:r w:rsidRPr="00AE45BD">
        <w:rPr>
          <w:rFonts w:cstheme="minorHAnsi"/>
          <w:sz w:val="22"/>
        </w:rPr>
        <w:t>trip</w:t>
      </w:r>
      <w:r w:rsidRPr="00F95D6B">
        <w:rPr>
          <w:rFonts w:cstheme="minorHAnsi"/>
          <w:sz w:val="22"/>
        </w:rPr>
        <w:t xml:space="preserve">. It is said that the regulator, cooperating with all WSPs, was the only public entity which worked equally in both territories since its establishment in 2014. This cooperation of WSPs across internal borders facilitated by the regulator might be a good practice example to support the reconciliation process in </w:t>
      </w:r>
      <w:r w:rsidR="003C7878">
        <w:rPr>
          <w:rFonts w:cstheme="minorHAnsi"/>
          <w:sz w:val="22"/>
        </w:rPr>
        <w:t xml:space="preserve">the </w:t>
      </w:r>
      <w:r w:rsidRPr="00F95D6B">
        <w:rPr>
          <w:rFonts w:cstheme="minorHAnsi"/>
          <w:sz w:val="22"/>
        </w:rPr>
        <w:t>West Bank and Gaza.</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F95D6B">
        <w:rPr>
          <w:rFonts w:cstheme="minorHAnsi"/>
          <w:sz w:val="22"/>
        </w:rPr>
        <w:t xml:space="preserve">In addition, the work of the regulator carried out in the last two years included a significant contribution to the sector framework development by advising and participating in policy dialogues, steering committees and the elaboration of bylaws such as licensing, tariff adjustments, (regional) clustering of WSPs, </w:t>
      </w:r>
      <w:r>
        <w:rPr>
          <w:rFonts w:cstheme="minorHAnsi"/>
          <w:sz w:val="22"/>
        </w:rPr>
        <w:t>and so on</w:t>
      </w:r>
      <w:r w:rsidRPr="00F95D6B">
        <w:rPr>
          <w:rFonts w:cstheme="minorHAnsi"/>
          <w:sz w:val="22"/>
        </w:rPr>
        <w:t>. Furthermore, the regulator commissioned a review of the sector framework concentrating on the legal status and existing overlaps and gaps in legislation of several sectors with the Water Law 2014 and consequently with the mandate of the WSRC. Many of the listed activities were carried out with the help of external specialists (consultant) financed by donors and supervised by the regulator who elaborated or commented on the T</w:t>
      </w:r>
      <w:r w:rsidR="000A58C5">
        <w:rPr>
          <w:rFonts w:cstheme="minorHAnsi"/>
          <w:sz w:val="22"/>
        </w:rPr>
        <w:t>O</w:t>
      </w:r>
      <w:r w:rsidRPr="00F95D6B">
        <w:rPr>
          <w:rFonts w:cstheme="minorHAnsi"/>
          <w:sz w:val="22"/>
        </w:rPr>
        <w:t>R and accompanied the experts during their work. This ownership of the regulator which also went beyond commissioning of the work allowed the integration of the produced outputs in the stepwise development of a coherent regulatory regime.</w:t>
      </w:r>
    </w:p>
    <w:p w:rsidR="00621DDC" w:rsidRPr="00326D38" w:rsidRDefault="00B578E1" w:rsidP="00621DDC">
      <w:pPr>
        <w:pStyle w:val="Normal0"/>
        <w:jc w:val="both"/>
        <w:rPr>
          <w:rFonts w:cstheme="minorHAnsi"/>
          <w:b/>
          <w:sz w:val="22"/>
        </w:rPr>
      </w:pPr>
      <w:r w:rsidRPr="003C7878">
        <w:rPr>
          <w:rFonts w:cstheme="minorHAnsi"/>
          <w:b/>
          <w:sz w:val="22"/>
        </w:rPr>
        <w:t xml:space="preserve">Issues of </w:t>
      </w:r>
      <w:r w:rsidRPr="00F67F64">
        <w:rPr>
          <w:rFonts w:cstheme="minorHAnsi"/>
          <w:b/>
          <w:sz w:val="22"/>
        </w:rPr>
        <w:t xml:space="preserve">Concern </w:t>
      </w:r>
      <w:r w:rsidRPr="00326D38">
        <w:rPr>
          <w:rFonts w:cstheme="minorHAnsi"/>
          <w:b/>
          <w:sz w:val="22"/>
        </w:rPr>
        <w:t xml:space="preserve">and </w:t>
      </w:r>
      <w:r w:rsidRPr="00F67F64">
        <w:rPr>
          <w:rFonts w:cstheme="minorHAnsi"/>
          <w:b/>
          <w:sz w:val="22"/>
        </w:rPr>
        <w:t>R</w:t>
      </w:r>
      <w:r w:rsidRPr="00326D38">
        <w:rPr>
          <w:rFonts w:cstheme="minorHAnsi"/>
          <w:b/>
          <w:sz w:val="22"/>
        </w:rPr>
        <w:t xml:space="preserve">isks to </w:t>
      </w:r>
      <w:r w:rsidRPr="00F67F64">
        <w:rPr>
          <w:rFonts w:cstheme="minorHAnsi"/>
          <w:b/>
          <w:sz w:val="22"/>
        </w:rPr>
        <w:t>Development Outcome</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F95D6B">
        <w:rPr>
          <w:rFonts w:cstheme="minorHAnsi"/>
          <w:sz w:val="22"/>
        </w:rPr>
        <w:t>Despite the notable progress</w:t>
      </w:r>
      <w:r>
        <w:rPr>
          <w:rFonts w:cstheme="minorHAnsi"/>
          <w:sz w:val="22"/>
        </w:rPr>
        <w:t xml:space="preserve"> the</w:t>
      </w:r>
      <w:r w:rsidRPr="00F95D6B">
        <w:rPr>
          <w:rFonts w:cstheme="minorHAnsi"/>
          <w:sz w:val="22"/>
        </w:rPr>
        <w:t xml:space="preserve"> WSRC has achieved</w:t>
      </w:r>
      <w:r>
        <w:rPr>
          <w:rFonts w:cstheme="minorHAnsi"/>
          <w:sz w:val="22"/>
        </w:rPr>
        <w:t>,</w:t>
      </w:r>
      <w:r w:rsidRPr="00F95D6B">
        <w:rPr>
          <w:rFonts w:cstheme="minorHAnsi"/>
          <w:sz w:val="22"/>
        </w:rPr>
        <w:t xml:space="preserve"> there are substantial challenges remaining to </w:t>
      </w:r>
      <w:r w:rsidR="003C7878">
        <w:rPr>
          <w:rFonts w:cstheme="minorHAnsi"/>
          <w:sz w:val="22"/>
        </w:rPr>
        <w:t xml:space="preserve">be </w:t>
      </w:r>
      <w:r w:rsidRPr="00F95D6B">
        <w:rPr>
          <w:rFonts w:cstheme="minorHAnsi"/>
          <w:sz w:val="22"/>
        </w:rPr>
        <w:t>overcome. The most important is the financing of the operational budget of the regulator through the licensing fees by SP</w:t>
      </w:r>
      <w:r w:rsidR="003C7878">
        <w:rPr>
          <w:rFonts w:cstheme="minorHAnsi"/>
          <w:sz w:val="22"/>
        </w:rPr>
        <w:t>s</w:t>
      </w:r>
      <w:r w:rsidRPr="00F95D6B">
        <w:rPr>
          <w:rFonts w:cstheme="minorHAnsi"/>
          <w:sz w:val="22"/>
        </w:rPr>
        <w:t xml:space="preserve"> to secure sustainable operation and safeguard the regulator’s autonomy. It is not unusual that institutions driving modern reform processes are mainly financed by donors in the start-up phase. One example is the Water Sector Reform Support Unit in Zambia, which was financed </w:t>
      </w:r>
      <w:r w:rsidR="003C7878">
        <w:rPr>
          <w:rFonts w:cstheme="minorHAnsi"/>
          <w:sz w:val="22"/>
        </w:rPr>
        <w:t>for</w:t>
      </w:r>
      <w:r w:rsidR="003C7878" w:rsidRPr="00F95D6B">
        <w:rPr>
          <w:rFonts w:cstheme="minorHAnsi"/>
          <w:sz w:val="22"/>
        </w:rPr>
        <w:t xml:space="preserve"> </w:t>
      </w:r>
      <w:r w:rsidRPr="00F95D6B">
        <w:rPr>
          <w:rFonts w:cstheme="minorHAnsi"/>
          <w:sz w:val="22"/>
        </w:rPr>
        <w:t xml:space="preserve">several years by donors until the sector institution could cater </w:t>
      </w:r>
      <w:r w:rsidR="003C7878">
        <w:rPr>
          <w:rFonts w:cstheme="minorHAnsi"/>
          <w:sz w:val="22"/>
        </w:rPr>
        <w:t>to</w:t>
      </w:r>
      <w:r w:rsidR="003C7878" w:rsidRPr="00F95D6B">
        <w:rPr>
          <w:rFonts w:cstheme="minorHAnsi"/>
          <w:sz w:val="22"/>
        </w:rPr>
        <w:t xml:space="preserve"> </w:t>
      </w:r>
      <w:r w:rsidRPr="00F95D6B">
        <w:rPr>
          <w:rFonts w:cstheme="minorHAnsi"/>
          <w:sz w:val="22"/>
        </w:rPr>
        <w:t xml:space="preserve">its own operational budget. However, it is time for </w:t>
      </w:r>
      <w:r w:rsidR="003C7878">
        <w:rPr>
          <w:rFonts w:cstheme="minorHAnsi"/>
          <w:sz w:val="22"/>
        </w:rPr>
        <w:t xml:space="preserve">the </w:t>
      </w:r>
      <w:r w:rsidRPr="00F95D6B">
        <w:rPr>
          <w:rFonts w:cstheme="minorHAnsi"/>
          <w:sz w:val="22"/>
        </w:rPr>
        <w:t xml:space="preserve">WSRC to gradually phase out of this start-up phase which can only be secured with the support of </w:t>
      </w:r>
      <w:r w:rsidRPr="00F95D6B">
        <w:rPr>
          <w:rFonts w:cstheme="minorHAnsi"/>
          <w:sz w:val="22"/>
        </w:rPr>
        <w:lastRenderedPageBreak/>
        <w:t xml:space="preserve">the Prime Minister’s office and the PWA submitting the relevant bylaw to the </w:t>
      </w:r>
      <w:r w:rsidR="00AE45BD">
        <w:rPr>
          <w:rFonts w:cstheme="minorHAnsi"/>
          <w:sz w:val="22"/>
        </w:rPr>
        <w:t>CoM</w:t>
      </w:r>
      <w:r w:rsidRPr="00F95D6B">
        <w:rPr>
          <w:rFonts w:cstheme="minorHAnsi"/>
          <w:sz w:val="22"/>
        </w:rPr>
        <w:t xml:space="preserve"> and initiating the necessary consultation process. </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F95D6B">
        <w:rPr>
          <w:rFonts w:cstheme="minorHAnsi"/>
          <w:sz w:val="22"/>
        </w:rPr>
        <w:t xml:space="preserve">Another crucial intervention area is closely linked to the endorsement of a </w:t>
      </w:r>
      <w:r w:rsidR="003C7878">
        <w:rPr>
          <w:rFonts w:cstheme="minorHAnsi"/>
          <w:sz w:val="22"/>
        </w:rPr>
        <w:t>L</w:t>
      </w:r>
      <w:r w:rsidRPr="00F95D6B">
        <w:rPr>
          <w:rFonts w:cstheme="minorHAnsi"/>
          <w:sz w:val="22"/>
        </w:rPr>
        <w:t xml:space="preserve">icensing </w:t>
      </w:r>
      <w:r w:rsidR="003C7878">
        <w:rPr>
          <w:rFonts w:cstheme="minorHAnsi"/>
          <w:sz w:val="22"/>
        </w:rPr>
        <w:t>B</w:t>
      </w:r>
      <w:r w:rsidRPr="00F95D6B">
        <w:rPr>
          <w:rFonts w:cstheme="minorHAnsi"/>
          <w:sz w:val="22"/>
        </w:rPr>
        <w:t xml:space="preserve">ylaw </w:t>
      </w:r>
      <w:r>
        <w:rPr>
          <w:rFonts w:cstheme="minorHAnsi"/>
          <w:sz w:val="22"/>
        </w:rPr>
        <w:t>because</w:t>
      </w:r>
      <w:r w:rsidRPr="00F95D6B">
        <w:rPr>
          <w:rFonts w:cstheme="minorHAnsi"/>
          <w:sz w:val="22"/>
        </w:rPr>
        <w:t xml:space="preserve"> it establishes a legal relationship between the WSPs and the regulator: the establishment of a follow-up and enforcement system. This is largely outstanding and requires the consolidation of the ongoing activities and an enlargement of the staff with relevant specialists. Only strengthened enforcement (incentives and pressure) will sustainably direct the sector toward better performance and the achievement of the </w:t>
      </w:r>
      <w:r>
        <w:rPr>
          <w:rFonts w:cstheme="minorHAnsi"/>
          <w:sz w:val="22"/>
        </w:rPr>
        <w:t>Sustainable Development Goal</w:t>
      </w:r>
      <w:r w:rsidRPr="00F95D6B">
        <w:rPr>
          <w:rFonts w:cstheme="minorHAnsi"/>
          <w:sz w:val="22"/>
        </w:rPr>
        <w:t xml:space="preserve">s. </w:t>
      </w:r>
    </w:p>
    <w:p w:rsidR="00621DDC" w:rsidRPr="00F95D6B" w:rsidRDefault="00B578E1" w:rsidP="00A63A6F">
      <w:pPr>
        <w:pStyle w:val="Normal0"/>
        <w:numPr>
          <w:ilvl w:val="0"/>
          <w:numId w:val="18"/>
        </w:numPr>
        <w:spacing w:after="240" w:line="240" w:lineRule="auto"/>
        <w:ind w:left="0" w:firstLine="0"/>
        <w:jc w:val="both"/>
        <w:rPr>
          <w:rFonts w:cstheme="minorHAnsi"/>
          <w:sz w:val="22"/>
        </w:rPr>
      </w:pPr>
      <w:r w:rsidRPr="00F95D6B">
        <w:rPr>
          <w:rFonts w:cstheme="minorHAnsi"/>
          <w:sz w:val="22"/>
        </w:rPr>
        <w:t xml:space="preserve">In addition, it is crucial that the council and the PWA find common ways and improve their cooperation by being aware that the sector needs their combined and intertwined efforts to achieve the policy goals of the Palestinian </w:t>
      </w:r>
      <w:r>
        <w:rPr>
          <w:rFonts w:cstheme="minorHAnsi"/>
          <w:sz w:val="22"/>
        </w:rPr>
        <w:t>G</w:t>
      </w:r>
      <w:r w:rsidRPr="00F95D6B">
        <w:rPr>
          <w:rFonts w:cstheme="minorHAnsi"/>
          <w:sz w:val="22"/>
        </w:rPr>
        <w:t>overnment. A unified and supportive donor community, especially the World Bank, can facilitate the improvement of this cooperation.</w:t>
      </w:r>
    </w:p>
    <w:p w:rsidR="00621DDC" w:rsidRPr="003C7878" w:rsidRDefault="00B578E1" w:rsidP="00621DDC">
      <w:pPr>
        <w:pStyle w:val="Normal0"/>
        <w:jc w:val="both"/>
        <w:rPr>
          <w:b/>
          <w:sz w:val="22"/>
        </w:rPr>
      </w:pPr>
      <w:r w:rsidRPr="003C7878">
        <w:rPr>
          <w:b/>
          <w:sz w:val="22"/>
        </w:rPr>
        <w:t>Lessons Learned</w:t>
      </w:r>
    </w:p>
    <w:p w:rsidR="00621DDC" w:rsidRPr="00F95D6B" w:rsidRDefault="00B578E1" w:rsidP="00A63A6F">
      <w:pPr>
        <w:pStyle w:val="Normal0"/>
        <w:numPr>
          <w:ilvl w:val="0"/>
          <w:numId w:val="10"/>
        </w:numPr>
        <w:spacing w:after="240" w:line="240" w:lineRule="auto"/>
        <w:ind w:left="1195" w:hanging="475"/>
        <w:jc w:val="both"/>
        <w:rPr>
          <w:rFonts w:cstheme="minorHAnsi"/>
          <w:sz w:val="22"/>
        </w:rPr>
      </w:pPr>
      <w:r w:rsidRPr="00F95D6B">
        <w:rPr>
          <w:rFonts w:cstheme="minorHAnsi"/>
          <w:b/>
          <w:bCs/>
          <w:sz w:val="22"/>
        </w:rPr>
        <w:t>Flexibility is needed</w:t>
      </w:r>
      <w:r>
        <w:rPr>
          <w:rFonts w:cstheme="minorHAnsi"/>
          <w:b/>
          <w:bCs/>
          <w:sz w:val="22"/>
        </w:rPr>
        <w:t>.</w:t>
      </w:r>
      <w:r>
        <w:rPr>
          <w:rFonts w:cstheme="minorHAnsi"/>
          <w:sz w:val="22"/>
        </w:rPr>
        <w:t xml:space="preserve"> </w:t>
      </w:r>
      <w:r w:rsidRPr="00F95D6B">
        <w:rPr>
          <w:rFonts w:cstheme="minorHAnsi"/>
          <w:sz w:val="22"/>
        </w:rPr>
        <w:t xml:space="preserve">The project was designed with two other funding sources in mind, namely, the GIZ support and the income from licensing fees. </w:t>
      </w:r>
      <w:r>
        <w:rPr>
          <w:rFonts w:cstheme="minorHAnsi"/>
          <w:sz w:val="22"/>
        </w:rPr>
        <w:t>Therefore</w:t>
      </w:r>
      <w:r w:rsidRPr="00F95D6B">
        <w:rPr>
          <w:rFonts w:cstheme="minorHAnsi"/>
          <w:sz w:val="22"/>
        </w:rPr>
        <w:t xml:space="preserve">, a number of key activities were </w:t>
      </w:r>
      <w:r>
        <w:rPr>
          <w:rFonts w:cstheme="minorHAnsi"/>
          <w:sz w:val="22"/>
        </w:rPr>
        <w:t xml:space="preserve">scheduled </w:t>
      </w:r>
      <w:r w:rsidRPr="00F95D6B">
        <w:rPr>
          <w:rFonts w:cstheme="minorHAnsi"/>
          <w:sz w:val="22"/>
        </w:rPr>
        <w:t>either on the program or on the other sources and had to be shifted afterwards.</w:t>
      </w:r>
    </w:p>
    <w:p w:rsidR="00621DDC" w:rsidRPr="00F95D6B" w:rsidRDefault="00B578E1" w:rsidP="00A63A6F">
      <w:pPr>
        <w:pStyle w:val="Normal0"/>
        <w:numPr>
          <w:ilvl w:val="0"/>
          <w:numId w:val="10"/>
        </w:numPr>
        <w:spacing w:after="240" w:line="240" w:lineRule="auto"/>
        <w:ind w:left="1195" w:hanging="475"/>
        <w:jc w:val="both"/>
        <w:rPr>
          <w:rFonts w:cstheme="minorHAnsi"/>
          <w:sz w:val="22"/>
        </w:rPr>
      </w:pPr>
      <w:r w:rsidRPr="00F95D6B">
        <w:rPr>
          <w:rFonts w:cstheme="minorHAnsi"/>
          <w:b/>
          <w:bCs/>
          <w:sz w:val="22"/>
        </w:rPr>
        <w:t xml:space="preserve">Delays have to be expected and mitigated through different measures </w:t>
      </w:r>
      <w:r>
        <w:rPr>
          <w:rFonts w:cstheme="minorHAnsi"/>
          <w:b/>
          <w:bCs/>
          <w:sz w:val="22"/>
        </w:rPr>
        <w:t>such as</w:t>
      </w:r>
      <w:r w:rsidRPr="00F95D6B">
        <w:rPr>
          <w:rFonts w:cstheme="minorHAnsi"/>
          <w:b/>
          <w:bCs/>
          <w:sz w:val="22"/>
        </w:rPr>
        <w:t xml:space="preserve"> additional pressure from the World Bank</w:t>
      </w:r>
      <w:r>
        <w:rPr>
          <w:rFonts w:cstheme="minorHAnsi"/>
          <w:b/>
          <w:bCs/>
          <w:sz w:val="22"/>
        </w:rPr>
        <w:t>.</w:t>
      </w:r>
      <w:r w:rsidRPr="00F95D6B">
        <w:rPr>
          <w:rFonts w:cstheme="minorHAnsi"/>
          <w:sz w:val="22"/>
        </w:rPr>
        <w:t xml:space="preserve"> The project was designed with the assumption that a number of bylaws and policies will be completed within a given period.</w:t>
      </w:r>
    </w:p>
    <w:p w:rsidR="00621DDC" w:rsidRPr="00F95D6B" w:rsidRDefault="00B578E1" w:rsidP="00A63A6F">
      <w:pPr>
        <w:pStyle w:val="Normal0"/>
        <w:numPr>
          <w:ilvl w:val="0"/>
          <w:numId w:val="10"/>
        </w:numPr>
        <w:spacing w:after="240" w:line="240" w:lineRule="auto"/>
        <w:ind w:left="1195" w:hanging="475"/>
        <w:jc w:val="both"/>
        <w:rPr>
          <w:rFonts w:cstheme="minorHAnsi"/>
          <w:sz w:val="22"/>
        </w:rPr>
      </w:pPr>
      <w:r w:rsidRPr="00F95D6B">
        <w:rPr>
          <w:rFonts w:cstheme="minorHAnsi"/>
          <w:b/>
          <w:bCs/>
          <w:sz w:val="22"/>
        </w:rPr>
        <w:t>Clear roles, responsibilities, and cooperation mechanisms</w:t>
      </w:r>
      <w:r>
        <w:rPr>
          <w:rFonts w:cstheme="minorHAnsi"/>
          <w:b/>
          <w:bCs/>
          <w:sz w:val="22"/>
        </w:rPr>
        <w:t>.</w:t>
      </w:r>
      <w:r w:rsidRPr="00F95D6B">
        <w:rPr>
          <w:rFonts w:cstheme="minorHAnsi"/>
          <w:sz w:val="22"/>
        </w:rPr>
        <w:t xml:space="preserve"> </w:t>
      </w:r>
      <w:r>
        <w:rPr>
          <w:rFonts w:cstheme="minorHAnsi"/>
          <w:sz w:val="22"/>
        </w:rPr>
        <w:t>Establishing</w:t>
      </w:r>
      <w:r w:rsidRPr="00F95D6B">
        <w:rPr>
          <w:rFonts w:cstheme="minorHAnsi"/>
          <w:sz w:val="22"/>
        </w:rPr>
        <w:t xml:space="preserve"> a straightforward framework for the relation</w:t>
      </w:r>
      <w:r w:rsidR="003C7878">
        <w:rPr>
          <w:rFonts w:cstheme="minorHAnsi"/>
          <w:sz w:val="22"/>
        </w:rPr>
        <w:t>ship</w:t>
      </w:r>
      <w:r w:rsidRPr="00F95D6B">
        <w:rPr>
          <w:rFonts w:cstheme="minorHAnsi"/>
          <w:sz w:val="22"/>
        </w:rPr>
        <w:t xml:space="preserve"> with all stakeholders at the early stages of the project could have minimized conflicts especially with </w:t>
      </w:r>
      <w:r>
        <w:rPr>
          <w:rFonts w:cstheme="minorHAnsi"/>
          <w:sz w:val="22"/>
        </w:rPr>
        <w:t xml:space="preserve">the </w:t>
      </w:r>
      <w:r w:rsidRPr="00F95D6B">
        <w:rPr>
          <w:rFonts w:cstheme="minorHAnsi"/>
          <w:sz w:val="22"/>
        </w:rPr>
        <w:t>PWA. Having clear cooperation mechanisms with other stakeholders is important for a comprehensive understanding of the water sector status; this include</w:t>
      </w:r>
      <w:r w:rsidR="003C7878">
        <w:rPr>
          <w:rFonts w:cstheme="minorHAnsi"/>
          <w:sz w:val="22"/>
        </w:rPr>
        <w:t>s</w:t>
      </w:r>
      <w:r w:rsidRPr="00F95D6B">
        <w:rPr>
          <w:rFonts w:cstheme="minorHAnsi"/>
          <w:sz w:val="22"/>
        </w:rPr>
        <w:t xml:space="preserve"> </w:t>
      </w:r>
      <w:r>
        <w:rPr>
          <w:rFonts w:cstheme="minorHAnsi"/>
          <w:sz w:val="22"/>
        </w:rPr>
        <w:t xml:space="preserve">the </w:t>
      </w:r>
      <w:r w:rsidRPr="00F95D6B">
        <w:rPr>
          <w:rFonts w:cstheme="minorHAnsi"/>
          <w:sz w:val="22"/>
        </w:rPr>
        <w:t>PC</w:t>
      </w:r>
      <w:r w:rsidR="009F2D04">
        <w:rPr>
          <w:rFonts w:cstheme="minorHAnsi"/>
          <w:sz w:val="22"/>
        </w:rPr>
        <w:t>B</w:t>
      </w:r>
      <w:r w:rsidRPr="00F95D6B">
        <w:rPr>
          <w:rFonts w:cstheme="minorHAnsi"/>
          <w:sz w:val="22"/>
        </w:rPr>
        <w:t xml:space="preserve">S, </w:t>
      </w:r>
      <w:r>
        <w:rPr>
          <w:rFonts w:cstheme="minorHAnsi"/>
          <w:sz w:val="22"/>
        </w:rPr>
        <w:t>Ministry of Local Governments (</w:t>
      </w:r>
      <w:r w:rsidRPr="00F95D6B">
        <w:rPr>
          <w:rFonts w:cstheme="minorHAnsi"/>
          <w:sz w:val="22"/>
        </w:rPr>
        <w:t>MOLG</w:t>
      </w:r>
      <w:r>
        <w:rPr>
          <w:rFonts w:cstheme="minorHAnsi"/>
          <w:sz w:val="22"/>
        </w:rPr>
        <w:t>)</w:t>
      </w:r>
      <w:r w:rsidRPr="00F95D6B">
        <w:rPr>
          <w:rFonts w:cstheme="minorHAnsi"/>
          <w:sz w:val="22"/>
        </w:rPr>
        <w:t xml:space="preserve">, </w:t>
      </w:r>
      <w:r>
        <w:rPr>
          <w:rFonts w:cstheme="minorHAnsi"/>
          <w:sz w:val="22"/>
        </w:rPr>
        <w:t>Ministry of Health (</w:t>
      </w:r>
      <w:r w:rsidRPr="00F95D6B">
        <w:rPr>
          <w:rFonts w:cstheme="minorHAnsi"/>
          <w:sz w:val="22"/>
        </w:rPr>
        <w:t>MOH</w:t>
      </w:r>
      <w:r>
        <w:rPr>
          <w:rFonts w:cstheme="minorHAnsi"/>
          <w:sz w:val="22"/>
        </w:rPr>
        <w:t>)</w:t>
      </w:r>
      <w:r w:rsidRPr="00F95D6B">
        <w:rPr>
          <w:rFonts w:cstheme="minorHAnsi"/>
          <w:sz w:val="22"/>
        </w:rPr>
        <w:t xml:space="preserve">, </w:t>
      </w:r>
      <w:r>
        <w:rPr>
          <w:rFonts w:cstheme="minorHAnsi"/>
          <w:sz w:val="22"/>
        </w:rPr>
        <w:t>Ministry of Agriculture (</w:t>
      </w:r>
      <w:r w:rsidRPr="00F95D6B">
        <w:rPr>
          <w:rFonts w:cstheme="minorHAnsi"/>
          <w:sz w:val="22"/>
        </w:rPr>
        <w:t>MOA</w:t>
      </w:r>
      <w:r>
        <w:rPr>
          <w:rFonts w:cstheme="minorHAnsi"/>
          <w:sz w:val="22"/>
        </w:rPr>
        <w:t>),</w:t>
      </w:r>
      <w:r w:rsidRPr="00F95D6B">
        <w:rPr>
          <w:rFonts w:cstheme="minorHAnsi"/>
          <w:sz w:val="22"/>
        </w:rPr>
        <w:t xml:space="preserve"> and </w:t>
      </w:r>
      <w:r>
        <w:rPr>
          <w:rFonts w:cstheme="minorHAnsi"/>
          <w:sz w:val="22"/>
        </w:rPr>
        <w:t>Environmental Quality Authority (</w:t>
      </w:r>
      <w:r w:rsidRPr="00F95D6B">
        <w:rPr>
          <w:rFonts w:cstheme="minorHAnsi"/>
          <w:sz w:val="22"/>
        </w:rPr>
        <w:t>EQA</w:t>
      </w:r>
      <w:r>
        <w:rPr>
          <w:rFonts w:cstheme="minorHAnsi"/>
          <w:sz w:val="22"/>
        </w:rPr>
        <w:t>)</w:t>
      </w:r>
      <w:r w:rsidRPr="00F95D6B">
        <w:rPr>
          <w:rFonts w:cstheme="minorHAnsi"/>
          <w:sz w:val="22"/>
        </w:rPr>
        <w:t>.</w:t>
      </w:r>
    </w:p>
    <w:p w:rsidR="00621DDC" w:rsidRPr="00F95D6B" w:rsidRDefault="00B578E1" w:rsidP="00A63A6F">
      <w:pPr>
        <w:pStyle w:val="Normal0"/>
        <w:numPr>
          <w:ilvl w:val="0"/>
          <w:numId w:val="10"/>
        </w:numPr>
        <w:spacing w:after="240" w:line="240" w:lineRule="auto"/>
        <w:ind w:left="1195" w:hanging="475"/>
        <w:jc w:val="both"/>
        <w:rPr>
          <w:rFonts w:cstheme="minorHAnsi"/>
          <w:sz w:val="22"/>
        </w:rPr>
      </w:pPr>
      <w:r w:rsidRPr="00F95D6B">
        <w:rPr>
          <w:rFonts w:cstheme="minorHAnsi"/>
          <w:b/>
          <w:bCs/>
          <w:sz w:val="22"/>
        </w:rPr>
        <w:t xml:space="preserve">Key change agents to support the reform and the establishment of an autonomous regulator (in </w:t>
      </w:r>
      <w:r w:rsidR="003C7878">
        <w:rPr>
          <w:rFonts w:cstheme="minorHAnsi"/>
          <w:b/>
          <w:bCs/>
          <w:sz w:val="22"/>
        </w:rPr>
        <w:t xml:space="preserve">the </w:t>
      </w:r>
      <w:r w:rsidRPr="00F95D6B">
        <w:rPr>
          <w:rFonts w:cstheme="minorHAnsi"/>
          <w:b/>
          <w:bCs/>
          <w:sz w:val="22"/>
        </w:rPr>
        <w:t>West Bank and Gaza) have to be mobilized</w:t>
      </w:r>
      <w:r w:rsidR="00326D38">
        <w:rPr>
          <w:rFonts w:cstheme="minorHAnsi"/>
          <w:b/>
          <w:bCs/>
          <w:sz w:val="22"/>
        </w:rPr>
        <w:t>.</w:t>
      </w:r>
      <w:r w:rsidR="00326D38" w:rsidRPr="00F95D6B">
        <w:rPr>
          <w:rFonts w:cstheme="minorHAnsi"/>
          <w:sz w:val="22"/>
        </w:rPr>
        <w:t xml:space="preserve"> </w:t>
      </w:r>
      <w:r w:rsidRPr="00F95D6B">
        <w:rPr>
          <w:rFonts w:cstheme="minorHAnsi"/>
          <w:sz w:val="22"/>
        </w:rPr>
        <w:t xml:space="preserve">Focus on communication through which all stakeholders understand the added value of a regulator is important at the early stages of establishment. Capacity building of WSRC staff and </w:t>
      </w:r>
      <w:r w:rsidR="003C7878">
        <w:rPr>
          <w:rFonts w:cstheme="minorHAnsi"/>
          <w:sz w:val="22"/>
        </w:rPr>
        <w:t xml:space="preserve">the board </w:t>
      </w:r>
      <w:r w:rsidRPr="00F95D6B">
        <w:rPr>
          <w:rFonts w:cstheme="minorHAnsi"/>
          <w:sz w:val="22"/>
        </w:rPr>
        <w:t>o</w:t>
      </w:r>
      <w:r w:rsidR="003C7878">
        <w:rPr>
          <w:rFonts w:cstheme="minorHAnsi"/>
          <w:sz w:val="22"/>
        </w:rPr>
        <w:t>f directors</w:t>
      </w:r>
      <w:r w:rsidRPr="00F95D6B">
        <w:rPr>
          <w:rFonts w:cstheme="minorHAnsi"/>
          <w:sz w:val="22"/>
        </w:rPr>
        <w:t xml:space="preserve"> is equally important. To start governance assessment, knowledge of the municipal councils is crucial to be able to introduce changes on working systems. Given the status of regulatory systems in other Arab countries, having an autonomous regulator was very much appreciated on several occasions and publications. </w:t>
      </w:r>
    </w:p>
    <w:p w:rsidR="00621DDC" w:rsidRPr="00F95D6B" w:rsidRDefault="00B578E1" w:rsidP="00A63A6F">
      <w:pPr>
        <w:pStyle w:val="Normal0"/>
        <w:numPr>
          <w:ilvl w:val="0"/>
          <w:numId w:val="10"/>
        </w:numPr>
        <w:spacing w:after="240" w:line="240" w:lineRule="auto"/>
        <w:ind w:left="1195" w:hanging="475"/>
        <w:jc w:val="both"/>
        <w:rPr>
          <w:sz w:val="22"/>
        </w:rPr>
        <w:sectPr w:rsidR="00621DDC" w:rsidRPr="00F95D6B" w:rsidSect="00E47747">
          <w:headerReference w:type="default" r:id="rId27"/>
          <w:footerReference w:type="even" r:id="rId28"/>
          <w:footerReference w:type="default" r:id="rId29"/>
          <w:footerReference w:type="first" r:id="rId30"/>
          <w:pgSz w:w="12240" w:h="15840"/>
          <w:pgMar w:top="1440" w:right="1440" w:bottom="1440" w:left="1440" w:header="720" w:footer="720" w:gutter="0"/>
          <w:cols w:space="720"/>
          <w:titlePg/>
        </w:sectPr>
      </w:pPr>
      <w:r w:rsidRPr="00F95D6B">
        <w:rPr>
          <w:rFonts w:cstheme="minorHAnsi"/>
          <w:b/>
          <w:bCs/>
          <w:sz w:val="22"/>
        </w:rPr>
        <w:t>Many problems in the water sector are internal</w:t>
      </w:r>
      <w:r w:rsidR="00326D38">
        <w:rPr>
          <w:rFonts w:cstheme="minorHAnsi"/>
          <w:b/>
          <w:bCs/>
          <w:sz w:val="22"/>
        </w:rPr>
        <w:t>.</w:t>
      </w:r>
      <w:r w:rsidRPr="00F95D6B">
        <w:rPr>
          <w:rFonts w:cstheme="minorHAnsi"/>
          <w:sz w:val="22"/>
        </w:rPr>
        <w:t xml:space="preserve"> Looking into current water sector problems in </w:t>
      </w:r>
      <w:r w:rsidR="003C7878">
        <w:rPr>
          <w:rFonts w:cstheme="minorHAnsi"/>
          <w:sz w:val="22"/>
        </w:rPr>
        <w:t xml:space="preserve">the </w:t>
      </w:r>
      <w:r w:rsidRPr="00F95D6B">
        <w:rPr>
          <w:rFonts w:cstheme="minorHAnsi"/>
          <w:sz w:val="22"/>
        </w:rPr>
        <w:t>West Bank and Gaza, not all of them are related to Israeli control of the groundwater resources. Some are related to internal financial, institutional</w:t>
      </w:r>
      <w:r>
        <w:rPr>
          <w:rFonts w:cstheme="minorHAnsi"/>
          <w:sz w:val="22"/>
        </w:rPr>
        <w:t>,</w:t>
      </w:r>
      <w:r w:rsidRPr="00F95D6B">
        <w:rPr>
          <w:rFonts w:cstheme="minorHAnsi"/>
          <w:sz w:val="22"/>
        </w:rPr>
        <w:t xml:space="preserve"> or technical shortcomings. </w:t>
      </w:r>
      <w:r w:rsidRPr="00F95D6B">
        <w:rPr>
          <w:rFonts w:cstheme="minorHAnsi"/>
          <w:sz w:val="22"/>
        </w:rPr>
        <w:lastRenderedPageBreak/>
        <w:t xml:space="preserve">Strategies to address them should be based on verified data and </w:t>
      </w:r>
      <w:r>
        <w:rPr>
          <w:rFonts w:cstheme="minorHAnsi"/>
          <w:sz w:val="22"/>
        </w:rPr>
        <w:t xml:space="preserve">the </w:t>
      </w:r>
      <w:r w:rsidRPr="00F95D6B">
        <w:rPr>
          <w:rFonts w:cstheme="minorHAnsi"/>
          <w:sz w:val="22"/>
        </w:rPr>
        <w:t>WSRC’s annual performance reports rather than a shopping list prepared by SP. The WSRC is fostering performance-based investment together with other key stakeholders.</w:t>
      </w:r>
      <w:bookmarkStart w:id="157" w:name="_Toc5109697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9360"/>
      </w:tblGrid>
      <w:tr w:rsidR="0006032A" w:rsidTr="00D15C63">
        <w:trPr>
          <w:trHeight w:val="432"/>
        </w:trPr>
        <w:tc>
          <w:tcPr>
            <w:tcW w:w="5000" w:type="pct"/>
            <w:shd w:val="clear" w:color="auto" w:fill="F2F7FC"/>
            <w:vAlign w:val="center"/>
          </w:tcPr>
          <w:p w:rsidR="00621DDC" w:rsidRPr="00F95D6B" w:rsidRDefault="00B578E1" w:rsidP="00D15C63">
            <w:pPr>
              <w:pStyle w:val="NoSpacing"/>
              <w:jc w:val="center"/>
              <w:outlineLvl w:val="0"/>
              <w:rPr>
                <w:rFonts w:asciiTheme="minorHAnsi" w:hAnsiTheme="minorHAnsi"/>
                <w:b/>
                <w:sz w:val="22"/>
                <w:szCs w:val="22"/>
              </w:rPr>
            </w:pPr>
            <w:bookmarkStart w:id="158" w:name="_Toc516132516"/>
            <w:bookmarkEnd w:id="157"/>
            <w:r w:rsidRPr="00F95D6B">
              <w:rPr>
                <w:rFonts w:asciiTheme="minorHAnsi" w:hAnsiTheme="minorHAnsi"/>
                <w:b/>
                <w:color w:val="000000" w:themeColor="text1"/>
                <w:sz w:val="22"/>
                <w:szCs w:val="22"/>
              </w:rPr>
              <w:lastRenderedPageBreak/>
              <w:t xml:space="preserve">ANNEX 7. </w:t>
            </w:r>
            <w:r w:rsidR="004D3D71" w:rsidRPr="004D3D71">
              <w:rPr>
                <w:rFonts w:asciiTheme="minorHAnsi" w:hAnsiTheme="minorHAnsi"/>
                <w:b/>
                <w:color w:val="000000" w:themeColor="text1"/>
                <w:sz w:val="22"/>
                <w:szCs w:val="22"/>
              </w:rPr>
              <w:t>CLIENT ICR REPORT</w:t>
            </w:r>
            <w:r w:rsidR="004D3D71" w:rsidRPr="00F95D6B">
              <w:rPr>
                <w:rFonts w:asciiTheme="minorHAnsi" w:hAnsiTheme="minorHAnsi"/>
                <w:b/>
                <w:color w:val="000000" w:themeColor="text1"/>
                <w:sz w:val="22"/>
                <w:szCs w:val="22"/>
              </w:rPr>
              <w:t xml:space="preserve"> -</w:t>
            </w:r>
            <w:r w:rsidR="004D3D71">
              <w:rPr>
                <w:rFonts w:asciiTheme="minorHAnsi" w:hAnsiTheme="minorHAnsi"/>
                <w:b/>
                <w:color w:val="000000" w:themeColor="text1"/>
                <w:sz w:val="22"/>
                <w:szCs w:val="22"/>
              </w:rPr>
              <w:t xml:space="preserve"> </w:t>
            </w:r>
            <w:r w:rsidR="004D3D71" w:rsidRPr="00F95D6B">
              <w:rPr>
                <w:rFonts w:asciiTheme="minorHAnsi" w:hAnsiTheme="minorHAnsi"/>
                <w:b/>
                <w:color w:val="000000" w:themeColor="text1"/>
                <w:sz w:val="22"/>
                <w:szCs w:val="22"/>
              </w:rPr>
              <w:t>PALESTINIAN WATER AUTHORITY</w:t>
            </w:r>
            <w:bookmarkEnd w:id="158"/>
          </w:p>
        </w:tc>
      </w:tr>
    </w:tbl>
    <w:p w:rsidR="00621DDC" w:rsidRPr="003C7878" w:rsidRDefault="00B578E1" w:rsidP="000A58C5">
      <w:pPr>
        <w:spacing w:before="240" w:after="240" w:line="240" w:lineRule="auto"/>
        <w:jc w:val="both"/>
        <w:rPr>
          <w:rFonts w:asciiTheme="minorHAnsi" w:hAnsiTheme="minorHAnsi"/>
          <w:b/>
          <w:sz w:val="22"/>
          <w:szCs w:val="22"/>
        </w:rPr>
      </w:pPr>
      <w:r w:rsidRPr="003C7878">
        <w:rPr>
          <w:rFonts w:asciiTheme="minorHAnsi" w:hAnsiTheme="minorHAnsi"/>
          <w:b/>
          <w:sz w:val="22"/>
          <w:szCs w:val="22"/>
        </w:rPr>
        <w:t xml:space="preserve">Assessment of </w:t>
      </w:r>
      <w:r>
        <w:rPr>
          <w:rFonts w:asciiTheme="minorHAnsi" w:hAnsiTheme="minorHAnsi"/>
          <w:b/>
          <w:sz w:val="22"/>
          <w:szCs w:val="22"/>
        </w:rPr>
        <w:t>O</w:t>
      </w:r>
      <w:r w:rsidRPr="003C7878">
        <w:rPr>
          <w:rFonts w:asciiTheme="minorHAnsi" w:hAnsiTheme="minorHAnsi"/>
          <w:b/>
          <w:sz w:val="22"/>
          <w:szCs w:val="22"/>
        </w:rPr>
        <w:t>utcomes</w:t>
      </w:r>
    </w:p>
    <w:p w:rsidR="00621DDC" w:rsidRPr="00F95D6B" w:rsidRDefault="00B578E1" w:rsidP="00A63A6F">
      <w:pPr>
        <w:pStyle w:val="Normal19"/>
        <w:numPr>
          <w:ilvl w:val="0"/>
          <w:numId w:val="19"/>
        </w:numPr>
        <w:spacing w:after="240" w:line="240" w:lineRule="auto"/>
        <w:ind w:left="0" w:firstLine="0"/>
        <w:jc w:val="both"/>
      </w:pPr>
      <w:r w:rsidRPr="00574968">
        <w:rPr>
          <w:b/>
        </w:rPr>
        <w:t>Relevan</w:t>
      </w:r>
      <w:r w:rsidRPr="00F95D6B">
        <w:rPr>
          <w:b/>
        </w:rPr>
        <w:t>ce of objectives</w:t>
      </w:r>
      <w:r w:rsidR="00574968">
        <w:rPr>
          <w:b/>
        </w:rPr>
        <w:t>.</w:t>
      </w:r>
      <w:r w:rsidRPr="00F95D6B">
        <w:t xml:space="preserve"> The objectives of the program were deemed relevant to the PA priorities where the </w:t>
      </w:r>
      <w:r w:rsidR="00AE45BD">
        <w:t>CoM</w:t>
      </w:r>
      <w:r w:rsidRPr="00F95D6B">
        <w:t xml:space="preserve"> of the Palestinian National Authority in 2009 endorsed an </w:t>
      </w:r>
      <w:r>
        <w:t>‘</w:t>
      </w:r>
      <w:r w:rsidRPr="00F95D6B">
        <w:t>Action Plan for Reform</w:t>
      </w:r>
      <w:r>
        <w:t>’</w:t>
      </w:r>
      <w:r w:rsidRPr="00F95D6B">
        <w:t xml:space="preserve"> toward the definition and implementation of a comprehensive </w:t>
      </w:r>
      <w:r w:rsidRPr="00E80BA7">
        <w:t>program</w:t>
      </w:r>
      <w:r w:rsidRPr="00F95D6B">
        <w:t xml:space="preserve"> of institutional and legislative reform in the Palestinian water sector. As the central body in the sector, the </w:t>
      </w:r>
      <w:r w:rsidRPr="00E80BA7">
        <w:t>PWA</w:t>
      </w:r>
      <w:r w:rsidRPr="00F95D6B">
        <w:t xml:space="preserve"> has the mandate to lead the reform process. The overall reform included the reorganization of the water sector and the institutions within, capacity building, and the revision of strategies and policies. The </w:t>
      </w:r>
      <w:r>
        <w:t>c</w:t>
      </w:r>
      <w:r w:rsidRPr="00F95D6B">
        <w:t>apacity</w:t>
      </w:r>
      <w:r>
        <w:t>-b</w:t>
      </w:r>
      <w:r w:rsidRPr="00F95D6B">
        <w:t xml:space="preserve">uilding program aimed to provide technical assistance and capacity building during the transition period, in an effort to assist in the implementation of the reform, serving as a stopgap for capacity during the transition period, and ultimately building capacity within the PWA. </w:t>
      </w:r>
    </w:p>
    <w:p w:rsidR="00621DDC" w:rsidRPr="00F95D6B" w:rsidRDefault="00B578E1" w:rsidP="00A63A6F">
      <w:pPr>
        <w:pStyle w:val="Normal19"/>
        <w:numPr>
          <w:ilvl w:val="0"/>
          <w:numId w:val="19"/>
        </w:numPr>
        <w:spacing w:after="240" w:line="240" w:lineRule="auto"/>
        <w:ind w:left="0" w:firstLine="0"/>
        <w:jc w:val="both"/>
      </w:pPr>
      <w:r w:rsidRPr="00F95D6B">
        <w:t xml:space="preserve"> </w:t>
      </w:r>
      <w:r w:rsidRPr="00F95D6B">
        <w:rPr>
          <w:b/>
        </w:rPr>
        <w:t>Relevance of design and implementation</w:t>
      </w:r>
      <w:r w:rsidR="00740C8A">
        <w:t>.</w:t>
      </w:r>
      <w:r w:rsidRPr="00F95D6B">
        <w:t xml:space="preserve"> The planned activities are strongly aligned with the PDO and the outcome and intermediate outcome indicators. The different components were designed to address key issues of the sector reform.</w:t>
      </w:r>
      <w:bookmarkStart w:id="159" w:name="_Toc510969735"/>
      <w:bookmarkStart w:id="160" w:name="_Toc76273"/>
      <w:r w:rsidRPr="00F95D6B">
        <w:t xml:space="preserve"> </w:t>
      </w:r>
      <w:bookmarkEnd w:id="159"/>
      <w:bookmarkEnd w:id="160"/>
      <w:r w:rsidRPr="00F95D6B">
        <w:t>The capacity</w:t>
      </w:r>
      <w:r>
        <w:t>-</w:t>
      </w:r>
      <w:r w:rsidRPr="00F95D6B">
        <w:t xml:space="preserve">building program clearly had </w:t>
      </w:r>
      <w:r w:rsidR="0056317D">
        <w:t xml:space="preserve">a </w:t>
      </w:r>
      <w:r w:rsidRPr="00F95D6B">
        <w:t xml:space="preserve">positive effect on the water sector. The program has helped in the reform of </w:t>
      </w:r>
      <w:r w:rsidR="0056317D">
        <w:t xml:space="preserve">the </w:t>
      </w:r>
      <w:r w:rsidRPr="00F95D6B">
        <w:t xml:space="preserve">water sector by </w:t>
      </w:r>
      <w:r>
        <w:t>s</w:t>
      </w:r>
      <w:r w:rsidRPr="00F95D6B">
        <w:t xml:space="preserve">upporting </w:t>
      </w:r>
      <w:r>
        <w:t xml:space="preserve">the </w:t>
      </w:r>
      <w:r w:rsidRPr="00F95D6B">
        <w:t xml:space="preserve">PWA </w:t>
      </w:r>
      <w:r w:rsidR="0056317D">
        <w:t xml:space="preserve">to </w:t>
      </w:r>
      <w:r w:rsidRPr="00F95D6B">
        <w:t xml:space="preserve">lead the </w:t>
      </w:r>
      <w:r>
        <w:t>r</w:t>
      </w:r>
      <w:r w:rsidRPr="00F95D6B">
        <w:t xml:space="preserve">eform process; </w:t>
      </w:r>
      <w:r>
        <w:t>b</w:t>
      </w:r>
      <w:r w:rsidRPr="00F95D6B">
        <w:t xml:space="preserve">uilding capacity of </w:t>
      </w:r>
      <w:r w:rsidR="00740C8A">
        <w:t xml:space="preserve">the </w:t>
      </w:r>
      <w:r w:rsidRPr="00F95D6B">
        <w:t xml:space="preserve">PWA staff; </w:t>
      </w:r>
      <w:r>
        <w:t>p</w:t>
      </w:r>
      <w:r w:rsidRPr="00F95D6B">
        <w:t xml:space="preserve">reparation of needed legislation for the water sector (policies, strategies, regulations, Guideline Strategic Plans Establishment of </w:t>
      </w:r>
      <w:r w:rsidR="00740C8A">
        <w:t xml:space="preserve">the </w:t>
      </w:r>
      <w:r w:rsidRPr="00F95D6B">
        <w:t>WSRC</w:t>
      </w:r>
      <w:r>
        <w:t>)</w:t>
      </w:r>
      <w:r w:rsidRPr="00F95D6B">
        <w:t xml:space="preserve">; </w:t>
      </w:r>
      <w:r>
        <w:t>r</w:t>
      </w:r>
      <w:r w:rsidRPr="00F95D6B">
        <w:t xml:space="preserve">ehabilitation of </w:t>
      </w:r>
      <w:r w:rsidR="0056317D">
        <w:t xml:space="preserve">the </w:t>
      </w:r>
      <w:r w:rsidR="00E80BA7" w:rsidRPr="00F318AE">
        <w:t>West Bank Water Department</w:t>
      </w:r>
      <w:r>
        <w:t>;</w:t>
      </w:r>
      <w:r w:rsidRPr="00F95D6B">
        <w:t xml:space="preserve"> and establishing the NWC. </w:t>
      </w:r>
    </w:p>
    <w:p w:rsidR="00621DDC" w:rsidRPr="0056317D" w:rsidRDefault="00B578E1" w:rsidP="00621DDC">
      <w:pPr>
        <w:pStyle w:val="Normal19"/>
        <w:spacing w:after="240" w:line="240" w:lineRule="auto"/>
        <w:jc w:val="both"/>
        <w:rPr>
          <w:b/>
        </w:rPr>
      </w:pPr>
      <w:r>
        <w:rPr>
          <w:b/>
        </w:rPr>
        <w:t xml:space="preserve">World </w:t>
      </w:r>
      <w:r w:rsidRPr="0056317D">
        <w:rPr>
          <w:b/>
        </w:rPr>
        <w:t>Bank and Borrower Performance</w:t>
      </w:r>
    </w:p>
    <w:p w:rsidR="00621DDC" w:rsidRPr="00F95D6B" w:rsidRDefault="00B578E1" w:rsidP="00A63A6F">
      <w:pPr>
        <w:pStyle w:val="Normal19"/>
        <w:numPr>
          <w:ilvl w:val="0"/>
          <w:numId w:val="19"/>
        </w:numPr>
        <w:spacing w:after="240" w:line="240" w:lineRule="auto"/>
        <w:ind w:left="0" w:firstLine="0"/>
        <w:jc w:val="both"/>
      </w:pPr>
      <w:r>
        <w:rPr>
          <w:b/>
        </w:rPr>
        <w:t xml:space="preserve">World </w:t>
      </w:r>
      <w:r w:rsidRPr="00F95D6B">
        <w:rPr>
          <w:b/>
        </w:rPr>
        <w:t>Bank performance</w:t>
      </w:r>
      <w:r>
        <w:rPr>
          <w:b/>
        </w:rPr>
        <w:t>.</w:t>
      </w:r>
      <w:r w:rsidRPr="00F95D6B">
        <w:t xml:space="preserve"> The World Bank team was continuously engaged throughout the project preparation and implementation and demonstrated good professionalism, and they provided support and follow</w:t>
      </w:r>
      <w:r>
        <w:t>-</w:t>
      </w:r>
      <w:r w:rsidRPr="00F95D6B">
        <w:t xml:space="preserve">up during the implementation of the program, and the reform process. The World Bank performance through the project implementation was satisfactory due to accumulated knowledge and commitment of the World Bank team. </w:t>
      </w:r>
    </w:p>
    <w:p w:rsidR="00621DDC" w:rsidRPr="00F95D6B" w:rsidRDefault="00B578E1" w:rsidP="00A63A6F">
      <w:pPr>
        <w:pStyle w:val="Normal19"/>
        <w:numPr>
          <w:ilvl w:val="0"/>
          <w:numId w:val="19"/>
        </w:numPr>
        <w:spacing w:after="240" w:line="240" w:lineRule="auto"/>
        <w:ind w:left="0" w:firstLine="0"/>
        <w:jc w:val="both"/>
        <w:rPr>
          <w:b/>
          <w:u w:val="single"/>
        </w:rPr>
      </w:pPr>
      <w:r w:rsidRPr="00F95D6B">
        <w:t xml:space="preserve"> </w:t>
      </w:r>
      <w:r w:rsidRPr="00F95D6B">
        <w:rPr>
          <w:b/>
        </w:rPr>
        <w:t xml:space="preserve">Quality of </w:t>
      </w:r>
      <w:r>
        <w:rPr>
          <w:b/>
        </w:rPr>
        <w:t>s</w:t>
      </w:r>
      <w:r w:rsidRPr="00F95D6B">
        <w:rPr>
          <w:b/>
        </w:rPr>
        <w:t>upervision</w:t>
      </w:r>
      <w:r>
        <w:rPr>
          <w:b/>
        </w:rPr>
        <w:t>.</w:t>
      </w:r>
      <w:r w:rsidRPr="00F95D6B">
        <w:rPr>
          <w:b/>
          <w:u w:val="single"/>
        </w:rPr>
        <w:t xml:space="preserve"> </w:t>
      </w:r>
      <w:r w:rsidRPr="00F95D6B">
        <w:t>The main strength of the supervision is the proactive supervision team of the World Bank that ha</w:t>
      </w:r>
      <w:r w:rsidR="0056317D">
        <w:t>s</w:t>
      </w:r>
      <w:r w:rsidRPr="00F95D6B">
        <w:t xml:space="preserve"> substantive integrated experience in water sector reforms and institutional development. The World Bank team has provided the WSRC team with continuous leadership and guidance at the early implementation stages. This has included technical, financial</w:t>
      </w:r>
      <w:r>
        <w:t>,</w:t>
      </w:r>
      <w:r w:rsidRPr="00F95D6B">
        <w:t xml:space="preserve"> and procurement guidance. This was provided by the </w:t>
      </w:r>
      <w:r>
        <w:t>TTL</w:t>
      </w:r>
      <w:r w:rsidRPr="00F95D6B">
        <w:t xml:space="preserve"> who was highly skilled and strongly motivated to achieve the </w:t>
      </w:r>
      <w:r>
        <w:t>p</w:t>
      </w:r>
      <w:r w:rsidRPr="00F95D6B">
        <w:t xml:space="preserve">roject outcomes and supported the WSRC team in addressing implementation issues as well as in improving dialogue between main sector stakeholders (WSRC and PWA). For the WSRC, there was no TTL change in the entire duration of the project. This stability in leadership helped cement strong relationships between the WSRC team and the World Bank team. The strong relationship was evident in the rich discussions about the </w:t>
      </w:r>
      <w:r>
        <w:t>p</w:t>
      </w:r>
      <w:r w:rsidRPr="00F95D6B">
        <w:t xml:space="preserve">roject activities and outcomes. </w:t>
      </w:r>
    </w:p>
    <w:p w:rsidR="00621DDC" w:rsidRPr="00F95D6B" w:rsidRDefault="00B578E1" w:rsidP="00A63A6F">
      <w:pPr>
        <w:pStyle w:val="Normal19"/>
        <w:numPr>
          <w:ilvl w:val="0"/>
          <w:numId w:val="19"/>
        </w:numPr>
        <w:spacing w:after="240" w:line="240" w:lineRule="auto"/>
        <w:ind w:left="0" w:firstLine="0"/>
        <w:jc w:val="both"/>
        <w:rPr>
          <w:b/>
          <w:u w:val="single"/>
        </w:rPr>
      </w:pPr>
      <w:r w:rsidRPr="00F95D6B">
        <w:rPr>
          <w:b/>
        </w:rPr>
        <w:t xml:space="preserve">Borrower </w:t>
      </w:r>
      <w:r>
        <w:rPr>
          <w:b/>
        </w:rPr>
        <w:t>p</w:t>
      </w:r>
      <w:r w:rsidRPr="00F95D6B">
        <w:rPr>
          <w:b/>
        </w:rPr>
        <w:t>erformance</w:t>
      </w:r>
      <w:r>
        <w:rPr>
          <w:b/>
        </w:rPr>
        <w:t>.</w:t>
      </w:r>
      <w:r w:rsidRPr="0056317D">
        <w:rPr>
          <w:u w:val="single"/>
        </w:rPr>
        <w:t xml:space="preserve"> The </w:t>
      </w:r>
      <w:r w:rsidRPr="00F95D6B">
        <w:t xml:space="preserve">PWA took strong leadership in </w:t>
      </w:r>
      <w:r>
        <w:t xml:space="preserve">the </w:t>
      </w:r>
      <w:r w:rsidRPr="00F95D6B">
        <w:t xml:space="preserve">reform process, accelerating the development process of water sector institutions (internal reform of </w:t>
      </w:r>
      <w:r>
        <w:t xml:space="preserve">the </w:t>
      </w:r>
      <w:r w:rsidRPr="00F95D6B">
        <w:t xml:space="preserve">PWA, external for the establishment of RWUs and </w:t>
      </w:r>
      <w:r w:rsidR="0056317D">
        <w:t xml:space="preserve">the </w:t>
      </w:r>
      <w:r w:rsidRPr="00F95D6B">
        <w:t xml:space="preserve">NWC), which </w:t>
      </w:r>
      <w:r>
        <w:t>required</w:t>
      </w:r>
      <w:r w:rsidRPr="00F95D6B">
        <w:t xml:space="preserve"> enormous efforts. Looking back at </w:t>
      </w:r>
      <w:r>
        <w:t xml:space="preserve">the </w:t>
      </w:r>
      <w:r w:rsidRPr="00F95D6B">
        <w:t xml:space="preserve">status of </w:t>
      </w:r>
      <w:r>
        <w:t xml:space="preserve">the </w:t>
      </w:r>
      <w:r w:rsidRPr="00F95D6B">
        <w:t xml:space="preserve">PWA before the reform and now, the progress and improvements are </w:t>
      </w:r>
      <w:r w:rsidR="0056317D">
        <w:t>clearly visible</w:t>
      </w:r>
      <w:r w:rsidRPr="00F95D6B">
        <w:t xml:space="preserve">. The performance of WSRC staff was efficient and effective in terms of achieving the PDOs and the intermediate outcome indicators and to work around the various severe challenges in the implementation of the developed </w:t>
      </w:r>
      <w:r w:rsidRPr="00F95D6B">
        <w:lastRenderedPageBreak/>
        <w:t>regulatory regime. Given the project financial, and staff number limitations, the amount of work they had to do, required intensive internal coordination, strong knowledge</w:t>
      </w:r>
      <w:r>
        <w:t>,</w:t>
      </w:r>
      <w:r w:rsidRPr="00F95D6B">
        <w:t xml:space="preserve"> and work commitment. </w:t>
      </w:r>
    </w:p>
    <w:p w:rsidR="00621DDC" w:rsidRPr="0056317D" w:rsidRDefault="00B578E1" w:rsidP="00621DDC">
      <w:pPr>
        <w:pStyle w:val="Normal19"/>
        <w:spacing w:after="240" w:line="240" w:lineRule="auto"/>
        <w:jc w:val="both"/>
        <w:rPr>
          <w:b/>
        </w:rPr>
      </w:pPr>
      <w:r w:rsidRPr="0056317D">
        <w:rPr>
          <w:b/>
        </w:rPr>
        <w:t xml:space="preserve">Lessons Learned </w:t>
      </w:r>
    </w:p>
    <w:p w:rsidR="00621DDC" w:rsidRPr="00F95D6B" w:rsidRDefault="00B578E1" w:rsidP="00A63A6F">
      <w:pPr>
        <w:pStyle w:val="Normal19"/>
        <w:numPr>
          <w:ilvl w:val="0"/>
          <w:numId w:val="19"/>
        </w:numPr>
        <w:spacing w:after="240" w:line="240" w:lineRule="auto"/>
        <w:ind w:left="0" w:firstLine="0"/>
        <w:jc w:val="both"/>
      </w:pPr>
      <w:r>
        <w:t>A</w:t>
      </w:r>
      <w:r w:rsidRPr="00F95D6B">
        <w:t xml:space="preserve"> holistic approach in project design and implementation, as well as strong coordination between stakeholders and donors is essential for successful implementation. </w:t>
      </w:r>
      <w:r>
        <w:t>C</w:t>
      </w:r>
      <w:r w:rsidRPr="00F95D6B">
        <w:t xml:space="preserve">apacity building was one of several </w:t>
      </w:r>
      <w:r w:rsidR="0056317D">
        <w:t>programs</w:t>
      </w:r>
      <w:r w:rsidR="0056317D" w:rsidRPr="00F95D6B">
        <w:t xml:space="preserve"> </w:t>
      </w:r>
      <w:r w:rsidRPr="00F95D6B">
        <w:t xml:space="preserve">complementary to the reform, and it played an important role in keeping the process of reform running. </w:t>
      </w:r>
    </w:p>
    <w:p w:rsidR="00621DDC" w:rsidRPr="00F95D6B" w:rsidRDefault="00B578E1" w:rsidP="00A63A6F">
      <w:pPr>
        <w:pStyle w:val="Normal19"/>
        <w:numPr>
          <w:ilvl w:val="0"/>
          <w:numId w:val="19"/>
        </w:numPr>
        <w:spacing w:after="240" w:line="240" w:lineRule="auto"/>
        <w:ind w:left="0" w:firstLine="0"/>
        <w:jc w:val="both"/>
      </w:pPr>
      <w:r>
        <w:t>The p</w:t>
      </w:r>
      <w:r w:rsidRPr="00F95D6B">
        <w:t xml:space="preserve">roject objective should be closely tailored to the capacity of the </w:t>
      </w:r>
      <w:r>
        <w:t>G</w:t>
      </w:r>
      <w:r w:rsidRPr="00F95D6B">
        <w:t xml:space="preserve">overnment and related agencies to implement the project to the conditions of </w:t>
      </w:r>
      <w:r w:rsidR="0056317D">
        <w:t xml:space="preserve">the </w:t>
      </w:r>
      <w:r w:rsidRPr="00F95D6B">
        <w:t xml:space="preserve">enabling environment existing at the time of project preparation. One of the challenges that the program faced at the beginning is the absorption capacity to the support </w:t>
      </w:r>
      <w:r w:rsidR="0056317D">
        <w:t xml:space="preserve">provided </w:t>
      </w:r>
      <w:r w:rsidRPr="00F95D6B">
        <w:t xml:space="preserve">through the TPAT project. As the </w:t>
      </w:r>
      <w:r>
        <w:t>W</w:t>
      </w:r>
      <w:r w:rsidRPr="00F95D6B">
        <w:t xml:space="preserve">ater </w:t>
      </w:r>
      <w:r>
        <w:t>L</w:t>
      </w:r>
      <w:r w:rsidRPr="00F95D6B">
        <w:t xml:space="preserve">aw was endorsed, the provided support became a request and requirement to strengthen </w:t>
      </w:r>
      <w:r>
        <w:t xml:space="preserve">the </w:t>
      </w:r>
      <w:r w:rsidRPr="00F95D6B">
        <w:t xml:space="preserve">PWA internally and provide needed support to lead the reform process. </w:t>
      </w:r>
    </w:p>
    <w:p w:rsidR="00621DDC" w:rsidRPr="00F95D6B" w:rsidRDefault="00B578E1" w:rsidP="00A63A6F">
      <w:pPr>
        <w:pStyle w:val="Normal19"/>
        <w:numPr>
          <w:ilvl w:val="0"/>
          <w:numId w:val="19"/>
        </w:numPr>
        <w:spacing w:after="240" w:line="240" w:lineRule="auto"/>
        <w:ind w:left="0" w:firstLine="0"/>
        <w:jc w:val="both"/>
      </w:pPr>
      <w:r w:rsidRPr="00F95D6B">
        <w:t xml:space="preserve">Political willingness and commitment is the key factor for the success and sustainability of the reform process plans. Furthermore, strong leadership is an important factor for successful reform of the water sector. </w:t>
      </w:r>
    </w:p>
    <w:p w:rsidR="00621DDC" w:rsidRPr="00F95D6B" w:rsidRDefault="00B578E1" w:rsidP="00621DDC">
      <w:pPr>
        <w:pStyle w:val="Normal19"/>
        <w:spacing w:after="240" w:line="240" w:lineRule="auto"/>
        <w:jc w:val="both"/>
      </w:pPr>
      <w:r>
        <w:t>The c</w:t>
      </w:r>
      <w:r w:rsidRPr="00F95D6B">
        <w:t>oncept of change face</w:t>
      </w:r>
      <w:r w:rsidR="0056317D">
        <w:t>d</w:t>
      </w:r>
      <w:r w:rsidRPr="00F95D6B">
        <w:t xml:space="preserve"> lots of resistance from staff within </w:t>
      </w:r>
      <w:r>
        <w:t xml:space="preserve">the </w:t>
      </w:r>
      <w:r w:rsidRPr="00F95D6B">
        <w:t xml:space="preserve">PWA and some stakeholders. However, the reform has imposed facts on the ground that have led to more responsiveness and cooperation from all parties. </w:t>
      </w:r>
    </w:p>
    <w:p w:rsidR="00621DDC" w:rsidRPr="00F95D6B" w:rsidRDefault="00B578E1" w:rsidP="00A63A6F">
      <w:pPr>
        <w:pStyle w:val="Normal19"/>
        <w:numPr>
          <w:ilvl w:val="0"/>
          <w:numId w:val="19"/>
        </w:numPr>
        <w:spacing w:after="240" w:line="240" w:lineRule="auto"/>
        <w:ind w:left="0" w:firstLine="0"/>
        <w:jc w:val="both"/>
      </w:pPr>
      <w:r w:rsidRPr="0056317D">
        <w:rPr>
          <w:b/>
        </w:rPr>
        <w:t>Importance of having consensus with all relevant stakeholders.</w:t>
      </w:r>
      <w:r w:rsidRPr="00F95D6B">
        <w:t xml:space="preserve"> Within the reform, </w:t>
      </w:r>
      <w:r>
        <w:t xml:space="preserve">the </w:t>
      </w:r>
      <w:r w:rsidRPr="00F95D6B">
        <w:t>PWA engage</w:t>
      </w:r>
      <w:r w:rsidR="0056317D">
        <w:t>s</w:t>
      </w:r>
      <w:r w:rsidRPr="00F95D6B">
        <w:t xml:space="preserve"> stakeholders at different stages and for different </w:t>
      </w:r>
      <w:r w:rsidRPr="00574968">
        <w:t>purposes:</w:t>
      </w:r>
      <w:r w:rsidRPr="00F95D6B">
        <w:t xml:space="preserve"> </w:t>
      </w:r>
    </w:p>
    <w:p w:rsidR="00621DDC" w:rsidRPr="00F95D6B" w:rsidRDefault="00B578E1" w:rsidP="00A63A6F">
      <w:pPr>
        <w:pStyle w:val="Normal19"/>
        <w:numPr>
          <w:ilvl w:val="0"/>
          <w:numId w:val="17"/>
        </w:numPr>
        <w:spacing w:after="240" w:line="240" w:lineRule="auto"/>
        <w:ind w:left="1195" w:hanging="475"/>
        <w:jc w:val="both"/>
      </w:pPr>
      <w:r w:rsidRPr="00F95D6B">
        <w:t xml:space="preserve">For every significant outcome within the reform process (policies, strategies, strategic plans, plans, </w:t>
      </w:r>
      <w:r>
        <w:t>and so on</w:t>
      </w:r>
      <w:r w:rsidRPr="00F95D6B">
        <w:t xml:space="preserve">), </w:t>
      </w:r>
      <w:r>
        <w:t xml:space="preserve">the </w:t>
      </w:r>
      <w:r w:rsidRPr="00F95D6B">
        <w:t xml:space="preserve">PWA assures to hold interactive workshops and meetings with all involved agencies and institutions to discuss the outcomes and the ongoing plans and </w:t>
      </w:r>
      <w:r w:rsidR="0056317D">
        <w:t>receive</w:t>
      </w:r>
      <w:r w:rsidR="0056317D" w:rsidRPr="00F95D6B">
        <w:t xml:space="preserve"> </w:t>
      </w:r>
      <w:r w:rsidRPr="00F95D6B">
        <w:t xml:space="preserve">feedback. </w:t>
      </w:r>
    </w:p>
    <w:p w:rsidR="00621DDC" w:rsidRPr="00F95D6B" w:rsidRDefault="00B578E1" w:rsidP="00A63A6F">
      <w:pPr>
        <w:pStyle w:val="Normal19"/>
        <w:numPr>
          <w:ilvl w:val="0"/>
          <w:numId w:val="17"/>
        </w:numPr>
        <w:spacing w:after="240" w:line="240" w:lineRule="auto"/>
        <w:ind w:left="1195" w:hanging="475"/>
        <w:jc w:val="both"/>
      </w:pPr>
      <w:r w:rsidRPr="00F95D6B">
        <w:t xml:space="preserve">Developing </w:t>
      </w:r>
      <w:r>
        <w:t>t</w:t>
      </w:r>
      <w:r w:rsidRPr="00F95D6B">
        <w:t xml:space="preserve">ask </w:t>
      </w:r>
      <w:r>
        <w:t>f</w:t>
      </w:r>
      <w:r w:rsidRPr="00F95D6B">
        <w:t xml:space="preserve">orce teams to develop certain activities from different relevant institutions, for example </w:t>
      </w:r>
      <w:r>
        <w:t>‘</w:t>
      </w:r>
      <w:r w:rsidRPr="00F95D6B">
        <w:t>the sector reform plan document</w:t>
      </w:r>
      <w:r>
        <w:t>’</w:t>
      </w:r>
      <w:r w:rsidRPr="00F95D6B">
        <w:t xml:space="preserve"> was developed by </w:t>
      </w:r>
      <w:r>
        <w:t xml:space="preserve">the </w:t>
      </w:r>
      <w:r w:rsidRPr="00F95D6B">
        <w:t>task force team comprising representatives from</w:t>
      </w:r>
      <w:r>
        <w:t xml:space="preserve"> the</w:t>
      </w:r>
      <w:r w:rsidRPr="00F95D6B">
        <w:t xml:space="preserve"> PWA, EQ, M</w:t>
      </w:r>
      <w:r>
        <w:t>O</w:t>
      </w:r>
      <w:r w:rsidRPr="00F95D6B">
        <w:t xml:space="preserve">A, </w:t>
      </w:r>
      <w:r>
        <w:t>c</w:t>
      </w:r>
      <w:r w:rsidRPr="00F95D6B">
        <w:t>ivil society, donor</w:t>
      </w:r>
      <w:r>
        <w:t>s</w:t>
      </w:r>
      <w:r w:rsidRPr="00F95D6B">
        <w:t>, M</w:t>
      </w:r>
      <w:r w:rsidR="0029735F">
        <w:t>inistry of Finance and Planning</w:t>
      </w:r>
      <w:r w:rsidRPr="00F95D6B">
        <w:t>,</w:t>
      </w:r>
      <w:r>
        <w:t xml:space="preserve"> </w:t>
      </w:r>
    </w:p>
    <w:p w:rsidR="00621DDC" w:rsidRPr="00F95D6B" w:rsidRDefault="00B578E1" w:rsidP="00A63A6F">
      <w:pPr>
        <w:pStyle w:val="Normal19"/>
        <w:numPr>
          <w:ilvl w:val="0"/>
          <w:numId w:val="17"/>
        </w:numPr>
        <w:spacing w:after="240" w:line="240" w:lineRule="auto"/>
        <w:ind w:left="1195" w:hanging="475"/>
        <w:jc w:val="both"/>
      </w:pPr>
      <w:r w:rsidRPr="0056317D">
        <w:rPr>
          <w:b/>
        </w:rPr>
        <w:t>The Sound Board Committee, with the aim of consultation and advice on draft outputs comprising all relevant experts from different institutions.</w:t>
      </w:r>
      <w:r w:rsidRPr="00F95D6B">
        <w:t xml:space="preserve"> For example, there is a </w:t>
      </w:r>
      <w:r>
        <w:t>S</w:t>
      </w:r>
      <w:r w:rsidRPr="00F95D6B">
        <w:t xml:space="preserve">ound </w:t>
      </w:r>
      <w:r>
        <w:t>B</w:t>
      </w:r>
      <w:r w:rsidRPr="00F95D6B">
        <w:t xml:space="preserve">oard </w:t>
      </w:r>
      <w:r>
        <w:t>C</w:t>
      </w:r>
      <w:r w:rsidRPr="00F95D6B">
        <w:t xml:space="preserve">ommittee following the development of </w:t>
      </w:r>
      <w:r>
        <w:t xml:space="preserve">the </w:t>
      </w:r>
      <w:r w:rsidRPr="00F95D6B">
        <w:t>Regional Water Utility Roadmap.</w:t>
      </w:r>
      <w:r>
        <w:t xml:space="preserve"> The</w:t>
      </w:r>
      <w:r w:rsidRPr="00F95D6B">
        <w:t xml:space="preserve"> PWA </w:t>
      </w:r>
      <w:r w:rsidR="007439DB">
        <w:t>en</w:t>
      </w:r>
      <w:r w:rsidRPr="00F95D6B">
        <w:t xml:space="preserve">sures the participation of all stakeholders in the decision-making process to have consensus and support at different scales. </w:t>
      </w:r>
    </w:p>
    <w:p w:rsidR="00621DDC" w:rsidRPr="00F95D6B" w:rsidRDefault="00B578E1" w:rsidP="00A63A6F">
      <w:pPr>
        <w:pStyle w:val="Normal19"/>
        <w:numPr>
          <w:ilvl w:val="0"/>
          <w:numId w:val="19"/>
        </w:numPr>
        <w:spacing w:after="240" w:line="240" w:lineRule="auto"/>
        <w:ind w:left="0" w:firstLine="0"/>
        <w:jc w:val="both"/>
      </w:pPr>
      <w:r w:rsidRPr="00F95D6B">
        <w:lastRenderedPageBreak/>
        <w:t>Success of some institutions might be dependent on sustainability of others (</w:t>
      </w:r>
      <w:r>
        <w:t>for example,</w:t>
      </w:r>
      <w:r w:rsidRPr="00F95D6B">
        <w:t xml:space="preserve"> NWC establishment is dependent on strong SPs). Private sector can play an important role in improving performance of some institutions. However, </w:t>
      </w:r>
      <w:r>
        <w:t xml:space="preserve">an </w:t>
      </w:r>
      <w:r w:rsidRPr="00F95D6B">
        <w:t>enabling environment is needed</w:t>
      </w:r>
      <w:r>
        <w:t>.</w:t>
      </w:r>
      <w:r w:rsidRPr="00F95D6B">
        <w:t xml:space="preserve"> </w:t>
      </w:r>
    </w:p>
    <w:p w:rsidR="00621DDC" w:rsidRPr="00F95D6B" w:rsidRDefault="00B578E1" w:rsidP="00A63A6F">
      <w:pPr>
        <w:pStyle w:val="Normal19"/>
        <w:numPr>
          <w:ilvl w:val="0"/>
          <w:numId w:val="19"/>
        </w:numPr>
        <w:spacing w:after="240" w:line="240" w:lineRule="auto"/>
        <w:ind w:left="0" w:firstLine="0"/>
        <w:jc w:val="both"/>
      </w:pPr>
      <w:r w:rsidRPr="00F95D6B">
        <w:t>Real reform requires in</w:t>
      </w:r>
      <w:r>
        <w:t>-</w:t>
      </w:r>
      <w:r w:rsidRPr="00F95D6B">
        <w:t>depth analysis of problems and obstacles, and strategic solution for successful implementation and achievements. For example, the successful establishment of the NWC require</w:t>
      </w:r>
      <w:r w:rsidR="000208F1">
        <w:t>d</w:t>
      </w:r>
      <w:r w:rsidRPr="00F95D6B">
        <w:t xml:space="preserve"> several actions to be considered for having sustainable efficient institutions. </w:t>
      </w:r>
    </w:p>
    <w:p w:rsidR="00621DDC" w:rsidRPr="00F95D6B" w:rsidRDefault="00B578E1" w:rsidP="00A63A6F">
      <w:pPr>
        <w:pStyle w:val="Normal19"/>
        <w:numPr>
          <w:ilvl w:val="0"/>
          <w:numId w:val="19"/>
        </w:numPr>
        <w:spacing w:after="240" w:line="240" w:lineRule="auto"/>
        <w:ind w:left="0" w:firstLine="0"/>
        <w:jc w:val="both"/>
      </w:pPr>
      <w:r w:rsidRPr="00F95D6B">
        <w:t>Having clear cooperation mechanisms with other stakeholders is important for a comprehensive understanding of the water sector status; this include</w:t>
      </w:r>
      <w:r w:rsidR="000208F1">
        <w:t>s</w:t>
      </w:r>
      <w:r w:rsidRPr="00F95D6B">
        <w:t xml:space="preserve"> </w:t>
      </w:r>
      <w:r>
        <w:t xml:space="preserve">the </w:t>
      </w:r>
      <w:r w:rsidRPr="00F95D6B">
        <w:t>MOLG, MOH, MOA</w:t>
      </w:r>
      <w:r>
        <w:t>,</w:t>
      </w:r>
      <w:r w:rsidRPr="00F95D6B">
        <w:t xml:space="preserve"> and EQA. </w:t>
      </w:r>
    </w:p>
    <w:p w:rsidR="00621DDC" w:rsidRPr="00F95D6B" w:rsidRDefault="00B578E1" w:rsidP="00A63A6F">
      <w:pPr>
        <w:pStyle w:val="Normal19"/>
        <w:numPr>
          <w:ilvl w:val="0"/>
          <w:numId w:val="19"/>
        </w:numPr>
        <w:spacing w:after="240" w:line="240" w:lineRule="auto"/>
        <w:ind w:left="0" w:firstLine="0"/>
        <w:jc w:val="both"/>
      </w:pPr>
      <w:r w:rsidRPr="00F95D6B">
        <w:t xml:space="preserve">Focus on communication through which all stakeholders understand the added value of a regulator is important at the early stages of establishment. Capacity building of WSRC staff and </w:t>
      </w:r>
      <w:r w:rsidR="000208F1">
        <w:t>board of directors</w:t>
      </w:r>
      <w:r w:rsidRPr="00F95D6B">
        <w:t xml:space="preserve"> is equally important. To start governance assessment, knowledge of the municipal councils is crucial to be able to introduce changes on working systems. Given the status of regulatory systems in other Arab countries, having an autonomous regulator was very much appreciated on several occasions and </w:t>
      </w:r>
      <w:r w:rsidR="000208F1">
        <w:t xml:space="preserve">in </w:t>
      </w:r>
      <w:r w:rsidRPr="00F95D6B">
        <w:t xml:space="preserve">publications. </w:t>
      </w:r>
    </w:p>
    <w:p w:rsidR="00621DDC" w:rsidRPr="00F95D6B" w:rsidRDefault="00B578E1" w:rsidP="00A63A6F">
      <w:pPr>
        <w:pStyle w:val="Normal19"/>
        <w:numPr>
          <w:ilvl w:val="0"/>
          <w:numId w:val="19"/>
        </w:numPr>
        <w:spacing w:after="240" w:line="240" w:lineRule="auto"/>
        <w:ind w:left="0" w:firstLine="0"/>
        <w:jc w:val="both"/>
      </w:pPr>
      <w:r w:rsidRPr="00F95D6B">
        <w:t xml:space="preserve">Reform is </w:t>
      </w:r>
      <w:r>
        <w:t xml:space="preserve">a </w:t>
      </w:r>
      <w:r w:rsidRPr="00F95D6B">
        <w:t>complex costly process, as in many cases</w:t>
      </w:r>
      <w:r>
        <w:t>,</w:t>
      </w:r>
      <w:r w:rsidRPr="00F95D6B">
        <w:t xml:space="preserve"> the institutional development requires investment for infrastructure development. For example, establishing </w:t>
      </w:r>
      <w:r>
        <w:t xml:space="preserve">the </w:t>
      </w:r>
      <w:r w:rsidRPr="00F95D6B">
        <w:t xml:space="preserve">RWU will require working on both institutional and infrastructure development. </w:t>
      </w:r>
      <w:r>
        <w:t>It is i</w:t>
      </w:r>
      <w:r w:rsidRPr="00F95D6B">
        <w:t>mportan</w:t>
      </w:r>
      <w:r>
        <w:t>t to</w:t>
      </w:r>
      <w:r w:rsidRPr="00F95D6B">
        <w:t xml:space="preserve"> hav</w:t>
      </w:r>
      <w:r>
        <w:t>e</w:t>
      </w:r>
      <w:r w:rsidRPr="00F95D6B">
        <w:t xml:space="preserve"> a clear framework and long</w:t>
      </w:r>
      <w:r>
        <w:t>-</w:t>
      </w:r>
      <w:r w:rsidRPr="00F95D6B">
        <w:t xml:space="preserve">term objectives to avoid fragmentation of efforts (water sector strategy and strategic plan). </w:t>
      </w:r>
    </w:p>
    <w:p w:rsidR="00352B09" w:rsidRPr="00EA607F" w:rsidRDefault="00352B09" w:rsidP="00A14189">
      <w:pPr>
        <w:pStyle w:val="Normal19"/>
        <w:jc w:val="both"/>
      </w:pPr>
    </w:p>
    <w:p w:rsidR="00352B09" w:rsidRPr="00EA607F" w:rsidRDefault="00B578E1" w:rsidP="00352B09">
      <w:pPr>
        <w:ind w:left="756"/>
        <w:rPr>
          <w:rFonts w:asciiTheme="minorHAnsi" w:hAnsiTheme="minorHAnsi"/>
          <w:sz w:val="22"/>
          <w:szCs w:val="22"/>
        </w:rPr>
      </w:pPr>
      <w:r w:rsidRPr="00EA607F">
        <w:rPr>
          <w:rFonts w:asciiTheme="minorHAnsi" w:hAnsiTheme="minorHAnsi"/>
          <w:sz w:val="22"/>
          <w:szCs w:val="22"/>
        </w:rPr>
        <w:t xml:space="preserve"> </w:t>
      </w:r>
    </w:p>
    <w:p w:rsidR="00352B09" w:rsidRPr="00EA607F" w:rsidRDefault="00B578E1" w:rsidP="00352B09">
      <w:pPr>
        <w:ind w:left="756"/>
        <w:rPr>
          <w:rFonts w:asciiTheme="minorHAnsi" w:hAnsiTheme="minorHAnsi"/>
          <w:sz w:val="22"/>
          <w:szCs w:val="22"/>
        </w:rPr>
      </w:pPr>
      <w:r w:rsidRPr="00EA607F">
        <w:rPr>
          <w:rFonts w:asciiTheme="minorHAnsi" w:hAnsiTheme="minorHAnsi"/>
          <w:sz w:val="22"/>
          <w:szCs w:val="22"/>
        </w:rPr>
        <w:t xml:space="preserve"> </w:t>
      </w:r>
    </w:p>
    <w:p w:rsidR="00352B09" w:rsidRPr="00EA607F" w:rsidRDefault="00B578E1" w:rsidP="00FC7037">
      <w:pPr>
        <w:rPr>
          <w:rFonts w:asciiTheme="minorHAnsi" w:hAnsiTheme="minorHAnsi"/>
          <w:sz w:val="22"/>
          <w:szCs w:val="22"/>
        </w:rPr>
      </w:pPr>
      <w:r w:rsidRPr="00EA607F">
        <w:rPr>
          <w:rFonts w:asciiTheme="minorHAnsi" w:hAnsiTheme="minorHAnsi"/>
          <w:sz w:val="22"/>
          <w:szCs w:val="22"/>
        </w:rPr>
        <w:t xml:space="preserve"> </w:t>
      </w:r>
    </w:p>
    <w:sectPr w:rsidR="00352B09" w:rsidRPr="00EA607F" w:rsidSect="00E1298E">
      <w:footerReference w:type="even" r:id="rId31"/>
      <w:footerReference w:type="default" r:id="rId32"/>
      <w:footerReference w:type="first" r:id="rId3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78E1" w:rsidRDefault="00B578E1">
      <w:pPr>
        <w:spacing w:after="0" w:line="240" w:lineRule="auto"/>
      </w:pPr>
      <w:r>
        <w:separator/>
      </w:r>
    </w:p>
  </w:endnote>
  <w:endnote w:type="continuationSeparator" w:id="0">
    <w:p w:rsidR="00B578E1" w:rsidRDefault="00B57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rsidP="003615CB">
    <w:pPr>
      <w:pStyle w:val="Footer"/>
      <w:jc w:val="right"/>
    </w:pPr>
  </w:p>
  <w:p w:rsidR="00B578E1" w:rsidRDefault="00B578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right="279"/>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578E1" w:rsidRDefault="00B578E1">
    <w:pPr>
      <w:ind w:left="756"/>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left="756"/>
    </w:pPr>
    <w:r>
      <w:rPr>
        <w:rFonts w:ascii="Calibri" w:eastAsia="Calibri" w:hAnsi="Calibri" w:cs="Calibri"/>
        <w:sz w:val="22"/>
      </w:rPr>
      <w:t xml:space="preserve"> </w:t>
    </w:r>
  </w:p>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67</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pPr>
      <w:ind w:left="756"/>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65</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Pr="00255A01" w:rsidRDefault="00B578E1" w:rsidP="00255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0132682"/>
      <w:docPartObj>
        <w:docPartGallery w:val="Page Numbers (Top of Page)"/>
        <w:docPartUnique/>
      </w:docPartObj>
    </w:sdtPr>
    <w:sdtEndPr>
      <w:rPr>
        <w:sz w:val="16"/>
        <w:szCs w:val="16"/>
      </w:rPr>
    </w:sdtEndPr>
    <w:sdtContent>
      <w:p w:rsidR="00B578E1" w:rsidRPr="00DF015E" w:rsidRDefault="00B578E1" w:rsidP="003615CB">
        <w:pPr>
          <w:pStyle w:val="Footer"/>
          <w:jc w:val="right"/>
        </w:pPr>
        <w:r>
          <w:rPr>
            <w:noProof/>
            <w:sz w:val="16"/>
            <w:szCs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1312"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3615CB">
          <w:trPr>
            <w:trHeight w:val="270"/>
            <w:jc w:val="center"/>
          </w:trPr>
          <w:tc>
            <w:tcPr>
              <w:tcW w:w="5580" w:type="dxa"/>
              <w:tcBorders>
                <w:top w:val="nil"/>
                <w:left w:val="nil"/>
                <w:bottom w:val="nil"/>
                <w:right w:val="nil"/>
              </w:tcBorders>
              <w:vAlign w:val="center"/>
            </w:tcPr>
            <w:p w:rsidR="00B578E1" w:rsidRPr="008C3869" w:rsidRDefault="00B578E1" w:rsidP="003615CB">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62651C">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48</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rsidP="003615CB">
        <w:pPr>
          <w:pStyle w:val="Footer"/>
          <w:spacing w:line="160" w:lineRule="exact"/>
        </w:pPr>
        <w:r>
          <w:t xml:space="preserve">    </w:t>
        </w:r>
      </w:p>
    </w:sdtContent>
  </w:sdt>
  <w:p w:rsidR="00B578E1" w:rsidRDefault="00B578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right="279"/>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578E1" w:rsidRDefault="00B578E1">
    <w:pPr>
      <w:ind w:left="756"/>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left="756"/>
    </w:pPr>
    <w:r>
      <w:rPr>
        <w:rFonts w:ascii="Calibri" w:eastAsia="Calibri" w:hAnsi="Calibri" w:cs="Calibri"/>
        <w:sz w:val="22"/>
      </w:rPr>
      <w:t xml:space="preserve"> </w:t>
    </w:r>
  </w:p>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53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pPr>
      <w:ind w:left="75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54</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right="279"/>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578E1" w:rsidRDefault="00B578E1">
    <w:pPr>
      <w:ind w:left="756"/>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ind w:left="756"/>
    </w:pPr>
    <w:r>
      <w:rPr>
        <w:rFonts w:ascii="Calibri" w:eastAsia="Calibri" w:hAnsi="Calibri" w:cs="Calibri"/>
        <w:sz w:val="22"/>
      </w:rPr>
      <w:t xml:space="preserve"> </w:t>
    </w:r>
  </w:p>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64</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pPr>
      <w:ind w:left="75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799" w:type="dxa"/>
      <w:jc w:val="center"/>
      <w:tblCellMar>
        <w:left w:w="0" w:type="dxa"/>
        <w:right w:w="0" w:type="dxa"/>
      </w:tblCellMar>
      <w:tblLook w:val="04A0" w:firstRow="1" w:lastRow="0" w:firstColumn="1" w:lastColumn="0" w:noHBand="0" w:noVBand="1"/>
    </w:tblPr>
    <w:tblGrid>
      <w:gridCol w:w="5580"/>
      <w:gridCol w:w="5219"/>
    </w:tblGrid>
    <w:tr w:rsidR="00B578E1" w:rsidTr="00F760D1">
      <w:trPr>
        <w:trHeight w:val="270"/>
        <w:jc w:val="center"/>
      </w:trPr>
      <w:tc>
        <w:tcPr>
          <w:tcW w:w="5580" w:type="dxa"/>
          <w:tcBorders>
            <w:top w:val="nil"/>
            <w:left w:val="nil"/>
            <w:bottom w:val="nil"/>
            <w:right w:val="nil"/>
          </w:tcBorders>
          <w:vAlign w:val="center"/>
        </w:tcPr>
        <w:p w:rsidR="00B578E1" w:rsidRPr="008C3869" w:rsidRDefault="00B578E1" w:rsidP="00E1298E">
          <w:pPr>
            <w:pStyle w:val="Footer"/>
            <w:rPr>
              <w:color w:val="7F7F7F" w:themeColor="text1" w:themeTint="80"/>
              <w:sz w:val="16"/>
              <w:szCs w:val="16"/>
            </w:rPr>
          </w:pPr>
        </w:p>
      </w:tc>
      <w:tc>
        <w:tcPr>
          <w:tcW w:w="5219" w:type="dxa"/>
          <w:tcBorders>
            <w:top w:val="nil"/>
            <w:left w:val="nil"/>
            <w:bottom w:val="nil"/>
            <w:right w:val="nil"/>
          </w:tcBorders>
          <w:vAlign w:val="center"/>
        </w:tcPr>
        <w:p w:rsidR="00B578E1" w:rsidRDefault="00B578E1" w:rsidP="00E1298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0636D9">
            <w:rPr>
              <w:bCs/>
              <w:noProof/>
              <w:sz w:val="16"/>
              <w:szCs w:val="16"/>
            </w:rPr>
            <w:t>55</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636D9">
            <w:rPr>
              <w:bCs/>
              <w:noProof/>
              <w:sz w:val="16"/>
              <w:szCs w:val="16"/>
            </w:rPr>
            <w:instrText>68</w:instrText>
          </w:r>
          <w:r>
            <w:rPr>
              <w:bCs/>
              <w:sz w:val="16"/>
              <w:szCs w:val="16"/>
            </w:rPr>
            <w:fldChar w:fldCharType="end"/>
          </w:r>
          <w:r>
            <w:rPr>
              <w:bCs/>
              <w:sz w:val="16"/>
              <w:szCs w:val="16"/>
            </w:rPr>
            <w:instrText xml:space="preserve"> - 4</w:instrText>
          </w:r>
          <w:r>
            <w:rPr>
              <w:bCs/>
              <w:sz w:val="16"/>
              <w:szCs w:val="16"/>
            </w:rPr>
            <w:fldChar w:fldCharType="separate"/>
          </w:r>
          <w:r w:rsidR="000636D9">
            <w:rPr>
              <w:bCs/>
              <w:noProof/>
              <w:sz w:val="16"/>
              <w:szCs w:val="16"/>
            </w:rPr>
            <w:t>64</w:t>
          </w:r>
          <w:r>
            <w:rPr>
              <w:bCs/>
              <w:sz w:val="16"/>
              <w:szCs w:val="16"/>
            </w:rPr>
            <w:fldChar w:fldCharType="end"/>
          </w:r>
          <w:r>
            <w:rPr>
              <w:bCs/>
              <w:sz w:val="16"/>
              <w:szCs w:val="16"/>
            </w:rPr>
            <w:t xml:space="preserve"> </w:t>
          </w:r>
        </w:p>
      </w:tc>
    </w:tr>
  </w:tbl>
  <w:p w:rsidR="00B578E1" w:rsidRDefault="00B578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8E1" w:rsidRDefault="00B578E1" w:rsidP="006615BE">
      <w:pPr>
        <w:spacing w:after="0" w:line="240" w:lineRule="auto"/>
      </w:pPr>
      <w:r>
        <w:separator/>
      </w:r>
    </w:p>
  </w:footnote>
  <w:footnote w:type="continuationSeparator" w:id="0">
    <w:p w:rsidR="00B578E1" w:rsidRDefault="00B578E1">
      <w:r>
        <w:continuationSeparator/>
      </w:r>
    </w:p>
  </w:footnote>
  <w:footnote w:type="continuationNotice" w:id="1">
    <w:p w:rsidR="00B578E1" w:rsidRDefault="00B578E1">
      <w:pPr>
        <w:spacing w:after="0" w:line="240" w:lineRule="auto"/>
      </w:pPr>
    </w:p>
  </w:footnote>
  <w:footnote w:id="2">
    <w:p w:rsidR="00B578E1" w:rsidRPr="006615BE" w:rsidRDefault="00B578E1" w:rsidP="006615BE">
      <w:pPr>
        <w:spacing w:after="0" w:line="240" w:lineRule="auto"/>
        <w:rPr>
          <w:rFonts w:asciiTheme="minorHAnsi" w:eastAsiaTheme="minorHAnsi" w:hAnsiTheme="minorHAnsi" w:cstheme="minorHAnsi"/>
          <w:color w:val="auto"/>
          <w:sz w:val="18"/>
          <w:szCs w:val="18"/>
        </w:rPr>
      </w:pPr>
      <w:r w:rsidRPr="006615BE">
        <w:rPr>
          <w:rStyle w:val="FootnoteReference"/>
          <w:rFonts w:asciiTheme="minorHAnsi" w:hAnsiTheme="minorHAnsi"/>
          <w:sz w:val="18"/>
          <w:szCs w:val="18"/>
        </w:rPr>
        <w:footnoteRef/>
      </w:r>
      <w:r w:rsidRPr="006615BE">
        <w:rPr>
          <w:rFonts w:asciiTheme="minorHAnsi" w:hAnsiTheme="minorHAnsi"/>
          <w:sz w:val="18"/>
          <w:szCs w:val="18"/>
        </w:rPr>
        <w:t xml:space="preserve"> </w:t>
      </w:r>
      <w:r w:rsidRPr="006615BE">
        <w:rPr>
          <w:rFonts w:asciiTheme="minorHAnsi" w:eastAsiaTheme="minorHAnsi" w:hAnsiTheme="minorHAnsi" w:cstheme="minorHAnsi"/>
          <w:color w:val="auto"/>
          <w:sz w:val="18"/>
          <w:szCs w:val="18"/>
        </w:rPr>
        <w:t>World Bank</w:t>
      </w:r>
      <w:r>
        <w:rPr>
          <w:rFonts w:asciiTheme="minorHAnsi" w:eastAsiaTheme="minorHAnsi" w:hAnsiTheme="minorHAnsi" w:cstheme="minorHAnsi"/>
          <w:color w:val="auto"/>
          <w:sz w:val="18"/>
          <w:szCs w:val="18"/>
        </w:rPr>
        <w:t>.</w:t>
      </w:r>
      <w:r w:rsidRPr="006615BE">
        <w:rPr>
          <w:rFonts w:asciiTheme="minorHAnsi" w:eastAsiaTheme="minorHAnsi" w:hAnsiTheme="minorHAnsi" w:cstheme="minorHAnsi"/>
          <w:color w:val="auto"/>
          <w:sz w:val="18"/>
          <w:szCs w:val="18"/>
        </w:rPr>
        <w:t>2009</w:t>
      </w:r>
      <w:r>
        <w:rPr>
          <w:rFonts w:asciiTheme="minorHAnsi" w:eastAsiaTheme="minorHAnsi" w:hAnsiTheme="minorHAnsi" w:cstheme="minorHAnsi"/>
          <w:color w:val="auto"/>
          <w:sz w:val="18"/>
          <w:szCs w:val="18"/>
        </w:rPr>
        <w:t>.</w:t>
      </w:r>
      <w:r w:rsidRPr="006615BE">
        <w:rPr>
          <w:rFonts w:asciiTheme="minorHAnsi" w:eastAsiaTheme="minorHAnsi" w:hAnsiTheme="minorHAnsi" w:cstheme="minorHAnsi"/>
          <w:color w:val="auto"/>
          <w:sz w:val="18"/>
          <w:szCs w:val="18"/>
        </w:rPr>
        <w:t xml:space="preserve"> </w:t>
      </w:r>
      <w:r w:rsidRPr="006615BE">
        <w:rPr>
          <w:rFonts w:asciiTheme="minorHAnsi" w:eastAsiaTheme="minorHAnsi" w:hAnsiTheme="minorHAnsi" w:cstheme="minorHAnsi"/>
          <w:i/>
          <w:iCs/>
          <w:color w:val="auto"/>
          <w:sz w:val="18"/>
          <w:szCs w:val="18"/>
        </w:rPr>
        <w:t xml:space="preserve">Assessment of Restrictions on Palestinian Water Sector Development, </w:t>
      </w:r>
      <w:r w:rsidRPr="006615BE">
        <w:rPr>
          <w:rFonts w:asciiTheme="minorHAnsi" w:eastAsiaTheme="minorHAnsi" w:hAnsiTheme="minorHAnsi" w:cstheme="minorHAnsi"/>
          <w:color w:val="auto"/>
          <w:sz w:val="18"/>
          <w:szCs w:val="18"/>
        </w:rPr>
        <w:t>report 47567-GZ (a</w:t>
      </w:r>
      <w:r>
        <w:rPr>
          <w:rFonts w:asciiTheme="minorHAnsi" w:eastAsiaTheme="minorHAnsi" w:hAnsiTheme="minorHAnsi" w:cstheme="minorHAnsi"/>
          <w:color w:val="auto"/>
          <w:sz w:val="18"/>
          <w:szCs w:val="18"/>
        </w:rPr>
        <w:t xml:space="preserve">lso </w:t>
      </w:r>
      <w:r w:rsidRPr="006615BE">
        <w:rPr>
          <w:rFonts w:asciiTheme="minorHAnsi" w:eastAsiaTheme="minorHAnsi" w:hAnsiTheme="minorHAnsi" w:cstheme="minorHAnsi"/>
          <w:color w:val="auto"/>
          <w:sz w:val="18"/>
          <w:szCs w:val="18"/>
        </w:rPr>
        <w:t>k</w:t>
      </w:r>
      <w:r>
        <w:rPr>
          <w:rFonts w:asciiTheme="minorHAnsi" w:eastAsiaTheme="minorHAnsi" w:hAnsiTheme="minorHAnsi" w:cstheme="minorHAnsi"/>
          <w:color w:val="auto"/>
          <w:sz w:val="18"/>
          <w:szCs w:val="18"/>
        </w:rPr>
        <w:t xml:space="preserve">nown </w:t>
      </w:r>
      <w:r w:rsidRPr="006615BE">
        <w:rPr>
          <w:rFonts w:asciiTheme="minorHAnsi" w:eastAsiaTheme="minorHAnsi" w:hAnsiTheme="minorHAnsi" w:cstheme="minorHAnsi"/>
          <w:color w:val="auto"/>
          <w:sz w:val="18"/>
          <w:szCs w:val="18"/>
        </w:rPr>
        <w:t>a</w:t>
      </w:r>
      <w:r>
        <w:rPr>
          <w:rFonts w:asciiTheme="minorHAnsi" w:eastAsiaTheme="minorHAnsi" w:hAnsiTheme="minorHAnsi" w:cstheme="minorHAnsi"/>
          <w:color w:val="auto"/>
          <w:sz w:val="18"/>
          <w:szCs w:val="18"/>
        </w:rPr>
        <w:t>s</w:t>
      </w:r>
    </w:p>
    <w:p w:rsidR="00B578E1" w:rsidRPr="006615BE" w:rsidRDefault="00B578E1" w:rsidP="006615BE">
      <w:pPr>
        <w:pStyle w:val="FootnoteText"/>
        <w:spacing w:after="0" w:line="240" w:lineRule="auto"/>
        <w:rPr>
          <w:szCs w:val="18"/>
        </w:rPr>
      </w:pPr>
      <w:r w:rsidRPr="006615BE">
        <w:rPr>
          <w:rFonts w:eastAsiaTheme="minorHAnsi" w:cstheme="minorHAnsi"/>
          <w:i/>
          <w:iCs/>
          <w:color w:val="auto"/>
          <w:szCs w:val="18"/>
        </w:rPr>
        <w:t>Water Restrictions Study</w:t>
      </w:r>
      <w:r w:rsidRPr="006615BE">
        <w:rPr>
          <w:rFonts w:eastAsiaTheme="minorHAnsi" w:cstheme="minorHAnsi"/>
          <w:color w:val="auto"/>
          <w:szCs w:val="18"/>
        </w:rPr>
        <w:t>)</w:t>
      </w:r>
      <w:r>
        <w:rPr>
          <w:rFonts w:eastAsiaTheme="minorHAnsi" w:cstheme="minorHAnsi"/>
          <w:color w:val="auto"/>
          <w:szCs w:val="18"/>
        </w:rPr>
        <w:t>.</w:t>
      </w:r>
    </w:p>
  </w:footnote>
  <w:footnote w:id="3">
    <w:p w:rsidR="00B578E1" w:rsidRPr="006615BE" w:rsidRDefault="00B578E1" w:rsidP="006615BE">
      <w:pPr>
        <w:spacing w:after="0" w:line="240" w:lineRule="auto"/>
        <w:rPr>
          <w:rFonts w:asciiTheme="minorHAnsi" w:hAnsiTheme="minorHAnsi"/>
          <w:sz w:val="18"/>
          <w:szCs w:val="18"/>
        </w:rPr>
      </w:pPr>
      <w:r w:rsidRPr="006615BE">
        <w:rPr>
          <w:rStyle w:val="FootnoteReference"/>
          <w:rFonts w:asciiTheme="minorHAnsi" w:hAnsiTheme="minorHAnsi"/>
          <w:sz w:val="18"/>
          <w:szCs w:val="18"/>
        </w:rPr>
        <w:footnoteRef/>
      </w:r>
      <w:r w:rsidRPr="006615BE">
        <w:rPr>
          <w:rFonts w:asciiTheme="minorHAnsi" w:hAnsiTheme="minorHAnsi"/>
          <w:sz w:val="18"/>
          <w:szCs w:val="18"/>
        </w:rPr>
        <w:t xml:space="preserve"> </w:t>
      </w:r>
      <w:r w:rsidRPr="006615BE">
        <w:rPr>
          <w:rFonts w:asciiTheme="minorHAnsi" w:eastAsiaTheme="minorHAnsi" w:hAnsiTheme="minorHAnsi" w:cstheme="minorHAnsi"/>
          <w:color w:val="auto"/>
          <w:sz w:val="18"/>
          <w:szCs w:val="18"/>
        </w:rPr>
        <w:t>At the time of appraisal around 90</w:t>
      </w:r>
      <w:r>
        <w:rPr>
          <w:rFonts w:asciiTheme="minorHAnsi" w:eastAsiaTheme="minorHAnsi" w:hAnsiTheme="minorHAnsi" w:cstheme="minorHAnsi"/>
          <w:color w:val="auto"/>
          <w:sz w:val="18"/>
          <w:szCs w:val="18"/>
        </w:rPr>
        <w:t xml:space="preserve"> percent</w:t>
      </w:r>
      <w:r w:rsidRPr="006615BE">
        <w:rPr>
          <w:rFonts w:asciiTheme="minorHAnsi" w:eastAsiaTheme="minorHAnsi" w:hAnsiTheme="minorHAnsi" w:cstheme="minorHAnsi"/>
          <w:color w:val="auto"/>
          <w:sz w:val="18"/>
          <w:szCs w:val="18"/>
        </w:rPr>
        <w:t xml:space="preserve"> of the population and 64</w:t>
      </w:r>
      <w:r>
        <w:rPr>
          <w:rFonts w:asciiTheme="minorHAnsi" w:eastAsiaTheme="minorHAnsi" w:hAnsiTheme="minorHAnsi" w:cstheme="minorHAnsi"/>
          <w:color w:val="auto"/>
          <w:sz w:val="18"/>
          <w:szCs w:val="18"/>
        </w:rPr>
        <w:t xml:space="preserve"> </w:t>
      </w:r>
      <w:r w:rsidRPr="00943EED">
        <w:rPr>
          <w:rFonts w:asciiTheme="minorHAnsi" w:eastAsiaTheme="minorHAnsi" w:hAnsiTheme="minorHAnsi" w:cstheme="minorHAnsi"/>
          <w:color w:val="auto"/>
          <w:sz w:val="18"/>
          <w:szCs w:val="18"/>
        </w:rPr>
        <w:t xml:space="preserve"> </w:t>
      </w:r>
      <w:r>
        <w:rPr>
          <w:rFonts w:asciiTheme="minorHAnsi" w:eastAsiaTheme="minorHAnsi" w:hAnsiTheme="minorHAnsi" w:cstheme="minorHAnsi"/>
          <w:color w:val="auto"/>
          <w:sz w:val="18"/>
          <w:szCs w:val="18"/>
        </w:rPr>
        <w:t>percent</w:t>
      </w:r>
      <w:r w:rsidRPr="006615BE">
        <w:rPr>
          <w:rFonts w:asciiTheme="minorHAnsi" w:eastAsiaTheme="minorHAnsi" w:hAnsiTheme="minorHAnsi" w:cstheme="minorHAnsi"/>
          <w:color w:val="auto"/>
          <w:sz w:val="18"/>
          <w:szCs w:val="18"/>
        </w:rPr>
        <w:t xml:space="preserve"> of communities had access to a water network, service discontinuity was resulting in, on average</w:t>
      </w:r>
      <w:r>
        <w:rPr>
          <w:rFonts w:asciiTheme="minorHAnsi" w:eastAsiaTheme="minorHAnsi" w:hAnsiTheme="minorHAnsi" w:cstheme="minorHAnsi"/>
          <w:color w:val="auto"/>
          <w:sz w:val="18"/>
          <w:szCs w:val="18"/>
        </w:rPr>
        <w:t>,</w:t>
      </w:r>
      <w:r w:rsidRPr="006615BE">
        <w:rPr>
          <w:rFonts w:asciiTheme="minorHAnsi" w:eastAsiaTheme="minorHAnsi" w:hAnsiTheme="minorHAnsi" w:cstheme="minorHAnsi"/>
          <w:color w:val="auto"/>
          <w:sz w:val="18"/>
          <w:szCs w:val="18"/>
        </w:rPr>
        <w:t xml:space="preserve"> consumptions as low as 50 l</w:t>
      </w:r>
      <w:r>
        <w:rPr>
          <w:rFonts w:asciiTheme="minorHAnsi" w:eastAsiaTheme="minorHAnsi" w:hAnsiTheme="minorHAnsi" w:cstheme="minorHAnsi"/>
          <w:color w:val="auto"/>
          <w:sz w:val="18"/>
          <w:szCs w:val="18"/>
        </w:rPr>
        <w:t xml:space="preserve">iters per </w:t>
      </w:r>
      <w:r w:rsidRPr="006615BE">
        <w:rPr>
          <w:rFonts w:asciiTheme="minorHAnsi" w:eastAsiaTheme="minorHAnsi" w:hAnsiTheme="minorHAnsi" w:cstheme="minorHAnsi"/>
          <w:color w:val="auto"/>
          <w:sz w:val="18"/>
          <w:szCs w:val="18"/>
        </w:rPr>
        <w:t>cap</w:t>
      </w:r>
      <w:r>
        <w:rPr>
          <w:rFonts w:asciiTheme="minorHAnsi" w:eastAsiaTheme="minorHAnsi" w:hAnsiTheme="minorHAnsi" w:cstheme="minorHAnsi"/>
          <w:color w:val="auto"/>
          <w:sz w:val="18"/>
          <w:szCs w:val="18"/>
        </w:rPr>
        <w:t xml:space="preserve">ita per </w:t>
      </w:r>
      <w:r w:rsidRPr="006615BE">
        <w:rPr>
          <w:rFonts w:asciiTheme="minorHAnsi" w:eastAsiaTheme="minorHAnsi" w:hAnsiTheme="minorHAnsi" w:cstheme="minorHAnsi"/>
          <w:color w:val="auto"/>
          <w:sz w:val="18"/>
          <w:szCs w:val="18"/>
        </w:rPr>
        <w:t>day, dropping to a crippling 15 l</w:t>
      </w:r>
      <w:r>
        <w:rPr>
          <w:rFonts w:asciiTheme="minorHAnsi" w:eastAsiaTheme="minorHAnsi" w:hAnsiTheme="minorHAnsi" w:cstheme="minorHAnsi"/>
          <w:color w:val="auto"/>
          <w:sz w:val="18"/>
          <w:szCs w:val="18"/>
        </w:rPr>
        <w:t xml:space="preserve">iters per </w:t>
      </w:r>
      <w:r w:rsidRPr="006615BE">
        <w:rPr>
          <w:rFonts w:asciiTheme="minorHAnsi" w:eastAsiaTheme="minorHAnsi" w:hAnsiTheme="minorHAnsi" w:cstheme="minorHAnsi"/>
          <w:color w:val="auto"/>
          <w:sz w:val="18"/>
          <w:szCs w:val="18"/>
        </w:rPr>
        <w:t>cap</w:t>
      </w:r>
      <w:r>
        <w:rPr>
          <w:rFonts w:asciiTheme="minorHAnsi" w:eastAsiaTheme="minorHAnsi" w:hAnsiTheme="minorHAnsi" w:cstheme="minorHAnsi"/>
          <w:color w:val="auto"/>
          <w:sz w:val="18"/>
          <w:szCs w:val="18"/>
        </w:rPr>
        <w:t xml:space="preserve">ita per </w:t>
      </w:r>
      <w:r w:rsidRPr="006615BE">
        <w:rPr>
          <w:rFonts w:asciiTheme="minorHAnsi" w:eastAsiaTheme="minorHAnsi" w:hAnsiTheme="minorHAnsi" w:cstheme="minorHAnsi"/>
          <w:color w:val="auto"/>
          <w:sz w:val="18"/>
          <w:szCs w:val="18"/>
        </w:rPr>
        <w:t>day in some areas. All the while, water loss and bill collection rates hover around 35</w:t>
      </w:r>
      <w:r w:rsidRPr="00943EED">
        <w:rPr>
          <w:rFonts w:asciiTheme="minorHAnsi" w:eastAsiaTheme="minorHAnsi" w:hAnsiTheme="minorHAnsi" w:cstheme="minorHAnsi"/>
          <w:color w:val="auto"/>
          <w:sz w:val="18"/>
          <w:szCs w:val="18"/>
        </w:rPr>
        <w:t xml:space="preserve"> </w:t>
      </w:r>
      <w:r>
        <w:rPr>
          <w:rFonts w:asciiTheme="minorHAnsi" w:eastAsiaTheme="minorHAnsi" w:hAnsiTheme="minorHAnsi" w:cstheme="minorHAnsi"/>
          <w:color w:val="auto"/>
          <w:sz w:val="18"/>
          <w:szCs w:val="18"/>
        </w:rPr>
        <w:t>percent</w:t>
      </w:r>
      <w:r w:rsidRPr="006615BE">
        <w:rPr>
          <w:rFonts w:asciiTheme="minorHAnsi" w:eastAsiaTheme="minorHAnsi" w:hAnsiTheme="minorHAnsi" w:cstheme="minorHAnsi"/>
          <w:color w:val="auto"/>
          <w:sz w:val="18"/>
          <w:szCs w:val="18"/>
        </w:rPr>
        <w:t xml:space="preserve"> and 50</w:t>
      </w:r>
      <w:r>
        <w:rPr>
          <w:rFonts w:asciiTheme="minorHAnsi" w:eastAsiaTheme="minorHAnsi" w:hAnsiTheme="minorHAnsi" w:cstheme="minorHAnsi"/>
          <w:color w:val="auto"/>
          <w:sz w:val="18"/>
          <w:szCs w:val="18"/>
        </w:rPr>
        <w:t xml:space="preserve"> percent,</w:t>
      </w:r>
      <w:r w:rsidRPr="006615BE">
        <w:rPr>
          <w:rFonts w:asciiTheme="minorHAnsi" w:eastAsiaTheme="minorHAnsi" w:hAnsiTheme="minorHAnsi" w:cstheme="minorHAnsi"/>
          <w:color w:val="auto"/>
          <w:sz w:val="18"/>
          <w:szCs w:val="18"/>
        </w:rPr>
        <w:t xml:space="preserve"> respectively.</w:t>
      </w:r>
    </w:p>
  </w:footnote>
  <w:footnote w:id="4">
    <w:p w:rsidR="00B578E1" w:rsidRPr="006615BE" w:rsidRDefault="00B578E1" w:rsidP="006615BE">
      <w:pPr>
        <w:pStyle w:val="FootnoteText"/>
        <w:spacing w:after="0" w:line="240" w:lineRule="auto"/>
        <w:rPr>
          <w:szCs w:val="18"/>
        </w:rPr>
      </w:pPr>
      <w:r w:rsidRPr="006615BE">
        <w:rPr>
          <w:rStyle w:val="FootnoteReference"/>
          <w:color w:val="auto"/>
          <w:szCs w:val="18"/>
        </w:rPr>
        <w:footnoteRef/>
      </w:r>
      <w:r w:rsidRPr="006615BE">
        <w:rPr>
          <w:color w:val="auto"/>
          <w:szCs w:val="18"/>
        </w:rPr>
        <w:t xml:space="preserve"> </w:t>
      </w:r>
      <w:hyperlink r:id="rId1" w:history="1">
        <w:r w:rsidRPr="0082210B">
          <w:rPr>
            <w:rStyle w:val="Hyperlink"/>
            <w:i w:val="0"/>
            <w:sz w:val="18"/>
            <w:szCs w:val="18"/>
          </w:rPr>
          <w:t>https://www.ib-net.org/</w:t>
        </w:r>
      </w:hyperlink>
      <w:r w:rsidRPr="0082210B">
        <w:rPr>
          <w:i/>
          <w:color w:val="auto"/>
          <w:szCs w:val="18"/>
          <w:shd w:val="clear" w:color="auto" w:fill="FFFFFF"/>
        </w:rPr>
        <w:t xml:space="preserve"> .</w:t>
      </w:r>
    </w:p>
  </w:footnote>
  <w:footnote w:id="5">
    <w:p w:rsidR="00B578E1" w:rsidRPr="006615BE" w:rsidRDefault="00B578E1" w:rsidP="006615BE">
      <w:pPr>
        <w:pStyle w:val="FootnoteText"/>
        <w:spacing w:after="0" w:line="240" w:lineRule="auto"/>
        <w:rPr>
          <w:szCs w:val="18"/>
        </w:rPr>
      </w:pPr>
      <w:r w:rsidRPr="006615BE">
        <w:rPr>
          <w:rStyle w:val="FootnoteReference"/>
          <w:color w:val="auto"/>
          <w:szCs w:val="18"/>
        </w:rPr>
        <w:footnoteRef/>
      </w:r>
      <w:r w:rsidRPr="006615BE">
        <w:rPr>
          <w:color w:val="auto"/>
          <w:szCs w:val="18"/>
        </w:rPr>
        <w:t xml:space="preserve"> WSRC</w:t>
      </w:r>
      <w:r>
        <w:rPr>
          <w:color w:val="auto"/>
          <w:szCs w:val="18"/>
        </w:rPr>
        <w:t xml:space="preserve">. </w:t>
      </w:r>
      <w:r w:rsidRPr="006615BE">
        <w:rPr>
          <w:color w:val="auto"/>
          <w:szCs w:val="18"/>
        </w:rPr>
        <w:t>2017</w:t>
      </w:r>
      <w:r>
        <w:rPr>
          <w:color w:val="auto"/>
          <w:szCs w:val="18"/>
        </w:rPr>
        <w:t>.</w:t>
      </w:r>
      <w:r w:rsidRPr="006615BE">
        <w:rPr>
          <w:color w:val="auto"/>
          <w:szCs w:val="18"/>
        </w:rPr>
        <w:t xml:space="preserve"> </w:t>
      </w:r>
      <w:r w:rsidRPr="006961EE">
        <w:rPr>
          <w:i/>
          <w:color w:val="auto"/>
          <w:szCs w:val="18"/>
        </w:rPr>
        <w:t>Water Sector Regulatory Council Annual Report</w:t>
      </w:r>
      <w:r w:rsidRPr="006615BE">
        <w:rPr>
          <w:color w:val="auto"/>
          <w:szCs w:val="18"/>
        </w:rPr>
        <w:t xml:space="preserve">. Al-Bireh, </w:t>
      </w:r>
      <w:r>
        <w:rPr>
          <w:color w:val="auto"/>
          <w:szCs w:val="18"/>
        </w:rPr>
        <w:t>West Bank</w:t>
      </w:r>
      <w:r w:rsidRPr="006615BE">
        <w:rPr>
          <w:color w:val="auto"/>
          <w:szCs w:val="18"/>
        </w:rPr>
        <w:t>.</w:t>
      </w:r>
    </w:p>
  </w:footnote>
  <w:footnote w:id="6">
    <w:p w:rsidR="00B578E1" w:rsidRPr="006615BE" w:rsidRDefault="00B578E1" w:rsidP="006615BE">
      <w:pPr>
        <w:pStyle w:val="FootnoteText"/>
        <w:spacing w:after="0" w:line="240" w:lineRule="auto"/>
        <w:rPr>
          <w:szCs w:val="18"/>
        </w:rPr>
      </w:pPr>
      <w:r w:rsidRPr="006615BE">
        <w:rPr>
          <w:rStyle w:val="FootnoteReference"/>
          <w:szCs w:val="18"/>
        </w:rPr>
        <w:footnoteRef/>
      </w:r>
      <w:r w:rsidRPr="006615BE">
        <w:rPr>
          <w:szCs w:val="18"/>
        </w:rPr>
        <w:t xml:space="preserve"> Audit Environmental, </w:t>
      </w:r>
      <w:r w:rsidRPr="006961EE">
        <w:rPr>
          <w:i/>
          <w:szCs w:val="18"/>
        </w:rPr>
        <w:t>An Audit of the Operations and Projects in the Water Sector in Palestine: The Strategic Refocusing of Water Sector Infrastructure in Palestine</w:t>
      </w:r>
      <w:r w:rsidRPr="006615BE">
        <w:rPr>
          <w:szCs w:val="18"/>
        </w:rPr>
        <w:t>, Final Report, November</w:t>
      </w:r>
      <w:r>
        <w:rPr>
          <w:szCs w:val="18"/>
        </w:rPr>
        <w:t xml:space="preserve"> 18,</w:t>
      </w:r>
      <w:r w:rsidRPr="006615BE">
        <w:rPr>
          <w:szCs w:val="18"/>
        </w:rPr>
        <w:t xml:space="preserve"> 2008.</w:t>
      </w:r>
    </w:p>
  </w:footnote>
  <w:footnote w:id="7">
    <w:p w:rsidR="00B578E1" w:rsidRPr="006615BE" w:rsidRDefault="00B578E1" w:rsidP="006615BE">
      <w:pPr>
        <w:pStyle w:val="FootnoteText"/>
        <w:spacing w:after="0" w:line="240" w:lineRule="auto"/>
        <w:rPr>
          <w:szCs w:val="18"/>
        </w:rPr>
      </w:pPr>
      <w:r w:rsidRPr="006615BE">
        <w:rPr>
          <w:rStyle w:val="FootnoteReference"/>
          <w:szCs w:val="18"/>
        </w:rPr>
        <w:footnoteRef/>
      </w:r>
      <w:r w:rsidRPr="006615BE">
        <w:rPr>
          <w:szCs w:val="18"/>
        </w:rPr>
        <w:t xml:space="preserve"> World Bank</w:t>
      </w:r>
      <w:r>
        <w:rPr>
          <w:szCs w:val="18"/>
        </w:rPr>
        <w:t>.</w:t>
      </w:r>
      <w:r w:rsidRPr="006615BE">
        <w:rPr>
          <w:szCs w:val="18"/>
        </w:rPr>
        <w:t>2009</w:t>
      </w:r>
      <w:r>
        <w:rPr>
          <w:szCs w:val="18"/>
        </w:rPr>
        <w:t>.</w:t>
      </w:r>
      <w:r w:rsidRPr="006615BE">
        <w:rPr>
          <w:szCs w:val="18"/>
        </w:rPr>
        <w:t xml:space="preserve"> </w:t>
      </w:r>
      <w:r w:rsidRPr="006961EE">
        <w:rPr>
          <w:i/>
          <w:szCs w:val="18"/>
        </w:rPr>
        <w:t>Assessment of Restrictions on Palestinian Water Sector Development</w:t>
      </w:r>
      <w:r w:rsidRPr="006615BE">
        <w:rPr>
          <w:szCs w:val="18"/>
        </w:rPr>
        <w:t>. Report No 47657-GZ.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8E1" w:rsidRDefault="00B578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578E1" w:rsidTr="003615CB">
      <w:trPr>
        <w:trHeight w:val="162"/>
        <w:jc w:val="center"/>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50644"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vAlign w:val="center"/>
        </w:tcPr>
        <w:p w:rsidR="00B578E1" w:rsidRDefault="00B578E1" w:rsidP="003615CB">
          <w:pPr>
            <w:pStyle w:val="Header"/>
            <w:jc w:val="right"/>
          </w:pPr>
        </w:p>
      </w:tc>
    </w:tr>
    <w:tr w:rsidR="00B578E1" w:rsidTr="003615CB">
      <w:trPr>
        <w:trHeight w:val="231"/>
        <w:jc w:val="center"/>
      </w:trPr>
      <w:tc>
        <w:tcPr>
          <w:tcW w:w="777" w:type="dxa"/>
          <w:vMerge/>
        </w:tcPr>
        <w:p w:rsidR="00B578E1" w:rsidRPr="00BF642B" w:rsidRDefault="00B578E1" w:rsidP="003615CB">
          <w:pPr>
            <w:pStyle w:val="Header"/>
            <w:rPr>
              <w:b/>
              <w:noProof/>
            </w:rPr>
          </w:pPr>
        </w:p>
      </w:tc>
      <w:tc>
        <w:tcPr>
          <w:tcW w:w="10439" w:type="dxa"/>
          <w:gridSpan w:val="2"/>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3615CB">
      <w:trPr>
        <w:trHeight w:val="313"/>
        <w:jc w:val="center"/>
      </w:trPr>
      <w:tc>
        <w:tcPr>
          <w:tcW w:w="11216" w:type="dxa"/>
          <w:gridSpan w:val="3"/>
        </w:tcPr>
        <w:p w:rsidR="00B578E1" w:rsidRDefault="00B578E1" w:rsidP="003615CB">
          <w:pPr>
            <w:pStyle w:val="Header"/>
          </w:pPr>
          <w:r>
            <w:rPr>
              <w:i/>
              <w:noProof/>
              <w:color w:val="44546A" w:themeColor="text2"/>
            </w:rPr>
            <mc:AlternateContent>
              <mc:Choice Requires="wps">
                <w:drawing>
                  <wp:anchor distT="0" distB="0" distL="114300" distR="114300" simplePos="0" relativeHeight="251666432" behindDoc="0" locked="0" layoutInCell="1" allowOverlap="1">
                    <wp:simplePos x="0" y="0"/>
                    <wp:positionH relativeFrom="column">
                      <wp:posOffset>-174625</wp:posOffset>
                    </wp:positionH>
                    <wp:positionV relativeFrom="paragraph">
                      <wp:posOffset>87630</wp:posOffset>
                    </wp:positionV>
                    <wp:extent cx="7168896" cy="0"/>
                    <wp:effectExtent l="0" t="19050" r="51435"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8896"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2049" style="mso-height-percent:0;mso-height-relative:margin;mso-width-percent:0;mso-width-relative:margin;mso-wrap-distance-bottom:0;mso-wrap-distance-left:9pt;mso-wrap-distance-right:9pt;mso-wrap-distance-top:0;mso-wrap-style:square;position:absolute;visibility:visible;z-index:251667456" from="-13.75pt,6.9pt" to="550.75pt,6.9pt" strokecolor="#4e92d1" strokeweight="4.5pt"/>
                </w:pict>
              </mc:Fallback>
            </mc:AlternateContent>
          </w:r>
        </w:p>
      </w:tc>
    </w:tr>
  </w:tbl>
  <w:p w:rsidR="00B578E1" w:rsidRDefault="00B578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578E1" w:rsidTr="003615CB">
      <w:trPr>
        <w:trHeight w:val="162"/>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6882"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2519"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vAlign w:val="center"/>
        </w:tcPr>
        <w:p w:rsidR="00B578E1" w:rsidRDefault="00B578E1" w:rsidP="003615CB">
          <w:pPr>
            <w:pStyle w:val="Header"/>
            <w:jc w:val="right"/>
          </w:pPr>
        </w:p>
      </w:tc>
    </w:tr>
    <w:tr w:rsidR="00B578E1" w:rsidTr="003615CB">
      <w:trPr>
        <w:trHeight w:val="231"/>
      </w:trPr>
      <w:tc>
        <w:tcPr>
          <w:tcW w:w="777" w:type="dxa"/>
          <w:vMerge/>
        </w:tcPr>
        <w:p w:rsidR="00B578E1" w:rsidRPr="00BF642B" w:rsidRDefault="00B578E1" w:rsidP="003615CB">
          <w:pPr>
            <w:pStyle w:val="Header"/>
            <w:rPr>
              <w:b/>
              <w:noProof/>
            </w:rPr>
          </w:pPr>
        </w:p>
      </w:tc>
      <w:tc>
        <w:tcPr>
          <w:tcW w:w="10439" w:type="dxa"/>
          <w:gridSpan w:val="2"/>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3615CB">
      <w:trPr>
        <w:trHeight w:val="313"/>
      </w:trPr>
      <w:tc>
        <w:tcPr>
          <w:tcW w:w="11216" w:type="dxa"/>
          <w:gridSpan w:val="3"/>
        </w:tcPr>
        <w:p w:rsidR="00B578E1" w:rsidRDefault="00B578E1"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2051" style="flip:y;mso-height-percent:0;mso-height-relative:margin;mso-width-percent:0;mso-width-relative:margin;mso-wrap-distance-bottom:0;mso-wrap-distance-left:9pt;mso-wrap-distance-right:9pt;mso-wrap-distance-top:0;mso-wrap-style:square;position:absolute;visibility:visible;z-index:251665408" from="-9.25pt,12.1pt" to="731pt,12.1pt" strokecolor="#4e92d1" strokeweight="4.5pt"/>
                </w:pict>
              </mc:Fallback>
            </mc:AlternateContent>
          </w:r>
        </w:p>
      </w:tc>
    </w:tr>
  </w:tbl>
  <w:p w:rsidR="00B578E1" w:rsidRDefault="00B578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578E1" w:rsidTr="003615CB">
      <w:trPr>
        <w:trHeight w:val="162"/>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44"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vAlign w:val="center"/>
        </w:tcPr>
        <w:p w:rsidR="00B578E1" w:rsidRDefault="00B578E1" w:rsidP="003615CB">
          <w:pPr>
            <w:pStyle w:val="Header"/>
            <w:jc w:val="right"/>
          </w:pPr>
        </w:p>
      </w:tc>
    </w:tr>
    <w:tr w:rsidR="00B578E1" w:rsidTr="003615CB">
      <w:trPr>
        <w:trHeight w:val="231"/>
      </w:trPr>
      <w:tc>
        <w:tcPr>
          <w:tcW w:w="777" w:type="dxa"/>
          <w:vMerge/>
        </w:tcPr>
        <w:p w:rsidR="00B578E1" w:rsidRPr="00BF642B" w:rsidRDefault="00B578E1" w:rsidP="003615CB">
          <w:pPr>
            <w:pStyle w:val="Header"/>
            <w:rPr>
              <w:b/>
              <w:noProof/>
            </w:rPr>
          </w:pPr>
        </w:p>
      </w:tc>
      <w:tc>
        <w:tcPr>
          <w:tcW w:w="10439" w:type="dxa"/>
          <w:gridSpan w:val="2"/>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3615CB">
      <w:trPr>
        <w:trHeight w:val="313"/>
      </w:trPr>
      <w:tc>
        <w:tcPr>
          <w:tcW w:w="11216" w:type="dxa"/>
          <w:gridSpan w:val="3"/>
        </w:tcPr>
        <w:p w:rsidR="00B578E1" w:rsidRDefault="00B578E1"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52"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rsidR="00B578E1" w:rsidRDefault="00B578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578E1" w:rsidTr="00B644F9">
      <w:trPr>
        <w:trHeight w:val="162"/>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6884"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4087"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vAlign w:val="center"/>
        </w:tcPr>
        <w:p w:rsidR="00B578E1" w:rsidRDefault="00B578E1" w:rsidP="003615CB">
          <w:pPr>
            <w:pStyle w:val="Header"/>
            <w:jc w:val="right"/>
          </w:pPr>
        </w:p>
      </w:tc>
    </w:tr>
    <w:tr w:rsidR="00B578E1" w:rsidTr="00B644F9">
      <w:trPr>
        <w:trHeight w:val="231"/>
      </w:trPr>
      <w:tc>
        <w:tcPr>
          <w:tcW w:w="777" w:type="dxa"/>
          <w:vMerge/>
        </w:tcPr>
        <w:p w:rsidR="00B578E1" w:rsidRPr="00BF642B" w:rsidRDefault="00B578E1" w:rsidP="003615CB">
          <w:pPr>
            <w:pStyle w:val="Header"/>
            <w:rPr>
              <w:b/>
              <w:noProof/>
            </w:rPr>
          </w:pPr>
        </w:p>
      </w:tc>
      <w:tc>
        <w:tcPr>
          <w:tcW w:w="10439" w:type="dxa"/>
          <w:gridSpan w:val="2"/>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B644F9">
      <w:trPr>
        <w:trHeight w:val="313"/>
      </w:trPr>
      <w:tc>
        <w:tcPr>
          <w:tcW w:w="11216" w:type="dxa"/>
          <w:gridSpan w:val="3"/>
        </w:tcPr>
        <w:p w:rsidR="00B578E1" w:rsidRDefault="00B578E1" w:rsidP="00AD4B5B">
          <w:pPr>
            <w:pStyle w:val="Header"/>
            <w:tabs>
              <w:tab w:val="clear" w:pos="4680"/>
              <w:tab w:val="clear" w:pos="9360"/>
              <w:tab w:val="left" w:pos="1740"/>
            </w:tabs>
          </w:pPr>
          <w:r>
            <w:rPr>
              <w:i/>
              <w:noProof/>
              <w:color w:val="44546A" w:themeColor="text2"/>
            </w:rPr>
            <mc:AlternateContent>
              <mc:Choice Requires="wps">
                <w:drawing>
                  <wp:anchor distT="0" distB="0" distL="114300" distR="114300" simplePos="0" relativeHeight="251658240"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53" style="flip:y;mso-height-percent:0;mso-height-relative:margin;mso-width-percent:0;mso-width-relative:margin;mso-wrap-distance-bottom:0;mso-wrap-distance-left:9pt;mso-wrap-distance-right:9pt;mso-wrap-distance-top:0;mso-wrap-style:square;position:absolute;visibility:visible;z-index:251659264" from="-9.25pt,12.1pt" to="731pt,12.1pt" strokecolor="#4e92d1" strokeweight="4.5pt"/>
                </w:pict>
              </mc:Fallback>
            </mc:AlternateContent>
          </w:r>
          <w:r>
            <w:tab/>
          </w:r>
        </w:p>
      </w:tc>
    </w:tr>
  </w:tbl>
  <w:p w:rsidR="00B578E1" w:rsidRDefault="00B578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B578E1" w:rsidTr="00B644F9">
      <w:trPr>
        <w:trHeight w:val="162"/>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47491"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vAlign w:val="center"/>
        </w:tcPr>
        <w:p w:rsidR="00B578E1" w:rsidRDefault="00B578E1" w:rsidP="003615CB">
          <w:pPr>
            <w:pStyle w:val="Header"/>
            <w:jc w:val="right"/>
          </w:pPr>
        </w:p>
      </w:tc>
    </w:tr>
    <w:tr w:rsidR="00B578E1" w:rsidTr="00B644F9">
      <w:trPr>
        <w:trHeight w:val="231"/>
      </w:trPr>
      <w:tc>
        <w:tcPr>
          <w:tcW w:w="777" w:type="dxa"/>
          <w:vMerge/>
        </w:tcPr>
        <w:p w:rsidR="00B578E1" w:rsidRPr="00BF642B" w:rsidRDefault="00B578E1" w:rsidP="003615CB">
          <w:pPr>
            <w:pStyle w:val="Header"/>
            <w:rPr>
              <w:b/>
              <w:noProof/>
            </w:rPr>
          </w:pPr>
        </w:p>
      </w:tc>
      <w:tc>
        <w:tcPr>
          <w:tcW w:w="10439" w:type="dxa"/>
          <w:gridSpan w:val="2"/>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B644F9">
      <w:trPr>
        <w:trHeight w:val="313"/>
      </w:trPr>
      <w:tc>
        <w:tcPr>
          <w:tcW w:w="11216" w:type="dxa"/>
          <w:gridSpan w:val="3"/>
        </w:tcPr>
        <w:p w:rsidR="00B578E1" w:rsidRDefault="00B578E1" w:rsidP="00AD4B5B">
          <w:pPr>
            <w:pStyle w:val="Header"/>
            <w:tabs>
              <w:tab w:val="clear" w:pos="4680"/>
              <w:tab w:val="clear" w:pos="9360"/>
              <w:tab w:val="left" w:pos="1740"/>
            </w:tabs>
          </w:pPr>
          <w:r>
            <w:rPr>
              <w:i/>
              <w:noProof/>
              <w:color w:val="44546A" w:themeColor="text2"/>
            </w:rPr>
            <mc:AlternateContent>
              <mc:Choice Requires="wps">
                <w:drawing>
                  <wp:anchor distT="0" distB="0" distL="114300" distR="114300" simplePos="0" relativeHeight="251670528" behindDoc="0" locked="0" layoutInCell="1" allowOverlap="1">
                    <wp:simplePos x="0" y="0"/>
                    <wp:positionH relativeFrom="column">
                      <wp:posOffset>-447273</wp:posOffset>
                    </wp:positionH>
                    <wp:positionV relativeFrom="paragraph">
                      <wp:posOffset>157480</wp:posOffset>
                    </wp:positionV>
                    <wp:extent cx="6799115" cy="0"/>
                    <wp:effectExtent l="0" t="19050" r="40005"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911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2054" style="flip:y;mso-height-percent:0;mso-height-relative:margin;mso-width-percent:0;mso-width-relative:margin;mso-wrap-distance-bottom:0;mso-wrap-distance-left:9pt;mso-wrap-distance-right:9pt;mso-wrap-distance-top:0;mso-wrap-style:square;position:absolute;visibility:visible;z-index:251671552" from="-35.2pt,12.4pt" to="500.15pt,12.4pt" strokecolor="#4e92d1" strokeweight="4.5pt"/>
                </w:pict>
              </mc:Fallback>
            </mc:AlternateContent>
          </w:r>
          <w:r>
            <w:tab/>
          </w:r>
        </w:p>
      </w:tc>
    </w:tr>
  </w:tbl>
  <w:p w:rsidR="00B578E1" w:rsidRDefault="00B578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216"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4647"/>
      <w:gridCol w:w="574"/>
    </w:tblGrid>
    <w:tr w:rsidR="00B578E1" w:rsidTr="00B644F9">
      <w:trPr>
        <w:trHeight w:val="162"/>
      </w:trPr>
      <w:tc>
        <w:tcPr>
          <w:tcW w:w="777" w:type="dxa"/>
          <w:vMerge w:val="restart"/>
        </w:tcPr>
        <w:p w:rsidR="00B578E1" w:rsidRPr="00BF642B" w:rsidRDefault="00B578E1" w:rsidP="003615CB">
          <w:pPr>
            <w:pStyle w:val="Header"/>
            <w:rPr>
              <w:b/>
            </w:rPr>
          </w:pPr>
          <w:r w:rsidRPr="00BF642B">
            <w:rPr>
              <w:b/>
              <w:noProof/>
            </w:rPr>
            <w:drawing>
              <wp:inline distT="0" distB="0" distL="0" distR="0">
                <wp:extent cx="295275" cy="28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55828"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B578E1" w:rsidRDefault="00B578E1" w:rsidP="003615CB">
          <w:pPr>
            <w:pStyle w:val="Header"/>
            <w:ind w:left="-108"/>
          </w:pPr>
          <w:r w:rsidRPr="005F6C54">
            <w:rPr>
              <w:b/>
            </w:rPr>
            <w:t>The World Bank</w:t>
          </w:r>
        </w:p>
      </w:tc>
      <w:tc>
        <w:tcPr>
          <w:tcW w:w="5221" w:type="dxa"/>
          <w:gridSpan w:val="2"/>
          <w:vAlign w:val="center"/>
        </w:tcPr>
        <w:p w:rsidR="00B578E1" w:rsidRDefault="00B578E1" w:rsidP="003615CB">
          <w:pPr>
            <w:pStyle w:val="Header"/>
            <w:jc w:val="right"/>
          </w:pPr>
        </w:p>
      </w:tc>
    </w:tr>
    <w:tr w:rsidR="00B578E1" w:rsidTr="00B644F9">
      <w:trPr>
        <w:trHeight w:val="231"/>
      </w:trPr>
      <w:tc>
        <w:tcPr>
          <w:tcW w:w="777" w:type="dxa"/>
          <w:vMerge/>
        </w:tcPr>
        <w:p w:rsidR="00B578E1" w:rsidRPr="00BF642B" w:rsidRDefault="00B578E1" w:rsidP="003615CB">
          <w:pPr>
            <w:pStyle w:val="Header"/>
            <w:rPr>
              <w:b/>
              <w:noProof/>
            </w:rPr>
          </w:pPr>
        </w:p>
      </w:tc>
      <w:tc>
        <w:tcPr>
          <w:tcW w:w="10439" w:type="dxa"/>
          <w:gridSpan w:val="3"/>
        </w:tcPr>
        <w:p w:rsidR="00B578E1" w:rsidRPr="006E6C00" w:rsidRDefault="00B578E1" w:rsidP="003615CB">
          <w:pPr>
            <w:pStyle w:val="Header"/>
            <w:ind w:left="-108"/>
            <w:rPr>
              <w:bCs/>
              <w:noProof/>
              <w:sz w:val="20"/>
              <w:szCs w:val="20"/>
            </w:rPr>
          </w:pPr>
          <w:r>
            <w:rPr>
              <w:bCs/>
              <w:noProof/>
              <w:sz w:val="20"/>
              <w:szCs w:val="20"/>
            </w:rPr>
            <w:t>GZ-Water Sector Capacity Building ( P117443 )</w:t>
          </w:r>
        </w:p>
      </w:tc>
    </w:tr>
    <w:tr w:rsidR="00B578E1" w:rsidTr="00326D38">
      <w:trPr>
        <w:gridAfter w:val="1"/>
        <w:wAfter w:w="574" w:type="dxa"/>
        <w:trHeight w:val="313"/>
      </w:trPr>
      <w:tc>
        <w:tcPr>
          <w:tcW w:w="10642" w:type="dxa"/>
          <w:gridSpan w:val="3"/>
        </w:tcPr>
        <w:p w:rsidR="00B578E1" w:rsidRDefault="00B578E1" w:rsidP="00AD4B5B">
          <w:pPr>
            <w:pStyle w:val="Header"/>
            <w:tabs>
              <w:tab w:val="clear" w:pos="4680"/>
              <w:tab w:val="clear" w:pos="9360"/>
              <w:tab w:val="left" w:pos="1740"/>
            </w:tabs>
          </w:pPr>
          <w:r>
            <w:rPr>
              <w:i/>
              <w:noProof/>
              <w:color w:val="44546A" w:themeColor="text2"/>
            </w:rPr>
            <mc:AlternateContent>
              <mc:Choice Requires="wps">
                <w:drawing>
                  <wp:anchor distT="0" distB="0" distL="114300" distR="114300" simplePos="0" relativeHeight="251668480" behindDoc="0" locked="0" layoutInCell="1" allowOverlap="1">
                    <wp:simplePos x="0" y="0"/>
                    <wp:positionH relativeFrom="column">
                      <wp:posOffset>-120618</wp:posOffset>
                    </wp:positionH>
                    <wp:positionV relativeFrom="paragraph">
                      <wp:posOffset>157557</wp:posOffset>
                    </wp:positionV>
                    <wp:extent cx="6705600" cy="0"/>
                    <wp:effectExtent l="0" t="1905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2055" style="flip:y;mso-height-percent:0;mso-height-relative:margin;mso-width-percent:0;mso-width-relative:margin;mso-wrap-distance-bottom:0;mso-wrap-distance-left:9pt;mso-wrap-distance-right:9pt;mso-wrap-distance-top:0;mso-wrap-style:square;position:absolute;visibility:visible;z-index:251669504" from="-9.5pt,12.4pt" to="518.5pt,12.4pt" strokecolor="#4e92d1" strokeweight="4.5pt"/>
                </w:pict>
              </mc:Fallback>
            </mc:AlternateContent>
          </w:r>
          <w:r>
            <w:tab/>
          </w:r>
        </w:p>
      </w:tc>
    </w:tr>
  </w:tbl>
  <w:p w:rsidR="00B578E1" w:rsidRDefault="00B57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6489"/>
    <w:multiLevelType w:val="hybridMultilevel"/>
    <w:tmpl w:val="5BF4171A"/>
    <w:lvl w:ilvl="0" w:tplc="6B1C9078">
      <w:start w:val="1"/>
      <w:numFmt w:val="bullet"/>
      <w:lvlText w:val=""/>
      <w:lvlJc w:val="left"/>
      <w:pPr>
        <w:ind w:left="2520" w:hanging="360"/>
      </w:pPr>
      <w:rPr>
        <w:rFonts w:ascii="Wingdings" w:hAnsi="Wingdings" w:hint="default"/>
      </w:rPr>
    </w:lvl>
    <w:lvl w:ilvl="1" w:tplc="D50001A4" w:tentative="1">
      <w:start w:val="1"/>
      <w:numFmt w:val="bullet"/>
      <w:lvlText w:val="o"/>
      <w:lvlJc w:val="left"/>
      <w:pPr>
        <w:ind w:left="3240" w:hanging="360"/>
      </w:pPr>
      <w:rPr>
        <w:rFonts w:ascii="Courier New" w:hAnsi="Courier New" w:cs="Courier New" w:hint="default"/>
      </w:rPr>
    </w:lvl>
    <w:lvl w:ilvl="2" w:tplc="2AC2A730" w:tentative="1">
      <w:start w:val="1"/>
      <w:numFmt w:val="bullet"/>
      <w:lvlText w:val=""/>
      <w:lvlJc w:val="left"/>
      <w:pPr>
        <w:ind w:left="3960" w:hanging="360"/>
      </w:pPr>
      <w:rPr>
        <w:rFonts w:ascii="Wingdings" w:hAnsi="Wingdings" w:hint="default"/>
      </w:rPr>
    </w:lvl>
    <w:lvl w:ilvl="3" w:tplc="55A4D522" w:tentative="1">
      <w:start w:val="1"/>
      <w:numFmt w:val="bullet"/>
      <w:lvlText w:val=""/>
      <w:lvlJc w:val="left"/>
      <w:pPr>
        <w:ind w:left="4680" w:hanging="360"/>
      </w:pPr>
      <w:rPr>
        <w:rFonts w:ascii="Symbol" w:hAnsi="Symbol" w:hint="default"/>
      </w:rPr>
    </w:lvl>
    <w:lvl w:ilvl="4" w:tplc="FDCE5770" w:tentative="1">
      <w:start w:val="1"/>
      <w:numFmt w:val="bullet"/>
      <w:lvlText w:val="o"/>
      <w:lvlJc w:val="left"/>
      <w:pPr>
        <w:ind w:left="5400" w:hanging="360"/>
      </w:pPr>
      <w:rPr>
        <w:rFonts w:ascii="Courier New" w:hAnsi="Courier New" w:cs="Courier New" w:hint="default"/>
      </w:rPr>
    </w:lvl>
    <w:lvl w:ilvl="5" w:tplc="ED965798" w:tentative="1">
      <w:start w:val="1"/>
      <w:numFmt w:val="bullet"/>
      <w:lvlText w:val=""/>
      <w:lvlJc w:val="left"/>
      <w:pPr>
        <w:ind w:left="6120" w:hanging="360"/>
      </w:pPr>
      <w:rPr>
        <w:rFonts w:ascii="Wingdings" w:hAnsi="Wingdings" w:hint="default"/>
      </w:rPr>
    </w:lvl>
    <w:lvl w:ilvl="6" w:tplc="B672AC3E" w:tentative="1">
      <w:start w:val="1"/>
      <w:numFmt w:val="bullet"/>
      <w:lvlText w:val=""/>
      <w:lvlJc w:val="left"/>
      <w:pPr>
        <w:ind w:left="6840" w:hanging="360"/>
      </w:pPr>
      <w:rPr>
        <w:rFonts w:ascii="Symbol" w:hAnsi="Symbol" w:hint="default"/>
      </w:rPr>
    </w:lvl>
    <w:lvl w:ilvl="7" w:tplc="56AC863C" w:tentative="1">
      <w:start w:val="1"/>
      <w:numFmt w:val="bullet"/>
      <w:lvlText w:val="o"/>
      <w:lvlJc w:val="left"/>
      <w:pPr>
        <w:ind w:left="7560" w:hanging="360"/>
      </w:pPr>
      <w:rPr>
        <w:rFonts w:ascii="Courier New" w:hAnsi="Courier New" w:cs="Courier New" w:hint="default"/>
      </w:rPr>
    </w:lvl>
    <w:lvl w:ilvl="8" w:tplc="48A0742C" w:tentative="1">
      <w:start w:val="1"/>
      <w:numFmt w:val="bullet"/>
      <w:lvlText w:val=""/>
      <w:lvlJc w:val="left"/>
      <w:pPr>
        <w:ind w:left="8280" w:hanging="360"/>
      </w:pPr>
      <w:rPr>
        <w:rFonts w:ascii="Wingdings" w:hAnsi="Wingdings" w:hint="default"/>
      </w:rPr>
    </w:lvl>
  </w:abstractNum>
  <w:abstractNum w:abstractNumId="1" w15:restartNumberingAfterBreak="0">
    <w:nsid w:val="0F084699"/>
    <w:multiLevelType w:val="hybridMultilevel"/>
    <w:tmpl w:val="65F86928"/>
    <w:lvl w:ilvl="0" w:tplc="5952FCAA">
      <w:start w:val="1"/>
      <w:numFmt w:val="decimal"/>
      <w:lvlText w:val="%1."/>
      <w:lvlJc w:val="left"/>
      <w:pPr>
        <w:ind w:left="990" w:hanging="360"/>
      </w:pPr>
      <w:rPr>
        <w:rFonts w:hint="default"/>
      </w:rPr>
    </w:lvl>
    <w:lvl w:ilvl="1" w:tplc="A276296A">
      <w:start w:val="1"/>
      <w:numFmt w:val="bullet"/>
      <w:lvlText w:val="o"/>
      <w:lvlJc w:val="left"/>
      <w:pPr>
        <w:ind w:left="1440" w:hanging="360"/>
      </w:pPr>
      <w:rPr>
        <w:rFonts w:ascii="Courier New" w:hAnsi="Courier New" w:cs="Courier New" w:hint="default"/>
      </w:rPr>
    </w:lvl>
    <w:lvl w:ilvl="2" w:tplc="482E8F76">
      <w:start w:val="1"/>
      <w:numFmt w:val="lowerLetter"/>
      <w:lvlText w:val="(%3)"/>
      <w:lvlJc w:val="left"/>
      <w:pPr>
        <w:ind w:left="2220" w:hanging="420"/>
      </w:pPr>
      <w:rPr>
        <w:rFonts w:hint="default"/>
      </w:rPr>
    </w:lvl>
    <w:lvl w:ilvl="3" w:tplc="08F02A18">
      <w:numFmt w:val="bullet"/>
      <w:lvlText w:val=""/>
      <w:lvlJc w:val="left"/>
      <w:pPr>
        <w:ind w:left="2880" w:hanging="360"/>
      </w:pPr>
      <w:rPr>
        <w:rFonts w:ascii="Wingdings" w:eastAsia="Calibri" w:hAnsi="Wingdings" w:cstheme="majorBidi" w:hint="default"/>
      </w:rPr>
    </w:lvl>
    <w:lvl w:ilvl="4" w:tplc="48E8843C" w:tentative="1">
      <w:start w:val="1"/>
      <w:numFmt w:val="bullet"/>
      <w:lvlText w:val="o"/>
      <w:lvlJc w:val="left"/>
      <w:pPr>
        <w:ind w:left="3600" w:hanging="360"/>
      </w:pPr>
      <w:rPr>
        <w:rFonts w:ascii="Courier New" w:hAnsi="Courier New" w:cs="Courier New" w:hint="default"/>
      </w:rPr>
    </w:lvl>
    <w:lvl w:ilvl="5" w:tplc="90B4D8C6" w:tentative="1">
      <w:start w:val="1"/>
      <w:numFmt w:val="bullet"/>
      <w:lvlText w:val=""/>
      <w:lvlJc w:val="left"/>
      <w:pPr>
        <w:ind w:left="4320" w:hanging="360"/>
      </w:pPr>
      <w:rPr>
        <w:rFonts w:ascii="Wingdings" w:hAnsi="Wingdings" w:hint="default"/>
      </w:rPr>
    </w:lvl>
    <w:lvl w:ilvl="6" w:tplc="A6EADEA8" w:tentative="1">
      <w:start w:val="1"/>
      <w:numFmt w:val="bullet"/>
      <w:lvlText w:val=""/>
      <w:lvlJc w:val="left"/>
      <w:pPr>
        <w:ind w:left="5040" w:hanging="360"/>
      </w:pPr>
      <w:rPr>
        <w:rFonts w:ascii="Symbol" w:hAnsi="Symbol" w:hint="default"/>
      </w:rPr>
    </w:lvl>
    <w:lvl w:ilvl="7" w:tplc="943EB4E6" w:tentative="1">
      <w:start w:val="1"/>
      <w:numFmt w:val="bullet"/>
      <w:lvlText w:val="o"/>
      <w:lvlJc w:val="left"/>
      <w:pPr>
        <w:ind w:left="5760" w:hanging="360"/>
      </w:pPr>
      <w:rPr>
        <w:rFonts w:ascii="Courier New" w:hAnsi="Courier New" w:cs="Courier New" w:hint="default"/>
      </w:rPr>
    </w:lvl>
    <w:lvl w:ilvl="8" w:tplc="691E42D8" w:tentative="1">
      <w:start w:val="1"/>
      <w:numFmt w:val="bullet"/>
      <w:lvlText w:val=""/>
      <w:lvlJc w:val="left"/>
      <w:pPr>
        <w:ind w:left="6480" w:hanging="360"/>
      </w:pPr>
      <w:rPr>
        <w:rFonts w:ascii="Wingdings" w:hAnsi="Wingdings" w:hint="default"/>
      </w:rPr>
    </w:lvl>
  </w:abstractNum>
  <w:abstractNum w:abstractNumId="2" w15:restartNumberingAfterBreak="0">
    <w:nsid w:val="1149405E"/>
    <w:multiLevelType w:val="hybridMultilevel"/>
    <w:tmpl w:val="1A3AA770"/>
    <w:lvl w:ilvl="0" w:tplc="3A702C7E">
      <w:start w:val="1"/>
      <w:numFmt w:val="bullet"/>
      <w:lvlText w:val=""/>
      <w:lvlJc w:val="left"/>
      <w:pPr>
        <w:ind w:left="720" w:hanging="360"/>
      </w:pPr>
      <w:rPr>
        <w:rFonts w:ascii="Symbol" w:hAnsi="Symbol" w:hint="default"/>
      </w:rPr>
    </w:lvl>
    <w:lvl w:ilvl="1" w:tplc="61D6BCD0" w:tentative="1">
      <w:start w:val="1"/>
      <w:numFmt w:val="bullet"/>
      <w:lvlText w:val="o"/>
      <w:lvlJc w:val="left"/>
      <w:pPr>
        <w:ind w:left="1440" w:hanging="360"/>
      </w:pPr>
      <w:rPr>
        <w:rFonts w:ascii="Courier New" w:hAnsi="Courier New" w:cs="Courier New" w:hint="default"/>
      </w:rPr>
    </w:lvl>
    <w:lvl w:ilvl="2" w:tplc="22628918" w:tentative="1">
      <w:start w:val="1"/>
      <w:numFmt w:val="bullet"/>
      <w:lvlText w:val=""/>
      <w:lvlJc w:val="left"/>
      <w:pPr>
        <w:ind w:left="2160" w:hanging="360"/>
      </w:pPr>
      <w:rPr>
        <w:rFonts w:ascii="Wingdings" w:hAnsi="Wingdings" w:hint="default"/>
      </w:rPr>
    </w:lvl>
    <w:lvl w:ilvl="3" w:tplc="F12A6F40" w:tentative="1">
      <w:start w:val="1"/>
      <w:numFmt w:val="bullet"/>
      <w:lvlText w:val=""/>
      <w:lvlJc w:val="left"/>
      <w:pPr>
        <w:ind w:left="2880" w:hanging="360"/>
      </w:pPr>
      <w:rPr>
        <w:rFonts w:ascii="Symbol" w:hAnsi="Symbol" w:hint="default"/>
      </w:rPr>
    </w:lvl>
    <w:lvl w:ilvl="4" w:tplc="4F9EF6D8" w:tentative="1">
      <w:start w:val="1"/>
      <w:numFmt w:val="bullet"/>
      <w:lvlText w:val="o"/>
      <w:lvlJc w:val="left"/>
      <w:pPr>
        <w:ind w:left="3600" w:hanging="360"/>
      </w:pPr>
      <w:rPr>
        <w:rFonts w:ascii="Courier New" w:hAnsi="Courier New" w:cs="Courier New" w:hint="default"/>
      </w:rPr>
    </w:lvl>
    <w:lvl w:ilvl="5" w:tplc="4C9EDE76" w:tentative="1">
      <w:start w:val="1"/>
      <w:numFmt w:val="bullet"/>
      <w:lvlText w:val=""/>
      <w:lvlJc w:val="left"/>
      <w:pPr>
        <w:ind w:left="4320" w:hanging="360"/>
      </w:pPr>
      <w:rPr>
        <w:rFonts w:ascii="Wingdings" w:hAnsi="Wingdings" w:hint="default"/>
      </w:rPr>
    </w:lvl>
    <w:lvl w:ilvl="6" w:tplc="F6BE572E" w:tentative="1">
      <w:start w:val="1"/>
      <w:numFmt w:val="bullet"/>
      <w:lvlText w:val=""/>
      <w:lvlJc w:val="left"/>
      <w:pPr>
        <w:ind w:left="5040" w:hanging="360"/>
      </w:pPr>
      <w:rPr>
        <w:rFonts w:ascii="Symbol" w:hAnsi="Symbol" w:hint="default"/>
      </w:rPr>
    </w:lvl>
    <w:lvl w:ilvl="7" w:tplc="ECC61DEC" w:tentative="1">
      <w:start w:val="1"/>
      <w:numFmt w:val="bullet"/>
      <w:lvlText w:val="o"/>
      <w:lvlJc w:val="left"/>
      <w:pPr>
        <w:ind w:left="5760" w:hanging="360"/>
      </w:pPr>
      <w:rPr>
        <w:rFonts w:ascii="Courier New" w:hAnsi="Courier New" w:cs="Courier New" w:hint="default"/>
      </w:rPr>
    </w:lvl>
    <w:lvl w:ilvl="8" w:tplc="5EB825A4" w:tentative="1">
      <w:start w:val="1"/>
      <w:numFmt w:val="bullet"/>
      <w:lvlText w:val=""/>
      <w:lvlJc w:val="left"/>
      <w:pPr>
        <w:ind w:left="6480" w:hanging="360"/>
      </w:pPr>
      <w:rPr>
        <w:rFonts w:ascii="Wingdings" w:hAnsi="Wingdings" w:hint="default"/>
      </w:rPr>
    </w:lvl>
  </w:abstractNum>
  <w:abstractNum w:abstractNumId="3" w15:restartNumberingAfterBreak="0">
    <w:nsid w:val="14A83411"/>
    <w:multiLevelType w:val="hybridMultilevel"/>
    <w:tmpl w:val="42B2392A"/>
    <w:lvl w:ilvl="0" w:tplc="97CC0BAA">
      <w:start w:val="1"/>
      <w:numFmt w:val="bullet"/>
      <w:lvlText w:val=""/>
      <w:lvlJc w:val="left"/>
      <w:pPr>
        <w:ind w:left="2520" w:hanging="360"/>
      </w:pPr>
      <w:rPr>
        <w:rFonts w:ascii="Wingdings" w:hAnsi="Wingdings" w:hint="default"/>
      </w:rPr>
    </w:lvl>
    <w:lvl w:ilvl="1" w:tplc="F768FDAA" w:tentative="1">
      <w:start w:val="1"/>
      <w:numFmt w:val="bullet"/>
      <w:lvlText w:val="o"/>
      <w:lvlJc w:val="left"/>
      <w:pPr>
        <w:ind w:left="3240" w:hanging="360"/>
      </w:pPr>
      <w:rPr>
        <w:rFonts w:ascii="Courier New" w:hAnsi="Courier New" w:cs="Courier New" w:hint="default"/>
      </w:rPr>
    </w:lvl>
    <w:lvl w:ilvl="2" w:tplc="13784E28" w:tentative="1">
      <w:start w:val="1"/>
      <w:numFmt w:val="bullet"/>
      <w:lvlText w:val=""/>
      <w:lvlJc w:val="left"/>
      <w:pPr>
        <w:ind w:left="3960" w:hanging="360"/>
      </w:pPr>
      <w:rPr>
        <w:rFonts w:ascii="Wingdings" w:hAnsi="Wingdings" w:hint="default"/>
      </w:rPr>
    </w:lvl>
    <w:lvl w:ilvl="3" w:tplc="BBBA531C" w:tentative="1">
      <w:start w:val="1"/>
      <w:numFmt w:val="bullet"/>
      <w:lvlText w:val=""/>
      <w:lvlJc w:val="left"/>
      <w:pPr>
        <w:ind w:left="4680" w:hanging="360"/>
      </w:pPr>
      <w:rPr>
        <w:rFonts w:ascii="Symbol" w:hAnsi="Symbol" w:hint="default"/>
      </w:rPr>
    </w:lvl>
    <w:lvl w:ilvl="4" w:tplc="CE147B24" w:tentative="1">
      <w:start w:val="1"/>
      <w:numFmt w:val="bullet"/>
      <w:lvlText w:val="o"/>
      <w:lvlJc w:val="left"/>
      <w:pPr>
        <w:ind w:left="5400" w:hanging="360"/>
      </w:pPr>
      <w:rPr>
        <w:rFonts w:ascii="Courier New" w:hAnsi="Courier New" w:cs="Courier New" w:hint="default"/>
      </w:rPr>
    </w:lvl>
    <w:lvl w:ilvl="5" w:tplc="7FA8B3C4" w:tentative="1">
      <w:start w:val="1"/>
      <w:numFmt w:val="bullet"/>
      <w:lvlText w:val=""/>
      <w:lvlJc w:val="left"/>
      <w:pPr>
        <w:ind w:left="6120" w:hanging="360"/>
      </w:pPr>
      <w:rPr>
        <w:rFonts w:ascii="Wingdings" w:hAnsi="Wingdings" w:hint="default"/>
      </w:rPr>
    </w:lvl>
    <w:lvl w:ilvl="6" w:tplc="D7A0BD82" w:tentative="1">
      <w:start w:val="1"/>
      <w:numFmt w:val="bullet"/>
      <w:lvlText w:val=""/>
      <w:lvlJc w:val="left"/>
      <w:pPr>
        <w:ind w:left="6840" w:hanging="360"/>
      </w:pPr>
      <w:rPr>
        <w:rFonts w:ascii="Symbol" w:hAnsi="Symbol" w:hint="default"/>
      </w:rPr>
    </w:lvl>
    <w:lvl w:ilvl="7" w:tplc="A2062770" w:tentative="1">
      <w:start w:val="1"/>
      <w:numFmt w:val="bullet"/>
      <w:lvlText w:val="o"/>
      <w:lvlJc w:val="left"/>
      <w:pPr>
        <w:ind w:left="7560" w:hanging="360"/>
      </w:pPr>
      <w:rPr>
        <w:rFonts w:ascii="Courier New" w:hAnsi="Courier New" w:cs="Courier New" w:hint="default"/>
      </w:rPr>
    </w:lvl>
    <w:lvl w:ilvl="8" w:tplc="7A2EDD56" w:tentative="1">
      <w:start w:val="1"/>
      <w:numFmt w:val="bullet"/>
      <w:lvlText w:val=""/>
      <w:lvlJc w:val="left"/>
      <w:pPr>
        <w:ind w:left="8280" w:hanging="360"/>
      </w:pPr>
      <w:rPr>
        <w:rFonts w:ascii="Wingdings" w:hAnsi="Wingdings" w:hint="default"/>
      </w:rPr>
    </w:lvl>
  </w:abstractNum>
  <w:abstractNum w:abstractNumId="4" w15:restartNumberingAfterBreak="0">
    <w:nsid w:val="14AD6D41"/>
    <w:multiLevelType w:val="hybridMultilevel"/>
    <w:tmpl w:val="44EEB2BA"/>
    <w:lvl w:ilvl="0" w:tplc="96C45C90">
      <w:start w:val="1"/>
      <w:numFmt w:val="bullet"/>
      <w:lvlText w:val=""/>
      <w:lvlJc w:val="left"/>
      <w:pPr>
        <w:ind w:left="720" w:hanging="360"/>
      </w:pPr>
      <w:rPr>
        <w:rFonts w:ascii="Symbol" w:hAnsi="Symbol" w:hint="default"/>
      </w:rPr>
    </w:lvl>
    <w:lvl w:ilvl="1" w:tplc="58B46F18" w:tentative="1">
      <w:start w:val="1"/>
      <w:numFmt w:val="bullet"/>
      <w:lvlText w:val="o"/>
      <w:lvlJc w:val="left"/>
      <w:pPr>
        <w:ind w:left="1440" w:hanging="360"/>
      </w:pPr>
      <w:rPr>
        <w:rFonts w:ascii="Courier New" w:hAnsi="Courier New" w:cs="Courier New" w:hint="default"/>
      </w:rPr>
    </w:lvl>
    <w:lvl w:ilvl="2" w:tplc="6D48CC84" w:tentative="1">
      <w:start w:val="1"/>
      <w:numFmt w:val="bullet"/>
      <w:lvlText w:val=""/>
      <w:lvlJc w:val="left"/>
      <w:pPr>
        <w:ind w:left="2160" w:hanging="360"/>
      </w:pPr>
      <w:rPr>
        <w:rFonts w:ascii="Wingdings" w:hAnsi="Wingdings" w:hint="default"/>
      </w:rPr>
    </w:lvl>
    <w:lvl w:ilvl="3" w:tplc="75CEBFA2" w:tentative="1">
      <w:start w:val="1"/>
      <w:numFmt w:val="bullet"/>
      <w:lvlText w:val=""/>
      <w:lvlJc w:val="left"/>
      <w:pPr>
        <w:ind w:left="2880" w:hanging="360"/>
      </w:pPr>
      <w:rPr>
        <w:rFonts w:ascii="Symbol" w:hAnsi="Symbol" w:hint="default"/>
      </w:rPr>
    </w:lvl>
    <w:lvl w:ilvl="4" w:tplc="50064F2A" w:tentative="1">
      <w:start w:val="1"/>
      <w:numFmt w:val="bullet"/>
      <w:lvlText w:val="o"/>
      <w:lvlJc w:val="left"/>
      <w:pPr>
        <w:ind w:left="3600" w:hanging="360"/>
      </w:pPr>
      <w:rPr>
        <w:rFonts w:ascii="Courier New" w:hAnsi="Courier New" w:cs="Courier New" w:hint="default"/>
      </w:rPr>
    </w:lvl>
    <w:lvl w:ilvl="5" w:tplc="84EE1FD6" w:tentative="1">
      <w:start w:val="1"/>
      <w:numFmt w:val="bullet"/>
      <w:lvlText w:val=""/>
      <w:lvlJc w:val="left"/>
      <w:pPr>
        <w:ind w:left="4320" w:hanging="360"/>
      </w:pPr>
      <w:rPr>
        <w:rFonts w:ascii="Wingdings" w:hAnsi="Wingdings" w:hint="default"/>
      </w:rPr>
    </w:lvl>
    <w:lvl w:ilvl="6" w:tplc="DF985F8E" w:tentative="1">
      <w:start w:val="1"/>
      <w:numFmt w:val="bullet"/>
      <w:lvlText w:val=""/>
      <w:lvlJc w:val="left"/>
      <w:pPr>
        <w:ind w:left="5040" w:hanging="360"/>
      </w:pPr>
      <w:rPr>
        <w:rFonts w:ascii="Symbol" w:hAnsi="Symbol" w:hint="default"/>
      </w:rPr>
    </w:lvl>
    <w:lvl w:ilvl="7" w:tplc="4D44C046" w:tentative="1">
      <w:start w:val="1"/>
      <w:numFmt w:val="bullet"/>
      <w:lvlText w:val="o"/>
      <w:lvlJc w:val="left"/>
      <w:pPr>
        <w:ind w:left="5760" w:hanging="360"/>
      </w:pPr>
      <w:rPr>
        <w:rFonts w:ascii="Courier New" w:hAnsi="Courier New" w:cs="Courier New" w:hint="default"/>
      </w:rPr>
    </w:lvl>
    <w:lvl w:ilvl="8" w:tplc="BF3632C4" w:tentative="1">
      <w:start w:val="1"/>
      <w:numFmt w:val="bullet"/>
      <w:lvlText w:val=""/>
      <w:lvlJc w:val="left"/>
      <w:pPr>
        <w:ind w:left="6480" w:hanging="360"/>
      </w:pPr>
      <w:rPr>
        <w:rFonts w:ascii="Wingdings" w:hAnsi="Wingdings" w:hint="default"/>
      </w:rPr>
    </w:lvl>
  </w:abstractNum>
  <w:abstractNum w:abstractNumId="5" w15:restartNumberingAfterBreak="0">
    <w:nsid w:val="197E2257"/>
    <w:multiLevelType w:val="hybridMultilevel"/>
    <w:tmpl w:val="F9189FDC"/>
    <w:lvl w:ilvl="0" w:tplc="C5ACEBA2">
      <w:start w:val="1"/>
      <w:numFmt w:val="lowerLetter"/>
      <w:lvlText w:val="(%1)"/>
      <w:lvlJc w:val="left"/>
      <w:pPr>
        <w:ind w:left="720" w:hanging="360"/>
      </w:pPr>
      <w:rPr>
        <w:rFonts w:hint="default"/>
      </w:rPr>
    </w:lvl>
    <w:lvl w:ilvl="1" w:tplc="3B127982" w:tentative="1">
      <w:start w:val="1"/>
      <w:numFmt w:val="lowerLetter"/>
      <w:lvlText w:val="%2."/>
      <w:lvlJc w:val="left"/>
      <w:pPr>
        <w:ind w:left="1440" w:hanging="360"/>
      </w:pPr>
    </w:lvl>
    <w:lvl w:ilvl="2" w:tplc="F1C6F36E" w:tentative="1">
      <w:start w:val="1"/>
      <w:numFmt w:val="lowerRoman"/>
      <w:lvlText w:val="%3."/>
      <w:lvlJc w:val="right"/>
      <w:pPr>
        <w:ind w:left="2160" w:hanging="180"/>
      </w:pPr>
    </w:lvl>
    <w:lvl w:ilvl="3" w:tplc="5E88EE70" w:tentative="1">
      <w:start w:val="1"/>
      <w:numFmt w:val="decimal"/>
      <w:lvlText w:val="%4."/>
      <w:lvlJc w:val="left"/>
      <w:pPr>
        <w:ind w:left="2880" w:hanging="360"/>
      </w:pPr>
    </w:lvl>
    <w:lvl w:ilvl="4" w:tplc="EA8E0A28" w:tentative="1">
      <w:start w:val="1"/>
      <w:numFmt w:val="lowerLetter"/>
      <w:lvlText w:val="%5."/>
      <w:lvlJc w:val="left"/>
      <w:pPr>
        <w:ind w:left="3600" w:hanging="360"/>
      </w:pPr>
    </w:lvl>
    <w:lvl w:ilvl="5" w:tplc="E778783E" w:tentative="1">
      <w:start w:val="1"/>
      <w:numFmt w:val="lowerRoman"/>
      <w:lvlText w:val="%6."/>
      <w:lvlJc w:val="right"/>
      <w:pPr>
        <w:ind w:left="4320" w:hanging="180"/>
      </w:pPr>
    </w:lvl>
    <w:lvl w:ilvl="6" w:tplc="67E8C4A4" w:tentative="1">
      <w:start w:val="1"/>
      <w:numFmt w:val="decimal"/>
      <w:lvlText w:val="%7."/>
      <w:lvlJc w:val="left"/>
      <w:pPr>
        <w:ind w:left="5040" w:hanging="360"/>
      </w:pPr>
    </w:lvl>
    <w:lvl w:ilvl="7" w:tplc="76145DAA" w:tentative="1">
      <w:start w:val="1"/>
      <w:numFmt w:val="lowerLetter"/>
      <w:lvlText w:val="%8."/>
      <w:lvlJc w:val="left"/>
      <w:pPr>
        <w:ind w:left="5760" w:hanging="360"/>
      </w:pPr>
    </w:lvl>
    <w:lvl w:ilvl="8" w:tplc="BC30EDAA" w:tentative="1">
      <w:start w:val="1"/>
      <w:numFmt w:val="lowerRoman"/>
      <w:lvlText w:val="%9."/>
      <w:lvlJc w:val="right"/>
      <w:pPr>
        <w:ind w:left="6480" w:hanging="180"/>
      </w:pPr>
    </w:lvl>
  </w:abstractNum>
  <w:abstractNum w:abstractNumId="6" w15:restartNumberingAfterBreak="0">
    <w:nsid w:val="1A420A35"/>
    <w:multiLevelType w:val="hybridMultilevel"/>
    <w:tmpl w:val="5D109824"/>
    <w:lvl w:ilvl="0" w:tplc="E6088828">
      <w:start w:val="1"/>
      <w:numFmt w:val="upperLetter"/>
      <w:lvlText w:val="%1."/>
      <w:lvlJc w:val="left"/>
      <w:pPr>
        <w:ind w:left="-331" w:hanging="360"/>
      </w:pPr>
      <w:rPr>
        <w:rFonts w:hint="default"/>
        <w:color w:val="002060"/>
        <w:sz w:val="22"/>
      </w:rPr>
    </w:lvl>
    <w:lvl w:ilvl="1" w:tplc="F702A28E" w:tentative="1">
      <w:start w:val="1"/>
      <w:numFmt w:val="lowerLetter"/>
      <w:lvlText w:val="%2."/>
      <w:lvlJc w:val="left"/>
      <w:pPr>
        <w:ind w:left="389" w:hanging="360"/>
      </w:pPr>
    </w:lvl>
    <w:lvl w:ilvl="2" w:tplc="CD4C52C6" w:tentative="1">
      <w:start w:val="1"/>
      <w:numFmt w:val="lowerRoman"/>
      <w:lvlText w:val="%3."/>
      <w:lvlJc w:val="right"/>
      <w:pPr>
        <w:ind w:left="1109" w:hanging="180"/>
      </w:pPr>
    </w:lvl>
    <w:lvl w:ilvl="3" w:tplc="FBAC8E22" w:tentative="1">
      <w:start w:val="1"/>
      <w:numFmt w:val="decimal"/>
      <w:lvlText w:val="%4."/>
      <w:lvlJc w:val="left"/>
      <w:pPr>
        <w:ind w:left="1829" w:hanging="360"/>
      </w:pPr>
    </w:lvl>
    <w:lvl w:ilvl="4" w:tplc="4BFECE8A" w:tentative="1">
      <w:start w:val="1"/>
      <w:numFmt w:val="lowerLetter"/>
      <w:lvlText w:val="%5."/>
      <w:lvlJc w:val="left"/>
      <w:pPr>
        <w:ind w:left="2549" w:hanging="360"/>
      </w:pPr>
    </w:lvl>
    <w:lvl w:ilvl="5" w:tplc="FB84928E" w:tentative="1">
      <w:start w:val="1"/>
      <w:numFmt w:val="lowerRoman"/>
      <w:lvlText w:val="%6."/>
      <w:lvlJc w:val="right"/>
      <w:pPr>
        <w:ind w:left="3269" w:hanging="180"/>
      </w:pPr>
    </w:lvl>
    <w:lvl w:ilvl="6" w:tplc="E0E08F10" w:tentative="1">
      <w:start w:val="1"/>
      <w:numFmt w:val="decimal"/>
      <w:lvlText w:val="%7."/>
      <w:lvlJc w:val="left"/>
      <w:pPr>
        <w:ind w:left="3989" w:hanging="360"/>
      </w:pPr>
    </w:lvl>
    <w:lvl w:ilvl="7" w:tplc="F42E0AA6" w:tentative="1">
      <w:start w:val="1"/>
      <w:numFmt w:val="lowerLetter"/>
      <w:lvlText w:val="%8."/>
      <w:lvlJc w:val="left"/>
      <w:pPr>
        <w:ind w:left="4709" w:hanging="360"/>
      </w:pPr>
    </w:lvl>
    <w:lvl w:ilvl="8" w:tplc="BCAA67BA" w:tentative="1">
      <w:start w:val="1"/>
      <w:numFmt w:val="lowerRoman"/>
      <w:lvlText w:val="%9."/>
      <w:lvlJc w:val="right"/>
      <w:pPr>
        <w:ind w:left="5429" w:hanging="180"/>
      </w:pPr>
    </w:lvl>
  </w:abstractNum>
  <w:abstractNum w:abstractNumId="7" w15:restartNumberingAfterBreak="0">
    <w:nsid w:val="1A5C68B0"/>
    <w:multiLevelType w:val="hybridMultilevel"/>
    <w:tmpl w:val="962A2D1C"/>
    <w:lvl w:ilvl="0" w:tplc="8CA88240">
      <w:start w:val="1"/>
      <w:numFmt w:val="upperLetter"/>
      <w:lvlText w:val="%1."/>
      <w:lvlJc w:val="left"/>
      <w:pPr>
        <w:ind w:left="360" w:hanging="360"/>
      </w:pPr>
      <w:rPr>
        <w:rFonts w:hint="default"/>
      </w:rPr>
    </w:lvl>
    <w:lvl w:ilvl="1" w:tplc="62861780" w:tentative="1">
      <w:start w:val="1"/>
      <w:numFmt w:val="lowerLetter"/>
      <w:lvlText w:val="%2."/>
      <w:lvlJc w:val="left"/>
      <w:pPr>
        <w:ind w:left="1080" w:hanging="360"/>
      </w:pPr>
    </w:lvl>
    <w:lvl w:ilvl="2" w:tplc="DAF22F48" w:tentative="1">
      <w:start w:val="1"/>
      <w:numFmt w:val="lowerRoman"/>
      <w:lvlText w:val="%3."/>
      <w:lvlJc w:val="right"/>
      <w:pPr>
        <w:ind w:left="1800" w:hanging="180"/>
      </w:pPr>
    </w:lvl>
    <w:lvl w:ilvl="3" w:tplc="4724AB10" w:tentative="1">
      <w:start w:val="1"/>
      <w:numFmt w:val="decimal"/>
      <w:lvlText w:val="%4."/>
      <w:lvlJc w:val="left"/>
      <w:pPr>
        <w:ind w:left="2520" w:hanging="360"/>
      </w:pPr>
    </w:lvl>
    <w:lvl w:ilvl="4" w:tplc="19262496" w:tentative="1">
      <w:start w:val="1"/>
      <w:numFmt w:val="lowerLetter"/>
      <w:lvlText w:val="%5."/>
      <w:lvlJc w:val="left"/>
      <w:pPr>
        <w:ind w:left="3240" w:hanging="360"/>
      </w:pPr>
    </w:lvl>
    <w:lvl w:ilvl="5" w:tplc="1270A7F8" w:tentative="1">
      <w:start w:val="1"/>
      <w:numFmt w:val="lowerRoman"/>
      <w:lvlText w:val="%6."/>
      <w:lvlJc w:val="right"/>
      <w:pPr>
        <w:ind w:left="3960" w:hanging="180"/>
      </w:pPr>
    </w:lvl>
    <w:lvl w:ilvl="6" w:tplc="5F20C9F4" w:tentative="1">
      <w:start w:val="1"/>
      <w:numFmt w:val="decimal"/>
      <w:lvlText w:val="%7."/>
      <w:lvlJc w:val="left"/>
      <w:pPr>
        <w:ind w:left="4680" w:hanging="360"/>
      </w:pPr>
    </w:lvl>
    <w:lvl w:ilvl="7" w:tplc="3A0C37E6" w:tentative="1">
      <w:start w:val="1"/>
      <w:numFmt w:val="lowerLetter"/>
      <w:lvlText w:val="%8."/>
      <w:lvlJc w:val="left"/>
      <w:pPr>
        <w:ind w:left="5400" w:hanging="360"/>
      </w:pPr>
    </w:lvl>
    <w:lvl w:ilvl="8" w:tplc="F46C9C86" w:tentative="1">
      <w:start w:val="1"/>
      <w:numFmt w:val="lowerRoman"/>
      <w:lvlText w:val="%9."/>
      <w:lvlJc w:val="right"/>
      <w:pPr>
        <w:ind w:left="6120" w:hanging="180"/>
      </w:pPr>
    </w:lvl>
  </w:abstractNum>
  <w:abstractNum w:abstractNumId="8" w15:restartNumberingAfterBreak="0">
    <w:nsid w:val="1BDE464C"/>
    <w:multiLevelType w:val="hybridMultilevel"/>
    <w:tmpl w:val="CEDED92C"/>
    <w:lvl w:ilvl="0" w:tplc="B554E586">
      <w:start w:val="1"/>
      <w:numFmt w:val="decimal"/>
      <w:lvlText w:val="%1."/>
      <w:lvlJc w:val="left"/>
      <w:pPr>
        <w:ind w:left="720" w:hanging="360"/>
      </w:pPr>
      <w:rPr>
        <w:rFonts w:hint="default"/>
        <w:b w:val="0"/>
        <w:color w:val="auto"/>
        <w:sz w:val="22"/>
      </w:rPr>
    </w:lvl>
    <w:lvl w:ilvl="1" w:tplc="CF9E692A" w:tentative="1">
      <w:start w:val="1"/>
      <w:numFmt w:val="lowerLetter"/>
      <w:lvlText w:val="%2."/>
      <w:lvlJc w:val="left"/>
      <w:pPr>
        <w:ind w:left="1440" w:hanging="360"/>
      </w:pPr>
    </w:lvl>
    <w:lvl w:ilvl="2" w:tplc="F0F69DDA" w:tentative="1">
      <w:start w:val="1"/>
      <w:numFmt w:val="lowerRoman"/>
      <w:lvlText w:val="%3."/>
      <w:lvlJc w:val="right"/>
      <w:pPr>
        <w:ind w:left="2160" w:hanging="180"/>
      </w:pPr>
    </w:lvl>
    <w:lvl w:ilvl="3" w:tplc="1E1C5A60" w:tentative="1">
      <w:start w:val="1"/>
      <w:numFmt w:val="decimal"/>
      <w:lvlText w:val="%4."/>
      <w:lvlJc w:val="left"/>
      <w:pPr>
        <w:ind w:left="2880" w:hanging="360"/>
      </w:pPr>
    </w:lvl>
    <w:lvl w:ilvl="4" w:tplc="878EB384" w:tentative="1">
      <w:start w:val="1"/>
      <w:numFmt w:val="lowerLetter"/>
      <w:lvlText w:val="%5."/>
      <w:lvlJc w:val="left"/>
      <w:pPr>
        <w:ind w:left="3600" w:hanging="360"/>
      </w:pPr>
    </w:lvl>
    <w:lvl w:ilvl="5" w:tplc="676059E0" w:tentative="1">
      <w:start w:val="1"/>
      <w:numFmt w:val="lowerRoman"/>
      <w:lvlText w:val="%6."/>
      <w:lvlJc w:val="right"/>
      <w:pPr>
        <w:ind w:left="4320" w:hanging="180"/>
      </w:pPr>
    </w:lvl>
    <w:lvl w:ilvl="6" w:tplc="5844C466" w:tentative="1">
      <w:start w:val="1"/>
      <w:numFmt w:val="decimal"/>
      <w:lvlText w:val="%7."/>
      <w:lvlJc w:val="left"/>
      <w:pPr>
        <w:ind w:left="5040" w:hanging="360"/>
      </w:pPr>
    </w:lvl>
    <w:lvl w:ilvl="7" w:tplc="EF647B8C" w:tentative="1">
      <w:start w:val="1"/>
      <w:numFmt w:val="lowerLetter"/>
      <w:lvlText w:val="%8."/>
      <w:lvlJc w:val="left"/>
      <w:pPr>
        <w:ind w:left="5760" w:hanging="360"/>
      </w:pPr>
    </w:lvl>
    <w:lvl w:ilvl="8" w:tplc="1BF03AD8" w:tentative="1">
      <w:start w:val="1"/>
      <w:numFmt w:val="lowerRoman"/>
      <w:lvlText w:val="%9."/>
      <w:lvlJc w:val="right"/>
      <w:pPr>
        <w:ind w:left="6480" w:hanging="180"/>
      </w:pPr>
    </w:lvl>
  </w:abstractNum>
  <w:abstractNum w:abstractNumId="9" w15:restartNumberingAfterBreak="0">
    <w:nsid w:val="1BFA0B0C"/>
    <w:multiLevelType w:val="hybridMultilevel"/>
    <w:tmpl w:val="22800162"/>
    <w:lvl w:ilvl="0" w:tplc="BCAEFDB2">
      <w:start w:val="1"/>
      <w:numFmt w:val="decimal"/>
      <w:lvlText w:val="%1."/>
      <w:lvlJc w:val="left"/>
      <w:pPr>
        <w:ind w:left="720" w:hanging="360"/>
      </w:pPr>
      <w:rPr>
        <w:rFonts w:hint="default"/>
      </w:rPr>
    </w:lvl>
    <w:lvl w:ilvl="1" w:tplc="61B039FA" w:tentative="1">
      <w:start w:val="1"/>
      <w:numFmt w:val="lowerLetter"/>
      <w:lvlText w:val="%2."/>
      <w:lvlJc w:val="left"/>
      <w:pPr>
        <w:ind w:left="1440" w:hanging="360"/>
      </w:pPr>
    </w:lvl>
    <w:lvl w:ilvl="2" w:tplc="976A627A" w:tentative="1">
      <w:start w:val="1"/>
      <w:numFmt w:val="lowerRoman"/>
      <w:lvlText w:val="%3."/>
      <w:lvlJc w:val="right"/>
      <w:pPr>
        <w:ind w:left="2160" w:hanging="180"/>
      </w:pPr>
    </w:lvl>
    <w:lvl w:ilvl="3" w:tplc="46C08DFE" w:tentative="1">
      <w:start w:val="1"/>
      <w:numFmt w:val="decimal"/>
      <w:lvlText w:val="%4."/>
      <w:lvlJc w:val="left"/>
      <w:pPr>
        <w:ind w:left="2880" w:hanging="360"/>
      </w:pPr>
    </w:lvl>
    <w:lvl w:ilvl="4" w:tplc="BAA4AE2A" w:tentative="1">
      <w:start w:val="1"/>
      <w:numFmt w:val="lowerLetter"/>
      <w:lvlText w:val="%5."/>
      <w:lvlJc w:val="left"/>
      <w:pPr>
        <w:ind w:left="3600" w:hanging="360"/>
      </w:pPr>
    </w:lvl>
    <w:lvl w:ilvl="5" w:tplc="15DCEFE2" w:tentative="1">
      <w:start w:val="1"/>
      <w:numFmt w:val="lowerRoman"/>
      <w:lvlText w:val="%6."/>
      <w:lvlJc w:val="right"/>
      <w:pPr>
        <w:ind w:left="4320" w:hanging="180"/>
      </w:pPr>
    </w:lvl>
    <w:lvl w:ilvl="6" w:tplc="75D6F83E" w:tentative="1">
      <w:start w:val="1"/>
      <w:numFmt w:val="decimal"/>
      <w:lvlText w:val="%7."/>
      <w:lvlJc w:val="left"/>
      <w:pPr>
        <w:ind w:left="5040" w:hanging="360"/>
      </w:pPr>
    </w:lvl>
    <w:lvl w:ilvl="7" w:tplc="05F49ACC" w:tentative="1">
      <w:start w:val="1"/>
      <w:numFmt w:val="lowerLetter"/>
      <w:lvlText w:val="%8."/>
      <w:lvlJc w:val="left"/>
      <w:pPr>
        <w:ind w:left="5760" w:hanging="360"/>
      </w:pPr>
    </w:lvl>
    <w:lvl w:ilvl="8" w:tplc="0DEC8F3C" w:tentative="1">
      <w:start w:val="1"/>
      <w:numFmt w:val="lowerRoman"/>
      <w:lvlText w:val="%9."/>
      <w:lvlJc w:val="right"/>
      <w:pPr>
        <w:ind w:left="6480" w:hanging="180"/>
      </w:pPr>
    </w:lvl>
  </w:abstractNum>
  <w:abstractNum w:abstractNumId="10" w15:restartNumberingAfterBreak="0">
    <w:nsid w:val="1C8C63CF"/>
    <w:multiLevelType w:val="hybridMultilevel"/>
    <w:tmpl w:val="AB021E76"/>
    <w:lvl w:ilvl="0" w:tplc="F76217F4">
      <w:start w:val="1"/>
      <w:numFmt w:val="bullet"/>
      <w:lvlText w:val=""/>
      <w:lvlJc w:val="left"/>
      <w:pPr>
        <w:ind w:left="360" w:hanging="360"/>
      </w:pPr>
      <w:rPr>
        <w:rFonts w:ascii="Symbol" w:hAnsi="Symbol" w:hint="default"/>
      </w:rPr>
    </w:lvl>
    <w:lvl w:ilvl="1" w:tplc="61845E66" w:tentative="1">
      <w:start w:val="1"/>
      <w:numFmt w:val="lowerLetter"/>
      <w:lvlText w:val="%2."/>
      <w:lvlJc w:val="left"/>
      <w:pPr>
        <w:ind w:left="1080" w:hanging="360"/>
      </w:pPr>
    </w:lvl>
    <w:lvl w:ilvl="2" w:tplc="CCE4C520" w:tentative="1">
      <w:start w:val="1"/>
      <w:numFmt w:val="lowerRoman"/>
      <w:lvlText w:val="%3."/>
      <w:lvlJc w:val="right"/>
      <w:pPr>
        <w:ind w:left="1800" w:hanging="180"/>
      </w:pPr>
    </w:lvl>
    <w:lvl w:ilvl="3" w:tplc="F87C6B64" w:tentative="1">
      <w:start w:val="1"/>
      <w:numFmt w:val="decimal"/>
      <w:lvlText w:val="%4."/>
      <w:lvlJc w:val="left"/>
      <w:pPr>
        <w:ind w:left="2520" w:hanging="360"/>
      </w:pPr>
    </w:lvl>
    <w:lvl w:ilvl="4" w:tplc="5B0067B4" w:tentative="1">
      <w:start w:val="1"/>
      <w:numFmt w:val="lowerLetter"/>
      <w:lvlText w:val="%5."/>
      <w:lvlJc w:val="left"/>
      <w:pPr>
        <w:ind w:left="3240" w:hanging="360"/>
      </w:pPr>
    </w:lvl>
    <w:lvl w:ilvl="5" w:tplc="F1AC1700" w:tentative="1">
      <w:start w:val="1"/>
      <w:numFmt w:val="lowerRoman"/>
      <w:lvlText w:val="%6."/>
      <w:lvlJc w:val="right"/>
      <w:pPr>
        <w:ind w:left="3960" w:hanging="180"/>
      </w:pPr>
    </w:lvl>
    <w:lvl w:ilvl="6" w:tplc="CE7623C8" w:tentative="1">
      <w:start w:val="1"/>
      <w:numFmt w:val="decimal"/>
      <w:lvlText w:val="%7."/>
      <w:lvlJc w:val="left"/>
      <w:pPr>
        <w:ind w:left="4680" w:hanging="360"/>
      </w:pPr>
    </w:lvl>
    <w:lvl w:ilvl="7" w:tplc="22322EE0" w:tentative="1">
      <w:start w:val="1"/>
      <w:numFmt w:val="lowerLetter"/>
      <w:lvlText w:val="%8."/>
      <w:lvlJc w:val="left"/>
      <w:pPr>
        <w:ind w:left="5400" w:hanging="360"/>
      </w:pPr>
    </w:lvl>
    <w:lvl w:ilvl="8" w:tplc="BD1C4AF4" w:tentative="1">
      <w:start w:val="1"/>
      <w:numFmt w:val="lowerRoman"/>
      <w:lvlText w:val="%9."/>
      <w:lvlJc w:val="right"/>
      <w:pPr>
        <w:ind w:left="6120" w:hanging="180"/>
      </w:pPr>
    </w:lvl>
  </w:abstractNum>
  <w:abstractNum w:abstractNumId="11" w15:restartNumberingAfterBreak="0">
    <w:nsid w:val="204F35FD"/>
    <w:multiLevelType w:val="hybridMultilevel"/>
    <w:tmpl w:val="C4A8D86A"/>
    <w:lvl w:ilvl="0" w:tplc="655016C6">
      <w:start w:val="1"/>
      <w:numFmt w:val="decimal"/>
      <w:lvlText w:val="%1."/>
      <w:lvlJc w:val="left"/>
      <w:pPr>
        <w:ind w:left="720" w:hanging="360"/>
      </w:pPr>
      <w:rPr>
        <w:rFonts w:hint="default"/>
        <w:b w:val="0"/>
      </w:rPr>
    </w:lvl>
    <w:lvl w:ilvl="1" w:tplc="2FCE707A" w:tentative="1">
      <w:start w:val="1"/>
      <w:numFmt w:val="lowerLetter"/>
      <w:lvlText w:val="%2."/>
      <w:lvlJc w:val="left"/>
      <w:pPr>
        <w:ind w:left="1440" w:hanging="360"/>
      </w:pPr>
    </w:lvl>
    <w:lvl w:ilvl="2" w:tplc="82428C7E" w:tentative="1">
      <w:start w:val="1"/>
      <w:numFmt w:val="lowerRoman"/>
      <w:lvlText w:val="%3."/>
      <w:lvlJc w:val="right"/>
      <w:pPr>
        <w:ind w:left="2160" w:hanging="180"/>
      </w:pPr>
    </w:lvl>
    <w:lvl w:ilvl="3" w:tplc="28A81C1A" w:tentative="1">
      <w:start w:val="1"/>
      <w:numFmt w:val="decimal"/>
      <w:lvlText w:val="%4."/>
      <w:lvlJc w:val="left"/>
      <w:pPr>
        <w:ind w:left="2880" w:hanging="360"/>
      </w:pPr>
    </w:lvl>
    <w:lvl w:ilvl="4" w:tplc="6910F63E" w:tentative="1">
      <w:start w:val="1"/>
      <w:numFmt w:val="lowerLetter"/>
      <w:lvlText w:val="%5."/>
      <w:lvlJc w:val="left"/>
      <w:pPr>
        <w:ind w:left="3600" w:hanging="360"/>
      </w:pPr>
    </w:lvl>
    <w:lvl w:ilvl="5" w:tplc="49826B36" w:tentative="1">
      <w:start w:val="1"/>
      <w:numFmt w:val="lowerRoman"/>
      <w:lvlText w:val="%6."/>
      <w:lvlJc w:val="right"/>
      <w:pPr>
        <w:ind w:left="4320" w:hanging="180"/>
      </w:pPr>
    </w:lvl>
    <w:lvl w:ilvl="6" w:tplc="92DEC252" w:tentative="1">
      <w:start w:val="1"/>
      <w:numFmt w:val="decimal"/>
      <w:lvlText w:val="%7."/>
      <w:lvlJc w:val="left"/>
      <w:pPr>
        <w:ind w:left="5040" w:hanging="360"/>
      </w:pPr>
    </w:lvl>
    <w:lvl w:ilvl="7" w:tplc="5706D9B2" w:tentative="1">
      <w:start w:val="1"/>
      <w:numFmt w:val="lowerLetter"/>
      <w:lvlText w:val="%8."/>
      <w:lvlJc w:val="left"/>
      <w:pPr>
        <w:ind w:left="5760" w:hanging="360"/>
      </w:pPr>
    </w:lvl>
    <w:lvl w:ilvl="8" w:tplc="21227084" w:tentative="1">
      <w:start w:val="1"/>
      <w:numFmt w:val="lowerRoman"/>
      <w:lvlText w:val="%9."/>
      <w:lvlJc w:val="right"/>
      <w:pPr>
        <w:ind w:left="6480" w:hanging="180"/>
      </w:pPr>
    </w:lvl>
  </w:abstractNum>
  <w:abstractNum w:abstractNumId="12" w15:restartNumberingAfterBreak="0">
    <w:nsid w:val="267047F0"/>
    <w:multiLevelType w:val="hybridMultilevel"/>
    <w:tmpl w:val="5740AB1E"/>
    <w:lvl w:ilvl="0" w:tplc="6F84BD7C">
      <w:start w:val="1"/>
      <w:numFmt w:val="bullet"/>
      <w:lvlText w:val=""/>
      <w:lvlJc w:val="left"/>
      <w:pPr>
        <w:ind w:left="720" w:hanging="360"/>
      </w:pPr>
      <w:rPr>
        <w:rFonts w:ascii="Symbol" w:hAnsi="Symbol" w:hint="default"/>
      </w:rPr>
    </w:lvl>
    <w:lvl w:ilvl="1" w:tplc="C818CDEC">
      <w:start w:val="1"/>
      <w:numFmt w:val="bullet"/>
      <w:lvlText w:val="o"/>
      <w:lvlJc w:val="left"/>
      <w:pPr>
        <w:ind w:left="1440" w:hanging="360"/>
      </w:pPr>
      <w:rPr>
        <w:rFonts w:ascii="Courier New" w:hAnsi="Courier New" w:cs="Courier New" w:hint="default"/>
      </w:rPr>
    </w:lvl>
    <w:lvl w:ilvl="2" w:tplc="5662770E" w:tentative="1">
      <w:start w:val="1"/>
      <w:numFmt w:val="bullet"/>
      <w:lvlText w:val=""/>
      <w:lvlJc w:val="left"/>
      <w:pPr>
        <w:ind w:left="2160" w:hanging="360"/>
      </w:pPr>
      <w:rPr>
        <w:rFonts w:ascii="Wingdings" w:hAnsi="Wingdings" w:hint="default"/>
      </w:rPr>
    </w:lvl>
    <w:lvl w:ilvl="3" w:tplc="DE06155A" w:tentative="1">
      <w:start w:val="1"/>
      <w:numFmt w:val="bullet"/>
      <w:lvlText w:val=""/>
      <w:lvlJc w:val="left"/>
      <w:pPr>
        <w:ind w:left="2880" w:hanging="360"/>
      </w:pPr>
      <w:rPr>
        <w:rFonts w:ascii="Symbol" w:hAnsi="Symbol" w:hint="default"/>
      </w:rPr>
    </w:lvl>
    <w:lvl w:ilvl="4" w:tplc="8A869CA2" w:tentative="1">
      <w:start w:val="1"/>
      <w:numFmt w:val="bullet"/>
      <w:lvlText w:val="o"/>
      <w:lvlJc w:val="left"/>
      <w:pPr>
        <w:ind w:left="3600" w:hanging="360"/>
      </w:pPr>
      <w:rPr>
        <w:rFonts w:ascii="Courier New" w:hAnsi="Courier New" w:cs="Courier New" w:hint="default"/>
      </w:rPr>
    </w:lvl>
    <w:lvl w:ilvl="5" w:tplc="842E459C" w:tentative="1">
      <w:start w:val="1"/>
      <w:numFmt w:val="bullet"/>
      <w:lvlText w:val=""/>
      <w:lvlJc w:val="left"/>
      <w:pPr>
        <w:ind w:left="4320" w:hanging="360"/>
      </w:pPr>
      <w:rPr>
        <w:rFonts w:ascii="Wingdings" w:hAnsi="Wingdings" w:hint="default"/>
      </w:rPr>
    </w:lvl>
    <w:lvl w:ilvl="6" w:tplc="EF541276" w:tentative="1">
      <w:start w:val="1"/>
      <w:numFmt w:val="bullet"/>
      <w:lvlText w:val=""/>
      <w:lvlJc w:val="left"/>
      <w:pPr>
        <w:ind w:left="5040" w:hanging="360"/>
      </w:pPr>
      <w:rPr>
        <w:rFonts w:ascii="Symbol" w:hAnsi="Symbol" w:hint="default"/>
      </w:rPr>
    </w:lvl>
    <w:lvl w:ilvl="7" w:tplc="8CC032E4" w:tentative="1">
      <w:start w:val="1"/>
      <w:numFmt w:val="bullet"/>
      <w:lvlText w:val="o"/>
      <w:lvlJc w:val="left"/>
      <w:pPr>
        <w:ind w:left="5760" w:hanging="360"/>
      </w:pPr>
      <w:rPr>
        <w:rFonts w:ascii="Courier New" w:hAnsi="Courier New" w:cs="Courier New" w:hint="default"/>
      </w:rPr>
    </w:lvl>
    <w:lvl w:ilvl="8" w:tplc="B6B6D22E" w:tentative="1">
      <w:start w:val="1"/>
      <w:numFmt w:val="bullet"/>
      <w:lvlText w:val=""/>
      <w:lvlJc w:val="left"/>
      <w:pPr>
        <w:ind w:left="6480" w:hanging="360"/>
      </w:pPr>
      <w:rPr>
        <w:rFonts w:ascii="Wingdings" w:hAnsi="Wingdings" w:hint="default"/>
      </w:rPr>
    </w:lvl>
  </w:abstractNum>
  <w:abstractNum w:abstractNumId="13" w15:restartNumberingAfterBreak="0">
    <w:nsid w:val="2DD32A80"/>
    <w:multiLevelType w:val="hybridMultilevel"/>
    <w:tmpl w:val="BFCA31CE"/>
    <w:lvl w:ilvl="0" w:tplc="87F8A88A">
      <w:start w:val="1"/>
      <w:numFmt w:val="decimal"/>
      <w:lvlText w:val="%1."/>
      <w:lvlJc w:val="left"/>
      <w:pPr>
        <w:ind w:left="720" w:hanging="360"/>
      </w:pPr>
      <w:rPr>
        <w:rFonts w:hint="default"/>
      </w:rPr>
    </w:lvl>
    <w:lvl w:ilvl="1" w:tplc="49103E66" w:tentative="1">
      <w:start w:val="1"/>
      <w:numFmt w:val="lowerLetter"/>
      <w:lvlText w:val="%2."/>
      <w:lvlJc w:val="left"/>
      <w:pPr>
        <w:ind w:left="1440" w:hanging="360"/>
      </w:pPr>
    </w:lvl>
    <w:lvl w:ilvl="2" w:tplc="5F28F588" w:tentative="1">
      <w:start w:val="1"/>
      <w:numFmt w:val="lowerRoman"/>
      <w:lvlText w:val="%3."/>
      <w:lvlJc w:val="right"/>
      <w:pPr>
        <w:ind w:left="2160" w:hanging="180"/>
      </w:pPr>
    </w:lvl>
    <w:lvl w:ilvl="3" w:tplc="E58CE3E6" w:tentative="1">
      <w:start w:val="1"/>
      <w:numFmt w:val="decimal"/>
      <w:lvlText w:val="%4."/>
      <w:lvlJc w:val="left"/>
      <w:pPr>
        <w:ind w:left="2880" w:hanging="360"/>
      </w:pPr>
    </w:lvl>
    <w:lvl w:ilvl="4" w:tplc="A3407848" w:tentative="1">
      <w:start w:val="1"/>
      <w:numFmt w:val="lowerLetter"/>
      <w:lvlText w:val="%5."/>
      <w:lvlJc w:val="left"/>
      <w:pPr>
        <w:ind w:left="3600" w:hanging="360"/>
      </w:pPr>
    </w:lvl>
    <w:lvl w:ilvl="5" w:tplc="E3362EC0" w:tentative="1">
      <w:start w:val="1"/>
      <w:numFmt w:val="lowerRoman"/>
      <w:lvlText w:val="%6."/>
      <w:lvlJc w:val="right"/>
      <w:pPr>
        <w:ind w:left="4320" w:hanging="180"/>
      </w:pPr>
    </w:lvl>
    <w:lvl w:ilvl="6" w:tplc="0A583B02" w:tentative="1">
      <w:start w:val="1"/>
      <w:numFmt w:val="decimal"/>
      <w:lvlText w:val="%7."/>
      <w:lvlJc w:val="left"/>
      <w:pPr>
        <w:ind w:left="5040" w:hanging="360"/>
      </w:pPr>
    </w:lvl>
    <w:lvl w:ilvl="7" w:tplc="346A495C" w:tentative="1">
      <w:start w:val="1"/>
      <w:numFmt w:val="lowerLetter"/>
      <w:lvlText w:val="%8."/>
      <w:lvlJc w:val="left"/>
      <w:pPr>
        <w:ind w:left="5760" w:hanging="360"/>
      </w:pPr>
    </w:lvl>
    <w:lvl w:ilvl="8" w:tplc="BC6295AE" w:tentative="1">
      <w:start w:val="1"/>
      <w:numFmt w:val="lowerRoman"/>
      <w:lvlText w:val="%9."/>
      <w:lvlJc w:val="right"/>
      <w:pPr>
        <w:ind w:left="6480" w:hanging="180"/>
      </w:pPr>
    </w:lvl>
  </w:abstractNum>
  <w:abstractNum w:abstractNumId="14" w15:restartNumberingAfterBreak="0">
    <w:nsid w:val="32274EE7"/>
    <w:multiLevelType w:val="hybridMultilevel"/>
    <w:tmpl w:val="78968CCE"/>
    <w:lvl w:ilvl="0" w:tplc="A48611EE">
      <w:start w:val="1"/>
      <w:numFmt w:val="decimal"/>
      <w:lvlText w:val="%1."/>
      <w:lvlJc w:val="left"/>
      <w:pPr>
        <w:ind w:left="720" w:hanging="360"/>
      </w:pPr>
    </w:lvl>
    <w:lvl w:ilvl="1" w:tplc="1FA43242" w:tentative="1">
      <w:start w:val="1"/>
      <w:numFmt w:val="lowerLetter"/>
      <w:lvlText w:val="%2."/>
      <w:lvlJc w:val="left"/>
      <w:pPr>
        <w:ind w:left="1440" w:hanging="360"/>
      </w:pPr>
    </w:lvl>
    <w:lvl w:ilvl="2" w:tplc="5C302C60" w:tentative="1">
      <w:start w:val="1"/>
      <w:numFmt w:val="lowerRoman"/>
      <w:lvlText w:val="%3."/>
      <w:lvlJc w:val="right"/>
      <w:pPr>
        <w:ind w:left="2160" w:hanging="180"/>
      </w:pPr>
    </w:lvl>
    <w:lvl w:ilvl="3" w:tplc="B6F205CA" w:tentative="1">
      <w:start w:val="1"/>
      <w:numFmt w:val="decimal"/>
      <w:lvlText w:val="%4."/>
      <w:lvlJc w:val="left"/>
      <w:pPr>
        <w:ind w:left="2880" w:hanging="360"/>
      </w:pPr>
    </w:lvl>
    <w:lvl w:ilvl="4" w:tplc="740C90E8" w:tentative="1">
      <w:start w:val="1"/>
      <w:numFmt w:val="lowerLetter"/>
      <w:lvlText w:val="%5."/>
      <w:lvlJc w:val="left"/>
      <w:pPr>
        <w:ind w:left="3600" w:hanging="360"/>
      </w:pPr>
    </w:lvl>
    <w:lvl w:ilvl="5" w:tplc="BF9AE6EE" w:tentative="1">
      <w:start w:val="1"/>
      <w:numFmt w:val="lowerRoman"/>
      <w:lvlText w:val="%6."/>
      <w:lvlJc w:val="right"/>
      <w:pPr>
        <w:ind w:left="4320" w:hanging="180"/>
      </w:pPr>
    </w:lvl>
    <w:lvl w:ilvl="6" w:tplc="E9749938" w:tentative="1">
      <w:start w:val="1"/>
      <w:numFmt w:val="decimal"/>
      <w:lvlText w:val="%7."/>
      <w:lvlJc w:val="left"/>
      <w:pPr>
        <w:ind w:left="5040" w:hanging="360"/>
      </w:pPr>
    </w:lvl>
    <w:lvl w:ilvl="7" w:tplc="A378AAB0" w:tentative="1">
      <w:start w:val="1"/>
      <w:numFmt w:val="lowerLetter"/>
      <w:lvlText w:val="%8."/>
      <w:lvlJc w:val="left"/>
      <w:pPr>
        <w:ind w:left="5760" w:hanging="360"/>
      </w:pPr>
    </w:lvl>
    <w:lvl w:ilvl="8" w:tplc="9AECBF6E" w:tentative="1">
      <w:start w:val="1"/>
      <w:numFmt w:val="lowerRoman"/>
      <w:lvlText w:val="%9."/>
      <w:lvlJc w:val="right"/>
      <w:pPr>
        <w:ind w:left="6480" w:hanging="180"/>
      </w:pPr>
    </w:lvl>
  </w:abstractNum>
  <w:abstractNum w:abstractNumId="15" w15:restartNumberingAfterBreak="0">
    <w:nsid w:val="3449245C"/>
    <w:multiLevelType w:val="hybridMultilevel"/>
    <w:tmpl w:val="B05C614E"/>
    <w:lvl w:ilvl="0" w:tplc="BDF01C2A">
      <w:start w:val="1"/>
      <w:numFmt w:val="decimal"/>
      <w:lvlText w:val="%1."/>
      <w:lvlJc w:val="left"/>
      <w:pPr>
        <w:ind w:left="720" w:hanging="360"/>
      </w:pPr>
      <w:rPr>
        <w:rFonts w:hint="default"/>
        <w:b w:val="0"/>
      </w:rPr>
    </w:lvl>
    <w:lvl w:ilvl="1" w:tplc="F8F2DD9A" w:tentative="1">
      <w:start w:val="1"/>
      <w:numFmt w:val="lowerLetter"/>
      <w:lvlText w:val="%2."/>
      <w:lvlJc w:val="left"/>
      <w:pPr>
        <w:ind w:left="1440" w:hanging="360"/>
      </w:pPr>
    </w:lvl>
    <w:lvl w:ilvl="2" w:tplc="FF0ABCCC" w:tentative="1">
      <w:start w:val="1"/>
      <w:numFmt w:val="lowerRoman"/>
      <w:lvlText w:val="%3."/>
      <w:lvlJc w:val="right"/>
      <w:pPr>
        <w:ind w:left="2160" w:hanging="180"/>
      </w:pPr>
    </w:lvl>
    <w:lvl w:ilvl="3" w:tplc="5B788A80" w:tentative="1">
      <w:start w:val="1"/>
      <w:numFmt w:val="decimal"/>
      <w:lvlText w:val="%4."/>
      <w:lvlJc w:val="left"/>
      <w:pPr>
        <w:ind w:left="2880" w:hanging="360"/>
      </w:pPr>
    </w:lvl>
    <w:lvl w:ilvl="4" w:tplc="DEC276E4" w:tentative="1">
      <w:start w:val="1"/>
      <w:numFmt w:val="lowerLetter"/>
      <w:lvlText w:val="%5."/>
      <w:lvlJc w:val="left"/>
      <w:pPr>
        <w:ind w:left="3600" w:hanging="360"/>
      </w:pPr>
    </w:lvl>
    <w:lvl w:ilvl="5" w:tplc="9852F612" w:tentative="1">
      <w:start w:val="1"/>
      <w:numFmt w:val="lowerRoman"/>
      <w:lvlText w:val="%6."/>
      <w:lvlJc w:val="right"/>
      <w:pPr>
        <w:ind w:left="4320" w:hanging="180"/>
      </w:pPr>
    </w:lvl>
    <w:lvl w:ilvl="6" w:tplc="D6866CD8" w:tentative="1">
      <w:start w:val="1"/>
      <w:numFmt w:val="decimal"/>
      <w:lvlText w:val="%7."/>
      <w:lvlJc w:val="left"/>
      <w:pPr>
        <w:ind w:left="5040" w:hanging="360"/>
      </w:pPr>
    </w:lvl>
    <w:lvl w:ilvl="7" w:tplc="19F29BA2" w:tentative="1">
      <w:start w:val="1"/>
      <w:numFmt w:val="lowerLetter"/>
      <w:lvlText w:val="%8."/>
      <w:lvlJc w:val="left"/>
      <w:pPr>
        <w:ind w:left="5760" w:hanging="360"/>
      </w:pPr>
    </w:lvl>
    <w:lvl w:ilvl="8" w:tplc="1B0CE2CE" w:tentative="1">
      <w:start w:val="1"/>
      <w:numFmt w:val="lowerRoman"/>
      <w:lvlText w:val="%9."/>
      <w:lvlJc w:val="right"/>
      <w:pPr>
        <w:ind w:left="6480" w:hanging="180"/>
      </w:pPr>
    </w:lvl>
  </w:abstractNum>
  <w:abstractNum w:abstractNumId="16" w15:restartNumberingAfterBreak="0">
    <w:nsid w:val="3453022E"/>
    <w:multiLevelType w:val="hybridMultilevel"/>
    <w:tmpl w:val="AB20587A"/>
    <w:lvl w:ilvl="0" w:tplc="1B0C052A">
      <w:start w:val="1"/>
      <w:numFmt w:val="decimal"/>
      <w:lvlText w:val="%1."/>
      <w:lvlJc w:val="left"/>
      <w:pPr>
        <w:ind w:left="720" w:hanging="360"/>
      </w:pPr>
    </w:lvl>
    <w:lvl w:ilvl="1" w:tplc="8BCA2EF4" w:tentative="1">
      <w:start w:val="1"/>
      <w:numFmt w:val="lowerLetter"/>
      <w:lvlText w:val="%2."/>
      <w:lvlJc w:val="left"/>
      <w:pPr>
        <w:ind w:left="1440" w:hanging="360"/>
      </w:pPr>
    </w:lvl>
    <w:lvl w:ilvl="2" w:tplc="9124A4F2" w:tentative="1">
      <w:start w:val="1"/>
      <w:numFmt w:val="lowerRoman"/>
      <w:lvlText w:val="%3."/>
      <w:lvlJc w:val="right"/>
      <w:pPr>
        <w:ind w:left="2160" w:hanging="180"/>
      </w:pPr>
    </w:lvl>
    <w:lvl w:ilvl="3" w:tplc="57108D4E" w:tentative="1">
      <w:start w:val="1"/>
      <w:numFmt w:val="decimal"/>
      <w:lvlText w:val="%4."/>
      <w:lvlJc w:val="left"/>
      <w:pPr>
        <w:ind w:left="2880" w:hanging="360"/>
      </w:pPr>
    </w:lvl>
    <w:lvl w:ilvl="4" w:tplc="880463FA" w:tentative="1">
      <w:start w:val="1"/>
      <w:numFmt w:val="lowerLetter"/>
      <w:lvlText w:val="%5."/>
      <w:lvlJc w:val="left"/>
      <w:pPr>
        <w:ind w:left="3600" w:hanging="360"/>
      </w:pPr>
    </w:lvl>
    <w:lvl w:ilvl="5" w:tplc="EC0C134E" w:tentative="1">
      <w:start w:val="1"/>
      <w:numFmt w:val="lowerRoman"/>
      <w:lvlText w:val="%6."/>
      <w:lvlJc w:val="right"/>
      <w:pPr>
        <w:ind w:left="4320" w:hanging="180"/>
      </w:pPr>
    </w:lvl>
    <w:lvl w:ilvl="6" w:tplc="F8D0D5F0" w:tentative="1">
      <w:start w:val="1"/>
      <w:numFmt w:val="decimal"/>
      <w:lvlText w:val="%7."/>
      <w:lvlJc w:val="left"/>
      <w:pPr>
        <w:ind w:left="5040" w:hanging="360"/>
      </w:pPr>
    </w:lvl>
    <w:lvl w:ilvl="7" w:tplc="193A1980" w:tentative="1">
      <w:start w:val="1"/>
      <w:numFmt w:val="lowerLetter"/>
      <w:lvlText w:val="%8."/>
      <w:lvlJc w:val="left"/>
      <w:pPr>
        <w:ind w:left="5760" w:hanging="360"/>
      </w:pPr>
    </w:lvl>
    <w:lvl w:ilvl="8" w:tplc="94A85686" w:tentative="1">
      <w:start w:val="1"/>
      <w:numFmt w:val="lowerRoman"/>
      <w:lvlText w:val="%9."/>
      <w:lvlJc w:val="right"/>
      <w:pPr>
        <w:ind w:left="6480" w:hanging="180"/>
      </w:pPr>
    </w:lvl>
  </w:abstractNum>
  <w:abstractNum w:abstractNumId="17" w15:restartNumberingAfterBreak="0">
    <w:nsid w:val="34AB4E71"/>
    <w:multiLevelType w:val="hybridMultilevel"/>
    <w:tmpl w:val="EF88B96E"/>
    <w:lvl w:ilvl="0" w:tplc="A8624F32">
      <w:start w:val="1"/>
      <w:numFmt w:val="bullet"/>
      <w:lvlText w:val=""/>
      <w:lvlJc w:val="left"/>
      <w:pPr>
        <w:ind w:left="720" w:hanging="360"/>
      </w:pPr>
      <w:rPr>
        <w:rFonts w:ascii="Symbol" w:hAnsi="Symbol" w:hint="default"/>
      </w:rPr>
    </w:lvl>
    <w:lvl w:ilvl="1" w:tplc="857C5E50" w:tentative="1">
      <w:start w:val="1"/>
      <w:numFmt w:val="bullet"/>
      <w:lvlText w:val="o"/>
      <w:lvlJc w:val="left"/>
      <w:pPr>
        <w:ind w:left="1440" w:hanging="360"/>
      </w:pPr>
      <w:rPr>
        <w:rFonts w:ascii="Courier New" w:hAnsi="Courier New" w:cs="Courier New" w:hint="default"/>
      </w:rPr>
    </w:lvl>
    <w:lvl w:ilvl="2" w:tplc="90BE6190" w:tentative="1">
      <w:start w:val="1"/>
      <w:numFmt w:val="bullet"/>
      <w:lvlText w:val=""/>
      <w:lvlJc w:val="left"/>
      <w:pPr>
        <w:ind w:left="2160" w:hanging="360"/>
      </w:pPr>
      <w:rPr>
        <w:rFonts w:ascii="Wingdings" w:hAnsi="Wingdings" w:hint="default"/>
      </w:rPr>
    </w:lvl>
    <w:lvl w:ilvl="3" w:tplc="60FE8108" w:tentative="1">
      <w:start w:val="1"/>
      <w:numFmt w:val="bullet"/>
      <w:lvlText w:val=""/>
      <w:lvlJc w:val="left"/>
      <w:pPr>
        <w:ind w:left="2880" w:hanging="360"/>
      </w:pPr>
      <w:rPr>
        <w:rFonts w:ascii="Symbol" w:hAnsi="Symbol" w:hint="default"/>
      </w:rPr>
    </w:lvl>
    <w:lvl w:ilvl="4" w:tplc="710EAE40" w:tentative="1">
      <w:start w:val="1"/>
      <w:numFmt w:val="bullet"/>
      <w:lvlText w:val="o"/>
      <w:lvlJc w:val="left"/>
      <w:pPr>
        <w:ind w:left="3600" w:hanging="360"/>
      </w:pPr>
      <w:rPr>
        <w:rFonts w:ascii="Courier New" w:hAnsi="Courier New" w:cs="Courier New" w:hint="default"/>
      </w:rPr>
    </w:lvl>
    <w:lvl w:ilvl="5" w:tplc="78EC6478" w:tentative="1">
      <w:start w:val="1"/>
      <w:numFmt w:val="bullet"/>
      <w:lvlText w:val=""/>
      <w:lvlJc w:val="left"/>
      <w:pPr>
        <w:ind w:left="4320" w:hanging="360"/>
      </w:pPr>
      <w:rPr>
        <w:rFonts w:ascii="Wingdings" w:hAnsi="Wingdings" w:hint="default"/>
      </w:rPr>
    </w:lvl>
    <w:lvl w:ilvl="6" w:tplc="B2980646" w:tentative="1">
      <w:start w:val="1"/>
      <w:numFmt w:val="bullet"/>
      <w:lvlText w:val=""/>
      <w:lvlJc w:val="left"/>
      <w:pPr>
        <w:ind w:left="5040" w:hanging="360"/>
      </w:pPr>
      <w:rPr>
        <w:rFonts w:ascii="Symbol" w:hAnsi="Symbol" w:hint="default"/>
      </w:rPr>
    </w:lvl>
    <w:lvl w:ilvl="7" w:tplc="15D4DA94" w:tentative="1">
      <w:start w:val="1"/>
      <w:numFmt w:val="bullet"/>
      <w:lvlText w:val="o"/>
      <w:lvlJc w:val="left"/>
      <w:pPr>
        <w:ind w:left="5760" w:hanging="360"/>
      </w:pPr>
      <w:rPr>
        <w:rFonts w:ascii="Courier New" w:hAnsi="Courier New" w:cs="Courier New" w:hint="default"/>
      </w:rPr>
    </w:lvl>
    <w:lvl w:ilvl="8" w:tplc="14124BCC" w:tentative="1">
      <w:start w:val="1"/>
      <w:numFmt w:val="bullet"/>
      <w:lvlText w:val=""/>
      <w:lvlJc w:val="left"/>
      <w:pPr>
        <w:ind w:left="6480" w:hanging="360"/>
      </w:pPr>
      <w:rPr>
        <w:rFonts w:ascii="Wingdings" w:hAnsi="Wingdings" w:hint="default"/>
      </w:rPr>
    </w:lvl>
  </w:abstractNum>
  <w:abstractNum w:abstractNumId="18" w15:restartNumberingAfterBreak="0">
    <w:nsid w:val="39135567"/>
    <w:multiLevelType w:val="hybridMultilevel"/>
    <w:tmpl w:val="45CE8738"/>
    <w:lvl w:ilvl="0" w:tplc="EC0AF14A">
      <w:start w:val="1"/>
      <w:numFmt w:val="bullet"/>
      <w:lvlText w:val=""/>
      <w:lvlJc w:val="left"/>
      <w:pPr>
        <w:ind w:left="1080" w:hanging="360"/>
      </w:pPr>
      <w:rPr>
        <w:rFonts w:ascii="Symbol" w:hAnsi="Symbol" w:hint="default"/>
      </w:rPr>
    </w:lvl>
    <w:lvl w:ilvl="1" w:tplc="31F0385A" w:tentative="1">
      <w:start w:val="1"/>
      <w:numFmt w:val="bullet"/>
      <w:lvlText w:val="o"/>
      <w:lvlJc w:val="left"/>
      <w:pPr>
        <w:ind w:left="1800" w:hanging="360"/>
      </w:pPr>
      <w:rPr>
        <w:rFonts w:ascii="Courier New" w:hAnsi="Courier New" w:cs="Courier New" w:hint="default"/>
      </w:rPr>
    </w:lvl>
    <w:lvl w:ilvl="2" w:tplc="5492F316" w:tentative="1">
      <w:start w:val="1"/>
      <w:numFmt w:val="bullet"/>
      <w:lvlText w:val=""/>
      <w:lvlJc w:val="left"/>
      <w:pPr>
        <w:ind w:left="2520" w:hanging="360"/>
      </w:pPr>
      <w:rPr>
        <w:rFonts w:ascii="Wingdings" w:hAnsi="Wingdings" w:hint="default"/>
      </w:rPr>
    </w:lvl>
    <w:lvl w:ilvl="3" w:tplc="240E793A" w:tentative="1">
      <w:start w:val="1"/>
      <w:numFmt w:val="bullet"/>
      <w:lvlText w:val=""/>
      <w:lvlJc w:val="left"/>
      <w:pPr>
        <w:ind w:left="3240" w:hanging="360"/>
      </w:pPr>
      <w:rPr>
        <w:rFonts w:ascii="Symbol" w:hAnsi="Symbol" w:hint="default"/>
      </w:rPr>
    </w:lvl>
    <w:lvl w:ilvl="4" w:tplc="3A6C9A9C" w:tentative="1">
      <w:start w:val="1"/>
      <w:numFmt w:val="bullet"/>
      <w:lvlText w:val="o"/>
      <w:lvlJc w:val="left"/>
      <w:pPr>
        <w:ind w:left="3960" w:hanging="360"/>
      </w:pPr>
      <w:rPr>
        <w:rFonts w:ascii="Courier New" w:hAnsi="Courier New" w:cs="Courier New" w:hint="default"/>
      </w:rPr>
    </w:lvl>
    <w:lvl w:ilvl="5" w:tplc="D84EE138" w:tentative="1">
      <w:start w:val="1"/>
      <w:numFmt w:val="bullet"/>
      <w:lvlText w:val=""/>
      <w:lvlJc w:val="left"/>
      <w:pPr>
        <w:ind w:left="4680" w:hanging="360"/>
      </w:pPr>
      <w:rPr>
        <w:rFonts w:ascii="Wingdings" w:hAnsi="Wingdings" w:hint="default"/>
      </w:rPr>
    </w:lvl>
    <w:lvl w:ilvl="6" w:tplc="C3E0127E" w:tentative="1">
      <w:start w:val="1"/>
      <w:numFmt w:val="bullet"/>
      <w:lvlText w:val=""/>
      <w:lvlJc w:val="left"/>
      <w:pPr>
        <w:ind w:left="5400" w:hanging="360"/>
      </w:pPr>
      <w:rPr>
        <w:rFonts w:ascii="Symbol" w:hAnsi="Symbol" w:hint="default"/>
      </w:rPr>
    </w:lvl>
    <w:lvl w:ilvl="7" w:tplc="E8023E42" w:tentative="1">
      <w:start w:val="1"/>
      <w:numFmt w:val="bullet"/>
      <w:lvlText w:val="o"/>
      <w:lvlJc w:val="left"/>
      <w:pPr>
        <w:ind w:left="6120" w:hanging="360"/>
      </w:pPr>
      <w:rPr>
        <w:rFonts w:ascii="Courier New" w:hAnsi="Courier New" w:cs="Courier New" w:hint="default"/>
      </w:rPr>
    </w:lvl>
    <w:lvl w:ilvl="8" w:tplc="E3ACFABC" w:tentative="1">
      <w:start w:val="1"/>
      <w:numFmt w:val="bullet"/>
      <w:lvlText w:val=""/>
      <w:lvlJc w:val="left"/>
      <w:pPr>
        <w:ind w:left="6840" w:hanging="360"/>
      </w:pPr>
      <w:rPr>
        <w:rFonts w:ascii="Wingdings" w:hAnsi="Wingdings" w:hint="default"/>
      </w:rPr>
    </w:lvl>
  </w:abstractNum>
  <w:abstractNum w:abstractNumId="19" w15:restartNumberingAfterBreak="0">
    <w:nsid w:val="3E477CF8"/>
    <w:multiLevelType w:val="hybridMultilevel"/>
    <w:tmpl w:val="16FE620C"/>
    <w:lvl w:ilvl="0" w:tplc="714CD0A8">
      <w:start w:val="1"/>
      <w:numFmt w:val="lowerLetter"/>
      <w:lvlText w:val="(%1)"/>
      <w:lvlJc w:val="left"/>
      <w:pPr>
        <w:ind w:left="1500" w:hanging="360"/>
      </w:pPr>
      <w:rPr>
        <w:rFonts w:hint="default"/>
      </w:rPr>
    </w:lvl>
    <w:lvl w:ilvl="1" w:tplc="635AF42C" w:tentative="1">
      <w:start w:val="1"/>
      <w:numFmt w:val="lowerLetter"/>
      <w:lvlText w:val="%2."/>
      <w:lvlJc w:val="left"/>
      <w:pPr>
        <w:ind w:left="2220" w:hanging="360"/>
      </w:pPr>
    </w:lvl>
    <w:lvl w:ilvl="2" w:tplc="C7D8629E" w:tentative="1">
      <w:start w:val="1"/>
      <w:numFmt w:val="lowerRoman"/>
      <w:lvlText w:val="%3."/>
      <w:lvlJc w:val="right"/>
      <w:pPr>
        <w:ind w:left="2940" w:hanging="180"/>
      </w:pPr>
    </w:lvl>
    <w:lvl w:ilvl="3" w:tplc="A6EAD538" w:tentative="1">
      <w:start w:val="1"/>
      <w:numFmt w:val="decimal"/>
      <w:lvlText w:val="%4."/>
      <w:lvlJc w:val="left"/>
      <w:pPr>
        <w:ind w:left="3660" w:hanging="360"/>
      </w:pPr>
    </w:lvl>
    <w:lvl w:ilvl="4" w:tplc="5EC050C0" w:tentative="1">
      <w:start w:val="1"/>
      <w:numFmt w:val="lowerLetter"/>
      <w:lvlText w:val="%5."/>
      <w:lvlJc w:val="left"/>
      <w:pPr>
        <w:ind w:left="4380" w:hanging="360"/>
      </w:pPr>
    </w:lvl>
    <w:lvl w:ilvl="5" w:tplc="49B62D0E" w:tentative="1">
      <w:start w:val="1"/>
      <w:numFmt w:val="lowerRoman"/>
      <w:lvlText w:val="%6."/>
      <w:lvlJc w:val="right"/>
      <w:pPr>
        <w:ind w:left="5100" w:hanging="180"/>
      </w:pPr>
    </w:lvl>
    <w:lvl w:ilvl="6" w:tplc="C0CAC1B4" w:tentative="1">
      <w:start w:val="1"/>
      <w:numFmt w:val="decimal"/>
      <w:lvlText w:val="%7."/>
      <w:lvlJc w:val="left"/>
      <w:pPr>
        <w:ind w:left="5820" w:hanging="360"/>
      </w:pPr>
    </w:lvl>
    <w:lvl w:ilvl="7" w:tplc="B0EE0A66" w:tentative="1">
      <w:start w:val="1"/>
      <w:numFmt w:val="lowerLetter"/>
      <w:lvlText w:val="%8."/>
      <w:lvlJc w:val="left"/>
      <w:pPr>
        <w:ind w:left="6540" w:hanging="360"/>
      </w:pPr>
    </w:lvl>
    <w:lvl w:ilvl="8" w:tplc="4AA88918" w:tentative="1">
      <w:start w:val="1"/>
      <w:numFmt w:val="lowerRoman"/>
      <w:lvlText w:val="%9."/>
      <w:lvlJc w:val="right"/>
      <w:pPr>
        <w:ind w:left="7260" w:hanging="180"/>
      </w:pPr>
    </w:lvl>
  </w:abstractNum>
  <w:abstractNum w:abstractNumId="20" w15:restartNumberingAfterBreak="0">
    <w:nsid w:val="4D6C78A0"/>
    <w:multiLevelType w:val="hybridMultilevel"/>
    <w:tmpl w:val="DBDABBC0"/>
    <w:lvl w:ilvl="0" w:tplc="868081E8">
      <w:start w:val="1"/>
      <w:numFmt w:val="bullet"/>
      <w:lvlText w:val=""/>
      <w:lvlJc w:val="left"/>
      <w:pPr>
        <w:ind w:left="720" w:hanging="360"/>
      </w:pPr>
      <w:rPr>
        <w:rFonts w:ascii="Symbol" w:hAnsi="Symbol" w:hint="default"/>
      </w:rPr>
    </w:lvl>
    <w:lvl w:ilvl="1" w:tplc="3D36989E" w:tentative="1">
      <w:start w:val="1"/>
      <w:numFmt w:val="bullet"/>
      <w:lvlText w:val="o"/>
      <w:lvlJc w:val="left"/>
      <w:pPr>
        <w:ind w:left="1440" w:hanging="360"/>
      </w:pPr>
      <w:rPr>
        <w:rFonts w:ascii="Courier New" w:hAnsi="Courier New" w:cs="Courier New" w:hint="default"/>
      </w:rPr>
    </w:lvl>
    <w:lvl w:ilvl="2" w:tplc="534CDE8C" w:tentative="1">
      <w:start w:val="1"/>
      <w:numFmt w:val="bullet"/>
      <w:lvlText w:val=""/>
      <w:lvlJc w:val="left"/>
      <w:pPr>
        <w:ind w:left="2160" w:hanging="360"/>
      </w:pPr>
      <w:rPr>
        <w:rFonts w:ascii="Wingdings" w:hAnsi="Wingdings" w:hint="default"/>
      </w:rPr>
    </w:lvl>
    <w:lvl w:ilvl="3" w:tplc="2DE2B690" w:tentative="1">
      <w:start w:val="1"/>
      <w:numFmt w:val="bullet"/>
      <w:lvlText w:val=""/>
      <w:lvlJc w:val="left"/>
      <w:pPr>
        <w:ind w:left="2880" w:hanging="360"/>
      </w:pPr>
      <w:rPr>
        <w:rFonts w:ascii="Symbol" w:hAnsi="Symbol" w:hint="default"/>
      </w:rPr>
    </w:lvl>
    <w:lvl w:ilvl="4" w:tplc="5E78C01C" w:tentative="1">
      <w:start w:val="1"/>
      <w:numFmt w:val="bullet"/>
      <w:lvlText w:val="o"/>
      <w:lvlJc w:val="left"/>
      <w:pPr>
        <w:ind w:left="3600" w:hanging="360"/>
      </w:pPr>
      <w:rPr>
        <w:rFonts w:ascii="Courier New" w:hAnsi="Courier New" w:cs="Courier New" w:hint="default"/>
      </w:rPr>
    </w:lvl>
    <w:lvl w:ilvl="5" w:tplc="6B4EE63A" w:tentative="1">
      <w:start w:val="1"/>
      <w:numFmt w:val="bullet"/>
      <w:lvlText w:val=""/>
      <w:lvlJc w:val="left"/>
      <w:pPr>
        <w:ind w:left="4320" w:hanging="360"/>
      </w:pPr>
      <w:rPr>
        <w:rFonts w:ascii="Wingdings" w:hAnsi="Wingdings" w:hint="default"/>
      </w:rPr>
    </w:lvl>
    <w:lvl w:ilvl="6" w:tplc="F860303E" w:tentative="1">
      <w:start w:val="1"/>
      <w:numFmt w:val="bullet"/>
      <w:lvlText w:val=""/>
      <w:lvlJc w:val="left"/>
      <w:pPr>
        <w:ind w:left="5040" w:hanging="360"/>
      </w:pPr>
      <w:rPr>
        <w:rFonts w:ascii="Symbol" w:hAnsi="Symbol" w:hint="default"/>
      </w:rPr>
    </w:lvl>
    <w:lvl w:ilvl="7" w:tplc="3E1E8084" w:tentative="1">
      <w:start w:val="1"/>
      <w:numFmt w:val="bullet"/>
      <w:lvlText w:val="o"/>
      <w:lvlJc w:val="left"/>
      <w:pPr>
        <w:ind w:left="5760" w:hanging="360"/>
      </w:pPr>
      <w:rPr>
        <w:rFonts w:ascii="Courier New" w:hAnsi="Courier New" w:cs="Courier New" w:hint="default"/>
      </w:rPr>
    </w:lvl>
    <w:lvl w:ilvl="8" w:tplc="C336603C" w:tentative="1">
      <w:start w:val="1"/>
      <w:numFmt w:val="bullet"/>
      <w:lvlText w:val=""/>
      <w:lvlJc w:val="left"/>
      <w:pPr>
        <w:ind w:left="6480" w:hanging="360"/>
      </w:pPr>
      <w:rPr>
        <w:rFonts w:ascii="Wingdings" w:hAnsi="Wingdings" w:hint="default"/>
      </w:rPr>
    </w:lvl>
  </w:abstractNum>
  <w:abstractNum w:abstractNumId="21" w15:restartNumberingAfterBreak="0">
    <w:nsid w:val="4E514160"/>
    <w:multiLevelType w:val="hybridMultilevel"/>
    <w:tmpl w:val="A2E01056"/>
    <w:lvl w:ilvl="0" w:tplc="896205A6">
      <w:start w:val="1"/>
      <w:numFmt w:val="bullet"/>
      <w:lvlText w:val=""/>
      <w:lvlJc w:val="left"/>
      <w:pPr>
        <w:ind w:left="1080" w:hanging="360"/>
      </w:pPr>
      <w:rPr>
        <w:rFonts w:ascii="Symbol" w:hAnsi="Symbol" w:hint="default"/>
      </w:rPr>
    </w:lvl>
    <w:lvl w:ilvl="1" w:tplc="1FFEC516" w:tentative="1">
      <w:start w:val="1"/>
      <w:numFmt w:val="bullet"/>
      <w:lvlText w:val="o"/>
      <w:lvlJc w:val="left"/>
      <w:pPr>
        <w:ind w:left="1800" w:hanging="360"/>
      </w:pPr>
      <w:rPr>
        <w:rFonts w:ascii="Courier New" w:hAnsi="Courier New" w:cs="Courier New" w:hint="default"/>
      </w:rPr>
    </w:lvl>
    <w:lvl w:ilvl="2" w:tplc="73CAA202" w:tentative="1">
      <w:start w:val="1"/>
      <w:numFmt w:val="bullet"/>
      <w:lvlText w:val=""/>
      <w:lvlJc w:val="left"/>
      <w:pPr>
        <w:ind w:left="2520" w:hanging="360"/>
      </w:pPr>
      <w:rPr>
        <w:rFonts w:ascii="Wingdings" w:hAnsi="Wingdings" w:hint="default"/>
      </w:rPr>
    </w:lvl>
    <w:lvl w:ilvl="3" w:tplc="D542F0C0" w:tentative="1">
      <w:start w:val="1"/>
      <w:numFmt w:val="bullet"/>
      <w:lvlText w:val=""/>
      <w:lvlJc w:val="left"/>
      <w:pPr>
        <w:ind w:left="3240" w:hanging="360"/>
      </w:pPr>
      <w:rPr>
        <w:rFonts w:ascii="Symbol" w:hAnsi="Symbol" w:hint="default"/>
      </w:rPr>
    </w:lvl>
    <w:lvl w:ilvl="4" w:tplc="8B9660E8" w:tentative="1">
      <w:start w:val="1"/>
      <w:numFmt w:val="bullet"/>
      <w:lvlText w:val="o"/>
      <w:lvlJc w:val="left"/>
      <w:pPr>
        <w:ind w:left="3960" w:hanging="360"/>
      </w:pPr>
      <w:rPr>
        <w:rFonts w:ascii="Courier New" w:hAnsi="Courier New" w:cs="Courier New" w:hint="default"/>
      </w:rPr>
    </w:lvl>
    <w:lvl w:ilvl="5" w:tplc="F99EB2D8" w:tentative="1">
      <w:start w:val="1"/>
      <w:numFmt w:val="bullet"/>
      <w:lvlText w:val=""/>
      <w:lvlJc w:val="left"/>
      <w:pPr>
        <w:ind w:left="4680" w:hanging="360"/>
      </w:pPr>
      <w:rPr>
        <w:rFonts w:ascii="Wingdings" w:hAnsi="Wingdings" w:hint="default"/>
      </w:rPr>
    </w:lvl>
    <w:lvl w:ilvl="6" w:tplc="ABFA2B36" w:tentative="1">
      <w:start w:val="1"/>
      <w:numFmt w:val="bullet"/>
      <w:lvlText w:val=""/>
      <w:lvlJc w:val="left"/>
      <w:pPr>
        <w:ind w:left="5400" w:hanging="360"/>
      </w:pPr>
      <w:rPr>
        <w:rFonts w:ascii="Symbol" w:hAnsi="Symbol" w:hint="default"/>
      </w:rPr>
    </w:lvl>
    <w:lvl w:ilvl="7" w:tplc="1D1E4C22" w:tentative="1">
      <w:start w:val="1"/>
      <w:numFmt w:val="bullet"/>
      <w:lvlText w:val="o"/>
      <w:lvlJc w:val="left"/>
      <w:pPr>
        <w:ind w:left="6120" w:hanging="360"/>
      </w:pPr>
      <w:rPr>
        <w:rFonts w:ascii="Courier New" w:hAnsi="Courier New" w:cs="Courier New" w:hint="default"/>
      </w:rPr>
    </w:lvl>
    <w:lvl w:ilvl="8" w:tplc="111CD214" w:tentative="1">
      <w:start w:val="1"/>
      <w:numFmt w:val="bullet"/>
      <w:lvlText w:val=""/>
      <w:lvlJc w:val="left"/>
      <w:pPr>
        <w:ind w:left="6840" w:hanging="360"/>
      </w:pPr>
      <w:rPr>
        <w:rFonts w:ascii="Wingdings" w:hAnsi="Wingdings" w:hint="default"/>
      </w:rPr>
    </w:lvl>
  </w:abstractNum>
  <w:abstractNum w:abstractNumId="22" w15:restartNumberingAfterBreak="0">
    <w:nsid w:val="4FAF29FA"/>
    <w:multiLevelType w:val="hybridMultilevel"/>
    <w:tmpl w:val="1054B42A"/>
    <w:lvl w:ilvl="0" w:tplc="CE507FE0">
      <w:start w:val="1"/>
      <w:numFmt w:val="bullet"/>
      <w:lvlText w:val=""/>
      <w:lvlJc w:val="left"/>
      <w:pPr>
        <w:ind w:left="720" w:hanging="360"/>
      </w:pPr>
      <w:rPr>
        <w:rFonts w:ascii="Symbol" w:hAnsi="Symbol" w:hint="default"/>
      </w:rPr>
    </w:lvl>
    <w:lvl w:ilvl="1" w:tplc="437A0DF4" w:tentative="1">
      <w:start w:val="1"/>
      <w:numFmt w:val="bullet"/>
      <w:lvlText w:val="o"/>
      <w:lvlJc w:val="left"/>
      <w:pPr>
        <w:ind w:left="1440" w:hanging="360"/>
      </w:pPr>
      <w:rPr>
        <w:rFonts w:ascii="Courier New" w:hAnsi="Courier New" w:cs="Courier New" w:hint="default"/>
      </w:rPr>
    </w:lvl>
    <w:lvl w:ilvl="2" w:tplc="AA20FBE6" w:tentative="1">
      <w:start w:val="1"/>
      <w:numFmt w:val="bullet"/>
      <w:lvlText w:val=""/>
      <w:lvlJc w:val="left"/>
      <w:pPr>
        <w:ind w:left="2160" w:hanging="360"/>
      </w:pPr>
      <w:rPr>
        <w:rFonts w:ascii="Wingdings" w:hAnsi="Wingdings" w:hint="default"/>
      </w:rPr>
    </w:lvl>
    <w:lvl w:ilvl="3" w:tplc="4246D762" w:tentative="1">
      <w:start w:val="1"/>
      <w:numFmt w:val="bullet"/>
      <w:lvlText w:val=""/>
      <w:lvlJc w:val="left"/>
      <w:pPr>
        <w:ind w:left="2880" w:hanging="360"/>
      </w:pPr>
      <w:rPr>
        <w:rFonts w:ascii="Symbol" w:hAnsi="Symbol" w:hint="default"/>
      </w:rPr>
    </w:lvl>
    <w:lvl w:ilvl="4" w:tplc="45CABE7C" w:tentative="1">
      <w:start w:val="1"/>
      <w:numFmt w:val="bullet"/>
      <w:lvlText w:val="o"/>
      <w:lvlJc w:val="left"/>
      <w:pPr>
        <w:ind w:left="3600" w:hanging="360"/>
      </w:pPr>
      <w:rPr>
        <w:rFonts w:ascii="Courier New" w:hAnsi="Courier New" w:cs="Courier New" w:hint="default"/>
      </w:rPr>
    </w:lvl>
    <w:lvl w:ilvl="5" w:tplc="1528E5F6" w:tentative="1">
      <w:start w:val="1"/>
      <w:numFmt w:val="bullet"/>
      <w:lvlText w:val=""/>
      <w:lvlJc w:val="left"/>
      <w:pPr>
        <w:ind w:left="4320" w:hanging="360"/>
      </w:pPr>
      <w:rPr>
        <w:rFonts w:ascii="Wingdings" w:hAnsi="Wingdings" w:hint="default"/>
      </w:rPr>
    </w:lvl>
    <w:lvl w:ilvl="6" w:tplc="BDC6C8B0" w:tentative="1">
      <w:start w:val="1"/>
      <w:numFmt w:val="bullet"/>
      <w:lvlText w:val=""/>
      <w:lvlJc w:val="left"/>
      <w:pPr>
        <w:ind w:left="5040" w:hanging="360"/>
      </w:pPr>
      <w:rPr>
        <w:rFonts w:ascii="Symbol" w:hAnsi="Symbol" w:hint="default"/>
      </w:rPr>
    </w:lvl>
    <w:lvl w:ilvl="7" w:tplc="B6988290" w:tentative="1">
      <w:start w:val="1"/>
      <w:numFmt w:val="bullet"/>
      <w:lvlText w:val="o"/>
      <w:lvlJc w:val="left"/>
      <w:pPr>
        <w:ind w:left="5760" w:hanging="360"/>
      </w:pPr>
      <w:rPr>
        <w:rFonts w:ascii="Courier New" w:hAnsi="Courier New" w:cs="Courier New" w:hint="default"/>
      </w:rPr>
    </w:lvl>
    <w:lvl w:ilvl="8" w:tplc="5764F156" w:tentative="1">
      <w:start w:val="1"/>
      <w:numFmt w:val="bullet"/>
      <w:lvlText w:val=""/>
      <w:lvlJc w:val="left"/>
      <w:pPr>
        <w:ind w:left="6480" w:hanging="360"/>
      </w:pPr>
      <w:rPr>
        <w:rFonts w:ascii="Wingdings" w:hAnsi="Wingdings" w:hint="default"/>
      </w:rPr>
    </w:lvl>
  </w:abstractNum>
  <w:abstractNum w:abstractNumId="23" w15:restartNumberingAfterBreak="0">
    <w:nsid w:val="512E1FB7"/>
    <w:multiLevelType w:val="hybridMultilevel"/>
    <w:tmpl w:val="D8C6DCF4"/>
    <w:lvl w:ilvl="0" w:tplc="7398EC5E">
      <w:start w:val="1"/>
      <w:numFmt w:val="bullet"/>
      <w:lvlText w:val=""/>
      <w:lvlJc w:val="left"/>
      <w:pPr>
        <w:ind w:left="720" w:hanging="360"/>
      </w:pPr>
      <w:rPr>
        <w:rFonts w:ascii="Symbol" w:hAnsi="Symbol" w:hint="default"/>
      </w:rPr>
    </w:lvl>
    <w:lvl w:ilvl="1" w:tplc="67CEBA56" w:tentative="1">
      <w:start w:val="1"/>
      <w:numFmt w:val="bullet"/>
      <w:lvlText w:val="o"/>
      <w:lvlJc w:val="left"/>
      <w:pPr>
        <w:ind w:left="1440" w:hanging="360"/>
      </w:pPr>
      <w:rPr>
        <w:rFonts w:ascii="Courier New" w:hAnsi="Courier New" w:cs="Courier New" w:hint="default"/>
      </w:rPr>
    </w:lvl>
    <w:lvl w:ilvl="2" w:tplc="FA007D5A" w:tentative="1">
      <w:start w:val="1"/>
      <w:numFmt w:val="bullet"/>
      <w:lvlText w:val=""/>
      <w:lvlJc w:val="left"/>
      <w:pPr>
        <w:ind w:left="2160" w:hanging="360"/>
      </w:pPr>
      <w:rPr>
        <w:rFonts w:ascii="Wingdings" w:hAnsi="Wingdings" w:hint="default"/>
      </w:rPr>
    </w:lvl>
    <w:lvl w:ilvl="3" w:tplc="57968776" w:tentative="1">
      <w:start w:val="1"/>
      <w:numFmt w:val="bullet"/>
      <w:lvlText w:val=""/>
      <w:lvlJc w:val="left"/>
      <w:pPr>
        <w:ind w:left="2880" w:hanging="360"/>
      </w:pPr>
      <w:rPr>
        <w:rFonts w:ascii="Symbol" w:hAnsi="Symbol" w:hint="default"/>
      </w:rPr>
    </w:lvl>
    <w:lvl w:ilvl="4" w:tplc="3AAEA86A" w:tentative="1">
      <w:start w:val="1"/>
      <w:numFmt w:val="bullet"/>
      <w:lvlText w:val="o"/>
      <w:lvlJc w:val="left"/>
      <w:pPr>
        <w:ind w:left="3600" w:hanging="360"/>
      </w:pPr>
      <w:rPr>
        <w:rFonts w:ascii="Courier New" w:hAnsi="Courier New" w:cs="Courier New" w:hint="default"/>
      </w:rPr>
    </w:lvl>
    <w:lvl w:ilvl="5" w:tplc="552CE55E" w:tentative="1">
      <w:start w:val="1"/>
      <w:numFmt w:val="bullet"/>
      <w:lvlText w:val=""/>
      <w:lvlJc w:val="left"/>
      <w:pPr>
        <w:ind w:left="4320" w:hanging="360"/>
      </w:pPr>
      <w:rPr>
        <w:rFonts w:ascii="Wingdings" w:hAnsi="Wingdings" w:hint="default"/>
      </w:rPr>
    </w:lvl>
    <w:lvl w:ilvl="6" w:tplc="D51ADFF8" w:tentative="1">
      <w:start w:val="1"/>
      <w:numFmt w:val="bullet"/>
      <w:lvlText w:val=""/>
      <w:lvlJc w:val="left"/>
      <w:pPr>
        <w:ind w:left="5040" w:hanging="360"/>
      </w:pPr>
      <w:rPr>
        <w:rFonts w:ascii="Symbol" w:hAnsi="Symbol" w:hint="default"/>
      </w:rPr>
    </w:lvl>
    <w:lvl w:ilvl="7" w:tplc="DACEB2C6" w:tentative="1">
      <w:start w:val="1"/>
      <w:numFmt w:val="bullet"/>
      <w:lvlText w:val="o"/>
      <w:lvlJc w:val="left"/>
      <w:pPr>
        <w:ind w:left="5760" w:hanging="360"/>
      </w:pPr>
      <w:rPr>
        <w:rFonts w:ascii="Courier New" w:hAnsi="Courier New" w:cs="Courier New" w:hint="default"/>
      </w:rPr>
    </w:lvl>
    <w:lvl w:ilvl="8" w:tplc="F19EDD02" w:tentative="1">
      <w:start w:val="1"/>
      <w:numFmt w:val="bullet"/>
      <w:lvlText w:val=""/>
      <w:lvlJc w:val="left"/>
      <w:pPr>
        <w:ind w:left="6480" w:hanging="360"/>
      </w:pPr>
      <w:rPr>
        <w:rFonts w:ascii="Wingdings" w:hAnsi="Wingdings" w:hint="default"/>
      </w:rPr>
    </w:lvl>
  </w:abstractNum>
  <w:abstractNum w:abstractNumId="24" w15:restartNumberingAfterBreak="0">
    <w:nsid w:val="51DB7230"/>
    <w:multiLevelType w:val="hybridMultilevel"/>
    <w:tmpl w:val="E4041484"/>
    <w:lvl w:ilvl="0" w:tplc="9A3C9B84">
      <w:start w:val="1"/>
      <w:numFmt w:val="bullet"/>
      <w:lvlText w:val=""/>
      <w:lvlJc w:val="left"/>
      <w:pPr>
        <w:ind w:left="720" w:hanging="360"/>
      </w:pPr>
      <w:rPr>
        <w:rFonts w:ascii="Symbol" w:hAnsi="Symbol" w:hint="default"/>
      </w:rPr>
    </w:lvl>
    <w:lvl w:ilvl="1" w:tplc="8C2A8A22" w:tentative="1">
      <w:start w:val="1"/>
      <w:numFmt w:val="bullet"/>
      <w:lvlText w:val="o"/>
      <w:lvlJc w:val="left"/>
      <w:pPr>
        <w:ind w:left="1440" w:hanging="360"/>
      </w:pPr>
      <w:rPr>
        <w:rFonts w:ascii="Courier New" w:hAnsi="Courier New" w:cs="Courier New" w:hint="default"/>
      </w:rPr>
    </w:lvl>
    <w:lvl w:ilvl="2" w:tplc="B4C217C2" w:tentative="1">
      <w:start w:val="1"/>
      <w:numFmt w:val="bullet"/>
      <w:lvlText w:val=""/>
      <w:lvlJc w:val="left"/>
      <w:pPr>
        <w:ind w:left="2160" w:hanging="360"/>
      </w:pPr>
      <w:rPr>
        <w:rFonts w:ascii="Wingdings" w:hAnsi="Wingdings" w:hint="default"/>
      </w:rPr>
    </w:lvl>
    <w:lvl w:ilvl="3" w:tplc="C61255C4" w:tentative="1">
      <w:start w:val="1"/>
      <w:numFmt w:val="bullet"/>
      <w:lvlText w:val=""/>
      <w:lvlJc w:val="left"/>
      <w:pPr>
        <w:ind w:left="2880" w:hanging="360"/>
      </w:pPr>
      <w:rPr>
        <w:rFonts w:ascii="Symbol" w:hAnsi="Symbol" w:hint="default"/>
      </w:rPr>
    </w:lvl>
    <w:lvl w:ilvl="4" w:tplc="B82E5190" w:tentative="1">
      <w:start w:val="1"/>
      <w:numFmt w:val="bullet"/>
      <w:lvlText w:val="o"/>
      <w:lvlJc w:val="left"/>
      <w:pPr>
        <w:ind w:left="3600" w:hanging="360"/>
      </w:pPr>
      <w:rPr>
        <w:rFonts w:ascii="Courier New" w:hAnsi="Courier New" w:cs="Courier New" w:hint="default"/>
      </w:rPr>
    </w:lvl>
    <w:lvl w:ilvl="5" w:tplc="853017D2" w:tentative="1">
      <w:start w:val="1"/>
      <w:numFmt w:val="bullet"/>
      <w:lvlText w:val=""/>
      <w:lvlJc w:val="left"/>
      <w:pPr>
        <w:ind w:left="4320" w:hanging="360"/>
      </w:pPr>
      <w:rPr>
        <w:rFonts w:ascii="Wingdings" w:hAnsi="Wingdings" w:hint="default"/>
      </w:rPr>
    </w:lvl>
    <w:lvl w:ilvl="6" w:tplc="5ACA5720" w:tentative="1">
      <w:start w:val="1"/>
      <w:numFmt w:val="bullet"/>
      <w:lvlText w:val=""/>
      <w:lvlJc w:val="left"/>
      <w:pPr>
        <w:ind w:left="5040" w:hanging="360"/>
      </w:pPr>
      <w:rPr>
        <w:rFonts w:ascii="Symbol" w:hAnsi="Symbol" w:hint="default"/>
      </w:rPr>
    </w:lvl>
    <w:lvl w:ilvl="7" w:tplc="F564BE86" w:tentative="1">
      <w:start w:val="1"/>
      <w:numFmt w:val="bullet"/>
      <w:lvlText w:val="o"/>
      <w:lvlJc w:val="left"/>
      <w:pPr>
        <w:ind w:left="5760" w:hanging="360"/>
      </w:pPr>
      <w:rPr>
        <w:rFonts w:ascii="Courier New" w:hAnsi="Courier New" w:cs="Courier New" w:hint="default"/>
      </w:rPr>
    </w:lvl>
    <w:lvl w:ilvl="8" w:tplc="C6C4C39E" w:tentative="1">
      <w:start w:val="1"/>
      <w:numFmt w:val="bullet"/>
      <w:lvlText w:val=""/>
      <w:lvlJc w:val="left"/>
      <w:pPr>
        <w:ind w:left="6480" w:hanging="360"/>
      </w:pPr>
      <w:rPr>
        <w:rFonts w:ascii="Wingdings" w:hAnsi="Wingdings" w:hint="default"/>
      </w:rPr>
    </w:lvl>
  </w:abstractNum>
  <w:abstractNum w:abstractNumId="25" w15:restartNumberingAfterBreak="0">
    <w:nsid w:val="531F0828"/>
    <w:multiLevelType w:val="hybridMultilevel"/>
    <w:tmpl w:val="0100DA20"/>
    <w:lvl w:ilvl="0" w:tplc="388A5E82">
      <w:start w:val="1"/>
      <w:numFmt w:val="decimal"/>
      <w:lvlText w:val="%1."/>
      <w:lvlJc w:val="left"/>
      <w:pPr>
        <w:ind w:left="720" w:hanging="360"/>
      </w:pPr>
    </w:lvl>
    <w:lvl w:ilvl="1" w:tplc="1AE04EB8">
      <w:start w:val="1"/>
      <w:numFmt w:val="lowerLetter"/>
      <w:lvlText w:val="%2."/>
      <w:lvlJc w:val="left"/>
      <w:pPr>
        <w:ind w:left="1440" w:hanging="360"/>
      </w:pPr>
    </w:lvl>
    <w:lvl w:ilvl="2" w:tplc="3FE47EA6" w:tentative="1">
      <w:start w:val="1"/>
      <w:numFmt w:val="lowerRoman"/>
      <w:lvlText w:val="%3."/>
      <w:lvlJc w:val="right"/>
      <w:pPr>
        <w:ind w:left="2160" w:hanging="180"/>
      </w:pPr>
    </w:lvl>
    <w:lvl w:ilvl="3" w:tplc="17740C76" w:tentative="1">
      <w:start w:val="1"/>
      <w:numFmt w:val="decimal"/>
      <w:lvlText w:val="%4."/>
      <w:lvlJc w:val="left"/>
      <w:pPr>
        <w:ind w:left="2880" w:hanging="360"/>
      </w:pPr>
    </w:lvl>
    <w:lvl w:ilvl="4" w:tplc="786C5B80" w:tentative="1">
      <w:start w:val="1"/>
      <w:numFmt w:val="lowerLetter"/>
      <w:lvlText w:val="%5."/>
      <w:lvlJc w:val="left"/>
      <w:pPr>
        <w:ind w:left="3600" w:hanging="360"/>
      </w:pPr>
    </w:lvl>
    <w:lvl w:ilvl="5" w:tplc="B718870A" w:tentative="1">
      <w:start w:val="1"/>
      <w:numFmt w:val="lowerRoman"/>
      <w:lvlText w:val="%6."/>
      <w:lvlJc w:val="right"/>
      <w:pPr>
        <w:ind w:left="4320" w:hanging="180"/>
      </w:pPr>
    </w:lvl>
    <w:lvl w:ilvl="6" w:tplc="EFB0DE94" w:tentative="1">
      <w:start w:val="1"/>
      <w:numFmt w:val="decimal"/>
      <w:lvlText w:val="%7."/>
      <w:lvlJc w:val="left"/>
      <w:pPr>
        <w:ind w:left="5040" w:hanging="360"/>
      </w:pPr>
    </w:lvl>
    <w:lvl w:ilvl="7" w:tplc="8F1C8C7C" w:tentative="1">
      <w:start w:val="1"/>
      <w:numFmt w:val="lowerLetter"/>
      <w:lvlText w:val="%8."/>
      <w:lvlJc w:val="left"/>
      <w:pPr>
        <w:ind w:left="5760" w:hanging="360"/>
      </w:pPr>
    </w:lvl>
    <w:lvl w:ilvl="8" w:tplc="FFD2CA1A" w:tentative="1">
      <w:start w:val="1"/>
      <w:numFmt w:val="lowerRoman"/>
      <w:lvlText w:val="%9."/>
      <w:lvlJc w:val="right"/>
      <w:pPr>
        <w:ind w:left="6480" w:hanging="180"/>
      </w:pPr>
    </w:lvl>
  </w:abstractNum>
  <w:abstractNum w:abstractNumId="26" w15:restartNumberingAfterBreak="0">
    <w:nsid w:val="584A617F"/>
    <w:multiLevelType w:val="hybridMultilevel"/>
    <w:tmpl w:val="F5BA7E36"/>
    <w:lvl w:ilvl="0" w:tplc="9422825A">
      <w:start w:val="1"/>
      <w:numFmt w:val="upperRoman"/>
      <w:lvlText w:val="%1."/>
      <w:lvlJc w:val="left"/>
      <w:pPr>
        <w:ind w:left="720" w:hanging="720"/>
      </w:pPr>
      <w:rPr>
        <w:rFonts w:asciiTheme="minorHAnsi" w:hAnsiTheme="minorHAnsi" w:hint="default"/>
        <w:b/>
        <w:sz w:val="23"/>
        <w:szCs w:val="23"/>
      </w:rPr>
    </w:lvl>
    <w:lvl w:ilvl="1" w:tplc="26420F88" w:tentative="1">
      <w:start w:val="1"/>
      <w:numFmt w:val="lowerLetter"/>
      <w:lvlText w:val="%2."/>
      <w:lvlJc w:val="left"/>
      <w:pPr>
        <w:ind w:left="1080" w:hanging="360"/>
      </w:pPr>
    </w:lvl>
    <w:lvl w:ilvl="2" w:tplc="465456AE" w:tentative="1">
      <w:start w:val="1"/>
      <w:numFmt w:val="lowerRoman"/>
      <w:lvlText w:val="%3."/>
      <w:lvlJc w:val="right"/>
      <w:pPr>
        <w:ind w:left="1800" w:hanging="180"/>
      </w:pPr>
    </w:lvl>
    <w:lvl w:ilvl="3" w:tplc="B0622564" w:tentative="1">
      <w:start w:val="1"/>
      <w:numFmt w:val="decimal"/>
      <w:lvlText w:val="%4."/>
      <w:lvlJc w:val="left"/>
      <w:pPr>
        <w:ind w:left="2520" w:hanging="360"/>
      </w:pPr>
    </w:lvl>
    <w:lvl w:ilvl="4" w:tplc="CAC46698" w:tentative="1">
      <w:start w:val="1"/>
      <w:numFmt w:val="lowerLetter"/>
      <w:lvlText w:val="%5."/>
      <w:lvlJc w:val="left"/>
      <w:pPr>
        <w:ind w:left="3240" w:hanging="360"/>
      </w:pPr>
    </w:lvl>
    <w:lvl w:ilvl="5" w:tplc="42C63718" w:tentative="1">
      <w:start w:val="1"/>
      <w:numFmt w:val="lowerRoman"/>
      <w:lvlText w:val="%6."/>
      <w:lvlJc w:val="right"/>
      <w:pPr>
        <w:ind w:left="3960" w:hanging="180"/>
      </w:pPr>
    </w:lvl>
    <w:lvl w:ilvl="6" w:tplc="25D83C86" w:tentative="1">
      <w:start w:val="1"/>
      <w:numFmt w:val="decimal"/>
      <w:lvlText w:val="%7."/>
      <w:lvlJc w:val="left"/>
      <w:pPr>
        <w:ind w:left="4680" w:hanging="360"/>
      </w:pPr>
    </w:lvl>
    <w:lvl w:ilvl="7" w:tplc="33C43DA8" w:tentative="1">
      <w:start w:val="1"/>
      <w:numFmt w:val="lowerLetter"/>
      <w:lvlText w:val="%8."/>
      <w:lvlJc w:val="left"/>
      <w:pPr>
        <w:ind w:left="5400" w:hanging="360"/>
      </w:pPr>
    </w:lvl>
    <w:lvl w:ilvl="8" w:tplc="BF86FEEC" w:tentative="1">
      <w:start w:val="1"/>
      <w:numFmt w:val="lowerRoman"/>
      <w:lvlText w:val="%9."/>
      <w:lvlJc w:val="right"/>
      <w:pPr>
        <w:ind w:left="6120" w:hanging="180"/>
      </w:pPr>
    </w:lvl>
  </w:abstractNum>
  <w:abstractNum w:abstractNumId="27" w15:restartNumberingAfterBreak="0">
    <w:nsid w:val="5D833D56"/>
    <w:multiLevelType w:val="hybridMultilevel"/>
    <w:tmpl w:val="B0A43978"/>
    <w:lvl w:ilvl="0" w:tplc="F7342474">
      <w:start w:val="1"/>
      <w:numFmt w:val="bullet"/>
      <w:lvlText w:val=""/>
      <w:lvlJc w:val="left"/>
      <w:pPr>
        <w:ind w:left="720" w:hanging="360"/>
      </w:pPr>
      <w:rPr>
        <w:rFonts w:ascii="Symbol" w:hAnsi="Symbol" w:hint="default"/>
      </w:rPr>
    </w:lvl>
    <w:lvl w:ilvl="1" w:tplc="F5B26472" w:tentative="1">
      <w:start w:val="1"/>
      <w:numFmt w:val="bullet"/>
      <w:lvlText w:val="o"/>
      <w:lvlJc w:val="left"/>
      <w:pPr>
        <w:ind w:left="1440" w:hanging="360"/>
      </w:pPr>
      <w:rPr>
        <w:rFonts w:ascii="Courier New" w:hAnsi="Courier New" w:cs="Courier New" w:hint="default"/>
      </w:rPr>
    </w:lvl>
    <w:lvl w:ilvl="2" w:tplc="BEFA0C0C" w:tentative="1">
      <w:start w:val="1"/>
      <w:numFmt w:val="bullet"/>
      <w:lvlText w:val=""/>
      <w:lvlJc w:val="left"/>
      <w:pPr>
        <w:ind w:left="2160" w:hanging="360"/>
      </w:pPr>
      <w:rPr>
        <w:rFonts w:ascii="Wingdings" w:hAnsi="Wingdings" w:hint="default"/>
      </w:rPr>
    </w:lvl>
    <w:lvl w:ilvl="3" w:tplc="AD122682" w:tentative="1">
      <w:start w:val="1"/>
      <w:numFmt w:val="bullet"/>
      <w:lvlText w:val=""/>
      <w:lvlJc w:val="left"/>
      <w:pPr>
        <w:ind w:left="2880" w:hanging="360"/>
      </w:pPr>
      <w:rPr>
        <w:rFonts w:ascii="Symbol" w:hAnsi="Symbol" w:hint="default"/>
      </w:rPr>
    </w:lvl>
    <w:lvl w:ilvl="4" w:tplc="D5EC7858" w:tentative="1">
      <w:start w:val="1"/>
      <w:numFmt w:val="bullet"/>
      <w:lvlText w:val="o"/>
      <w:lvlJc w:val="left"/>
      <w:pPr>
        <w:ind w:left="3600" w:hanging="360"/>
      </w:pPr>
      <w:rPr>
        <w:rFonts w:ascii="Courier New" w:hAnsi="Courier New" w:cs="Courier New" w:hint="default"/>
      </w:rPr>
    </w:lvl>
    <w:lvl w:ilvl="5" w:tplc="5BD8EC6C" w:tentative="1">
      <w:start w:val="1"/>
      <w:numFmt w:val="bullet"/>
      <w:lvlText w:val=""/>
      <w:lvlJc w:val="left"/>
      <w:pPr>
        <w:ind w:left="4320" w:hanging="360"/>
      </w:pPr>
      <w:rPr>
        <w:rFonts w:ascii="Wingdings" w:hAnsi="Wingdings" w:hint="default"/>
      </w:rPr>
    </w:lvl>
    <w:lvl w:ilvl="6" w:tplc="AF6C4F6C" w:tentative="1">
      <w:start w:val="1"/>
      <w:numFmt w:val="bullet"/>
      <w:lvlText w:val=""/>
      <w:lvlJc w:val="left"/>
      <w:pPr>
        <w:ind w:left="5040" w:hanging="360"/>
      </w:pPr>
      <w:rPr>
        <w:rFonts w:ascii="Symbol" w:hAnsi="Symbol" w:hint="default"/>
      </w:rPr>
    </w:lvl>
    <w:lvl w:ilvl="7" w:tplc="502059B0" w:tentative="1">
      <w:start w:val="1"/>
      <w:numFmt w:val="bullet"/>
      <w:lvlText w:val="o"/>
      <w:lvlJc w:val="left"/>
      <w:pPr>
        <w:ind w:left="5760" w:hanging="360"/>
      </w:pPr>
      <w:rPr>
        <w:rFonts w:ascii="Courier New" w:hAnsi="Courier New" w:cs="Courier New" w:hint="default"/>
      </w:rPr>
    </w:lvl>
    <w:lvl w:ilvl="8" w:tplc="14322202" w:tentative="1">
      <w:start w:val="1"/>
      <w:numFmt w:val="bullet"/>
      <w:lvlText w:val=""/>
      <w:lvlJc w:val="left"/>
      <w:pPr>
        <w:ind w:left="6480" w:hanging="360"/>
      </w:pPr>
      <w:rPr>
        <w:rFonts w:ascii="Wingdings" w:hAnsi="Wingdings" w:hint="default"/>
      </w:rPr>
    </w:lvl>
  </w:abstractNum>
  <w:abstractNum w:abstractNumId="28" w15:restartNumberingAfterBreak="0">
    <w:nsid w:val="65117EAA"/>
    <w:multiLevelType w:val="hybridMultilevel"/>
    <w:tmpl w:val="210884E4"/>
    <w:lvl w:ilvl="0" w:tplc="2DCAF5CE">
      <w:start w:val="1"/>
      <w:numFmt w:val="bullet"/>
      <w:lvlText w:val=""/>
      <w:lvlJc w:val="left"/>
      <w:pPr>
        <w:ind w:left="1080" w:hanging="360"/>
      </w:pPr>
      <w:rPr>
        <w:rFonts w:ascii="Symbol" w:hAnsi="Symbol" w:hint="default"/>
      </w:rPr>
    </w:lvl>
    <w:lvl w:ilvl="1" w:tplc="ABC40A68" w:tentative="1">
      <w:start w:val="1"/>
      <w:numFmt w:val="bullet"/>
      <w:lvlText w:val="o"/>
      <w:lvlJc w:val="left"/>
      <w:pPr>
        <w:ind w:left="1800" w:hanging="360"/>
      </w:pPr>
      <w:rPr>
        <w:rFonts w:ascii="Courier New" w:hAnsi="Courier New" w:cs="Courier New" w:hint="default"/>
      </w:rPr>
    </w:lvl>
    <w:lvl w:ilvl="2" w:tplc="8D8CA020" w:tentative="1">
      <w:start w:val="1"/>
      <w:numFmt w:val="bullet"/>
      <w:lvlText w:val=""/>
      <w:lvlJc w:val="left"/>
      <w:pPr>
        <w:ind w:left="2520" w:hanging="360"/>
      </w:pPr>
      <w:rPr>
        <w:rFonts w:ascii="Wingdings" w:hAnsi="Wingdings" w:hint="default"/>
      </w:rPr>
    </w:lvl>
    <w:lvl w:ilvl="3" w:tplc="996C617E" w:tentative="1">
      <w:start w:val="1"/>
      <w:numFmt w:val="bullet"/>
      <w:lvlText w:val=""/>
      <w:lvlJc w:val="left"/>
      <w:pPr>
        <w:ind w:left="3240" w:hanging="360"/>
      </w:pPr>
      <w:rPr>
        <w:rFonts w:ascii="Symbol" w:hAnsi="Symbol" w:hint="default"/>
      </w:rPr>
    </w:lvl>
    <w:lvl w:ilvl="4" w:tplc="8A0A1AD6" w:tentative="1">
      <w:start w:val="1"/>
      <w:numFmt w:val="bullet"/>
      <w:lvlText w:val="o"/>
      <w:lvlJc w:val="left"/>
      <w:pPr>
        <w:ind w:left="3960" w:hanging="360"/>
      </w:pPr>
      <w:rPr>
        <w:rFonts w:ascii="Courier New" w:hAnsi="Courier New" w:cs="Courier New" w:hint="default"/>
      </w:rPr>
    </w:lvl>
    <w:lvl w:ilvl="5" w:tplc="F9864E34" w:tentative="1">
      <w:start w:val="1"/>
      <w:numFmt w:val="bullet"/>
      <w:lvlText w:val=""/>
      <w:lvlJc w:val="left"/>
      <w:pPr>
        <w:ind w:left="4680" w:hanging="360"/>
      </w:pPr>
      <w:rPr>
        <w:rFonts w:ascii="Wingdings" w:hAnsi="Wingdings" w:hint="default"/>
      </w:rPr>
    </w:lvl>
    <w:lvl w:ilvl="6" w:tplc="8C6482D2" w:tentative="1">
      <w:start w:val="1"/>
      <w:numFmt w:val="bullet"/>
      <w:lvlText w:val=""/>
      <w:lvlJc w:val="left"/>
      <w:pPr>
        <w:ind w:left="5400" w:hanging="360"/>
      </w:pPr>
      <w:rPr>
        <w:rFonts w:ascii="Symbol" w:hAnsi="Symbol" w:hint="default"/>
      </w:rPr>
    </w:lvl>
    <w:lvl w:ilvl="7" w:tplc="4D645880" w:tentative="1">
      <w:start w:val="1"/>
      <w:numFmt w:val="bullet"/>
      <w:lvlText w:val="o"/>
      <w:lvlJc w:val="left"/>
      <w:pPr>
        <w:ind w:left="6120" w:hanging="360"/>
      </w:pPr>
      <w:rPr>
        <w:rFonts w:ascii="Courier New" w:hAnsi="Courier New" w:cs="Courier New" w:hint="default"/>
      </w:rPr>
    </w:lvl>
    <w:lvl w:ilvl="8" w:tplc="B73C0994" w:tentative="1">
      <w:start w:val="1"/>
      <w:numFmt w:val="bullet"/>
      <w:lvlText w:val=""/>
      <w:lvlJc w:val="left"/>
      <w:pPr>
        <w:ind w:left="6840" w:hanging="360"/>
      </w:pPr>
      <w:rPr>
        <w:rFonts w:ascii="Wingdings" w:hAnsi="Wingdings" w:hint="default"/>
      </w:rPr>
    </w:lvl>
  </w:abstractNum>
  <w:abstractNum w:abstractNumId="29" w15:restartNumberingAfterBreak="0">
    <w:nsid w:val="6E0A4C88"/>
    <w:multiLevelType w:val="hybridMultilevel"/>
    <w:tmpl w:val="7F58CC28"/>
    <w:lvl w:ilvl="0" w:tplc="0D248FE6">
      <w:start w:val="1"/>
      <w:numFmt w:val="bullet"/>
      <w:lvlText w:val=""/>
      <w:lvlJc w:val="left"/>
      <w:pPr>
        <w:ind w:left="1080" w:hanging="360"/>
      </w:pPr>
      <w:rPr>
        <w:rFonts w:ascii="Symbol" w:hAnsi="Symbol" w:hint="default"/>
      </w:rPr>
    </w:lvl>
    <w:lvl w:ilvl="1" w:tplc="D61C7512" w:tentative="1">
      <w:start w:val="1"/>
      <w:numFmt w:val="bullet"/>
      <w:lvlText w:val="o"/>
      <w:lvlJc w:val="left"/>
      <w:pPr>
        <w:ind w:left="1800" w:hanging="360"/>
      </w:pPr>
      <w:rPr>
        <w:rFonts w:ascii="Courier New" w:hAnsi="Courier New" w:cs="Courier New" w:hint="default"/>
      </w:rPr>
    </w:lvl>
    <w:lvl w:ilvl="2" w:tplc="A956B172" w:tentative="1">
      <w:start w:val="1"/>
      <w:numFmt w:val="bullet"/>
      <w:lvlText w:val=""/>
      <w:lvlJc w:val="left"/>
      <w:pPr>
        <w:ind w:left="2520" w:hanging="360"/>
      </w:pPr>
      <w:rPr>
        <w:rFonts w:ascii="Wingdings" w:hAnsi="Wingdings" w:hint="default"/>
      </w:rPr>
    </w:lvl>
    <w:lvl w:ilvl="3" w:tplc="05B89D76" w:tentative="1">
      <w:start w:val="1"/>
      <w:numFmt w:val="bullet"/>
      <w:lvlText w:val=""/>
      <w:lvlJc w:val="left"/>
      <w:pPr>
        <w:ind w:left="3240" w:hanging="360"/>
      </w:pPr>
      <w:rPr>
        <w:rFonts w:ascii="Symbol" w:hAnsi="Symbol" w:hint="default"/>
      </w:rPr>
    </w:lvl>
    <w:lvl w:ilvl="4" w:tplc="5352F45E" w:tentative="1">
      <w:start w:val="1"/>
      <w:numFmt w:val="bullet"/>
      <w:lvlText w:val="o"/>
      <w:lvlJc w:val="left"/>
      <w:pPr>
        <w:ind w:left="3960" w:hanging="360"/>
      </w:pPr>
      <w:rPr>
        <w:rFonts w:ascii="Courier New" w:hAnsi="Courier New" w:cs="Courier New" w:hint="default"/>
      </w:rPr>
    </w:lvl>
    <w:lvl w:ilvl="5" w:tplc="465EF240" w:tentative="1">
      <w:start w:val="1"/>
      <w:numFmt w:val="bullet"/>
      <w:lvlText w:val=""/>
      <w:lvlJc w:val="left"/>
      <w:pPr>
        <w:ind w:left="4680" w:hanging="360"/>
      </w:pPr>
      <w:rPr>
        <w:rFonts w:ascii="Wingdings" w:hAnsi="Wingdings" w:hint="default"/>
      </w:rPr>
    </w:lvl>
    <w:lvl w:ilvl="6" w:tplc="0A56D33E" w:tentative="1">
      <w:start w:val="1"/>
      <w:numFmt w:val="bullet"/>
      <w:lvlText w:val=""/>
      <w:lvlJc w:val="left"/>
      <w:pPr>
        <w:ind w:left="5400" w:hanging="360"/>
      </w:pPr>
      <w:rPr>
        <w:rFonts w:ascii="Symbol" w:hAnsi="Symbol" w:hint="default"/>
      </w:rPr>
    </w:lvl>
    <w:lvl w:ilvl="7" w:tplc="A8647F34" w:tentative="1">
      <w:start w:val="1"/>
      <w:numFmt w:val="bullet"/>
      <w:lvlText w:val="o"/>
      <w:lvlJc w:val="left"/>
      <w:pPr>
        <w:ind w:left="6120" w:hanging="360"/>
      </w:pPr>
      <w:rPr>
        <w:rFonts w:ascii="Courier New" w:hAnsi="Courier New" w:cs="Courier New" w:hint="default"/>
      </w:rPr>
    </w:lvl>
    <w:lvl w:ilvl="8" w:tplc="641E5472" w:tentative="1">
      <w:start w:val="1"/>
      <w:numFmt w:val="bullet"/>
      <w:lvlText w:val=""/>
      <w:lvlJc w:val="left"/>
      <w:pPr>
        <w:ind w:left="6840" w:hanging="360"/>
      </w:pPr>
      <w:rPr>
        <w:rFonts w:ascii="Wingdings" w:hAnsi="Wingdings" w:hint="default"/>
      </w:rPr>
    </w:lvl>
  </w:abstractNum>
  <w:abstractNum w:abstractNumId="30" w15:restartNumberingAfterBreak="0">
    <w:nsid w:val="738509A3"/>
    <w:multiLevelType w:val="hybridMultilevel"/>
    <w:tmpl w:val="C3B21E0A"/>
    <w:lvl w:ilvl="0" w:tplc="993C3292">
      <w:start w:val="1"/>
      <w:numFmt w:val="bullet"/>
      <w:lvlText w:val=""/>
      <w:lvlJc w:val="left"/>
      <w:pPr>
        <w:ind w:left="1080" w:hanging="360"/>
      </w:pPr>
      <w:rPr>
        <w:rFonts w:ascii="Symbol" w:hAnsi="Symbol" w:hint="default"/>
      </w:rPr>
    </w:lvl>
    <w:lvl w:ilvl="1" w:tplc="8F565C36" w:tentative="1">
      <w:start w:val="1"/>
      <w:numFmt w:val="bullet"/>
      <w:lvlText w:val="o"/>
      <w:lvlJc w:val="left"/>
      <w:pPr>
        <w:ind w:left="1800" w:hanging="360"/>
      </w:pPr>
      <w:rPr>
        <w:rFonts w:ascii="Courier New" w:hAnsi="Courier New" w:cs="Courier New" w:hint="default"/>
      </w:rPr>
    </w:lvl>
    <w:lvl w:ilvl="2" w:tplc="02E8F6D6" w:tentative="1">
      <w:start w:val="1"/>
      <w:numFmt w:val="bullet"/>
      <w:lvlText w:val=""/>
      <w:lvlJc w:val="left"/>
      <w:pPr>
        <w:ind w:left="2520" w:hanging="360"/>
      </w:pPr>
      <w:rPr>
        <w:rFonts w:ascii="Wingdings" w:hAnsi="Wingdings" w:hint="default"/>
      </w:rPr>
    </w:lvl>
    <w:lvl w:ilvl="3" w:tplc="0EDA18A0" w:tentative="1">
      <w:start w:val="1"/>
      <w:numFmt w:val="bullet"/>
      <w:lvlText w:val=""/>
      <w:lvlJc w:val="left"/>
      <w:pPr>
        <w:ind w:left="3240" w:hanging="360"/>
      </w:pPr>
      <w:rPr>
        <w:rFonts w:ascii="Symbol" w:hAnsi="Symbol" w:hint="default"/>
      </w:rPr>
    </w:lvl>
    <w:lvl w:ilvl="4" w:tplc="2F94BCCE" w:tentative="1">
      <w:start w:val="1"/>
      <w:numFmt w:val="bullet"/>
      <w:lvlText w:val="o"/>
      <w:lvlJc w:val="left"/>
      <w:pPr>
        <w:ind w:left="3960" w:hanging="360"/>
      </w:pPr>
      <w:rPr>
        <w:rFonts w:ascii="Courier New" w:hAnsi="Courier New" w:cs="Courier New" w:hint="default"/>
      </w:rPr>
    </w:lvl>
    <w:lvl w:ilvl="5" w:tplc="B91AB1EE" w:tentative="1">
      <w:start w:val="1"/>
      <w:numFmt w:val="bullet"/>
      <w:lvlText w:val=""/>
      <w:lvlJc w:val="left"/>
      <w:pPr>
        <w:ind w:left="4680" w:hanging="360"/>
      </w:pPr>
      <w:rPr>
        <w:rFonts w:ascii="Wingdings" w:hAnsi="Wingdings" w:hint="default"/>
      </w:rPr>
    </w:lvl>
    <w:lvl w:ilvl="6" w:tplc="75ACC728" w:tentative="1">
      <w:start w:val="1"/>
      <w:numFmt w:val="bullet"/>
      <w:lvlText w:val=""/>
      <w:lvlJc w:val="left"/>
      <w:pPr>
        <w:ind w:left="5400" w:hanging="360"/>
      </w:pPr>
      <w:rPr>
        <w:rFonts w:ascii="Symbol" w:hAnsi="Symbol" w:hint="default"/>
      </w:rPr>
    </w:lvl>
    <w:lvl w:ilvl="7" w:tplc="D78CA70A" w:tentative="1">
      <w:start w:val="1"/>
      <w:numFmt w:val="bullet"/>
      <w:lvlText w:val="o"/>
      <w:lvlJc w:val="left"/>
      <w:pPr>
        <w:ind w:left="6120" w:hanging="360"/>
      </w:pPr>
      <w:rPr>
        <w:rFonts w:ascii="Courier New" w:hAnsi="Courier New" w:cs="Courier New" w:hint="default"/>
      </w:rPr>
    </w:lvl>
    <w:lvl w:ilvl="8" w:tplc="9F262240" w:tentative="1">
      <w:start w:val="1"/>
      <w:numFmt w:val="bullet"/>
      <w:lvlText w:val=""/>
      <w:lvlJc w:val="left"/>
      <w:pPr>
        <w:ind w:left="6840" w:hanging="360"/>
      </w:pPr>
      <w:rPr>
        <w:rFonts w:ascii="Wingdings" w:hAnsi="Wingdings" w:hint="default"/>
      </w:rPr>
    </w:lvl>
  </w:abstractNum>
  <w:abstractNum w:abstractNumId="31" w15:restartNumberingAfterBreak="0">
    <w:nsid w:val="75C01900"/>
    <w:multiLevelType w:val="hybridMultilevel"/>
    <w:tmpl w:val="E3EEC720"/>
    <w:lvl w:ilvl="0" w:tplc="9A24EE06">
      <w:start w:val="1"/>
      <w:numFmt w:val="decimal"/>
      <w:lvlText w:val="%1."/>
      <w:lvlJc w:val="left"/>
      <w:pPr>
        <w:ind w:left="720" w:hanging="360"/>
      </w:pPr>
    </w:lvl>
    <w:lvl w:ilvl="1" w:tplc="E140CF46" w:tentative="1">
      <w:start w:val="1"/>
      <w:numFmt w:val="lowerLetter"/>
      <w:lvlText w:val="%2."/>
      <w:lvlJc w:val="left"/>
      <w:pPr>
        <w:ind w:left="1440" w:hanging="360"/>
      </w:pPr>
    </w:lvl>
    <w:lvl w:ilvl="2" w:tplc="260026FC" w:tentative="1">
      <w:start w:val="1"/>
      <w:numFmt w:val="lowerRoman"/>
      <w:lvlText w:val="%3."/>
      <w:lvlJc w:val="right"/>
      <w:pPr>
        <w:ind w:left="2160" w:hanging="180"/>
      </w:pPr>
    </w:lvl>
    <w:lvl w:ilvl="3" w:tplc="E1E49702" w:tentative="1">
      <w:start w:val="1"/>
      <w:numFmt w:val="decimal"/>
      <w:lvlText w:val="%4."/>
      <w:lvlJc w:val="left"/>
      <w:pPr>
        <w:ind w:left="2880" w:hanging="360"/>
      </w:pPr>
    </w:lvl>
    <w:lvl w:ilvl="4" w:tplc="D27ECC5A" w:tentative="1">
      <w:start w:val="1"/>
      <w:numFmt w:val="lowerLetter"/>
      <w:lvlText w:val="%5."/>
      <w:lvlJc w:val="left"/>
      <w:pPr>
        <w:ind w:left="3600" w:hanging="360"/>
      </w:pPr>
    </w:lvl>
    <w:lvl w:ilvl="5" w:tplc="161A699A" w:tentative="1">
      <w:start w:val="1"/>
      <w:numFmt w:val="lowerRoman"/>
      <w:lvlText w:val="%6."/>
      <w:lvlJc w:val="right"/>
      <w:pPr>
        <w:ind w:left="4320" w:hanging="180"/>
      </w:pPr>
    </w:lvl>
    <w:lvl w:ilvl="6" w:tplc="DAA6AB9E" w:tentative="1">
      <w:start w:val="1"/>
      <w:numFmt w:val="decimal"/>
      <w:lvlText w:val="%7."/>
      <w:lvlJc w:val="left"/>
      <w:pPr>
        <w:ind w:left="5040" w:hanging="360"/>
      </w:pPr>
    </w:lvl>
    <w:lvl w:ilvl="7" w:tplc="3BD852E2" w:tentative="1">
      <w:start w:val="1"/>
      <w:numFmt w:val="lowerLetter"/>
      <w:lvlText w:val="%8."/>
      <w:lvlJc w:val="left"/>
      <w:pPr>
        <w:ind w:left="5760" w:hanging="360"/>
      </w:pPr>
    </w:lvl>
    <w:lvl w:ilvl="8" w:tplc="2CAE9EEA" w:tentative="1">
      <w:start w:val="1"/>
      <w:numFmt w:val="lowerRoman"/>
      <w:lvlText w:val="%9."/>
      <w:lvlJc w:val="right"/>
      <w:pPr>
        <w:ind w:left="6480" w:hanging="180"/>
      </w:pPr>
    </w:lvl>
  </w:abstractNum>
  <w:abstractNum w:abstractNumId="32" w15:restartNumberingAfterBreak="0">
    <w:nsid w:val="795C1A09"/>
    <w:multiLevelType w:val="hybridMultilevel"/>
    <w:tmpl w:val="54303B82"/>
    <w:lvl w:ilvl="0" w:tplc="68EA6396">
      <w:start w:val="1"/>
      <w:numFmt w:val="lowerLetter"/>
      <w:lvlText w:val="(%1)"/>
      <w:lvlJc w:val="left"/>
      <w:pPr>
        <w:ind w:left="360" w:hanging="360"/>
      </w:pPr>
      <w:rPr>
        <w:rFonts w:hint="default"/>
      </w:rPr>
    </w:lvl>
    <w:lvl w:ilvl="1" w:tplc="DFB4B216" w:tentative="1">
      <w:start w:val="1"/>
      <w:numFmt w:val="lowerLetter"/>
      <w:lvlText w:val="%2."/>
      <w:lvlJc w:val="left"/>
      <w:pPr>
        <w:ind w:left="1080" w:hanging="360"/>
      </w:pPr>
    </w:lvl>
    <w:lvl w:ilvl="2" w:tplc="671AB30E" w:tentative="1">
      <w:start w:val="1"/>
      <w:numFmt w:val="lowerRoman"/>
      <w:lvlText w:val="%3."/>
      <w:lvlJc w:val="right"/>
      <w:pPr>
        <w:ind w:left="1800" w:hanging="180"/>
      </w:pPr>
    </w:lvl>
    <w:lvl w:ilvl="3" w:tplc="9CAE613A" w:tentative="1">
      <w:start w:val="1"/>
      <w:numFmt w:val="decimal"/>
      <w:lvlText w:val="%4."/>
      <w:lvlJc w:val="left"/>
      <w:pPr>
        <w:ind w:left="2520" w:hanging="360"/>
      </w:pPr>
    </w:lvl>
    <w:lvl w:ilvl="4" w:tplc="7326EB58" w:tentative="1">
      <w:start w:val="1"/>
      <w:numFmt w:val="lowerLetter"/>
      <w:lvlText w:val="%5."/>
      <w:lvlJc w:val="left"/>
      <w:pPr>
        <w:ind w:left="3240" w:hanging="360"/>
      </w:pPr>
    </w:lvl>
    <w:lvl w:ilvl="5" w:tplc="31BEB528" w:tentative="1">
      <w:start w:val="1"/>
      <w:numFmt w:val="lowerRoman"/>
      <w:lvlText w:val="%6."/>
      <w:lvlJc w:val="right"/>
      <w:pPr>
        <w:ind w:left="3960" w:hanging="180"/>
      </w:pPr>
    </w:lvl>
    <w:lvl w:ilvl="6" w:tplc="2E0ABE70" w:tentative="1">
      <w:start w:val="1"/>
      <w:numFmt w:val="decimal"/>
      <w:lvlText w:val="%7."/>
      <w:lvlJc w:val="left"/>
      <w:pPr>
        <w:ind w:left="4680" w:hanging="360"/>
      </w:pPr>
    </w:lvl>
    <w:lvl w:ilvl="7" w:tplc="602CCE5A" w:tentative="1">
      <w:start w:val="1"/>
      <w:numFmt w:val="lowerLetter"/>
      <w:lvlText w:val="%8."/>
      <w:lvlJc w:val="left"/>
      <w:pPr>
        <w:ind w:left="5400" w:hanging="360"/>
      </w:pPr>
    </w:lvl>
    <w:lvl w:ilvl="8" w:tplc="127C6106" w:tentative="1">
      <w:start w:val="1"/>
      <w:numFmt w:val="lowerRoman"/>
      <w:lvlText w:val="%9."/>
      <w:lvlJc w:val="right"/>
      <w:pPr>
        <w:ind w:left="6120" w:hanging="180"/>
      </w:pPr>
    </w:lvl>
  </w:abstractNum>
  <w:abstractNum w:abstractNumId="33" w15:restartNumberingAfterBreak="0">
    <w:nsid w:val="7A3A4FBF"/>
    <w:multiLevelType w:val="hybridMultilevel"/>
    <w:tmpl w:val="1B8C08B2"/>
    <w:lvl w:ilvl="0" w:tplc="A796B028">
      <w:start w:val="1"/>
      <w:numFmt w:val="bullet"/>
      <w:lvlText w:val=""/>
      <w:lvlJc w:val="left"/>
      <w:pPr>
        <w:ind w:left="720" w:hanging="360"/>
      </w:pPr>
      <w:rPr>
        <w:rFonts w:ascii="Symbol" w:hAnsi="Symbol" w:hint="default"/>
      </w:rPr>
    </w:lvl>
    <w:lvl w:ilvl="1" w:tplc="9DAE9C74" w:tentative="1">
      <w:start w:val="1"/>
      <w:numFmt w:val="bullet"/>
      <w:lvlText w:val="o"/>
      <w:lvlJc w:val="left"/>
      <w:pPr>
        <w:ind w:left="1440" w:hanging="360"/>
      </w:pPr>
      <w:rPr>
        <w:rFonts w:ascii="Courier New" w:hAnsi="Courier New" w:cs="Courier New" w:hint="default"/>
      </w:rPr>
    </w:lvl>
    <w:lvl w:ilvl="2" w:tplc="A406EAC8" w:tentative="1">
      <w:start w:val="1"/>
      <w:numFmt w:val="bullet"/>
      <w:lvlText w:val=""/>
      <w:lvlJc w:val="left"/>
      <w:pPr>
        <w:ind w:left="2160" w:hanging="360"/>
      </w:pPr>
      <w:rPr>
        <w:rFonts w:ascii="Wingdings" w:hAnsi="Wingdings" w:hint="default"/>
      </w:rPr>
    </w:lvl>
    <w:lvl w:ilvl="3" w:tplc="8E4A3026" w:tentative="1">
      <w:start w:val="1"/>
      <w:numFmt w:val="bullet"/>
      <w:lvlText w:val=""/>
      <w:lvlJc w:val="left"/>
      <w:pPr>
        <w:ind w:left="2880" w:hanging="360"/>
      </w:pPr>
      <w:rPr>
        <w:rFonts w:ascii="Symbol" w:hAnsi="Symbol" w:hint="default"/>
      </w:rPr>
    </w:lvl>
    <w:lvl w:ilvl="4" w:tplc="88B2B30E" w:tentative="1">
      <w:start w:val="1"/>
      <w:numFmt w:val="bullet"/>
      <w:lvlText w:val="o"/>
      <w:lvlJc w:val="left"/>
      <w:pPr>
        <w:ind w:left="3600" w:hanging="360"/>
      </w:pPr>
      <w:rPr>
        <w:rFonts w:ascii="Courier New" w:hAnsi="Courier New" w:cs="Courier New" w:hint="default"/>
      </w:rPr>
    </w:lvl>
    <w:lvl w:ilvl="5" w:tplc="CD2C8A30" w:tentative="1">
      <w:start w:val="1"/>
      <w:numFmt w:val="bullet"/>
      <w:lvlText w:val=""/>
      <w:lvlJc w:val="left"/>
      <w:pPr>
        <w:ind w:left="4320" w:hanging="360"/>
      </w:pPr>
      <w:rPr>
        <w:rFonts w:ascii="Wingdings" w:hAnsi="Wingdings" w:hint="default"/>
      </w:rPr>
    </w:lvl>
    <w:lvl w:ilvl="6" w:tplc="DB98E7DA" w:tentative="1">
      <w:start w:val="1"/>
      <w:numFmt w:val="bullet"/>
      <w:lvlText w:val=""/>
      <w:lvlJc w:val="left"/>
      <w:pPr>
        <w:ind w:left="5040" w:hanging="360"/>
      </w:pPr>
      <w:rPr>
        <w:rFonts w:ascii="Symbol" w:hAnsi="Symbol" w:hint="default"/>
      </w:rPr>
    </w:lvl>
    <w:lvl w:ilvl="7" w:tplc="1CD8FD2C" w:tentative="1">
      <w:start w:val="1"/>
      <w:numFmt w:val="bullet"/>
      <w:lvlText w:val="o"/>
      <w:lvlJc w:val="left"/>
      <w:pPr>
        <w:ind w:left="5760" w:hanging="360"/>
      </w:pPr>
      <w:rPr>
        <w:rFonts w:ascii="Courier New" w:hAnsi="Courier New" w:cs="Courier New" w:hint="default"/>
      </w:rPr>
    </w:lvl>
    <w:lvl w:ilvl="8" w:tplc="2940C572" w:tentative="1">
      <w:start w:val="1"/>
      <w:numFmt w:val="bullet"/>
      <w:lvlText w:val=""/>
      <w:lvlJc w:val="left"/>
      <w:pPr>
        <w:ind w:left="6480" w:hanging="360"/>
      </w:pPr>
      <w:rPr>
        <w:rFonts w:ascii="Wingdings" w:hAnsi="Wingdings" w:hint="default"/>
      </w:rPr>
    </w:lvl>
  </w:abstractNum>
  <w:abstractNum w:abstractNumId="34" w15:restartNumberingAfterBreak="0">
    <w:nsid w:val="7B7D2DE6"/>
    <w:multiLevelType w:val="hybridMultilevel"/>
    <w:tmpl w:val="059A334A"/>
    <w:lvl w:ilvl="0" w:tplc="4860F7C8">
      <w:start w:val="1"/>
      <w:numFmt w:val="bullet"/>
      <w:lvlText w:val=""/>
      <w:lvlJc w:val="left"/>
      <w:pPr>
        <w:ind w:left="720" w:hanging="360"/>
      </w:pPr>
      <w:rPr>
        <w:rFonts w:ascii="Symbol" w:hAnsi="Symbol" w:hint="default"/>
      </w:rPr>
    </w:lvl>
    <w:lvl w:ilvl="1" w:tplc="413AC09E" w:tentative="1">
      <w:start w:val="1"/>
      <w:numFmt w:val="bullet"/>
      <w:lvlText w:val="o"/>
      <w:lvlJc w:val="left"/>
      <w:pPr>
        <w:ind w:left="1440" w:hanging="360"/>
      </w:pPr>
      <w:rPr>
        <w:rFonts w:ascii="Courier New" w:hAnsi="Courier New" w:cs="Courier New" w:hint="default"/>
      </w:rPr>
    </w:lvl>
    <w:lvl w:ilvl="2" w:tplc="20F0E1A2" w:tentative="1">
      <w:start w:val="1"/>
      <w:numFmt w:val="bullet"/>
      <w:lvlText w:val=""/>
      <w:lvlJc w:val="left"/>
      <w:pPr>
        <w:ind w:left="2160" w:hanging="360"/>
      </w:pPr>
      <w:rPr>
        <w:rFonts w:ascii="Wingdings" w:hAnsi="Wingdings" w:hint="default"/>
      </w:rPr>
    </w:lvl>
    <w:lvl w:ilvl="3" w:tplc="BC50ED84" w:tentative="1">
      <w:start w:val="1"/>
      <w:numFmt w:val="bullet"/>
      <w:lvlText w:val=""/>
      <w:lvlJc w:val="left"/>
      <w:pPr>
        <w:ind w:left="2880" w:hanging="360"/>
      </w:pPr>
      <w:rPr>
        <w:rFonts w:ascii="Symbol" w:hAnsi="Symbol" w:hint="default"/>
      </w:rPr>
    </w:lvl>
    <w:lvl w:ilvl="4" w:tplc="676AD99E" w:tentative="1">
      <w:start w:val="1"/>
      <w:numFmt w:val="bullet"/>
      <w:lvlText w:val="o"/>
      <w:lvlJc w:val="left"/>
      <w:pPr>
        <w:ind w:left="3600" w:hanging="360"/>
      </w:pPr>
      <w:rPr>
        <w:rFonts w:ascii="Courier New" w:hAnsi="Courier New" w:cs="Courier New" w:hint="default"/>
      </w:rPr>
    </w:lvl>
    <w:lvl w:ilvl="5" w:tplc="3C200116" w:tentative="1">
      <w:start w:val="1"/>
      <w:numFmt w:val="bullet"/>
      <w:lvlText w:val=""/>
      <w:lvlJc w:val="left"/>
      <w:pPr>
        <w:ind w:left="4320" w:hanging="360"/>
      </w:pPr>
      <w:rPr>
        <w:rFonts w:ascii="Wingdings" w:hAnsi="Wingdings" w:hint="default"/>
      </w:rPr>
    </w:lvl>
    <w:lvl w:ilvl="6" w:tplc="E02A2610" w:tentative="1">
      <w:start w:val="1"/>
      <w:numFmt w:val="bullet"/>
      <w:lvlText w:val=""/>
      <w:lvlJc w:val="left"/>
      <w:pPr>
        <w:ind w:left="5040" w:hanging="360"/>
      </w:pPr>
      <w:rPr>
        <w:rFonts w:ascii="Symbol" w:hAnsi="Symbol" w:hint="default"/>
      </w:rPr>
    </w:lvl>
    <w:lvl w:ilvl="7" w:tplc="7BA25A80" w:tentative="1">
      <w:start w:val="1"/>
      <w:numFmt w:val="bullet"/>
      <w:lvlText w:val="o"/>
      <w:lvlJc w:val="left"/>
      <w:pPr>
        <w:ind w:left="5760" w:hanging="360"/>
      </w:pPr>
      <w:rPr>
        <w:rFonts w:ascii="Courier New" w:hAnsi="Courier New" w:cs="Courier New" w:hint="default"/>
      </w:rPr>
    </w:lvl>
    <w:lvl w:ilvl="8" w:tplc="63F40BD0"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7"/>
  </w:num>
  <w:num w:numId="4">
    <w:abstractNumId w:val="12"/>
  </w:num>
  <w:num w:numId="5">
    <w:abstractNumId w:val="29"/>
  </w:num>
  <w:num w:numId="6">
    <w:abstractNumId w:val="21"/>
  </w:num>
  <w:num w:numId="7">
    <w:abstractNumId w:val="8"/>
  </w:num>
  <w:num w:numId="8">
    <w:abstractNumId w:val="30"/>
  </w:num>
  <w:num w:numId="9">
    <w:abstractNumId w:val="34"/>
  </w:num>
  <w:num w:numId="10">
    <w:abstractNumId w:val="32"/>
  </w:num>
  <w:num w:numId="11">
    <w:abstractNumId w:val="11"/>
  </w:num>
  <w:num w:numId="12">
    <w:abstractNumId w:val="10"/>
  </w:num>
  <w:num w:numId="13">
    <w:abstractNumId w:val="20"/>
  </w:num>
  <w:num w:numId="14">
    <w:abstractNumId w:val="28"/>
  </w:num>
  <w:num w:numId="15">
    <w:abstractNumId w:val="5"/>
  </w:num>
  <w:num w:numId="16">
    <w:abstractNumId w:val="19"/>
  </w:num>
  <w:num w:numId="17">
    <w:abstractNumId w:val="22"/>
  </w:num>
  <w:num w:numId="18">
    <w:abstractNumId w:val="9"/>
  </w:num>
  <w:num w:numId="19">
    <w:abstractNumId w:val="15"/>
  </w:num>
  <w:num w:numId="20">
    <w:abstractNumId w:val="1"/>
  </w:num>
  <w:num w:numId="21">
    <w:abstractNumId w:val="0"/>
  </w:num>
  <w:num w:numId="22">
    <w:abstractNumId w:val="3"/>
  </w:num>
  <w:num w:numId="23">
    <w:abstractNumId w:val="27"/>
  </w:num>
  <w:num w:numId="24">
    <w:abstractNumId w:val="23"/>
  </w:num>
  <w:num w:numId="25">
    <w:abstractNumId w:val="24"/>
  </w:num>
  <w:num w:numId="26">
    <w:abstractNumId w:val="25"/>
  </w:num>
  <w:num w:numId="27">
    <w:abstractNumId w:val="17"/>
  </w:num>
  <w:num w:numId="28">
    <w:abstractNumId w:val="2"/>
  </w:num>
  <w:num w:numId="29">
    <w:abstractNumId w:val="31"/>
  </w:num>
  <w:num w:numId="30">
    <w:abstractNumId w:val="4"/>
  </w:num>
  <w:num w:numId="31">
    <w:abstractNumId w:val="33"/>
  </w:num>
  <w:num w:numId="32">
    <w:abstractNumId w:val="18"/>
  </w:num>
  <w:num w:numId="33">
    <w:abstractNumId w:val="13"/>
  </w:num>
  <w:num w:numId="34">
    <w:abstractNumId w:val="14"/>
  </w:num>
  <w:num w:numId="35">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page" w:val="0,1,2,3,4,6,7,8,10,11,13"/>
    <w:docVar w:name="docversion" w:val="icr-blend_3.0"/>
    <w:docVar w:name="lastsection" w:val="13"/>
  </w:docVars>
  <w:rsids>
    <w:rsidRoot w:val="001E1BD2"/>
    <w:rsid w:val="0000069D"/>
    <w:rsid w:val="00001E37"/>
    <w:rsid w:val="00002290"/>
    <w:rsid w:val="000047D4"/>
    <w:rsid w:val="00005C94"/>
    <w:rsid w:val="00005F5F"/>
    <w:rsid w:val="00006896"/>
    <w:rsid w:val="00010CC6"/>
    <w:rsid w:val="00010F02"/>
    <w:rsid w:val="00012CA3"/>
    <w:rsid w:val="000130FC"/>
    <w:rsid w:val="00013F68"/>
    <w:rsid w:val="00014DF2"/>
    <w:rsid w:val="00015038"/>
    <w:rsid w:val="00017794"/>
    <w:rsid w:val="00020664"/>
    <w:rsid w:val="000208F1"/>
    <w:rsid w:val="00022534"/>
    <w:rsid w:val="000229BC"/>
    <w:rsid w:val="00022CD1"/>
    <w:rsid w:val="000237D6"/>
    <w:rsid w:val="00023D77"/>
    <w:rsid w:val="000248E0"/>
    <w:rsid w:val="00024DC6"/>
    <w:rsid w:val="000258A4"/>
    <w:rsid w:val="00025B9B"/>
    <w:rsid w:val="00025D8F"/>
    <w:rsid w:val="00026097"/>
    <w:rsid w:val="0002706F"/>
    <w:rsid w:val="000279F2"/>
    <w:rsid w:val="00030989"/>
    <w:rsid w:val="000309EA"/>
    <w:rsid w:val="00030D9B"/>
    <w:rsid w:val="00030FD3"/>
    <w:rsid w:val="0003112A"/>
    <w:rsid w:val="000316EF"/>
    <w:rsid w:val="00032CB9"/>
    <w:rsid w:val="0003463E"/>
    <w:rsid w:val="00035094"/>
    <w:rsid w:val="000358BD"/>
    <w:rsid w:val="00036ACB"/>
    <w:rsid w:val="00036C23"/>
    <w:rsid w:val="0003783B"/>
    <w:rsid w:val="00037C82"/>
    <w:rsid w:val="0004023D"/>
    <w:rsid w:val="00041B20"/>
    <w:rsid w:val="00042ECC"/>
    <w:rsid w:val="00045A45"/>
    <w:rsid w:val="000470C3"/>
    <w:rsid w:val="0005006E"/>
    <w:rsid w:val="000520C3"/>
    <w:rsid w:val="00053CD6"/>
    <w:rsid w:val="000543CD"/>
    <w:rsid w:val="000549EE"/>
    <w:rsid w:val="0005554A"/>
    <w:rsid w:val="00055E38"/>
    <w:rsid w:val="00056AD5"/>
    <w:rsid w:val="00056BC2"/>
    <w:rsid w:val="00056E62"/>
    <w:rsid w:val="0005706D"/>
    <w:rsid w:val="00057129"/>
    <w:rsid w:val="000571E4"/>
    <w:rsid w:val="00057258"/>
    <w:rsid w:val="000577F5"/>
    <w:rsid w:val="00057901"/>
    <w:rsid w:val="0006032A"/>
    <w:rsid w:val="00060D8D"/>
    <w:rsid w:val="00061A95"/>
    <w:rsid w:val="00061FAD"/>
    <w:rsid w:val="00062A8A"/>
    <w:rsid w:val="00062AFD"/>
    <w:rsid w:val="000636D9"/>
    <w:rsid w:val="000637CD"/>
    <w:rsid w:val="00063C7D"/>
    <w:rsid w:val="00064743"/>
    <w:rsid w:val="00065D08"/>
    <w:rsid w:val="00065F47"/>
    <w:rsid w:val="00066070"/>
    <w:rsid w:val="000661FF"/>
    <w:rsid w:val="000667F1"/>
    <w:rsid w:val="00066DBA"/>
    <w:rsid w:val="00067346"/>
    <w:rsid w:val="00067966"/>
    <w:rsid w:val="00067DD4"/>
    <w:rsid w:val="00070D34"/>
    <w:rsid w:val="00071201"/>
    <w:rsid w:val="000716B6"/>
    <w:rsid w:val="000717A5"/>
    <w:rsid w:val="00071DA8"/>
    <w:rsid w:val="00071E1A"/>
    <w:rsid w:val="00072E74"/>
    <w:rsid w:val="00073069"/>
    <w:rsid w:val="0007362D"/>
    <w:rsid w:val="000749EA"/>
    <w:rsid w:val="00074E5F"/>
    <w:rsid w:val="000763E9"/>
    <w:rsid w:val="0007688B"/>
    <w:rsid w:val="000777A9"/>
    <w:rsid w:val="00077BA6"/>
    <w:rsid w:val="00077EDD"/>
    <w:rsid w:val="00080FB6"/>
    <w:rsid w:val="000841AC"/>
    <w:rsid w:val="000847BD"/>
    <w:rsid w:val="00084F89"/>
    <w:rsid w:val="000854F2"/>
    <w:rsid w:val="00085D06"/>
    <w:rsid w:val="00086D24"/>
    <w:rsid w:val="000875BD"/>
    <w:rsid w:val="0009432E"/>
    <w:rsid w:val="00094561"/>
    <w:rsid w:val="00094621"/>
    <w:rsid w:val="00094B58"/>
    <w:rsid w:val="0009520B"/>
    <w:rsid w:val="0009531D"/>
    <w:rsid w:val="0009613D"/>
    <w:rsid w:val="000964FA"/>
    <w:rsid w:val="0009759D"/>
    <w:rsid w:val="000975FB"/>
    <w:rsid w:val="00097E03"/>
    <w:rsid w:val="000A06D1"/>
    <w:rsid w:val="000A21F8"/>
    <w:rsid w:val="000A373B"/>
    <w:rsid w:val="000A55D9"/>
    <w:rsid w:val="000A5756"/>
    <w:rsid w:val="000A58C5"/>
    <w:rsid w:val="000A65C9"/>
    <w:rsid w:val="000B1E8A"/>
    <w:rsid w:val="000B236A"/>
    <w:rsid w:val="000B27BB"/>
    <w:rsid w:val="000B3890"/>
    <w:rsid w:val="000B4320"/>
    <w:rsid w:val="000B53D2"/>
    <w:rsid w:val="000B5431"/>
    <w:rsid w:val="000B560F"/>
    <w:rsid w:val="000B67D0"/>
    <w:rsid w:val="000C12E3"/>
    <w:rsid w:val="000C19EF"/>
    <w:rsid w:val="000C3325"/>
    <w:rsid w:val="000D0FE0"/>
    <w:rsid w:val="000D1919"/>
    <w:rsid w:val="000D2936"/>
    <w:rsid w:val="000D2FBC"/>
    <w:rsid w:val="000D3734"/>
    <w:rsid w:val="000D5B55"/>
    <w:rsid w:val="000E0CDB"/>
    <w:rsid w:val="000E1B4C"/>
    <w:rsid w:val="000E21E2"/>
    <w:rsid w:val="000E4FED"/>
    <w:rsid w:val="000E526E"/>
    <w:rsid w:val="000E6589"/>
    <w:rsid w:val="000E6C50"/>
    <w:rsid w:val="000E778D"/>
    <w:rsid w:val="000F0218"/>
    <w:rsid w:val="000F085A"/>
    <w:rsid w:val="000F13ED"/>
    <w:rsid w:val="000F5DAF"/>
    <w:rsid w:val="000F6D1A"/>
    <w:rsid w:val="001035D8"/>
    <w:rsid w:val="00105679"/>
    <w:rsid w:val="00105FFB"/>
    <w:rsid w:val="001077C1"/>
    <w:rsid w:val="001078FE"/>
    <w:rsid w:val="00107AF0"/>
    <w:rsid w:val="00107F11"/>
    <w:rsid w:val="00111253"/>
    <w:rsid w:val="00113F16"/>
    <w:rsid w:val="00114B36"/>
    <w:rsid w:val="00115400"/>
    <w:rsid w:val="00115FD5"/>
    <w:rsid w:val="00117C2E"/>
    <w:rsid w:val="00117DC7"/>
    <w:rsid w:val="00121781"/>
    <w:rsid w:val="00122D07"/>
    <w:rsid w:val="00123AA1"/>
    <w:rsid w:val="00126542"/>
    <w:rsid w:val="00127037"/>
    <w:rsid w:val="0013004F"/>
    <w:rsid w:val="0013082E"/>
    <w:rsid w:val="00132EC0"/>
    <w:rsid w:val="00133CAB"/>
    <w:rsid w:val="001349A1"/>
    <w:rsid w:val="001349FA"/>
    <w:rsid w:val="00134D76"/>
    <w:rsid w:val="00136697"/>
    <w:rsid w:val="00136E4E"/>
    <w:rsid w:val="00137425"/>
    <w:rsid w:val="00140975"/>
    <w:rsid w:val="0014164F"/>
    <w:rsid w:val="0014533D"/>
    <w:rsid w:val="00145C4E"/>
    <w:rsid w:val="001465B4"/>
    <w:rsid w:val="001466DC"/>
    <w:rsid w:val="00146E35"/>
    <w:rsid w:val="00147001"/>
    <w:rsid w:val="00147151"/>
    <w:rsid w:val="001474B3"/>
    <w:rsid w:val="001503E9"/>
    <w:rsid w:val="00150CFE"/>
    <w:rsid w:val="00153701"/>
    <w:rsid w:val="0015592A"/>
    <w:rsid w:val="00156026"/>
    <w:rsid w:val="0016137D"/>
    <w:rsid w:val="001615C5"/>
    <w:rsid w:val="001653DA"/>
    <w:rsid w:val="00166DAC"/>
    <w:rsid w:val="001673D2"/>
    <w:rsid w:val="00167A85"/>
    <w:rsid w:val="00171DCF"/>
    <w:rsid w:val="001722C7"/>
    <w:rsid w:val="001740A9"/>
    <w:rsid w:val="00174143"/>
    <w:rsid w:val="00174C26"/>
    <w:rsid w:val="00174C95"/>
    <w:rsid w:val="00175883"/>
    <w:rsid w:val="00175BFB"/>
    <w:rsid w:val="00176092"/>
    <w:rsid w:val="00176647"/>
    <w:rsid w:val="0017678C"/>
    <w:rsid w:val="001770ED"/>
    <w:rsid w:val="0017750C"/>
    <w:rsid w:val="00180849"/>
    <w:rsid w:val="00181F8B"/>
    <w:rsid w:val="0018225F"/>
    <w:rsid w:val="00185BF8"/>
    <w:rsid w:val="00191F2F"/>
    <w:rsid w:val="00192FBD"/>
    <w:rsid w:val="001940D9"/>
    <w:rsid w:val="00194691"/>
    <w:rsid w:val="001A0706"/>
    <w:rsid w:val="001A0E5B"/>
    <w:rsid w:val="001A1A90"/>
    <w:rsid w:val="001A1E1B"/>
    <w:rsid w:val="001A3228"/>
    <w:rsid w:val="001A33AE"/>
    <w:rsid w:val="001A48CE"/>
    <w:rsid w:val="001A4E28"/>
    <w:rsid w:val="001A75B7"/>
    <w:rsid w:val="001A7743"/>
    <w:rsid w:val="001B0A4B"/>
    <w:rsid w:val="001B17EA"/>
    <w:rsid w:val="001B1FFD"/>
    <w:rsid w:val="001B299C"/>
    <w:rsid w:val="001B3D1C"/>
    <w:rsid w:val="001B43FC"/>
    <w:rsid w:val="001B5209"/>
    <w:rsid w:val="001B6A86"/>
    <w:rsid w:val="001B7565"/>
    <w:rsid w:val="001B785D"/>
    <w:rsid w:val="001B7F12"/>
    <w:rsid w:val="001C1C0D"/>
    <w:rsid w:val="001C1E16"/>
    <w:rsid w:val="001C39D4"/>
    <w:rsid w:val="001C3F32"/>
    <w:rsid w:val="001C40C0"/>
    <w:rsid w:val="001C4803"/>
    <w:rsid w:val="001C49F3"/>
    <w:rsid w:val="001C5640"/>
    <w:rsid w:val="001C6889"/>
    <w:rsid w:val="001D05DD"/>
    <w:rsid w:val="001D0FBD"/>
    <w:rsid w:val="001D12D7"/>
    <w:rsid w:val="001D13EE"/>
    <w:rsid w:val="001D2198"/>
    <w:rsid w:val="001D36F0"/>
    <w:rsid w:val="001D3781"/>
    <w:rsid w:val="001D41DE"/>
    <w:rsid w:val="001D6395"/>
    <w:rsid w:val="001D6BE2"/>
    <w:rsid w:val="001D7283"/>
    <w:rsid w:val="001D7A81"/>
    <w:rsid w:val="001E1BD2"/>
    <w:rsid w:val="001E249D"/>
    <w:rsid w:val="001E2EA9"/>
    <w:rsid w:val="001E3155"/>
    <w:rsid w:val="001E5449"/>
    <w:rsid w:val="001E6331"/>
    <w:rsid w:val="001E712E"/>
    <w:rsid w:val="001F0389"/>
    <w:rsid w:val="001F06F7"/>
    <w:rsid w:val="001F0C86"/>
    <w:rsid w:val="001F0F94"/>
    <w:rsid w:val="001F2CF5"/>
    <w:rsid w:val="001F2F8E"/>
    <w:rsid w:val="001F464D"/>
    <w:rsid w:val="001F520A"/>
    <w:rsid w:val="001F6AD3"/>
    <w:rsid w:val="001F6DA5"/>
    <w:rsid w:val="001F71FC"/>
    <w:rsid w:val="001F741E"/>
    <w:rsid w:val="002019D4"/>
    <w:rsid w:val="00201D38"/>
    <w:rsid w:val="00201FFB"/>
    <w:rsid w:val="002023F1"/>
    <w:rsid w:val="002028CE"/>
    <w:rsid w:val="002037ED"/>
    <w:rsid w:val="0020413A"/>
    <w:rsid w:val="0020672B"/>
    <w:rsid w:val="00206B3E"/>
    <w:rsid w:val="00210D79"/>
    <w:rsid w:val="00211232"/>
    <w:rsid w:val="002125F7"/>
    <w:rsid w:val="00212B14"/>
    <w:rsid w:val="00213AB5"/>
    <w:rsid w:val="002141E3"/>
    <w:rsid w:val="00214251"/>
    <w:rsid w:val="00214282"/>
    <w:rsid w:val="002145A3"/>
    <w:rsid w:val="0021478A"/>
    <w:rsid w:val="00214884"/>
    <w:rsid w:val="00215075"/>
    <w:rsid w:val="00216FB3"/>
    <w:rsid w:val="002173BA"/>
    <w:rsid w:val="00221192"/>
    <w:rsid w:val="002211FE"/>
    <w:rsid w:val="00222238"/>
    <w:rsid w:val="00222449"/>
    <w:rsid w:val="00222B3C"/>
    <w:rsid w:val="00222B8E"/>
    <w:rsid w:val="00223653"/>
    <w:rsid w:val="00223967"/>
    <w:rsid w:val="00223AC9"/>
    <w:rsid w:val="0022452A"/>
    <w:rsid w:val="00224DB8"/>
    <w:rsid w:val="00225474"/>
    <w:rsid w:val="00225BB7"/>
    <w:rsid w:val="00225ED0"/>
    <w:rsid w:val="0022622B"/>
    <w:rsid w:val="00231F11"/>
    <w:rsid w:val="002409C7"/>
    <w:rsid w:val="00241BAF"/>
    <w:rsid w:val="0024260C"/>
    <w:rsid w:val="002428BD"/>
    <w:rsid w:val="002453FF"/>
    <w:rsid w:val="00250E4F"/>
    <w:rsid w:val="002510BD"/>
    <w:rsid w:val="002516E3"/>
    <w:rsid w:val="00251F23"/>
    <w:rsid w:val="00253804"/>
    <w:rsid w:val="00254AD0"/>
    <w:rsid w:val="00255347"/>
    <w:rsid w:val="00255A01"/>
    <w:rsid w:val="002574BE"/>
    <w:rsid w:val="0026089F"/>
    <w:rsid w:val="00261212"/>
    <w:rsid w:val="00261DF3"/>
    <w:rsid w:val="00262E41"/>
    <w:rsid w:val="00263303"/>
    <w:rsid w:val="00263A6C"/>
    <w:rsid w:val="00265A23"/>
    <w:rsid w:val="00265D0D"/>
    <w:rsid w:val="002664AC"/>
    <w:rsid w:val="00266565"/>
    <w:rsid w:val="00267D23"/>
    <w:rsid w:val="00267D7E"/>
    <w:rsid w:val="00270764"/>
    <w:rsid w:val="002707C3"/>
    <w:rsid w:val="00271BAA"/>
    <w:rsid w:val="00271EB3"/>
    <w:rsid w:val="0027209A"/>
    <w:rsid w:val="00273143"/>
    <w:rsid w:val="002740D1"/>
    <w:rsid w:val="00275670"/>
    <w:rsid w:val="00276068"/>
    <w:rsid w:val="00276851"/>
    <w:rsid w:val="00276B6B"/>
    <w:rsid w:val="00276C43"/>
    <w:rsid w:val="002776E1"/>
    <w:rsid w:val="00286D22"/>
    <w:rsid w:val="00290981"/>
    <w:rsid w:val="00291AFE"/>
    <w:rsid w:val="00291FBA"/>
    <w:rsid w:val="00293F45"/>
    <w:rsid w:val="00294AB5"/>
    <w:rsid w:val="00294BE8"/>
    <w:rsid w:val="00295230"/>
    <w:rsid w:val="00295286"/>
    <w:rsid w:val="00296B6D"/>
    <w:rsid w:val="0029735F"/>
    <w:rsid w:val="0029779A"/>
    <w:rsid w:val="002A155D"/>
    <w:rsid w:val="002A206C"/>
    <w:rsid w:val="002A24D2"/>
    <w:rsid w:val="002A276F"/>
    <w:rsid w:val="002A456E"/>
    <w:rsid w:val="002A6325"/>
    <w:rsid w:val="002B2746"/>
    <w:rsid w:val="002B2875"/>
    <w:rsid w:val="002B68D8"/>
    <w:rsid w:val="002B7045"/>
    <w:rsid w:val="002C0249"/>
    <w:rsid w:val="002C03F8"/>
    <w:rsid w:val="002C1810"/>
    <w:rsid w:val="002C4709"/>
    <w:rsid w:val="002C4E1E"/>
    <w:rsid w:val="002C52F9"/>
    <w:rsid w:val="002C5BD7"/>
    <w:rsid w:val="002D1441"/>
    <w:rsid w:val="002D14A6"/>
    <w:rsid w:val="002D3422"/>
    <w:rsid w:val="002D3986"/>
    <w:rsid w:val="002D3ED2"/>
    <w:rsid w:val="002D49E7"/>
    <w:rsid w:val="002D51E1"/>
    <w:rsid w:val="002D69EC"/>
    <w:rsid w:val="002D6AD3"/>
    <w:rsid w:val="002E0895"/>
    <w:rsid w:val="002E1BE6"/>
    <w:rsid w:val="002E1D1D"/>
    <w:rsid w:val="002E1E15"/>
    <w:rsid w:val="002E31EA"/>
    <w:rsid w:val="002E3B33"/>
    <w:rsid w:val="002E3C00"/>
    <w:rsid w:val="002E67C9"/>
    <w:rsid w:val="002E6C4B"/>
    <w:rsid w:val="002F1837"/>
    <w:rsid w:val="002F20DE"/>
    <w:rsid w:val="002F2E0C"/>
    <w:rsid w:val="002F4A76"/>
    <w:rsid w:val="002F4F63"/>
    <w:rsid w:val="002F514B"/>
    <w:rsid w:val="002F6FFF"/>
    <w:rsid w:val="002F79C7"/>
    <w:rsid w:val="002F7D56"/>
    <w:rsid w:val="00300D9E"/>
    <w:rsid w:val="003021AE"/>
    <w:rsid w:val="003024E5"/>
    <w:rsid w:val="00303D93"/>
    <w:rsid w:val="00304380"/>
    <w:rsid w:val="00304CF9"/>
    <w:rsid w:val="003078BC"/>
    <w:rsid w:val="0031127E"/>
    <w:rsid w:val="003128D6"/>
    <w:rsid w:val="0031321F"/>
    <w:rsid w:val="00313AEF"/>
    <w:rsid w:val="00314DFF"/>
    <w:rsid w:val="003157CA"/>
    <w:rsid w:val="0031728F"/>
    <w:rsid w:val="00317C70"/>
    <w:rsid w:val="00321F54"/>
    <w:rsid w:val="003225C0"/>
    <w:rsid w:val="00322CDC"/>
    <w:rsid w:val="00322FD3"/>
    <w:rsid w:val="00323681"/>
    <w:rsid w:val="00323EBF"/>
    <w:rsid w:val="00326432"/>
    <w:rsid w:val="00326D38"/>
    <w:rsid w:val="003312D8"/>
    <w:rsid w:val="00331C23"/>
    <w:rsid w:val="00332434"/>
    <w:rsid w:val="0033586D"/>
    <w:rsid w:val="00335F6F"/>
    <w:rsid w:val="0033668D"/>
    <w:rsid w:val="00341C62"/>
    <w:rsid w:val="0034414C"/>
    <w:rsid w:val="00344412"/>
    <w:rsid w:val="00344820"/>
    <w:rsid w:val="0034737B"/>
    <w:rsid w:val="0035052A"/>
    <w:rsid w:val="003506CD"/>
    <w:rsid w:val="00351541"/>
    <w:rsid w:val="00352B09"/>
    <w:rsid w:val="00353A45"/>
    <w:rsid w:val="00354484"/>
    <w:rsid w:val="0035529C"/>
    <w:rsid w:val="00356A93"/>
    <w:rsid w:val="00357C48"/>
    <w:rsid w:val="00360093"/>
    <w:rsid w:val="003600A5"/>
    <w:rsid w:val="003607F7"/>
    <w:rsid w:val="003613F6"/>
    <w:rsid w:val="003615CB"/>
    <w:rsid w:val="003618E8"/>
    <w:rsid w:val="00362239"/>
    <w:rsid w:val="00362CF0"/>
    <w:rsid w:val="00362E42"/>
    <w:rsid w:val="0036355B"/>
    <w:rsid w:val="00364532"/>
    <w:rsid w:val="00364E46"/>
    <w:rsid w:val="003654EE"/>
    <w:rsid w:val="00365885"/>
    <w:rsid w:val="00365D99"/>
    <w:rsid w:val="00365DC3"/>
    <w:rsid w:val="00367583"/>
    <w:rsid w:val="00370EB6"/>
    <w:rsid w:val="00372010"/>
    <w:rsid w:val="00373F32"/>
    <w:rsid w:val="00374B03"/>
    <w:rsid w:val="0037578F"/>
    <w:rsid w:val="00377A2A"/>
    <w:rsid w:val="00377D7A"/>
    <w:rsid w:val="00380258"/>
    <w:rsid w:val="00380959"/>
    <w:rsid w:val="00380AA7"/>
    <w:rsid w:val="00380D2B"/>
    <w:rsid w:val="003821C9"/>
    <w:rsid w:val="003829B7"/>
    <w:rsid w:val="00382A00"/>
    <w:rsid w:val="00382A52"/>
    <w:rsid w:val="00382EFA"/>
    <w:rsid w:val="00383EC5"/>
    <w:rsid w:val="00384B29"/>
    <w:rsid w:val="00384C58"/>
    <w:rsid w:val="00384DF6"/>
    <w:rsid w:val="00385995"/>
    <w:rsid w:val="00385A40"/>
    <w:rsid w:val="003904D8"/>
    <w:rsid w:val="003939DF"/>
    <w:rsid w:val="00393FE2"/>
    <w:rsid w:val="00395FD2"/>
    <w:rsid w:val="003A0B1C"/>
    <w:rsid w:val="003A245B"/>
    <w:rsid w:val="003A3E4C"/>
    <w:rsid w:val="003A4496"/>
    <w:rsid w:val="003A47E6"/>
    <w:rsid w:val="003A5715"/>
    <w:rsid w:val="003A58EA"/>
    <w:rsid w:val="003A68D8"/>
    <w:rsid w:val="003B0F5D"/>
    <w:rsid w:val="003B1B7E"/>
    <w:rsid w:val="003B374C"/>
    <w:rsid w:val="003B4119"/>
    <w:rsid w:val="003B58DA"/>
    <w:rsid w:val="003B6286"/>
    <w:rsid w:val="003B6B76"/>
    <w:rsid w:val="003B7465"/>
    <w:rsid w:val="003C0116"/>
    <w:rsid w:val="003C2A48"/>
    <w:rsid w:val="003C2D05"/>
    <w:rsid w:val="003C2D20"/>
    <w:rsid w:val="003C2D9D"/>
    <w:rsid w:val="003C3061"/>
    <w:rsid w:val="003C4498"/>
    <w:rsid w:val="003C4BAF"/>
    <w:rsid w:val="003C4E6C"/>
    <w:rsid w:val="003C692A"/>
    <w:rsid w:val="003C6F4F"/>
    <w:rsid w:val="003C701E"/>
    <w:rsid w:val="003C7055"/>
    <w:rsid w:val="003C72A8"/>
    <w:rsid w:val="003C7878"/>
    <w:rsid w:val="003C7E9B"/>
    <w:rsid w:val="003D04BF"/>
    <w:rsid w:val="003D2735"/>
    <w:rsid w:val="003D318E"/>
    <w:rsid w:val="003D3C45"/>
    <w:rsid w:val="003D4342"/>
    <w:rsid w:val="003D586D"/>
    <w:rsid w:val="003D645E"/>
    <w:rsid w:val="003D690E"/>
    <w:rsid w:val="003D6D82"/>
    <w:rsid w:val="003D74CF"/>
    <w:rsid w:val="003E23F2"/>
    <w:rsid w:val="003E2CA7"/>
    <w:rsid w:val="003E3BC6"/>
    <w:rsid w:val="003E43EF"/>
    <w:rsid w:val="003E4D18"/>
    <w:rsid w:val="003E5FB7"/>
    <w:rsid w:val="003E6004"/>
    <w:rsid w:val="003E6F01"/>
    <w:rsid w:val="003E7FF7"/>
    <w:rsid w:val="003F2EF7"/>
    <w:rsid w:val="003F4A68"/>
    <w:rsid w:val="003F4BE9"/>
    <w:rsid w:val="003F6A68"/>
    <w:rsid w:val="003F7096"/>
    <w:rsid w:val="003F714C"/>
    <w:rsid w:val="00400334"/>
    <w:rsid w:val="004008A3"/>
    <w:rsid w:val="00402532"/>
    <w:rsid w:val="00403E74"/>
    <w:rsid w:val="00404873"/>
    <w:rsid w:val="0040547B"/>
    <w:rsid w:val="00406304"/>
    <w:rsid w:val="00406E20"/>
    <w:rsid w:val="00410CDD"/>
    <w:rsid w:val="00412B70"/>
    <w:rsid w:val="00412FA3"/>
    <w:rsid w:val="004151E5"/>
    <w:rsid w:val="0041674A"/>
    <w:rsid w:val="004167E7"/>
    <w:rsid w:val="0041738A"/>
    <w:rsid w:val="00420504"/>
    <w:rsid w:val="0042058E"/>
    <w:rsid w:val="004212A2"/>
    <w:rsid w:val="004214F2"/>
    <w:rsid w:val="004218AD"/>
    <w:rsid w:val="00421B18"/>
    <w:rsid w:val="00421DB6"/>
    <w:rsid w:val="004239C3"/>
    <w:rsid w:val="0042457F"/>
    <w:rsid w:val="004247DE"/>
    <w:rsid w:val="0042490A"/>
    <w:rsid w:val="00427196"/>
    <w:rsid w:val="0042751F"/>
    <w:rsid w:val="00430159"/>
    <w:rsid w:val="0043067C"/>
    <w:rsid w:val="00435A0F"/>
    <w:rsid w:val="00436553"/>
    <w:rsid w:val="00436C74"/>
    <w:rsid w:val="004400FF"/>
    <w:rsid w:val="00440844"/>
    <w:rsid w:val="00443966"/>
    <w:rsid w:val="00444FB1"/>
    <w:rsid w:val="00445859"/>
    <w:rsid w:val="004467EE"/>
    <w:rsid w:val="00447145"/>
    <w:rsid w:val="0045104B"/>
    <w:rsid w:val="00451700"/>
    <w:rsid w:val="0045173E"/>
    <w:rsid w:val="00454490"/>
    <w:rsid w:val="0045662A"/>
    <w:rsid w:val="00456E68"/>
    <w:rsid w:val="00456F13"/>
    <w:rsid w:val="004579FA"/>
    <w:rsid w:val="00457B80"/>
    <w:rsid w:val="004601C9"/>
    <w:rsid w:val="0046170A"/>
    <w:rsid w:val="0046188B"/>
    <w:rsid w:val="00461A79"/>
    <w:rsid w:val="004630CA"/>
    <w:rsid w:val="004678CF"/>
    <w:rsid w:val="00467FB1"/>
    <w:rsid w:val="0047204D"/>
    <w:rsid w:val="0047344E"/>
    <w:rsid w:val="00474B84"/>
    <w:rsid w:val="00474DF7"/>
    <w:rsid w:val="00475D20"/>
    <w:rsid w:val="00476169"/>
    <w:rsid w:val="00480588"/>
    <w:rsid w:val="00481618"/>
    <w:rsid w:val="00481710"/>
    <w:rsid w:val="00483058"/>
    <w:rsid w:val="0048550C"/>
    <w:rsid w:val="00485FB1"/>
    <w:rsid w:val="004865BA"/>
    <w:rsid w:val="0049239D"/>
    <w:rsid w:val="00494DC7"/>
    <w:rsid w:val="00497B81"/>
    <w:rsid w:val="004A0099"/>
    <w:rsid w:val="004A01CD"/>
    <w:rsid w:val="004A0F19"/>
    <w:rsid w:val="004A24C5"/>
    <w:rsid w:val="004A590B"/>
    <w:rsid w:val="004A6100"/>
    <w:rsid w:val="004A6492"/>
    <w:rsid w:val="004A6EA4"/>
    <w:rsid w:val="004B1220"/>
    <w:rsid w:val="004B3D71"/>
    <w:rsid w:val="004B5141"/>
    <w:rsid w:val="004B546B"/>
    <w:rsid w:val="004B55A2"/>
    <w:rsid w:val="004B5B94"/>
    <w:rsid w:val="004B5C66"/>
    <w:rsid w:val="004B6358"/>
    <w:rsid w:val="004B66C5"/>
    <w:rsid w:val="004B6811"/>
    <w:rsid w:val="004B729B"/>
    <w:rsid w:val="004C15B4"/>
    <w:rsid w:val="004C166E"/>
    <w:rsid w:val="004C2054"/>
    <w:rsid w:val="004C228E"/>
    <w:rsid w:val="004C2BF8"/>
    <w:rsid w:val="004C2EEB"/>
    <w:rsid w:val="004C45F7"/>
    <w:rsid w:val="004C5D04"/>
    <w:rsid w:val="004C64DF"/>
    <w:rsid w:val="004C6709"/>
    <w:rsid w:val="004C688D"/>
    <w:rsid w:val="004C6B9B"/>
    <w:rsid w:val="004C6DB9"/>
    <w:rsid w:val="004D067E"/>
    <w:rsid w:val="004D074F"/>
    <w:rsid w:val="004D322D"/>
    <w:rsid w:val="004D3D71"/>
    <w:rsid w:val="004D4659"/>
    <w:rsid w:val="004D4DCB"/>
    <w:rsid w:val="004D4E25"/>
    <w:rsid w:val="004D584F"/>
    <w:rsid w:val="004D5C08"/>
    <w:rsid w:val="004D6B70"/>
    <w:rsid w:val="004D6E81"/>
    <w:rsid w:val="004D6E8E"/>
    <w:rsid w:val="004E0ECB"/>
    <w:rsid w:val="004E4D6B"/>
    <w:rsid w:val="004E6F31"/>
    <w:rsid w:val="004E7D3F"/>
    <w:rsid w:val="004F0825"/>
    <w:rsid w:val="004F1159"/>
    <w:rsid w:val="004F148C"/>
    <w:rsid w:val="004F2299"/>
    <w:rsid w:val="004F2C66"/>
    <w:rsid w:val="004F34B1"/>
    <w:rsid w:val="004F4328"/>
    <w:rsid w:val="004F43AC"/>
    <w:rsid w:val="004F451C"/>
    <w:rsid w:val="004F47C2"/>
    <w:rsid w:val="004F5D2A"/>
    <w:rsid w:val="004F7540"/>
    <w:rsid w:val="004F7980"/>
    <w:rsid w:val="0050015C"/>
    <w:rsid w:val="00500723"/>
    <w:rsid w:val="0050141B"/>
    <w:rsid w:val="0050142E"/>
    <w:rsid w:val="0050152D"/>
    <w:rsid w:val="00501672"/>
    <w:rsid w:val="00501BDA"/>
    <w:rsid w:val="00502E02"/>
    <w:rsid w:val="00503C17"/>
    <w:rsid w:val="00503D19"/>
    <w:rsid w:val="0050450D"/>
    <w:rsid w:val="00505D82"/>
    <w:rsid w:val="00507030"/>
    <w:rsid w:val="00507787"/>
    <w:rsid w:val="00507A81"/>
    <w:rsid w:val="00510DC4"/>
    <w:rsid w:val="005114EB"/>
    <w:rsid w:val="00512C9A"/>
    <w:rsid w:val="00513A84"/>
    <w:rsid w:val="00513A93"/>
    <w:rsid w:val="005149D1"/>
    <w:rsid w:val="00515763"/>
    <w:rsid w:val="00515C5E"/>
    <w:rsid w:val="00516095"/>
    <w:rsid w:val="00517BB1"/>
    <w:rsid w:val="00517DE0"/>
    <w:rsid w:val="00521506"/>
    <w:rsid w:val="00521995"/>
    <w:rsid w:val="005242A4"/>
    <w:rsid w:val="00524F7D"/>
    <w:rsid w:val="00526384"/>
    <w:rsid w:val="00527DB6"/>
    <w:rsid w:val="00531B6F"/>
    <w:rsid w:val="0053396B"/>
    <w:rsid w:val="00537147"/>
    <w:rsid w:val="00537DDF"/>
    <w:rsid w:val="00540588"/>
    <w:rsid w:val="00540EE8"/>
    <w:rsid w:val="00540FAD"/>
    <w:rsid w:val="0054273E"/>
    <w:rsid w:val="005443BF"/>
    <w:rsid w:val="00544EBC"/>
    <w:rsid w:val="005451E1"/>
    <w:rsid w:val="0054668A"/>
    <w:rsid w:val="00546BC9"/>
    <w:rsid w:val="00546BFB"/>
    <w:rsid w:val="0054719E"/>
    <w:rsid w:val="00547253"/>
    <w:rsid w:val="00547A7D"/>
    <w:rsid w:val="00550AE1"/>
    <w:rsid w:val="00553B57"/>
    <w:rsid w:val="00553BB1"/>
    <w:rsid w:val="00554210"/>
    <w:rsid w:val="00554679"/>
    <w:rsid w:val="00554EDC"/>
    <w:rsid w:val="00554F81"/>
    <w:rsid w:val="005551D8"/>
    <w:rsid w:val="0055684E"/>
    <w:rsid w:val="00556B46"/>
    <w:rsid w:val="00557A81"/>
    <w:rsid w:val="00560A35"/>
    <w:rsid w:val="005610EF"/>
    <w:rsid w:val="0056131F"/>
    <w:rsid w:val="00561B83"/>
    <w:rsid w:val="00562F1D"/>
    <w:rsid w:val="0056317D"/>
    <w:rsid w:val="00563AF7"/>
    <w:rsid w:val="00564FC4"/>
    <w:rsid w:val="00566384"/>
    <w:rsid w:val="00567332"/>
    <w:rsid w:val="00567D1E"/>
    <w:rsid w:val="005706B5"/>
    <w:rsid w:val="00570906"/>
    <w:rsid w:val="00573476"/>
    <w:rsid w:val="00574968"/>
    <w:rsid w:val="00576700"/>
    <w:rsid w:val="00576E42"/>
    <w:rsid w:val="00576F2C"/>
    <w:rsid w:val="0058119C"/>
    <w:rsid w:val="00581F27"/>
    <w:rsid w:val="005823AE"/>
    <w:rsid w:val="00582984"/>
    <w:rsid w:val="005833B8"/>
    <w:rsid w:val="00583E64"/>
    <w:rsid w:val="00584A15"/>
    <w:rsid w:val="005850FF"/>
    <w:rsid w:val="00587BAF"/>
    <w:rsid w:val="00587CE2"/>
    <w:rsid w:val="0059110A"/>
    <w:rsid w:val="0059129A"/>
    <w:rsid w:val="005926FC"/>
    <w:rsid w:val="005932FA"/>
    <w:rsid w:val="00594079"/>
    <w:rsid w:val="00595460"/>
    <w:rsid w:val="00597603"/>
    <w:rsid w:val="005A0D12"/>
    <w:rsid w:val="005A161E"/>
    <w:rsid w:val="005A20B1"/>
    <w:rsid w:val="005A24EE"/>
    <w:rsid w:val="005A32D5"/>
    <w:rsid w:val="005A5A48"/>
    <w:rsid w:val="005A60CF"/>
    <w:rsid w:val="005A681A"/>
    <w:rsid w:val="005B1ECA"/>
    <w:rsid w:val="005B2A88"/>
    <w:rsid w:val="005B34A3"/>
    <w:rsid w:val="005B3D15"/>
    <w:rsid w:val="005B45CE"/>
    <w:rsid w:val="005B4BDB"/>
    <w:rsid w:val="005B5384"/>
    <w:rsid w:val="005B58E5"/>
    <w:rsid w:val="005B6E99"/>
    <w:rsid w:val="005B7367"/>
    <w:rsid w:val="005C59B8"/>
    <w:rsid w:val="005C6219"/>
    <w:rsid w:val="005C762D"/>
    <w:rsid w:val="005D1371"/>
    <w:rsid w:val="005D2034"/>
    <w:rsid w:val="005D3509"/>
    <w:rsid w:val="005D4EE8"/>
    <w:rsid w:val="005D67ED"/>
    <w:rsid w:val="005D6B46"/>
    <w:rsid w:val="005E11FC"/>
    <w:rsid w:val="005E2088"/>
    <w:rsid w:val="005E281B"/>
    <w:rsid w:val="005E6696"/>
    <w:rsid w:val="005E717A"/>
    <w:rsid w:val="005F05A8"/>
    <w:rsid w:val="005F07C7"/>
    <w:rsid w:val="005F0918"/>
    <w:rsid w:val="005F1AE0"/>
    <w:rsid w:val="005F2396"/>
    <w:rsid w:val="005F426E"/>
    <w:rsid w:val="005F5CEF"/>
    <w:rsid w:val="005F6C08"/>
    <w:rsid w:val="005F6C54"/>
    <w:rsid w:val="005F6D17"/>
    <w:rsid w:val="005F75B5"/>
    <w:rsid w:val="005F7F4D"/>
    <w:rsid w:val="00600204"/>
    <w:rsid w:val="006008AA"/>
    <w:rsid w:val="00601290"/>
    <w:rsid w:val="0060182B"/>
    <w:rsid w:val="0060221E"/>
    <w:rsid w:val="006024E2"/>
    <w:rsid w:val="00603888"/>
    <w:rsid w:val="00603B66"/>
    <w:rsid w:val="00604E54"/>
    <w:rsid w:val="00604F54"/>
    <w:rsid w:val="006056DF"/>
    <w:rsid w:val="00605BF4"/>
    <w:rsid w:val="00606DB1"/>
    <w:rsid w:val="00610154"/>
    <w:rsid w:val="0061089E"/>
    <w:rsid w:val="0061182A"/>
    <w:rsid w:val="006126F0"/>
    <w:rsid w:val="00613393"/>
    <w:rsid w:val="00614F12"/>
    <w:rsid w:val="00615234"/>
    <w:rsid w:val="006157F4"/>
    <w:rsid w:val="0061683B"/>
    <w:rsid w:val="006168E6"/>
    <w:rsid w:val="00620A84"/>
    <w:rsid w:val="00621441"/>
    <w:rsid w:val="0062145A"/>
    <w:rsid w:val="006219A8"/>
    <w:rsid w:val="00621BA6"/>
    <w:rsid w:val="00621DDC"/>
    <w:rsid w:val="00621FDF"/>
    <w:rsid w:val="00622207"/>
    <w:rsid w:val="00622478"/>
    <w:rsid w:val="0062266B"/>
    <w:rsid w:val="00622EB3"/>
    <w:rsid w:val="00623F68"/>
    <w:rsid w:val="00624275"/>
    <w:rsid w:val="0062519F"/>
    <w:rsid w:val="0062561D"/>
    <w:rsid w:val="00626120"/>
    <w:rsid w:val="0062651C"/>
    <w:rsid w:val="006272C5"/>
    <w:rsid w:val="00627FBE"/>
    <w:rsid w:val="00630332"/>
    <w:rsid w:val="006312F8"/>
    <w:rsid w:val="0063253D"/>
    <w:rsid w:val="00633045"/>
    <w:rsid w:val="00634FF0"/>
    <w:rsid w:val="00636CE3"/>
    <w:rsid w:val="0064044E"/>
    <w:rsid w:val="006413FA"/>
    <w:rsid w:val="0064190D"/>
    <w:rsid w:val="0064300C"/>
    <w:rsid w:val="00643C70"/>
    <w:rsid w:val="006442B9"/>
    <w:rsid w:val="00645125"/>
    <w:rsid w:val="00645819"/>
    <w:rsid w:val="006468EF"/>
    <w:rsid w:val="00646F81"/>
    <w:rsid w:val="006503E5"/>
    <w:rsid w:val="00650A96"/>
    <w:rsid w:val="00651CF8"/>
    <w:rsid w:val="00652289"/>
    <w:rsid w:val="0065324E"/>
    <w:rsid w:val="00653374"/>
    <w:rsid w:val="00655811"/>
    <w:rsid w:val="00656279"/>
    <w:rsid w:val="0065712E"/>
    <w:rsid w:val="00657FD5"/>
    <w:rsid w:val="006615BE"/>
    <w:rsid w:val="00661E59"/>
    <w:rsid w:val="00662B75"/>
    <w:rsid w:val="00663BB0"/>
    <w:rsid w:val="00664549"/>
    <w:rsid w:val="00665B6B"/>
    <w:rsid w:val="00667A2A"/>
    <w:rsid w:val="00667CAE"/>
    <w:rsid w:val="00667D04"/>
    <w:rsid w:val="00670015"/>
    <w:rsid w:val="0067006F"/>
    <w:rsid w:val="0067220E"/>
    <w:rsid w:val="006729F8"/>
    <w:rsid w:val="00673E06"/>
    <w:rsid w:val="00673EA6"/>
    <w:rsid w:val="0068048C"/>
    <w:rsid w:val="00680A23"/>
    <w:rsid w:val="00681D78"/>
    <w:rsid w:val="006825FB"/>
    <w:rsid w:val="00684035"/>
    <w:rsid w:val="006866C5"/>
    <w:rsid w:val="00687E6B"/>
    <w:rsid w:val="0069031C"/>
    <w:rsid w:val="00692E93"/>
    <w:rsid w:val="00694043"/>
    <w:rsid w:val="006941D5"/>
    <w:rsid w:val="00694F9A"/>
    <w:rsid w:val="00695C28"/>
    <w:rsid w:val="006960B5"/>
    <w:rsid w:val="006961EE"/>
    <w:rsid w:val="00697430"/>
    <w:rsid w:val="00697F88"/>
    <w:rsid w:val="006A3F1D"/>
    <w:rsid w:val="006A41B7"/>
    <w:rsid w:val="006A6699"/>
    <w:rsid w:val="006A675F"/>
    <w:rsid w:val="006A6A30"/>
    <w:rsid w:val="006A6DDD"/>
    <w:rsid w:val="006A7149"/>
    <w:rsid w:val="006A71AA"/>
    <w:rsid w:val="006B07F8"/>
    <w:rsid w:val="006B0D3D"/>
    <w:rsid w:val="006B162D"/>
    <w:rsid w:val="006B323F"/>
    <w:rsid w:val="006B4EF3"/>
    <w:rsid w:val="006B510E"/>
    <w:rsid w:val="006B5819"/>
    <w:rsid w:val="006B7728"/>
    <w:rsid w:val="006B7754"/>
    <w:rsid w:val="006C0238"/>
    <w:rsid w:val="006C09E3"/>
    <w:rsid w:val="006C0EB8"/>
    <w:rsid w:val="006C11D6"/>
    <w:rsid w:val="006C1CB8"/>
    <w:rsid w:val="006C26AC"/>
    <w:rsid w:val="006C3A46"/>
    <w:rsid w:val="006C5572"/>
    <w:rsid w:val="006C6797"/>
    <w:rsid w:val="006C6DD5"/>
    <w:rsid w:val="006C7354"/>
    <w:rsid w:val="006D0A1C"/>
    <w:rsid w:val="006D0EDC"/>
    <w:rsid w:val="006D327E"/>
    <w:rsid w:val="006D357C"/>
    <w:rsid w:val="006D3709"/>
    <w:rsid w:val="006D381C"/>
    <w:rsid w:val="006D5490"/>
    <w:rsid w:val="006D5D3E"/>
    <w:rsid w:val="006D6BA8"/>
    <w:rsid w:val="006D6DBF"/>
    <w:rsid w:val="006E2154"/>
    <w:rsid w:val="006E3859"/>
    <w:rsid w:val="006E3DC6"/>
    <w:rsid w:val="006E5248"/>
    <w:rsid w:val="006E54A7"/>
    <w:rsid w:val="006E6C00"/>
    <w:rsid w:val="006E77E9"/>
    <w:rsid w:val="006F02EE"/>
    <w:rsid w:val="006F0783"/>
    <w:rsid w:val="006F0D46"/>
    <w:rsid w:val="006F1FF4"/>
    <w:rsid w:val="006F6F48"/>
    <w:rsid w:val="006F7012"/>
    <w:rsid w:val="006F7ED6"/>
    <w:rsid w:val="00700A06"/>
    <w:rsid w:val="00702394"/>
    <w:rsid w:val="007023DA"/>
    <w:rsid w:val="00702835"/>
    <w:rsid w:val="007034EB"/>
    <w:rsid w:val="00704567"/>
    <w:rsid w:val="00706FD9"/>
    <w:rsid w:val="0070701F"/>
    <w:rsid w:val="007078F6"/>
    <w:rsid w:val="0070793D"/>
    <w:rsid w:val="00707C02"/>
    <w:rsid w:val="007102C6"/>
    <w:rsid w:val="00710684"/>
    <w:rsid w:val="00710B10"/>
    <w:rsid w:val="0071113F"/>
    <w:rsid w:val="00711C32"/>
    <w:rsid w:val="00712674"/>
    <w:rsid w:val="00713016"/>
    <w:rsid w:val="00713445"/>
    <w:rsid w:val="00713CA7"/>
    <w:rsid w:val="00714185"/>
    <w:rsid w:val="0071466C"/>
    <w:rsid w:val="00714BCB"/>
    <w:rsid w:val="00716F7A"/>
    <w:rsid w:val="00717450"/>
    <w:rsid w:val="0071777C"/>
    <w:rsid w:val="0071788E"/>
    <w:rsid w:val="00717C02"/>
    <w:rsid w:val="00717C98"/>
    <w:rsid w:val="007202B9"/>
    <w:rsid w:val="00720E9B"/>
    <w:rsid w:val="00721C1F"/>
    <w:rsid w:val="00722680"/>
    <w:rsid w:val="007231DF"/>
    <w:rsid w:val="00723212"/>
    <w:rsid w:val="0072378B"/>
    <w:rsid w:val="0072515D"/>
    <w:rsid w:val="00726190"/>
    <w:rsid w:val="00726533"/>
    <w:rsid w:val="00727800"/>
    <w:rsid w:val="007278B9"/>
    <w:rsid w:val="00727C93"/>
    <w:rsid w:val="007308BF"/>
    <w:rsid w:val="00732034"/>
    <w:rsid w:val="00734520"/>
    <w:rsid w:val="00735266"/>
    <w:rsid w:val="00735935"/>
    <w:rsid w:val="00735A6F"/>
    <w:rsid w:val="00737E29"/>
    <w:rsid w:val="00740157"/>
    <w:rsid w:val="007404C7"/>
    <w:rsid w:val="007405CD"/>
    <w:rsid w:val="00740C8A"/>
    <w:rsid w:val="00740D9D"/>
    <w:rsid w:val="00740E85"/>
    <w:rsid w:val="0074146B"/>
    <w:rsid w:val="007439DB"/>
    <w:rsid w:val="00744A0E"/>
    <w:rsid w:val="00744A44"/>
    <w:rsid w:val="007454E1"/>
    <w:rsid w:val="00745A54"/>
    <w:rsid w:val="007476C9"/>
    <w:rsid w:val="00753357"/>
    <w:rsid w:val="007534E5"/>
    <w:rsid w:val="0075421A"/>
    <w:rsid w:val="00755BDA"/>
    <w:rsid w:val="00756214"/>
    <w:rsid w:val="007567D7"/>
    <w:rsid w:val="00760384"/>
    <w:rsid w:val="007609DB"/>
    <w:rsid w:val="00761C13"/>
    <w:rsid w:val="00761DA0"/>
    <w:rsid w:val="00761F5C"/>
    <w:rsid w:val="007622B6"/>
    <w:rsid w:val="0076323E"/>
    <w:rsid w:val="00763DDA"/>
    <w:rsid w:val="00764859"/>
    <w:rsid w:val="00767557"/>
    <w:rsid w:val="0076778C"/>
    <w:rsid w:val="00767C7A"/>
    <w:rsid w:val="0077021C"/>
    <w:rsid w:val="0077136E"/>
    <w:rsid w:val="00772C71"/>
    <w:rsid w:val="00772D0C"/>
    <w:rsid w:val="007730EB"/>
    <w:rsid w:val="007730FE"/>
    <w:rsid w:val="007737BD"/>
    <w:rsid w:val="00774245"/>
    <w:rsid w:val="00774B65"/>
    <w:rsid w:val="00775572"/>
    <w:rsid w:val="00775C25"/>
    <w:rsid w:val="00780D35"/>
    <w:rsid w:val="007836F4"/>
    <w:rsid w:val="007841BF"/>
    <w:rsid w:val="00785447"/>
    <w:rsid w:val="007859BE"/>
    <w:rsid w:val="00785C62"/>
    <w:rsid w:val="00787582"/>
    <w:rsid w:val="00787DFF"/>
    <w:rsid w:val="00791210"/>
    <w:rsid w:val="0079125A"/>
    <w:rsid w:val="00791C61"/>
    <w:rsid w:val="00791FDB"/>
    <w:rsid w:val="007922EF"/>
    <w:rsid w:val="00792336"/>
    <w:rsid w:val="007923F5"/>
    <w:rsid w:val="00792DF3"/>
    <w:rsid w:val="00795134"/>
    <w:rsid w:val="007A3304"/>
    <w:rsid w:val="007A3348"/>
    <w:rsid w:val="007A39FF"/>
    <w:rsid w:val="007A3FD4"/>
    <w:rsid w:val="007A54C7"/>
    <w:rsid w:val="007A5764"/>
    <w:rsid w:val="007B0A76"/>
    <w:rsid w:val="007B1FC4"/>
    <w:rsid w:val="007B3D86"/>
    <w:rsid w:val="007B404E"/>
    <w:rsid w:val="007B4082"/>
    <w:rsid w:val="007B4FBB"/>
    <w:rsid w:val="007B7133"/>
    <w:rsid w:val="007B74ED"/>
    <w:rsid w:val="007B7A8E"/>
    <w:rsid w:val="007C2214"/>
    <w:rsid w:val="007C3752"/>
    <w:rsid w:val="007C3E24"/>
    <w:rsid w:val="007C424F"/>
    <w:rsid w:val="007C4842"/>
    <w:rsid w:val="007C521F"/>
    <w:rsid w:val="007C569F"/>
    <w:rsid w:val="007C57B9"/>
    <w:rsid w:val="007C5F3D"/>
    <w:rsid w:val="007C650D"/>
    <w:rsid w:val="007C6AF0"/>
    <w:rsid w:val="007C7C2B"/>
    <w:rsid w:val="007D31B2"/>
    <w:rsid w:val="007D3B9D"/>
    <w:rsid w:val="007D40F9"/>
    <w:rsid w:val="007D42F4"/>
    <w:rsid w:val="007D45EA"/>
    <w:rsid w:val="007D4E7E"/>
    <w:rsid w:val="007D70EA"/>
    <w:rsid w:val="007D7932"/>
    <w:rsid w:val="007E0F0D"/>
    <w:rsid w:val="007E2503"/>
    <w:rsid w:val="007E3322"/>
    <w:rsid w:val="007E37CA"/>
    <w:rsid w:val="007E3D75"/>
    <w:rsid w:val="007F0644"/>
    <w:rsid w:val="007F1431"/>
    <w:rsid w:val="007F14F3"/>
    <w:rsid w:val="007F1593"/>
    <w:rsid w:val="007F1D7C"/>
    <w:rsid w:val="007F2FF7"/>
    <w:rsid w:val="007F326C"/>
    <w:rsid w:val="007F3CC4"/>
    <w:rsid w:val="007F4CD3"/>
    <w:rsid w:val="007F69CD"/>
    <w:rsid w:val="007F6A99"/>
    <w:rsid w:val="007F6F39"/>
    <w:rsid w:val="007F7DEA"/>
    <w:rsid w:val="00801E0F"/>
    <w:rsid w:val="00802B50"/>
    <w:rsid w:val="00802F87"/>
    <w:rsid w:val="0080483B"/>
    <w:rsid w:val="00804B9A"/>
    <w:rsid w:val="00805A19"/>
    <w:rsid w:val="00806012"/>
    <w:rsid w:val="00806B40"/>
    <w:rsid w:val="00807980"/>
    <w:rsid w:val="00807C07"/>
    <w:rsid w:val="00810C24"/>
    <w:rsid w:val="00811009"/>
    <w:rsid w:val="008116A3"/>
    <w:rsid w:val="008125A9"/>
    <w:rsid w:val="00812F70"/>
    <w:rsid w:val="008131FC"/>
    <w:rsid w:val="00814446"/>
    <w:rsid w:val="00815C56"/>
    <w:rsid w:val="00815E88"/>
    <w:rsid w:val="00816464"/>
    <w:rsid w:val="00816875"/>
    <w:rsid w:val="00816C81"/>
    <w:rsid w:val="00817B21"/>
    <w:rsid w:val="008200BC"/>
    <w:rsid w:val="00820678"/>
    <w:rsid w:val="00820BD6"/>
    <w:rsid w:val="0082210B"/>
    <w:rsid w:val="00823609"/>
    <w:rsid w:val="008242E5"/>
    <w:rsid w:val="00827F67"/>
    <w:rsid w:val="0083099A"/>
    <w:rsid w:val="00832C56"/>
    <w:rsid w:val="00833FAD"/>
    <w:rsid w:val="0083623F"/>
    <w:rsid w:val="00836439"/>
    <w:rsid w:val="0083730F"/>
    <w:rsid w:val="00841350"/>
    <w:rsid w:val="0084221A"/>
    <w:rsid w:val="0084487A"/>
    <w:rsid w:val="00844A42"/>
    <w:rsid w:val="00845B0A"/>
    <w:rsid w:val="00845B1F"/>
    <w:rsid w:val="008472BF"/>
    <w:rsid w:val="00850570"/>
    <w:rsid w:val="00850CF2"/>
    <w:rsid w:val="008524E0"/>
    <w:rsid w:val="008525AF"/>
    <w:rsid w:val="00853480"/>
    <w:rsid w:val="00853904"/>
    <w:rsid w:val="00853A44"/>
    <w:rsid w:val="00855EA4"/>
    <w:rsid w:val="008565D8"/>
    <w:rsid w:val="00856802"/>
    <w:rsid w:val="00856D73"/>
    <w:rsid w:val="00856F5A"/>
    <w:rsid w:val="00861A9E"/>
    <w:rsid w:val="00861E4A"/>
    <w:rsid w:val="00861E59"/>
    <w:rsid w:val="00862B33"/>
    <w:rsid w:val="00862F2A"/>
    <w:rsid w:val="00867C5E"/>
    <w:rsid w:val="00870215"/>
    <w:rsid w:val="008707E0"/>
    <w:rsid w:val="008715EF"/>
    <w:rsid w:val="00871725"/>
    <w:rsid w:val="00871985"/>
    <w:rsid w:val="008736FE"/>
    <w:rsid w:val="008750F4"/>
    <w:rsid w:val="00875409"/>
    <w:rsid w:val="00875C9C"/>
    <w:rsid w:val="0088031C"/>
    <w:rsid w:val="00880E70"/>
    <w:rsid w:val="008810C1"/>
    <w:rsid w:val="0088149B"/>
    <w:rsid w:val="00881BD6"/>
    <w:rsid w:val="00883D90"/>
    <w:rsid w:val="0088434D"/>
    <w:rsid w:val="0088453B"/>
    <w:rsid w:val="00886373"/>
    <w:rsid w:val="0089071A"/>
    <w:rsid w:val="00890C01"/>
    <w:rsid w:val="00891B7E"/>
    <w:rsid w:val="00892A30"/>
    <w:rsid w:val="0089678B"/>
    <w:rsid w:val="008A06C8"/>
    <w:rsid w:val="008A093A"/>
    <w:rsid w:val="008A15B0"/>
    <w:rsid w:val="008A1EA9"/>
    <w:rsid w:val="008A360D"/>
    <w:rsid w:val="008A469E"/>
    <w:rsid w:val="008A4AF4"/>
    <w:rsid w:val="008A50B9"/>
    <w:rsid w:val="008A581F"/>
    <w:rsid w:val="008A5F53"/>
    <w:rsid w:val="008A63BA"/>
    <w:rsid w:val="008A661F"/>
    <w:rsid w:val="008A6C63"/>
    <w:rsid w:val="008B1A08"/>
    <w:rsid w:val="008B1CAA"/>
    <w:rsid w:val="008B490A"/>
    <w:rsid w:val="008B4FB1"/>
    <w:rsid w:val="008B500B"/>
    <w:rsid w:val="008B5A32"/>
    <w:rsid w:val="008B685B"/>
    <w:rsid w:val="008B6B15"/>
    <w:rsid w:val="008B6EB5"/>
    <w:rsid w:val="008C14DA"/>
    <w:rsid w:val="008C2C5B"/>
    <w:rsid w:val="008C3869"/>
    <w:rsid w:val="008C478A"/>
    <w:rsid w:val="008C4970"/>
    <w:rsid w:val="008C4E91"/>
    <w:rsid w:val="008C5CB3"/>
    <w:rsid w:val="008C6079"/>
    <w:rsid w:val="008C72F4"/>
    <w:rsid w:val="008C7423"/>
    <w:rsid w:val="008D06CE"/>
    <w:rsid w:val="008D0BEC"/>
    <w:rsid w:val="008D0FCC"/>
    <w:rsid w:val="008D27C7"/>
    <w:rsid w:val="008D2976"/>
    <w:rsid w:val="008D5553"/>
    <w:rsid w:val="008D6CE5"/>
    <w:rsid w:val="008E1D61"/>
    <w:rsid w:val="008E236C"/>
    <w:rsid w:val="008E27D4"/>
    <w:rsid w:val="008E2B37"/>
    <w:rsid w:val="008E2C56"/>
    <w:rsid w:val="008E2F63"/>
    <w:rsid w:val="008E590E"/>
    <w:rsid w:val="008E5A1E"/>
    <w:rsid w:val="008E5A5D"/>
    <w:rsid w:val="008E688A"/>
    <w:rsid w:val="008F0622"/>
    <w:rsid w:val="008F17CA"/>
    <w:rsid w:val="008F1948"/>
    <w:rsid w:val="008F268B"/>
    <w:rsid w:val="008F2B5E"/>
    <w:rsid w:val="008F3544"/>
    <w:rsid w:val="008F3DB9"/>
    <w:rsid w:val="008F4DA0"/>
    <w:rsid w:val="008F568E"/>
    <w:rsid w:val="008F6775"/>
    <w:rsid w:val="008F7518"/>
    <w:rsid w:val="008F7DFC"/>
    <w:rsid w:val="00900055"/>
    <w:rsid w:val="00900BF1"/>
    <w:rsid w:val="00900E28"/>
    <w:rsid w:val="00901129"/>
    <w:rsid w:val="009012B7"/>
    <w:rsid w:val="00902076"/>
    <w:rsid w:val="00902885"/>
    <w:rsid w:val="00904F30"/>
    <w:rsid w:val="00905D47"/>
    <w:rsid w:val="00906845"/>
    <w:rsid w:val="00906B31"/>
    <w:rsid w:val="00906E5E"/>
    <w:rsid w:val="00906F03"/>
    <w:rsid w:val="009078CD"/>
    <w:rsid w:val="00910073"/>
    <w:rsid w:val="009119ED"/>
    <w:rsid w:val="009127F8"/>
    <w:rsid w:val="009145D2"/>
    <w:rsid w:val="00915419"/>
    <w:rsid w:val="00915985"/>
    <w:rsid w:val="009163BD"/>
    <w:rsid w:val="00917788"/>
    <w:rsid w:val="00917A50"/>
    <w:rsid w:val="009212BE"/>
    <w:rsid w:val="009236D0"/>
    <w:rsid w:val="00923ED6"/>
    <w:rsid w:val="00924D43"/>
    <w:rsid w:val="00925D63"/>
    <w:rsid w:val="00925DAF"/>
    <w:rsid w:val="0092630F"/>
    <w:rsid w:val="009303C6"/>
    <w:rsid w:val="00930CE9"/>
    <w:rsid w:val="00932E10"/>
    <w:rsid w:val="00934A76"/>
    <w:rsid w:val="00936F63"/>
    <w:rsid w:val="00937C10"/>
    <w:rsid w:val="00937C94"/>
    <w:rsid w:val="009402D4"/>
    <w:rsid w:val="00941BF2"/>
    <w:rsid w:val="0094368E"/>
    <w:rsid w:val="00943EED"/>
    <w:rsid w:val="00945193"/>
    <w:rsid w:val="00945341"/>
    <w:rsid w:val="009457C7"/>
    <w:rsid w:val="0094626B"/>
    <w:rsid w:val="00946B5C"/>
    <w:rsid w:val="009476E5"/>
    <w:rsid w:val="00947C62"/>
    <w:rsid w:val="00950C8C"/>
    <w:rsid w:val="00950EAF"/>
    <w:rsid w:val="00951A59"/>
    <w:rsid w:val="0095268C"/>
    <w:rsid w:val="00953D3D"/>
    <w:rsid w:val="00956191"/>
    <w:rsid w:val="00956674"/>
    <w:rsid w:val="00956D49"/>
    <w:rsid w:val="009571FD"/>
    <w:rsid w:val="009609C0"/>
    <w:rsid w:val="00960CC7"/>
    <w:rsid w:val="00961060"/>
    <w:rsid w:val="0096241B"/>
    <w:rsid w:val="00962979"/>
    <w:rsid w:val="00962DC6"/>
    <w:rsid w:val="00962ECA"/>
    <w:rsid w:val="00964602"/>
    <w:rsid w:val="009647BD"/>
    <w:rsid w:val="0096679F"/>
    <w:rsid w:val="00966BCF"/>
    <w:rsid w:val="00970C76"/>
    <w:rsid w:val="00971E84"/>
    <w:rsid w:val="009736F5"/>
    <w:rsid w:val="00973FAA"/>
    <w:rsid w:val="00974174"/>
    <w:rsid w:val="00974FB5"/>
    <w:rsid w:val="00975986"/>
    <w:rsid w:val="00976184"/>
    <w:rsid w:val="009800E9"/>
    <w:rsid w:val="00980FAD"/>
    <w:rsid w:val="0098111F"/>
    <w:rsid w:val="00983DB2"/>
    <w:rsid w:val="0098440D"/>
    <w:rsid w:val="00984BAA"/>
    <w:rsid w:val="0098569C"/>
    <w:rsid w:val="009859A9"/>
    <w:rsid w:val="00986532"/>
    <w:rsid w:val="009875A7"/>
    <w:rsid w:val="009876CC"/>
    <w:rsid w:val="00990095"/>
    <w:rsid w:val="009901EA"/>
    <w:rsid w:val="009909C4"/>
    <w:rsid w:val="00991871"/>
    <w:rsid w:val="00994013"/>
    <w:rsid w:val="009949F3"/>
    <w:rsid w:val="00994ADB"/>
    <w:rsid w:val="009965FF"/>
    <w:rsid w:val="009975E6"/>
    <w:rsid w:val="009A04B0"/>
    <w:rsid w:val="009A0A87"/>
    <w:rsid w:val="009A0D1D"/>
    <w:rsid w:val="009A1645"/>
    <w:rsid w:val="009A18EB"/>
    <w:rsid w:val="009A37D2"/>
    <w:rsid w:val="009A4866"/>
    <w:rsid w:val="009A6C5D"/>
    <w:rsid w:val="009B0059"/>
    <w:rsid w:val="009B0E77"/>
    <w:rsid w:val="009B1B6B"/>
    <w:rsid w:val="009B27C1"/>
    <w:rsid w:val="009B31E3"/>
    <w:rsid w:val="009B3387"/>
    <w:rsid w:val="009B3E40"/>
    <w:rsid w:val="009B4B53"/>
    <w:rsid w:val="009B5BCB"/>
    <w:rsid w:val="009B66B0"/>
    <w:rsid w:val="009B6BD0"/>
    <w:rsid w:val="009B6E5F"/>
    <w:rsid w:val="009B7B59"/>
    <w:rsid w:val="009B7D9A"/>
    <w:rsid w:val="009C045E"/>
    <w:rsid w:val="009C0F1D"/>
    <w:rsid w:val="009C12A8"/>
    <w:rsid w:val="009C1A9F"/>
    <w:rsid w:val="009C512C"/>
    <w:rsid w:val="009C6FAF"/>
    <w:rsid w:val="009C7C25"/>
    <w:rsid w:val="009D08CE"/>
    <w:rsid w:val="009D12BB"/>
    <w:rsid w:val="009D2382"/>
    <w:rsid w:val="009D2749"/>
    <w:rsid w:val="009D2B07"/>
    <w:rsid w:val="009D2FDA"/>
    <w:rsid w:val="009D3134"/>
    <w:rsid w:val="009D3970"/>
    <w:rsid w:val="009D3B6B"/>
    <w:rsid w:val="009D42D6"/>
    <w:rsid w:val="009D48F9"/>
    <w:rsid w:val="009D4DEE"/>
    <w:rsid w:val="009D5294"/>
    <w:rsid w:val="009D57FA"/>
    <w:rsid w:val="009D5C3B"/>
    <w:rsid w:val="009E019E"/>
    <w:rsid w:val="009E189A"/>
    <w:rsid w:val="009E2739"/>
    <w:rsid w:val="009E3FFE"/>
    <w:rsid w:val="009E4C89"/>
    <w:rsid w:val="009E58AC"/>
    <w:rsid w:val="009E631B"/>
    <w:rsid w:val="009E66A8"/>
    <w:rsid w:val="009E77B5"/>
    <w:rsid w:val="009E78AC"/>
    <w:rsid w:val="009F2D04"/>
    <w:rsid w:val="009F3293"/>
    <w:rsid w:val="009F3CA9"/>
    <w:rsid w:val="009F468B"/>
    <w:rsid w:val="009F5E46"/>
    <w:rsid w:val="009F6E43"/>
    <w:rsid w:val="009F7008"/>
    <w:rsid w:val="009F77A6"/>
    <w:rsid w:val="00A00410"/>
    <w:rsid w:val="00A00901"/>
    <w:rsid w:val="00A02078"/>
    <w:rsid w:val="00A03317"/>
    <w:rsid w:val="00A03747"/>
    <w:rsid w:val="00A037BF"/>
    <w:rsid w:val="00A039C7"/>
    <w:rsid w:val="00A03E0B"/>
    <w:rsid w:val="00A040CB"/>
    <w:rsid w:val="00A05912"/>
    <w:rsid w:val="00A06126"/>
    <w:rsid w:val="00A06CED"/>
    <w:rsid w:val="00A07710"/>
    <w:rsid w:val="00A12B3B"/>
    <w:rsid w:val="00A12F33"/>
    <w:rsid w:val="00A14189"/>
    <w:rsid w:val="00A1420E"/>
    <w:rsid w:val="00A14B41"/>
    <w:rsid w:val="00A15777"/>
    <w:rsid w:val="00A1669E"/>
    <w:rsid w:val="00A17EAB"/>
    <w:rsid w:val="00A17EB2"/>
    <w:rsid w:val="00A21902"/>
    <w:rsid w:val="00A21FA4"/>
    <w:rsid w:val="00A2228D"/>
    <w:rsid w:val="00A2315E"/>
    <w:rsid w:val="00A272DA"/>
    <w:rsid w:val="00A2779B"/>
    <w:rsid w:val="00A301E6"/>
    <w:rsid w:val="00A304EB"/>
    <w:rsid w:val="00A31E42"/>
    <w:rsid w:val="00A3214D"/>
    <w:rsid w:val="00A34255"/>
    <w:rsid w:val="00A356B3"/>
    <w:rsid w:val="00A35B28"/>
    <w:rsid w:val="00A35C75"/>
    <w:rsid w:val="00A35D75"/>
    <w:rsid w:val="00A36C3B"/>
    <w:rsid w:val="00A373E9"/>
    <w:rsid w:val="00A3755C"/>
    <w:rsid w:val="00A430D8"/>
    <w:rsid w:val="00A434EA"/>
    <w:rsid w:val="00A45546"/>
    <w:rsid w:val="00A46D2A"/>
    <w:rsid w:val="00A46EA2"/>
    <w:rsid w:val="00A474F9"/>
    <w:rsid w:val="00A4780A"/>
    <w:rsid w:val="00A47AA5"/>
    <w:rsid w:val="00A50C9D"/>
    <w:rsid w:val="00A51185"/>
    <w:rsid w:val="00A51733"/>
    <w:rsid w:val="00A5348F"/>
    <w:rsid w:val="00A53C74"/>
    <w:rsid w:val="00A5495F"/>
    <w:rsid w:val="00A554FC"/>
    <w:rsid w:val="00A55D91"/>
    <w:rsid w:val="00A56640"/>
    <w:rsid w:val="00A57650"/>
    <w:rsid w:val="00A576A8"/>
    <w:rsid w:val="00A609C4"/>
    <w:rsid w:val="00A617A8"/>
    <w:rsid w:val="00A626CB"/>
    <w:rsid w:val="00A62B80"/>
    <w:rsid w:val="00A63A6F"/>
    <w:rsid w:val="00A64A2F"/>
    <w:rsid w:val="00A65116"/>
    <w:rsid w:val="00A6747D"/>
    <w:rsid w:val="00A70AEF"/>
    <w:rsid w:val="00A710A3"/>
    <w:rsid w:val="00A7154C"/>
    <w:rsid w:val="00A71723"/>
    <w:rsid w:val="00A71781"/>
    <w:rsid w:val="00A71D61"/>
    <w:rsid w:val="00A71DF4"/>
    <w:rsid w:val="00A71E48"/>
    <w:rsid w:val="00A72A1C"/>
    <w:rsid w:val="00A72F59"/>
    <w:rsid w:val="00A73B22"/>
    <w:rsid w:val="00A73BF7"/>
    <w:rsid w:val="00A73C81"/>
    <w:rsid w:val="00A7490B"/>
    <w:rsid w:val="00A76F0B"/>
    <w:rsid w:val="00A7701C"/>
    <w:rsid w:val="00A820E7"/>
    <w:rsid w:val="00A822FA"/>
    <w:rsid w:val="00A823C5"/>
    <w:rsid w:val="00A82592"/>
    <w:rsid w:val="00A9000A"/>
    <w:rsid w:val="00A9078E"/>
    <w:rsid w:val="00A9168B"/>
    <w:rsid w:val="00A928ED"/>
    <w:rsid w:val="00A94D95"/>
    <w:rsid w:val="00A97DA8"/>
    <w:rsid w:val="00AA0000"/>
    <w:rsid w:val="00AA063D"/>
    <w:rsid w:val="00AA08E5"/>
    <w:rsid w:val="00AA0F2D"/>
    <w:rsid w:val="00AA1952"/>
    <w:rsid w:val="00AA1FB9"/>
    <w:rsid w:val="00AA40F7"/>
    <w:rsid w:val="00AA531A"/>
    <w:rsid w:val="00AA5618"/>
    <w:rsid w:val="00AA6C25"/>
    <w:rsid w:val="00AA7050"/>
    <w:rsid w:val="00AA74EF"/>
    <w:rsid w:val="00AB0358"/>
    <w:rsid w:val="00AB2100"/>
    <w:rsid w:val="00AB505A"/>
    <w:rsid w:val="00AB5A10"/>
    <w:rsid w:val="00AB5C38"/>
    <w:rsid w:val="00AB5E53"/>
    <w:rsid w:val="00AB69CA"/>
    <w:rsid w:val="00AB7240"/>
    <w:rsid w:val="00AC0938"/>
    <w:rsid w:val="00AC1161"/>
    <w:rsid w:val="00AC1375"/>
    <w:rsid w:val="00AC1DA3"/>
    <w:rsid w:val="00AC2227"/>
    <w:rsid w:val="00AC25E8"/>
    <w:rsid w:val="00AC2A08"/>
    <w:rsid w:val="00AC33F0"/>
    <w:rsid w:val="00AC3802"/>
    <w:rsid w:val="00AC3938"/>
    <w:rsid w:val="00AC4E29"/>
    <w:rsid w:val="00AC700B"/>
    <w:rsid w:val="00AC7075"/>
    <w:rsid w:val="00AC71F1"/>
    <w:rsid w:val="00AC7C32"/>
    <w:rsid w:val="00AC7DB5"/>
    <w:rsid w:val="00AD15C4"/>
    <w:rsid w:val="00AD293B"/>
    <w:rsid w:val="00AD4B5B"/>
    <w:rsid w:val="00AD5696"/>
    <w:rsid w:val="00AD5C8B"/>
    <w:rsid w:val="00AD6A28"/>
    <w:rsid w:val="00AD6BB6"/>
    <w:rsid w:val="00AE0816"/>
    <w:rsid w:val="00AE0D78"/>
    <w:rsid w:val="00AE11CD"/>
    <w:rsid w:val="00AE1396"/>
    <w:rsid w:val="00AE13BF"/>
    <w:rsid w:val="00AE30F9"/>
    <w:rsid w:val="00AE3E67"/>
    <w:rsid w:val="00AE45BD"/>
    <w:rsid w:val="00AE4AD5"/>
    <w:rsid w:val="00AE52B5"/>
    <w:rsid w:val="00AE6C75"/>
    <w:rsid w:val="00AF0951"/>
    <w:rsid w:val="00AF0F9E"/>
    <w:rsid w:val="00AF152D"/>
    <w:rsid w:val="00AF26CF"/>
    <w:rsid w:val="00AF53A8"/>
    <w:rsid w:val="00AF56CE"/>
    <w:rsid w:val="00B00D09"/>
    <w:rsid w:val="00B02148"/>
    <w:rsid w:val="00B02626"/>
    <w:rsid w:val="00B02821"/>
    <w:rsid w:val="00B02B1B"/>
    <w:rsid w:val="00B03509"/>
    <w:rsid w:val="00B03C9A"/>
    <w:rsid w:val="00B04F0C"/>
    <w:rsid w:val="00B0590C"/>
    <w:rsid w:val="00B07846"/>
    <w:rsid w:val="00B100FD"/>
    <w:rsid w:val="00B10ABA"/>
    <w:rsid w:val="00B10E0B"/>
    <w:rsid w:val="00B10E25"/>
    <w:rsid w:val="00B11885"/>
    <w:rsid w:val="00B11A0A"/>
    <w:rsid w:val="00B13075"/>
    <w:rsid w:val="00B13B4E"/>
    <w:rsid w:val="00B149BF"/>
    <w:rsid w:val="00B14E06"/>
    <w:rsid w:val="00B15F68"/>
    <w:rsid w:val="00B16AC2"/>
    <w:rsid w:val="00B17BFB"/>
    <w:rsid w:val="00B204CE"/>
    <w:rsid w:val="00B2095A"/>
    <w:rsid w:val="00B2502B"/>
    <w:rsid w:val="00B25671"/>
    <w:rsid w:val="00B25FF6"/>
    <w:rsid w:val="00B27E04"/>
    <w:rsid w:val="00B310A3"/>
    <w:rsid w:val="00B3131B"/>
    <w:rsid w:val="00B3318A"/>
    <w:rsid w:val="00B346CC"/>
    <w:rsid w:val="00B34CCC"/>
    <w:rsid w:val="00B362A1"/>
    <w:rsid w:val="00B374D1"/>
    <w:rsid w:val="00B37517"/>
    <w:rsid w:val="00B376D7"/>
    <w:rsid w:val="00B4114D"/>
    <w:rsid w:val="00B419E6"/>
    <w:rsid w:val="00B47120"/>
    <w:rsid w:val="00B47FE7"/>
    <w:rsid w:val="00B50110"/>
    <w:rsid w:val="00B505BB"/>
    <w:rsid w:val="00B50AA1"/>
    <w:rsid w:val="00B55BD8"/>
    <w:rsid w:val="00B56108"/>
    <w:rsid w:val="00B56B56"/>
    <w:rsid w:val="00B578E1"/>
    <w:rsid w:val="00B6165D"/>
    <w:rsid w:val="00B619AC"/>
    <w:rsid w:val="00B622A3"/>
    <w:rsid w:val="00B62845"/>
    <w:rsid w:val="00B62A28"/>
    <w:rsid w:val="00B63285"/>
    <w:rsid w:val="00B637FD"/>
    <w:rsid w:val="00B63EC5"/>
    <w:rsid w:val="00B644F9"/>
    <w:rsid w:val="00B65D69"/>
    <w:rsid w:val="00B7107E"/>
    <w:rsid w:val="00B738A1"/>
    <w:rsid w:val="00B73ABD"/>
    <w:rsid w:val="00B73CE4"/>
    <w:rsid w:val="00B758E2"/>
    <w:rsid w:val="00B77CBF"/>
    <w:rsid w:val="00B8005B"/>
    <w:rsid w:val="00B80F8C"/>
    <w:rsid w:val="00B818E0"/>
    <w:rsid w:val="00B81C55"/>
    <w:rsid w:val="00B81EE9"/>
    <w:rsid w:val="00B82246"/>
    <w:rsid w:val="00B823C9"/>
    <w:rsid w:val="00B82C55"/>
    <w:rsid w:val="00B842F9"/>
    <w:rsid w:val="00B84947"/>
    <w:rsid w:val="00B85A5E"/>
    <w:rsid w:val="00B860EB"/>
    <w:rsid w:val="00B87515"/>
    <w:rsid w:val="00B8790F"/>
    <w:rsid w:val="00B947E3"/>
    <w:rsid w:val="00B94A06"/>
    <w:rsid w:val="00B94CD5"/>
    <w:rsid w:val="00B95677"/>
    <w:rsid w:val="00B960AA"/>
    <w:rsid w:val="00B96F4F"/>
    <w:rsid w:val="00B97FBA"/>
    <w:rsid w:val="00BA37ED"/>
    <w:rsid w:val="00BA408C"/>
    <w:rsid w:val="00BA5DD8"/>
    <w:rsid w:val="00BA6015"/>
    <w:rsid w:val="00BA64B3"/>
    <w:rsid w:val="00BB02C7"/>
    <w:rsid w:val="00BB07B5"/>
    <w:rsid w:val="00BB1532"/>
    <w:rsid w:val="00BB2A5E"/>
    <w:rsid w:val="00BB2A60"/>
    <w:rsid w:val="00BB7246"/>
    <w:rsid w:val="00BC014D"/>
    <w:rsid w:val="00BC0A32"/>
    <w:rsid w:val="00BC11F1"/>
    <w:rsid w:val="00BC2BF6"/>
    <w:rsid w:val="00BC3BAE"/>
    <w:rsid w:val="00BC3F91"/>
    <w:rsid w:val="00BC4729"/>
    <w:rsid w:val="00BC4D2D"/>
    <w:rsid w:val="00BC5CB8"/>
    <w:rsid w:val="00BC6BF3"/>
    <w:rsid w:val="00BC7E5B"/>
    <w:rsid w:val="00BD07BD"/>
    <w:rsid w:val="00BD1230"/>
    <w:rsid w:val="00BD375D"/>
    <w:rsid w:val="00BD3AB1"/>
    <w:rsid w:val="00BD3DFB"/>
    <w:rsid w:val="00BD4007"/>
    <w:rsid w:val="00BD5DCA"/>
    <w:rsid w:val="00BD607B"/>
    <w:rsid w:val="00BD6DCF"/>
    <w:rsid w:val="00BD6F6A"/>
    <w:rsid w:val="00BD749C"/>
    <w:rsid w:val="00BD7993"/>
    <w:rsid w:val="00BE0E8B"/>
    <w:rsid w:val="00BE2AAD"/>
    <w:rsid w:val="00BE3194"/>
    <w:rsid w:val="00BE4579"/>
    <w:rsid w:val="00BE47DE"/>
    <w:rsid w:val="00BE4C35"/>
    <w:rsid w:val="00BE5976"/>
    <w:rsid w:val="00BE5DD3"/>
    <w:rsid w:val="00BE684D"/>
    <w:rsid w:val="00BF267B"/>
    <w:rsid w:val="00BF26AE"/>
    <w:rsid w:val="00BF2F95"/>
    <w:rsid w:val="00BF358A"/>
    <w:rsid w:val="00BF4A1F"/>
    <w:rsid w:val="00BF55BA"/>
    <w:rsid w:val="00BF5CFD"/>
    <w:rsid w:val="00BF6102"/>
    <w:rsid w:val="00BF6170"/>
    <w:rsid w:val="00BF628C"/>
    <w:rsid w:val="00BF6347"/>
    <w:rsid w:val="00BF6402"/>
    <w:rsid w:val="00BF642B"/>
    <w:rsid w:val="00BF6533"/>
    <w:rsid w:val="00BF66D7"/>
    <w:rsid w:val="00BF74DF"/>
    <w:rsid w:val="00BF7D4E"/>
    <w:rsid w:val="00C00583"/>
    <w:rsid w:val="00C006B6"/>
    <w:rsid w:val="00C01551"/>
    <w:rsid w:val="00C03A5F"/>
    <w:rsid w:val="00C04B89"/>
    <w:rsid w:val="00C07877"/>
    <w:rsid w:val="00C10800"/>
    <w:rsid w:val="00C12258"/>
    <w:rsid w:val="00C1300E"/>
    <w:rsid w:val="00C13455"/>
    <w:rsid w:val="00C14222"/>
    <w:rsid w:val="00C14BA0"/>
    <w:rsid w:val="00C1646D"/>
    <w:rsid w:val="00C1749A"/>
    <w:rsid w:val="00C20F56"/>
    <w:rsid w:val="00C26B18"/>
    <w:rsid w:val="00C27328"/>
    <w:rsid w:val="00C30D13"/>
    <w:rsid w:val="00C3210C"/>
    <w:rsid w:val="00C3317C"/>
    <w:rsid w:val="00C3671E"/>
    <w:rsid w:val="00C40374"/>
    <w:rsid w:val="00C40572"/>
    <w:rsid w:val="00C40F64"/>
    <w:rsid w:val="00C42835"/>
    <w:rsid w:val="00C43384"/>
    <w:rsid w:val="00C4405D"/>
    <w:rsid w:val="00C4618B"/>
    <w:rsid w:val="00C4665F"/>
    <w:rsid w:val="00C46CD2"/>
    <w:rsid w:val="00C47799"/>
    <w:rsid w:val="00C5043D"/>
    <w:rsid w:val="00C506AF"/>
    <w:rsid w:val="00C50F98"/>
    <w:rsid w:val="00C5248A"/>
    <w:rsid w:val="00C530D7"/>
    <w:rsid w:val="00C53F9F"/>
    <w:rsid w:val="00C54963"/>
    <w:rsid w:val="00C54DF4"/>
    <w:rsid w:val="00C55611"/>
    <w:rsid w:val="00C56D0F"/>
    <w:rsid w:val="00C56E36"/>
    <w:rsid w:val="00C57582"/>
    <w:rsid w:val="00C608FA"/>
    <w:rsid w:val="00C6107F"/>
    <w:rsid w:val="00C62DEF"/>
    <w:rsid w:val="00C62E59"/>
    <w:rsid w:val="00C638CC"/>
    <w:rsid w:val="00C63E2C"/>
    <w:rsid w:val="00C64B39"/>
    <w:rsid w:val="00C658A1"/>
    <w:rsid w:val="00C65966"/>
    <w:rsid w:val="00C665DC"/>
    <w:rsid w:val="00C66C51"/>
    <w:rsid w:val="00C67FF6"/>
    <w:rsid w:val="00C700A6"/>
    <w:rsid w:val="00C73C00"/>
    <w:rsid w:val="00C74261"/>
    <w:rsid w:val="00C7512C"/>
    <w:rsid w:val="00C75553"/>
    <w:rsid w:val="00C7612E"/>
    <w:rsid w:val="00C80363"/>
    <w:rsid w:val="00C81319"/>
    <w:rsid w:val="00C833BC"/>
    <w:rsid w:val="00C83F00"/>
    <w:rsid w:val="00C84483"/>
    <w:rsid w:val="00C8489F"/>
    <w:rsid w:val="00C8519C"/>
    <w:rsid w:val="00C85E06"/>
    <w:rsid w:val="00C8685C"/>
    <w:rsid w:val="00C87B49"/>
    <w:rsid w:val="00C87D01"/>
    <w:rsid w:val="00C911F3"/>
    <w:rsid w:val="00C9124E"/>
    <w:rsid w:val="00C935E0"/>
    <w:rsid w:val="00C93C47"/>
    <w:rsid w:val="00C95833"/>
    <w:rsid w:val="00C95840"/>
    <w:rsid w:val="00CA02E4"/>
    <w:rsid w:val="00CA074B"/>
    <w:rsid w:val="00CA108C"/>
    <w:rsid w:val="00CA2D14"/>
    <w:rsid w:val="00CA4C62"/>
    <w:rsid w:val="00CA5662"/>
    <w:rsid w:val="00CA5981"/>
    <w:rsid w:val="00CA639C"/>
    <w:rsid w:val="00CA7450"/>
    <w:rsid w:val="00CA758F"/>
    <w:rsid w:val="00CA78B4"/>
    <w:rsid w:val="00CB11D5"/>
    <w:rsid w:val="00CB1443"/>
    <w:rsid w:val="00CB1FC8"/>
    <w:rsid w:val="00CB30CB"/>
    <w:rsid w:val="00CB34C8"/>
    <w:rsid w:val="00CB37CD"/>
    <w:rsid w:val="00CB42B3"/>
    <w:rsid w:val="00CB5EE4"/>
    <w:rsid w:val="00CB62E7"/>
    <w:rsid w:val="00CB7761"/>
    <w:rsid w:val="00CB79E3"/>
    <w:rsid w:val="00CB7C1C"/>
    <w:rsid w:val="00CB7F08"/>
    <w:rsid w:val="00CC1AA6"/>
    <w:rsid w:val="00CC1AC8"/>
    <w:rsid w:val="00CC1CA8"/>
    <w:rsid w:val="00CC22AB"/>
    <w:rsid w:val="00CC2C70"/>
    <w:rsid w:val="00CC3D48"/>
    <w:rsid w:val="00CC44BE"/>
    <w:rsid w:val="00CC4524"/>
    <w:rsid w:val="00CC4DCF"/>
    <w:rsid w:val="00CC4FDE"/>
    <w:rsid w:val="00CC6090"/>
    <w:rsid w:val="00CC6115"/>
    <w:rsid w:val="00CD0CD3"/>
    <w:rsid w:val="00CD1072"/>
    <w:rsid w:val="00CD1174"/>
    <w:rsid w:val="00CD14D8"/>
    <w:rsid w:val="00CD2D41"/>
    <w:rsid w:val="00CD3739"/>
    <w:rsid w:val="00CD4804"/>
    <w:rsid w:val="00CD4BAD"/>
    <w:rsid w:val="00CD52DB"/>
    <w:rsid w:val="00CD5CC7"/>
    <w:rsid w:val="00CD621C"/>
    <w:rsid w:val="00CD63CC"/>
    <w:rsid w:val="00CD7CC6"/>
    <w:rsid w:val="00CE0D15"/>
    <w:rsid w:val="00CE2325"/>
    <w:rsid w:val="00CE3362"/>
    <w:rsid w:val="00CE36E0"/>
    <w:rsid w:val="00CE4160"/>
    <w:rsid w:val="00CE44B5"/>
    <w:rsid w:val="00CE7782"/>
    <w:rsid w:val="00CF06FD"/>
    <w:rsid w:val="00CF0E18"/>
    <w:rsid w:val="00CF3E76"/>
    <w:rsid w:val="00CF3F46"/>
    <w:rsid w:val="00CF418B"/>
    <w:rsid w:val="00CF5C51"/>
    <w:rsid w:val="00CF6439"/>
    <w:rsid w:val="00CF6D4A"/>
    <w:rsid w:val="00D02202"/>
    <w:rsid w:val="00D02D46"/>
    <w:rsid w:val="00D0395B"/>
    <w:rsid w:val="00D07ED7"/>
    <w:rsid w:val="00D11EEE"/>
    <w:rsid w:val="00D12C9A"/>
    <w:rsid w:val="00D14674"/>
    <w:rsid w:val="00D146A3"/>
    <w:rsid w:val="00D14A29"/>
    <w:rsid w:val="00D14DB8"/>
    <w:rsid w:val="00D15330"/>
    <w:rsid w:val="00D15494"/>
    <w:rsid w:val="00D15563"/>
    <w:rsid w:val="00D15C63"/>
    <w:rsid w:val="00D15CE2"/>
    <w:rsid w:val="00D161B5"/>
    <w:rsid w:val="00D1705D"/>
    <w:rsid w:val="00D17AA6"/>
    <w:rsid w:val="00D20B64"/>
    <w:rsid w:val="00D20F1C"/>
    <w:rsid w:val="00D21396"/>
    <w:rsid w:val="00D22AE0"/>
    <w:rsid w:val="00D24B3F"/>
    <w:rsid w:val="00D25D6F"/>
    <w:rsid w:val="00D27A32"/>
    <w:rsid w:val="00D311A5"/>
    <w:rsid w:val="00D312C9"/>
    <w:rsid w:val="00D3410A"/>
    <w:rsid w:val="00D34A48"/>
    <w:rsid w:val="00D36F00"/>
    <w:rsid w:val="00D37C26"/>
    <w:rsid w:val="00D40170"/>
    <w:rsid w:val="00D40240"/>
    <w:rsid w:val="00D41C71"/>
    <w:rsid w:val="00D42EA5"/>
    <w:rsid w:val="00D42F3F"/>
    <w:rsid w:val="00D44676"/>
    <w:rsid w:val="00D4514A"/>
    <w:rsid w:val="00D45A10"/>
    <w:rsid w:val="00D46EC5"/>
    <w:rsid w:val="00D5020D"/>
    <w:rsid w:val="00D50CF8"/>
    <w:rsid w:val="00D51187"/>
    <w:rsid w:val="00D51406"/>
    <w:rsid w:val="00D51E20"/>
    <w:rsid w:val="00D526A8"/>
    <w:rsid w:val="00D52CF0"/>
    <w:rsid w:val="00D54262"/>
    <w:rsid w:val="00D544BC"/>
    <w:rsid w:val="00D54761"/>
    <w:rsid w:val="00D57BD1"/>
    <w:rsid w:val="00D57E43"/>
    <w:rsid w:val="00D616E1"/>
    <w:rsid w:val="00D63456"/>
    <w:rsid w:val="00D647F5"/>
    <w:rsid w:val="00D66370"/>
    <w:rsid w:val="00D6676B"/>
    <w:rsid w:val="00D67B87"/>
    <w:rsid w:val="00D70BFB"/>
    <w:rsid w:val="00D70DD9"/>
    <w:rsid w:val="00D72102"/>
    <w:rsid w:val="00D73C6D"/>
    <w:rsid w:val="00D73DD2"/>
    <w:rsid w:val="00D74058"/>
    <w:rsid w:val="00D74217"/>
    <w:rsid w:val="00D7440C"/>
    <w:rsid w:val="00D7461B"/>
    <w:rsid w:val="00D7668D"/>
    <w:rsid w:val="00D76A2C"/>
    <w:rsid w:val="00D77748"/>
    <w:rsid w:val="00D8106A"/>
    <w:rsid w:val="00D81602"/>
    <w:rsid w:val="00D825D9"/>
    <w:rsid w:val="00D83E0F"/>
    <w:rsid w:val="00D846D2"/>
    <w:rsid w:val="00D847E5"/>
    <w:rsid w:val="00D84D48"/>
    <w:rsid w:val="00D86C98"/>
    <w:rsid w:val="00D86DE1"/>
    <w:rsid w:val="00D908DF"/>
    <w:rsid w:val="00D90F20"/>
    <w:rsid w:val="00D919C0"/>
    <w:rsid w:val="00D91EEF"/>
    <w:rsid w:val="00D92E85"/>
    <w:rsid w:val="00D92FE9"/>
    <w:rsid w:val="00D93950"/>
    <w:rsid w:val="00D9650F"/>
    <w:rsid w:val="00DA1896"/>
    <w:rsid w:val="00DA18E2"/>
    <w:rsid w:val="00DA274B"/>
    <w:rsid w:val="00DA2805"/>
    <w:rsid w:val="00DA28D6"/>
    <w:rsid w:val="00DA4427"/>
    <w:rsid w:val="00DA58C5"/>
    <w:rsid w:val="00DA5912"/>
    <w:rsid w:val="00DA7FDA"/>
    <w:rsid w:val="00DB1A28"/>
    <w:rsid w:val="00DB1F5E"/>
    <w:rsid w:val="00DB20BE"/>
    <w:rsid w:val="00DB236A"/>
    <w:rsid w:val="00DB40A8"/>
    <w:rsid w:val="00DC0F7C"/>
    <w:rsid w:val="00DC0FE1"/>
    <w:rsid w:val="00DC279E"/>
    <w:rsid w:val="00DC3055"/>
    <w:rsid w:val="00DC4FEB"/>
    <w:rsid w:val="00DC596B"/>
    <w:rsid w:val="00DC61B1"/>
    <w:rsid w:val="00DC6218"/>
    <w:rsid w:val="00DC68D8"/>
    <w:rsid w:val="00DD0832"/>
    <w:rsid w:val="00DD1848"/>
    <w:rsid w:val="00DD2117"/>
    <w:rsid w:val="00DD2AC4"/>
    <w:rsid w:val="00DD4AC9"/>
    <w:rsid w:val="00DD4FDC"/>
    <w:rsid w:val="00DD56B7"/>
    <w:rsid w:val="00DD6F1F"/>
    <w:rsid w:val="00DE033C"/>
    <w:rsid w:val="00DE194E"/>
    <w:rsid w:val="00DE1F47"/>
    <w:rsid w:val="00DE33DD"/>
    <w:rsid w:val="00DE494F"/>
    <w:rsid w:val="00DE4CB7"/>
    <w:rsid w:val="00DE57A3"/>
    <w:rsid w:val="00DE5C36"/>
    <w:rsid w:val="00DE63AD"/>
    <w:rsid w:val="00DE66EA"/>
    <w:rsid w:val="00DF0101"/>
    <w:rsid w:val="00DF015E"/>
    <w:rsid w:val="00DF0C66"/>
    <w:rsid w:val="00DF0D63"/>
    <w:rsid w:val="00DF1A02"/>
    <w:rsid w:val="00DF25C6"/>
    <w:rsid w:val="00DF339F"/>
    <w:rsid w:val="00DF4B52"/>
    <w:rsid w:val="00DF5481"/>
    <w:rsid w:val="00DF5C8F"/>
    <w:rsid w:val="00DF5F42"/>
    <w:rsid w:val="00DF6826"/>
    <w:rsid w:val="00DF6ADB"/>
    <w:rsid w:val="00DF7BBB"/>
    <w:rsid w:val="00E001DD"/>
    <w:rsid w:val="00E00786"/>
    <w:rsid w:val="00E02153"/>
    <w:rsid w:val="00E021DE"/>
    <w:rsid w:val="00E033C3"/>
    <w:rsid w:val="00E054B2"/>
    <w:rsid w:val="00E06159"/>
    <w:rsid w:val="00E07A0B"/>
    <w:rsid w:val="00E10A1E"/>
    <w:rsid w:val="00E10A48"/>
    <w:rsid w:val="00E1298E"/>
    <w:rsid w:val="00E13653"/>
    <w:rsid w:val="00E14432"/>
    <w:rsid w:val="00E14854"/>
    <w:rsid w:val="00E161DB"/>
    <w:rsid w:val="00E166E7"/>
    <w:rsid w:val="00E16897"/>
    <w:rsid w:val="00E20D6B"/>
    <w:rsid w:val="00E219E1"/>
    <w:rsid w:val="00E245AC"/>
    <w:rsid w:val="00E248D2"/>
    <w:rsid w:val="00E27271"/>
    <w:rsid w:val="00E27873"/>
    <w:rsid w:val="00E30B1B"/>
    <w:rsid w:val="00E3145D"/>
    <w:rsid w:val="00E32002"/>
    <w:rsid w:val="00E326A7"/>
    <w:rsid w:val="00E327E0"/>
    <w:rsid w:val="00E32C06"/>
    <w:rsid w:val="00E336C9"/>
    <w:rsid w:val="00E340C7"/>
    <w:rsid w:val="00E351FA"/>
    <w:rsid w:val="00E35995"/>
    <w:rsid w:val="00E373C6"/>
    <w:rsid w:val="00E378C3"/>
    <w:rsid w:val="00E41D5C"/>
    <w:rsid w:val="00E4261B"/>
    <w:rsid w:val="00E429FF"/>
    <w:rsid w:val="00E43E04"/>
    <w:rsid w:val="00E47747"/>
    <w:rsid w:val="00E50AC1"/>
    <w:rsid w:val="00E5257C"/>
    <w:rsid w:val="00E53204"/>
    <w:rsid w:val="00E5337E"/>
    <w:rsid w:val="00E53A4C"/>
    <w:rsid w:val="00E54709"/>
    <w:rsid w:val="00E6134D"/>
    <w:rsid w:val="00E62E0D"/>
    <w:rsid w:val="00E6336E"/>
    <w:rsid w:val="00E6373C"/>
    <w:rsid w:val="00E64275"/>
    <w:rsid w:val="00E646A7"/>
    <w:rsid w:val="00E64BBC"/>
    <w:rsid w:val="00E65985"/>
    <w:rsid w:val="00E66B86"/>
    <w:rsid w:val="00E7021C"/>
    <w:rsid w:val="00E704A7"/>
    <w:rsid w:val="00E7051C"/>
    <w:rsid w:val="00E706BE"/>
    <w:rsid w:val="00E7084C"/>
    <w:rsid w:val="00E710FD"/>
    <w:rsid w:val="00E72A04"/>
    <w:rsid w:val="00E73278"/>
    <w:rsid w:val="00E73292"/>
    <w:rsid w:val="00E73A0A"/>
    <w:rsid w:val="00E80BA7"/>
    <w:rsid w:val="00E8124A"/>
    <w:rsid w:val="00E81A47"/>
    <w:rsid w:val="00E82FCC"/>
    <w:rsid w:val="00E84E27"/>
    <w:rsid w:val="00E856DE"/>
    <w:rsid w:val="00E86050"/>
    <w:rsid w:val="00E909CD"/>
    <w:rsid w:val="00E90E5A"/>
    <w:rsid w:val="00E91922"/>
    <w:rsid w:val="00E925CE"/>
    <w:rsid w:val="00E93FA9"/>
    <w:rsid w:val="00E94D9A"/>
    <w:rsid w:val="00E95DB9"/>
    <w:rsid w:val="00E961CB"/>
    <w:rsid w:val="00E9700C"/>
    <w:rsid w:val="00E97D18"/>
    <w:rsid w:val="00EA2A7C"/>
    <w:rsid w:val="00EA30BA"/>
    <w:rsid w:val="00EA36D1"/>
    <w:rsid w:val="00EA3BD4"/>
    <w:rsid w:val="00EA4FC0"/>
    <w:rsid w:val="00EA607F"/>
    <w:rsid w:val="00EA6667"/>
    <w:rsid w:val="00EA7392"/>
    <w:rsid w:val="00EB2D59"/>
    <w:rsid w:val="00EB31EB"/>
    <w:rsid w:val="00EB348E"/>
    <w:rsid w:val="00EB38B8"/>
    <w:rsid w:val="00EB54E1"/>
    <w:rsid w:val="00EB5857"/>
    <w:rsid w:val="00EB6C21"/>
    <w:rsid w:val="00EB6D8B"/>
    <w:rsid w:val="00EB7846"/>
    <w:rsid w:val="00EC23E1"/>
    <w:rsid w:val="00EC2A96"/>
    <w:rsid w:val="00EC49B1"/>
    <w:rsid w:val="00EC5E66"/>
    <w:rsid w:val="00EC6557"/>
    <w:rsid w:val="00EC6578"/>
    <w:rsid w:val="00EC6A7E"/>
    <w:rsid w:val="00EC7C50"/>
    <w:rsid w:val="00ED182F"/>
    <w:rsid w:val="00ED1857"/>
    <w:rsid w:val="00ED1BFC"/>
    <w:rsid w:val="00ED3D15"/>
    <w:rsid w:val="00ED633E"/>
    <w:rsid w:val="00ED648B"/>
    <w:rsid w:val="00ED688C"/>
    <w:rsid w:val="00ED7601"/>
    <w:rsid w:val="00EE0C83"/>
    <w:rsid w:val="00EE197F"/>
    <w:rsid w:val="00EE21FC"/>
    <w:rsid w:val="00EE3989"/>
    <w:rsid w:val="00EE3E58"/>
    <w:rsid w:val="00EE555B"/>
    <w:rsid w:val="00EE57BB"/>
    <w:rsid w:val="00EE60F5"/>
    <w:rsid w:val="00EE7FCB"/>
    <w:rsid w:val="00EF1669"/>
    <w:rsid w:val="00EF1B76"/>
    <w:rsid w:val="00EF3D98"/>
    <w:rsid w:val="00EF4B0B"/>
    <w:rsid w:val="00EF4E2A"/>
    <w:rsid w:val="00EF5799"/>
    <w:rsid w:val="00EF7044"/>
    <w:rsid w:val="00EF7866"/>
    <w:rsid w:val="00F005A0"/>
    <w:rsid w:val="00F00950"/>
    <w:rsid w:val="00F035EC"/>
    <w:rsid w:val="00F0628B"/>
    <w:rsid w:val="00F0754D"/>
    <w:rsid w:val="00F07597"/>
    <w:rsid w:val="00F107FE"/>
    <w:rsid w:val="00F10DDA"/>
    <w:rsid w:val="00F12137"/>
    <w:rsid w:val="00F12BB0"/>
    <w:rsid w:val="00F1425D"/>
    <w:rsid w:val="00F163A5"/>
    <w:rsid w:val="00F16749"/>
    <w:rsid w:val="00F16A93"/>
    <w:rsid w:val="00F16CCF"/>
    <w:rsid w:val="00F17474"/>
    <w:rsid w:val="00F17B90"/>
    <w:rsid w:val="00F2077E"/>
    <w:rsid w:val="00F22586"/>
    <w:rsid w:val="00F22BFF"/>
    <w:rsid w:val="00F22E50"/>
    <w:rsid w:val="00F255D4"/>
    <w:rsid w:val="00F27B05"/>
    <w:rsid w:val="00F27EDB"/>
    <w:rsid w:val="00F30201"/>
    <w:rsid w:val="00F303A9"/>
    <w:rsid w:val="00F30E54"/>
    <w:rsid w:val="00F31424"/>
    <w:rsid w:val="00F3174D"/>
    <w:rsid w:val="00F318AE"/>
    <w:rsid w:val="00F32F6D"/>
    <w:rsid w:val="00F3497E"/>
    <w:rsid w:val="00F34C7E"/>
    <w:rsid w:val="00F3570E"/>
    <w:rsid w:val="00F37CD8"/>
    <w:rsid w:val="00F40B7F"/>
    <w:rsid w:val="00F412AF"/>
    <w:rsid w:val="00F42B4D"/>
    <w:rsid w:val="00F42B50"/>
    <w:rsid w:val="00F42F6C"/>
    <w:rsid w:val="00F433F4"/>
    <w:rsid w:val="00F4526D"/>
    <w:rsid w:val="00F468A4"/>
    <w:rsid w:val="00F47714"/>
    <w:rsid w:val="00F47C39"/>
    <w:rsid w:val="00F502DA"/>
    <w:rsid w:val="00F51274"/>
    <w:rsid w:val="00F521C7"/>
    <w:rsid w:val="00F52504"/>
    <w:rsid w:val="00F52578"/>
    <w:rsid w:val="00F53551"/>
    <w:rsid w:val="00F5441D"/>
    <w:rsid w:val="00F54E26"/>
    <w:rsid w:val="00F562A4"/>
    <w:rsid w:val="00F57E7E"/>
    <w:rsid w:val="00F608CD"/>
    <w:rsid w:val="00F60C18"/>
    <w:rsid w:val="00F6123E"/>
    <w:rsid w:val="00F61BC1"/>
    <w:rsid w:val="00F61CA3"/>
    <w:rsid w:val="00F62555"/>
    <w:rsid w:val="00F62DB7"/>
    <w:rsid w:val="00F63189"/>
    <w:rsid w:val="00F6433A"/>
    <w:rsid w:val="00F64E2A"/>
    <w:rsid w:val="00F6505C"/>
    <w:rsid w:val="00F650B7"/>
    <w:rsid w:val="00F658A4"/>
    <w:rsid w:val="00F66668"/>
    <w:rsid w:val="00F66A1D"/>
    <w:rsid w:val="00F678EF"/>
    <w:rsid w:val="00F67998"/>
    <w:rsid w:val="00F67F64"/>
    <w:rsid w:val="00F67FAB"/>
    <w:rsid w:val="00F70075"/>
    <w:rsid w:val="00F71026"/>
    <w:rsid w:val="00F71CCD"/>
    <w:rsid w:val="00F7248B"/>
    <w:rsid w:val="00F726E4"/>
    <w:rsid w:val="00F74FF4"/>
    <w:rsid w:val="00F753EC"/>
    <w:rsid w:val="00F760D1"/>
    <w:rsid w:val="00F80FB9"/>
    <w:rsid w:val="00F81222"/>
    <w:rsid w:val="00F81AC2"/>
    <w:rsid w:val="00F81BE9"/>
    <w:rsid w:val="00F821C7"/>
    <w:rsid w:val="00F83878"/>
    <w:rsid w:val="00F8698B"/>
    <w:rsid w:val="00F87323"/>
    <w:rsid w:val="00F87B2E"/>
    <w:rsid w:val="00F87D93"/>
    <w:rsid w:val="00F87F3E"/>
    <w:rsid w:val="00F920C3"/>
    <w:rsid w:val="00F940A4"/>
    <w:rsid w:val="00F95D6B"/>
    <w:rsid w:val="00F95E5D"/>
    <w:rsid w:val="00F96732"/>
    <w:rsid w:val="00FA08F4"/>
    <w:rsid w:val="00FA0A03"/>
    <w:rsid w:val="00FA11A5"/>
    <w:rsid w:val="00FA1FAB"/>
    <w:rsid w:val="00FA2056"/>
    <w:rsid w:val="00FA3394"/>
    <w:rsid w:val="00FA487B"/>
    <w:rsid w:val="00FA4D64"/>
    <w:rsid w:val="00FA5C10"/>
    <w:rsid w:val="00FA72B6"/>
    <w:rsid w:val="00FA7E9A"/>
    <w:rsid w:val="00FA7FD7"/>
    <w:rsid w:val="00FB02CD"/>
    <w:rsid w:val="00FB0BC4"/>
    <w:rsid w:val="00FB1F03"/>
    <w:rsid w:val="00FB2669"/>
    <w:rsid w:val="00FB3030"/>
    <w:rsid w:val="00FB31E8"/>
    <w:rsid w:val="00FB37FB"/>
    <w:rsid w:val="00FB3FEB"/>
    <w:rsid w:val="00FB4BF1"/>
    <w:rsid w:val="00FB588F"/>
    <w:rsid w:val="00FB5EE4"/>
    <w:rsid w:val="00FB7A8D"/>
    <w:rsid w:val="00FC05AE"/>
    <w:rsid w:val="00FC0E80"/>
    <w:rsid w:val="00FC26BF"/>
    <w:rsid w:val="00FC35E7"/>
    <w:rsid w:val="00FC3E1D"/>
    <w:rsid w:val="00FC4481"/>
    <w:rsid w:val="00FC4F4E"/>
    <w:rsid w:val="00FC7037"/>
    <w:rsid w:val="00FC789E"/>
    <w:rsid w:val="00FC79B1"/>
    <w:rsid w:val="00FC7A9F"/>
    <w:rsid w:val="00FD018F"/>
    <w:rsid w:val="00FD067C"/>
    <w:rsid w:val="00FD0904"/>
    <w:rsid w:val="00FD1754"/>
    <w:rsid w:val="00FD2D42"/>
    <w:rsid w:val="00FD4ACF"/>
    <w:rsid w:val="00FD4F25"/>
    <w:rsid w:val="00FD5DC7"/>
    <w:rsid w:val="00FD62B7"/>
    <w:rsid w:val="00FD667F"/>
    <w:rsid w:val="00FD674F"/>
    <w:rsid w:val="00FD7641"/>
    <w:rsid w:val="00FE0688"/>
    <w:rsid w:val="00FE27C1"/>
    <w:rsid w:val="00FE4EF2"/>
    <w:rsid w:val="00FE5892"/>
    <w:rsid w:val="00FE5EAF"/>
    <w:rsid w:val="00FE6478"/>
    <w:rsid w:val="00FE6818"/>
    <w:rsid w:val="00FE6C29"/>
    <w:rsid w:val="00FE79FF"/>
    <w:rsid w:val="00FF092B"/>
    <w:rsid w:val="00FF0AD2"/>
    <w:rsid w:val="00FF0C6E"/>
    <w:rsid w:val="00FF1C60"/>
    <w:rsid w:val="00FF272F"/>
    <w:rsid w:val="00FF2A1C"/>
    <w:rsid w:val="00FF2DCD"/>
    <w:rsid w:val="00FF3D37"/>
    <w:rsid w:val="00FF47A5"/>
    <w:rsid w:val="00FF79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E5BF"/>
  <w15:docId w15:val="{DD7092DA-51DB-4ED8-9330-185668AF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DD2117"/>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336E"/>
    <w:pPr>
      <w:keepNext/>
      <w:keepLines/>
      <w:spacing w:before="40" w:after="0" w:line="240" w:lineRule="auto"/>
      <w:ind w:left="360" w:hanging="360"/>
      <w:outlineLvl w:val="1"/>
    </w:pPr>
    <w:rPr>
      <w:rFonts w:asciiTheme="minorHAnsi" w:eastAsiaTheme="majorEastAsia" w:hAnsiTheme="minorHAnsi" w:cstheme="majorBidi"/>
      <w:b/>
      <w:color w:val="2E74B5" w:themeColor="accent1" w:themeShade="BF"/>
      <w:sz w:val="22"/>
      <w:szCs w:val="26"/>
    </w:rPr>
  </w:style>
  <w:style w:type="paragraph" w:styleId="Heading3">
    <w:name w:val="heading 3"/>
    <w:basedOn w:val="Normal"/>
    <w:next w:val="Normal"/>
    <w:link w:val="Heading3Char"/>
    <w:uiPriority w:val="9"/>
    <w:unhideWhenUsed/>
    <w:qFormat/>
    <w:rsid w:val="0002706F"/>
    <w:pPr>
      <w:keepNext/>
      <w:keepLines/>
      <w:spacing w:before="40"/>
      <w:ind w:left="720"/>
      <w:outlineLvl w:val="2"/>
    </w:pPr>
    <w:rPr>
      <w:rFonts w:asciiTheme="minorHAnsi" w:eastAsiaTheme="majorEastAsia" w:hAnsiTheme="minorHAnsi" w:cstheme="majorBidi"/>
      <w:b/>
      <w:color w:val="172D5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123 List Paragraph,Body,Bullets,IBL List Paragraph,List Paragraph (numbered (a)),List Paragraph nowy,List Paragraph1,List_Paragraph,Liste 1,Main numbered paragraph,Multilevel para_II,Numbered List Paragraph,Numbered Paragraph,References"/>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E6336E"/>
    <w:rPr>
      <w:rFonts w:eastAsiaTheme="majorEastAsia" w:cstheme="majorBidi"/>
      <w:b/>
      <w:color w:val="2E74B5" w:themeColor="accent1" w:themeShade="BF"/>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0108"/>
    <w:pPr>
      <w:outlineLvl w:val="9"/>
    </w:p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263303"/>
    <w:pPr>
      <w:tabs>
        <w:tab w:val="left" w:pos="450"/>
        <w:tab w:val="right" w:leader="dot" w:pos="9350"/>
      </w:tabs>
      <w:spacing w:after="100"/>
      <w:ind w:left="540" w:hanging="90"/>
    </w:pPr>
    <w:rPr>
      <w:rFonts w:ascii="Calibri" w:hAnsi="Calibri"/>
      <w:b/>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D5020D"/>
    <w:pPr>
      <w:tabs>
        <w:tab w:val="right" w:leader="dot" w:pos="9360"/>
      </w:tabs>
      <w:spacing w:after="100"/>
      <w:ind w:left="720"/>
    </w:pPr>
    <w:rPr>
      <w:rFonts w:asciiTheme="minorHAnsi" w:hAnsiTheme="minorHAns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rsid w:val="004239C3"/>
    <w:rPr>
      <w:sz w:val="24"/>
    </w:rPr>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674F"/>
    <w:rPr>
      <w:rFonts w:asciiTheme="minorHAnsi" w:hAnsiTheme="minorHAnsi"/>
      <w:sz w:val="18"/>
      <w:szCs w:val="20"/>
    </w:rPr>
  </w:style>
  <w:style w:type="character" w:customStyle="1" w:styleId="FootnoteTextChar">
    <w:name w:val="Footnote Text Char"/>
    <w:basedOn w:val="DefaultParagraphFont"/>
    <w:link w:val="FootnoteText"/>
    <w:uiPriority w:val="99"/>
    <w:semiHidden/>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2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802F87"/>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2706F"/>
    <w:rPr>
      <w:rFonts w:eastAsiaTheme="majorEastAsia" w:cstheme="majorBidi"/>
      <w:b/>
      <w:color w:val="172D5F"/>
      <w:szCs w:val="24"/>
    </w:rPr>
  </w:style>
  <w:style w:type="character" w:styleId="FootnoteReference">
    <w:name w:val="footnote reference"/>
    <w:basedOn w:val="DefaultParagraphFont"/>
    <w:uiPriority w:val="99"/>
    <w:unhideWhenUsed/>
    <w:rsid w:val="00E021DE"/>
    <w:rPr>
      <w:vertAlign w:val="superscript"/>
    </w:rPr>
  </w:style>
  <w:style w:type="paragraph" w:customStyle="1" w:styleId="Default">
    <w:name w:val="Default"/>
    <w:rsid w:val="00352B09"/>
    <w:pPr>
      <w:autoSpaceDE w:val="0"/>
      <w:autoSpaceDN w:val="0"/>
      <w:adjustRightInd w:val="0"/>
      <w:spacing w:after="0" w:line="240" w:lineRule="auto"/>
    </w:pPr>
    <w:rPr>
      <w:rFonts w:ascii="Calibri" w:hAnsi="Calibri" w:cs="Calibri"/>
      <w:color w:val="000000"/>
      <w:sz w:val="24"/>
      <w:szCs w:val="24"/>
    </w:rPr>
  </w:style>
  <w:style w:type="table" w:customStyle="1" w:styleId="TableGrid0">
    <w:name w:val="TableGrid"/>
    <w:rsid w:val="00352B09"/>
    <w:pPr>
      <w:spacing w:after="0" w:line="240" w:lineRule="auto"/>
    </w:pPr>
    <w:rPr>
      <w:rFonts w:eastAsiaTheme="minorEastAsia"/>
    </w:rPr>
    <w:tblPr>
      <w:tblCellMar>
        <w:top w:w="0" w:type="dxa"/>
        <w:left w:w="0" w:type="dxa"/>
        <w:bottom w:w="0" w:type="dxa"/>
        <w:right w:w="0" w:type="dxa"/>
      </w:tblCellMar>
    </w:tblPr>
  </w:style>
  <w:style w:type="character" w:customStyle="1" w:styleId="ListParagraphChar">
    <w:name w:val="List Paragraph Char"/>
    <w:aliases w:val="123 List Paragraph Char,Body Char,Bullets Char,IBL List Paragraph Char,List Paragraph (numbered (a)) Char,List Paragraph nowy Char,List Paragraph1 Char,List_Paragraph Char,Liste 1 Char,Main numbered paragraph Char,References Char"/>
    <w:basedOn w:val="DefaultParagraphFont"/>
    <w:link w:val="ListParagraph"/>
    <w:uiPriority w:val="34"/>
    <w:qFormat/>
    <w:locked/>
    <w:rsid w:val="008C478A"/>
    <w:rPr>
      <w:rFonts w:ascii="Arial" w:eastAsiaTheme="minorEastAsia"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B84947"/>
    <w:rPr>
      <w:b/>
      <w:bCs/>
    </w:rPr>
  </w:style>
  <w:style w:type="character" w:customStyle="1" w:styleId="CommentSubjectChar">
    <w:name w:val="Comment Subject Char"/>
    <w:basedOn w:val="CommentTextChar"/>
    <w:link w:val="CommentSubject"/>
    <w:uiPriority w:val="99"/>
    <w:semiHidden/>
    <w:rsid w:val="00B84947"/>
    <w:rPr>
      <w:rFonts w:ascii="Arial" w:eastAsiaTheme="minorEastAsia" w:hAnsi="Arial" w:cs="Arial"/>
      <w:b/>
      <w:bCs/>
      <w:color w:val="000000"/>
      <w:sz w:val="20"/>
      <w:szCs w:val="20"/>
    </w:rPr>
  </w:style>
  <w:style w:type="paragraph" w:styleId="Caption">
    <w:name w:val="caption"/>
    <w:basedOn w:val="Normal"/>
    <w:next w:val="Normal"/>
    <w:uiPriority w:val="35"/>
    <w:unhideWhenUsed/>
    <w:qFormat/>
    <w:rsid w:val="000F085A"/>
    <w:pPr>
      <w:keepNext/>
      <w:spacing w:before="120" w:after="120" w:line="240" w:lineRule="auto"/>
      <w:jc w:val="center"/>
    </w:pPr>
    <w:rPr>
      <w:rFonts w:ascii="Calibri" w:hAnsi="Calibri"/>
      <w:b/>
      <w:iCs/>
      <w:color w:val="auto"/>
      <w:sz w:val="20"/>
      <w:szCs w:val="18"/>
    </w:rPr>
  </w:style>
  <w:style w:type="character" w:customStyle="1" w:styleId="UnresolvedMention1">
    <w:name w:val="Unresolved Mention1"/>
    <w:basedOn w:val="DefaultParagraphFont"/>
    <w:uiPriority w:val="99"/>
    <w:semiHidden/>
    <w:unhideWhenUsed/>
    <w:rsid w:val="00DF339F"/>
    <w:rPr>
      <w:color w:val="808080"/>
      <w:shd w:val="clear" w:color="auto" w:fill="E6E6E6"/>
    </w:rPr>
  </w:style>
  <w:style w:type="paragraph" w:styleId="Revision">
    <w:name w:val="Revision"/>
    <w:hidden/>
    <w:uiPriority w:val="99"/>
    <w:semiHidden/>
    <w:rsid w:val="0014533D"/>
    <w:pPr>
      <w:spacing w:after="0" w:line="240" w:lineRule="auto"/>
    </w:pPr>
    <w:rPr>
      <w:rFonts w:ascii="Arial" w:eastAsiaTheme="minorEastAsia" w:hAnsi="Arial" w:cs="Arial"/>
      <w:color w:val="000000"/>
      <w:sz w:val="24"/>
      <w:szCs w:val="24"/>
    </w:rPr>
  </w:style>
  <w:style w:type="paragraph" w:customStyle="1" w:styleId="Normal64">
    <w:name w:val="Normal_64"/>
    <w:uiPriority w:val="99"/>
    <w:qFormat/>
    <w:rsid w:val="00DD211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Spacing0">
    <w:name w:val="No Spacing_0"/>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00">
    <w:name w:val="Table Grid_0"/>
    <w:basedOn w:val="TableNormal"/>
    <w:uiPriority w:val="39"/>
    <w:rsid w:val="00AB11CA"/>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_0"/>
    <w:basedOn w:val="TableNormal"/>
    <w:next w:val="TableGrid00"/>
    <w:uiPriority w:val="39"/>
    <w:rsid w:val="00D825D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_0"/>
    <w:basedOn w:val="TableNormal"/>
    <w:uiPriority w:val="59"/>
    <w:rsid w:val="000C19EF"/>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_0"/>
    <w:basedOn w:val="TableNormal"/>
    <w:uiPriority w:val="59"/>
    <w:rsid w:val="00F62555"/>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0"/>
    <w:uiPriority w:val="39"/>
    <w:rsid w:val="00113F16"/>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0"/>
    <w:uiPriority w:val="39"/>
    <w:rsid w:val="00B03C9A"/>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style>
  <w:style w:type="paragraph" w:customStyle="1" w:styleId="ListParagraph0">
    <w:name w:val="List Paragraph_0"/>
    <w:basedOn w:val="Normal64"/>
    <w:uiPriority w:val="34"/>
    <w:qFormat/>
    <w:rsid w:val="005D2961"/>
    <w:pPr>
      <w:ind w:left="720"/>
      <w:contextualSpacing/>
    </w:pPr>
  </w:style>
  <w:style w:type="table" w:customStyle="1" w:styleId="TableGrid100">
    <w:name w:val="Table Grid10_0"/>
    <w:basedOn w:val="TableNormal"/>
    <w:next w:val="TableGrid00"/>
    <w:uiPriority w:val="39"/>
    <w:rsid w:val="00802F87"/>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0"/>
    <w:uiPriority w:val="39"/>
    <w:rsid w:val="00643C70"/>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_0"/>
    <w:basedOn w:val="TableNormal"/>
    <w:next w:val="TableGrid00"/>
    <w:uiPriority w:val="39"/>
    <w:rsid w:val="00643C70"/>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5">
    <w:name w:val="Normal_65"/>
    <w:uiPriority w:val="99"/>
    <w:qFormat/>
    <w:rsid w:val="00DD2117"/>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Spacing1">
    <w:name w:val="No Spacing_1"/>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2">
    <w:name w:val="Table Grid_1"/>
    <w:basedOn w:val="TableNormal"/>
    <w:uiPriority w:val="39"/>
    <w:rsid w:val="00AB11CA"/>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_1"/>
    <w:basedOn w:val="TableNormal"/>
    <w:next w:val="TableGrid12"/>
    <w:uiPriority w:val="39"/>
    <w:rsid w:val="00D825D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_1"/>
    <w:basedOn w:val="TableNormal"/>
    <w:uiPriority w:val="59"/>
    <w:rsid w:val="000C19EF"/>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91_1"/>
    <w:basedOn w:val="TableNormal"/>
    <w:uiPriority w:val="59"/>
    <w:rsid w:val="00F62555"/>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_1"/>
    <w:basedOn w:val="TableNormal"/>
    <w:next w:val="TableGrid12"/>
    <w:uiPriority w:val="39"/>
    <w:rsid w:val="00113F16"/>
    <w:pPr>
      <w:spacing w:after="0" w:line="240" w:lineRule="auto"/>
    </w:pPr>
    <w:rPr>
      <w:rFonts w:ascii="Arial" w:eastAsiaTheme="minorEastAsia"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2"/>
    <w:uiPriority w:val="39"/>
    <w:rsid w:val="00B03C9A"/>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style>
  <w:style w:type="paragraph" w:customStyle="1" w:styleId="ListParagraph1">
    <w:name w:val="List Paragraph_1"/>
    <w:basedOn w:val="Normal65"/>
    <w:uiPriority w:val="34"/>
    <w:qFormat/>
    <w:rsid w:val="005D2961"/>
    <w:pPr>
      <w:ind w:left="720"/>
      <w:contextualSpacing/>
    </w:pPr>
  </w:style>
  <w:style w:type="table" w:customStyle="1" w:styleId="TableGrid101">
    <w:name w:val="Table Grid10_1"/>
    <w:basedOn w:val="TableNormal"/>
    <w:next w:val="TableGrid12"/>
    <w:uiPriority w:val="39"/>
    <w:rsid w:val="00802F87"/>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2"/>
    <w:uiPriority w:val="39"/>
    <w:rsid w:val="00643C70"/>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_1"/>
    <w:basedOn w:val="TableNormal"/>
    <w:next w:val="TableGrid12"/>
    <w:uiPriority w:val="39"/>
    <w:rsid w:val="00643C70"/>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title">
    <w:name w:val="contenttitle"/>
    <w:basedOn w:val="DefaultParagraphFont"/>
    <w:rsid w:val="002D14A6"/>
  </w:style>
  <w:style w:type="paragraph" w:styleId="NormalWeb">
    <w:name w:val="Normal (Web)"/>
    <w:basedOn w:val="Normal"/>
    <w:uiPriority w:val="99"/>
    <w:semiHidden/>
    <w:unhideWhenUsed/>
    <w:rsid w:val="006866C5"/>
    <w:rPr>
      <w:rFonts w:ascii="Times New Roman" w:hAnsi="Times New Roman" w:cs="Times New Roman"/>
    </w:rPr>
  </w:style>
  <w:style w:type="table" w:customStyle="1" w:styleId="TableGrid51">
    <w:name w:val="Table Grid51"/>
    <w:basedOn w:val="TableNormal"/>
    <w:next w:val="TableGrid"/>
    <w:uiPriority w:val="39"/>
    <w:rsid w:val="00A7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6">
    <w:name w:val="Normal_66"/>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2">
    <w:name w:val="No Spacing_2"/>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1">
    <w:name w:val="Table Grid_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_2"/>
    <w:basedOn w:val="TableNormal"/>
    <w:next w:val="TableGrid21"/>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_2"/>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_2"/>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1"/>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_2"/>
    <w:basedOn w:val="TableNormal"/>
    <w:next w:val="TableGrid21"/>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rPr>
      <w:rFonts w:ascii="Calibri" w:eastAsia="Calibri" w:hAnsi="Calibri" w:cs="Times New Roman"/>
    </w:rPr>
  </w:style>
  <w:style w:type="paragraph" w:customStyle="1" w:styleId="ListParagraph2">
    <w:name w:val="List Paragraph_2"/>
    <w:basedOn w:val="Normal66"/>
    <w:uiPriority w:val="34"/>
    <w:qFormat/>
    <w:rsid w:val="005D2961"/>
    <w:pPr>
      <w:ind w:left="720"/>
      <w:contextualSpacing/>
    </w:pPr>
  </w:style>
  <w:style w:type="table" w:customStyle="1" w:styleId="TableGrid102">
    <w:name w:val="Table Grid10_2"/>
    <w:basedOn w:val="TableNormal"/>
    <w:next w:val="TableGrid21"/>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1"/>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_2"/>
    <w:basedOn w:val="TableNormal"/>
    <w:next w:val="TableGrid21"/>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3">
    <w:name w:val="No Spacing_3"/>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3">
    <w:name w:val="Table Grid_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_3"/>
    <w:basedOn w:val="TableNormal"/>
    <w:next w:val="TableGrid33"/>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_3"/>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_3"/>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3"/>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3"/>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rPr>
      <w:rFonts w:ascii="Calibri" w:eastAsia="Calibri" w:hAnsi="Calibri" w:cs="Times New Roman"/>
    </w:rPr>
  </w:style>
  <w:style w:type="paragraph" w:customStyle="1" w:styleId="ListParagraph3">
    <w:name w:val="List Paragraph_3"/>
    <w:basedOn w:val="Normal67"/>
    <w:uiPriority w:val="34"/>
    <w:qFormat/>
    <w:rsid w:val="005D2961"/>
    <w:pPr>
      <w:ind w:left="720"/>
      <w:contextualSpacing/>
    </w:pPr>
  </w:style>
  <w:style w:type="table" w:customStyle="1" w:styleId="TableGrid103">
    <w:name w:val="Table Grid10_3"/>
    <w:basedOn w:val="TableNormal"/>
    <w:next w:val="TableGrid33"/>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3"/>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_3"/>
    <w:basedOn w:val="TableNormal"/>
    <w:next w:val="TableGrid33"/>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8">
    <w:name w:val="Normal_68"/>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4">
    <w:name w:val="No Spacing_4"/>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4">
    <w:name w:val="Table Grid_6"/>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_4"/>
    <w:basedOn w:val="TableNormal"/>
    <w:next w:val="TableGrid64"/>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_4"/>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_4"/>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64"/>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4"/>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
    <w:name w:val="Normal_3_4"/>
    <w:qFormat/>
    <w:rPr>
      <w:rFonts w:ascii="Calibri" w:eastAsia="Calibri" w:hAnsi="Calibri" w:cs="Times New Roman"/>
    </w:rPr>
  </w:style>
  <w:style w:type="paragraph" w:customStyle="1" w:styleId="ListParagraph4">
    <w:name w:val="List Paragraph_4"/>
    <w:basedOn w:val="Normal68"/>
    <w:uiPriority w:val="34"/>
    <w:qFormat/>
    <w:rsid w:val="005D2961"/>
    <w:pPr>
      <w:ind w:left="720"/>
      <w:contextualSpacing/>
    </w:pPr>
  </w:style>
  <w:style w:type="table" w:customStyle="1" w:styleId="TableGrid104">
    <w:name w:val="Table Grid10_4"/>
    <w:basedOn w:val="TableNormal"/>
    <w:next w:val="TableGrid64"/>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_4"/>
    <w:basedOn w:val="TableNormal"/>
    <w:next w:val="TableGrid64"/>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9">
    <w:name w:val="Normal_69"/>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5">
    <w:name w:val="No Spacing_5"/>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75">
    <w:name w:val="Table Grid_7"/>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_5"/>
    <w:basedOn w:val="TableNormal"/>
    <w:next w:val="TableGrid75"/>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_5"/>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_5"/>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75"/>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5"/>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0">
    <w:name w:val="Normal_3_5"/>
    <w:qFormat/>
    <w:rPr>
      <w:rFonts w:ascii="Calibri" w:eastAsia="Calibri" w:hAnsi="Calibri" w:cs="Times New Roman"/>
    </w:rPr>
  </w:style>
  <w:style w:type="paragraph" w:customStyle="1" w:styleId="ListParagraph5">
    <w:name w:val="List Paragraph_5"/>
    <w:basedOn w:val="Normal69"/>
    <w:uiPriority w:val="34"/>
    <w:qFormat/>
    <w:rsid w:val="005D2961"/>
    <w:pPr>
      <w:ind w:left="720"/>
      <w:contextualSpacing/>
    </w:pPr>
  </w:style>
  <w:style w:type="table" w:customStyle="1" w:styleId="TableGrid105">
    <w:name w:val="Table Grid10_5"/>
    <w:basedOn w:val="TableNormal"/>
    <w:next w:val="TableGrid75"/>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5"/>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_5"/>
    <w:basedOn w:val="TableNormal"/>
    <w:next w:val="TableGrid75"/>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0">
    <w:name w:val="Normal_70"/>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6">
    <w:name w:val="No Spacing_6"/>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80">
    <w:name w:val="Table Grid_8"/>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_6"/>
    <w:basedOn w:val="TableNormal"/>
    <w:next w:val="TableGrid80"/>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_6"/>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_6"/>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80"/>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0"/>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0">
    <w:name w:val="Normal_3_6"/>
    <w:qFormat/>
    <w:rPr>
      <w:rFonts w:ascii="Calibri" w:eastAsia="Calibri" w:hAnsi="Calibri" w:cs="Times New Roman"/>
    </w:rPr>
  </w:style>
  <w:style w:type="paragraph" w:customStyle="1" w:styleId="ListParagraph6">
    <w:name w:val="List Paragraph_6"/>
    <w:basedOn w:val="Normal70"/>
    <w:uiPriority w:val="34"/>
    <w:qFormat/>
    <w:rsid w:val="005D2961"/>
    <w:pPr>
      <w:ind w:left="720"/>
      <w:contextualSpacing/>
    </w:pPr>
  </w:style>
  <w:style w:type="table" w:customStyle="1" w:styleId="TableGrid106">
    <w:name w:val="Table Grid10_6"/>
    <w:basedOn w:val="TableNormal"/>
    <w:next w:val="TableGrid80"/>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_6"/>
    <w:basedOn w:val="TableNormal"/>
    <w:next w:val="TableGrid8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1">
    <w:name w:val="Normal_71"/>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7">
    <w:name w:val="No Spacing_7"/>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97">
    <w:name w:val="Table Grid_9"/>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_7"/>
    <w:basedOn w:val="TableNormal"/>
    <w:next w:val="TableGrid97"/>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0">
    <w:name w:val="Table Grid9_7"/>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_7"/>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97"/>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7"/>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0">
    <w:name w:val="Normal_3_7"/>
    <w:qFormat/>
    <w:rPr>
      <w:rFonts w:ascii="Calibri" w:eastAsia="Calibri" w:hAnsi="Calibri" w:cs="Times New Roman"/>
    </w:rPr>
  </w:style>
  <w:style w:type="paragraph" w:customStyle="1" w:styleId="ListParagraph7">
    <w:name w:val="List Paragraph_7"/>
    <w:basedOn w:val="Normal71"/>
    <w:uiPriority w:val="34"/>
    <w:qFormat/>
    <w:rsid w:val="005D2961"/>
    <w:pPr>
      <w:ind w:left="720"/>
      <w:contextualSpacing/>
    </w:pPr>
  </w:style>
  <w:style w:type="table" w:customStyle="1" w:styleId="TableGrid107">
    <w:name w:val="Table Grid10_7"/>
    <w:basedOn w:val="TableNormal"/>
    <w:next w:val="TableGrid97"/>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7"/>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_7"/>
    <w:basedOn w:val="TableNormal"/>
    <w:next w:val="TableGrid97"/>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2">
    <w:name w:val="Normal_72"/>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8">
    <w:name w:val="No Spacing_8"/>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08">
    <w:name w:val="Table Grid_10"/>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_8"/>
    <w:basedOn w:val="TableNormal"/>
    <w:next w:val="TableGrid108"/>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_8"/>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_8"/>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108"/>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8"/>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0">
    <w:name w:val="Normal_3_8"/>
    <w:qFormat/>
    <w:rPr>
      <w:rFonts w:ascii="Calibri" w:eastAsia="Calibri" w:hAnsi="Calibri" w:cs="Times New Roman"/>
    </w:rPr>
  </w:style>
  <w:style w:type="paragraph" w:customStyle="1" w:styleId="ListParagraph8">
    <w:name w:val="List Paragraph_8"/>
    <w:basedOn w:val="Normal72"/>
    <w:uiPriority w:val="34"/>
    <w:qFormat/>
    <w:rsid w:val="005D2961"/>
    <w:pPr>
      <w:ind w:left="720"/>
      <w:contextualSpacing/>
    </w:pPr>
  </w:style>
  <w:style w:type="table" w:customStyle="1" w:styleId="TableGrid1080">
    <w:name w:val="Table Grid10_8"/>
    <w:basedOn w:val="TableNormal"/>
    <w:next w:val="TableGrid108"/>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8"/>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_8"/>
    <w:basedOn w:val="TableNormal"/>
    <w:next w:val="TableGrid108"/>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3">
    <w:name w:val="Normal_73"/>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9">
    <w:name w:val="No Spacing_9"/>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10">
    <w:name w:val="Table Grid_11"/>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_9"/>
    <w:basedOn w:val="TableNormal"/>
    <w:next w:val="TableGrid110"/>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_9"/>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_9"/>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110"/>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0">
    <w:name w:val="Normal_3_9"/>
    <w:qFormat/>
    <w:rPr>
      <w:rFonts w:ascii="Calibri" w:eastAsia="Calibri" w:hAnsi="Calibri" w:cs="Times New Roman"/>
    </w:rPr>
  </w:style>
  <w:style w:type="paragraph" w:customStyle="1" w:styleId="ListParagraph9">
    <w:name w:val="List Paragraph_9"/>
    <w:basedOn w:val="Normal73"/>
    <w:uiPriority w:val="34"/>
    <w:qFormat/>
    <w:rsid w:val="005D2961"/>
    <w:pPr>
      <w:ind w:left="720"/>
      <w:contextualSpacing/>
    </w:pPr>
  </w:style>
  <w:style w:type="table" w:customStyle="1" w:styleId="TableGrid109">
    <w:name w:val="Table Grid10_9"/>
    <w:basedOn w:val="TableNormal"/>
    <w:next w:val="TableGrid110"/>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_9"/>
    <w:basedOn w:val="TableNormal"/>
    <w:next w:val="TableGrid11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4">
    <w:name w:val="Normal_74"/>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10">
    <w:name w:val="No Spacing_10"/>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0">
    <w:name w:val="Table Grid_12"/>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_10"/>
    <w:basedOn w:val="TableNormal"/>
    <w:next w:val="TableGrid120"/>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_10"/>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0">
    <w:name w:val="Table Grid91_10"/>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0">
    <w:name w:val="Table Grid14_10"/>
    <w:basedOn w:val="TableNormal"/>
    <w:next w:val="TableGrid120"/>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_10"/>
    <w:basedOn w:val="TableNormal"/>
    <w:next w:val="TableGrid120"/>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0">
    <w:name w:val="Normal_3_10"/>
    <w:qFormat/>
    <w:rPr>
      <w:rFonts w:ascii="Calibri" w:eastAsia="Calibri" w:hAnsi="Calibri" w:cs="Times New Roman"/>
    </w:rPr>
  </w:style>
  <w:style w:type="paragraph" w:customStyle="1" w:styleId="ListParagraph10">
    <w:name w:val="List Paragraph_10"/>
    <w:basedOn w:val="Normal74"/>
    <w:uiPriority w:val="34"/>
    <w:qFormat/>
    <w:rsid w:val="005D2961"/>
    <w:pPr>
      <w:ind w:left="720"/>
      <w:contextualSpacing/>
    </w:pPr>
  </w:style>
  <w:style w:type="table" w:customStyle="1" w:styleId="TableGrid1010">
    <w:name w:val="Table Grid10_10"/>
    <w:basedOn w:val="TableNormal"/>
    <w:next w:val="TableGrid120"/>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_10"/>
    <w:basedOn w:val="TableNormal"/>
    <w:next w:val="TableGrid120"/>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5">
    <w:name w:val="Normal_75"/>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11">
    <w:name w:val="No Spacing_11"/>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3">
    <w:name w:val="Table Grid_13"/>
    <w:basedOn w:val="TableNormal"/>
    <w:uiPriority w:val="39"/>
    <w:rsid w:val="00AB11C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_11"/>
    <w:basedOn w:val="TableNormal"/>
    <w:next w:val="TableGrid13"/>
    <w:uiPriority w:val="39"/>
    <w:rsid w:val="00D825D9"/>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_11"/>
    <w:basedOn w:val="TableNormal"/>
    <w:uiPriority w:val="59"/>
    <w:rsid w:val="000C19EF"/>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0">
    <w:name w:val="Table Grid91_11"/>
    <w:basedOn w:val="TableNormal"/>
    <w:uiPriority w:val="59"/>
    <w:rsid w:val="00F62555"/>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_11"/>
    <w:basedOn w:val="TableNormal"/>
    <w:next w:val="TableGrid13"/>
    <w:uiPriority w:val="39"/>
    <w:rsid w:val="00113F16"/>
    <w:pPr>
      <w:spacing w:after="0" w:line="240" w:lineRule="auto"/>
    </w:pPr>
    <w:rPr>
      <w:rFonts w:ascii="Arial" w:eastAsia="Times New Roman" w:hAnsi="Arial" w:cs="Arial"/>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_11"/>
    <w:basedOn w:val="TableNormal"/>
    <w:next w:val="TableGrid13"/>
    <w:uiPriority w:val="39"/>
    <w:rsid w:val="00B03C9A"/>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1">
    <w:name w:val="Normal_3_11"/>
    <w:qFormat/>
    <w:rPr>
      <w:rFonts w:ascii="Calibri" w:eastAsia="Calibri" w:hAnsi="Calibri" w:cs="Times New Roman"/>
    </w:rPr>
  </w:style>
  <w:style w:type="paragraph" w:customStyle="1" w:styleId="ListParagraph11">
    <w:name w:val="List Paragraph_11"/>
    <w:basedOn w:val="Normal75"/>
    <w:uiPriority w:val="34"/>
    <w:qFormat/>
    <w:rsid w:val="005D2961"/>
    <w:pPr>
      <w:ind w:left="720"/>
      <w:contextualSpacing/>
    </w:pPr>
  </w:style>
  <w:style w:type="table" w:customStyle="1" w:styleId="TableGrid1011">
    <w:name w:val="Table Grid10_11"/>
    <w:basedOn w:val="TableNormal"/>
    <w:next w:val="TableGrid13"/>
    <w:uiPriority w:val="39"/>
    <w:rsid w:val="00802F87"/>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_11"/>
    <w:basedOn w:val="TableNormal"/>
    <w:next w:val="TableGrid13"/>
    <w:uiPriority w:val="39"/>
    <w:rsid w:val="00643C70"/>
    <w:pPr>
      <w:spacing w:after="0" w:line="240" w:lineRule="auto"/>
    </w:pPr>
    <w:rPr>
      <w:rFonts w:ascii="Arial" w:eastAsia="Times New Roman"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devtracker.dfid.gov.uk/projects/GB-1-201139/documents"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glossaryDocument" Target="glossary/document.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ib-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D85B89">
          <w:r w:rsidRPr="00764859">
            <w:rPr>
              <w:rStyle w:val="PlaceholderText"/>
            </w:rPr>
            <w:t>Click here to enter text.</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sidRDefault="00D85B89">
          <w:r>
            <w:t xml:space="preserve"> </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D85B89" w:rsidP="00266565">
          <w:pPr>
            <w:pStyle w:val="3F0B331C2F344760AE61C9A706D5C71913"/>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D85B89"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D85B89" w:rsidP="00266565">
          <w:pPr>
            <w:pStyle w:val="907ABA86110D43A3A29F78514338019412"/>
          </w:pPr>
          <w:r w:rsidRPr="00764859">
            <w:rPr>
              <w:rStyle w:val="PlaceholderText"/>
            </w:rPr>
            <w:t>.</w:t>
          </w:r>
        </w:p>
      </w:docPartBody>
    </w:docPart>
    <w:docPart>
      <w:docPartPr>
        <w:name w:val="E481BF2110E44A16B624ABFEBAEC25A3"/>
        <w:category>
          <w:name w:val="General"/>
          <w:gallery w:val="placeholder"/>
        </w:category>
        <w:types>
          <w:type w:val="bbPlcHdr"/>
        </w:types>
        <w:behaviors>
          <w:behavior w:val="content"/>
        </w:behaviors>
        <w:guid w:val="{31BCAACD-228C-469B-BC56-8647C266DEAF}"/>
      </w:docPartPr>
      <w:docPartBody>
        <w:p w:rsidR="00AE52B5" w:rsidRDefault="00D85B89" w:rsidP="0096241B">
          <w:pPr>
            <w:pStyle w:val="E481BF2110E44A16B624ABFEBAEC25A3"/>
          </w:pPr>
          <w:r w:rsidRPr="00764859">
            <w:rPr>
              <w:rStyle w:val="PlaceholderText"/>
            </w:rPr>
            <w:t>Click here to enter text.</w:t>
          </w:r>
        </w:p>
      </w:docPartBody>
    </w:docPart>
    <w:docPart>
      <w:docPartPr>
        <w:name w:val="D26C7ACB08264F4CBEFE99B107484CEE"/>
        <w:category>
          <w:name w:val="General"/>
          <w:gallery w:val="placeholder"/>
        </w:category>
        <w:types>
          <w:type w:val="bbPlcHdr"/>
        </w:types>
        <w:behaviors>
          <w:behavior w:val="content"/>
        </w:behaviors>
        <w:guid w:val="{F4685B0E-AA10-4234-8701-95C43DCADBD9}"/>
      </w:docPartPr>
      <w:docPartBody>
        <w:p w:rsidR="00AE52B5" w:rsidRDefault="00D85B89" w:rsidP="0096241B">
          <w:pPr>
            <w:pStyle w:val="D26C7ACB08264F4CBEFE99B107484CEE"/>
          </w:pPr>
          <w:r w:rsidRPr="00764859">
            <w:rPr>
              <w:rStyle w:val="PlaceholderText"/>
            </w:rPr>
            <w:t>Click here to enter text.</w:t>
          </w:r>
        </w:p>
      </w:docPartBody>
    </w:docPart>
    <w:docPart>
      <w:docPartPr>
        <w:name w:val="76FEC616301649459A349EB55870B9C4"/>
        <w:category>
          <w:name w:val="General"/>
          <w:gallery w:val="placeholder"/>
        </w:category>
        <w:types>
          <w:type w:val="bbPlcHdr"/>
        </w:types>
        <w:behaviors>
          <w:behavior w:val="content"/>
        </w:behaviors>
        <w:guid w:val="{32DAA976-667A-4774-9ADD-8C232510B5AB}"/>
      </w:docPartPr>
      <w:docPartBody>
        <w:p w:rsidR="00F035EC" w:rsidRDefault="00D85B89" w:rsidP="00FB3FEB">
          <w:pPr>
            <w:pStyle w:val="76FEC616301649459A349EB55870B9C4"/>
          </w:pPr>
          <w:r w:rsidRPr="00764859">
            <w:rPr>
              <w:rStyle w:val="PlaceholderText"/>
            </w:rPr>
            <w:t>Click here to enter text.</w:t>
          </w:r>
        </w:p>
      </w:docPartBody>
    </w:docPart>
    <w:docPart>
      <w:docPartPr>
        <w:name w:val="490D1E9AEDE246E6ABF3999F198C0468"/>
        <w:category>
          <w:name w:val="General"/>
          <w:gallery w:val="placeholder"/>
        </w:category>
        <w:types>
          <w:type w:val="bbPlcHdr"/>
        </w:types>
        <w:behaviors>
          <w:behavior w:val="content"/>
        </w:behaviors>
        <w:guid w:val="{CA96C272-3B96-4A23-B123-C1E4474A4130}"/>
      </w:docPartPr>
      <w:docPartBody>
        <w:p w:rsidR="00266565" w:rsidRDefault="00D85B89" w:rsidP="00F87F3E">
          <w:pPr>
            <w:pStyle w:val="490D1E9AEDE246E6ABF3999F198C0468"/>
          </w:pPr>
          <w:r w:rsidRPr="00764859">
            <w:rPr>
              <w:rStyle w:val="PlaceholderText"/>
            </w:rPr>
            <w:t>Click here to enter text.</w:t>
          </w:r>
        </w:p>
      </w:docPartBody>
    </w:docPart>
    <w:docPart>
      <w:docPartPr>
        <w:name w:val="C093F2CC829F4C438FE893B2CCAC0B4F"/>
        <w:category>
          <w:name w:val="General"/>
          <w:gallery w:val="placeholder"/>
        </w:category>
        <w:types>
          <w:type w:val="bbPlcHdr"/>
        </w:types>
        <w:behaviors>
          <w:behavior w:val="content"/>
        </w:behaviors>
        <w:guid w:val="{B1335C4D-996A-4579-932B-ADE4B9C977F6}"/>
      </w:docPartPr>
      <w:docPartBody>
        <w:p w:rsidR="00266565" w:rsidRDefault="00D85B89" w:rsidP="00F87F3E">
          <w:pPr>
            <w:pStyle w:val="C093F2CC829F4C438FE893B2CCAC0B4F"/>
          </w:pPr>
          <w:r w:rsidRPr="00764859">
            <w:rPr>
              <w:rStyle w:val="PlaceholderText"/>
            </w:rPr>
            <w:t>Click here to enter text.</w:t>
          </w:r>
        </w:p>
      </w:docPartBody>
    </w:docPart>
    <w:docPart>
      <w:docPartPr>
        <w:name w:val="4A29799E0C274704AD849551F60EEAC9"/>
        <w:category>
          <w:name w:val="General"/>
          <w:gallery w:val="placeholder"/>
        </w:category>
        <w:types>
          <w:type w:val="bbPlcHdr"/>
        </w:types>
        <w:behaviors>
          <w:behavior w:val="content"/>
        </w:behaviors>
        <w:guid w:val="{CB1C386F-F9D1-4330-BFFD-3EF9EA6CD3F6}"/>
      </w:docPartPr>
      <w:docPartBody>
        <w:p w:rsidR="00266565" w:rsidRDefault="00D85B89" w:rsidP="00F87F3E">
          <w:pPr>
            <w:pStyle w:val="4A29799E0C274704AD849551F60EEAC9"/>
          </w:pPr>
          <w:r w:rsidRPr="00764859">
            <w:rPr>
              <w:rStyle w:val="PlaceholderText"/>
            </w:rPr>
            <w:t>Click here to enter text.</w:t>
          </w:r>
        </w:p>
      </w:docPartBody>
    </w:docPart>
    <w:docPart>
      <w:docPartPr>
        <w:name w:val="56B451CC62634E4C82A21F3864CB8327"/>
        <w:category>
          <w:name w:val="General"/>
          <w:gallery w:val="placeholder"/>
        </w:category>
        <w:types>
          <w:type w:val="bbPlcHdr"/>
        </w:types>
        <w:behaviors>
          <w:behavior w:val="content"/>
        </w:behaviors>
        <w:guid w:val="{03FA1B76-C85D-49A3-AD2A-4A4E9B747682}"/>
      </w:docPartPr>
      <w:docPartBody>
        <w:p w:rsidR="00266565" w:rsidRDefault="00D85B89" w:rsidP="00F87F3E">
          <w:pPr>
            <w:pStyle w:val="56B451CC62634E4C82A21F3864CB8327"/>
          </w:pPr>
          <w:r>
            <w:t xml:space="preserve"> </w:t>
          </w:r>
        </w:p>
      </w:docPartBody>
    </w:docPart>
    <w:docPart>
      <w:docPartPr>
        <w:name w:val="DB60AA0EC3F04ED1B6BF69E317051BE1"/>
        <w:category>
          <w:name w:val="General"/>
          <w:gallery w:val="placeholder"/>
        </w:category>
        <w:types>
          <w:type w:val="bbPlcHdr"/>
        </w:types>
        <w:behaviors>
          <w:behavior w:val="content"/>
        </w:behaviors>
        <w:guid w:val="{B3CB32D9-EA48-4561-B337-82FBCF519B9B}"/>
      </w:docPartPr>
      <w:docPartBody>
        <w:p w:rsidR="00266565" w:rsidRDefault="00D85B89" w:rsidP="00F87F3E">
          <w:pPr>
            <w:pStyle w:val="DB60AA0EC3F04ED1B6BF69E317051BE1"/>
          </w:pPr>
          <w:r>
            <w:t xml:space="preserve"> </w:t>
          </w:r>
        </w:p>
      </w:docPartBody>
    </w:docPart>
    <w:docPart>
      <w:docPartPr>
        <w:name w:val="DefaultPlaceholder_22675703"/>
        <w:category>
          <w:name w:val="General"/>
          <w:gallery w:val="placeholder"/>
        </w:category>
        <w:types>
          <w:type w:val="bbPlcHdr"/>
        </w:types>
        <w:behaviors>
          <w:behavior w:val="content"/>
        </w:behaviors>
        <w:guid w:val="{9AA9DE7C-1A6C-4A1A-B57A-8872E4233069}"/>
      </w:docPartPr>
      <w:docPartBody>
        <w:p w:rsidR="00CB5EE4" w:rsidRDefault="00D85B89">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ook">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80"/>
    <w:rsid w:val="0004541D"/>
    <w:rsid w:val="00052EF4"/>
    <w:rsid w:val="000716C8"/>
    <w:rsid w:val="0008051C"/>
    <w:rsid w:val="0008242C"/>
    <w:rsid w:val="000A1C59"/>
    <w:rsid w:val="000B37A0"/>
    <w:rsid w:val="000B38A9"/>
    <w:rsid w:val="000D5C62"/>
    <w:rsid w:val="000E1102"/>
    <w:rsid w:val="000E289F"/>
    <w:rsid w:val="000E70B8"/>
    <w:rsid w:val="000F539C"/>
    <w:rsid w:val="00105A34"/>
    <w:rsid w:val="0011040B"/>
    <w:rsid w:val="0011348D"/>
    <w:rsid w:val="00124456"/>
    <w:rsid w:val="001351CC"/>
    <w:rsid w:val="00154ECD"/>
    <w:rsid w:val="00171583"/>
    <w:rsid w:val="001A3B05"/>
    <w:rsid w:val="001C3570"/>
    <w:rsid w:val="001E0ECD"/>
    <w:rsid w:val="002072C5"/>
    <w:rsid w:val="002162A5"/>
    <w:rsid w:val="002177FE"/>
    <w:rsid w:val="0026320E"/>
    <w:rsid w:val="00266565"/>
    <w:rsid w:val="0027654D"/>
    <w:rsid w:val="00277FD5"/>
    <w:rsid w:val="00297D18"/>
    <w:rsid w:val="002D06DA"/>
    <w:rsid w:val="002E3A0B"/>
    <w:rsid w:val="00312B3E"/>
    <w:rsid w:val="0033490A"/>
    <w:rsid w:val="00376586"/>
    <w:rsid w:val="003860D4"/>
    <w:rsid w:val="00390A6D"/>
    <w:rsid w:val="003918B4"/>
    <w:rsid w:val="003D1FDB"/>
    <w:rsid w:val="003E75D8"/>
    <w:rsid w:val="004167E7"/>
    <w:rsid w:val="004311E2"/>
    <w:rsid w:val="00435325"/>
    <w:rsid w:val="0045493F"/>
    <w:rsid w:val="00481963"/>
    <w:rsid w:val="00484D00"/>
    <w:rsid w:val="004A1509"/>
    <w:rsid w:val="004A47F4"/>
    <w:rsid w:val="004A5840"/>
    <w:rsid w:val="004B08E9"/>
    <w:rsid w:val="004C02E9"/>
    <w:rsid w:val="004D6E42"/>
    <w:rsid w:val="004E00F6"/>
    <w:rsid w:val="00507B0C"/>
    <w:rsid w:val="00553535"/>
    <w:rsid w:val="00553FA6"/>
    <w:rsid w:val="0056089E"/>
    <w:rsid w:val="0057075B"/>
    <w:rsid w:val="00571FAD"/>
    <w:rsid w:val="00583D80"/>
    <w:rsid w:val="0058424D"/>
    <w:rsid w:val="005922F3"/>
    <w:rsid w:val="005B3AF6"/>
    <w:rsid w:val="005B47AF"/>
    <w:rsid w:val="005B7710"/>
    <w:rsid w:val="005D3509"/>
    <w:rsid w:val="005F1AB4"/>
    <w:rsid w:val="00600D7B"/>
    <w:rsid w:val="00617565"/>
    <w:rsid w:val="0066214E"/>
    <w:rsid w:val="006640C2"/>
    <w:rsid w:val="00686279"/>
    <w:rsid w:val="00691382"/>
    <w:rsid w:val="006A519F"/>
    <w:rsid w:val="006B3B17"/>
    <w:rsid w:val="006C5290"/>
    <w:rsid w:val="006C5E80"/>
    <w:rsid w:val="006D22BC"/>
    <w:rsid w:val="006D381C"/>
    <w:rsid w:val="006D4B6B"/>
    <w:rsid w:val="007011A5"/>
    <w:rsid w:val="00712A74"/>
    <w:rsid w:val="00721FD4"/>
    <w:rsid w:val="00722E61"/>
    <w:rsid w:val="00740CDA"/>
    <w:rsid w:val="00742090"/>
    <w:rsid w:val="00764FD3"/>
    <w:rsid w:val="00776CF5"/>
    <w:rsid w:val="00797A05"/>
    <w:rsid w:val="007A03F9"/>
    <w:rsid w:val="007A300E"/>
    <w:rsid w:val="007B25F5"/>
    <w:rsid w:val="007E085D"/>
    <w:rsid w:val="00803741"/>
    <w:rsid w:val="00835398"/>
    <w:rsid w:val="00857D5D"/>
    <w:rsid w:val="008713F1"/>
    <w:rsid w:val="008A49FB"/>
    <w:rsid w:val="008B47E2"/>
    <w:rsid w:val="008C3F09"/>
    <w:rsid w:val="008C5773"/>
    <w:rsid w:val="008C6461"/>
    <w:rsid w:val="008E64D8"/>
    <w:rsid w:val="00905A6F"/>
    <w:rsid w:val="0092241A"/>
    <w:rsid w:val="009278B5"/>
    <w:rsid w:val="00934F48"/>
    <w:rsid w:val="00942CAA"/>
    <w:rsid w:val="009604A9"/>
    <w:rsid w:val="00960FAF"/>
    <w:rsid w:val="00961CC2"/>
    <w:rsid w:val="0096241B"/>
    <w:rsid w:val="009736F5"/>
    <w:rsid w:val="00984323"/>
    <w:rsid w:val="009A201A"/>
    <w:rsid w:val="009E76DF"/>
    <w:rsid w:val="009F0037"/>
    <w:rsid w:val="009F0E32"/>
    <w:rsid w:val="009F5488"/>
    <w:rsid w:val="00A307AD"/>
    <w:rsid w:val="00A33626"/>
    <w:rsid w:val="00A358ED"/>
    <w:rsid w:val="00A57554"/>
    <w:rsid w:val="00A80147"/>
    <w:rsid w:val="00AA3BD9"/>
    <w:rsid w:val="00AC5046"/>
    <w:rsid w:val="00AD6D6F"/>
    <w:rsid w:val="00AD780D"/>
    <w:rsid w:val="00AE52B5"/>
    <w:rsid w:val="00B41432"/>
    <w:rsid w:val="00B43557"/>
    <w:rsid w:val="00B81156"/>
    <w:rsid w:val="00BA0F4A"/>
    <w:rsid w:val="00BA15E3"/>
    <w:rsid w:val="00BA5AA9"/>
    <w:rsid w:val="00BE2327"/>
    <w:rsid w:val="00C14389"/>
    <w:rsid w:val="00C168DA"/>
    <w:rsid w:val="00C36B17"/>
    <w:rsid w:val="00C46275"/>
    <w:rsid w:val="00C90A7B"/>
    <w:rsid w:val="00C926D7"/>
    <w:rsid w:val="00CB5EE4"/>
    <w:rsid w:val="00CC3A4C"/>
    <w:rsid w:val="00CD2592"/>
    <w:rsid w:val="00CE2633"/>
    <w:rsid w:val="00D20FA6"/>
    <w:rsid w:val="00D217A0"/>
    <w:rsid w:val="00D5566D"/>
    <w:rsid w:val="00D85B89"/>
    <w:rsid w:val="00D9230A"/>
    <w:rsid w:val="00D95A72"/>
    <w:rsid w:val="00DA25DC"/>
    <w:rsid w:val="00DB1C4A"/>
    <w:rsid w:val="00DD0C1B"/>
    <w:rsid w:val="00DD36E9"/>
    <w:rsid w:val="00DF207E"/>
    <w:rsid w:val="00E07C7B"/>
    <w:rsid w:val="00E24746"/>
    <w:rsid w:val="00E40A5F"/>
    <w:rsid w:val="00E41F94"/>
    <w:rsid w:val="00E45A95"/>
    <w:rsid w:val="00E551E7"/>
    <w:rsid w:val="00E911C9"/>
    <w:rsid w:val="00EC4D7A"/>
    <w:rsid w:val="00EC6C64"/>
    <w:rsid w:val="00EE1F7F"/>
    <w:rsid w:val="00EF14A2"/>
    <w:rsid w:val="00EF3D98"/>
    <w:rsid w:val="00F035EC"/>
    <w:rsid w:val="00F03DB4"/>
    <w:rsid w:val="00F112AA"/>
    <w:rsid w:val="00F12E0E"/>
    <w:rsid w:val="00F40B39"/>
    <w:rsid w:val="00F64218"/>
    <w:rsid w:val="00F710E6"/>
    <w:rsid w:val="00F87F3E"/>
    <w:rsid w:val="00FB3FEB"/>
    <w:rsid w:val="00FB498F"/>
    <w:rsid w:val="00FC1B89"/>
    <w:rsid w:val="00FE4E42"/>
    <w:rsid w:val="00FE72B7"/>
    <w:rsid w:val="00FF5F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656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004AC0134B6C4B06B4EEFD24BDFCB14E">
    <w:name w:val="004AC0134B6C4B06B4EEFD24BDFCB14E"/>
    <w:rsid w:val="0096241B"/>
  </w:style>
  <w:style w:type="paragraph" w:customStyle="1" w:styleId="B0FD5F08F0B746E19BA09EBBFB1BB514">
    <w:name w:val="B0FD5F08F0B746E19BA09EBBFB1BB514"/>
    <w:rsid w:val="0096241B"/>
  </w:style>
  <w:style w:type="paragraph" w:customStyle="1" w:styleId="B1EB3708896A44C3A2154771A400FA48">
    <w:name w:val="B1EB3708896A44C3A2154771A400FA48"/>
    <w:rsid w:val="0096241B"/>
  </w:style>
  <w:style w:type="paragraph" w:customStyle="1" w:styleId="E57CBED4C4554B9A8C136FF1F6807E25">
    <w:name w:val="E57CBED4C4554B9A8C136FF1F6807E25"/>
    <w:rsid w:val="0096241B"/>
  </w:style>
  <w:style w:type="paragraph" w:customStyle="1" w:styleId="78734B1EDCB14D0D822B3CF0C5FF1B1B">
    <w:name w:val="78734B1EDCB14D0D822B3CF0C5FF1B1B"/>
    <w:rsid w:val="0096241B"/>
  </w:style>
  <w:style w:type="paragraph" w:customStyle="1" w:styleId="E481BF2110E44A16B624ABFEBAEC25A3">
    <w:name w:val="E481BF2110E44A16B624ABFEBAEC25A3"/>
    <w:rsid w:val="0096241B"/>
  </w:style>
  <w:style w:type="paragraph" w:customStyle="1" w:styleId="D26C7ACB08264F4CBEFE99B107484CEE">
    <w:name w:val="D26C7ACB08264F4CBEFE99B107484CEE"/>
    <w:rsid w:val="0096241B"/>
  </w:style>
  <w:style w:type="paragraph" w:customStyle="1" w:styleId="907ABA86110D43A3A29F7851433801947">
    <w:name w:val="907ABA86110D43A3A29F7851433801947"/>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6CEFB127BF843CCA8A6D61C922C9578">
    <w:name w:val="36CEFB127BF843CCA8A6D61C922C9578"/>
    <w:rsid w:val="00FB3FEB"/>
  </w:style>
  <w:style w:type="paragraph" w:customStyle="1" w:styleId="76FEC616301649459A349EB55870B9C4">
    <w:name w:val="76FEC616301649459A349EB55870B9C4"/>
    <w:rsid w:val="00FB3FEB"/>
  </w:style>
  <w:style w:type="paragraph" w:customStyle="1" w:styleId="907ABA86110D43A3A29F7851433801949">
    <w:name w:val="907ABA86110D43A3A29F7851433801949"/>
    <w:rsid w:val="00FB3FE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3FE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C926D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C926D7"/>
    <w:pPr>
      <w:widowControl w:val="0"/>
      <w:autoSpaceDE w:val="0"/>
      <w:autoSpaceDN w:val="0"/>
      <w:adjustRightInd w:val="0"/>
      <w:spacing w:after="0" w:line="240" w:lineRule="auto"/>
    </w:pPr>
    <w:rPr>
      <w:rFonts w:ascii="Arial" w:hAnsi="Arial" w:cs="Arial"/>
      <w:color w:val="000000"/>
      <w:sz w:val="24"/>
      <w:szCs w:val="24"/>
    </w:rPr>
  </w:style>
  <w:style w:type="paragraph" w:customStyle="1" w:styleId="490D1E9AEDE246E6ABF3999F198C0468">
    <w:name w:val="490D1E9AEDE246E6ABF3999F198C0468"/>
    <w:rsid w:val="00F87F3E"/>
  </w:style>
  <w:style w:type="paragraph" w:customStyle="1" w:styleId="C093F2CC829F4C438FE893B2CCAC0B4F">
    <w:name w:val="C093F2CC829F4C438FE893B2CCAC0B4F"/>
    <w:rsid w:val="00F87F3E"/>
  </w:style>
  <w:style w:type="paragraph" w:customStyle="1" w:styleId="4A29799E0C274704AD849551F60EEAC9">
    <w:name w:val="4A29799E0C274704AD849551F60EEAC9"/>
    <w:rsid w:val="00F87F3E"/>
  </w:style>
  <w:style w:type="paragraph" w:customStyle="1" w:styleId="56B451CC62634E4C82A21F3864CB8327">
    <w:name w:val="56B451CC62634E4C82A21F3864CB8327"/>
    <w:rsid w:val="00F87F3E"/>
  </w:style>
  <w:style w:type="paragraph" w:customStyle="1" w:styleId="DB60AA0EC3F04ED1B6BF69E317051BE1">
    <w:name w:val="DB60AA0EC3F04ED1B6BF69E317051BE1"/>
    <w:rsid w:val="00F87F3E"/>
  </w:style>
  <w:style w:type="paragraph" w:customStyle="1" w:styleId="907ABA86110D43A3A29F78514338019411">
    <w:name w:val="907ABA86110D43A3A29F78514338019411"/>
    <w:rsid w:val="00F87F3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F87F3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26656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266565"/>
    <w:pPr>
      <w:widowControl w:val="0"/>
      <w:autoSpaceDE w:val="0"/>
      <w:autoSpaceDN w:val="0"/>
      <w:adjustRightInd w:val="0"/>
      <w:spacing w:after="0" w:line="240" w:lineRule="auto"/>
    </w:pPr>
    <w:rPr>
      <w:rFonts w:ascii="Arial"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ECENTER-17-3307</_dlc_DocId>
    <_dlc_DocIdUrl xmlns="abd7fad0-8e9a-4f24-82a0-e4a690a7a66d">
      <Url>https://ispan.worldbank.org/sites/BOS/_layouts/15/DocIdRedir.aspx?ID=ECENTER-17-3307</Url>
      <Description>ECENTER-17-3307</Description>
    </_dlc_DocIdUrl>
    <DocumentDate xmlns="1e565efc-c76f-4e3a-ad62-733aa42cc28d">2018-07-26T04:00:00+00:00</DocumentDate>
    <unid xmlns="1e565efc-c76f-4e3a-ad62-733aa42cc28d" xsi:nil="true"/>
    <Volume_x0020_Title xmlns="1e565efc-c76f-4e3a-ad62-733aa42cc28d">West Bank and Gaza - Water Sector Capacity Building Project - Implementation Completion and Results Report</Volume_x0020_Title>
    <Disclosure_x0020_Type xmlns="1e565efc-c76f-4e3a-ad62-733aa42cc28d" xsi:nil="true"/>
    <Unit_x0020_Owning_x0020_or_x0020_Responsible xmlns="1e565efc-c76f-4e3a-ad62-733aa42cc28d">GWA05</Unit_x0020_Owning_x0020_or_x0020_Responsible>
    <BOSWBdocsWebServiceStatus xmlns="1e565efc-c76f-4e3a-ad62-733aa42cc28d" xsi:nil="true"/>
    <RObjectID xmlns="1e565efc-c76f-4e3a-ad62-733aa42cc28d">090224b085e20311</RObjectID>
    <Document_x0020_Type xmlns="1e565efc-c76f-4e3a-ad62-733aa42cc28d">Board Report</Document_x0020_Type>
    <Bank_x0020_Group_x0020_Institution xmlns="1e565efc-c76f-4e3a-ad62-733aa42cc28d">IBRD</Bank_x0020_Group_x0020_Institution>
    <Project_x0020_ID xmlns="1e565efc-c76f-4e3a-ad62-733aa42cc28d">P117443</Project_x0020_ID>
    <Report_x0020_Number xmlns="1e565efc-c76f-4e3a-ad62-733aa42cc28d" xsi:nil="true"/>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0e1ac262-9678-e811-9506-005056a48c92</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2018-07-30T15:22:20+00:00</InfolitePublishedDate>
    <Country_x0020_Region xmlns="1e565efc-c76f-4e3a-ad62-733aa42cc28d">West Bank and Gaza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2018-07-30T15:23:18+00:00</ArchivedDate>
    <PublicClassificationDecidedby xmlns="1e565efc-c76f-4e3a-ad62-733aa42cc28d">Sharon D. C. Faulkner</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A16FE5-1495-40FF-A469-573ED24F3EE2}"/>
</file>

<file path=customXml/itemProps2.xml><?xml version="1.0" encoding="utf-8"?>
<ds:datastoreItem xmlns:ds="http://schemas.openxmlformats.org/officeDocument/2006/customXml" ds:itemID="{E894FF6A-6BCF-4102-972B-42DDDB6B1DF1}"/>
</file>

<file path=customXml/itemProps3.xml><?xml version="1.0" encoding="utf-8"?>
<ds:datastoreItem xmlns:ds="http://schemas.openxmlformats.org/officeDocument/2006/customXml" ds:itemID="{E28ABFAB-ACB8-4F25-BFB5-623EAF141A30}"/>
</file>

<file path=customXml/itemProps4.xml><?xml version="1.0" encoding="utf-8"?>
<ds:datastoreItem xmlns:ds="http://schemas.openxmlformats.org/officeDocument/2006/customXml" ds:itemID="{3AEB1AAB-1B41-4D86-ABD8-BC3C94A34B40}"/>
</file>

<file path=customXml/itemProps5.xml><?xml version="1.0" encoding="utf-8"?>
<ds:datastoreItem xmlns:ds="http://schemas.openxmlformats.org/officeDocument/2006/customXml" ds:itemID="{F9D893A5-579B-4556-96DB-F0C62EC1E618}"/>
</file>

<file path=docProps/app.xml><?xml version="1.0" encoding="utf-8"?>
<Properties xmlns="http://schemas.openxmlformats.org/officeDocument/2006/extended-properties" xmlns:vt="http://schemas.openxmlformats.org/officeDocument/2006/docPropsVTypes">
  <Template>Normal.dotm</Template>
  <TotalTime>2</TotalTime>
  <Pages>68</Pages>
  <Words>20887</Words>
  <Characters>119061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Implementation Completion and Results Report (ICR) Document</vt:lpstr>
    </vt:vector>
  </TitlesOfParts>
  <Company/>
  <LinksUpToDate>false</LinksUpToDate>
  <CharactersWithSpaces>139669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Bank and Gaza - Water Sector Capacity Building Project - Implementation Completion and Results Report</dc:title>
  <dc:creator>Sharon D. C. Faulkner</dc:creator>
  <cp:lastModifiedBy>Sharon D. C. Faulkner</cp:lastModifiedBy>
  <cp:revision>3</cp:revision>
  <dcterms:created xsi:type="dcterms:W3CDTF">2018-07-19T21:26:00Z</dcterms:created>
  <dcterms:modified xsi:type="dcterms:W3CDTF">2018-07-25T19:09:00Z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0x0101008B7ED80168BFC54D8B2E9A470A96603D</vt:lpwstr>
  </property>
  <property fmtid="{D5CDD505-2E9C-101B-9397-08002B2CF9AE}" pid="4" name="Cordis ID">
    <vt:lpwstr>ITM00347</vt:lpwstr>
  </property>
  <property fmtid="{D5CDD505-2E9C-101B-9397-08002B2CF9AE}" pid="5" name="DocumentType">
    <vt:lpwstr>ITM00347</vt:lpwstr>
  </property>
  <property fmtid="{D5CDD505-2E9C-101B-9397-08002B2CF9AE}" pid="6" name="HasUserUploaded">
    <vt:bool>true</vt:bool>
  </property>
  <property fmtid="{D5CDD505-2E9C-101B-9397-08002B2CF9AE}" pid="7" name="IsHidden">
    <vt:bool>false</vt:bool>
  </property>
  <property fmtid="{D5CDD505-2E9C-101B-9397-08002B2CF9AE}" pid="8" name="IsMandatory">
    <vt:bool>true</vt:bool>
  </property>
  <property fmtid="{D5CDD505-2E9C-101B-9397-08002B2CF9AE}" pid="9" name="IsTemplate">
    <vt:bool>true</vt:bool>
  </property>
  <property fmtid="{D5CDD505-2E9C-101B-9397-08002B2CF9AE}" pid="10" name="LikedBy">
    <vt:lpwstr/>
  </property>
  <property fmtid="{D5CDD505-2E9C-101B-9397-08002B2CF9AE}" pid="11" name="Package">
    <vt:bool>true</vt:bool>
  </property>
  <property fmtid="{D5CDD505-2E9C-101B-9397-08002B2CF9AE}" pid="12" name="ProjectID">
    <vt:lpwstr>P117443</vt:lpwstr>
  </property>
  <property fmtid="{D5CDD505-2E9C-101B-9397-08002B2CF9AE}" pid="13" name="RatedBy">
    <vt:lpwstr/>
  </property>
  <property fmtid="{D5CDD505-2E9C-101B-9397-08002B2CF9AE}" pid="14" name="Ratings">
    <vt:lpwstr/>
  </property>
  <property fmtid="{D5CDD505-2E9C-101B-9397-08002B2CF9AE}" pid="15" name="RefreshDate">
    <vt:filetime>2018-05-06T05:31:43Z</vt:filetime>
  </property>
  <property fmtid="{D5CDD505-2E9C-101B-9397-08002B2CF9AE}" pid="16" name="SAPStage">
    <vt:lpwstr>COM</vt:lpwstr>
  </property>
  <property fmtid="{D5CDD505-2E9C-101B-9397-08002B2CF9AE}" pid="17" name="SecurityClassification">
    <vt:lpwstr>Official use only</vt:lpwstr>
  </property>
  <property fmtid="{D5CDD505-2E9C-101B-9397-08002B2CF9AE}" pid="18" name="Stage">
    <vt:lpwstr>COM</vt:lpwstr>
  </property>
  <property fmtid="{D5CDD505-2E9C-101B-9397-08002B2CF9AE}" pid="19" name="Task ID">
    <vt:lpwstr>TSK5272345,TSK5272343</vt:lpwstr>
  </property>
  <property fmtid="{D5CDD505-2E9C-101B-9397-08002B2CF9AE}" pid="20" name="TemplateDocVersion">
    <vt:lpwstr>icr-blend_3.0</vt:lpwstr>
  </property>
  <property fmtid="{D5CDD505-2E9C-101B-9397-08002B2CF9AE}" pid="21" name="_dlc_DocIdItemGuid">
    <vt:lpwstr>e5bda3b5-e208-4022-914a-a8123f56651c</vt:lpwstr>
  </property>
</Properties>
</file>