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vertAnchor="page" w:horzAnchor="page" w:tblpYSpec="top"/>
        <w:tblW w:w="0" w:type="auto"/>
        <w:tblLook w:val="04A0" w:firstRow="1" w:lastRow="0" w:firstColumn="1" w:lastColumn="0" w:noHBand="0" w:noVBand="1"/>
      </w:tblPr>
      <w:tblGrid>
        <w:gridCol w:w="1188"/>
        <w:gridCol w:w="4230"/>
      </w:tblGrid>
      <w:tr w:rsidR="006B65C5" w:rsidRPr="0005246F" w:rsidTr="00817AE8">
        <w:trPr>
          <w:trHeight w:val="1440"/>
        </w:trPr>
        <w:tc>
          <w:tcPr>
            <w:tcW w:w="1188" w:type="dxa"/>
            <w:tcBorders>
              <w:right w:val="single" w:sz="4" w:space="0" w:color="FFFFFF" w:themeColor="background1"/>
            </w:tcBorders>
            <w:shd w:val="clear" w:color="auto" w:fill="943634" w:themeFill="accent2" w:themeFillShade="BF"/>
          </w:tcPr>
          <w:p w:rsidR="006B65C5" w:rsidRPr="0005246F" w:rsidRDefault="006B65C5" w:rsidP="00817AE8">
            <w:r>
              <w:t>`</w:t>
            </w:r>
          </w:p>
        </w:tc>
        <w:tc>
          <w:tcPr>
            <w:tcW w:w="4230" w:type="dxa"/>
            <w:tcBorders>
              <w:left w:val="single" w:sz="4" w:space="0" w:color="FFFFFF" w:themeColor="background1"/>
            </w:tcBorders>
            <w:shd w:val="clear" w:color="auto" w:fill="943634" w:themeFill="accent2" w:themeFillShade="BF"/>
            <w:vAlign w:val="center"/>
          </w:tcPr>
          <w:p w:rsidR="006B65C5" w:rsidRPr="002D4DF5" w:rsidRDefault="006B65C5" w:rsidP="004E1715">
            <w:pPr>
              <w:pStyle w:val="NoSpacing"/>
              <w:jc w:val="left"/>
              <w:rPr>
                <w:rFonts w:asciiTheme="majorHAnsi" w:eastAsiaTheme="majorEastAsia" w:hAnsiTheme="majorHAnsi" w:cstheme="majorBidi"/>
                <w:bCs/>
                <w:color w:val="FFFFFF" w:themeColor="background1"/>
                <w:sz w:val="72"/>
                <w:szCs w:val="72"/>
                <w:lang w:val="pt-PT"/>
              </w:rPr>
            </w:pPr>
            <w:r w:rsidRPr="0005246F">
              <w:rPr>
                <w:rFonts w:asciiTheme="majorHAnsi" w:eastAsiaTheme="majorEastAsia" w:hAnsiTheme="majorHAnsi" w:cstheme="majorBidi"/>
                <w:b/>
                <w:bCs/>
                <w:color w:val="FFFFFF" w:themeColor="background1"/>
                <w:sz w:val="28"/>
                <w:szCs w:val="72"/>
                <w:lang w:val="en-US"/>
              </w:rPr>
              <w:t xml:space="preserve"> </w:t>
            </w:r>
            <w:r w:rsidR="004E1715">
              <w:t xml:space="preserve"> </w:t>
            </w:r>
            <w:r w:rsidR="004E1715" w:rsidRPr="004E1715">
              <w:rPr>
                <w:rFonts w:asciiTheme="majorHAnsi" w:eastAsiaTheme="majorEastAsia" w:hAnsiTheme="majorHAnsi" w:cstheme="majorBidi"/>
                <w:bCs/>
                <w:color w:val="FFFFFF" w:themeColor="background1"/>
                <w:sz w:val="28"/>
                <w:szCs w:val="72"/>
                <w:lang w:val="pt-PT"/>
              </w:rPr>
              <w:t>J</w:t>
            </w:r>
            <w:r w:rsidR="004E1715">
              <w:rPr>
                <w:rFonts w:asciiTheme="majorHAnsi" w:eastAsiaTheme="majorEastAsia" w:hAnsiTheme="majorHAnsi" w:cstheme="majorBidi"/>
                <w:bCs/>
                <w:color w:val="FFFFFF" w:themeColor="background1"/>
                <w:sz w:val="28"/>
                <w:szCs w:val="72"/>
                <w:lang w:val="pt-PT"/>
              </w:rPr>
              <w:t>UNHO</w:t>
            </w:r>
            <w:r w:rsidR="00F109EE" w:rsidRPr="002D4DF5">
              <w:rPr>
                <w:rFonts w:asciiTheme="majorHAnsi" w:eastAsiaTheme="majorEastAsia" w:hAnsiTheme="majorHAnsi" w:cstheme="majorBidi"/>
                <w:bCs/>
                <w:color w:val="FFFFFF" w:themeColor="background1"/>
                <w:sz w:val="28"/>
                <w:szCs w:val="72"/>
                <w:lang w:val="pt-PT"/>
              </w:rPr>
              <w:t xml:space="preserve"> </w:t>
            </w:r>
            <w:r w:rsidRPr="002D4DF5">
              <w:rPr>
                <w:rFonts w:asciiTheme="majorHAnsi" w:eastAsiaTheme="majorEastAsia" w:hAnsiTheme="majorHAnsi" w:cstheme="majorBidi"/>
                <w:bCs/>
                <w:color w:val="FFFFFF" w:themeColor="background1"/>
                <w:sz w:val="28"/>
                <w:szCs w:val="72"/>
                <w:lang w:val="pt-PT"/>
              </w:rPr>
              <w:t xml:space="preserve">2014 | </w:t>
            </w:r>
            <w:r w:rsidR="002D4DF5" w:rsidRPr="002D4DF5">
              <w:rPr>
                <w:rFonts w:asciiTheme="majorHAnsi" w:eastAsiaTheme="majorEastAsia" w:hAnsiTheme="majorHAnsi" w:cstheme="majorBidi"/>
                <w:bCs/>
                <w:color w:val="FFFFFF" w:themeColor="background1"/>
                <w:sz w:val="28"/>
                <w:szCs w:val="72"/>
                <w:lang w:val="pt-PT"/>
              </w:rPr>
              <w:t>NÚMERO</w:t>
            </w:r>
            <w:r w:rsidRPr="002D4DF5">
              <w:rPr>
                <w:rFonts w:asciiTheme="majorHAnsi" w:eastAsiaTheme="majorEastAsia" w:hAnsiTheme="majorHAnsi" w:cstheme="majorBidi"/>
                <w:bCs/>
                <w:color w:val="FFFFFF" w:themeColor="background1"/>
                <w:sz w:val="28"/>
                <w:szCs w:val="72"/>
                <w:lang w:val="pt-PT"/>
              </w:rPr>
              <w:t xml:space="preserve"> 2</w:t>
            </w:r>
          </w:p>
        </w:tc>
      </w:tr>
      <w:tr w:rsidR="006B65C5" w:rsidRPr="0005246F" w:rsidTr="00817AE8">
        <w:trPr>
          <w:trHeight w:val="180"/>
        </w:trPr>
        <w:tc>
          <w:tcPr>
            <w:tcW w:w="1188" w:type="dxa"/>
            <w:tcBorders>
              <w:right w:val="single" w:sz="4" w:space="0" w:color="000000" w:themeColor="text1"/>
            </w:tcBorders>
          </w:tcPr>
          <w:p w:rsidR="006B65C5" w:rsidRPr="0005246F" w:rsidRDefault="006B65C5" w:rsidP="00817AE8"/>
        </w:tc>
        <w:tc>
          <w:tcPr>
            <w:tcW w:w="4230" w:type="dxa"/>
            <w:tcBorders>
              <w:left w:val="single" w:sz="4" w:space="0" w:color="000000" w:themeColor="text1"/>
            </w:tcBorders>
            <w:vAlign w:val="center"/>
          </w:tcPr>
          <w:p w:rsidR="006B65C5" w:rsidRPr="0005246F" w:rsidRDefault="006B65C5" w:rsidP="00817AE8">
            <w:pPr>
              <w:pStyle w:val="NoSpacing"/>
              <w:rPr>
                <w:color w:val="76923C" w:themeColor="accent3" w:themeShade="BF"/>
                <w:lang w:val="en-US"/>
              </w:rPr>
            </w:pPr>
          </w:p>
        </w:tc>
      </w:tr>
    </w:tbl>
    <w:p w:rsidR="006B65C5" w:rsidRDefault="004F553E" w:rsidP="009C480F">
      <w:pPr>
        <w:jc w:val="right"/>
        <w:rPr>
          <w:rFonts w:cs="Times New Roman"/>
        </w:rPr>
      </w:pPr>
      <w:bookmarkStart w:id="0" w:name="_Toc382590111"/>
      <w:r>
        <w:rPr>
          <w:noProof/>
        </w:rPr>
        <mc:AlternateContent>
          <mc:Choice Requires="wps">
            <w:drawing>
              <wp:anchor distT="0" distB="0" distL="114300" distR="114300" simplePos="0" relativeHeight="251704320" behindDoc="0" locked="0" layoutInCell="1" allowOverlap="1">
                <wp:simplePos x="0" y="0"/>
                <wp:positionH relativeFrom="column">
                  <wp:posOffset>2186305</wp:posOffset>
                </wp:positionH>
                <wp:positionV relativeFrom="paragraph">
                  <wp:posOffset>-609600</wp:posOffset>
                </wp:positionV>
                <wp:extent cx="1628775" cy="5238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1628775"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553E" w:rsidRPr="004F553E" w:rsidRDefault="004F553E">
                            <w:pPr>
                              <w:rPr>
                                <w:rFonts w:ascii="Arial" w:hAnsi="Arial" w:cs="Arial"/>
                                <w:sz w:val="44"/>
                                <w:szCs w:val="44"/>
                              </w:rPr>
                            </w:pPr>
                            <w:r w:rsidRPr="004F553E">
                              <w:rPr>
                                <w:rFonts w:ascii="Arial" w:hAnsi="Arial" w:cs="Arial"/>
                                <w:sz w:val="44"/>
                                <w:szCs w:val="44"/>
                              </w:rPr>
                              <w:t>AUS6794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2.15pt;margin-top:-48pt;width:128.25pt;height:41.2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" fillcolor="white [3201]" stroked="f" strokeweight=".5pt">
                <v:textbox>
                  <w:txbxContent>
                    <w:p w:rsidR="004F553E" w:rsidRPr="004F553E" w:rsidRDefault="004F553E">
                      <w:pPr>
                        <w:rPr>
                          <w:rFonts w:ascii="Arial" w:hAnsi="Arial" w:cs="Arial"/>
                          <w:sz w:val="44"/>
                          <w:szCs w:val="44"/>
                        </w:rPr>
                      </w:pPr>
                      <w:r w:rsidRPr="004F553E">
                        <w:rPr>
                          <w:rFonts w:ascii="Arial" w:hAnsi="Arial" w:cs="Arial"/>
                          <w:sz w:val="44"/>
                          <w:szCs w:val="44"/>
                        </w:rPr>
                        <w:t>AUS6794</w:t>
                      </w:r>
                    </w:p>
                  </w:txbxContent>
                </v:textbox>
              </v:shape>
            </w:pict>
          </mc:Fallback>
        </mc:AlternateContent>
      </w:r>
      <w:r w:rsidR="006B65C5" w:rsidRPr="0005246F">
        <w:rPr>
          <w:noProof/>
        </w:rPr>
        <w:drawing>
          <wp:inline distT="0" distB="0" distL="0" distR="0" wp14:anchorId="6A2D51D8" wp14:editId="67A9C380">
            <wp:extent cx="2970742" cy="2205087"/>
            <wp:effectExtent l="0" t="0" r="127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U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0537" cy="2204935"/>
                    </a:xfrm>
                    <a:prstGeom prst="rect">
                      <a:avLst/>
                    </a:prstGeom>
                  </pic:spPr>
                </pic:pic>
              </a:graphicData>
            </a:graphic>
          </wp:inline>
        </w:drawing>
      </w:r>
      <w:bookmarkEnd w:id="0"/>
    </w:p>
    <w:bookmarkStart w:id="1" w:name="_Toc382590112"/>
    <w:p w:rsidR="006B65C5" w:rsidRDefault="0026323F" w:rsidP="009C480F">
      <w:pPr>
        <w:rPr>
          <w:rFonts w:cs="Times New Roman"/>
        </w:rPr>
      </w:pPr>
      <w:r>
        <w:rPr>
          <w:noProof/>
        </w:rPr>
        <mc:AlternateContent>
          <mc:Choice Requires="wps">
            <w:drawing>
              <wp:anchor distT="0" distB="0" distL="114300" distR="114300" simplePos="0" relativeHeight="251661312" behindDoc="0" locked="0" layoutInCell="1" allowOverlap="1">
                <wp:simplePos x="0" y="0"/>
                <wp:positionH relativeFrom="column">
                  <wp:posOffset>-457835</wp:posOffset>
                </wp:positionH>
                <wp:positionV relativeFrom="paragraph">
                  <wp:posOffset>66040</wp:posOffset>
                </wp:positionV>
                <wp:extent cx="6840220" cy="259080"/>
                <wp:effectExtent l="0" t="0" r="17780" b="26670"/>
                <wp:wrapNone/>
                <wp:docPr id="13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259080"/>
                        </a:xfrm>
                        <a:custGeom>
                          <a:avLst/>
                          <a:gdLst>
                            <a:gd name="T0" fmla="*/ 0 w 10080"/>
                            <a:gd name="T1" fmla="*/ 218 h 408"/>
                            <a:gd name="T2" fmla="*/ 489 w 10080"/>
                            <a:gd name="T3" fmla="*/ 218 h 408"/>
                            <a:gd name="T4" fmla="*/ 557 w 10080"/>
                            <a:gd name="T5" fmla="*/ 0 h 408"/>
                            <a:gd name="T6" fmla="*/ 598 w 10080"/>
                            <a:gd name="T7" fmla="*/ 408 h 408"/>
                            <a:gd name="T8" fmla="*/ 666 w 10080"/>
                            <a:gd name="T9" fmla="*/ 218 h 408"/>
                            <a:gd name="T10" fmla="*/ 10080 w 10080"/>
                            <a:gd name="T11" fmla="*/ 218 h 408"/>
                          </a:gdLst>
                          <a:ahLst/>
                          <a:cxnLst>
                            <a:cxn ang="0">
                              <a:pos x="T0" y="T1"/>
                            </a:cxn>
                            <a:cxn ang="0">
                              <a:pos x="T2" y="T3"/>
                            </a:cxn>
                            <a:cxn ang="0">
                              <a:pos x="T4" y="T5"/>
                            </a:cxn>
                            <a:cxn ang="0">
                              <a:pos x="T6" y="T7"/>
                            </a:cxn>
                            <a:cxn ang="0">
                              <a:pos x="T8" y="T9"/>
                            </a:cxn>
                            <a:cxn ang="0">
                              <a:pos x="T10" y="T11"/>
                            </a:cxn>
                          </a:cxnLst>
                          <a:rect l="0" t="0" r="r" b="b"/>
                          <a:pathLst>
                            <a:path w="10080" h="408">
                              <a:moveTo>
                                <a:pt x="0" y="218"/>
                              </a:moveTo>
                              <a:lnTo>
                                <a:pt x="489" y="218"/>
                              </a:lnTo>
                              <a:lnTo>
                                <a:pt x="557" y="0"/>
                              </a:lnTo>
                              <a:lnTo>
                                <a:pt x="598" y="408"/>
                              </a:lnTo>
                              <a:lnTo>
                                <a:pt x="666" y="218"/>
                              </a:lnTo>
                              <a:lnTo>
                                <a:pt x="10080" y="218"/>
                              </a:lnTo>
                            </a:path>
                          </a:pathLst>
                        </a:custGeom>
                        <a:noFill/>
                        <a:ln w="25400">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 o:spid="_x0000_s1026" style="position:absolute;margin-left:-36.05pt;margin-top:5.2pt;width:538.6pt;height:2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80,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" path="m,218r489,l557,r41,408l666,218r9414,e" filled="f" strokecolor="#943634 [2405]" strokeweight="2pt">
                <v:path arrowok="t" o:connecttype="custom" o:connectlocs="0,138430;331832,138430;377976,0;405799,259080;451943,138430;6840220,138430" o:connectangles="0,0,0,0,0,0"/>
              </v:shape>
            </w:pict>
          </mc:Fallback>
        </mc:AlternateContent>
      </w:r>
      <w:bookmarkEnd w:id="1"/>
    </w:p>
    <w:p w:rsidR="006B65C5" w:rsidRDefault="006B65C5" w:rsidP="00697BE6">
      <w:pPr>
        <w:pStyle w:val="Heading1"/>
        <w:numPr>
          <w:ilvl w:val="0"/>
          <w:numId w:val="0"/>
        </w:numPr>
        <w:spacing w:before="0"/>
        <w:ind w:left="720"/>
        <w:rPr>
          <w:rFonts w:ascii="Times New Roman" w:hAnsi="Times New Roman" w:cs="Times New Roman"/>
          <w:sz w:val="22"/>
          <w:szCs w:val="22"/>
        </w:rPr>
      </w:pPr>
    </w:p>
    <w:p w:rsidR="006B65C5" w:rsidRPr="00794392" w:rsidRDefault="00794392" w:rsidP="006B65C5">
      <w:pPr>
        <w:pStyle w:val="NoSpacing"/>
        <w:jc w:val="right"/>
        <w:rPr>
          <w:rFonts w:ascii="Lucida Bright" w:hAnsi="Lucida Bright"/>
          <w:i/>
          <w:sz w:val="20"/>
          <w:lang w:val="pt-PT"/>
        </w:rPr>
      </w:pPr>
      <w:r w:rsidRPr="00794392">
        <w:rPr>
          <w:rFonts w:ascii="Lucida Bright" w:hAnsi="Lucida Bright"/>
          <w:i/>
          <w:lang w:val="pt-PT"/>
        </w:rPr>
        <w:t xml:space="preserve">Desenvolvimentos e questões económicas que </w:t>
      </w:r>
      <w:r>
        <w:rPr>
          <w:rFonts w:ascii="Lucida Bright" w:hAnsi="Lucida Bright"/>
          <w:i/>
          <w:lang w:val="pt-PT"/>
        </w:rPr>
        <w:t>estão a moldar o</w:t>
      </w:r>
      <w:r w:rsidRPr="00794392">
        <w:rPr>
          <w:rFonts w:ascii="Lucida Bright" w:hAnsi="Lucida Bright"/>
          <w:i/>
          <w:lang w:val="pt-PT"/>
        </w:rPr>
        <w:t xml:space="preserve"> futur</w:t>
      </w:r>
      <w:r>
        <w:rPr>
          <w:rFonts w:ascii="Lucida Bright" w:hAnsi="Lucida Bright"/>
          <w:i/>
          <w:lang w:val="pt-PT"/>
        </w:rPr>
        <w:t>o</w:t>
      </w:r>
      <w:r w:rsidRPr="00794392">
        <w:rPr>
          <w:rFonts w:ascii="Lucida Bright" w:hAnsi="Lucida Bright"/>
          <w:i/>
          <w:lang w:val="pt-PT"/>
        </w:rPr>
        <w:t xml:space="preserve"> de Angola</w:t>
      </w:r>
    </w:p>
    <w:p w:rsidR="006B65C5" w:rsidRPr="00794392" w:rsidRDefault="006B65C5" w:rsidP="006B65C5">
      <w:pPr>
        <w:pStyle w:val="NoSpacing"/>
        <w:rPr>
          <w:lang w:val="pt-PT"/>
        </w:rPr>
      </w:pPr>
    </w:p>
    <w:tbl>
      <w:tblPr>
        <w:tblStyle w:val="TableGrid"/>
        <w:tblW w:w="0" w:type="auto"/>
        <w:jc w:val="center"/>
        <w:tblInd w:w="-1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7"/>
        <w:gridCol w:w="351"/>
        <w:gridCol w:w="3645"/>
      </w:tblGrid>
      <w:tr w:rsidR="006B65C5" w:rsidRPr="004E1715" w:rsidTr="005808B8">
        <w:trPr>
          <w:jc w:val="center"/>
        </w:trPr>
        <w:tc>
          <w:tcPr>
            <w:tcW w:w="7137" w:type="dxa"/>
          </w:tcPr>
          <w:p w:rsidR="006B65C5" w:rsidRPr="00794392" w:rsidRDefault="006B65C5" w:rsidP="00817AE8">
            <w:pPr>
              <w:pStyle w:val="NoSpacing"/>
              <w:ind w:left="-157" w:firstLine="157"/>
              <w:jc w:val="left"/>
              <w:rPr>
                <w:lang w:val="pt-PT"/>
              </w:rPr>
            </w:pPr>
            <w:r w:rsidRPr="00794392">
              <w:rPr>
                <w:noProof/>
                <w:lang w:val="en-US"/>
              </w:rPr>
              <w:drawing>
                <wp:inline distT="0" distB="0" distL="0" distR="0">
                  <wp:extent cx="4200525" cy="4189634"/>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ola Map JPE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09217" cy="4198303"/>
                          </a:xfrm>
                          <a:prstGeom prst="rect">
                            <a:avLst/>
                          </a:prstGeom>
                        </pic:spPr>
                      </pic:pic>
                    </a:graphicData>
                  </a:graphic>
                </wp:inline>
              </w:drawing>
            </w:r>
          </w:p>
        </w:tc>
        <w:tc>
          <w:tcPr>
            <w:tcW w:w="351" w:type="dxa"/>
          </w:tcPr>
          <w:p w:rsidR="006B65C5" w:rsidRPr="00794392" w:rsidRDefault="0026323F" w:rsidP="00817AE8">
            <w:pPr>
              <w:pStyle w:val="NoSpacing"/>
              <w:jc w:val="left"/>
              <w:rPr>
                <w:lang w:val="pt-PT"/>
              </w:rPr>
            </w:pPr>
            <w:r>
              <w:rPr>
                <w:noProof/>
                <w:lang w:val="en-US"/>
              </w:rPr>
              <mc:AlternateContent>
                <mc:Choice Requires="wps">
                  <w:drawing>
                    <wp:anchor distT="0" distB="0" distL="114300" distR="114300" simplePos="0" relativeHeight="251663360" behindDoc="0" locked="0" layoutInCell="1" allowOverlap="1">
                      <wp:simplePos x="0" y="0"/>
                      <wp:positionH relativeFrom="column">
                        <wp:posOffset>15240</wp:posOffset>
                      </wp:positionH>
                      <wp:positionV relativeFrom="paragraph">
                        <wp:posOffset>543560</wp:posOffset>
                      </wp:positionV>
                      <wp:extent cx="8890" cy="2941955"/>
                      <wp:effectExtent l="0" t="0" r="29210" b="10795"/>
                      <wp:wrapNone/>
                      <wp:docPr id="13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2941955"/>
                              </a:xfrm>
                              <a:prstGeom prst="straightConnector1">
                                <a:avLst/>
                              </a:prstGeom>
                              <a:noFill/>
                              <a:ln w="15875">
                                <a:solidFill>
                                  <a:schemeClr val="accent2">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1.2pt;margin-top:42.8pt;width:.7pt;height:231.6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" strokecolor="#943634 [2405]" strokeweight="1.25pt"/>
                  </w:pict>
                </mc:Fallback>
              </mc:AlternateContent>
            </w:r>
          </w:p>
        </w:tc>
        <w:tc>
          <w:tcPr>
            <w:tcW w:w="3645" w:type="dxa"/>
          </w:tcPr>
          <w:p w:rsidR="007928D5" w:rsidRPr="004D0E90" w:rsidRDefault="004D0E90" w:rsidP="00817AE8">
            <w:pPr>
              <w:pStyle w:val="NoSpacing"/>
              <w:jc w:val="left"/>
              <w:rPr>
                <w:rFonts w:ascii="Lucida Bright" w:hAnsi="Lucida Bright"/>
                <w:lang w:val="pt-PT"/>
              </w:rPr>
            </w:pPr>
            <w:r w:rsidRPr="004D0E90">
              <w:rPr>
                <w:rFonts w:ascii="Lucida Bright" w:hAnsi="Lucida Bright"/>
                <w:lang w:val="pt-PT"/>
              </w:rPr>
              <w:t>Embora</w:t>
            </w:r>
            <w:r w:rsidR="00794392" w:rsidRPr="004D0E90">
              <w:rPr>
                <w:rFonts w:ascii="Lucida Bright" w:hAnsi="Lucida Bright"/>
                <w:lang w:val="pt-PT"/>
              </w:rPr>
              <w:t xml:space="preserve"> o sector não petrolífero tenha registado um crescimento robusto em 2013, os desenvolvimentos económicos nesse mesmo ano realçam a vulnerabilidad</w:t>
            </w:r>
            <w:bookmarkStart w:id="2" w:name="_GoBack"/>
            <w:bookmarkEnd w:id="2"/>
            <w:r w:rsidR="00794392" w:rsidRPr="004D0E90">
              <w:rPr>
                <w:rFonts w:ascii="Lucida Bright" w:hAnsi="Lucida Bright"/>
                <w:lang w:val="pt-PT"/>
              </w:rPr>
              <w:t>e de Angola ao desempenho do sector do petróleo. A expansão do sector não petrolífero</w:t>
            </w:r>
            <w:r w:rsidRPr="004D0E90">
              <w:rPr>
                <w:rFonts w:ascii="Lucida Bright" w:hAnsi="Lucida Bright"/>
                <w:lang w:val="pt-PT"/>
              </w:rPr>
              <w:t>,</w:t>
            </w:r>
            <w:r w:rsidR="00794392" w:rsidRPr="004D0E90">
              <w:rPr>
                <w:rFonts w:ascii="Lucida Bright" w:hAnsi="Lucida Bright"/>
                <w:lang w:val="pt-PT"/>
              </w:rPr>
              <w:t xml:space="preserve"> a par das reformas na área da competitividade fiscal e das exportações</w:t>
            </w:r>
            <w:r w:rsidRPr="004D0E90">
              <w:rPr>
                <w:rFonts w:ascii="Lucida Bright" w:hAnsi="Lucida Bright"/>
                <w:lang w:val="pt-PT"/>
              </w:rPr>
              <w:t>,</w:t>
            </w:r>
            <w:r w:rsidR="00794392" w:rsidRPr="004D0E90">
              <w:rPr>
                <w:rFonts w:ascii="Lucida Bright" w:hAnsi="Lucida Bright"/>
                <w:lang w:val="pt-PT"/>
              </w:rPr>
              <w:t xml:space="preserve"> ir</w:t>
            </w:r>
            <w:r w:rsidRPr="004D0E90">
              <w:rPr>
                <w:rFonts w:ascii="Lucida Bright" w:hAnsi="Lucida Bright"/>
                <w:lang w:val="pt-PT"/>
              </w:rPr>
              <w:t>á</w:t>
            </w:r>
            <w:r w:rsidR="00794392" w:rsidRPr="004D0E90">
              <w:rPr>
                <w:rFonts w:ascii="Lucida Bright" w:hAnsi="Lucida Bright"/>
                <w:lang w:val="pt-PT"/>
              </w:rPr>
              <w:t xml:space="preserve"> contribuir para a redução desta vulnerabilidade. </w:t>
            </w:r>
          </w:p>
          <w:p w:rsidR="007928D5" w:rsidRPr="004D0E90" w:rsidRDefault="0063222F" w:rsidP="00817AE8">
            <w:pPr>
              <w:pStyle w:val="NoSpacing"/>
              <w:jc w:val="left"/>
              <w:rPr>
                <w:rFonts w:ascii="Lucida Bright" w:hAnsi="Lucida Bright"/>
                <w:lang w:val="pt-PT"/>
              </w:rPr>
            </w:pPr>
            <w:r w:rsidRPr="004D0E90">
              <w:rPr>
                <w:rFonts w:ascii="Lucida Bright" w:hAnsi="Lucida Bright"/>
                <w:lang w:val="pt-PT"/>
              </w:rPr>
              <w:t xml:space="preserve"> </w:t>
            </w:r>
          </w:p>
          <w:p w:rsidR="006B65C5" w:rsidRDefault="00EA4F41" w:rsidP="004D0E90">
            <w:pPr>
              <w:pStyle w:val="NoSpacing"/>
              <w:jc w:val="left"/>
              <w:rPr>
                <w:rFonts w:ascii="Lucida Bright" w:hAnsi="Lucida Bright"/>
                <w:lang w:val="pt-PT"/>
              </w:rPr>
            </w:pPr>
            <w:r w:rsidRPr="004D0E90">
              <w:rPr>
                <w:rFonts w:ascii="Lucida Bright" w:hAnsi="Lucida Bright"/>
                <w:lang w:val="pt-PT"/>
              </w:rPr>
              <w:t>O desenvolvimento do sector não petrolífero requer infraestruturas de alta qualidade. O sistema de Gestão do Investimento Público</w:t>
            </w:r>
            <w:r w:rsidR="002D4DF5">
              <w:rPr>
                <w:rFonts w:ascii="Lucida Bright" w:hAnsi="Lucida Bright"/>
                <w:lang w:val="pt-PT"/>
              </w:rPr>
              <w:t xml:space="preserve"> (PIM)</w:t>
            </w:r>
            <w:r w:rsidRPr="004D0E90">
              <w:rPr>
                <w:rFonts w:ascii="Lucida Bright" w:hAnsi="Lucida Bright"/>
                <w:lang w:val="pt-PT"/>
              </w:rPr>
              <w:t xml:space="preserve"> é</w:t>
            </w:r>
            <w:r w:rsidR="004D0E90" w:rsidRPr="004D0E90">
              <w:rPr>
                <w:rFonts w:ascii="Lucida Bright" w:hAnsi="Lucida Bright"/>
                <w:lang w:val="pt-PT"/>
              </w:rPr>
              <w:t xml:space="preserve"> fundamental para garantir a elevada qualidade das infraestruturas públicas. O Governo Angolano envidou esforços significativos para reforçar a qualidade do sistema, embora continuem a existir desafios.</w:t>
            </w:r>
          </w:p>
          <w:p w:rsidR="004D0E90" w:rsidRPr="004D0E90" w:rsidRDefault="004D0E90" w:rsidP="004D0E90">
            <w:pPr>
              <w:pStyle w:val="NoSpacing"/>
              <w:jc w:val="left"/>
              <w:rPr>
                <w:rFonts w:ascii="Lucida Bright" w:hAnsi="Lucida Bright"/>
                <w:lang w:val="pt-PT"/>
              </w:rPr>
            </w:pPr>
          </w:p>
        </w:tc>
      </w:tr>
    </w:tbl>
    <w:p w:rsidR="005808B8" w:rsidRPr="005E469D" w:rsidRDefault="005808B8" w:rsidP="005808B8">
      <w:pPr>
        <w:pStyle w:val="NoSpacing"/>
        <w:jc w:val="center"/>
        <w:rPr>
          <w:rFonts w:asciiTheme="majorHAnsi" w:hAnsiTheme="majorHAnsi"/>
          <w:b/>
          <w:color w:val="943634" w:themeColor="accent2" w:themeShade="BF"/>
          <w:sz w:val="36"/>
          <w:lang w:val="pt-PT"/>
        </w:rPr>
      </w:pPr>
      <w:r w:rsidRPr="005E469D">
        <w:rPr>
          <w:rFonts w:asciiTheme="majorHAnsi" w:hAnsiTheme="majorHAnsi"/>
          <w:b/>
          <w:color w:val="943634" w:themeColor="accent2" w:themeShade="BF"/>
          <w:sz w:val="36"/>
          <w:lang w:val="pt-PT"/>
        </w:rPr>
        <w:t>ANGOLA ECONOMIC UPDATE</w:t>
      </w:r>
    </w:p>
    <w:p w:rsidR="005808B8" w:rsidRPr="005E469D" w:rsidRDefault="004E1715" w:rsidP="005808B8">
      <w:pPr>
        <w:pStyle w:val="NoSpacing"/>
        <w:jc w:val="center"/>
        <w:rPr>
          <w:color w:val="595959" w:themeColor="text1" w:themeTint="A6"/>
          <w:sz w:val="24"/>
          <w:lang w:val="pt-PT"/>
        </w:rPr>
      </w:pPr>
      <w:r w:rsidRPr="004E1715">
        <w:rPr>
          <w:rFonts w:asciiTheme="majorHAnsi" w:hAnsiTheme="majorHAnsi"/>
          <w:color w:val="595959" w:themeColor="text1" w:themeTint="A6"/>
          <w:sz w:val="32"/>
          <w:lang w:val="pt-PT"/>
        </w:rPr>
        <w:t>JUNHO</w:t>
      </w:r>
      <w:r w:rsidR="00127AE8" w:rsidRPr="005E469D">
        <w:rPr>
          <w:rFonts w:asciiTheme="majorHAnsi" w:hAnsiTheme="majorHAnsi"/>
          <w:color w:val="595959" w:themeColor="text1" w:themeTint="A6"/>
          <w:sz w:val="32"/>
          <w:lang w:val="pt-PT"/>
        </w:rPr>
        <w:t xml:space="preserve"> </w:t>
      </w:r>
      <w:r w:rsidR="009155BF" w:rsidRPr="005E469D">
        <w:rPr>
          <w:rFonts w:asciiTheme="majorHAnsi" w:hAnsiTheme="majorHAnsi"/>
          <w:color w:val="595959" w:themeColor="text1" w:themeTint="A6"/>
          <w:sz w:val="32"/>
          <w:lang w:val="pt-PT"/>
        </w:rPr>
        <w:t>2014</w:t>
      </w:r>
      <w:r w:rsidR="000A5FD0" w:rsidRPr="005E469D">
        <w:rPr>
          <w:rFonts w:asciiTheme="majorHAnsi" w:hAnsiTheme="majorHAnsi"/>
          <w:color w:val="595959" w:themeColor="text1" w:themeTint="A6"/>
          <w:sz w:val="32"/>
          <w:lang w:val="pt-PT"/>
        </w:rPr>
        <w:t xml:space="preserve"> | </w:t>
      </w:r>
      <w:r w:rsidR="000A5FD0" w:rsidRPr="000A5FD0">
        <w:rPr>
          <w:rFonts w:asciiTheme="majorHAnsi" w:hAnsiTheme="majorHAnsi"/>
          <w:color w:val="595959" w:themeColor="text1" w:themeTint="A6"/>
          <w:sz w:val="32"/>
          <w:lang w:val="pt-PT"/>
        </w:rPr>
        <w:t>Número</w:t>
      </w:r>
      <w:r w:rsidR="005808B8" w:rsidRPr="000A5FD0">
        <w:rPr>
          <w:rFonts w:asciiTheme="majorHAnsi" w:hAnsiTheme="majorHAnsi"/>
          <w:color w:val="595959" w:themeColor="text1" w:themeTint="A6"/>
          <w:sz w:val="32"/>
          <w:lang w:val="pt-PT"/>
        </w:rPr>
        <w:t xml:space="preserve"> </w:t>
      </w:r>
      <w:r w:rsidR="009155BF" w:rsidRPr="000A5FD0">
        <w:rPr>
          <w:rFonts w:asciiTheme="majorHAnsi" w:hAnsiTheme="majorHAnsi"/>
          <w:color w:val="595959" w:themeColor="text1" w:themeTint="A6"/>
          <w:sz w:val="32"/>
          <w:lang w:val="pt-PT"/>
        </w:rPr>
        <w:t>2</w:t>
      </w:r>
    </w:p>
    <w:p w:rsidR="005808B8" w:rsidRPr="005E469D" w:rsidRDefault="005808B8" w:rsidP="005808B8">
      <w:pPr>
        <w:pStyle w:val="NoSpacing"/>
        <w:rPr>
          <w:lang w:val="pt-PT"/>
        </w:rPr>
      </w:pPr>
    </w:p>
    <w:p w:rsidR="005808B8" w:rsidRPr="005E469D" w:rsidRDefault="005808B8" w:rsidP="005808B8">
      <w:pPr>
        <w:pStyle w:val="NoSpacing"/>
        <w:rPr>
          <w:lang w:val="pt-PT"/>
        </w:rPr>
      </w:pPr>
    </w:p>
    <w:p w:rsidR="005808B8" w:rsidRPr="005E469D" w:rsidRDefault="005808B8" w:rsidP="005808B8">
      <w:pPr>
        <w:pStyle w:val="NoSpacing"/>
        <w:rPr>
          <w:lang w:val="pt-P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450"/>
        <w:gridCol w:w="8298"/>
      </w:tblGrid>
      <w:tr w:rsidR="005808B8" w:rsidRPr="0005246F" w:rsidTr="00817AE8">
        <w:tc>
          <w:tcPr>
            <w:tcW w:w="1548" w:type="dxa"/>
            <w:vAlign w:val="center"/>
          </w:tcPr>
          <w:p w:rsidR="005808B8" w:rsidRPr="005E469D" w:rsidRDefault="005808B8" w:rsidP="00817AE8">
            <w:pPr>
              <w:pStyle w:val="NoSpacing"/>
              <w:jc w:val="left"/>
              <w:rPr>
                <w:lang w:val="pt-PT"/>
              </w:rPr>
            </w:pPr>
          </w:p>
        </w:tc>
        <w:tc>
          <w:tcPr>
            <w:tcW w:w="450" w:type="dxa"/>
            <w:vMerge w:val="restart"/>
            <w:vAlign w:val="center"/>
          </w:tcPr>
          <w:p w:rsidR="005808B8" w:rsidRPr="005E469D" w:rsidRDefault="005808B8" w:rsidP="00817AE8">
            <w:pPr>
              <w:pStyle w:val="NoSpacing"/>
              <w:jc w:val="left"/>
              <w:rPr>
                <w:lang w:val="pt-PT"/>
              </w:rPr>
            </w:pPr>
          </w:p>
        </w:tc>
        <w:tc>
          <w:tcPr>
            <w:tcW w:w="8298" w:type="dxa"/>
            <w:vAlign w:val="center"/>
          </w:tcPr>
          <w:p w:rsidR="005808B8" w:rsidRPr="002E1A5A" w:rsidRDefault="00D567F3" w:rsidP="00D567F3">
            <w:pPr>
              <w:pStyle w:val="Heading1"/>
              <w:spacing w:before="0"/>
              <w:outlineLvl w:val="0"/>
              <w:rPr>
                <w:lang w:val="pt-PT"/>
              </w:rPr>
            </w:pPr>
            <w:bookmarkStart w:id="3" w:name="_Toc349150422"/>
            <w:bookmarkStart w:id="4" w:name="_Toc349391116"/>
            <w:bookmarkStart w:id="5" w:name="_Toc349668940"/>
            <w:bookmarkStart w:id="6" w:name="_Toc349818322"/>
            <w:bookmarkStart w:id="7" w:name="_Toc391261693"/>
            <w:r w:rsidRPr="002E1A5A">
              <w:rPr>
                <w:lang w:val="pt-PT"/>
              </w:rPr>
              <w:t>Índice</w:t>
            </w:r>
            <w:bookmarkEnd w:id="3"/>
            <w:bookmarkEnd w:id="4"/>
            <w:bookmarkEnd w:id="5"/>
            <w:bookmarkEnd w:id="6"/>
            <w:bookmarkEnd w:id="7"/>
          </w:p>
        </w:tc>
      </w:tr>
      <w:tr w:rsidR="005808B8" w:rsidRPr="0005246F" w:rsidTr="00817AE8">
        <w:trPr>
          <w:trHeight w:val="386"/>
        </w:trPr>
        <w:tc>
          <w:tcPr>
            <w:tcW w:w="1548" w:type="dxa"/>
            <w:vAlign w:val="center"/>
          </w:tcPr>
          <w:p w:rsidR="005808B8" w:rsidRPr="0005246F" w:rsidRDefault="0026323F" w:rsidP="00817AE8">
            <w:pPr>
              <w:pStyle w:val="NoSpacing"/>
              <w:jc w:val="left"/>
              <w:rPr>
                <w:lang w:val="en-US"/>
              </w:rPr>
            </w:pPr>
            <w:r>
              <w:rPr>
                <w:noProof/>
                <w:lang w:val="en-US"/>
              </w:rPr>
              <mc:AlternateContent>
                <mc:Choice Requires="wps">
                  <w:drawing>
                    <wp:anchor distT="0" distB="0" distL="114300" distR="114300" simplePos="0" relativeHeight="251671552" behindDoc="0" locked="0" layoutInCell="1" allowOverlap="1">
                      <wp:simplePos x="0" y="0"/>
                      <wp:positionH relativeFrom="column">
                        <wp:posOffset>-54610</wp:posOffset>
                      </wp:positionH>
                      <wp:positionV relativeFrom="paragraph">
                        <wp:posOffset>-10160</wp:posOffset>
                      </wp:positionV>
                      <wp:extent cx="909320" cy="146685"/>
                      <wp:effectExtent l="0" t="0" r="5080" b="5715"/>
                      <wp:wrapNone/>
                      <wp:docPr id="13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146685"/>
                              </a:xfrm>
                              <a:prstGeom prst="rect">
                                <a:avLst/>
                              </a:prstGeom>
                              <a:gradFill rotWithShape="1">
                                <a:gsLst>
                                  <a:gs pos="60000">
                                    <a:schemeClr val="bg1">
                                      <a:lumMod val="75000"/>
                                      <a:lumOff val="0"/>
                                    </a:schemeClr>
                                  </a:gs>
                                  <a:gs pos="100000">
                                    <a:schemeClr val="bg1">
                                      <a:lumMod val="50000"/>
                                    </a:schemeClr>
                                  </a:gs>
                                </a:gsLst>
                                <a:lin ang="5400000" scaled="1"/>
                              </a:gra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4.3pt;margin-top:-.8pt;width:71.6pt;height:11.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" fillcolor="#bfbfbf [2412]" stroked="f">
                      <v:fill color2="#7f7f7f [1612]" rotate="t" colors="0 #bfbfbf;39322f #bfbfbf" focus="100%" type="gradient"/>
                    </v:rect>
                  </w:pict>
                </mc:Fallback>
              </mc:AlternateContent>
            </w:r>
          </w:p>
        </w:tc>
        <w:tc>
          <w:tcPr>
            <w:tcW w:w="450" w:type="dxa"/>
            <w:vMerge/>
            <w:vAlign w:val="center"/>
          </w:tcPr>
          <w:p w:rsidR="005808B8" w:rsidRPr="0005246F" w:rsidRDefault="005808B8" w:rsidP="00817AE8">
            <w:pPr>
              <w:pStyle w:val="NoSpacing"/>
              <w:jc w:val="left"/>
              <w:rPr>
                <w:lang w:val="en-US"/>
              </w:rPr>
            </w:pPr>
          </w:p>
        </w:tc>
        <w:tc>
          <w:tcPr>
            <w:tcW w:w="8298" w:type="dxa"/>
            <w:vAlign w:val="center"/>
          </w:tcPr>
          <w:p w:rsidR="005808B8" w:rsidRPr="0005246F" w:rsidRDefault="0026323F" w:rsidP="00817AE8">
            <w:pPr>
              <w:pStyle w:val="NoSpacing"/>
              <w:jc w:val="left"/>
              <w:rPr>
                <w:lang w:val="en-US"/>
              </w:rPr>
            </w:pPr>
            <w:r>
              <w:rPr>
                <w:noProof/>
                <w:lang w:val="en-US"/>
              </w:rPr>
              <mc:AlternateContent>
                <mc:Choice Requires="wps">
                  <w:drawing>
                    <wp:anchor distT="0" distB="0" distL="114300" distR="114300" simplePos="0" relativeHeight="251670528" behindDoc="0" locked="0" layoutInCell="1" allowOverlap="1">
                      <wp:simplePos x="0" y="0"/>
                      <wp:positionH relativeFrom="column">
                        <wp:posOffset>-52070</wp:posOffset>
                      </wp:positionH>
                      <wp:positionV relativeFrom="paragraph">
                        <wp:posOffset>-8890</wp:posOffset>
                      </wp:positionV>
                      <wp:extent cx="5186045" cy="146685"/>
                      <wp:effectExtent l="0" t="0" r="0" b="5715"/>
                      <wp:wrapNone/>
                      <wp:docPr id="12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6045" cy="146685"/>
                              </a:xfrm>
                              <a:prstGeom prst="rect">
                                <a:avLst/>
                              </a:prstGeom>
                              <a:gradFill>
                                <a:gsLst>
                                  <a:gs pos="70000">
                                    <a:schemeClr val="accent2">
                                      <a:lumMod val="75000"/>
                                    </a:schemeClr>
                                  </a:gs>
                                  <a:gs pos="100000">
                                    <a:schemeClr val="accent2">
                                      <a:lumMod val="50000"/>
                                    </a:schemeClr>
                                  </a:gs>
                                </a:gsLst>
                                <a:lin ang="5400000" scaled="0"/>
                              </a:gra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4.1pt;margin-top:-.7pt;width:408.35pt;height:11.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" fillcolor="#943634 [2405]" stroked="f">
                      <v:fill color2="#622423 [1605]" colors="0 #953735;45875f #953735" focus="100%" type="gradient">
                        <o:fill v:ext="view" type="gradientUnscaled"/>
                      </v:fill>
                    </v:rect>
                  </w:pict>
                </mc:Fallback>
              </mc:AlternateContent>
            </w:r>
          </w:p>
        </w:tc>
      </w:tr>
      <w:tr w:rsidR="005808B8" w:rsidRPr="0005246F" w:rsidTr="00817AE8">
        <w:tc>
          <w:tcPr>
            <w:tcW w:w="1548" w:type="dxa"/>
            <w:vAlign w:val="center"/>
          </w:tcPr>
          <w:p w:rsidR="005808B8" w:rsidRPr="0005246F" w:rsidRDefault="005808B8" w:rsidP="00817AE8">
            <w:pPr>
              <w:pStyle w:val="NoSpacing"/>
              <w:jc w:val="left"/>
              <w:rPr>
                <w:lang w:val="en-US"/>
              </w:rPr>
            </w:pPr>
          </w:p>
        </w:tc>
        <w:tc>
          <w:tcPr>
            <w:tcW w:w="450" w:type="dxa"/>
            <w:vMerge/>
            <w:vAlign w:val="center"/>
          </w:tcPr>
          <w:p w:rsidR="005808B8" w:rsidRPr="0005246F" w:rsidRDefault="005808B8" w:rsidP="00817AE8">
            <w:pPr>
              <w:pStyle w:val="NoSpacing"/>
              <w:jc w:val="left"/>
              <w:rPr>
                <w:lang w:val="en-US"/>
              </w:rPr>
            </w:pPr>
          </w:p>
        </w:tc>
        <w:tc>
          <w:tcPr>
            <w:tcW w:w="8298" w:type="dxa"/>
            <w:vAlign w:val="center"/>
          </w:tcPr>
          <w:p w:rsidR="005808B8" w:rsidRPr="0005246F" w:rsidRDefault="005808B8" w:rsidP="00817AE8">
            <w:pPr>
              <w:pStyle w:val="NoSpacing"/>
              <w:rPr>
                <w:rFonts w:cs="Times New Roman"/>
                <w:lang w:val="en-US"/>
              </w:rPr>
            </w:pPr>
          </w:p>
          <w:p w:rsidR="00946D49" w:rsidRDefault="00FB4E23">
            <w:pPr>
              <w:pStyle w:val="TOC1"/>
              <w:tabs>
                <w:tab w:val="left" w:pos="440"/>
                <w:tab w:val="right" w:leader="dot" w:pos="10070"/>
              </w:tabs>
              <w:rPr>
                <w:rFonts w:eastAsiaTheme="minorEastAsia" w:cstheme="minorBidi"/>
                <w:b w:val="0"/>
                <w:bCs w:val="0"/>
                <w:noProof/>
                <w:sz w:val="22"/>
                <w:szCs w:val="22"/>
                <w:lang w:val="en-US"/>
              </w:rPr>
            </w:pPr>
            <w:r w:rsidRPr="0005246F">
              <w:rPr>
                <w:sz w:val="24"/>
                <w:lang w:val="en-US"/>
              </w:rPr>
              <w:fldChar w:fldCharType="begin"/>
            </w:r>
            <w:r w:rsidR="005808B8" w:rsidRPr="0005246F">
              <w:rPr>
                <w:sz w:val="24"/>
                <w:lang w:val="en-US"/>
              </w:rPr>
              <w:instrText xml:space="preserve"> TOC \o "1-2" \p " " \h \z \u </w:instrText>
            </w:r>
            <w:r w:rsidRPr="0005246F">
              <w:rPr>
                <w:sz w:val="24"/>
                <w:lang w:val="en-US"/>
              </w:rPr>
              <w:fldChar w:fldCharType="separate"/>
            </w:r>
            <w:hyperlink w:anchor="_Toc391261693" w:history="1">
              <w:r w:rsidR="00946D49" w:rsidRPr="00126454">
                <w:rPr>
                  <w:rStyle w:val="Hyperlink"/>
                  <w:noProof/>
                  <w:lang w:val="pt-PT"/>
                </w:rPr>
                <w:t>I.</w:t>
              </w:r>
              <w:r w:rsidR="00946D49">
                <w:rPr>
                  <w:rFonts w:eastAsiaTheme="minorEastAsia" w:cstheme="minorBidi"/>
                  <w:b w:val="0"/>
                  <w:bCs w:val="0"/>
                  <w:noProof/>
                  <w:sz w:val="22"/>
                  <w:szCs w:val="22"/>
                  <w:lang w:val="en-US"/>
                </w:rPr>
                <w:tab/>
              </w:r>
              <w:r w:rsidR="00946D49" w:rsidRPr="00126454">
                <w:rPr>
                  <w:rStyle w:val="Hyperlink"/>
                  <w:noProof/>
                  <w:lang w:val="pt-PT"/>
                </w:rPr>
                <w:t>Índice</w:t>
              </w:r>
              <w:r w:rsidR="00946D49">
                <w:rPr>
                  <w:noProof/>
                  <w:webHidden/>
                </w:rPr>
                <w:t xml:space="preserve"> </w:t>
              </w:r>
              <w:r w:rsidR="00946D49">
                <w:rPr>
                  <w:noProof/>
                  <w:webHidden/>
                </w:rPr>
                <w:fldChar w:fldCharType="begin"/>
              </w:r>
              <w:r w:rsidR="00946D49">
                <w:rPr>
                  <w:noProof/>
                  <w:webHidden/>
                </w:rPr>
                <w:instrText xml:space="preserve"> PAGEREF _Toc391261693 \h </w:instrText>
              </w:r>
              <w:r w:rsidR="00946D49">
                <w:rPr>
                  <w:noProof/>
                  <w:webHidden/>
                </w:rPr>
              </w:r>
              <w:r w:rsidR="00946D49">
                <w:rPr>
                  <w:noProof/>
                  <w:webHidden/>
                </w:rPr>
                <w:fldChar w:fldCharType="separate"/>
              </w:r>
              <w:r w:rsidR="004F553E">
                <w:rPr>
                  <w:noProof/>
                  <w:webHidden/>
                </w:rPr>
                <w:t>ii</w:t>
              </w:r>
              <w:r w:rsidR="00946D49">
                <w:rPr>
                  <w:noProof/>
                  <w:webHidden/>
                </w:rPr>
                <w:fldChar w:fldCharType="end"/>
              </w:r>
            </w:hyperlink>
          </w:p>
          <w:p w:rsidR="00946D49" w:rsidRDefault="004F553E">
            <w:pPr>
              <w:pStyle w:val="TOC1"/>
              <w:tabs>
                <w:tab w:val="left" w:pos="440"/>
                <w:tab w:val="right" w:leader="dot" w:pos="10070"/>
              </w:tabs>
              <w:rPr>
                <w:rFonts w:eastAsiaTheme="minorEastAsia" w:cstheme="minorBidi"/>
                <w:b w:val="0"/>
                <w:bCs w:val="0"/>
                <w:noProof/>
                <w:sz w:val="22"/>
                <w:szCs w:val="22"/>
                <w:lang w:val="en-US"/>
              </w:rPr>
            </w:pPr>
            <w:hyperlink w:anchor="_Toc391261694" w:history="1">
              <w:r w:rsidR="00946D49" w:rsidRPr="00126454">
                <w:rPr>
                  <w:rStyle w:val="Hyperlink"/>
                  <w:noProof/>
                  <w:lang w:val="pt-PT"/>
                </w:rPr>
                <w:t>II.</w:t>
              </w:r>
              <w:r w:rsidR="00946D49">
                <w:rPr>
                  <w:rFonts w:eastAsiaTheme="minorEastAsia" w:cstheme="minorBidi"/>
                  <w:b w:val="0"/>
                  <w:bCs w:val="0"/>
                  <w:noProof/>
                  <w:sz w:val="22"/>
                  <w:szCs w:val="22"/>
                  <w:lang w:val="en-US"/>
                </w:rPr>
                <w:tab/>
              </w:r>
              <w:r w:rsidR="00946D49" w:rsidRPr="00126454">
                <w:rPr>
                  <w:rStyle w:val="Hyperlink"/>
                  <w:noProof/>
                  <w:lang w:val="pt-PT"/>
                </w:rPr>
                <w:t>Prefácio</w:t>
              </w:r>
              <w:r w:rsidR="00946D49">
                <w:rPr>
                  <w:noProof/>
                  <w:webHidden/>
                </w:rPr>
                <w:t xml:space="preserve"> </w:t>
              </w:r>
              <w:r w:rsidR="00946D49">
                <w:rPr>
                  <w:noProof/>
                  <w:webHidden/>
                </w:rPr>
                <w:fldChar w:fldCharType="begin"/>
              </w:r>
              <w:r w:rsidR="00946D49">
                <w:rPr>
                  <w:noProof/>
                  <w:webHidden/>
                </w:rPr>
                <w:instrText xml:space="preserve"> PAGEREF _Toc391261694 \h </w:instrText>
              </w:r>
              <w:r w:rsidR="00946D49">
                <w:rPr>
                  <w:noProof/>
                  <w:webHidden/>
                </w:rPr>
              </w:r>
              <w:r w:rsidR="00946D49">
                <w:rPr>
                  <w:noProof/>
                  <w:webHidden/>
                </w:rPr>
                <w:fldChar w:fldCharType="separate"/>
              </w:r>
              <w:r>
                <w:rPr>
                  <w:noProof/>
                  <w:webHidden/>
                </w:rPr>
                <w:t>iii</w:t>
              </w:r>
              <w:r w:rsidR="00946D49">
                <w:rPr>
                  <w:noProof/>
                  <w:webHidden/>
                </w:rPr>
                <w:fldChar w:fldCharType="end"/>
              </w:r>
            </w:hyperlink>
          </w:p>
          <w:p w:rsidR="00946D49" w:rsidRDefault="004F553E">
            <w:pPr>
              <w:pStyle w:val="TOC1"/>
              <w:tabs>
                <w:tab w:val="left" w:pos="440"/>
                <w:tab w:val="right" w:leader="dot" w:pos="10070"/>
              </w:tabs>
              <w:rPr>
                <w:rFonts w:eastAsiaTheme="minorEastAsia" w:cstheme="minorBidi"/>
                <w:b w:val="0"/>
                <w:bCs w:val="0"/>
                <w:noProof/>
                <w:sz w:val="22"/>
                <w:szCs w:val="22"/>
                <w:lang w:val="en-US"/>
              </w:rPr>
            </w:pPr>
            <w:hyperlink w:anchor="_Toc391261695" w:history="1">
              <w:r w:rsidR="00946D49" w:rsidRPr="00126454">
                <w:rPr>
                  <w:rStyle w:val="Hyperlink"/>
                  <w:noProof/>
                  <w:lang w:val="pt-PT"/>
                </w:rPr>
                <w:t>III.</w:t>
              </w:r>
              <w:r w:rsidR="00946D49">
                <w:rPr>
                  <w:rFonts w:eastAsiaTheme="minorEastAsia" w:cstheme="minorBidi"/>
                  <w:b w:val="0"/>
                  <w:bCs w:val="0"/>
                  <w:noProof/>
                  <w:sz w:val="22"/>
                  <w:szCs w:val="22"/>
                  <w:lang w:val="en-US"/>
                </w:rPr>
                <w:tab/>
              </w:r>
              <w:r w:rsidR="00946D49" w:rsidRPr="00126454">
                <w:rPr>
                  <w:rStyle w:val="Hyperlink"/>
                  <w:noProof/>
                  <w:lang w:val="pt-PT"/>
                </w:rPr>
                <w:t>SUMÁRIO EXECUTIVO</w:t>
              </w:r>
              <w:r w:rsidR="00946D49">
                <w:rPr>
                  <w:noProof/>
                  <w:webHidden/>
                </w:rPr>
                <w:t xml:space="preserve"> </w:t>
              </w:r>
              <w:r w:rsidR="00946D49">
                <w:rPr>
                  <w:noProof/>
                  <w:webHidden/>
                </w:rPr>
                <w:fldChar w:fldCharType="begin"/>
              </w:r>
              <w:r w:rsidR="00946D49">
                <w:rPr>
                  <w:noProof/>
                  <w:webHidden/>
                </w:rPr>
                <w:instrText xml:space="preserve"> PAGEREF _Toc391261695 \h </w:instrText>
              </w:r>
              <w:r w:rsidR="00946D49">
                <w:rPr>
                  <w:noProof/>
                  <w:webHidden/>
                </w:rPr>
              </w:r>
              <w:r w:rsidR="00946D49">
                <w:rPr>
                  <w:noProof/>
                  <w:webHidden/>
                </w:rPr>
                <w:fldChar w:fldCharType="separate"/>
              </w:r>
              <w:r>
                <w:rPr>
                  <w:noProof/>
                  <w:webHidden/>
                </w:rPr>
                <w:t>iv</w:t>
              </w:r>
              <w:r w:rsidR="00946D49">
                <w:rPr>
                  <w:noProof/>
                  <w:webHidden/>
                </w:rPr>
                <w:fldChar w:fldCharType="end"/>
              </w:r>
            </w:hyperlink>
          </w:p>
          <w:p w:rsidR="00946D49" w:rsidRDefault="004F553E">
            <w:pPr>
              <w:pStyle w:val="TOC2"/>
              <w:tabs>
                <w:tab w:val="right" w:leader="dot" w:pos="10070"/>
              </w:tabs>
              <w:rPr>
                <w:rFonts w:eastAsiaTheme="minorEastAsia" w:cstheme="minorBidi"/>
                <w:i w:val="0"/>
                <w:iCs w:val="0"/>
                <w:noProof/>
                <w:sz w:val="22"/>
                <w:szCs w:val="22"/>
                <w:lang w:val="en-US"/>
              </w:rPr>
            </w:pPr>
            <w:hyperlink w:anchor="_Toc391261696" w:history="1">
              <w:r w:rsidR="00946D49" w:rsidRPr="00126454">
                <w:rPr>
                  <w:rStyle w:val="Hyperlink"/>
                  <w:noProof/>
                  <w:lang w:val="pt-PT"/>
                </w:rPr>
                <w:t>Reforçar o Sistema de Gestão do Investimento Público</w:t>
              </w:r>
              <w:r w:rsidR="00946D49">
                <w:rPr>
                  <w:noProof/>
                  <w:webHidden/>
                </w:rPr>
                <w:t xml:space="preserve"> </w:t>
              </w:r>
              <w:r w:rsidR="00946D49">
                <w:rPr>
                  <w:noProof/>
                  <w:webHidden/>
                </w:rPr>
                <w:fldChar w:fldCharType="begin"/>
              </w:r>
              <w:r w:rsidR="00946D49">
                <w:rPr>
                  <w:noProof/>
                  <w:webHidden/>
                </w:rPr>
                <w:instrText xml:space="preserve"> PAGEREF _Toc391261696 \h </w:instrText>
              </w:r>
              <w:r w:rsidR="00946D49">
                <w:rPr>
                  <w:noProof/>
                  <w:webHidden/>
                </w:rPr>
              </w:r>
              <w:r w:rsidR="00946D49">
                <w:rPr>
                  <w:noProof/>
                  <w:webHidden/>
                </w:rPr>
                <w:fldChar w:fldCharType="separate"/>
              </w:r>
              <w:r>
                <w:rPr>
                  <w:noProof/>
                  <w:webHidden/>
                </w:rPr>
                <w:t>v</w:t>
              </w:r>
              <w:r w:rsidR="00946D49">
                <w:rPr>
                  <w:noProof/>
                  <w:webHidden/>
                </w:rPr>
                <w:fldChar w:fldCharType="end"/>
              </w:r>
            </w:hyperlink>
          </w:p>
          <w:p w:rsidR="00946D49" w:rsidRDefault="004F553E">
            <w:pPr>
              <w:pStyle w:val="TOC1"/>
              <w:tabs>
                <w:tab w:val="left" w:pos="660"/>
                <w:tab w:val="right" w:leader="dot" w:pos="10070"/>
              </w:tabs>
              <w:rPr>
                <w:rFonts w:eastAsiaTheme="minorEastAsia" w:cstheme="minorBidi"/>
                <w:b w:val="0"/>
                <w:bCs w:val="0"/>
                <w:noProof/>
                <w:sz w:val="22"/>
                <w:szCs w:val="22"/>
                <w:lang w:val="en-US"/>
              </w:rPr>
            </w:pPr>
            <w:hyperlink w:anchor="_Toc391261697" w:history="1">
              <w:r w:rsidR="00946D49" w:rsidRPr="00126454">
                <w:rPr>
                  <w:rStyle w:val="Hyperlink"/>
                  <w:noProof/>
                  <w:lang w:val="pt-PT"/>
                </w:rPr>
                <w:t>IV.</w:t>
              </w:r>
              <w:r w:rsidR="00946D49">
                <w:rPr>
                  <w:rFonts w:eastAsiaTheme="minorEastAsia" w:cstheme="minorBidi"/>
                  <w:b w:val="0"/>
                  <w:bCs w:val="0"/>
                  <w:noProof/>
                  <w:sz w:val="22"/>
                  <w:szCs w:val="22"/>
                  <w:lang w:val="en-US"/>
                </w:rPr>
                <w:tab/>
              </w:r>
              <w:r w:rsidR="00946D49" w:rsidRPr="00126454">
                <w:rPr>
                  <w:rStyle w:val="Hyperlink"/>
                  <w:noProof/>
                  <w:lang w:val="pt-PT"/>
                </w:rPr>
                <w:t>DESENVOLVIMENTOS ECONÓMICOS RECENTES</w:t>
              </w:r>
              <w:r w:rsidR="00946D49">
                <w:rPr>
                  <w:noProof/>
                  <w:webHidden/>
                </w:rPr>
                <w:t xml:space="preserve"> </w:t>
              </w:r>
              <w:r w:rsidR="00946D49">
                <w:rPr>
                  <w:noProof/>
                  <w:webHidden/>
                </w:rPr>
                <w:fldChar w:fldCharType="begin"/>
              </w:r>
              <w:r w:rsidR="00946D49">
                <w:rPr>
                  <w:noProof/>
                  <w:webHidden/>
                </w:rPr>
                <w:instrText xml:space="preserve"> PAGEREF _Toc391261697 \h </w:instrText>
              </w:r>
              <w:r w:rsidR="00946D49">
                <w:rPr>
                  <w:noProof/>
                  <w:webHidden/>
                </w:rPr>
              </w:r>
              <w:r w:rsidR="00946D49">
                <w:rPr>
                  <w:noProof/>
                  <w:webHidden/>
                </w:rPr>
                <w:fldChar w:fldCharType="separate"/>
              </w:r>
              <w:r>
                <w:rPr>
                  <w:noProof/>
                  <w:webHidden/>
                </w:rPr>
                <w:t>1</w:t>
              </w:r>
              <w:r w:rsidR="00946D49">
                <w:rPr>
                  <w:noProof/>
                  <w:webHidden/>
                </w:rPr>
                <w:fldChar w:fldCharType="end"/>
              </w:r>
            </w:hyperlink>
          </w:p>
          <w:p w:rsidR="00946D49" w:rsidRDefault="004F553E">
            <w:pPr>
              <w:pStyle w:val="TOC2"/>
              <w:tabs>
                <w:tab w:val="right" w:leader="dot" w:pos="10070"/>
              </w:tabs>
              <w:rPr>
                <w:rFonts w:eastAsiaTheme="minorEastAsia" w:cstheme="minorBidi"/>
                <w:i w:val="0"/>
                <w:iCs w:val="0"/>
                <w:noProof/>
                <w:sz w:val="22"/>
                <w:szCs w:val="22"/>
                <w:lang w:val="en-US"/>
              </w:rPr>
            </w:pPr>
            <w:hyperlink w:anchor="_Toc391261698" w:history="1">
              <w:r w:rsidR="00946D49" w:rsidRPr="00126454">
                <w:rPr>
                  <w:rStyle w:val="Hyperlink"/>
                  <w:noProof/>
                  <w:lang w:val="pt-PT"/>
                </w:rPr>
                <w:t>Tendências do Crescimento do PIB e Evolução da Produção</w:t>
              </w:r>
              <w:r w:rsidR="00946D49">
                <w:rPr>
                  <w:noProof/>
                  <w:webHidden/>
                </w:rPr>
                <w:t xml:space="preserve"> </w:t>
              </w:r>
              <w:r w:rsidR="00946D49">
                <w:rPr>
                  <w:noProof/>
                  <w:webHidden/>
                </w:rPr>
                <w:fldChar w:fldCharType="begin"/>
              </w:r>
              <w:r w:rsidR="00946D49">
                <w:rPr>
                  <w:noProof/>
                  <w:webHidden/>
                </w:rPr>
                <w:instrText xml:space="preserve"> PAGEREF _Toc391261698 \h </w:instrText>
              </w:r>
              <w:r w:rsidR="00946D49">
                <w:rPr>
                  <w:noProof/>
                  <w:webHidden/>
                </w:rPr>
              </w:r>
              <w:r w:rsidR="00946D49">
                <w:rPr>
                  <w:noProof/>
                  <w:webHidden/>
                </w:rPr>
                <w:fldChar w:fldCharType="separate"/>
              </w:r>
              <w:r>
                <w:rPr>
                  <w:noProof/>
                  <w:webHidden/>
                </w:rPr>
                <w:t>1</w:t>
              </w:r>
              <w:r w:rsidR="00946D49">
                <w:rPr>
                  <w:noProof/>
                  <w:webHidden/>
                </w:rPr>
                <w:fldChar w:fldCharType="end"/>
              </w:r>
            </w:hyperlink>
          </w:p>
          <w:p w:rsidR="00946D49" w:rsidRDefault="004F553E">
            <w:pPr>
              <w:pStyle w:val="TOC2"/>
              <w:tabs>
                <w:tab w:val="right" w:leader="dot" w:pos="10070"/>
              </w:tabs>
              <w:rPr>
                <w:rFonts w:eastAsiaTheme="minorEastAsia" w:cstheme="minorBidi"/>
                <w:i w:val="0"/>
                <w:iCs w:val="0"/>
                <w:noProof/>
                <w:sz w:val="22"/>
                <w:szCs w:val="22"/>
                <w:lang w:val="en-US"/>
              </w:rPr>
            </w:pPr>
            <w:hyperlink w:anchor="_Toc391261699" w:history="1">
              <w:r w:rsidR="00946D49" w:rsidRPr="00126454">
                <w:rPr>
                  <w:rStyle w:val="Hyperlink"/>
                  <w:noProof/>
                  <w:lang w:val="pt-PT"/>
                </w:rPr>
                <w:t>Política Orçamental</w:t>
              </w:r>
              <w:r w:rsidR="00946D49">
                <w:rPr>
                  <w:noProof/>
                  <w:webHidden/>
                </w:rPr>
                <w:t xml:space="preserve"> </w:t>
              </w:r>
              <w:r w:rsidR="00946D49">
                <w:rPr>
                  <w:noProof/>
                  <w:webHidden/>
                </w:rPr>
                <w:fldChar w:fldCharType="begin"/>
              </w:r>
              <w:r w:rsidR="00946D49">
                <w:rPr>
                  <w:noProof/>
                  <w:webHidden/>
                </w:rPr>
                <w:instrText xml:space="preserve"> PAGEREF _Toc391261699 \h </w:instrText>
              </w:r>
              <w:r w:rsidR="00946D49">
                <w:rPr>
                  <w:noProof/>
                  <w:webHidden/>
                </w:rPr>
              </w:r>
              <w:r w:rsidR="00946D49">
                <w:rPr>
                  <w:noProof/>
                  <w:webHidden/>
                </w:rPr>
                <w:fldChar w:fldCharType="separate"/>
              </w:r>
              <w:r>
                <w:rPr>
                  <w:noProof/>
                  <w:webHidden/>
                </w:rPr>
                <w:t>6</w:t>
              </w:r>
              <w:r w:rsidR="00946D49">
                <w:rPr>
                  <w:noProof/>
                  <w:webHidden/>
                </w:rPr>
                <w:fldChar w:fldCharType="end"/>
              </w:r>
            </w:hyperlink>
          </w:p>
          <w:p w:rsidR="00946D49" w:rsidRDefault="004F553E">
            <w:pPr>
              <w:pStyle w:val="TOC2"/>
              <w:tabs>
                <w:tab w:val="right" w:leader="dot" w:pos="10070"/>
              </w:tabs>
              <w:rPr>
                <w:rFonts w:eastAsiaTheme="minorEastAsia" w:cstheme="minorBidi"/>
                <w:i w:val="0"/>
                <w:iCs w:val="0"/>
                <w:noProof/>
                <w:sz w:val="22"/>
                <w:szCs w:val="22"/>
                <w:lang w:val="en-US"/>
              </w:rPr>
            </w:pPr>
            <w:hyperlink w:anchor="_Toc391261700" w:history="1">
              <w:r w:rsidR="00946D49" w:rsidRPr="00126454">
                <w:rPr>
                  <w:rStyle w:val="Hyperlink"/>
                  <w:noProof/>
                  <w:lang w:val="pt-PT"/>
                </w:rPr>
                <w:t>Balança de Pagamentos</w:t>
              </w:r>
              <w:r w:rsidR="00946D49">
                <w:rPr>
                  <w:noProof/>
                  <w:webHidden/>
                </w:rPr>
                <w:t xml:space="preserve"> </w:t>
              </w:r>
              <w:r w:rsidR="00946D49">
                <w:rPr>
                  <w:noProof/>
                  <w:webHidden/>
                </w:rPr>
                <w:fldChar w:fldCharType="begin"/>
              </w:r>
              <w:r w:rsidR="00946D49">
                <w:rPr>
                  <w:noProof/>
                  <w:webHidden/>
                </w:rPr>
                <w:instrText xml:space="preserve"> PAGEREF _Toc391261700 \h </w:instrText>
              </w:r>
              <w:r w:rsidR="00946D49">
                <w:rPr>
                  <w:noProof/>
                  <w:webHidden/>
                </w:rPr>
              </w:r>
              <w:r w:rsidR="00946D49">
                <w:rPr>
                  <w:noProof/>
                  <w:webHidden/>
                </w:rPr>
                <w:fldChar w:fldCharType="separate"/>
              </w:r>
              <w:r>
                <w:rPr>
                  <w:noProof/>
                  <w:webHidden/>
                </w:rPr>
                <w:t>9</w:t>
              </w:r>
              <w:r w:rsidR="00946D49">
                <w:rPr>
                  <w:noProof/>
                  <w:webHidden/>
                </w:rPr>
                <w:fldChar w:fldCharType="end"/>
              </w:r>
            </w:hyperlink>
          </w:p>
          <w:p w:rsidR="00946D49" w:rsidRDefault="004F553E">
            <w:pPr>
              <w:pStyle w:val="TOC2"/>
              <w:tabs>
                <w:tab w:val="right" w:leader="dot" w:pos="10070"/>
              </w:tabs>
              <w:rPr>
                <w:rFonts w:eastAsiaTheme="minorEastAsia" w:cstheme="minorBidi"/>
                <w:i w:val="0"/>
                <w:iCs w:val="0"/>
                <w:noProof/>
                <w:sz w:val="22"/>
                <w:szCs w:val="22"/>
                <w:lang w:val="en-US"/>
              </w:rPr>
            </w:pPr>
            <w:hyperlink w:anchor="_Toc391261701" w:history="1">
              <w:r w:rsidR="00946D49" w:rsidRPr="00126454">
                <w:rPr>
                  <w:rStyle w:val="Hyperlink"/>
                  <w:noProof/>
                  <w:lang w:val="pt-PT"/>
                </w:rPr>
                <w:t>Política Monetária</w:t>
              </w:r>
              <w:r w:rsidR="00946D49">
                <w:rPr>
                  <w:noProof/>
                  <w:webHidden/>
                </w:rPr>
                <w:t xml:space="preserve"> </w:t>
              </w:r>
              <w:r w:rsidR="00946D49">
                <w:rPr>
                  <w:noProof/>
                  <w:webHidden/>
                </w:rPr>
                <w:fldChar w:fldCharType="begin"/>
              </w:r>
              <w:r w:rsidR="00946D49">
                <w:rPr>
                  <w:noProof/>
                  <w:webHidden/>
                </w:rPr>
                <w:instrText xml:space="preserve"> PAGEREF _Toc391261701 \h </w:instrText>
              </w:r>
              <w:r w:rsidR="00946D49">
                <w:rPr>
                  <w:noProof/>
                  <w:webHidden/>
                </w:rPr>
              </w:r>
              <w:r w:rsidR="00946D49">
                <w:rPr>
                  <w:noProof/>
                  <w:webHidden/>
                </w:rPr>
                <w:fldChar w:fldCharType="separate"/>
              </w:r>
              <w:r>
                <w:rPr>
                  <w:noProof/>
                  <w:webHidden/>
                </w:rPr>
                <w:t>15</w:t>
              </w:r>
              <w:r w:rsidR="00946D49">
                <w:rPr>
                  <w:noProof/>
                  <w:webHidden/>
                </w:rPr>
                <w:fldChar w:fldCharType="end"/>
              </w:r>
            </w:hyperlink>
          </w:p>
          <w:p w:rsidR="00946D49" w:rsidRDefault="004F553E">
            <w:pPr>
              <w:pStyle w:val="TOC1"/>
              <w:tabs>
                <w:tab w:val="left" w:pos="440"/>
                <w:tab w:val="right" w:leader="dot" w:pos="10070"/>
              </w:tabs>
              <w:rPr>
                <w:rFonts w:eastAsiaTheme="minorEastAsia" w:cstheme="minorBidi"/>
                <w:b w:val="0"/>
                <w:bCs w:val="0"/>
                <w:noProof/>
                <w:sz w:val="22"/>
                <w:szCs w:val="22"/>
                <w:lang w:val="en-US"/>
              </w:rPr>
            </w:pPr>
            <w:hyperlink w:anchor="_Toc391261702" w:history="1">
              <w:r w:rsidR="00946D49" w:rsidRPr="00126454">
                <w:rPr>
                  <w:rStyle w:val="Hyperlink"/>
                  <w:noProof/>
                  <w:lang w:val="pt-PT"/>
                </w:rPr>
                <w:t>V.</w:t>
              </w:r>
              <w:r w:rsidR="00946D49">
                <w:rPr>
                  <w:rFonts w:eastAsiaTheme="minorEastAsia" w:cstheme="minorBidi"/>
                  <w:b w:val="0"/>
                  <w:bCs w:val="0"/>
                  <w:noProof/>
                  <w:sz w:val="22"/>
                  <w:szCs w:val="22"/>
                  <w:lang w:val="en-US"/>
                </w:rPr>
                <w:tab/>
              </w:r>
              <w:r w:rsidR="00946D49" w:rsidRPr="00126454">
                <w:rPr>
                  <w:rStyle w:val="Hyperlink"/>
                  <w:noProof/>
                  <w:lang w:val="pt-PT"/>
                </w:rPr>
                <w:t>PERSPECTIVA ECONÓMICA E RISCOS</w:t>
              </w:r>
              <w:r w:rsidR="00946D49">
                <w:rPr>
                  <w:noProof/>
                  <w:webHidden/>
                </w:rPr>
                <w:t xml:space="preserve"> </w:t>
              </w:r>
              <w:r w:rsidR="00946D49">
                <w:rPr>
                  <w:noProof/>
                  <w:webHidden/>
                </w:rPr>
                <w:fldChar w:fldCharType="begin"/>
              </w:r>
              <w:r w:rsidR="00946D49">
                <w:rPr>
                  <w:noProof/>
                  <w:webHidden/>
                </w:rPr>
                <w:instrText xml:space="preserve"> PAGEREF _Toc391261702 \h </w:instrText>
              </w:r>
              <w:r w:rsidR="00946D49">
                <w:rPr>
                  <w:noProof/>
                  <w:webHidden/>
                </w:rPr>
              </w:r>
              <w:r w:rsidR="00946D49">
                <w:rPr>
                  <w:noProof/>
                  <w:webHidden/>
                </w:rPr>
                <w:fldChar w:fldCharType="separate"/>
              </w:r>
              <w:r>
                <w:rPr>
                  <w:noProof/>
                  <w:webHidden/>
                </w:rPr>
                <w:t>20</w:t>
              </w:r>
              <w:r w:rsidR="00946D49">
                <w:rPr>
                  <w:noProof/>
                  <w:webHidden/>
                </w:rPr>
                <w:fldChar w:fldCharType="end"/>
              </w:r>
            </w:hyperlink>
          </w:p>
          <w:p w:rsidR="00946D49" w:rsidRDefault="004F553E">
            <w:pPr>
              <w:pStyle w:val="TOC2"/>
              <w:tabs>
                <w:tab w:val="right" w:leader="dot" w:pos="10070"/>
              </w:tabs>
              <w:rPr>
                <w:rFonts w:eastAsiaTheme="minorEastAsia" w:cstheme="minorBidi"/>
                <w:i w:val="0"/>
                <w:iCs w:val="0"/>
                <w:noProof/>
                <w:sz w:val="22"/>
                <w:szCs w:val="22"/>
                <w:lang w:val="en-US"/>
              </w:rPr>
            </w:pPr>
            <w:hyperlink w:anchor="_Toc391261703" w:history="1">
              <w:r w:rsidR="00946D49" w:rsidRPr="00126454">
                <w:rPr>
                  <w:rStyle w:val="Hyperlink"/>
                  <w:rFonts w:ascii="Cambria" w:hAnsi="Cambria"/>
                  <w:noProof/>
                  <w:lang w:val="pt-PT"/>
                </w:rPr>
                <w:t>Angola e a Economia Global</w:t>
              </w:r>
              <w:r w:rsidR="00946D49">
                <w:rPr>
                  <w:noProof/>
                  <w:webHidden/>
                </w:rPr>
                <w:t xml:space="preserve"> </w:t>
              </w:r>
              <w:r w:rsidR="00946D49">
                <w:rPr>
                  <w:noProof/>
                  <w:webHidden/>
                </w:rPr>
                <w:fldChar w:fldCharType="begin"/>
              </w:r>
              <w:r w:rsidR="00946D49">
                <w:rPr>
                  <w:noProof/>
                  <w:webHidden/>
                </w:rPr>
                <w:instrText xml:space="preserve"> PAGEREF _Toc391261703 \h </w:instrText>
              </w:r>
              <w:r w:rsidR="00946D49">
                <w:rPr>
                  <w:noProof/>
                  <w:webHidden/>
                </w:rPr>
              </w:r>
              <w:r w:rsidR="00946D49">
                <w:rPr>
                  <w:noProof/>
                  <w:webHidden/>
                </w:rPr>
                <w:fldChar w:fldCharType="separate"/>
              </w:r>
              <w:r>
                <w:rPr>
                  <w:noProof/>
                  <w:webHidden/>
                </w:rPr>
                <w:t>20</w:t>
              </w:r>
              <w:r w:rsidR="00946D49">
                <w:rPr>
                  <w:noProof/>
                  <w:webHidden/>
                </w:rPr>
                <w:fldChar w:fldCharType="end"/>
              </w:r>
            </w:hyperlink>
          </w:p>
          <w:p w:rsidR="00946D49" w:rsidRDefault="004F553E">
            <w:pPr>
              <w:pStyle w:val="TOC1"/>
              <w:tabs>
                <w:tab w:val="right" w:leader="dot" w:pos="10070"/>
              </w:tabs>
              <w:rPr>
                <w:rFonts w:eastAsiaTheme="minorEastAsia" w:cstheme="minorBidi"/>
                <w:b w:val="0"/>
                <w:bCs w:val="0"/>
                <w:noProof/>
                <w:sz w:val="22"/>
                <w:szCs w:val="22"/>
                <w:lang w:val="en-US"/>
              </w:rPr>
            </w:pPr>
            <w:hyperlink w:anchor="_Toc391261704" w:history="1">
              <w:r w:rsidR="00946D49" w:rsidRPr="00126454">
                <w:rPr>
                  <w:rStyle w:val="Hyperlink"/>
                  <w:noProof/>
                  <w:lang w:val="pt-PT"/>
                </w:rPr>
                <w:t>SECÇÃO DE ENFOQUE ESPECIAL: VALORIZAR A GESTÃO DO INVESTIMENTO PÚBLICO</w:t>
              </w:r>
              <w:r w:rsidR="00946D49">
                <w:rPr>
                  <w:noProof/>
                  <w:webHidden/>
                </w:rPr>
                <w:t xml:space="preserve"> </w:t>
              </w:r>
              <w:r w:rsidR="00946D49">
                <w:rPr>
                  <w:noProof/>
                  <w:webHidden/>
                </w:rPr>
                <w:fldChar w:fldCharType="begin"/>
              </w:r>
              <w:r w:rsidR="00946D49">
                <w:rPr>
                  <w:noProof/>
                  <w:webHidden/>
                </w:rPr>
                <w:instrText xml:space="preserve"> PAGEREF _Toc391261704 \h </w:instrText>
              </w:r>
              <w:r w:rsidR="00946D49">
                <w:rPr>
                  <w:noProof/>
                  <w:webHidden/>
                </w:rPr>
              </w:r>
              <w:r w:rsidR="00946D49">
                <w:rPr>
                  <w:noProof/>
                  <w:webHidden/>
                </w:rPr>
                <w:fldChar w:fldCharType="separate"/>
              </w:r>
              <w:r>
                <w:rPr>
                  <w:noProof/>
                  <w:webHidden/>
                </w:rPr>
                <w:t>23</w:t>
              </w:r>
              <w:r w:rsidR="00946D49">
                <w:rPr>
                  <w:noProof/>
                  <w:webHidden/>
                </w:rPr>
                <w:fldChar w:fldCharType="end"/>
              </w:r>
            </w:hyperlink>
          </w:p>
          <w:p w:rsidR="00946D49" w:rsidRDefault="004F553E">
            <w:pPr>
              <w:pStyle w:val="TOC2"/>
              <w:tabs>
                <w:tab w:val="right" w:leader="dot" w:pos="10070"/>
              </w:tabs>
              <w:rPr>
                <w:rFonts w:eastAsiaTheme="minorEastAsia" w:cstheme="minorBidi"/>
                <w:i w:val="0"/>
                <w:iCs w:val="0"/>
                <w:noProof/>
                <w:sz w:val="22"/>
                <w:szCs w:val="22"/>
                <w:lang w:val="en-US"/>
              </w:rPr>
            </w:pPr>
            <w:hyperlink w:anchor="_Toc391261705" w:history="1">
              <w:r w:rsidR="00946D49" w:rsidRPr="00126454">
                <w:rPr>
                  <w:rStyle w:val="Hyperlink"/>
                  <w:noProof/>
                  <w:lang w:val="pt-PT"/>
                </w:rPr>
                <w:t>Introdução</w:t>
              </w:r>
              <w:r w:rsidR="00946D49">
                <w:rPr>
                  <w:noProof/>
                  <w:webHidden/>
                </w:rPr>
                <w:t xml:space="preserve"> </w:t>
              </w:r>
              <w:r w:rsidR="00946D49">
                <w:rPr>
                  <w:noProof/>
                  <w:webHidden/>
                </w:rPr>
                <w:fldChar w:fldCharType="begin"/>
              </w:r>
              <w:r w:rsidR="00946D49">
                <w:rPr>
                  <w:noProof/>
                  <w:webHidden/>
                </w:rPr>
                <w:instrText xml:space="preserve"> PAGEREF _Toc391261705 \h </w:instrText>
              </w:r>
              <w:r w:rsidR="00946D49">
                <w:rPr>
                  <w:noProof/>
                  <w:webHidden/>
                </w:rPr>
              </w:r>
              <w:r w:rsidR="00946D49">
                <w:rPr>
                  <w:noProof/>
                  <w:webHidden/>
                </w:rPr>
                <w:fldChar w:fldCharType="separate"/>
              </w:r>
              <w:r>
                <w:rPr>
                  <w:noProof/>
                  <w:webHidden/>
                </w:rPr>
                <w:t>23</w:t>
              </w:r>
              <w:r w:rsidR="00946D49">
                <w:rPr>
                  <w:noProof/>
                  <w:webHidden/>
                </w:rPr>
                <w:fldChar w:fldCharType="end"/>
              </w:r>
            </w:hyperlink>
          </w:p>
          <w:p w:rsidR="00946D49" w:rsidRDefault="004F553E">
            <w:pPr>
              <w:pStyle w:val="TOC2"/>
              <w:tabs>
                <w:tab w:val="right" w:leader="dot" w:pos="10070"/>
              </w:tabs>
              <w:rPr>
                <w:rFonts w:eastAsiaTheme="minorEastAsia" w:cstheme="minorBidi"/>
                <w:i w:val="0"/>
                <w:iCs w:val="0"/>
                <w:noProof/>
                <w:sz w:val="22"/>
                <w:szCs w:val="22"/>
                <w:lang w:val="en-US"/>
              </w:rPr>
            </w:pPr>
            <w:hyperlink w:anchor="_Toc391261706" w:history="1">
              <w:r w:rsidR="00946D49" w:rsidRPr="00126454">
                <w:rPr>
                  <w:rStyle w:val="Hyperlink"/>
                  <w:noProof/>
                  <w:lang w:val="pt-PT"/>
                </w:rPr>
                <w:t>Aumentar o Investimento Público e Melhorar a Qualidade do Investimento</w:t>
              </w:r>
              <w:r w:rsidR="00946D49">
                <w:rPr>
                  <w:noProof/>
                  <w:webHidden/>
                </w:rPr>
                <w:t xml:space="preserve"> </w:t>
              </w:r>
              <w:r w:rsidR="00946D49">
                <w:rPr>
                  <w:noProof/>
                  <w:webHidden/>
                </w:rPr>
                <w:fldChar w:fldCharType="begin"/>
              </w:r>
              <w:r w:rsidR="00946D49">
                <w:rPr>
                  <w:noProof/>
                  <w:webHidden/>
                </w:rPr>
                <w:instrText xml:space="preserve"> PAGEREF _Toc391261706 \h </w:instrText>
              </w:r>
              <w:r w:rsidR="00946D49">
                <w:rPr>
                  <w:noProof/>
                  <w:webHidden/>
                </w:rPr>
              </w:r>
              <w:r w:rsidR="00946D49">
                <w:rPr>
                  <w:noProof/>
                  <w:webHidden/>
                </w:rPr>
                <w:fldChar w:fldCharType="separate"/>
              </w:r>
              <w:r>
                <w:rPr>
                  <w:noProof/>
                  <w:webHidden/>
                </w:rPr>
                <w:t>24</w:t>
              </w:r>
              <w:r w:rsidR="00946D49">
                <w:rPr>
                  <w:noProof/>
                  <w:webHidden/>
                </w:rPr>
                <w:fldChar w:fldCharType="end"/>
              </w:r>
            </w:hyperlink>
          </w:p>
          <w:p w:rsidR="00946D49" w:rsidRDefault="004F553E">
            <w:pPr>
              <w:pStyle w:val="TOC2"/>
              <w:tabs>
                <w:tab w:val="right" w:leader="dot" w:pos="10070"/>
              </w:tabs>
              <w:rPr>
                <w:rFonts w:eastAsiaTheme="minorEastAsia" w:cstheme="minorBidi"/>
                <w:i w:val="0"/>
                <w:iCs w:val="0"/>
                <w:noProof/>
                <w:sz w:val="22"/>
                <w:szCs w:val="22"/>
                <w:lang w:val="en-US"/>
              </w:rPr>
            </w:pPr>
            <w:hyperlink w:anchor="_Toc391261707" w:history="1">
              <w:r w:rsidR="00946D49" w:rsidRPr="00126454">
                <w:rPr>
                  <w:rStyle w:val="Hyperlink"/>
                  <w:noProof/>
                  <w:lang w:val="pt-PT"/>
                </w:rPr>
                <w:t>A Estrutura do Sistema GIP de Angola</w:t>
              </w:r>
              <w:r w:rsidR="00946D49">
                <w:rPr>
                  <w:noProof/>
                  <w:webHidden/>
                </w:rPr>
                <w:t xml:space="preserve"> </w:t>
              </w:r>
              <w:r w:rsidR="00946D49">
                <w:rPr>
                  <w:noProof/>
                  <w:webHidden/>
                </w:rPr>
                <w:fldChar w:fldCharType="begin"/>
              </w:r>
              <w:r w:rsidR="00946D49">
                <w:rPr>
                  <w:noProof/>
                  <w:webHidden/>
                </w:rPr>
                <w:instrText xml:space="preserve"> PAGEREF _Toc391261707 \h </w:instrText>
              </w:r>
              <w:r w:rsidR="00946D49">
                <w:rPr>
                  <w:noProof/>
                  <w:webHidden/>
                </w:rPr>
              </w:r>
              <w:r w:rsidR="00946D49">
                <w:rPr>
                  <w:noProof/>
                  <w:webHidden/>
                </w:rPr>
                <w:fldChar w:fldCharType="separate"/>
              </w:r>
              <w:r>
                <w:rPr>
                  <w:noProof/>
                  <w:webHidden/>
                </w:rPr>
                <w:t>25</w:t>
              </w:r>
              <w:r w:rsidR="00946D49">
                <w:rPr>
                  <w:noProof/>
                  <w:webHidden/>
                </w:rPr>
                <w:fldChar w:fldCharType="end"/>
              </w:r>
            </w:hyperlink>
          </w:p>
          <w:p w:rsidR="00946D49" w:rsidRDefault="004F553E">
            <w:pPr>
              <w:pStyle w:val="TOC2"/>
              <w:tabs>
                <w:tab w:val="right" w:leader="dot" w:pos="10070"/>
              </w:tabs>
              <w:rPr>
                <w:rFonts w:eastAsiaTheme="minorEastAsia" w:cstheme="minorBidi"/>
                <w:i w:val="0"/>
                <w:iCs w:val="0"/>
                <w:noProof/>
                <w:sz w:val="22"/>
                <w:szCs w:val="22"/>
                <w:lang w:val="en-US"/>
              </w:rPr>
            </w:pPr>
            <w:hyperlink w:anchor="_Toc391261708" w:history="1">
              <w:r w:rsidR="00946D49" w:rsidRPr="00126454">
                <w:rPr>
                  <w:rStyle w:val="Hyperlink"/>
                  <w:noProof/>
                  <w:lang w:val="pt-PT"/>
                </w:rPr>
                <w:t>Reforma GIP e Restantes Pontos Fracos Sistémicos</w:t>
              </w:r>
              <w:r w:rsidR="00946D49">
                <w:rPr>
                  <w:noProof/>
                  <w:webHidden/>
                </w:rPr>
                <w:t xml:space="preserve"> </w:t>
              </w:r>
              <w:r w:rsidR="00946D49">
                <w:rPr>
                  <w:noProof/>
                  <w:webHidden/>
                </w:rPr>
                <w:fldChar w:fldCharType="begin"/>
              </w:r>
              <w:r w:rsidR="00946D49">
                <w:rPr>
                  <w:noProof/>
                  <w:webHidden/>
                </w:rPr>
                <w:instrText xml:space="preserve"> PAGEREF _Toc391261708 \h </w:instrText>
              </w:r>
              <w:r w:rsidR="00946D49">
                <w:rPr>
                  <w:noProof/>
                  <w:webHidden/>
                </w:rPr>
              </w:r>
              <w:r w:rsidR="00946D49">
                <w:rPr>
                  <w:noProof/>
                  <w:webHidden/>
                </w:rPr>
                <w:fldChar w:fldCharType="separate"/>
              </w:r>
              <w:r>
                <w:rPr>
                  <w:noProof/>
                  <w:webHidden/>
                </w:rPr>
                <w:t>29</w:t>
              </w:r>
              <w:r w:rsidR="00946D49">
                <w:rPr>
                  <w:noProof/>
                  <w:webHidden/>
                </w:rPr>
                <w:fldChar w:fldCharType="end"/>
              </w:r>
            </w:hyperlink>
          </w:p>
          <w:p w:rsidR="00946D49" w:rsidRDefault="004F553E">
            <w:pPr>
              <w:pStyle w:val="TOC2"/>
              <w:tabs>
                <w:tab w:val="right" w:leader="dot" w:pos="10070"/>
              </w:tabs>
              <w:rPr>
                <w:rFonts w:eastAsiaTheme="minorEastAsia" w:cstheme="minorBidi"/>
                <w:i w:val="0"/>
                <w:iCs w:val="0"/>
                <w:noProof/>
                <w:sz w:val="22"/>
                <w:szCs w:val="22"/>
                <w:lang w:val="en-US"/>
              </w:rPr>
            </w:pPr>
            <w:hyperlink w:anchor="_Toc391261709" w:history="1">
              <w:r w:rsidR="00946D49" w:rsidRPr="00126454">
                <w:rPr>
                  <w:rStyle w:val="Hyperlink"/>
                  <w:noProof/>
                  <w:lang w:val="pt-PT"/>
                </w:rPr>
                <w:t>Criar, em Angola, um Sistema GIP mais forte</w:t>
              </w:r>
              <w:r w:rsidR="00946D49">
                <w:rPr>
                  <w:noProof/>
                  <w:webHidden/>
                </w:rPr>
                <w:t xml:space="preserve"> </w:t>
              </w:r>
              <w:r w:rsidR="00946D49">
                <w:rPr>
                  <w:noProof/>
                  <w:webHidden/>
                </w:rPr>
                <w:fldChar w:fldCharType="begin"/>
              </w:r>
              <w:r w:rsidR="00946D49">
                <w:rPr>
                  <w:noProof/>
                  <w:webHidden/>
                </w:rPr>
                <w:instrText xml:space="preserve"> PAGEREF _Toc391261709 \h </w:instrText>
              </w:r>
              <w:r w:rsidR="00946D49">
                <w:rPr>
                  <w:noProof/>
                  <w:webHidden/>
                </w:rPr>
              </w:r>
              <w:r w:rsidR="00946D49">
                <w:rPr>
                  <w:noProof/>
                  <w:webHidden/>
                </w:rPr>
                <w:fldChar w:fldCharType="separate"/>
              </w:r>
              <w:r>
                <w:rPr>
                  <w:noProof/>
                  <w:webHidden/>
                </w:rPr>
                <w:t>31</w:t>
              </w:r>
              <w:r w:rsidR="00946D49">
                <w:rPr>
                  <w:noProof/>
                  <w:webHidden/>
                </w:rPr>
                <w:fldChar w:fldCharType="end"/>
              </w:r>
            </w:hyperlink>
          </w:p>
          <w:p w:rsidR="00946D49" w:rsidRDefault="004F553E">
            <w:pPr>
              <w:pStyle w:val="TOC1"/>
              <w:tabs>
                <w:tab w:val="left" w:pos="440"/>
                <w:tab w:val="right" w:leader="dot" w:pos="10070"/>
              </w:tabs>
              <w:rPr>
                <w:rFonts w:eastAsiaTheme="minorEastAsia" w:cstheme="minorBidi"/>
                <w:b w:val="0"/>
                <w:bCs w:val="0"/>
                <w:noProof/>
                <w:sz w:val="22"/>
                <w:szCs w:val="22"/>
                <w:lang w:val="en-US"/>
              </w:rPr>
            </w:pPr>
            <w:hyperlink w:anchor="_Toc391261710" w:history="1">
              <w:r w:rsidR="00946D49" w:rsidRPr="00126454">
                <w:rPr>
                  <w:rStyle w:val="Hyperlink"/>
                  <w:noProof/>
                  <w:lang w:val="pt-PT"/>
                </w:rPr>
                <w:t>III.</w:t>
              </w:r>
              <w:r w:rsidR="00946D49">
                <w:rPr>
                  <w:rFonts w:eastAsiaTheme="minorEastAsia" w:cstheme="minorBidi"/>
                  <w:b w:val="0"/>
                  <w:bCs w:val="0"/>
                  <w:noProof/>
                  <w:sz w:val="22"/>
                  <w:szCs w:val="22"/>
                  <w:lang w:val="en-US"/>
                </w:rPr>
                <w:tab/>
              </w:r>
              <w:r w:rsidR="00946D49" w:rsidRPr="00126454">
                <w:rPr>
                  <w:rStyle w:val="Hyperlink"/>
                  <w:noProof/>
                  <w:lang w:val="pt-PT"/>
                </w:rPr>
                <w:t>ANEX0S</w:t>
              </w:r>
              <w:r w:rsidR="00946D49">
                <w:rPr>
                  <w:noProof/>
                  <w:webHidden/>
                </w:rPr>
                <w:t xml:space="preserve"> </w:t>
              </w:r>
              <w:r w:rsidR="00946D49">
                <w:rPr>
                  <w:noProof/>
                  <w:webHidden/>
                </w:rPr>
                <w:fldChar w:fldCharType="begin"/>
              </w:r>
              <w:r w:rsidR="00946D49">
                <w:rPr>
                  <w:noProof/>
                  <w:webHidden/>
                </w:rPr>
                <w:instrText xml:space="preserve"> PAGEREF _Toc391261710 \h </w:instrText>
              </w:r>
              <w:r w:rsidR="00946D49">
                <w:rPr>
                  <w:noProof/>
                  <w:webHidden/>
                </w:rPr>
              </w:r>
              <w:r w:rsidR="00946D49">
                <w:rPr>
                  <w:noProof/>
                  <w:webHidden/>
                </w:rPr>
                <w:fldChar w:fldCharType="separate"/>
              </w:r>
              <w:r>
                <w:rPr>
                  <w:noProof/>
                  <w:webHidden/>
                </w:rPr>
                <w:t>33</w:t>
              </w:r>
              <w:r w:rsidR="00946D49">
                <w:rPr>
                  <w:noProof/>
                  <w:webHidden/>
                </w:rPr>
                <w:fldChar w:fldCharType="end"/>
              </w:r>
            </w:hyperlink>
          </w:p>
          <w:p w:rsidR="00946D49" w:rsidRDefault="004F553E">
            <w:pPr>
              <w:pStyle w:val="TOC2"/>
              <w:tabs>
                <w:tab w:val="right" w:leader="dot" w:pos="10070"/>
              </w:tabs>
              <w:rPr>
                <w:rFonts w:eastAsiaTheme="minorEastAsia" w:cstheme="minorBidi"/>
                <w:i w:val="0"/>
                <w:iCs w:val="0"/>
                <w:noProof/>
                <w:sz w:val="22"/>
                <w:szCs w:val="22"/>
                <w:lang w:val="en-US"/>
              </w:rPr>
            </w:pPr>
            <w:hyperlink w:anchor="_Toc391261711" w:history="1">
              <w:r w:rsidR="00946D49" w:rsidRPr="00126454">
                <w:rPr>
                  <w:rStyle w:val="Hyperlink"/>
                  <w:noProof/>
                  <w:lang w:val="pt-PT"/>
                </w:rPr>
                <w:t>Bibliografia</w:t>
              </w:r>
              <w:r w:rsidR="00946D49">
                <w:rPr>
                  <w:noProof/>
                  <w:webHidden/>
                </w:rPr>
                <w:t xml:space="preserve"> </w:t>
              </w:r>
              <w:r w:rsidR="00946D49">
                <w:rPr>
                  <w:noProof/>
                  <w:webHidden/>
                </w:rPr>
                <w:fldChar w:fldCharType="begin"/>
              </w:r>
              <w:r w:rsidR="00946D49">
                <w:rPr>
                  <w:noProof/>
                  <w:webHidden/>
                </w:rPr>
                <w:instrText xml:space="preserve"> PAGEREF _Toc391261711 \h </w:instrText>
              </w:r>
              <w:r w:rsidR="00946D49">
                <w:rPr>
                  <w:noProof/>
                  <w:webHidden/>
                </w:rPr>
              </w:r>
              <w:r w:rsidR="00946D49">
                <w:rPr>
                  <w:noProof/>
                  <w:webHidden/>
                </w:rPr>
                <w:fldChar w:fldCharType="separate"/>
              </w:r>
              <w:r>
                <w:rPr>
                  <w:noProof/>
                  <w:webHidden/>
                </w:rPr>
                <w:t>38</w:t>
              </w:r>
              <w:r w:rsidR="00946D49">
                <w:rPr>
                  <w:noProof/>
                  <w:webHidden/>
                </w:rPr>
                <w:fldChar w:fldCharType="end"/>
              </w:r>
            </w:hyperlink>
          </w:p>
          <w:p w:rsidR="005808B8" w:rsidRPr="0005246F" w:rsidRDefault="00FB4E23" w:rsidP="00817AE8">
            <w:pPr>
              <w:pStyle w:val="NoSpacing"/>
              <w:rPr>
                <w:rFonts w:cs="Times New Roman"/>
                <w:lang w:val="en-US"/>
              </w:rPr>
            </w:pPr>
            <w:r w:rsidRPr="0005246F">
              <w:rPr>
                <w:sz w:val="24"/>
                <w:lang w:val="en-US"/>
              </w:rPr>
              <w:fldChar w:fldCharType="end"/>
            </w:r>
          </w:p>
        </w:tc>
      </w:tr>
    </w:tbl>
    <w:p w:rsidR="005808B8" w:rsidRPr="0005246F" w:rsidRDefault="005808B8" w:rsidP="005808B8">
      <w:pPr>
        <w:pStyle w:val="NoSpacing"/>
        <w:rPr>
          <w:lang w:val="en-US"/>
        </w:rPr>
      </w:pPr>
    </w:p>
    <w:p w:rsidR="005808B8" w:rsidRPr="0005246F" w:rsidRDefault="005808B8" w:rsidP="001C3B9A">
      <w:pPr>
        <w:jc w:val="left"/>
      </w:pPr>
      <w:r w:rsidRPr="0005246F">
        <w:br w:type="page"/>
      </w:r>
    </w:p>
    <w:p w:rsidR="005808B8" w:rsidRPr="0005246F" w:rsidRDefault="005808B8" w:rsidP="005808B8">
      <w:pPr>
        <w:pStyle w:val="NoSpacing"/>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450"/>
        <w:gridCol w:w="8298"/>
      </w:tblGrid>
      <w:tr w:rsidR="005808B8" w:rsidRPr="0005246F" w:rsidTr="00817AE8">
        <w:tc>
          <w:tcPr>
            <w:tcW w:w="1548" w:type="dxa"/>
            <w:vAlign w:val="center"/>
          </w:tcPr>
          <w:p w:rsidR="005808B8" w:rsidRPr="00D567F3" w:rsidRDefault="005808B8" w:rsidP="00817AE8">
            <w:pPr>
              <w:pStyle w:val="NoSpacing"/>
              <w:jc w:val="left"/>
              <w:rPr>
                <w:lang w:val="pt-PT"/>
              </w:rPr>
            </w:pPr>
          </w:p>
        </w:tc>
        <w:tc>
          <w:tcPr>
            <w:tcW w:w="450" w:type="dxa"/>
            <w:vMerge w:val="restart"/>
            <w:vAlign w:val="center"/>
          </w:tcPr>
          <w:p w:rsidR="005808B8" w:rsidRPr="00D567F3" w:rsidRDefault="005808B8" w:rsidP="00817AE8">
            <w:pPr>
              <w:pStyle w:val="NoSpacing"/>
              <w:jc w:val="left"/>
              <w:rPr>
                <w:lang w:val="pt-PT"/>
              </w:rPr>
            </w:pPr>
          </w:p>
        </w:tc>
        <w:tc>
          <w:tcPr>
            <w:tcW w:w="8298" w:type="dxa"/>
            <w:vAlign w:val="center"/>
          </w:tcPr>
          <w:p w:rsidR="005808B8" w:rsidRPr="00D567F3" w:rsidRDefault="005808B8" w:rsidP="00D567F3">
            <w:pPr>
              <w:pStyle w:val="Heading1"/>
              <w:spacing w:before="0"/>
              <w:outlineLvl w:val="0"/>
              <w:rPr>
                <w:lang w:val="pt-PT"/>
              </w:rPr>
            </w:pPr>
            <w:bookmarkStart w:id="8" w:name="_Toc349150423"/>
            <w:bookmarkStart w:id="9" w:name="_Toc349391117"/>
            <w:bookmarkStart w:id="10" w:name="_Toc349668941"/>
            <w:bookmarkStart w:id="11" w:name="_Toc349818323"/>
            <w:bookmarkStart w:id="12" w:name="_Toc391261694"/>
            <w:r w:rsidRPr="00D567F3">
              <w:rPr>
                <w:lang w:val="pt-PT"/>
              </w:rPr>
              <w:t>Pref</w:t>
            </w:r>
            <w:r w:rsidR="00D567F3" w:rsidRPr="00D567F3">
              <w:rPr>
                <w:lang w:val="pt-PT"/>
              </w:rPr>
              <w:t>ácio</w:t>
            </w:r>
            <w:bookmarkEnd w:id="8"/>
            <w:bookmarkEnd w:id="9"/>
            <w:bookmarkEnd w:id="10"/>
            <w:bookmarkEnd w:id="11"/>
            <w:bookmarkEnd w:id="12"/>
          </w:p>
        </w:tc>
      </w:tr>
      <w:tr w:rsidR="005808B8" w:rsidRPr="0005246F" w:rsidTr="00817AE8">
        <w:trPr>
          <w:trHeight w:val="386"/>
        </w:trPr>
        <w:tc>
          <w:tcPr>
            <w:tcW w:w="1548" w:type="dxa"/>
            <w:vAlign w:val="center"/>
          </w:tcPr>
          <w:p w:rsidR="005808B8" w:rsidRPr="0005246F" w:rsidRDefault="0026323F" w:rsidP="00817AE8">
            <w:pPr>
              <w:pStyle w:val="NoSpacing"/>
              <w:jc w:val="left"/>
              <w:rPr>
                <w:lang w:val="en-US"/>
              </w:rPr>
            </w:pPr>
            <w:r>
              <w:rPr>
                <w:noProof/>
                <w:lang w:val="en-US"/>
              </w:rPr>
              <mc:AlternateContent>
                <mc:Choice Requires="wps">
                  <w:drawing>
                    <wp:anchor distT="0" distB="0" distL="114300" distR="114300" simplePos="0" relativeHeight="251667456" behindDoc="0" locked="0" layoutInCell="1" allowOverlap="1">
                      <wp:simplePos x="0" y="0"/>
                      <wp:positionH relativeFrom="column">
                        <wp:posOffset>-54610</wp:posOffset>
                      </wp:positionH>
                      <wp:positionV relativeFrom="paragraph">
                        <wp:posOffset>-10160</wp:posOffset>
                      </wp:positionV>
                      <wp:extent cx="909320" cy="146685"/>
                      <wp:effectExtent l="0" t="0" r="5080" b="5715"/>
                      <wp:wrapNone/>
                      <wp:docPr id="12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146685"/>
                              </a:xfrm>
                              <a:prstGeom prst="rect">
                                <a:avLst/>
                              </a:prstGeom>
                              <a:gradFill rotWithShape="1">
                                <a:gsLst>
                                  <a:gs pos="60000">
                                    <a:schemeClr val="bg1">
                                      <a:lumMod val="75000"/>
                                      <a:lumOff val="0"/>
                                    </a:schemeClr>
                                  </a:gs>
                                  <a:gs pos="100000">
                                    <a:schemeClr val="bg1">
                                      <a:lumMod val="50000"/>
                                    </a:schemeClr>
                                  </a:gs>
                                </a:gsLst>
                                <a:lin ang="5400000" scaled="1"/>
                              </a:gra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4.3pt;margin-top:-.8pt;width:71.6pt;height:1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" fillcolor="#bfbfbf [2412]" stroked="f">
                      <v:fill color2="#7f7f7f [1612]" rotate="t" colors="0 #bfbfbf;39322f #bfbfbf" focus="100%" type="gradient"/>
                    </v:rect>
                  </w:pict>
                </mc:Fallback>
              </mc:AlternateContent>
            </w:r>
          </w:p>
        </w:tc>
        <w:tc>
          <w:tcPr>
            <w:tcW w:w="450" w:type="dxa"/>
            <w:vMerge/>
            <w:vAlign w:val="center"/>
          </w:tcPr>
          <w:p w:rsidR="005808B8" w:rsidRPr="0005246F" w:rsidRDefault="005808B8" w:rsidP="00817AE8">
            <w:pPr>
              <w:pStyle w:val="NoSpacing"/>
              <w:jc w:val="left"/>
              <w:rPr>
                <w:lang w:val="en-US"/>
              </w:rPr>
            </w:pPr>
          </w:p>
        </w:tc>
        <w:tc>
          <w:tcPr>
            <w:tcW w:w="8298" w:type="dxa"/>
            <w:vAlign w:val="center"/>
          </w:tcPr>
          <w:p w:rsidR="005808B8" w:rsidRPr="0005246F" w:rsidRDefault="0026323F" w:rsidP="00817AE8">
            <w:pPr>
              <w:pStyle w:val="NoSpacing"/>
              <w:jc w:val="left"/>
              <w:rPr>
                <w:lang w:val="en-US"/>
              </w:rPr>
            </w:pPr>
            <w:r>
              <w:rPr>
                <w:noProof/>
                <w:lang w:val="en-US"/>
              </w:rPr>
              <mc:AlternateContent>
                <mc:Choice Requires="wps">
                  <w:drawing>
                    <wp:anchor distT="0" distB="0" distL="114300" distR="114300" simplePos="0" relativeHeight="251666432" behindDoc="0" locked="0" layoutInCell="1" allowOverlap="1">
                      <wp:simplePos x="0" y="0"/>
                      <wp:positionH relativeFrom="column">
                        <wp:posOffset>-52070</wp:posOffset>
                      </wp:positionH>
                      <wp:positionV relativeFrom="paragraph">
                        <wp:posOffset>-8890</wp:posOffset>
                      </wp:positionV>
                      <wp:extent cx="5186045" cy="146685"/>
                      <wp:effectExtent l="0" t="0" r="0" b="5715"/>
                      <wp:wrapNone/>
                      <wp:docPr id="31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6045" cy="146685"/>
                              </a:xfrm>
                              <a:prstGeom prst="rect">
                                <a:avLst/>
                              </a:prstGeom>
                              <a:gradFill>
                                <a:gsLst>
                                  <a:gs pos="70000">
                                    <a:schemeClr val="accent2">
                                      <a:lumMod val="75000"/>
                                    </a:schemeClr>
                                  </a:gs>
                                  <a:gs pos="100000">
                                    <a:schemeClr val="accent2">
                                      <a:lumMod val="50000"/>
                                    </a:schemeClr>
                                  </a:gs>
                                </a:gsLst>
                                <a:lin ang="5400000" scaled="0"/>
                              </a:gra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4.1pt;margin-top:-.7pt;width:408.35pt;height:1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" fillcolor="#943634 [2405]" stroked="f">
                      <v:fill color2="#622423 [1605]" colors="0 #953735;45875f #953735" focus="100%" type="gradient">
                        <o:fill v:ext="view" type="gradientUnscaled"/>
                      </v:fill>
                    </v:rect>
                  </w:pict>
                </mc:Fallback>
              </mc:AlternateContent>
            </w:r>
          </w:p>
        </w:tc>
      </w:tr>
      <w:tr w:rsidR="005808B8" w:rsidRPr="004E1715" w:rsidTr="00817AE8">
        <w:tc>
          <w:tcPr>
            <w:tcW w:w="1548" w:type="dxa"/>
            <w:vAlign w:val="center"/>
          </w:tcPr>
          <w:p w:rsidR="005808B8" w:rsidRPr="00FA338A" w:rsidRDefault="005808B8" w:rsidP="00817AE8">
            <w:pPr>
              <w:pStyle w:val="NoSpacing"/>
              <w:jc w:val="left"/>
              <w:rPr>
                <w:lang w:val="pt-PT"/>
              </w:rPr>
            </w:pPr>
          </w:p>
        </w:tc>
        <w:tc>
          <w:tcPr>
            <w:tcW w:w="450" w:type="dxa"/>
            <w:vMerge/>
            <w:vAlign w:val="center"/>
          </w:tcPr>
          <w:p w:rsidR="005808B8" w:rsidRPr="00FA338A" w:rsidRDefault="005808B8" w:rsidP="00817AE8">
            <w:pPr>
              <w:pStyle w:val="NoSpacing"/>
              <w:jc w:val="left"/>
              <w:rPr>
                <w:lang w:val="pt-PT"/>
              </w:rPr>
            </w:pPr>
          </w:p>
        </w:tc>
        <w:tc>
          <w:tcPr>
            <w:tcW w:w="8298" w:type="dxa"/>
            <w:vAlign w:val="center"/>
          </w:tcPr>
          <w:p w:rsidR="005808B8" w:rsidRPr="00FA338A" w:rsidRDefault="00BF3B32" w:rsidP="00817AE8">
            <w:pPr>
              <w:pStyle w:val="NoSpacing"/>
              <w:rPr>
                <w:rFonts w:asciiTheme="majorHAnsi" w:hAnsiTheme="majorHAnsi" w:cs="Iskoola Pota"/>
                <w:sz w:val="21"/>
                <w:szCs w:val="21"/>
                <w:lang w:val="pt-PT"/>
              </w:rPr>
            </w:pPr>
            <w:r w:rsidRPr="002D4DF5">
              <w:rPr>
                <w:rFonts w:asciiTheme="majorHAnsi" w:hAnsiTheme="majorHAnsi" w:cs="Iskoola Pota"/>
                <w:i/>
                <w:sz w:val="21"/>
                <w:szCs w:val="21"/>
                <w:lang w:val="pt-PT"/>
              </w:rPr>
              <w:t>Angola Economic Update</w:t>
            </w:r>
            <w:r w:rsidRPr="00FA338A">
              <w:rPr>
                <w:rFonts w:asciiTheme="majorHAnsi" w:hAnsiTheme="majorHAnsi" w:cs="Iskoola Pota"/>
                <w:sz w:val="21"/>
                <w:szCs w:val="21"/>
                <w:lang w:val="pt-PT"/>
              </w:rPr>
              <w:t xml:space="preserve"> anal</w:t>
            </w:r>
            <w:r w:rsidR="00D567F3" w:rsidRPr="00FA338A">
              <w:rPr>
                <w:rFonts w:asciiTheme="majorHAnsi" w:hAnsiTheme="majorHAnsi" w:cs="Iskoola Pota"/>
                <w:sz w:val="21"/>
                <w:szCs w:val="21"/>
                <w:lang w:val="pt-PT"/>
              </w:rPr>
              <w:t>isa os recentes desenvolvimentos económicos em Angola e situa-os num contexto global de médio prazo. Avalia as implicações das tendências macroeconómicas e das reformas de políticas em termos dos objectivos de desenvolvimento declarados pelo governo. Cada edição cobre um tópico sele</w:t>
            </w:r>
            <w:r w:rsidR="002D4DF5">
              <w:rPr>
                <w:rFonts w:asciiTheme="majorHAnsi" w:hAnsiTheme="majorHAnsi" w:cs="Iskoola Pota"/>
                <w:sz w:val="21"/>
                <w:szCs w:val="21"/>
                <w:lang w:val="pt-PT"/>
              </w:rPr>
              <w:t>c</w:t>
            </w:r>
            <w:r w:rsidR="00D567F3" w:rsidRPr="00FA338A">
              <w:rPr>
                <w:rFonts w:asciiTheme="majorHAnsi" w:hAnsiTheme="majorHAnsi" w:cs="Iskoola Pota"/>
                <w:sz w:val="21"/>
                <w:szCs w:val="21"/>
                <w:lang w:val="pt-PT"/>
              </w:rPr>
              <w:t xml:space="preserve">cionado e inclui uma Secção de Enfoque Especial que dá relevo especial a uma área de particular importância. A publicação </w:t>
            </w:r>
            <w:r w:rsidR="00D567F3" w:rsidRPr="002D4DF5">
              <w:rPr>
                <w:rFonts w:asciiTheme="majorHAnsi" w:hAnsiTheme="majorHAnsi" w:cs="Iskoola Pota"/>
                <w:i/>
                <w:sz w:val="21"/>
                <w:szCs w:val="21"/>
                <w:lang w:val="pt-PT"/>
              </w:rPr>
              <w:t>Angola Economic Update</w:t>
            </w:r>
            <w:r w:rsidR="00D567F3" w:rsidRPr="00FA338A">
              <w:rPr>
                <w:rFonts w:asciiTheme="majorHAnsi" w:hAnsiTheme="majorHAnsi" w:cs="Iskoola Pota"/>
                <w:sz w:val="21"/>
                <w:szCs w:val="21"/>
                <w:lang w:val="pt-PT"/>
              </w:rPr>
              <w:t xml:space="preserve"> destina-se a um público vasto, incluindo formuladores de políticas, líderes empresariais, organizações internacionais e comunidade de analistas e profissionais </w:t>
            </w:r>
            <w:r w:rsidR="009A04FA" w:rsidRPr="00FA338A">
              <w:rPr>
                <w:rFonts w:asciiTheme="majorHAnsi" w:hAnsiTheme="majorHAnsi" w:cs="Iskoola Pota"/>
                <w:sz w:val="21"/>
                <w:szCs w:val="21"/>
                <w:lang w:val="pt-PT"/>
              </w:rPr>
              <w:t xml:space="preserve">que acompanham a evolução da economia de Angola. </w:t>
            </w:r>
          </w:p>
          <w:p w:rsidR="00B91071" w:rsidRPr="00FA338A" w:rsidRDefault="00B91071" w:rsidP="00817AE8">
            <w:pPr>
              <w:pStyle w:val="NoSpacing"/>
              <w:rPr>
                <w:rFonts w:asciiTheme="majorHAnsi" w:hAnsiTheme="majorHAnsi" w:cs="Iskoola Pota"/>
                <w:sz w:val="21"/>
                <w:szCs w:val="21"/>
                <w:lang w:val="pt-PT"/>
              </w:rPr>
            </w:pPr>
          </w:p>
          <w:p w:rsidR="005808B8" w:rsidRPr="00FA338A" w:rsidRDefault="00B87ED2" w:rsidP="00817AE8">
            <w:pPr>
              <w:pStyle w:val="NoSpacing"/>
              <w:rPr>
                <w:rFonts w:asciiTheme="majorHAnsi" w:hAnsiTheme="majorHAnsi" w:cs="Iskoola Pota"/>
                <w:sz w:val="21"/>
                <w:szCs w:val="21"/>
                <w:lang w:val="pt-PT"/>
              </w:rPr>
            </w:pPr>
            <w:r w:rsidRPr="00FA338A">
              <w:rPr>
                <w:rFonts w:asciiTheme="majorHAnsi" w:hAnsiTheme="majorHAnsi" w:cs="Iskoola Pota"/>
                <w:sz w:val="21"/>
                <w:szCs w:val="21"/>
                <w:lang w:val="pt-PT"/>
              </w:rPr>
              <w:t>Esta Segunda Edição de</w:t>
            </w:r>
            <w:r w:rsidR="005808B8" w:rsidRPr="00FA338A">
              <w:rPr>
                <w:rFonts w:asciiTheme="majorHAnsi" w:hAnsiTheme="majorHAnsi" w:cs="Iskoola Pota"/>
                <w:sz w:val="21"/>
                <w:szCs w:val="21"/>
                <w:lang w:val="pt-PT"/>
              </w:rPr>
              <w:t xml:space="preserve"> </w:t>
            </w:r>
            <w:r w:rsidR="005808B8" w:rsidRPr="002D4DF5">
              <w:rPr>
                <w:rFonts w:asciiTheme="majorHAnsi" w:hAnsiTheme="majorHAnsi" w:cs="Iskoola Pota"/>
                <w:i/>
                <w:sz w:val="21"/>
                <w:szCs w:val="21"/>
                <w:lang w:val="pt-PT"/>
              </w:rPr>
              <w:t>Angola Economic Update</w:t>
            </w:r>
            <w:r w:rsidR="005808B8" w:rsidRPr="00FA338A">
              <w:rPr>
                <w:rFonts w:asciiTheme="majorHAnsi" w:hAnsiTheme="majorHAnsi" w:cs="Iskoola Pota"/>
                <w:sz w:val="21"/>
                <w:szCs w:val="21"/>
                <w:lang w:val="pt-PT"/>
              </w:rPr>
              <w:t xml:space="preserve"> </w:t>
            </w:r>
            <w:r w:rsidRPr="00FA338A">
              <w:rPr>
                <w:rFonts w:asciiTheme="majorHAnsi" w:hAnsiTheme="majorHAnsi" w:cs="Iskoola Pota"/>
                <w:sz w:val="21"/>
                <w:szCs w:val="21"/>
                <w:lang w:val="pt-PT"/>
              </w:rPr>
              <w:t xml:space="preserve">foi preparada pela Unidade de Gestão Económica e de Redução da Pobreza da Região África do Banco Mundial. A equipa foi chefiada por </w:t>
            </w:r>
            <w:r w:rsidR="005808B8" w:rsidRPr="00FA338A">
              <w:rPr>
                <w:rFonts w:asciiTheme="majorHAnsi" w:hAnsiTheme="majorHAnsi" w:cs="Iskoola Pota"/>
                <w:sz w:val="21"/>
                <w:szCs w:val="21"/>
                <w:lang w:val="pt-PT"/>
              </w:rPr>
              <w:t>Elisa Gamberoni</w:t>
            </w:r>
            <w:r w:rsidR="00946F32" w:rsidRPr="00FA338A">
              <w:rPr>
                <w:rFonts w:asciiTheme="majorHAnsi" w:hAnsiTheme="majorHAnsi" w:cs="Iskoola Pota"/>
                <w:sz w:val="21"/>
                <w:szCs w:val="21"/>
                <w:lang w:val="pt-PT"/>
              </w:rPr>
              <w:t xml:space="preserve"> (</w:t>
            </w:r>
            <w:r w:rsidR="005808B8" w:rsidRPr="00FA338A">
              <w:rPr>
                <w:rFonts w:asciiTheme="majorHAnsi" w:hAnsiTheme="majorHAnsi" w:cs="Iskoola Pota"/>
                <w:sz w:val="21"/>
                <w:szCs w:val="21"/>
                <w:lang w:val="pt-PT"/>
              </w:rPr>
              <w:t>Economis</w:t>
            </w:r>
            <w:r w:rsidRPr="00FA338A">
              <w:rPr>
                <w:rFonts w:asciiTheme="majorHAnsi" w:hAnsiTheme="majorHAnsi" w:cs="Iskoola Pota"/>
                <w:sz w:val="21"/>
                <w:szCs w:val="21"/>
                <w:lang w:val="pt-PT"/>
              </w:rPr>
              <w:t>ta)</w:t>
            </w:r>
            <w:r w:rsidR="00241808" w:rsidRPr="00FA338A">
              <w:rPr>
                <w:rFonts w:asciiTheme="majorHAnsi" w:hAnsiTheme="majorHAnsi" w:cs="Iskoola Pota"/>
                <w:sz w:val="21"/>
                <w:szCs w:val="21"/>
                <w:lang w:val="pt-PT"/>
              </w:rPr>
              <w:t xml:space="preserve"> </w:t>
            </w:r>
            <w:r w:rsidRPr="00FA338A">
              <w:rPr>
                <w:rFonts w:asciiTheme="majorHAnsi" w:hAnsiTheme="majorHAnsi" w:cs="Iskoola Pota"/>
                <w:sz w:val="21"/>
                <w:szCs w:val="21"/>
                <w:lang w:val="pt-PT"/>
              </w:rPr>
              <w:t xml:space="preserve">sob a supervisão de </w:t>
            </w:r>
            <w:r w:rsidR="00946F32" w:rsidRPr="00FA338A">
              <w:rPr>
                <w:rFonts w:asciiTheme="majorHAnsi" w:hAnsiTheme="majorHAnsi" w:cs="Iskoola Pota"/>
                <w:sz w:val="21"/>
                <w:szCs w:val="21"/>
                <w:lang w:val="pt-PT"/>
              </w:rPr>
              <w:t>Julio Revilla (</w:t>
            </w:r>
            <w:r w:rsidRPr="00FA338A">
              <w:rPr>
                <w:rFonts w:asciiTheme="majorHAnsi" w:hAnsiTheme="majorHAnsi" w:cs="Iskoola Pota"/>
                <w:sz w:val="21"/>
                <w:szCs w:val="21"/>
                <w:lang w:val="pt-PT"/>
              </w:rPr>
              <w:t>Economista Chefe) e de S</w:t>
            </w:r>
            <w:r w:rsidR="00BF2E98" w:rsidRPr="00FA338A">
              <w:rPr>
                <w:rFonts w:asciiTheme="majorHAnsi" w:hAnsiTheme="majorHAnsi" w:cs="Iskoola Pota"/>
                <w:sz w:val="21"/>
                <w:szCs w:val="21"/>
                <w:lang w:val="pt-PT"/>
              </w:rPr>
              <w:t>oulemane Coulibaly (</w:t>
            </w:r>
            <w:r w:rsidRPr="00FA338A">
              <w:rPr>
                <w:rFonts w:asciiTheme="majorHAnsi" w:hAnsiTheme="majorHAnsi" w:cs="Iskoola Pota"/>
                <w:sz w:val="21"/>
                <w:szCs w:val="21"/>
                <w:lang w:val="pt-PT"/>
              </w:rPr>
              <w:t>Economista Chefe</w:t>
            </w:r>
            <w:r w:rsidR="00BF2E98" w:rsidRPr="00FA338A">
              <w:rPr>
                <w:rFonts w:asciiTheme="majorHAnsi" w:hAnsiTheme="majorHAnsi" w:cs="Iskoola Pota"/>
                <w:sz w:val="21"/>
                <w:szCs w:val="21"/>
                <w:lang w:val="pt-PT"/>
              </w:rPr>
              <w:t>)</w:t>
            </w:r>
            <w:r w:rsidR="007B36A7" w:rsidRPr="00FA338A">
              <w:rPr>
                <w:rFonts w:asciiTheme="majorHAnsi" w:hAnsiTheme="majorHAnsi" w:cs="Iskoola Pota"/>
                <w:sz w:val="21"/>
                <w:szCs w:val="21"/>
                <w:lang w:val="pt-PT"/>
              </w:rPr>
              <w:t xml:space="preserve">. </w:t>
            </w:r>
            <w:r w:rsidRPr="00FA338A">
              <w:rPr>
                <w:rFonts w:asciiTheme="majorHAnsi" w:hAnsiTheme="majorHAnsi" w:cs="Iskoola Pota"/>
                <w:sz w:val="21"/>
                <w:szCs w:val="21"/>
                <w:lang w:val="pt-PT"/>
              </w:rPr>
              <w:t xml:space="preserve">A </w:t>
            </w:r>
            <w:r w:rsidR="002135A3" w:rsidRPr="00FA338A">
              <w:rPr>
                <w:rFonts w:asciiTheme="majorHAnsi" w:hAnsiTheme="majorHAnsi" w:cs="Iskoola Pota"/>
                <w:sz w:val="21"/>
                <w:szCs w:val="21"/>
                <w:lang w:val="pt-PT"/>
              </w:rPr>
              <w:t xml:space="preserve">equipa era composta por </w:t>
            </w:r>
            <w:r w:rsidR="007B36A7" w:rsidRPr="00FA338A">
              <w:rPr>
                <w:rFonts w:asciiTheme="majorHAnsi" w:hAnsiTheme="majorHAnsi" w:cs="Iskoola Pota"/>
                <w:sz w:val="21"/>
                <w:szCs w:val="21"/>
                <w:lang w:val="pt-PT"/>
              </w:rPr>
              <w:t xml:space="preserve">Elisa Gamberoni, </w:t>
            </w:r>
            <w:r w:rsidR="005808B8" w:rsidRPr="00FA338A">
              <w:rPr>
                <w:rFonts w:asciiTheme="majorHAnsi" w:hAnsiTheme="majorHAnsi" w:cs="Iskoola Pota"/>
                <w:sz w:val="21"/>
                <w:szCs w:val="21"/>
                <w:lang w:val="pt-PT"/>
              </w:rPr>
              <w:t>Sean Lothrop, Gerard Kambou</w:t>
            </w:r>
            <w:r w:rsidR="007B36A7" w:rsidRPr="00FA338A">
              <w:rPr>
                <w:rFonts w:asciiTheme="majorHAnsi" w:hAnsiTheme="majorHAnsi" w:cs="Iskoola Pota"/>
                <w:sz w:val="21"/>
                <w:szCs w:val="21"/>
                <w:lang w:val="pt-PT"/>
              </w:rPr>
              <w:t xml:space="preserve"> (Global </w:t>
            </w:r>
            <w:r w:rsidR="002135A3" w:rsidRPr="00FA338A">
              <w:rPr>
                <w:rFonts w:asciiTheme="majorHAnsi" w:hAnsiTheme="majorHAnsi" w:cs="Iskoola Pota"/>
                <w:sz w:val="21"/>
                <w:szCs w:val="21"/>
                <w:lang w:val="pt-PT"/>
              </w:rPr>
              <w:t>O</w:t>
            </w:r>
            <w:r w:rsidR="007B36A7" w:rsidRPr="00FA338A">
              <w:rPr>
                <w:rFonts w:asciiTheme="majorHAnsi" w:hAnsiTheme="majorHAnsi" w:cs="Iskoola Pota"/>
                <w:sz w:val="21"/>
                <w:szCs w:val="21"/>
                <w:lang w:val="pt-PT"/>
              </w:rPr>
              <w:t>utlook)</w:t>
            </w:r>
            <w:r w:rsidR="002135A3" w:rsidRPr="00FA338A">
              <w:rPr>
                <w:rFonts w:asciiTheme="majorHAnsi" w:hAnsiTheme="majorHAnsi" w:cs="Iskoola Pota"/>
                <w:sz w:val="21"/>
                <w:szCs w:val="21"/>
                <w:lang w:val="pt-PT"/>
              </w:rPr>
              <w:t xml:space="preserve"> e</w:t>
            </w:r>
            <w:r w:rsidR="005808B8" w:rsidRPr="00FA338A">
              <w:rPr>
                <w:rFonts w:asciiTheme="majorHAnsi" w:hAnsiTheme="majorHAnsi" w:cs="Iskoola Pota"/>
                <w:sz w:val="21"/>
                <w:szCs w:val="21"/>
                <w:lang w:val="pt-PT"/>
              </w:rPr>
              <w:t xml:space="preserve"> Fernando Britos</w:t>
            </w:r>
            <w:r w:rsidR="007B36A7" w:rsidRPr="00FA338A">
              <w:rPr>
                <w:rFonts w:asciiTheme="majorHAnsi" w:hAnsiTheme="majorHAnsi" w:cs="Iskoola Pota"/>
                <w:sz w:val="21"/>
                <w:szCs w:val="21"/>
                <w:lang w:val="pt-PT"/>
              </w:rPr>
              <w:t xml:space="preserve"> (</w:t>
            </w:r>
            <w:r w:rsidR="00241808" w:rsidRPr="00FA338A">
              <w:rPr>
                <w:rFonts w:asciiTheme="majorHAnsi" w:hAnsiTheme="majorHAnsi" w:cs="Iskoola Pota"/>
                <w:sz w:val="21"/>
                <w:szCs w:val="21"/>
                <w:lang w:val="pt-PT"/>
              </w:rPr>
              <w:t>A</w:t>
            </w:r>
            <w:r w:rsidR="002135A3" w:rsidRPr="00FA338A">
              <w:rPr>
                <w:rFonts w:asciiTheme="majorHAnsi" w:hAnsiTheme="majorHAnsi" w:cs="Iskoola Pota"/>
                <w:sz w:val="21"/>
                <w:szCs w:val="21"/>
                <w:lang w:val="pt-PT"/>
              </w:rPr>
              <w:t xml:space="preserve">nálise do Sistema de Gestão do Investimento Público em </w:t>
            </w:r>
            <w:r w:rsidR="00241808" w:rsidRPr="00FA338A">
              <w:rPr>
                <w:rFonts w:asciiTheme="majorHAnsi" w:hAnsiTheme="majorHAnsi" w:cs="Iskoola Pota"/>
                <w:sz w:val="21"/>
                <w:szCs w:val="21"/>
                <w:lang w:val="pt-PT"/>
              </w:rPr>
              <w:t>Angola</w:t>
            </w:r>
            <w:r w:rsidR="007B36A7" w:rsidRPr="00FA338A">
              <w:rPr>
                <w:rFonts w:asciiTheme="majorHAnsi" w:hAnsiTheme="majorHAnsi" w:cs="Iskoola Pota"/>
                <w:sz w:val="21"/>
                <w:szCs w:val="21"/>
                <w:lang w:val="pt-PT"/>
              </w:rPr>
              <w:t>)</w:t>
            </w:r>
            <w:r w:rsidR="005808B8" w:rsidRPr="00FA338A">
              <w:rPr>
                <w:rFonts w:asciiTheme="majorHAnsi" w:hAnsiTheme="majorHAnsi" w:cs="Iskoola Pota"/>
                <w:sz w:val="21"/>
                <w:szCs w:val="21"/>
                <w:lang w:val="pt-PT"/>
              </w:rPr>
              <w:t>.</w:t>
            </w:r>
            <w:r w:rsidR="007B36A7" w:rsidRPr="00FA338A">
              <w:rPr>
                <w:rFonts w:asciiTheme="majorHAnsi" w:hAnsiTheme="majorHAnsi" w:cs="Iskoola Pota"/>
                <w:sz w:val="21"/>
                <w:szCs w:val="21"/>
                <w:lang w:val="pt-PT"/>
              </w:rPr>
              <w:t xml:space="preserve"> </w:t>
            </w:r>
          </w:p>
          <w:p w:rsidR="005808B8" w:rsidRPr="00FA338A" w:rsidRDefault="005808B8" w:rsidP="00817AE8">
            <w:pPr>
              <w:pStyle w:val="NoSpacing"/>
              <w:rPr>
                <w:rFonts w:asciiTheme="majorHAnsi" w:hAnsiTheme="majorHAnsi" w:cs="Iskoola Pota"/>
                <w:sz w:val="21"/>
                <w:szCs w:val="21"/>
                <w:lang w:val="pt-PT"/>
              </w:rPr>
            </w:pPr>
          </w:p>
          <w:p w:rsidR="005808B8" w:rsidRPr="00FA338A" w:rsidRDefault="00281C28" w:rsidP="00817AE8">
            <w:pPr>
              <w:pStyle w:val="NoSpacing"/>
              <w:rPr>
                <w:rFonts w:asciiTheme="majorHAnsi" w:hAnsiTheme="majorHAnsi" w:cs="Iskoola Pota"/>
                <w:sz w:val="21"/>
                <w:szCs w:val="21"/>
                <w:lang w:val="pt-PT"/>
              </w:rPr>
            </w:pPr>
            <w:r w:rsidRPr="00FA338A">
              <w:rPr>
                <w:rFonts w:asciiTheme="majorHAnsi" w:hAnsiTheme="majorHAnsi" w:cs="Iskoola Pota"/>
                <w:sz w:val="21"/>
                <w:szCs w:val="21"/>
                <w:lang w:val="pt-PT"/>
              </w:rPr>
              <w:t>Gregor Binkert</w:t>
            </w:r>
            <w:r w:rsidR="007B36A7" w:rsidRPr="00FA338A">
              <w:rPr>
                <w:rFonts w:asciiTheme="majorHAnsi" w:hAnsiTheme="majorHAnsi" w:cs="Iskoola Pota"/>
                <w:sz w:val="21"/>
                <w:szCs w:val="21"/>
                <w:lang w:val="pt-PT"/>
              </w:rPr>
              <w:t xml:space="preserve"> (</w:t>
            </w:r>
            <w:r w:rsidR="002135A3" w:rsidRPr="00FA338A">
              <w:rPr>
                <w:rFonts w:asciiTheme="majorHAnsi" w:hAnsiTheme="majorHAnsi" w:cs="Iskoola Pota"/>
                <w:sz w:val="21"/>
                <w:szCs w:val="21"/>
                <w:lang w:val="pt-PT"/>
              </w:rPr>
              <w:t>Director de País</w:t>
            </w:r>
            <w:r w:rsidR="007B36A7" w:rsidRPr="00FA338A">
              <w:rPr>
                <w:rFonts w:asciiTheme="majorHAnsi" w:hAnsiTheme="majorHAnsi" w:cs="Iskoola Pota"/>
                <w:sz w:val="21"/>
                <w:szCs w:val="21"/>
                <w:lang w:val="pt-PT"/>
              </w:rPr>
              <w:t xml:space="preserve">), </w:t>
            </w:r>
            <w:r w:rsidR="005808B8" w:rsidRPr="00FA338A">
              <w:rPr>
                <w:rFonts w:asciiTheme="majorHAnsi" w:hAnsiTheme="majorHAnsi" w:cs="Iskoola Pota"/>
                <w:sz w:val="21"/>
                <w:szCs w:val="21"/>
                <w:lang w:val="pt-PT"/>
              </w:rPr>
              <w:t>Mark Roland Thomas (</w:t>
            </w:r>
            <w:r w:rsidR="002135A3" w:rsidRPr="00FA338A">
              <w:rPr>
                <w:rFonts w:asciiTheme="majorHAnsi" w:hAnsiTheme="majorHAnsi" w:cs="Iskoola Pota"/>
                <w:sz w:val="21"/>
                <w:szCs w:val="21"/>
                <w:lang w:val="pt-PT"/>
              </w:rPr>
              <w:t>Gestor Sectorial</w:t>
            </w:r>
            <w:r w:rsidR="005808B8" w:rsidRPr="00FA338A">
              <w:rPr>
                <w:rFonts w:asciiTheme="majorHAnsi" w:hAnsiTheme="majorHAnsi" w:cs="Iskoola Pota"/>
                <w:sz w:val="21"/>
                <w:szCs w:val="21"/>
                <w:lang w:val="pt-PT"/>
              </w:rPr>
              <w:t>)</w:t>
            </w:r>
            <w:r w:rsidR="002135A3" w:rsidRPr="00FA338A">
              <w:rPr>
                <w:rFonts w:asciiTheme="majorHAnsi" w:hAnsiTheme="majorHAnsi" w:cs="Iskoola Pota"/>
                <w:sz w:val="21"/>
                <w:szCs w:val="21"/>
                <w:lang w:val="pt-PT"/>
              </w:rPr>
              <w:t xml:space="preserve"> e</w:t>
            </w:r>
            <w:r w:rsidR="007B36A7" w:rsidRPr="00FA338A">
              <w:rPr>
                <w:rFonts w:asciiTheme="majorHAnsi" w:hAnsiTheme="majorHAnsi" w:cs="Iskoola Pota"/>
                <w:sz w:val="21"/>
                <w:szCs w:val="21"/>
                <w:lang w:val="pt-PT"/>
              </w:rPr>
              <w:t xml:space="preserve"> </w:t>
            </w:r>
            <w:r w:rsidR="00BF2E98" w:rsidRPr="00FA338A">
              <w:rPr>
                <w:rFonts w:asciiTheme="majorHAnsi" w:hAnsiTheme="majorHAnsi" w:cs="Iskoola Pota"/>
                <w:sz w:val="21"/>
                <w:szCs w:val="21"/>
                <w:lang w:val="pt-PT"/>
              </w:rPr>
              <w:t>Olivier Godron (</w:t>
            </w:r>
            <w:r w:rsidR="002135A3" w:rsidRPr="00FA338A">
              <w:rPr>
                <w:rFonts w:asciiTheme="majorHAnsi" w:hAnsiTheme="majorHAnsi" w:cs="Iskoola Pota"/>
                <w:sz w:val="21"/>
                <w:szCs w:val="21"/>
                <w:lang w:val="pt-PT"/>
              </w:rPr>
              <w:t>Coordenador de Programas do País</w:t>
            </w:r>
            <w:r w:rsidR="00BF2E98" w:rsidRPr="00FA338A">
              <w:rPr>
                <w:rFonts w:asciiTheme="majorHAnsi" w:hAnsiTheme="majorHAnsi" w:cs="Iskoola Pota"/>
                <w:sz w:val="21"/>
                <w:szCs w:val="21"/>
                <w:lang w:val="pt-PT"/>
              </w:rPr>
              <w:t>)</w:t>
            </w:r>
            <w:r w:rsidR="002135A3" w:rsidRPr="00FA338A">
              <w:rPr>
                <w:rFonts w:asciiTheme="majorHAnsi" w:hAnsiTheme="majorHAnsi" w:cs="Iskoola Pota"/>
                <w:sz w:val="21"/>
                <w:szCs w:val="21"/>
                <w:lang w:val="pt-PT"/>
              </w:rPr>
              <w:t xml:space="preserve"> prestaram as orientações gerais. A equipa gostaria de agradecer a</w:t>
            </w:r>
            <w:r w:rsidR="007B36A7" w:rsidRPr="00FA338A">
              <w:rPr>
                <w:rFonts w:asciiTheme="majorHAnsi" w:hAnsiTheme="majorHAnsi" w:cs="Iskoola Pota"/>
                <w:sz w:val="21"/>
                <w:szCs w:val="21"/>
                <w:lang w:val="pt-PT"/>
              </w:rPr>
              <w:t xml:space="preserve"> Marco Hernandez (</w:t>
            </w:r>
            <w:r w:rsidR="002135A3" w:rsidRPr="00FA338A">
              <w:rPr>
                <w:rFonts w:asciiTheme="majorHAnsi" w:hAnsiTheme="majorHAnsi" w:cs="Iskoola Pota"/>
                <w:sz w:val="21"/>
                <w:szCs w:val="21"/>
                <w:lang w:val="pt-PT"/>
              </w:rPr>
              <w:t>Economista Sénior, Banco Mundial) e</w:t>
            </w:r>
            <w:r w:rsidR="00051651" w:rsidRPr="00FA338A">
              <w:rPr>
                <w:rFonts w:asciiTheme="majorHAnsi" w:hAnsiTheme="majorHAnsi" w:cs="Iskoola Pota"/>
                <w:sz w:val="21"/>
                <w:szCs w:val="21"/>
                <w:lang w:val="pt-PT"/>
              </w:rPr>
              <w:t xml:space="preserve"> aos avaliadores </w:t>
            </w:r>
            <w:r w:rsidR="002D4DF5">
              <w:rPr>
                <w:rFonts w:asciiTheme="majorHAnsi" w:hAnsiTheme="majorHAnsi" w:cs="Iskoola Pota"/>
                <w:sz w:val="21"/>
                <w:szCs w:val="21"/>
                <w:lang w:val="pt-PT"/>
              </w:rPr>
              <w:t>seus</w:t>
            </w:r>
            <w:r w:rsidR="00051651" w:rsidRPr="00FA338A">
              <w:rPr>
                <w:rFonts w:asciiTheme="majorHAnsi" w:hAnsiTheme="majorHAnsi" w:cs="Iskoola Pota"/>
                <w:sz w:val="21"/>
                <w:szCs w:val="21"/>
                <w:lang w:val="pt-PT"/>
              </w:rPr>
              <w:t xml:space="preserve"> pares </w:t>
            </w:r>
            <w:r w:rsidR="007B36A7" w:rsidRPr="00FA338A">
              <w:rPr>
                <w:rFonts w:asciiTheme="majorHAnsi" w:hAnsiTheme="majorHAnsi" w:cs="Iskoola Pota"/>
                <w:sz w:val="21"/>
                <w:szCs w:val="21"/>
                <w:lang w:val="pt-PT"/>
              </w:rPr>
              <w:t xml:space="preserve">Irene </w:t>
            </w:r>
            <w:r w:rsidR="004222FB" w:rsidRPr="00FA338A">
              <w:rPr>
                <w:rFonts w:asciiTheme="majorHAnsi" w:hAnsiTheme="majorHAnsi" w:cs="Iskoola Pota"/>
                <w:sz w:val="21"/>
                <w:szCs w:val="21"/>
                <w:lang w:val="pt-PT"/>
              </w:rPr>
              <w:t>Yackovlev (</w:t>
            </w:r>
            <w:r w:rsidR="00051651" w:rsidRPr="00FA338A">
              <w:rPr>
                <w:rFonts w:asciiTheme="majorHAnsi" w:hAnsiTheme="majorHAnsi" w:cs="Iskoola Pota"/>
                <w:sz w:val="21"/>
                <w:szCs w:val="21"/>
                <w:lang w:val="pt-PT"/>
              </w:rPr>
              <w:t>Economista Sénior, FMI</w:t>
            </w:r>
            <w:r w:rsidR="004222FB" w:rsidRPr="00FA338A">
              <w:rPr>
                <w:rFonts w:asciiTheme="majorHAnsi" w:hAnsiTheme="majorHAnsi" w:cs="Iskoola Pota"/>
                <w:sz w:val="21"/>
                <w:szCs w:val="21"/>
                <w:lang w:val="pt-PT"/>
              </w:rPr>
              <w:t xml:space="preserve">), </w:t>
            </w:r>
            <w:r w:rsidR="007B36A7" w:rsidRPr="00FA338A">
              <w:rPr>
                <w:rFonts w:asciiTheme="majorHAnsi" w:hAnsiTheme="majorHAnsi" w:cs="Iskoola Pota"/>
                <w:sz w:val="21"/>
                <w:szCs w:val="21"/>
                <w:lang w:val="pt-PT"/>
              </w:rPr>
              <w:t>Rodrigo</w:t>
            </w:r>
            <w:r w:rsidR="004222FB" w:rsidRPr="00FA338A">
              <w:rPr>
                <w:rFonts w:asciiTheme="majorHAnsi" w:hAnsiTheme="majorHAnsi" w:cs="Iskoola Pota"/>
                <w:sz w:val="21"/>
                <w:szCs w:val="21"/>
                <w:lang w:val="pt-PT"/>
              </w:rPr>
              <w:t xml:space="preserve"> Garcia Verdu</w:t>
            </w:r>
            <w:r w:rsidR="007B36A7" w:rsidRPr="00FA338A">
              <w:rPr>
                <w:rFonts w:asciiTheme="majorHAnsi" w:hAnsiTheme="majorHAnsi" w:cs="Iskoola Pota"/>
                <w:sz w:val="21"/>
                <w:szCs w:val="21"/>
                <w:lang w:val="pt-PT"/>
              </w:rPr>
              <w:t xml:space="preserve"> (</w:t>
            </w:r>
            <w:r w:rsidR="00051651" w:rsidRPr="00FA338A">
              <w:rPr>
                <w:rFonts w:asciiTheme="majorHAnsi" w:hAnsiTheme="majorHAnsi" w:cs="Iskoola Pota"/>
                <w:sz w:val="21"/>
                <w:szCs w:val="21"/>
                <w:lang w:val="pt-PT"/>
              </w:rPr>
              <w:t>Economista Sénior, FMI</w:t>
            </w:r>
            <w:r w:rsidR="007B36A7" w:rsidRPr="00FA338A">
              <w:rPr>
                <w:rFonts w:asciiTheme="majorHAnsi" w:hAnsiTheme="majorHAnsi" w:cs="Iskoola Pota"/>
                <w:sz w:val="21"/>
                <w:szCs w:val="21"/>
                <w:lang w:val="pt-PT"/>
              </w:rPr>
              <w:t>)</w:t>
            </w:r>
            <w:r w:rsidR="004222FB" w:rsidRPr="00FA338A">
              <w:rPr>
                <w:rFonts w:asciiTheme="majorHAnsi" w:hAnsiTheme="majorHAnsi" w:cs="Iskoola Pota"/>
                <w:sz w:val="21"/>
                <w:szCs w:val="21"/>
                <w:lang w:val="pt-PT"/>
              </w:rPr>
              <w:t>, Raju Singh (</w:t>
            </w:r>
            <w:r w:rsidR="00051651" w:rsidRPr="00FA338A">
              <w:rPr>
                <w:rFonts w:asciiTheme="majorHAnsi" w:hAnsiTheme="majorHAnsi" w:cs="Iskoola Pota"/>
                <w:sz w:val="21"/>
                <w:szCs w:val="21"/>
                <w:lang w:val="pt-PT"/>
              </w:rPr>
              <w:t>Economista Chefe, Banco Mundial</w:t>
            </w:r>
            <w:r w:rsidR="004222FB" w:rsidRPr="00FA338A">
              <w:rPr>
                <w:rFonts w:asciiTheme="majorHAnsi" w:hAnsiTheme="majorHAnsi" w:cs="Iskoola Pota"/>
                <w:sz w:val="21"/>
                <w:szCs w:val="21"/>
                <w:lang w:val="pt-PT"/>
              </w:rPr>
              <w:t>)</w:t>
            </w:r>
            <w:r w:rsidR="007B36A7" w:rsidRPr="00FA338A">
              <w:rPr>
                <w:rFonts w:asciiTheme="majorHAnsi" w:hAnsiTheme="majorHAnsi" w:cs="Iskoola Pota"/>
                <w:sz w:val="21"/>
                <w:szCs w:val="21"/>
                <w:lang w:val="pt-PT"/>
              </w:rPr>
              <w:t xml:space="preserve"> </w:t>
            </w:r>
            <w:r w:rsidR="00051651" w:rsidRPr="00FA338A">
              <w:rPr>
                <w:rFonts w:asciiTheme="majorHAnsi" w:hAnsiTheme="majorHAnsi" w:cs="Iskoola Pota"/>
                <w:sz w:val="21"/>
                <w:szCs w:val="21"/>
                <w:lang w:val="pt-PT"/>
              </w:rPr>
              <w:t xml:space="preserve">pelos seus contributos </w:t>
            </w:r>
            <w:r w:rsidR="002D4DF5">
              <w:rPr>
                <w:rFonts w:asciiTheme="majorHAnsi" w:hAnsiTheme="majorHAnsi" w:cs="Iskoola Pota"/>
                <w:sz w:val="21"/>
                <w:szCs w:val="21"/>
                <w:lang w:val="pt-PT"/>
              </w:rPr>
              <w:t>para a análise e respectivos comentários</w:t>
            </w:r>
            <w:r w:rsidR="00051651" w:rsidRPr="00FA338A">
              <w:rPr>
                <w:rFonts w:asciiTheme="majorHAnsi" w:hAnsiTheme="majorHAnsi" w:cs="Iskoola Pota"/>
                <w:sz w:val="21"/>
                <w:szCs w:val="21"/>
                <w:lang w:val="pt-PT"/>
              </w:rPr>
              <w:t xml:space="preserve">. A parceria com </w:t>
            </w:r>
            <w:r w:rsidR="002D4DF5">
              <w:rPr>
                <w:rFonts w:asciiTheme="majorHAnsi" w:hAnsiTheme="majorHAnsi" w:cs="Iskoola Pota"/>
                <w:sz w:val="21"/>
                <w:szCs w:val="21"/>
                <w:lang w:val="pt-PT"/>
              </w:rPr>
              <w:t xml:space="preserve">importantes </w:t>
            </w:r>
            <w:r w:rsidR="00051651" w:rsidRPr="00FA338A">
              <w:rPr>
                <w:rFonts w:asciiTheme="majorHAnsi" w:hAnsiTheme="majorHAnsi" w:cs="Iskoola Pota"/>
                <w:sz w:val="21"/>
                <w:szCs w:val="21"/>
                <w:lang w:val="pt-PT"/>
              </w:rPr>
              <w:t xml:space="preserve">formuladores de políticas angolanos e com o FMI foi essencial para a produção deste relatório. </w:t>
            </w:r>
            <w:r w:rsidR="005808B8" w:rsidRPr="00FA338A">
              <w:rPr>
                <w:rFonts w:asciiTheme="majorHAnsi" w:hAnsiTheme="majorHAnsi" w:cs="Iskoola Pota"/>
                <w:sz w:val="21"/>
                <w:szCs w:val="21"/>
                <w:lang w:val="pt-PT"/>
              </w:rPr>
              <w:t xml:space="preserve"> </w:t>
            </w:r>
          </w:p>
          <w:p w:rsidR="005808B8" w:rsidRPr="00FA338A" w:rsidRDefault="005808B8" w:rsidP="00817AE8">
            <w:pPr>
              <w:pStyle w:val="NoSpacing"/>
              <w:rPr>
                <w:rFonts w:asciiTheme="majorHAnsi" w:hAnsiTheme="majorHAnsi" w:cs="Iskoola Pota"/>
                <w:sz w:val="21"/>
                <w:szCs w:val="21"/>
                <w:lang w:val="pt-PT"/>
              </w:rPr>
            </w:pPr>
          </w:p>
          <w:p w:rsidR="005808B8" w:rsidRPr="00FA338A" w:rsidRDefault="00051651" w:rsidP="00817AE8">
            <w:pPr>
              <w:rPr>
                <w:rFonts w:asciiTheme="majorHAnsi" w:hAnsiTheme="majorHAnsi" w:cs="Iskoola Pota"/>
                <w:sz w:val="21"/>
                <w:szCs w:val="21"/>
                <w:lang w:val="pt-PT"/>
              </w:rPr>
            </w:pPr>
            <w:r w:rsidRPr="00FA338A">
              <w:rPr>
                <w:rFonts w:asciiTheme="majorHAnsi" w:hAnsiTheme="majorHAnsi" w:cs="Iskoola Pota"/>
                <w:sz w:val="21"/>
                <w:szCs w:val="21"/>
                <w:lang w:val="pt-PT"/>
              </w:rPr>
              <w:t>As constatações, interpretações e conclusões aqui expressas são da responsabilidade dos autores e não reflectem, necessariamente, as opiniões do Conselho de Directores Executivos do Banco Mundial</w:t>
            </w:r>
            <w:r w:rsidR="00FA338A" w:rsidRPr="00FA338A">
              <w:rPr>
                <w:rFonts w:asciiTheme="majorHAnsi" w:hAnsiTheme="majorHAnsi" w:cs="Iskoola Pota"/>
                <w:sz w:val="21"/>
                <w:szCs w:val="21"/>
                <w:lang w:val="pt-PT"/>
              </w:rPr>
              <w:t xml:space="preserve"> ou dos países por eles representados. O Banco Mundial não garante a exactidão dos dados incluídos neste relatório, nem endossa as fronteiras, cores, denominações e outras informações constantes de qualquer mapa deste relatório. </w:t>
            </w:r>
          </w:p>
          <w:p w:rsidR="005808B8" w:rsidRPr="00FA338A" w:rsidRDefault="005808B8" w:rsidP="00817AE8">
            <w:pPr>
              <w:pStyle w:val="NoSpacing"/>
              <w:rPr>
                <w:rFonts w:asciiTheme="majorHAnsi" w:hAnsiTheme="majorHAnsi" w:cs="Iskoola Pota"/>
                <w:sz w:val="21"/>
                <w:szCs w:val="21"/>
                <w:lang w:val="pt-PT"/>
              </w:rPr>
            </w:pPr>
          </w:p>
          <w:p w:rsidR="005808B8" w:rsidRPr="00FA338A" w:rsidRDefault="00FA338A" w:rsidP="00817AE8">
            <w:pPr>
              <w:pStyle w:val="NoSpacing"/>
              <w:rPr>
                <w:rFonts w:asciiTheme="majorHAnsi" w:hAnsiTheme="majorHAnsi" w:cs="Iskoola Pota"/>
                <w:sz w:val="21"/>
                <w:szCs w:val="21"/>
                <w:lang w:val="pt-PT"/>
              </w:rPr>
            </w:pPr>
            <w:r>
              <w:rPr>
                <w:rFonts w:asciiTheme="majorHAnsi" w:hAnsiTheme="majorHAnsi" w:cs="Iskoola Pota"/>
                <w:sz w:val="21"/>
                <w:szCs w:val="21"/>
                <w:lang w:val="pt-PT"/>
              </w:rPr>
              <w:t xml:space="preserve">Para mais informações sobre o Banco Mundial e suas actividades em Angola, </w:t>
            </w:r>
            <w:r w:rsidR="002D4DF5">
              <w:rPr>
                <w:rFonts w:asciiTheme="majorHAnsi" w:hAnsiTheme="majorHAnsi" w:cs="Iskoola Pota"/>
                <w:sz w:val="21"/>
                <w:szCs w:val="21"/>
                <w:lang w:val="pt-PT"/>
              </w:rPr>
              <w:t xml:space="preserve">queira visitar </w:t>
            </w:r>
            <w:hyperlink r:id="rId11" w:history="1">
              <w:r w:rsidR="005808B8" w:rsidRPr="00FA338A">
                <w:rPr>
                  <w:rStyle w:val="Hyperlink"/>
                  <w:rFonts w:asciiTheme="majorHAnsi" w:hAnsiTheme="majorHAnsi" w:cs="Iskoola Pota"/>
                  <w:sz w:val="21"/>
                  <w:szCs w:val="21"/>
                  <w:lang w:val="pt-PT"/>
                </w:rPr>
                <w:t>www.worldbank.org/angola</w:t>
              </w:r>
            </w:hyperlink>
            <w:r w:rsidR="005808B8" w:rsidRPr="00FA338A">
              <w:rPr>
                <w:rFonts w:asciiTheme="majorHAnsi" w:hAnsiTheme="majorHAnsi" w:cs="Iskoola Pota"/>
                <w:sz w:val="21"/>
                <w:szCs w:val="21"/>
                <w:lang w:val="pt-PT"/>
              </w:rPr>
              <w:t>.</w:t>
            </w:r>
          </w:p>
          <w:p w:rsidR="00281C28" w:rsidRPr="00FA338A" w:rsidRDefault="00281C28" w:rsidP="00817AE8">
            <w:pPr>
              <w:pStyle w:val="NoSpacing"/>
              <w:rPr>
                <w:rFonts w:asciiTheme="majorHAnsi" w:hAnsiTheme="majorHAnsi" w:cs="Iskoola Pota"/>
                <w:sz w:val="21"/>
                <w:szCs w:val="21"/>
                <w:lang w:val="pt-PT"/>
              </w:rPr>
            </w:pPr>
          </w:p>
          <w:p w:rsidR="005808B8" w:rsidRPr="00FA338A" w:rsidRDefault="00FA338A" w:rsidP="00FA338A">
            <w:pPr>
              <w:pStyle w:val="NoSpacing"/>
              <w:rPr>
                <w:rFonts w:cs="Times New Roman"/>
                <w:lang w:val="pt-PT"/>
              </w:rPr>
            </w:pPr>
            <w:r>
              <w:rPr>
                <w:rFonts w:asciiTheme="majorHAnsi" w:hAnsiTheme="majorHAnsi" w:cs="Iskoola Pota"/>
                <w:sz w:val="21"/>
                <w:szCs w:val="21"/>
                <w:lang w:val="pt-PT"/>
              </w:rPr>
              <w:t xml:space="preserve">Para quaisquer questões e comentários relacionados com esta publicação, é favor contactar </w:t>
            </w:r>
            <w:r w:rsidR="00F6516F" w:rsidRPr="00FA338A">
              <w:rPr>
                <w:rFonts w:asciiTheme="majorHAnsi" w:hAnsiTheme="majorHAnsi" w:cs="Iskoola Pota"/>
                <w:sz w:val="21"/>
                <w:szCs w:val="21"/>
                <w:lang w:val="pt-PT"/>
              </w:rPr>
              <w:t>Elisa Gamberoni</w:t>
            </w:r>
            <w:r w:rsidR="005808B8" w:rsidRPr="00FA338A">
              <w:rPr>
                <w:rFonts w:asciiTheme="majorHAnsi" w:hAnsiTheme="majorHAnsi" w:cs="Iskoola Pota"/>
                <w:sz w:val="21"/>
                <w:szCs w:val="21"/>
                <w:lang w:val="pt-PT"/>
              </w:rPr>
              <w:t xml:space="preserve"> </w:t>
            </w:r>
            <w:r>
              <w:rPr>
                <w:rFonts w:asciiTheme="majorHAnsi" w:hAnsiTheme="majorHAnsi" w:cs="Iskoola Pota"/>
                <w:sz w:val="21"/>
                <w:szCs w:val="21"/>
                <w:lang w:val="pt-PT"/>
              </w:rPr>
              <w:t>em</w:t>
            </w:r>
            <w:r w:rsidR="005808B8" w:rsidRPr="00FA338A">
              <w:rPr>
                <w:rFonts w:asciiTheme="majorHAnsi" w:hAnsiTheme="majorHAnsi" w:cs="Iskoola Pota"/>
                <w:sz w:val="21"/>
                <w:szCs w:val="21"/>
                <w:lang w:val="pt-PT"/>
              </w:rPr>
              <w:t xml:space="preserve"> </w:t>
            </w:r>
            <w:hyperlink r:id="rId12" w:history="1">
              <w:r w:rsidR="00F6516F" w:rsidRPr="00FA338A">
                <w:rPr>
                  <w:rStyle w:val="Hyperlink"/>
                  <w:rFonts w:asciiTheme="majorHAnsi" w:hAnsiTheme="majorHAnsi" w:cs="Iskoola Pota"/>
                  <w:sz w:val="21"/>
                  <w:szCs w:val="21"/>
                  <w:lang w:val="pt-PT"/>
                </w:rPr>
                <w:t>egamberoni@worldbank.org</w:t>
              </w:r>
            </w:hyperlink>
            <w:r w:rsidR="005808B8" w:rsidRPr="00FA338A">
              <w:rPr>
                <w:rFonts w:asciiTheme="majorHAnsi" w:hAnsiTheme="majorHAnsi" w:cs="Iskoola Pota"/>
                <w:sz w:val="21"/>
                <w:szCs w:val="21"/>
                <w:lang w:val="pt-PT"/>
              </w:rPr>
              <w:t xml:space="preserve">. </w:t>
            </w:r>
          </w:p>
        </w:tc>
      </w:tr>
    </w:tbl>
    <w:p w:rsidR="005808B8" w:rsidRPr="00FA338A" w:rsidRDefault="005808B8" w:rsidP="005808B8">
      <w:pPr>
        <w:pStyle w:val="NoSpacing"/>
        <w:rPr>
          <w:lang w:val="pt-PT"/>
        </w:rPr>
      </w:pPr>
    </w:p>
    <w:p w:rsidR="005808B8" w:rsidRPr="00946D49" w:rsidRDefault="005808B8" w:rsidP="005808B8">
      <w:pPr>
        <w:pStyle w:val="NoSpacing"/>
        <w:rPr>
          <w:lang w:val="fr-FR"/>
        </w:rPr>
      </w:pPr>
    </w:p>
    <w:p w:rsidR="005808B8" w:rsidRPr="00946D49" w:rsidRDefault="005808B8" w:rsidP="005808B8">
      <w:pPr>
        <w:pStyle w:val="NoSpacing"/>
        <w:rPr>
          <w:rFonts w:cs="Times New Roman"/>
          <w:lang w:val="fr-FR"/>
        </w:rPr>
      </w:pPr>
    </w:p>
    <w:p w:rsidR="005808B8" w:rsidRPr="00946D49" w:rsidRDefault="005808B8" w:rsidP="005808B8">
      <w:pPr>
        <w:pStyle w:val="NoSpacing"/>
        <w:rPr>
          <w:rFonts w:cs="Times New Roman"/>
          <w:lang w:val="fr-FR"/>
        </w:rPr>
      </w:pPr>
    </w:p>
    <w:p w:rsidR="005808B8" w:rsidRPr="00946D49" w:rsidRDefault="005808B8" w:rsidP="005808B8">
      <w:pPr>
        <w:jc w:val="left"/>
        <w:rPr>
          <w:rFonts w:cs="Times New Roman"/>
          <w:lang w:val="fr-FR"/>
        </w:rPr>
      </w:pPr>
      <w:r w:rsidRPr="00946D49">
        <w:rPr>
          <w:rFonts w:cs="Times New Roman"/>
          <w:lang w:val="fr-FR"/>
        </w:rPr>
        <w:br w:type="page"/>
      </w:r>
    </w:p>
    <w:p w:rsidR="005808B8" w:rsidRPr="00FA338A" w:rsidRDefault="00FA338A" w:rsidP="00697BE6">
      <w:pPr>
        <w:pStyle w:val="Heading1"/>
        <w:ind w:left="1224"/>
        <w:rPr>
          <w:lang w:val="pt-PT"/>
        </w:rPr>
      </w:pPr>
      <w:bookmarkStart w:id="13" w:name="_Toc391261695"/>
      <w:r w:rsidRPr="00FA338A">
        <w:rPr>
          <w:lang w:val="pt-PT"/>
        </w:rPr>
        <w:lastRenderedPageBreak/>
        <w:t>SUMÁRIO EXECUTIVO</w:t>
      </w:r>
      <w:bookmarkEnd w:id="13"/>
    </w:p>
    <w:p w:rsidR="005808B8" w:rsidRPr="0005246F" w:rsidRDefault="005808B8" w:rsidP="005808B8">
      <w:pPr>
        <w:pStyle w:val="NoSpacing"/>
        <w:rPr>
          <w:lang w:val="en-US"/>
        </w:rPr>
      </w:pPr>
    </w:p>
    <w:p w:rsidR="005808B8" w:rsidRPr="0005246F" w:rsidRDefault="0026323F" w:rsidP="005808B8">
      <w:pPr>
        <w:pStyle w:val="NoSpacing"/>
        <w:rPr>
          <w:lang w:val="en-US"/>
        </w:rPr>
      </w:pPr>
      <w:r>
        <w:rPr>
          <w:noProof/>
          <w:lang w:val="en-US"/>
        </w:rPr>
        <mc:AlternateContent>
          <mc:Choice Requires="wps">
            <w:drawing>
              <wp:anchor distT="0" distB="0" distL="114300" distR="114300" simplePos="0" relativeHeight="251668480" behindDoc="0" locked="0" layoutInCell="1" allowOverlap="1">
                <wp:simplePos x="0" y="0"/>
                <wp:positionH relativeFrom="column">
                  <wp:posOffset>1112520</wp:posOffset>
                </wp:positionH>
                <wp:positionV relativeFrom="paragraph">
                  <wp:posOffset>46990</wp:posOffset>
                </wp:positionV>
                <wp:extent cx="5186045" cy="146685"/>
                <wp:effectExtent l="0" t="0" r="0" b="5715"/>
                <wp:wrapNone/>
                <wp:docPr id="31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6045" cy="146685"/>
                        </a:xfrm>
                        <a:prstGeom prst="rect">
                          <a:avLst/>
                        </a:prstGeom>
                        <a:gradFill>
                          <a:gsLst>
                            <a:gs pos="70000">
                              <a:schemeClr val="accent2">
                                <a:lumMod val="75000"/>
                              </a:schemeClr>
                            </a:gs>
                            <a:gs pos="100000">
                              <a:schemeClr val="accent2">
                                <a:lumMod val="50000"/>
                              </a:schemeClr>
                            </a:gs>
                          </a:gsLst>
                          <a:lin ang="5400000" scaled="0"/>
                        </a:gra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87.6pt;margin-top:3.7pt;width:408.35pt;height:11.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" fillcolor="#943634 [2405]" stroked="f">
                <v:fill color2="#622423 [1605]" colors="0 #953735;45875f #953735" focus="100%" type="gradient">
                  <o:fill v:ext="view" type="gradientUnscaled"/>
                </v:fill>
              </v:rect>
            </w:pict>
          </mc:Fallback>
        </mc:AlternateContent>
      </w:r>
      <w:r>
        <w:rPr>
          <w:noProof/>
          <w:lang w:val="en-US"/>
        </w:rPr>
        <mc:AlternateContent>
          <mc:Choice Requires="wps">
            <w:drawing>
              <wp:anchor distT="0" distB="0" distL="114300" distR="114300" simplePos="0" relativeHeight="251669504" behindDoc="0" locked="0" layoutInCell="1" allowOverlap="1">
                <wp:simplePos x="0" y="0"/>
                <wp:positionH relativeFrom="column">
                  <wp:posOffset>97790</wp:posOffset>
                </wp:positionH>
                <wp:positionV relativeFrom="paragraph">
                  <wp:posOffset>45085</wp:posOffset>
                </wp:positionV>
                <wp:extent cx="909320" cy="146685"/>
                <wp:effectExtent l="0" t="0" r="5080" b="5715"/>
                <wp:wrapNone/>
                <wp:docPr id="31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146685"/>
                        </a:xfrm>
                        <a:prstGeom prst="rect">
                          <a:avLst/>
                        </a:prstGeom>
                        <a:gradFill rotWithShape="1">
                          <a:gsLst>
                            <a:gs pos="60000">
                              <a:schemeClr val="bg1">
                                <a:lumMod val="75000"/>
                                <a:lumOff val="0"/>
                              </a:schemeClr>
                            </a:gs>
                            <a:gs pos="100000">
                              <a:schemeClr val="bg1">
                                <a:lumMod val="50000"/>
                              </a:schemeClr>
                            </a:gs>
                          </a:gsLst>
                          <a:lin ang="5400000" scaled="1"/>
                        </a:gra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7.7pt;margin-top:3.55pt;width:71.6pt;height:11.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" fillcolor="#bfbfbf [2412]" stroked="f">
                <v:fill color2="#7f7f7f [1612]" rotate="t" colors="0 #bfbfbf;39322f #bfbfbf" focus="100%" type="gradient"/>
              </v:rect>
            </w:pict>
          </mc:Fallback>
        </mc:AlternateContent>
      </w:r>
    </w:p>
    <w:p w:rsidR="005808B8" w:rsidRPr="0005246F" w:rsidRDefault="005808B8" w:rsidP="005808B8">
      <w:pPr>
        <w:pStyle w:val="NoSpacing"/>
        <w:rPr>
          <w:lang w:val="en-US"/>
        </w:rPr>
      </w:pPr>
    </w:p>
    <w:p w:rsidR="001F379C" w:rsidRPr="00FA338A" w:rsidRDefault="001F379C" w:rsidP="001F379C">
      <w:pPr>
        <w:rPr>
          <w:lang w:val="pt-PT"/>
        </w:rPr>
      </w:pPr>
      <w:r w:rsidRPr="00FA338A">
        <w:rPr>
          <w:b/>
          <w:lang w:val="pt-PT"/>
        </w:rPr>
        <w:t>A</w:t>
      </w:r>
      <w:r w:rsidR="00FA338A">
        <w:rPr>
          <w:b/>
          <w:lang w:val="pt-PT"/>
        </w:rPr>
        <w:t xml:space="preserve"> economia de Angola desacelerou em 2013 devido </w:t>
      </w:r>
      <w:r w:rsidR="002E1A5A">
        <w:rPr>
          <w:b/>
          <w:lang w:val="pt-PT"/>
        </w:rPr>
        <w:t>ao</w:t>
      </w:r>
      <w:r w:rsidR="00FA338A">
        <w:rPr>
          <w:b/>
          <w:lang w:val="pt-PT"/>
        </w:rPr>
        <w:t xml:space="preserve"> frac</w:t>
      </w:r>
      <w:r w:rsidR="002E1A5A">
        <w:rPr>
          <w:b/>
          <w:lang w:val="pt-PT"/>
        </w:rPr>
        <w:t>o desempenho</w:t>
      </w:r>
      <w:r w:rsidR="00FA338A">
        <w:rPr>
          <w:b/>
          <w:lang w:val="pt-PT"/>
        </w:rPr>
        <w:t xml:space="preserve"> do sector petrolífero mas a economia não petrolífera</w:t>
      </w:r>
      <w:r w:rsidR="00D15FE8">
        <w:rPr>
          <w:b/>
          <w:lang w:val="pt-PT"/>
        </w:rPr>
        <w:t xml:space="preserve"> registou uma expansão rápida</w:t>
      </w:r>
      <w:r w:rsidR="00FA338A">
        <w:rPr>
          <w:b/>
          <w:lang w:val="pt-PT"/>
        </w:rPr>
        <w:t xml:space="preserve">. </w:t>
      </w:r>
      <w:r w:rsidR="000B4A5B" w:rsidRPr="000B4A5B">
        <w:rPr>
          <w:lang w:val="pt-PT"/>
        </w:rPr>
        <w:t>O PIB real</w:t>
      </w:r>
      <w:r w:rsidR="000B4A5B">
        <w:rPr>
          <w:lang w:val="pt-PT"/>
        </w:rPr>
        <w:t xml:space="preserve"> cresceu 4,4%, ligeiramente </w:t>
      </w:r>
      <w:r w:rsidR="00D15FE8">
        <w:rPr>
          <w:lang w:val="pt-PT"/>
        </w:rPr>
        <w:t xml:space="preserve">menos que a taxa de </w:t>
      </w:r>
      <w:r w:rsidR="000B4A5B">
        <w:rPr>
          <w:lang w:val="pt-PT"/>
        </w:rPr>
        <w:t>crescimento de 5,1%</w:t>
      </w:r>
      <w:r w:rsidR="00D15FE8">
        <w:rPr>
          <w:lang w:val="pt-PT"/>
        </w:rPr>
        <w:t xml:space="preserve"> estimada em 2012</w:t>
      </w:r>
      <w:r w:rsidR="000B4A5B">
        <w:rPr>
          <w:lang w:val="pt-PT"/>
        </w:rPr>
        <w:t>, traduzindo preços mais baixos do petróleo e o fraco desempenho dos principais parceiros comerciais de Angola. O crescimento do PIB não petrolífero atingiu os 6,3% em 2013 graças à recuperação da seca de</w:t>
      </w:r>
      <w:r w:rsidRPr="00FA338A">
        <w:rPr>
          <w:lang w:val="pt-PT"/>
        </w:rPr>
        <w:t xml:space="preserve"> 201</w:t>
      </w:r>
      <w:r w:rsidR="00BF2E98" w:rsidRPr="00FA338A">
        <w:rPr>
          <w:lang w:val="pt-PT"/>
        </w:rPr>
        <w:t>2</w:t>
      </w:r>
      <w:r w:rsidR="000B4A5B">
        <w:rPr>
          <w:lang w:val="pt-PT"/>
        </w:rPr>
        <w:t xml:space="preserve"> </w:t>
      </w:r>
      <w:r w:rsidR="00D15FE8">
        <w:rPr>
          <w:lang w:val="pt-PT"/>
        </w:rPr>
        <w:t xml:space="preserve">do sector agrícola </w:t>
      </w:r>
      <w:r w:rsidR="000B4A5B">
        <w:rPr>
          <w:lang w:val="pt-PT"/>
        </w:rPr>
        <w:t xml:space="preserve">e de investimentos no sector da electricidade. </w:t>
      </w:r>
    </w:p>
    <w:p w:rsidR="001F379C" w:rsidRPr="00FA338A" w:rsidRDefault="001F379C" w:rsidP="001F379C">
      <w:pPr>
        <w:rPr>
          <w:lang w:val="pt-PT"/>
        </w:rPr>
      </w:pPr>
    </w:p>
    <w:p w:rsidR="000B4A5B" w:rsidRDefault="000B4A5B" w:rsidP="001F379C">
      <w:pPr>
        <w:rPr>
          <w:lang w:val="pt-PT"/>
        </w:rPr>
      </w:pPr>
      <w:r>
        <w:rPr>
          <w:b/>
          <w:lang w:val="pt-PT"/>
        </w:rPr>
        <w:t xml:space="preserve">A queda das receitas do petróleo e um aumento das despesas levaram a um défice orçamental, pela primeira vez desde </w:t>
      </w:r>
      <w:r w:rsidR="001F379C" w:rsidRPr="00FA338A">
        <w:rPr>
          <w:b/>
          <w:lang w:val="pt-PT"/>
        </w:rPr>
        <w:t>2009.</w:t>
      </w:r>
      <w:r w:rsidR="001F379C" w:rsidRPr="00FA338A">
        <w:rPr>
          <w:lang w:val="pt-PT"/>
        </w:rPr>
        <w:t xml:space="preserve"> </w:t>
      </w:r>
      <w:r w:rsidR="00BF2E98" w:rsidRPr="00FA338A">
        <w:rPr>
          <w:lang w:val="pt-PT"/>
        </w:rPr>
        <w:t>Compar</w:t>
      </w:r>
      <w:r>
        <w:rPr>
          <w:lang w:val="pt-PT"/>
        </w:rPr>
        <w:t xml:space="preserve">ativamente a outros países ricos em petróleo na África Subsariana (SSA), as receitas petrolíferas representam uma quota invulgarmente elevada das receitas totais de Angola. Nestas circunstâncias, o orçamento de Angola é muito sensível aos choques dos preços do petróleo. </w:t>
      </w:r>
      <w:r w:rsidR="00D15FE8">
        <w:rPr>
          <w:lang w:val="pt-PT"/>
        </w:rPr>
        <w:t xml:space="preserve">Dadas </w:t>
      </w:r>
      <w:r w:rsidR="00DA12C3">
        <w:rPr>
          <w:lang w:val="pt-PT"/>
        </w:rPr>
        <w:t xml:space="preserve">as actuais previsões do preço do petróleo, projectou-se um défice durante o processo orçamental. No entanto, o défice acabou por ser inferior às </w:t>
      </w:r>
      <w:r w:rsidR="00F56632">
        <w:rPr>
          <w:lang w:val="pt-PT"/>
        </w:rPr>
        <w:t>previsões</w:t>
      </w:r>
      <w:r w:rsidR="00DA12C3">
        <w:rPr>
          <w:lang w:val="pt-PT"/>
        </w:rPr>
        <w:t xml:space="preserve"> dos formuladores de políticas em virtude de o preço do petróleo ter ficado acima do previsto no orçamento de 2013 e a execução </w:t>
      </w:r>
      <w:r w:rsidR="00F56632">
        <w:rPr>
          <w:lang w:val="pt-PT"/>
        </w:rPr>
        <w:t>das despesas de capital ter ficado abaixo do orçamentado. O orçamento de 2014 (adoptado em Dezembro de 2013) é expansio</w:t>
      </w:r>
      <w:r w:rsidR="002C3253">
        <w:rPr>
          <w:lang w:val="pt-PT"/>
        </w:rPr>
        <w:t>nista</w:t>
      </w:r>
      <w:r w:rsidR="00F56632">
        <w:rPr>
          <w:lang w:val="pt-PT"/>
        </w:rPr>
        <w:t xml:space="preserve"> relativamente a 2013, </w:t>
      </w:r>
      <w:r w:rsidR="002C3253">
        <w:rPr>
          <w:lang w:val="pt-PT"/>
        </w:rPr>
        <w:t>prevendo-se um aumento das despesas de capital em cerca de 3 pontos percentuais do PIB, para aproximadamente 13% do PIB. Se for integralmente executado, o orçamento de 2014 implicará um défice fiscal de 4,9%.</w:t>
      </w:r>
      <w:r w:rsidR="00F56632">
        <w:rPr>
          <w:lang w:val="pt-PT"/>
        </w:rPr>
        <w:t xml:space="preserve"> </w:t>
      </w:r>
    </w:p>
    <w:p w:rsidR="004B1DBC" w:rsidRPr="00FA338A" w:rsidRDefault="004B1DBC" w:rsidP="001F379C">
      <w:pPr>
        <w:rPr>
          <w:lang w:val="pt-PT"/>
        </w:rPr>
      </w:pPr>
    </w:p>
    <w:p w:rsidR="00170835" w:rsidRDefault="005B1A96" w:rsidP="001F379C">
      <w:pPr>
        <w:rPr>
          <w:lang w:val="pt-PT"/>
        </w:rPr>
      </w:pPr>
      <w:r>
        <w:rPr>
          <w:b/>
          <w:lang w:val="pt-PT"/>
        </w:rPr>
        <w:t xml:space="preserve">Da mesma forma, </w:t>
      </w:r>
      <w:r w:rsidR="001F379C" w:rsidRPr="00FA338A">
        <w:rPr>
          <w:b/>
          <w:lang w:val="pt-PT"/>
        </w:rPr>
        <w:t>l</w:t>
      </w:r>
      <w:r w:rsidR="002C3253">
        <w:rPr>
          <w:b/>
          <w:lang w:val="pt-PT"/>
        </w:rPr>
        <w:t xml:space="preserve">ucros </w:t>
      </w:r>
      <w:r w:rsidR="00F94C54">
        <w:rPr>
          <w:b/>
          <w:lang w:val="pt-PT"/>
        </w:rPr>
        <w:t>m</w:t>
      </w:r>
      <w:r>
        <w:rPr>
          <w:b/>
          <w:lang w:val="pt-PT"/>
        </w:rPr>
        <w:t>enores</w:t>
      </w:r>
      <w:r w:rsidR="00F94C54">
        <w:rPr>
          <w:b/>
          <w:lang w:val="pt-PT"/>
        </w:rPr>
        <w:t xml:space="preserve"> </w:t>
      </w:r>
      <w:r>
        <w:rPr>
          <w:b/>
          <w:lang w:val="pt-PT"/>
        </w:rPr>
        <w:t xml:space="preserve">com </w:t>
      </w:r>
      <w:r w:rsidR="00F94C54">
        <w:rPr>
          <w:b/>
          <w:lang w:val="pt-PT"/>
        </w:rPr>
        <w:t>as</w:t>
      </w:r>
      <w:r w:rsidR="002C3253">
        <w:rPr>
          <w:b/>
          <w:lang w:val="pt-PT"/>
        </w:rPr>
        <w:t xml:space="preserve"> exportaç</w:t>
      </w:r>
      <w:r w:rsidR="00F94C54">
        <w:rPr>
          <w:b/>
          <w:lang w:val="pt-PT"/>
        </w:rPr>
        <w:t xml:space="preserve">ões associadas ao petróleo e o acréscimo das importações </w:t>
      </w:r>
      <w:r w:rsidR="000A3FED">
        <w:rPr>
          <w:b/>
          <w:lang w:val="pt-PT"/>
        </w:rPr>
        <w:t xml:space="preserve">diminuíram </w:t>
      </w:r>
      <w:r w:rsidR="00F94C54">
        <w:rPr>
          <w:b/>
          <w:lang w:val="pt-PT"/>
        </w:rPr>
        <w:t xml:space="preserve">o excedente da </w:t>
      </w:r>
      <w:r w:rsidR="000A3FED">
        <w:rPr>
          <w:b/>
          <w:lang w:val="pt-PT"/>
        </w:rPr>
        <w:t>balança</w:t>
      </w:r>
      <w:r w:rsidR="00F94C54">
        <w:rPr>
          <w:b/>
          <w:lang w:val="pt-PT"/>
        </w:rPr>
        <w:t xml:space="preserve"> corrente</w:t>
      </w:r>
      <w:r w:rsidR="001F379C" w:rsidRPr="00FA338A">
        <w:rPr>
          <w:b/>
          <w:lang w:val="pt-PT"/>
        </w:rPr>
        <w:t>.</w:t>
      </w:r>
      <w:r>
        <w:rPr>
          <w:lang w:val="pt-PT"/>
        </w:rPr>
        <w:t xml:space="preserve"> Embora Angola continue a registar um excedente significativo, a balança corrente permanece vulnerável a choques externos. As exportações de petróleo </w:t>
      </w:r>
      <w:r w:rsidR="00D25B42">
        <w:rPr>
          <w:lang w:val="pt-PT"/>
        </w:rPr>
        <w:t>têm um papel dominante n</w:t>
      </w:r>
      <w:r w:rsidR="00FF2A1C">
        <w:rPr>
          <w:lang w:val="pt-PT"/>
        </w:rPr>
        <w:t xml:space="preserve">as receitas em divisas mas, em 2013, começaram a declinar com a queda dos preços globais do petróleo. A correlação entre balança corrente e </w:t>
      </w:r>
      <w:r w:rsidR="00170835">
        <w:rPr>
          <w:lang w:val="pt-PT"/>
        </w:rPr>
        <w:t>saldos orçamentais amplia o efeito das flutuações dos preços globais do petróleo na actividade económica em Angola, acentuado ainda mais a necessidade de</w:t>
      </w:r>
      <w:r w:rsidR="00D25B42">
        <w:rPr>
          <w:lang w:val="pt-PT"/>
        </w:rPr>
        <w:t xml:space="preserve"> se</w:t>
      </w:r>
      <w:r w:rsidR="00170835">
        <w:rPr>
          <w:lang w:val="pt-PT"/>
        </w:rPr>
        <w:t xml:space="preserve"> diversificar a economia e de dissociar as finanças públicas do sector petrolífero. </w:t>
      </w:r>
    </w:p>
    <w:p w:rsidR="001F379C" w:rsidRPr="00FA338A" w:rsidRDefault="001F379C" w:rsidP="001F379C">
      <w:pPr>
        <w:rPr>
          <w:lang w:val="pt-PT"/>
        </w:rPr>
      </w:pPr>
    </w:p>
    <w:p w:rsidR="001F379C" w:rsidRPr="00FA338A" w:rsidRDefault="00170835" w:rsidP="001F379C">
      <w:pPr>
        <w:rPr>
          <w:lang w:val="pt-PT"/>
        </w:rPr>
      </w:pPr>
      <w:r>
        <w:rPr>
          <w:b/>
          <w:lang w:val="pt-PT"/>
        </w:rPr>
        <w:t>Aumentar a competitividade das exportações e a</w:t>
      </w:r>
      <w:r w:rsidR="0053018D">
        <w:rPr>
          <w:b/>
          <w:lang w:val="pt-PT"/>
        </w:rPr>
        <w:t>dopt</w:t>
      </w:r>
      <w:r w:rsidR="00E170D9">
        <w:rPr>
          <w:b/>
          <w:lang w:val="pt-PT"/>
        </w:rPr>
        <w:t xml:space="preserve">ar </w:t>
      </w:r>
      <w:r>
        <w:rPr>
          <w:b/>
          <w:lang w:val="pt-PT"/>
        </w:rPr>
        <w:t xml:space="preserve">as correspondentes reformas tributárias contribuiria para reduzir </w:t>
      </w:r>
      <w:r w:rsidR="00C76DB0">
        <w:rPr>
          <w:b/>
          <w:lang w:val="pt-PT"/>
        </w:rPr>
        <w:t>a correlação entre a balança corrente e os saldos d</w:t>
      </w:r>
      <w:r w:rsidR="009416A2">
        <w:rPr>
          <w:b/>
          <w:lang w:val="pt-PT"/>
        </w:rPr>
        <w:t>as contas públicas</w:t>
      </w:r>
      <w:r w:rsidR="001F379C" w:rsidRPr="00FA338A">
        <w:rPr>
          <w:lang w:val="pt-PT"/>
        </w:rPr>
        <w:t xml:space="preserve">. Angola </w:t>
      </w:r>
      <w:r w:rsidR="0053018D">
        <w:rPr>
          <w:lang w:val="pt-PT"/>
        </w:rPr>
        <w:t xml:space="preserve">tem um nível elevado de concentração </w:t>
      </w:r>
      <w:r w:rsidR="00B76282">
        <w:rPr>
          <w:lang w:val="pt-PT"/>
        </w:rPr>
        <w:t xml:space="preserve">em </w:t>
      </w:r>
      <w:r w:rsidR="00D25338">
        <w:rPr>
          <w:lang w:val="pt-PT"/>
        </w:rPr>
        <w:t xml:space="preserve">um produto de exportação, até mesmo pelos padrões de outros grandes exportadores de petróleo. Acresce que estas exportações chegam a um número reduzido de mercados, o que sugere que as empresas angolanas enfrentam obstáculos que limitam a sua capacidade para participar na economia global. </w:t>
      </w:r>
      <w:r w:rsidR="00B76282">
        <w:rPr>
          <w:lang w:val="pt-PT"/>
        </w:rPr>
        <w:t>Uma</w:t>
      </w:r>
      <w:r w:rsidR="00D25338">
        <w:rPr>
          <w:lang w:val="pt-PT"/>
        </w:rPr>
        <w:t xml:space="preserve"> </w:t>
      </w:r>
      <w:r w:rsidR="0089247F">
        <w:rPr>
          <w:lang w:val="pt-PT"/>
        </w:rPr>
        <w:t>maior</w:t>
      </w:r>
      <w:r w:rsidR="00D25338">
        <w:rPr>
          <w:lang w:val="pt-PT"/>
        </w:rPr>
        <w:t xml:space="preserve"> competitividade das exportações do sector não petrolífero (incluindo as indústrias extractivas não petrolíferas) </w:t>
      </w:r>
      <w:r w:rsidR="0089247F">
        <w:rPr>
          <w:lang w:val="pt-PT"/>
        </w:rPr>
        <w:t>ajudará a manter a estabilidade do excedente da balança corrente e a reduzir a exposição de Angola à volatilidade dos termos de</w:t>
      </w:r>
      <w:r w:rsidR="00232CDC">
        <w:rPr>
          <w:lang w:val="pt-PT"/>
        </w:rPr>
        <w:t xml:space="preserve"> troca. </w:t>
      </w:r>
      <w:r w:rsidR="00840E15">
        <w:rPr>
          <w:lang w:val="pt-PT"/>
        </w:rPr>
        <w:t>Relativamente ao o</w:t>
      </w:r>
      <w:r w:rsidR="00232CDC">
        <w:rPr>
          <w:lang w:val="pt-PT"/>
        </w:rPr>
        <w:t>rçament</w:t>
      </w:r>
      <w:r w:rsidR="00840E15">
        <w:rPr>
          <w:lang w:val="pt-PT"/>
        </w:rPr>
        <w:t>o</w:t>
      </w:r>
      <w:r w:rsidR="00232CDC">
        <w:rPr>
          <w:lang w:val="pt-PT"/>
        </w:rPr>
        <w:t xml:space="preserve">, as receitas dos impostos não petrolíferos, como uma percentagem do PIB não petrolífero, têm baixado consistentemente nos últimos anos, </w:t>
      </w:r>
      <w:r w:rsidR="00B76282">
        <w:rPr>
          <w:lang w:val="pt-PT"/>
        </w:rPr>
        <w:t>reforçando</w:t>
      </w:r>
      <w:r w:rsidR="00232CDC">
        <w:rPr>
          <w:lang w:val="pt-PT"/>
        </w:rPr>
        <w:t xml:space="preserve"> a necessidade de reformar o sistema tributário com vista a reduzir a exposição a flutuações nas receitas relacionadas com o petróleo. </w:t>
      </w:r>
    </w:p>
    <w:p w:rsidR="001F379C" w:rsidRPr="00FA338A" w:rsidRDefault="001F379C" w:rsidP="001F379C">
      <w:pPr>
        <w:rPr>
          <w:lang w:val="pt-PT"/>
        </w:rPr>
      </w:pPr>
    </w:p>
    <w:p w:rsidR="001F379C" w:rsidRPr="00FA338A" w:rsidRDefault="00840E15" w:rsidP="001F379C">
      <w:pPr>
        <w:rPr>
          <w:lang w:val="pt-PT"/>
        </w:rPr>
      </w:pPr>
      <w:r>
        <w:rPr>
          <w:b/>
          <w:lang w:val="pt-PT"/>
        </w:rPr>
        <w:t xml:space="preserve">A expansão da produção agrícola e a diminuição dos preços das importações de alimentos ajudaram a conter a taxa de inflação </w:t>
      </w:r>
      <w:r w:rsidR="009E6E2B">
        <w:rPr>
          <w:b/>
          <w:lang w:val="pt-PT"/>
        </w:rPr>
        <w:t>n</w:t>
      </w:r>
      <w:r w:rsidR="00B76282">
        <w:rPr>
          <w:b/>
          <w:lang w:val="pt-PT"/>
        </w:rPr>
        <w:t>o</w:t>
      </w:r>
      <w:r w:rsidR="009E6E2B">
        <w:rPr>
          <w:b/>
          <w:lang w:val="pt-PT"/>
        </w:rPr>
        <w:t xml:space="preserve"> nível de um só dígito</w:t>
      </w:r>
      <w:r w:rsidR="001F379C" w:rsidRPr="00FA338A">
        <w:rPr>
          <w:b/>
          <w:lang w:val="pt-PT"/>
        </w:rPr>
        <w:t>.</w:t>
      </w:r>
      <w:r w:rsidR="00D91BB0">
        <w:rPr>
          <w:lang w:val="pt-PT"/>
        </w:rPr>
        <w:t xml:space="preserve"> </w:t>
      </w:r>
      <w:r w:rsidR="009E6E2B">
        <w:rPr>
          <w:lang w:val="pt-PT"/>
        </w:rPr>
        <w:t xml:space="preserve">Projecta-se que a inflação mantenha o seu curso descendente e que a produção agrícola interna continue a </w:t>
      </w:r>
      <w:r w:rsidR="00D91BB0">
        <w:rPr>
          <w:lang w:val="pt-PT"/>
        </w:rPr>
        <w:t>recuperar da seca de 2012. Os riscos inflac</w:t>
      </w:r>
      <w:r w:rsidR="00974500">
        <w:rPr>
          <w:lang w:val="pt-PT"/>
        </w:rPr>
        <w:t>ionistas</w:t>
      </w:r>
      <w:r w:rsidR="00D91BB0">
        <w:rPr>
          <w:lang w:val="pt-PT"/>
        </w:rPr>
        <w:t xml:space="preserve"> estão associados sobretudo com a expansão fiscal planeada,</w:t>
      </w:r>
      <w:r w:rsidR="00171199">
        <w:rPr>
          <w:lang w:val="pt-PT"/>
        </w:rPr>
        <w:t xml:space="preserve"> uma vez que as despesas públicas não se traduziriam de imediato no aumento da capacidade de abastecimento.</w:t>
      </w:r>
      <w:r w:rsidR="00974500">
        <w:rPr>
          <w:lang w:val="pt-PT"/>
        </w:rPr>
        <w:t xml:space="preserve"> Da mesma forma, a recente introdução de uma nova pauta de tarifas de importação podia ser, por si só, um impulso à inflação. Por último, a Lei </w:t>
      </w:r>
      <w:r w:rsidR="001C04EC">
        <w:rPr>
          <w:lang w:val="pt-PT"/>
        </w:rPr>
        <w:t>Cambial Petrolífera, que obriga as companhias petrolíferas, que operam no país, a pagar aos seus fornecedores através de contas em bancos angolanos, podia gerar pressões inflacionistas adicionais, já que o aumento de liquidez pod</w:t>
      </w:r>
      <w:r w:rsidR="00761910">
        <w:rPr>
          <w:lang w:val="pt-PT"/>
        </w:rPr>
        <w:t>er</w:t>
      </w:r>
      <w:r w:rsidR="001C04EC">
        <w:rPr>
          <w:lang w:val="pt-PT"/>
        </w:rPr>
        <w:t xml:space="preserve">ia encorajar os bancos comerciais a conceder crédito a projectos de risco mais elevado. </w:t>
      </w:r>
    </w:p>
    <w:p w:rsidR="001F379C" w:rsidRPr="00FA338A" w:rsidRDefault="001F379C" w:rsidP="001F379C">
      <w:pPr>
        <w:rPr>
          <w:lang w:val="pt-PT"/>
        </w:rPr>
      </w:pPr>
    </w:p>
    <w:p w:rsidR="001F379C" w:rsidRPr="00FA338A" w:rsidRDefault="00B87E82" w:rsidP="001F379C">
      <w:pPr>
        <w:rPr>
          <w:lang w:val="pt-PT"/>
        </w:rPr>
      </w:pPr>
      <w:r>
        <w:rPr>
          <w:b/>
          <w:lang w:val="pt-PT"/>
        </w:rPr>
        <w:t>Foram afastados o</w:t>
      </w:r>
      <w:r w:rsidR="00616CD9">
        <w:rPr>
          <w:b/>
          <w:lang w:val="pt-PT"/>
        </w:rPr>
        <w:t>s potenciais efeitos negativos da nova lei cambial petrolífera</w:t>
      </w:r>
      <w:r>
        <w:rPr>
          <w:b/>
          <w:lang w:val="pt-PT"/>
        </w:rPr>
        <w:t xml:space="preserve"> mas é imperioso que se </w:t>
      </w:r>
      <w:r w:rsidR="001214C5">
        <w:rPr>
          <w:b/>
          <w:lang w:val="pt-PT"/>
        </w:rPr>
        <w:t>seja prudente</w:t>
      </w:r>
      <w:r w:rsidR="001214C5" w:rsidRPr="00FA338A">
        <w:rPr>
          <w:b/>
          <w:lang w:val="pt-PT"/>
        </w:rPr>
        <w:t>.</w:t>
      </w:r>
      <w:r w:rsidR="001214C5">
        <w:rPr>
          <w:lang w:val="pt-PT"/>
        </w:rPr>
        <w:t xml:space="preserve"> Os dados de </w:t>
      </w:r>
      <w:r w:rsidR="001F379C" w:rsidRPr="00FA338A">
        <w:rPr>
          <w:lang w:val="pt-PT"/>
        </w:rPr>
        <w:t xml:space="preserve">2013 </w:t>
      </w:r>
      <w:r w:rsidR="001214C5">
        <w:rPr>
          <w:lang w:val="pt-PT"/>
        </w:rPr>
        <w:t xml:space="preserve">revelam um abrandamento no aumento do crédito e a </w:t>
      </w:r>
      <w:r w:rsidR="00761910">
        <w:rPr>
          <w:lang w:val="pt-PT"/>
        </w:rPr>
        <w:t>percentagem</w:t>
      </w:r>
      <w:r w:rsidR="001214C5">
        <w:rPr>
          <w:lang w:val="pt-PT"/>
        </w:rPr>
        <w:t xml:space="preserve"> de empréstimos em Kwanzas aumentou em linha com os esforços de de</w:t>
      </w:r>
      <w:r w:rsidR="00EF6D43">
        <w:rPr>
          <w:lang w:val="pt-PT"/>
        </w:rPr>
        <w:t>s</w:t>
      </w:r>
      <w:r w:rsidR="001214C5">
        <w:rPr>
          <w:lang w:val="pt-PT"/>
        </w:rPr>
        <w:t xml:space="preserve">dolarização do governo. </w:t>
      </w:r>
      <w:r w:rsidR="00EF6D43">
        <w:rPr>
          <w:lang w:val="pt-PT"/>
        </w:rPr>
        <w:t>Contudo, a desaceleração regista</w:t>
      </w:r>
      <w:r w:rsidR="00761910">
        <w:rPr>
          <w:lang w:val="pt-PT"/>
        </w:rPr>
        <w:t>da</w:t>
      </w:r>
      <w:r w:rsidR="00EF6D43">
        <w:rPr>
          <w:lang w:val="pt-PT"/>
        </w:rPr>
        <w:t xml:space="preserve"> está provavelmente associada a uma desaceleração mais </w:t>
      </w:r>
      <w:r w:rsidR="00761910">
        <w:rPr>
          <w:lang w:val="pt-PT"/>
        </w:rPr>
        <w:t>vasta</w:t>
      </w:r>
      <w:r w:rsidR="00EF6D43">
        <w:rPr>
          <w:lang w:val="pt-PT"/>
        </w:rPr>
        <w:t xml:space="preserve"> do crescimento económico observado em 2013. Al</w:t>
      </w:r>
      <w:r w:rsidR="00761910">
        <w:rPr>
          <w:lang w:val="pt-PT"/>
        </w:rPr>
        <w:t>é</w:t>
      </w:r>
      <w:r w:rsidR="00EF6D43">
        <w:rPr>
          <w:lang w:val="pt-PT"/>
        </w:rPr>
        <w:t xml:space="preserve">m do mais, </w:t>
      </w:r>
      <w:r w:rsidR="00761910">
        <w:rPr>
          <w:lang w:val="pt-PT"/>
        </w:rPr>
        <w:t xml:space="preserve">houve um aumento da percentagem </w:t>
      </w:r>
      <w:r w:rsidR="00EF6D43">
        <w:rPr>
          <w:lang w:val="pt-PT"/>
        </w:rPr>
        <w:t xml:space="preserve">de pagamentos do crédito </w:t>
      </w:r>
      <w:r w:rsidR="009355EF">
        <w:rPr>
          <w:lang w:val="pt-PT"/>
        </w:rPr>
        <w:t>em atraso</w:t>
      </w:r>
      <w:r w:rsidR="001F379C" w:rsidRPr="00FA338A">
        <w:rPr>
          <w:lang w:val="pt-PT"/>
        </w:rPr>
        <w:t xml:space="preserve">. </w:t>
      </w:r>
    </w:p>
    <w:p w:rsidR="00BF2E98" w:rsidRPr="00FA338A" w:rsidRDefault="00BF2E98" w:rsidP="001F379C">
      <w:pPr>
        <w:rPr>
          <w:b/>
          <w:lang w:val="pt-PT"/>
        </w:rPr>
      </w:pPr>
    </w:p>
    <w:p w:rsidR="004B1495" w:rsidRPr="00DF5C66" w:rsidRDefault="00702577" w:rsidP="00144EE7">
      <w:pPr>
        <w:pStyle w:val="CommentText"/>
        <w:jc w:val="both"/>
        <w:rPr>
          <w:lang w:val="pt-PT"/>
        </w:rPr>
      </w:pPr>
      <w:r>
        <w:rPr>
          <w:rFonts w:ascii="Times New Roman" w:hAnsi="Times New Roman" w:cs="Times New Roman"/>
          <w:b/>
          <w:sz w:val="22"/>
          <w:szCs w:val="22"/>
          <w:lang w:val="pt-PT"/>
        </w:rPr>
        <w:t xml:space="preserve">Enquanto </w:t>
      </w:r>
      <w:r w:rsidR="00824011">
        <w:rPr>
          <w:rFonts w:ascii="Times New Roman" w:hAnsi="Times New Roman" w:cs="Times New Roman"/>
          <w:b/>
          <w:sz w:val="22"/>
          <w:szCs w:val="22"/>
          <w:lang w:val="pt-PT"/>
        </w:rPr>
        <w:t>se verifica uma expansão d</w:t>
      </w:r>
      <w:r>
        <w:rPr>
          <w:rFonts w:ascii="Times New Roman" w:hAnsi="Times New Roman" w:cs="Times New Roman"/>
          <w:b/>
          <w:sz w:val="22"/>
          <w:szCs w:val="22"/>
          <w:lang w:val="pt-PT"/>
        </w:rPr>
        <w:t xml:space="preserve">a economia não petrolífera, a manutenção do nível observado de reservas internacionais irá ajudar a proteger o país das potenciais </w:t>
      </w:r>
      <w:r w:rsidRPr="00DF5C66">
        <w:rPr>
          <w:rFonts w:ascii="Times New Roman" w:hAnsi="Times New Roman" w:cs="Times New Roman"/>
          <w:b/>
          <w:sz w:val="22"/>
          <w:szCs w:val="22"/>
          <w:lang w:val="pt-PT"/>
        </w:rPr>
        <w:t>flutuação do preço do petróleo.</w:t>
      </w:r>
      <w:r w:rsidR="00DF5C66" w:rsidRPr="00DF5C66">
        <w:rPr>
          <w:rFonts w:ascii="Times New Roman" w:hAnsi="Times New Roman" w:cs="Times New Roman"/>
          <w:sz w:val="22"/>
          <w:szCs w:val="22"/>
          <w:lang w:val="pt-PT"/>
        </w:rPr>
        <w:t xml:space="preserve"> Depois de ter atingido o pico em Junho, as reservas internacionais líquidas caíram no último trimestre de 2013. Os dados preliminares apontam para um declínio adicional das reservas em Fevereiro 2014. O declínio das reservas explica-se, quase inteiramente, pela transferência de fundos do antigo </w:t>
      </w:r>
      <w:r w:rsidR="00824011">
        <w:rPr>
          <w:rFonts w:ascii="Times New Roman" w:hAnsi="Times New Roman" w:cs="Times New Roman"/>
          <w:sz w:val="22"/>
          <w:szCs w:val="22"/>
          <w:lang w:val="pt-PT"/>
        </w:rPr>
        <w:t>Fundo de Petróleo</w:t>
      </w:r>
      <w:r w:rsidR="00DF5C66" w:rsidRPr="00DF5C66">
        <w:rPr>
          <w:rFonts w:ascii="Times New Roman" w:hAnsi="Times New Roman" w:cs="Times New Roman"/>
          <w:sz w:val="22"/>
          <w:szCs w:val="22"/>
          <w:lang w:val="pt-PT"/>
        </w:rPr>
        <w:t xml:space="preserve"> para Infraestruturas (OIF) para o novo fundo soberano, o Fundo Soberano de Angola </w:t>
      </w:r>
      <w:r w:rsidR="0080003B" w:rsidRPr="00DF5C66">
        <w:rPr>
          <w:rFonts w:ascii="Times New Roman" w:hAnsi="Times New Roman" w:cs="Times New Roman"/>
          <w:sz w:val="22"/>
          <w:szCs w:val="22"/>
          <w:lang w:val="pt-PT"/>
        </w:rPr>
        <w:t>(</w:t>
      </w:r>
      <w:r w:rsidR="00D20406" w:rsidRPr="00DF5C66">
        <w:rPr>
          <w:rFonts w:ascii="Times New Roman" w:hAnsi="Times New Roman" w:cs="Times New Roman"/>
          <w:sz w:val="22"/>
          <w:szCs w:val="22"/>
          <w:lang w:val="pt-PT"/>
        </w:rPr>
        <w:t>FSDEA).</w:t>
      </w:r>
      <w:r w:rsidR="0080003B" w:rsidRPr="00DF5C66">
        <w:rPr>
          <w:rFonts w:ascii="Times New Roman" w:hAnsi="Times New Roman" w:cs="Times New Roman"/>
          <w:sz w:val="22"/>
          <w:szCs w:val="22"/>
          <w:lang w:val="pt-PT"/>
        </w:rPr>
        <w:t xml:space="preserve"> </w:t>
      </w:r>
      <w:r w:rsidR="00DF5C66" w:rsidRPr="00DF5C66">
        <w:rPr>
          <w:rFonts w:ascii="Times New Roman" w:hAnsi="Times New Roman" w:cs="Times New Roman"/>
          <w:sz w:val="22"/>
          <w:szCs w:val="22"/>
          <w:lang w:val="pt-PT"/>
        </w:rPr>
        <w:t xml:space="preserve">Contudo, e diferente do primeiro OIF, os fundos do </w:t>
      </w:r>
      <w:r w:rsidR="0080003B" w:rsidRPr="00DF5C66">
        <w:rPr>
          <w:rFonts w:ascii="Times New Roman" w:hAnsi="Times New Roman" w:cs="Times New Roman"/>
          <w:sz w:val="22"/>
          <w:szCs w:val="22"/>
          <w:lang w:val="pt-PT"/>
        </w:rPr>
        <w:t>FSDEA</w:t>
      </w:r>
      <w:r w:rsidR="00DF5C66">
        <w:rPr>
          <w:rFonts w:ascii="Times New Roman" w:hAnsi="Times New Roman" w:cs="Times New Roman"/>
          <w:sz w:val="22"/>
          <w:szCs w:val="22"/>
          <w:lang w:val="pt-PT"/>
        </w:rPr>
        <w:t xml:space="preserve"> não serão aplicados em activos, o que poderia fornecer liquidez em cado de necessidades repentinas</w:t>
      </w:r>
      <w:r w:rsidR="00824011">
        <w:rPr>
          <w:rFonts w:ascii="Times New Roman" w:hAnsi="Times New Roman" w:cs="Times New Roman"/>
          <w:sz w:val="22"/>
          <w:szCs w:val="22"/>
          <w:lang w:val="pt-PT"/>
        </w:rPr>
        <w:t xml:space="preserve"> financeiras ou</w:t>
      </w:r>
      <w:r w:rsidR="00DF5C66">
        <w:rPr>
          <w:rFonts w:ascii="Times New Roman" w:hAnsi="Times New Roman" w:cs="Times New Roman"/>
          <w:sz w:val="22"/>
          <w:szCs w:val="22"/>
          <w:lang w:val="pt-PT"/>
        </w:rPr>
        <w:t xml:space="preserve"> d</w:t>
      </w:r>
      <w:r w:rsidR="00CD457D">
        <w:rPr>
          <w:rFonts w:ascii="Times New Roman" w:hAnsi="Times New Roman" w:cs="Times New Roman"/>
          <w:sz w:val="22"/>
          <w:szCs w:val="22"/>
          <w:lang w:val="pt-PT"/>
        </w:rPr>
        <w:t xml:space="preserve">a balança de pagamentos </w:t>
      </w:r>
      <w:r w:rsidR="0080003B" w:rsidRPr="00DF5C66">
        <w:rPr>
          <w:rFonts w:ascii="Times New Roman" w:hAnsi="Times New Roman" w:cs="Times New Roman"/>
          <w:sz w:val="22"/>
          <w:szCs w:val="22"/>
          <w:lang w:val="pt-PT"/>
        </w:rPr>
        <w:t>(</w:t>
      </w:r>
      <w:r w:rsidR="00CD457D">
        <w:rPr>
          <w:rFonts w:ascii="Times New Roman" w:hAnsi="Times New Roman" w:cs="Times New Roman"/>
          <w:sz w:val="22"/>
          <w:szCs w:val="22"/>
          <w:lang w:val="pt-PT"/>
        </w:rPr>
        <w:t>FMI</w:t>
      </w:r>
      <w:r w:rsidR="0080003B" w:rsidRPr="00DF5C66">
        <w:rPr>
          <w:rFonts w:ascii="Times New Roman" w:hAnsi="Times New Roman" w:cs="Times New Roman"/>
          <w:sz w:val="22"/>
          <w:szCs w:val="22"/>
          <w:lang w:val="pt-PT"/>
        </w:rPr>
        <w:t>, 2012).</w:t>
      </w:r>
      <w:r w:rsidR="00EB4108" w:rsidRPr="00DF5C66">
        <w:rPr>
          <w:rFonts w:ascii="Times New Roman" w:hAnsi="Times New Roman" w:cs="Times New Roman"/>
          <w:sz w:val="22"/>
          <w:szCs w:val="22"/>
          <w:lang w:val="pt-PT"/>
        </w:rPr>
        <w:t xml:space="preserve"> </w:t>
      </w:r>
    </w:p>
    <w:p w:rsidR="001F379C" w:rsidRPr="00F567B2" w:rsidRDefault="002E1A5A" w:rsidP="001F379C">
      <w:pPr>
        <w:rPr>
          <w:lang w:val="pt-PT"/>
        </w:rPr>
      </w:pPr>
      <w:r>
        <w:rPr>
          <w:b/>
          <w:lang w:val="pt-PT"/>
        </w:rPr>
        <w:t>A perspectiva</w:t>
      </w:r>
      <w:r w:rsidR="00CD457D">
        <w:rPr>
          <w:b/>
          <w:lang w:val="pt-PT"/>
        </w:rPr>
        <w:t xml:space="preserve"> para 2014 é favorável</w:t>
      </w:r>
      <w:r w:rsidR="004A7096">
        <w:rPr>
          <w:b/>
          <w:lang w:val="pt-PT"/>
        </w:rPr>
        <w:t xml:space="preserve">, tendo em conta </w:t>
      </w:r>
      <w:r w:rsidR="00CD457D">
        <w:rPr>
          <w:b/>
          <w:lang w:val="pt-PT"/>
        </w:rPr>
        <w:t>o aumento esperado na produção de petróleo</w:t>
      </w:r>
      <w:r w:rsidR="001F379C" w:rsidRPr="00DF5C66">
        <w:rPr>
          <w:b/>
          <w:lang w:val="pt-PT"/>
        </w:rPr>
        <w:t>.</w:t>
      </w:r>
      <w:r w:rsidR="00CD457D">
        <w:rPr>
          <w:lang w:val="pt-PT"/>
        </w:rPr>
        <w:t xml:space="preserve"> Um aumento projectado de 3% na produção petrolífera mais que compensará uma redução de 2,4% nos preços do petróleo, projectando-se que </w:t>
      </w:r>
      <w:r w:rsidR="00CD457D" w:rsidRPr="00811814">
        <w:rPr>
          <w:lang w:val="pt-PT"/>
        </w:rPr>
        <w:t>o PIB aumente para 5,4% em 2014 e para 5,</w:t>
      </w:r>
      <w:r w:rsidR="001F379C" w:rsidRPr="00811814">
        <w:rPr>
          <w:lang w:val="pt-PT"/>
        </w:rPr>
        <w:t xml:space="preserve">5 </w:t>
      </w:r>
      <w:r w:rsidR="00CD457D" w:rsidRPr="00811814">
        <w:rPr>
          <w:lang w:val="pt-PT"/>
        </w:rPr>
        <w:t>% em</w:t>
      </w:r>
      <w:r w:rsidR="001F379C" w:rsidRPr="00811814">
        <w:rPr>
          <w:lang w:val="pt-PT"/>
        </w:rPr>
        <w:t xml:space="preserve"> 2015. </w:t>
      </w:r>
      <w:r w:rsidRPr="00811814">
        <w:rPr>
          <w:lang w:val="pt-PT"/>
        </w:rPr>
        <w:t>Na falta de novas descobertas, é improvável que a produção de petróleo</w:t>
      </w:r>
      <w:r w:rsidR="00811814" w:rsidRPr="00811814">
        <w:rPr>
          <w:lang w:val="pt-PT"/>
        </w:rPr>
        <w:t xml:space="preserve"> possa acelerar </w:t>
      </w:r>
      <w:r w:rsidRPr="00811814">
        <w:rPr>
          <w:lang w:val="pt-PT"/>
        </w:rPr>
        <w:t xml:space="preserve">ainda mais </w:t>
      </w:r>
      <w:r w:rsidR="004A7096" w:rsidRPr="00811814">
        <w:rPr>
          <w:lang w:val="pt-PT"/>
        </w:rPr>
        <w:t>o crescimento do PIB. O PIB não petrolífero precisaria, portanto, de crescer rapidamente, para</w:t>
      </w:r>
      <w:r w:rsidR="00420DDE" w:rsidRPr="00811814">
        <w:rPr>
          <w:lang w:val="pt-PT"/>
        </w:rPr>
        <w:t xml:space="preserve"> </w:t>
      </w:r>
      <w:r w:rsidR="00426AC1" w:rsidRPr="00811814">
        <w:rPr>
          <w:lang w:val="pt-PT"/>
        </w:rPr>
        <w:t xml:space="preserve">devolver o sólido desempenho observado antes da crise de 2009. </w:t>
      </w:r>
      <w:r w:rsidR="00811814" w:rsidRPr="00F567B2">
        <w:rPr>
          <w:lang w:val="pt-PT"/>
        </w:rPr>
        <w:t>Reorientar as despesas para o investimento de capital podia afectar positivamente o panorama económico de Angola mas</w:t>
      </w:r>
      <w:r w:rsidR="00EB4283">
        <w:rPr>
          <w:lang w:val="pt-PT"/>
        </w:rPr>
        <w:t>,</w:t>
      </w:r>
      <w:r w:rsidR="00811814" w:rsidRPr="00F567B2">
        <w:rPr>
          <w:lang w:val="pt-PT"/>
        </w:rPr>
        <w:t xml:space="preserve"> apenas</w:t>
      </w:r>
      <w:r w:rsidR="00EB4283">
        <w:rPr>
          <w:lang w:val="pt-PT"/>
        </w:rPr>
        <w:t>,</w:t>
      </w:r>
      <w:r w:rsidR="00811814" w:rsidRPr="00F567B2">
        <w:rPr>
          <w:lang w:val="pt-PT"/>
        </w:rPr>
        <w:t xml:space="preserve"> se se </w:t>
      </w:r>
      <w:r w:rsidR="00B12BDB" w:rsidRPr="00F567B2">
        <w:rPr>
          <w:lang w:val="pt-PT"/>
        </w:rPr>
        <w:t>puder aumentar a capacidade de execução e assegurar a qualidade do investimento público</w:t>
      </w:r>
      <w:r w:rsidR="001F379C" w:rsidRPr="00F567B2">
        <w:rPr>
          <w:lang w:val="pt-PT"/>
        </w:rPr>
        <w:t xml:space="preserve">. </w:t>
      </w:r>
    </w:p>
    <w:p w:rsidR="00765AF0" w:rsidRPr="00F567B2" w:rsidRDefault="00765AF0" w:rsidP="001F379C">
      <w:pPr>
        <w:rPr>
          <w:lang w:val="pt-PT"/>
        </w:rPr>
      </w:pPr>
    </w:p>
    <w:p w:rsidR="001F379C" w:rsidRPr="00F567B2" w:rsidRDefault="00F567B2" w:rsidP="001F379C">
      <w:pPr>
        <w:pStyle w:val="Heading2"/>
        <w:rPr>
          <w:lang w:val="pt-PT"/>
        </w:rPr>
      </w:pPr>
      <w:bookmarkStart w:id="14" w:name="_Toc391261696"/>
      <w:r w:rsidRPr="00F567B2">
        <w:rPr>
          <w:lang w:val="pt-PT"/>
        </w:rPr>
        <w:t xml:space="preserve">Reforçar o Sistema de </w:t>
      </w:r>
      <w:r w:rsidR="00EB4283">
        <w:rPr>
          <w:lang w:val="pt-PT"/>
        </w:rPr>
        <w:t>Gestão do Investimento Público</w:t>
      </w:r>
      <w:bookmarkEnd w:id="14"/>
      <w:r w:rsidR="00EB4283">
        <w:rPr>
          <w:lang w:val="pt-PT"/>
        </w:rPr>
        <w:t xml:space="preserve"> </w:t>
      </w:r>
    </w:p>
    <w:p w:rsidR="001F379C" w:rsidRPr="00F567B2" w:rsidRDefault="001F379C" w:rsidP="001F379C">
      <w:pPr>
        <w:rPr>
          <w:lang w:val="pt-PT"/>
        </w:rPr>
      </w:pPr>
    </w:p>
    <w:p w:rsidR="009556AB" w:rsidRPr="00AD350F" w:rsidRDefault="00F567B2" w:rsidP="001F379C">
      <w:pPr>
        <w:rPr>
          <w:lang w:val="pt-PT"/>
        </w:rPr>
      </w:pPr>
      <w:r>
        <w:rPr>
          <w:b/>
          <w:lang w:val="pt-PT"/>
        </w:rPr>
        <w:t xml:space="preserve">A taxa de investimento público de Angola ainda é baixa, apesar da disponibilidade de recursos </w:t>
      </w:r>
      <w:r w:rsidR="009556AB">
        <w:rPr>
          <w:b/>
          <w:lang w:val="pt-PT"/>
        </w:rPr>
        <w:t xml:space="preserve">e </w:t>
      </w:r>
      <w:r>
        <w:rPr>
          <w:b/>
          <w:lang w:val="pt-PT"/>
        </w:rPr>
        <w:t>do défice de infraestruturas</w:t>
      </w:r>
      <w:r w:rsidR="001F379C" w:rsidRPr="00F567B2">
        <w:rPr>
          <w:lang w:val="pt-PT"/>
        </w:rPr>
        <w:t>. Inve</w:t>
      </w:r>
      <w:r>
        <w:rPr>
          <w:lang w:val="pt-PT"/>
        </w:rPr>
        <w:t xml:space="preserve">stimentos em transportes básicos e em serviços de utilidade pública, especialmente em áreas rurais, poderiam </w:t>
      </w:r>
      <w:r w:rsidR="009556AB">
        <w:rPr>
          <w:lang w:val="pt-PT"/>
        </w:rPr>
        <w:t>estimular</w:t>
      </w:r>
      <w:r>
        <w:rPr>
          <w:lang w:val="pt-PT"/>
        </w:rPr>
        <w:t xml:space="preserve"> o sector agrícola </w:t>
      </w:r>
      <w:r w:rsidR="009556AB">
        <w:rPr>
          <w:lang w:val="pt-PT"/>
        </w:rPr>
        <w:t xml:space="preserve">de </w:t>
      </w:r>
      <w:r>
        <w:rPr>
          <w:lang w:val="pt-PT"/>
        </w:rPr>
        <w:t xml:space="preserve">fraco desempenho, modernizando ao mesmo tempo os portos de Angola e melhorando as principais rotas </w:t>
      </w:r>
      <w:r w:rsidR="001F379C" w:rsidRPr="00F567B2">
        <w:rPr>
          <w:lang w:val="pt-PT"/>
        </w:rPr>
        <w:t>c</w:t>
      </w:r>
      <w:r w:rsidR="009556AB">
        <w:rPr>
          <w:lang w:val="pt-PT"/>
        </w:rPr>
        <w:t>omerciais terrestres</w:t>
      </w:r>
      <w:r w:rsidR="00EB4283">
        <w:rPr>
          <w:lang w:val="pt-PT"/>
        </w:rPr>
        <w:t>,</w:t>
      </w:r>
      <w:r w:rsidR="009556AB">
        <w:rPr>
          <w:lang w:val="pt-PT"/>
        </w:rPr>
        <w:t xml:space="preserve"> o que poderia favorecer a competitividade económica global. Contudo, os investimentos públicos em Angola foram em média da ordem de 10% do PIB em 2013, apesar das históricas poupanças públicas </w:t>
      </w:r>
      <w:r w:rsidR="00AD350F">
        <w:rPr>
          <w:lang w:val="pt-PT"/>
        </w:rPr>
        <w:t xml:space="preserve">significativas de Angola, de um ónus da dívida pública </w:t>
      </w:r>
      <w:r w:rsidR="00AD350F" w:rsidRPr="00AD350F">
        <w:rPr>
          <w:lang w:val="pt-PT"/>
        </w:rPr>
        <w:t>relativamente baixo e de um ambiente externo que proporciona um acesso fácil ao financiamento concessional</w:t>
      </w:r>
      <w:r w:rsidR="009556AB" w:rsidRPr="00AD350F">
        <w:rPr>
          <w:lang w:val="pt-PT"/>
        </w:rPr>
        <w:t xml:space="preserve">. </w:t>
      </w:r>
    </w:p>
    <w:p w:rsidR="001F379C" w:rsidRPr="00AD350F" w:rsidRDefault="001F379C" w:rsidP="001F379C">
      <w:pPr>
        <w:rPr>
          <w:lang w:val="pt-PT"/>
        </w:rPr>
      </w:pPr>
    </w:p>
    <w:p w:rsidR="003D6D12" w:rsidRDefault="00AD350F" w:rsidP="001F379C">
      <w:pPr>
        <w:rPr>
          <w:lang w:val="pt-PT"/>
        </w:rPr>
      </w:pPr>
      <w:r>
        <w:rPr>
          <w:b/>
          <w:lang w:val="pt-PT"/>
        </w:rPr>
        <w:t xml:space="preserve">A qualidade das infraestruturas públicas de um país é determinada pela qualidade do sistema de Gestão do Investimento Público </w:t>
      </w:r>
      <w:r w:rsidR="001F379C" w:rsidRPr="00AD350F">
        <w:rPr>
          <w:b/>
          <w:lang w:val="pt-PT"/>
        </w:rPr>
        <w:t>(PIM)</w:t>
      </w:r>
      <w:r>
        <w:rPr>
          <w:lang w:val="pt-PT"/>
        </w:rPr>
        <w:t>. O investimento público tem um impacto directo na economia ao canalizar recursos para a produç</w:t>
      </w:r>
      <w:r w:rsidR="0072419E">
        <w:rPr>
          <w:lang w:val="pt-PT"/>
        </w:rPr>
        <w:t>ão de</w:t>
      </w:r>
      <w:r>
        <w:rPr>
          <w:lang w:val="pt-PT"/>
        </w:rPr>
        <w:t xml:space="preserve"> novo</w:t>
      </w:r>
      <w:r w:rsidR="0072419E">
        <w:rPr>
          <w:lang w:val="pt-PT"/>
        </w:rPr>
        <w:t>s capitais públicos</w:t>
      </w:r>
      <w:r w:rsidR="003D6D12">
        <w:rPr>
          <w:lang w:val="pt-PT"/>
        </w:rPr>
        <w:t>,</w:t>
      </w:r>
      <w:r w:rsidR="0072419E">
        <w:rPr>
          <w:lang w:val="pt-PT"/>
        </w:rPr>
        <w:t xml:space="preserve"> e indirecto ao aumentar os retornos de factores de produção privados. O</w:t>
      </w:r>
      <w:r w:rsidR="00EB4283">
        <w:rPr>
          <w:lang w:val="pt-PT"/>
        </w:rPr>
        <w:t>s retornos das despesas de investimento são permanentemente afectados pelo</w:t>
      </w:r>
      <w:r w:rsidR="0072419E">
        <w:rPr>
          <w:lang w:val="pt-PT"/>
        </w:rPr>
        <w:t xml:space="preserve"> grau em que as despesas de investimento são direccion</w:t>
      </w:r>
      <w:r w:rsidR="003D6D12">
        <w:rPr>
          <w:lang w:val="pt-PT"/>
        </w:rPr>
        <w:t>ad</w:t>
      </w:r>
      <w:r w:rsidR="0072419E">
        <w:rPr>
          <w:lang w:val="pt-PT"/>
        </w:rPr>
        <w:t>as para projectos com elevado valor económico e</w:t>
      </w:r>
      <w:r w:rsidR="00EB4283">
        <w:rPr>
          <w:lang w:val="pt-PT"/>
        </w:rPr>
        <w:t xml:space="preserve"> pel</w:t>
      </w:r>
      <w:r w:rsidR="0072419E">
        <w:rPr>
          <w:lang w:val="pt-PT"/>
        </w:rPr>
        <w:t xml:space="preserve">a eficiência técnica </w:t>
      </w:r>
      <w:r w:rsidR="003D6D12">
        <w:rPr>
          <w:lang w:val="pt-PT"/>
        </w:rPr>
        <w:t>com que estes projectos são executados. O custo de um sistema PIM deficiente pode ser medido não apenas em termos de recursos desperdiçados em projectos mal selecionad</w:t>
      </w:r>
      <w:r w:rsidR="00D40C63">
        <w:rPr>
          <w:lang w:val="pt-PT"/>
        </w:rPr>
        <w:t>o</w:t>
      </w:r>
      <w:r w:rsidR="003D6D12">
        <w:rPr>
          <w:lang w:val="pt-PT"/>
        </w:rPr>
        <w:t xml:space="preserve">s e ineficientemente implementados, mas também </w:t>
      </w:r>
      <w:r w:rsidR="00EB4283">
        <w:rPr>
          <w:lang w:val="pt-PT"/>
        </w:rPr>
        <w:t xml:space="preserve">em termos </w:t>
      </w:r>
      <w:r w:rsidR="003D6D12">
        <w:rPr>
          <w:lang w:val="pt-PT"/>
        </w:rPr>
        <w:t xml:space="preserve">de custos de oportunidade </w:t>
      </w:r>
      <w:r w:rsidR="00D40C63">
        <w:rPr>
          <w:lang w:val="pt-PT"/>
        </w:rPr>
        <w:t>p</w:t>
      </w:r>
      <w:r w:rsidR="00EB4283">
        <w:rPr>
          <w:lang w:val="pt-PT"/>
        </w:rPr>
        <w:t xml:space="preserve">elo facto de </w:t>
      </w:r>
      <w:r w:rsidR="00C110B2">
        <w:rPr>
          <w:lang w:val="pt-PT"/>
        </w:rPr>
        <w:t xml:space="preserve">não ter contribuído para lançar a base </w:t>
      </w:r>
      <w:r w:rsidR="00D40C63">
        <w:rPr>
          <w:lang w:val="pt-PT"/>
        </w:rPr>
        <w:t>para um crescimento económico mais robusto e duradouro.</w:t>
      </w:r>
    </w:p>
    <w:p w:rsidR="001F379C" w:rsidRPr="00946D49" w:rsidRDefault="001F379C" w:rsidP="001F379C">
      <w:pPr>
        <w:rPr>
          <w:lang w:val="pt-PT"/>
        </w:rPr>
      </w:pPr>
    </w:p>
    <w:p w:rsidR="00990699" w:rsidRDefault="00D40C63" w:rsidP="001F379C">
      <w:pPr>
        <w:rPr>
          <w:lang w:val="pt-PT"/>
        </w:rPr>
      </w:pPr>
      <w:r>
        <w:rPr>
          <w:b/>
          <w:lang w:val="pt-PT"/>
        </w:rPr>
        <w:t>O governo angolano fez esforços consideráveis para elevar a qualidade do sistema mas ainda persistem alguns desafios</w:t>
      </w:r>
      <w:r w:rsidR="001F379C" w:rsidRPr="00D40C63">
        <w:rPr>
          <w:b/>
          <w:lang w:val="pt-PT"/>
        </w:rPr>
        <w:t xml:space="preserve">. </w:t>
      </w:r>
      <w:r>
        <w:rPr>
          <w:lang w:val="pt-PT"/>
        </w:rPr>
        <w:t>Os formuladores de políticas alcançaram vários êxitos muito louváveis nesta área</w:t>
      </w:r>
      <w:r w:rsidR="006C27D5">
        <w:rPr>
          <w:lang w:val="pt-PT"/>
        </w:rPr>
        <w:t>: o governo reforçou a aplicação das leis relativas à administração</w:t>
      </w:r>
      <w:r w:rsidR="00447689">
        <w:rPr>
          <w:lang w:val="pt-PT"/>
        </w:rPr>
        <w:t xml:space="preserve"> do orçamento, contabilidade e supervisão do investimento público, práticas de aquisições e </w:t>
      </w:r>
      <w:r w:rsidR="00A55AF4">
        <w:rPr>
          <w:lang w:val="pt-PT"/>
        </w:rPr>
        <w:t xml:space="preserve">procedimentos de investimento a nível subnacional. </w:t>
      </w:r>
      <w:r w:rsidR="004315AE">
        <w:rPr>
          <w:lang w:val="pt-PT"/>
        </w:rPr>
        <w:t xml:space="preserve">Envidaram-se grandes esforços destinados a sistematizar os processos de avaliação e selecção de projectos a serem incluídos no PIP. No entanto, a eficiência dos investimentos públicos, medida pelo rácio de investimento público no período seguinte </w:t>
      </w:r>
      <w:r w:rsidR="00C110B2">
        <w:rPr>
          <w:lang w:val="pt-PT"/>
        </w:rPr>
        <w:t xml:space="preserve">e </w:t>
      </w:r>
      <w:r w:rsidR="00C110B2">
        <w:rPr>
          <w:lang w:val="pt-PT"/>
        </w:rPr>
        <w:lastRenderedPageBreak/>
        <w:t xml:space="preserve">as </w:t>
      </w:r>
      <w:r w:rsidR="001B7A81">
        <w:rPr>
          <w:lang w:val="pt-PT"/>
        </w:rPr>
        <w:t>alteraç</w:t>
      </w:r>
      <w:r w:rsidR="00C110B2">
        <w:rPr>
          <w:lang w:val="pt-PT"/>
        </w:rPr>
        <w:t>ões</w:t>
      </w:r>
      <w:r w:rsidR="001B7A81">
        <w:rPr>
          <w:lang w:val="pt-PT"/>
        </w:rPr>
        <w:t xml:space="preserve"> no PIB </w:t>
      </w:r>
      <w:r w:rsidR="00C110B2">
        <w:rPr>
          <w:lang w:val="pt-PT"/>
        </w:rPr>
        <w:t>não petrolífero real, evidencia</w:t>
      </w:r>
      <w:r w:rsidR="001B7A81">
        <w:rPr>
          <w:lang w:val="pt-PT"/>
        </w:rPr>
        <w:t xml:space="preserve"> uma tendência de declínio. Um sistema PIM mais sólido</w:t>
      </w:r>
      <w:r w:rsidR="00C110B2">
        <w:rPr>
          <w:lang w:val="pt-PT"/>
        </w:rPr>
        <w:t xml:space="preserve"> garantiria que os projectos financiados com dinheiros públicos fossem a</w:t>
      </w:r>
      <w:r w:rsidR="001B7A81">
        <w:rPr>
          <w:lang w:val="pt-PT"/>
        </w:rPr>
        <w:t xml:space="preserve">dequadamente selecionados, eficientemente executados, conscientemente monitorizados ou rigorosamente avaliados. Adicionalmente, as lacunas entre os recursos financeiros afectados a projectos </w:t>
      </w:r>
      <w:r w:rsidR="00C110B2">
        <w:rPr>
          <w:lang w:val="pt-PT"/>
        </w:rPr>
        <w:t xml:space="preserve">do </w:t>
      </w:r>
      <w:r w:rsidR="001B7A81">
        <w:rPr>
          <w:lang w:val="pt-PT"/>
        </w:rPr>
        <w:t xml:space="preserve">PIP e </w:t>
      </w:r>
      <w:r w:rsidR="00990699">
        <w:rPr>
          <w:lang w:val="pt-PT"/>
        </w:rPr>
        <w:t xml:space="preserve">os </w:t>
      </w:r>
      <w:r w:rsidR="001B7A81">
        <w:rPr>
          <w:lang w:val="pt-PT"/>
        </w:rPr>
        <w:t xml:space="preserve">seus cronogramas de implementação reais </w:t>
      </w:r>
      <w:r w:rsidR="00990699">
        <w:rPr>
          <w:lang w:val="pt-PT"/>
        </w:rPr>
        <w:t>deveriam ser eliminadas através da redução de procedimentos administrativos morosos que levam a atrasos na implementação.</w:t>
      </w:r>
    </w:p>
    <w:p w:rsidR="001F379C" w:rsidRPr="00946D49" w:rsidRDefault="001F379C" w:rsidP="001F379C">
      <w:pPr>
        <w:rPr>
          <w:lang w:val="fr-FR"/>
        </w:rPr>
      </w:pPr>
    </w:p>
    <w:p w:rsidR="001F379C" w:rsidRPr="00616CD9" w:rsidRDefault="00EB1ABF" w:rsidP="001F379C">
      <w:pPr>
        <w:rPr>
          <w:lang w:val="pt-PT"/>
        </w:rPr>
      </w:pPr>
      <w:r>
        <w:rPr>
          <w:b/>
          <w:lang w:val="pt-PT"/>
        </w:rPr>
        <w:t>A consolidação das</w:t>
      </w:r>
      <w:r w:rsidR="00616CD9">
        <w:rPr>
          <w:b/>
          <w:lang w:val="pt-PT"/>
        </w:rPr>
        <w:t xml:space="preserve"> responsabilidades pelas funções centrais do sistema PIM e o reforço do poder de </w:t>
      </w:r>
      <w:r w:rsidR="00C110B2">
        <w:rPr>
          <w:b/>
          <w:lang w:val="pt-PT"/>
        </w:rPr>
        <w:t>supervis</w:t>
      </w:r>
      <w:r w:rsidR="00616CD9">
        <w:rPr>
          <w:b/>
          <w:lang w:val="pt-PT"/>
        </w:rPr>
        <w:t>ão da agência central PIM poderia</w:t>
      </w:r>
      <w:r>
        <w:rPr>
          <w:b/>
          <w:lang w:val="pt-PT"/>
        </w:rPr>
        <w:t>m</w:t>
      </w:r>
      <w:r w:rsidR="00616CD9">
        <w:rPr>
          <w:b/>
          <w:lang w:val="pt-PT"/>
        </w:rPr>
        <w:t xml:space="preserve"> levar a </w:t>
      </w:r>
      <w:r>
        <w:rPr>
          <w:b/>
          <w:lang w:val="pt-PT"/>
        </w:rPr>
        <w:t>um aumento d</w:t>
      </w:r>
      <w:r w:rsidR="00C110B2">
        <w:rPr>
          <w:b/>
          <w:lang w:val="pt-PT"/>
        </w:rPr>
        <w:t>e ganhos em</w:t>
      </w:r>
      <w:r>
        <w:rPr>
          <w:b/>
          <w:lang w:val="pt-PT"/>
        </w:rPr>
        <w:t xml:space="preserve"> </w:t>
      </w:r>
      <w:r w:rsidR="00C110B2">
        <w:rPr>
          <w:b/>
          <w:lang w:val="pt-PT"/>
        </w:rPr>
        <w:t>eficiência</w:t>
      </w:r>
      <w:r w:rsidR="00C110B2" w:rsidRPr="00616CD9">
        <w:rPr>
          <w:b/>
          <w:lang w:val="pt-PT"/>
        </w:rPr>
        <w:t>.</w:t>
      </w:r>
      <w:r w:rsidR="00C110B2">
        <w:rPr>
          <w:lang w:val="pt-PT"/>
        </w:rPr>
        <w:t xml:space="preserve"> </w:t>
      </w:r>
      <w:r>
        <w:rPr>
          <w:lang w:val="pt-PT"/>
        </w:rPr>
        <w:t xml:space="preserve">O processo de formulação e execução do PIP encontra-se espalhado por vários ministérios sectoriais, governos provinciais e municipais e pelo ramo executivo enquanto a Direcção Nacional do Investimento Público (DNIP) no Ministério do Planeamento e Desenvolvimento Territorial coordena a inclusão dos projectos no Programa de Investimento Público </w:t>
      </w:r>
      <w:r w:rsidR="001F379C" w:rsidRPr="00616CD9">
        <w:rPr>
          <w:lang w:val="pt-PT"/>
        </w:rPr>
        <w:t xml:space="preserve">(PIP). </w:t>
      </w:r>
      <w:r w:rsidR="008C75F8">
        <w:rPr>
          <w:lang w:val="pt-PT"/>
        </w:rPr>
        <w:t xml:space="preserve">Este processo torna-se, frequentemente, difícil de gerir afectando ainda mais a capacidade da DNIP para supervisionar eficazmente o processo e </w:t>
      </w:r>
      <w:r w:rsidR="00E27C4B">
        <w:rPr>
          <w:lang w:val="pt-PT"/>
        </w:rPr>
        <w:t xml:space="preserve">vigiar </w:t>
      </w:r>
      <w:r w:rsidR="008C75F8">
        <w:rPr>
          <w:lang w:val="pt-PT"/>
        </w:rPr>
        <w:t xml:space="preserve">o cumprimento </w:t>
      </w:r>
      <w:r w:rsidR="00E27C4B">
        <w:rPr>
          <w:lang w:val="pt-PT"/>
        </w:rPr>
        <w:t xml:space="preserve">da legislação aplicável. Esta complexidade é agravada pelos mecanismos adicionais utilizados para rever o PIP e incorporá-lo no orçamento anual. </w:t>
      </w:r>
      <w:r w:rsidR="001F379C" w:rsidRPr="00616CD9">
        <w:rPr>
          <w:lang w:val="pt-PT"/>
        </w:rPr>
        <w:t xml:space="preserve"> </w:t>
      </w:r>
    </w:p>
    <w:p w:rsidR="001F379C" w:rsidRPr="00616CD9" w:rsidRDefault="001F379C" w:rsidP="001F379C">
      <w:pPr>
        <w:rPr>
          <w:lang w:val="pt-PT"/>
        </w:rPr>
      </w:pPr>
    </w:p>
    <w:p w:rsidR="00E27C4B" w:rsidRDefault="00A75DDD" w:rsidP="001F379C">
      <w:pPr>
        <w:rPr>
          <w:lang w:val="pt-PT"/>
        </w:rPr>
      </w:pPr>
      <w:r w:rsidRPr="00616CD9">
        <w:rPr>
          <w:b/>
          <w:lang w:val="pt-PT"/>
        </w:rPr>
        <w:t>A</w:t>
      </w:r>
      <w:r w:rsidR="00E27C4B">
        <w:rPr>
          <w:b/>
          <w:lang w:val="pt-PT"/>
        </w:rPr>
        <w:t xml:space="preserve"> adopção de padrões uniformes para a formulação e avaliação de projectos iria gerar uma série de vantagens</w:t>
      </w:r>
      <w:r w:rsidR="001F379C" w:rsidRPr="00616CD9">
        <w:rPr>
          <w:b/>
          <w:lang w:val="pt-PT"/>
        </w:rPr>
        <w:t>.</w:t>
      </w:r>
      <w:r w:rsidR="00E27C4B">
        <w:rPr>
          <w:lang w:val="pt-PT"/>
        </w:rPr>
        <w:t xml:space="preserve"> A ausência de normas comuns para avaliar</w:t>
      </w:r>
      <w:r w:rsidR="0027200F">
        <w:rPr>
          <w:lang w:val="pt-PT"/>
        </w:rPr>
        <w:t xml:space="preserve"> </w:t>
      </w:r>
      <w:r w:rsidR="00E27C4B">
        <w:rPr>
          <w:lang w:val="pt-PT"/>
        </w:rPr>
        <w:t xml:space="preserve">as necessidades </w:t>
      </w:r>
      <w:r w:rsidR="0027200F">
        <w:rPr>
          <w:lang w:val="pt-PT"/>
        </w:rPr>
        <w:t xml:space="preserve">iniciais e recorrentes de gastos do projecto proposto ou para analisar os seus impactos económico e social significa que cada ministério sectorial se fundamenta nos seus próprios estudos de avaliação técnica e na sua própria análise de custo-benefício. Entre as medidas encorajadoras tomadas neste domínio inclui-se o piloto de um novo sistema de avaliação e monitorização que a DNIP está a conduzir e que é financiado pelo Banco Africano de Desenvolvimento. Se for bem-sucedido, este sistema podia </w:t>
      </w:r>
      <w:r w:rsidR="007A7306">
        <w:rPr>
          <w:lang w:val="pt-PT"/>
        </w:rPr>
        <w:t>aumentar consideravelmente a consistência, previsibilidade e rigor metodológico com que são realizados os processos de avaliação e monitorização dos projectos.</w:t>
      </w:r>
      <w:r w:rsidR="0027200F">
        <w:rPr>
          <w:lang w:val="pt-PT"/>
        </w:rPr>
        <w:t xml:space="preserve"> </w:t>
      </w:r>
    </w:p>
    <w:p w:rsidR="001F379C" w:rsidRPr="00946D49" w:rsidRDefault="001F379C" w:rsidP="001F379C">
      <w:pPr>
        <w:rPr>
          <w:lang w:val="pt-PT"/>
        </w:rPr>
      </w:pPr>
    </w:p>
    <w:p w:rsidR="001F379C" w:rsidRPr="00B22143" w:rsidRDefault="007A7306" w:rsidP="001F379C">
      <w:pPr>
        <w:rPr>
          <w:lang w:val="pt-PT"/>
        </w:rPr>
      </w:pPr>
      <w:r>
        <w:rPr>
          <w:b/>
          <w:lang w:val="pt-PT"/>
        </w:rPr>
        <w:t>Uma maior disponibilidade de informações específicas do projecto iria reforçar a capacidade de avaliação do impacto económico dos projectos propostos e os esforços de coordenação entre ministérios e outras agências públicas</w:t>
      </w:r>
      <w:r w:rsidR="00447383" w:rsidRPr="007A7306">
        <w:rPr>
          <w:b/>
          <w:lang w:val="pt-PT"/>
        </w:rPr>
        <w:t xml:space="preserve">. </w:t>
      </w:r>
      <w:r w:rsidR="001F379C" w:rsidRPr="007A7306">
        <w:rPr>
          <w:lang w:val="pt-PT"/>
        </w:rPr>
        <w:t>A</w:t>
      </w:r>
      <w:r>
        <w:rPr>
          <w:lang w:val="pt-PT"/>
        </w:rPr>
        <w:t xml:space="preserve"> falta de dados impede um planeamento coordenado e dificulta a integração de projectos complementares dentro do mesmo programa de investimento. </w:t>
      </w:r>
      <w:r w:rsidR="00016345">
        <w:rPr>
          <w:lang w:val="pt-PT"/>
        </w:rPr>
        <w:t>Cria ainda ineficiências adicionais, tanto no desenho como na implementação, levando a c</w:t>
      </w:r>
      <w:r w:rsidR="00A32004">
        <w:rPr>
          <w:lang w:val="pt-PT"/>
        </w:rPr>
        <w:t>ustos mais altos e a projectos de menor impacto</w:t>
      </w:r>
      <w:r w:rsidR="00016345">
        <w:rPr>
          <w:lang w:val="pt-PT"/>
        </w:rPr>
        <w:t>. Embora, agora, esteja em funcionamento um sistema computorizado para acompanhar os projectos PI</w:t>
      </w:r>
      <w:r w:rsidR="00A32004">
        <w:rPr>
          <w:lang w:val="pt-PT"/>
        </w:rPr>
        <w:t>P</w:t>
      </w:r>
      <w:r w:rsidR="00016345">
        <w:rPr>
          <w:lang w:val="pt-PT"/>
        </w:rPr>
        <w:t xml:space="preserve">, este ainda não está </w:t>
      </w:r>
      <w:r w:rsidR="00A32004">
        <w:rPr>
          <w:lang w:val="pt-PT"/>
        </w:rPr>
        <w:t xml:space="preserve">totalmente </w:t>
      </w:r>
      <w:r w:rsidR="00016345" w:rsidRPr="00B22143">
        <w:rPr>
          <w:lang w:val="pt-PT"/>
        </w:rPr>
        <w:t xml:space="preserve">integrado </w:t>
      </w:r>
      <w:r w:rsidR="00A32004">
        <w:rPr>
          <w:lang w:val="pt-PT"/>
        </w:rPr>
        <w:t>n</w:t>
      </w:r>
      <w:r w:rsidR="00016345" w:rsidRPr="00B22143">
        <w:rPr>
          <w:lang w:val="pt-PT"/>
        </w:rPr>
        <w:t xml:space="preserve">os sistemas contabilístico e </w:t>
      </w:r>
      <w:r w:rsidR="00B22143" w:rsidRPr="00B22143">
        <w:rPr>
          <w:lang w:val="pt-PT"/>
        </w:rPr>
        <w:t>tributário</w:t>
      </w:r>
      <w:r w:rsidR="00016345" w:rsidRPr="00B22143">
        <w:rPr>
          <w:lang w:val="pt-PT"/>
        </w:rPr>
        <w:t xml:space="preserve"> </w:t>
      </w:r>
      <w:r w:rsidR="00B22143">
        <w:rPr>
          <w:lang w:val="pt-PT"/>
        </w:rPr>
        <w:t xml:space="preserve">ou </w:t>
      </w:r>
      <w:r w:rsidR="00A32004">
        <w:rPr>
          <w:lang w:val="pt-PT"/>
        </w:rPr>
        <w:t>n</w:t>
      </w:r>
      <w:r w:rsidR="00016345" w:rsidRPr="00B22143">
        <w:rPr>
          <w:lang w:val="pt-PT"/>
        </w:rPr>
        <w:t>os sistemas do Tribunal de Contas</w:t>
      </w:r>
      <w:r w:rsidR="001F379C" w:rsidRPr="00B22143">
        <w:rPr>
          <w:lang w:val="pt-PT"/>
        </w:rPr>
        <w:t xml:space="preserve">. </w:t>
      </w:r>
    </w:p>
    <w:p w:rsidR="001F379C" w:rsidRPr="00B22143" w:rsidRDefault="001F379C" w:rsidP="001F379C">
      <w:pPr>
        <w:rPr>
          <w:lang w:val="pt-PT"/>
        </w:rPr>
      </w:pPr>
    </w:p>
    <w:p w:rsidR="001F379C" w:rsidRPr="00B22143" w:rsidRDefault="00B22143" w:rsidP="001F379C">
      <w:pPr>
        <w:rPr>
          <w:lang w:val="pt-PT"/>
        </w:rPr>
      </w:pPr>
      <w:r>
        <w:rPr>
          <w:b/>
          <w:lang w:val="pt-PT"/>
        </w:rPr>
        <w:t>A promoção de capital humano qualificado é fundamental para se melhorar todo o sistema de PIM</w:t>
      </w:r>
      <w:r w:rsidR="001F379C" w:rsidRPr="00B22143">
        <w:rPr>
          <w:b/>
          <w:lang w:val="pt-PT"/>
        </w:rPr>
        <w:t>.</w:t>
      </w:r>
      <w:r>
        <w:rPr>
          <w:lang w:val="pt-PT"/>
        </w:rPr>
        <w:t xml:space="preserve"> Com actividades de formação e o apoio técnico do Banco Africano de Desenvolvimento, o governo está a trabalhar na criação de capacidade. Estes esforços em curso deveriam </w:t>
      </w:r>
      <w:r w:rsidR="00A32004">
        <w:rPr>
          <w:lang w:val="pt-PT"/>
        </w:rPr>
        <w:t>focalizar-se</w:t>
      </w:r>
      <w:r>
        <w:rPr>
          <w:lang w:val="pt-PT"/>
        </w:rPr>
        <w:t xml:space="preserve"> numa gama mais vasta de agências públicas</w:t>
      </w:r>
      <w:r w:rsidR="001F379C" w:rsidRPr="00B22143">
        <w:rPr>
          <w:lang w:val="pt-PT"/>
        </w:rPr>
        <w:t xml:space="preserve">. </w:t>
      </w:r>
    </w:p>
    <w:p w:rsidR="001F379C" w:rsidRPr="00B22143" w:rsidRDefault="001F379C" w:rsidP="001F379C">
      <w:pPr>
        <w:rPr>
          <w:lang w:val="pt-PT"/>
        </w:rPr>
      </w:pPr>
    </w:p>
    <w:p w:rsidR="00C90767" w:rsidRPr="00B41E75" w:rsidRDefault="00B22143" w:rsidP="001F379C">
      <w:pPr>
        <w:rPr>
          <w:lang w:val="pt-PT"/>
        </w:rPr>
      </w:pPr>
      <w:r>
        <w:rPr>
          <w:b/>
          <w:lang w:val="pt-PT"/>
        </w:rPr>
        <w:t>As estruturas básicas para uma PIM</w:t>
      </w:r>
      <w:r w:rsidR="00A32004" w:rsidRPr="00A32004">
        <w:rPr>
          <w:b/>
          <w:lang w:val="pt-PT"/>
        </w:rPr>
        <w:t xml:space="preserve"> </w:t>
      </w:r>
      <w:r w:rsidR="00A32004">
        <w:rPr>
          <w:b/>
          <w:lang w:val="pt-PT"/>
        </w:rPr>
        <w:t xml:space="preserve">sólida </w:t>
      </w:r>
      <w:r>
        <w:rPr>
          <w:b/>
          <w:lang w:val="pt-PT"/>
        </w:rPr>
        <w:t xml:space="preserve">já estão em vigor mas serão necessárias reformas adicionais para assegurar </w:t>
      </w:r>
      <w:r w:rsidR="00A32004">
        <w:rPr>
          <w:b/>
          <w:lang w:val="pt-PT"/>
        </w:rPr>
        <w:t>que os investimentos públicos sejam</w:t>
      </w:r>
      <w:r>
        <w:rPr>
          <w:b/>
          <w:lang w:val="pt-PT"/>
        </w:rPr>
        <w:t xml:space="preserve"> avaliados com rigor, selecionados e executados eficazmente e aferidos com exactidão</w:t>
      </w:r>
      <w:r w:rsidR="00264434">
        <w:rPr>
          <w:lang w:val="pt-PT"/>
        </w:rPr>
        <w:t>. Para tal, o governo deveria desenvolver métodos consistentes para monitorizar todos os elementos do PIP</w:t>
      </w:r>
      <w:r w:rsidR="00C90767">
        <w:rPr>
          <w:lang w:val="pt-PT"/>
        </w:rPr>
        <w:t>,</w:t>
      </w:r>
      <w:r w:rsidR="00264434">
        <w:rPr>
          <w:lang w:val="pt-PT"/>
        </w:rPr>
        <w:t xml:space="preserve"> tanto a nível nacional como regional.</w:t>
      </w:r>
      <w:r w:rsidR="00C90767">
        <w:rPr>
          <w:lang w:val="pt-PT"/>
        </w:rPr>
        <w:t xml:space="preserve"> Deveria também desenvolver um quadro abrangente para as despesas de médio prazo para assegurar regularidade e previsibilidade na execução do PIP e adoptar medidas adicionais para </w:t>
      </w:r>
      <w:r w:rsidR="00C90767" w:rsidRPr="00B41E75">
        <w:rPr>
          <w:lang w:val="pt-PT"/>
        </w:rPr>
        <w:t xml:space="preserve">promover a eficiência e a eficácia dos sistemas de gestão das finanças públicas. É ainda essencial que os formuladores de políticas aprendam com </w:t>
      </w:r>
      <w:r w:rsidR="00991438" w:rsidRPr="00B41E75">
        <w:rPr>
          <w:lang w:val="pt-PT"/>
        </w:rPr>
        <w:t xml:space="preserve">os </w:t>
      </w:r>
      <w:r w:rsidR="00C90767" w:rsidRPr="00B41E75">
        <w:rPr>
          <w:lang w:val="pt-PT"/>
        </w:rPr>
        <w:t xml:space="preserve">esforços de reforma anteriores e se empenhem em consolidar as novas regras PIM e PFM </w:t>
      </w:r>
      <w:r w:rsidR="00A32004">
        <w:rPr>
          <w:lang w:val="pt-PT"/>
        </w:rPr>
        <w:t xml:space="preserve">(Gestão das Finanças Públicas) </w:t>
      </w:r>
      <w:r w:rsidR="00C90767" w:rsidRPr="00B41E75">
        <w:rPr>
          <w:lang w:val="pt-PT"/>
        </w:rPr>
        <w:t>em quadros simples e abrangentes.</w:t>
      </w:r>
    </w:p>
    <w:p w:rsidR="001F379C" w:rsidRPr="00B41E75" w:rsidRDefault="001F379C" w:rsidP="001F379C">
      <w:pPr>
        <w:rPr>
          <w:lang w:val="pt-PT"/>
        </w:rPr>
      </w:pPr>
    </w:p>
    <w:p w:rsidR="00895B3C" w:rsidRDefault="00B41E75" w:rsidP="001F379C">
      <w:pPr>
        <w:rPr>
          <w:lang w:val="pt-PT"/>
        </w:rPr>
      </w:pPr>
      <w:r w:rsidRPr="00B41E75">
        <w:rPr>
          <w:b/>
          <w:lang w:val="pt-PT"/>
        </w:rPr>
        <w:t>Um objectiv</w:t>
      </w:r>
      <w:r>
        <w:rPr>
          <w:b/>
          <w:lang w:val="pt-PT"/>
        </w:rPr>
        <w:t>o</w:t>
      </w:r>
      <w:r w:rsidRPr="00B41E75">
        <w:rPr>
          <w:b/>
          <w:lang w:val="pt-PT"/>
        </w:rPr>
        <w:t xml:space="preserve"> prio</w:t>
      </w:r>
      <w:r>
        <w:rPr>
          <w:b/>
          <w:lang w:val="pt-PT"/>
        </w:rPr>
        <w:t>ritário deveria ser a definição de um sistema padronizado para avalia</w:t>
      </w:r>
      <w:r w:rsidR="00A32004">
        <w:rPr>
          <w:b/>
          <w:lang w:val="pt-PT"/>
        </w:rPr>
        <w:t xml:space="preserve">r </w:t>
      </w:r>
      <w:r>
        <w:rPr>
          <w:b/>
          <w:lang w:val="pt-PT"/>
        </w:rPr>
        <w:t xml:space="preserve">projectos e um conjunto padrão para </w:t>
      </w:r>
      <w:r w:rsidR="00A32004">
        <w:rPr>
          <w:b/>
          <w:lang w:val="pt-PT"/>
        </w:rPr>
        <w:t xml:space="preserve">uma </w:t>
      </w:r>
      <w:r>
        <w:rPr>
          <w:b/>
          <w:lang w:val="pt-PT"/>
        </w:rPr>
        <w:t xml:space="preserve">aferição ex post que </w:t>
      </w:r>
      <w:r w:rsidR="00C2710C">
        <w:rPr>
          <w:b/>
          <w:lang w:val="pt-PT"/>
        </w:rPr>
        <w:t xml:space="preserve">possam ser tidos em conta </w:t>
      </w:r>
      <w:r w:rsidR="00C936E1">
        <w:rPr>
          <w:b/>
          <w:lang w:val="pt-PT"/>
        </w:rPr>
        <w:t xml:space="preserve">no sistema </w:t>
      </w:r>
      <w:r w:rsidR="00C2710C">
        <w:rPr>
          <w:b/>
          <w:lang w:val="pt-PT"/>
        </w:rPr>
        <w:t xml:space="preserve">PIM. </w:t>
      </w:r>
      <w:r w:rsidR="00C936E1">
        <w:rPr>
          <w:lang w:val="pt-PT"/>
        </w:rPr>
        <w:t>O governo pode considerar criar uma unidade independente de avaliação de projectos, dentro da DNIP</w:t>
      </w:r>
      <w:r w:rsidR="00C2710C">
        <w:rPr>
          <w:lang w:val="pt-PT"/>
        </w:rPr>
        <w:t>,</w:t>
      </w:r>
      <w:r w:rsidR="00C936E1">
        <w:rPr>
          <w:lang w:val="pt-PT"/>
        </w:rPr>
        <w:t xml:space="preserve"> para avaliar objectivamente os projectos de investimento propostos de acordo com uma metodologia única e padronizada, </w:t>
      </w:r>
      <w:r w:rsidR="00C936E1">
        <w:rPr>
          <w:lang w:val="pt-PT"/>
        </w:rPr>
        <w:lastRenderedPageBreak/>
        <w:t xml:space="preserve">antes da sua inclusão no PIP. A avaliação deverá basear-se num sistema padronizado que tenha em conta todos os custos do projecto, incluindo as despesas de capital iniciais e as despesas recorrentes de longo prazo. </w:t>
      </w:r>
      <w:r w:rsidR="003C2813">
        <w:rPr>
          <w:lang w:val="pt-PT"/>
        </w:rPr>
        <w:t>Os projectos concluídos têm de ser rigorosamente aferidos face às projecções iniciais</w:t>
      </w:r>
      <w:r w:rsidR="00C2710C">
        <w:rPr>
          <w:lang w:val="pt-PT"/>
        </w:rPr>
        <w:t>,</w:t>
      </w:r>
      <w:r w:rsidR="003C2813">
        <w:rPr>
          <w:lang w:val="pt-PT"/>
        </w:rPr>
        <w:t xml:space="preserve"> para se poder </w:t>
      </w:r>
      <w:r w:rsidR="00895B3C">
        <w:rPr>
          <w:lang w:val="pt-PT"/>
        </w:rPr>
        <w:t>determinar a exactidão da avaliação do projecto em geral, e dos métodos utilizados para calcular o custo do projecto, em particular. Uma unidade independente de aferição, na DNIP, teria capacidade para aplicar um conjunto padrão de critérios de avaliação ex post a todos os projectos concluídos e assegurar que as lições extraídas destes projectos seriam incorporadas no sistema PIM.</w:t>
      </w:r>
    </w:p>
    <w:p w:rsidR="005808B8" w:rsidRPr="00946D49" w:rsidRDefault="00895B3C" w:rsidP="001F379C">
      <w:pPr>
        <w:rPr>
          <w:lang w:val="pt-PT"/>
        </w:rPr>
        <w:sectPr w:rsidR="005808B8" w:rsidRPr="00946D49" w:rsidSect="00946D49">
          <w:footerReference w:type="default" r:id="rId13"/>
          <w:pgSz w:w="12240" w:h="15840"/>
          <w:pgMar w:top="1440" w:right="1080" w:bottom="1440" w:left="1080" w:header="720" w:footer="720" w:gutter="0"/>
          <w:pgNumType w:fmt="lowerRoman" w:start="1"/>
          <w:cols w:space="720"/>
          <w:docGrid w:linePitch="360"/>
        </w:sectPr>
      </w:pPr>
      <w:r>
        <w:rPr>
          <w:lang w:val="pt-PT"/>
        </w:rPr>
        <w:t xml:space="preserve"> </w:t>
      </w:r>
    </w:p>
    <w:p w:rsidR="005808B8" w:rsidRPr="00895B3C" w:rsidRDefault="00D35B10" w:rsidP="009F00D5">
      <w:pPr>
        <w:pStyle w:val="Heading1"/>
        <w:spacing w:before="0"/>
        <w:ind w:left="1080"/>
        <w:jc w:val="left"/>
        <w:rPr>
          <w:lang w:val="pt-PT"/>
        </w:rPr>
      </w:pPr>
      <w:bookmarkStart w:id="15" w:name="_Toc330283799"/>
      <w:bookmarkStart w:id="16" w:name="_Toc331228876"/>
      <w:bookmarkStart w:id="17" w:name="_Toc331230260"/>
      <w:bookmarkStart w:id="18" w:name="_Toc345748740"/>
      <w:bookmarkStart w:id="19" w:name="_Toc349150425"/>
      <w:bookmarkStart w:id="20" w:name="_Toc349391119"/>
      <w:bookmarkStart w:id="21" w:name="_Toc349668943"/>
      <w:bookmarkStart w:id="22" w:name="_Toc349818326"/>
      <w:bookmarkStart w:id="23" w:name="_Toc391261697"/>
      <w:r>
        <w:rPr>
          <w:lang w:val="pt-PT"/>
        </w:rPr>
        <w:lastRenderedPageBreak/>
        <w:t>DESENVOLVIMENTOS ECONÓMICOS</w:t>
      </w:r>
      <w:r w:rsidR="00895B3C">
        <w:rPr>
          <w:lang w:val="pt-PT"/>
        </w:rPr>
        <w:t xml:space="preserve"> RECENTES</w:t>
      </w:r>
      <w:bookmarkEnd w:id="15"/>
      <w:bookmarkEnd w:id="16"/>
      <w:bookmarkEnd w:id="17"/>
      <w:bookmarkEnd w:id="18"/>
      <w:bookmarkEnd w:id="19"/>
      <w:bookmarkEnd w:id="20"/>
      <w:bookmarkEnd w:id="21"/>
      <w:bookmarkEnd w:id="22"/>
      <w:bookmarkEnd w:id="23"/>
      <w:r w:rsidR="001F07BB" w:rsidRPr="00895B3C">
        <w:rPr>
          <w:lang w:val="pt-PT"/>
        </w:rPr>
        <w:t xml:space="preserve"> </w:t>
      </w:r>
    </w:p>
    <w:p w:rsidR="005808B8" w:rsidRPr="00895B3C" w:rsidRDefault="0026323F" w:rsidP="005808B8">
      <w:pPr>
        <w:pStyle w:val="NoSpacing"/>
        <w:rPr>
          <w:lang w:val="pt-PT"/>
        </w:rPr>
      </w:pPr>
      <w:r>
        <w:rPr>
          <w:noProof/>
          <w:lang w:val="en-US"/>
        </w:rPr>
        <mc:AlternateContent>
          <mc:Choice Requires="wps">
            <w:drawing>
              <wp:anchor distT="0" distB="0" distL="114300" distR="114300" simplePos="0" relativeHeight="251673600" behindDoc="0" locked="0" layoutInCell="1" allowOverlap="1">
                <wp:simplePos x="0" y="0"/>
                <wp:positionH relativeFrom="column">
                  <wp:posOffset>88900</wp:posOffset>
                </wp:positionH>
                <wp:positionV relativeFrom="paragraph">
                  <wp:posOffset>114935</wp:posOffset>
                </wp:positionV>
                <wp:extent cx="909320" cy="146685"/>
                <wp:effectExtent l="0" t="0" r="5080" b="5715"/>
                <wp:wrapNone/>
                <wp:docPr id="31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146685"/>
                        </a:xfrm>
                        <a:prstGeom prst="rect">
                          <a:avLst/>
                        </a:prstGeom>
                        <a:gradFill rotWithShape="1">
                          <a:gsLst>
                            <a:gs pos="60000">
                              <a:schemeClr val="bg1">
                                <a:lumMod val="75000"/>
                                <a:lumOff val="0"/>
                              </a:schemeClr>
                            </a:gs>
                            <a:gs pos="100000">
                              <a:schemeClr val="bg1">
                                <a:lumMod val="50000"/>
                              </a:schemeClr>
                            </a:gs>
                          </a:gsLst>
                          <a:lin ang="5400000" scaled="1"/>
                        </a:gra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7pt;margin-top:9.05pt;width:71.6pt;height:11.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" fillcolor="#bfbfbf [2412]" stroked="f">
                <v:fill color2="#7f7f7f [1612]" rotate="t" colors="0 #bfbfbf;39322f #bfbfbf" focus="100%" type="gradient"/>
              </v:rect>
            </w:pict>
          </mc:Fallback>
        </mc:AlternateContent>
      </w:r>
      <w:r>
        <w:rPr>
          <w:noProof/>
          <w:lang w:val="en-US"/>
        </w:rPr>
        <mc:AlternateContent>
          <mc:Choice Requires="wps">
            <w:drawing>
              <wp:anchor distT="0" distB="0" distL="114300" distR="114300" simplePos="0" relativeHeight="251672576" behindDoc="0" locked="0" layoutInCell="1" allowOverlap="1">
                <wp:simplePos x="0" y="0"/>
                <wp:positionH relativeFrom="column">
                  <wp:posOffset>1103630</wp:posOffset>
                </wp:positionH>
                <wp:positionV relativeFrom="paragraph">
                  <wp:posOffset>116205</wp:posOffset>
                </wp:positionV>
                <wp:extent cx="5186045" cy="146685"/>
                <wp:effectExtent l="0" t="0" r="0" b="5715"/>
                <wp:wrapNone/>
                <wp:docPr id="31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6045" cy="146685"/>
                        </a:xfrm>
                        <a:prstGeom prst="rect">
                          <a:avLst/>
                        </a:prstGeom>
                        <a:gradFill>
                          <a:gsLst>
                            <a:gs pos="70000">
                              <a:schemeClr val="accent2">
                                <a:lumMod val="75000"/>
                              </a:schemeClr>
                            </a:gs>
                            <a:gs pos="100000">
                              <a:schemeClr val="accent2">
                                <a:lumMod val="50000"/>
                              </a:schemeClr>
                            </a:gs>
                          </a:gsLst>
                          <a:lin ang="5400000" scaled="0"/>
                        </a:gra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86.9pt;margin-top:9.15pt;width:408.35pt;height:11.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" fillcolor="#943634 [2405]" stroked="f">
                <v:fill color2="#622423 [1605]" colors="0 #953735;45875f #953735" focus="100%" type="gradient">
                  <o:fill v:ext="view" type="gradientUnscaled"/>
                </v:fill>
              </v:rect>
            </w:pict>
          </mc:Fallback>
        </mc:AlternateContent>
      </w:r>
    </w:p>
    <w:p w:rsidR="005808B8" w:rsidRPr="00895B3C" w:rsidRDefault="005808B8" w:rsidP="005808B8">
      <w:pPr>
        <w:pStyle w:val="NoSpacing"/>
        <w:rPr>
          <w:lang w:val="pt-PT"/>
        </w:rPr>
      </w:pPr>
    </w:p>
    <w:p w:rsidR="005808B8" w:rsidRPr="00895B3C" w:rsidRDefault="005808B8" w:rsidP="005808B8">
      <w:pPr>
        <w:pStyle w:val="NoSpacing"/>
        <w:rPr>
          <w:lang w:val="pt-PT"/>
        </w:rPr>
      </w:pPr>
    </w:p>
    <w:p w:rsidR="00137F5E" w:rsidRPr="00895B3C" w:rsidRDefault="00B24C47" w:rsidP="00483C4D">
      <w:pPr>
        <w:pStyle w:val="Heading2"/>
        <w:rPr>
          <w:lang w:val="pt-PT"/>
        </w:rPr>
      </w:pPr>
      <w:bookmarkStart w:id="24" w:name="_Toc330283800"/>
      <w:bookmarkStart w:id="25" w:name="_Toc331228877"/>
      <w:bookmarkStart w:id="26" w:name="_Toc331230261"/>
      <w:bookmarkStart w:id="27" w:name="_Toc345748742"/>
      <w:bookmarkStart w:id="28" w:name="_Toc349150427"/>
      <w:bookmarkStart w:id="29" w:name="_Toc349391121"/>
      <w:bookmarkStart w:id="30" w:name="_Toc349668944"/>
      <w:bookmarkStart w:id="31" w:name="_Toc349818327"/>
      <w:bookmarkStart w:id="32" w:name="_Toc391261698"/>
      <w:r w:rsidRPr="00895B3C">
        <w:rPr>
          <w:lang w:val="pt-PT"/>
        </w:rPr>
        <w:t>T</w:t>
      </w:r>
      <w:r w:rsidR="00310456">
        <w:rPr>
          <w:lang w:val="pt-PT"/>
        </w:rPr>
        <w:t>endências do Crescimento do PIB e Evolução da Produção</w:t>
      </w:r>
      <w:bookmarkEnd w:id="24"/>
      <w:bookmarkEnd w:id="25"/>
      <w:bookmarkEnd w:id="26"/>
      <w:bookmarkEnd w:id="27"/>
      <w:bookmarkEnd w:id="28"/>
      <w:bookmarkEnd w:id="29"/>
      <w:bookmarkEnd w:id="30"/>
      <w:bookmarkEnd w:id="31"/>
      <w:bookmarkEnd w:id="32"/>
    </w:p>
    <w:p w:rsidR="00DD19AB" w:rsidRPr="00895B3C" w:rsidRDefault="00DD19AB" w:rsidP="00B91071">
      <w:pPr>
        <w:rPr>
          <w:i/>
          <w:lang w:val="pt-PT"/>
        </w:rPr>
      </w:pPr>
    </w:p>
    <w:p w:rsidR="009F24C0" w:rsidRPr="00310456" w:rsidRDefault="00310456" w:rsidP="0085133C">
      <w:pPr>
        <w:pStyle w:val="ParagraphNumbering"/>
        <w:rPr>
          <w:color w:val="000000"/>
          <w:lang w:val="pt-PT"/>
        </w:rPr>
      </w:pPr>
      <w:r>
        <w:rPr>
          <w:b/>
          <w:lang w:val="pt-PT"/>
        </w:rPr>
        <w:t xml:space="preserve">Apesar de uma </w:t>
      </w:r>
      <w:r w:rsidR="00295D1D">
        <w:rPr>
          <w:b/>
          <w:lang w:val="pt-PT"/>
        </w:rPr>
        <w:t>ligeira</w:t>
      </w:r>
      <w:r>
        <w:rPr>
          <w:b/>
          <w:lang w:val="pt-PT"/>
        </w:rPr>
        <w:t xml:space="preserve"> desacelaração em 2013, a economia de Angola parece ter retomado o seu curso</w:t>
      </w:r>
      <w:r w:rsidR="00183FDC" w:rsidRPr="00310456">
        <w:rPr>
          <w:lang w:val="pt-PT"/>
        </w:rPr>
        <w:t xml:space="preserve">. </w:t>
      </w:r>
      <w:r>
        <w:rPr>
          <w:lang w:val="pt-PT"/>
        </w:rPr>
        <w:t xml:space="preserve">O PIB real cresceu 4,4%, ligeiramente abaixo da taxa de crescimento estimada de 5,1% em 2012 mas bastante acima da média de 3,5% no período </w:t>
      </w:r>
      <w:r w:rsidR="00E453A8" w:rsidRPr="00310456">
        <w:rPr>
          <w:lang w:val="pt-PT"/>
        </w:rPr>
        <w:t>2009-2011</w:t>
      </w:r>
      <w:r>
        <w:rPr>
          <w:lang w:val="pt-PT"/>
        </w:rPr>
        <w:t xml:space="preserve">. O crescimento ligeiramente inferior em 2013 reflectiu a estabilização do sector petrolífero, que representa mais de 40% da economia de Angola. Os preços do petróleo </w:t>
      </w:r>
      <w:r w:rsidR="00C02515">
        <w:rPr>
          <w:lang w:val="pt-PT"/>
        </w:rPr>
        <w:t xml:space="preserve">recuperaram fortemente </w:t>
      </w:r>
      <w:r w:rsidR="00CA54BC">
        <w:rPr>
          <w:lang w:val="pt-PT"/>
        </w:rPr>
        <w:t>n</w:t>
      </w:r>
      <w:r w:rsidR="002B032B">
        <w:rPr>
          <w:lang w:val="pt-PT"/>
        </w:rPr>
        <w:t>o</w:t>
      </w:r>
      <w:r w:rsidR="00CA54BC">
        <w:rPr>
          <w:lang w:val="pt-PT"/>
        </w:rPr>
        <w:t xml:space="preserve"> </w:t>
      </w:r>
      <w:r w:rsidR="002B032B">
        <w:rPr>
          <w:lang w:val="pt-PT"/>
        </w:rPr>
        <w:t>seguimento</w:t>
      </w:r>
      <w:r w:rsidR="00CA54BC">
        <w:rPr>
          <w:lang w:val="pt-PT"/>
        </w:rPr>
        <w:t xml:space="preserve"> da crise financeira mundial, </w:t>
      </w:r>
      <w:r w:rsidR="009F00D5">
        <w:rPr>
          <w:lang w:val="pt-PT"/>
        </w:rPr>
        <w:t xml:space="preserve">tendo subido para uma média de USD 110,9 por barril em 2012, e estabilizando em USD </w:t>
      </w:r>
      <w:r w:rsidR="0091456E" w:rsidRPr="00310456">
        <w:rPr>
          <w:color w:val="000000"/>
          <w:lang w:val="pt-PT"/>
        </w:rPr>
        <w:t>1</w:t>
      </w:r>
      <w:r w:rsidR="009F00D5">
        <w:rPr>
          <w:color w:val="000000"/>
          <w:lang w:val="pt-PT"/>
        </w:rPr>
        <w:t>07,5 por barril em 2013, enquanto se estimava que a produção de petróleo angolano orçava em média 1,7 milhões de barris por dia, em linha com o desempenho dos últimos anos</w:t>
      </w:r>
      <w:r w:rsidR="007E4034" w:rsidRPr="00310456">
        <w:rPr>
          <w:color w:val="000000"/>
          <w:lang w:val="pt-PT"/>
        </w:rPr>
        <w:t>.</w:t>
      </w:r>
      <w:r w:rsidR="00817AE8" w:rsidRPr="00310456">
        <w:rPr>
          <w:rStyle w:val="FootnoteReference"/>
          <w:rFonts w:cs="Times New Roman"/>
          <w:lang w:val="pt-PT"/>
        </w:rPr>
        <w:t xml:space="preserve"> </w:t>
      </w:r>
      <w:r w:rsidR="00817AE8" w:rsidRPr="00310456">
        <w:rPr>
          <w:rStyle w:val="FootnoteReference"/>
          <w:rFonts w:cs="Times New Roman"/>
          <w:lang w:val="pt-PT"/>
        </w:rPr>
        <w:footnoteReference w:id="1"/>
      </w:r>
      <w:r w:rsidR="007E4034" w:rsidRPr="00310456">
        <w:rPr>
          <w:color w:val="000000"/>
          <w:lang w:val="pt-PT"/>
        </w:rPr>
        <w:t xml:space="preserve">  </w:t>
      </w:r>
      <w:r w:rsidR="009F00D5">
        <w:rPr>
          <w:color w:val="000000"/>
          <w:lang w:val="pt-PT"/>
        </w:rPr>
        <w:t>A desaceleração observada também pode estar, em parte, associada com o fraco desempenho dos principais parceiros comerciais de Angola no que toca à sua procura de exportações de petróleo</w:t>
      </w:r>
      <w:r w:rsidR="00FF34BC" w:rsidRPr="00310456">
        <w:rPr>
          <w:color w:val="000000"/>
          <w:lang w:val="pt-PT"/>
        </w:rPr>
        <w:t xml:space="preserve"> (</w:t>
      </w:r>
      <w:r w:rsidR="00946D49">
        <w:fldChar w:fldCharType="begin"/>
      </w:r>
      <w:r w:rsidR="00946D49" w:rsidRPr="00946D49">
        <w:rPr>
          <w:lang w:val="fr-FR"/>
        </w:rPr>
        <w:instrText xml:space="preserve"> REF _Ref384626735 \h  \* MERGEFORMAT </w:instrText>
      </w:r>
      <w:r w:rsidR="00946D49">
        <w:fldChar w:fldCharType="separate"/>
      </w:r>
      <w:r w:rsidR="004F553E" w:rsidRPr="004F553E">
        <w:rPr>
          <w:rFonts w:cs="Times New Roman"/>
          <w:bCs/>
          <w:szCs w:val="22"/>
          <w:lang w:val="pt-PT"/>
        </w:rPr>
        <w:t>Caixa 1</w:t>
      </w:r>
      <w:r w:rsidR="00946D49">
        <w:fldChar w:fldCharType="end"/>
      </w:r>
      <w:r w:rsidR="00FF34BC" w:rsidRPr="00310456">
        <w:rPr>
          <w:rFonts w:cs="Times New Roman"/>
          <w:szCs w:val="22"/>
          <w:lang w:val="pt-PT"/>
        </w:rPr>
        <w:t>).</w:t>
      </w:r>
    </w:p>
    <w:p w:rsidR="00FF34BC" w:rsidRPr="00310456" w:rsidRDefault="00FF34BC" w:rsidP="0085133C">
      <w:pPr>
        <w:pStyle w:val="ParagraphNumbering"/>
        <w:numPr>
          <w:ilvl w:val="0"/>
          <w:numId w:val="0"/>
        </w:numPr>
        <w:rPr>
          <w:lang w:val="pt-PT"/>
        </w:rPr>
      </w:pPr>
    </w:p>
    <w:tbl>
      <w:tblPr>
        <w:tblStyle w:val="ColorfulList-Accent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08"/>
        <w:gridCol w:w="8568"/>
      </w:tblGrid>
      <w:tr w:rsidR="00FF34BC" w:rsidRPr="004E1715" w:rsidTr="007B36A7">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008" w:type="dxa"/>
            <w:vAlign w:val="center"/>
          </w:tcPr>
          <w:p w:rsidR="00FF34BC" w:rsidRPr="00310456" w:rsidRDefault="009F00D5" w:rsidP="00FF34BC">
            <w:pPr>
              <w:pStyle w:val="Caption"/>
              <w:rPr>
                <w:lang w:val="pt-PT"/>
              </w:rPr>
            </w:pPr>
            <w:bookmarkStart w:id="33" w:name="_Ref384626735"/>
            <w:r>
              <w:rPr>
                <w:rFonts w:asciiTheme="minorHAnsi" w:hAnsiTheme="minorHAnsi"/>
                <w:color w:val="FFFFFF" w:themeColor="background1"/>
                <w:sz w:val="24"/>
                <w:szCs w:val="24"/>
                <w:lang w:val="pt-PT"/>
              </w:rPr>
              <w:t>Caixa</w:t>
            </w:r>
            <w:r w:rsidR="00FF34BC" w:rsidRPr="00310456">
              <w:rPr>
                <w:rFonts w:asciiTheme="minorHAnsi" w:hAnsiTheme="minorHAnsi"/>
                <w:color w:val="FFFFFF" w:themeColor="background1"/>
                <w:sz w:val="24"/>
                <w:szCs w:val="24"/>
                <w:lang w:val="pt-PT"/>
              </w:rPr>
              <w:t xml:space="preserve"> </w:t>
            </w:r>
            <w:r w:rsidR="00FB4E23" w:rsidRPr="00310456">
              <w:rPr>
                <w:rFonts w:asciiTheme="minorHAnsi" w:hAnsiTheme="minorHAnsi"/>
                <w:color w:val="FFFFFF" w:themeColor="background1"/>
                <w:sz w:val="24"/>
                <w:szCs w:val="24"/>
                <w:lang w:val="pt-PT"/>
              </w:rPr>
              <w:fldChar w:fldCharType="begin"/>
            </w:r>
            <w:r w:rsidR="00FF34BC" w:rsidRPr="00310456">
              <w:rPr>
                <w:rFonts w:asciiTheme="minorHAnsi" w:hAnsiTheme="minorHAnsi"/>
                <w:color w:val="FFFFFF" w:themeColor="background1"/>
                <w:sz w:val="24"/>
                <w:szCs w:val="24"/>
                <w:lang w:val="pt-PT"/>
              </w:rPr>
              <w:instrText xml:space="preserve"> SEQ Box \* ARABIC </w:instrText>
            </w:r>
            <w:r w:rsidR="00FB4E23" w:rsidRPr="00310456">
              <w:rPr>
                <w:rFonts w:asciiTheme="minorHAnsi" w:hAnsiTheme="minorHAnsi"/>
                <w:color w:val="FFFFFF" w:themeColor="background1"/>
                <w:sz w:val="24"/>
                <w:szCs w:val="24"/>
                <w:lang w:val="pt-PT"/>
              </w:rPr>
              <w:fldChar w:fldCharType="separate"/>
            </w:r>
            <w:r w:rsidR="004F553E">
              <w:rPr>
                <w:rFonts w:asciiTheme="minorHAnsi" w:hAnsiTheme="minorHAnsi"/>
                <w:noProof/>
                <w:color w:val="FFFFFF" w:themeColor="background1"/>
                <w:sz w:val="24"/>
                <w:szCs w:val="24"/>
                <w:lang w:val="pt-PT"/>
              </w:rPr>
              <w:t>1</w:t>
            </w:r>
            <w:r w:rsidR="00FB4E23" w:rsidRPr="00310456">
              <w:rPr>
                <w:rFonts w:asciiTheme="minorHAnsi" w:hAnsiTheme="minorHAnsi"/>
                <w:color w:val="FFFFFF" w:themeColor="background1"/>
                <w:sz w:val="24"/>
                <w:szCs w:val="24"/>
                <w:lang w:val="pt-PT"/>
              </w:rPr>
              <w:fldChar w:fldCharType="end"/>
            </w:r>
            <w:bookmarkEnd w:id="33"/>
          </w:p>
        </w:tc>
        <w:tc>
          <w:tcPr>
            <w:tcW w:w="8568" w:type="dxa"/>
            <w:shd w:val="clear" w:color="auto" w:fill="000000" w:themeFill="text1"/>
            <w:vAlign w:val="center"/>
          </w:tcPr>
          <w:p w:rsidR="00FF34BC" w:rsidRPr="00310456" w:rsidRDefault="009F00D5" w:rsidP="009F00D5">
            <w:pPr>
              <w:pStyle w:val="NoSpacing"/>
              <w:jc w:val="left"/>
              <w:cnfStyle w:val="100000000000" w:firstRow="1" w:lastRow="0" w:firstColumn="0" w:lastColumn="0" w:oddVBand="0" w:evenVBand="0" w:oddHBand="0" w:evenHBand="0" w:firstRowFirstColumn="0" w:firstRowLastColumn="0" w:lastRowFirstColumn="0" w:lastRowLastColumn="0"/>
              <w:rPr>
                <w:rFonts w:asciiTheme="minorHAnsi" w:hAnsiTheme="minorHAnsi"/>
                <w:bCs w:val="0"/>
                <w:szCs w:val="24"/>
                <w:lang w:val="pt-PT"/>
              </w:rPr>
            </w:pPr>
            <w:r>
              <w:rPr>
                <w:rFonts w:asciiTheme="minorHAnsi" w:hAnsiTheme="minorHAnsi"/>
                <w:sz w:val="24"/>
                <w:szCs w:val="24"/>
                <w:lang w:val="pt-PT"/>
              </w:rPr>
              <w:t>Evolução recente da economia global</w:t>
            </w:r>
          </w:p>
        </w:tc>
      </w:tr>
      <w:tr w:rsidR="00FF34BC" w:rsidRPr="004E1715" w:rsidTr="007B36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FF34BC" w:rsidRPr="00310456" w:rsidRDefault="00FF34BC" w:rsidP="007B36A7">
            <w:pPr>
              <w:rPr>
                <w:rFonts w:asciiTheme="minorHAnsi" w:hAnsiTheme="minorHAnsi" w:cstheme="minorHAnsi"/>
                <w:sz w:val="18"/>
                <w:szCs w:val="18"/>
                <w:lang w:val="pt-PT"/>
              </w:rPr>
            </w:pPr>
          </w:p>
          <w:p w:rsidR="00B67BDF" w:rsidRDefault="002B3720" w:rsidP="003E4324">
            <w:pPr>
              <w:widowControl w:val="0"/>
              <w:rPr>
                <w:rFonts w:asciiTheme="minorHAnsi" w:hAnsiTheme="minorHAnsi" w:cs="Times New Roman"/>
                <w:b w:val="0"/>
                <w:iCs/>
                <w:sz w:val="18"/>
                <w:szCs w:val="18"/>
                <w:lang w:val="pt-PT"/>
              </w:rPr>
            </w:pPr>
            <w:r>
              <w:rPr>
                <w:rFonts w:asciiTheme="minorHAnsi" w:hAnsiTheme="minorHAnsi" w:cs="Times New Roman"/>
                <w:sz w:val="18"/>
                <w:szCs w:val="18"/>
                <w:lang w:val="pt-PT"/>
              </w:rPr>
              <w:t xml:space="preserve">Apesar dos sinais de retoma, a economia global cresceu </w:t>
            </w:r>
            <w:r w:rsidR="00B67BDF">
              <w:rPr>
                <w:rFonts w:asciiTheme="minorHAnsi" w:hAnsiTheme="minorHAnsi" w:cs="Times New Roman"/>
                <w:sz w:val="18"/>
                <w:szCs w:val="18"/>
                <w:lang w:val="pt-PT"/>
              </w:rPr>
              <w:t xml:space="preserve">a uma taxa anualizada </w:t>
            </w:r>
            <w:r w:rsidR="002B032B">
              <w:rPr>
                <w:rFonts w:asciiTheme="minorHAnsi" w:hAnsiTheme="minorHAnsi" w:cs="Times New Roman"/>
                <w:sz w:val="18"/>
                <w:szCs w:val="18"/>
                <w:lang w:val="pt-PT"/>
              </w:rPr>
              <w:t>corrigida</w:t>
            </w:r>
            <w:r w:rsidR="00B67BDF">
              <w:rPr>
                <w:rFonts w:asciiTheme="minorHAnsi" w:hAnsiTheme="minorHAnsi" w:cs="Times New Roman"/>
                <w:sz w:val="18"/>
                <w:szCs w:val="18"/>
                <w:lang w:val="pt-PT"/>
              </w:rPr>
              <w:t xml:space="preserve"> de sazonalidade de </w:t>
            </w:r>
            <w:r w:rsidR="00405032" w:rsidRPr="00310456">
              <w:rPr>
                <w:rFonts w:asciiTheme="minorHAnsi" w:hAnsiTheme="minorHAnsi" w:cs="Times New Roman"/>
                <w:sz w:val="18"/>
                <w:szCs w:val="18"/>
                <w:lang w:val="pt-PT"/>
              </w:rPr>
              <w:t>2</w:t>
            </w:r>
            <w:r w:rsidR="00B67BDF">
              <w:rPr>
                <w:rFonts w:asciiTheme="minorHAnsi" w:hAnsiTheme="minorHAnsi" w:cs="Times New Roman"/>
                <w:sz w:val="18"/>
                <w:szCs w:val="18"/>
                <w:lang w:val="pt-PT"/>
              </w:rPr>
              <w:t xml:space="preserve">,4 % em </w:t>
            </w:r>
            <w:r w:rsidR="00405032" w:rsidRPr="00310456">
              <w:rPr>
                <w:rFonts w:asciiTheme="minorHAnsi" w:hAnsiTheme="minorHAnsi" w:cs="Times New Roman"/>
                <w:sz w:val="18"/>
                <w:szCs w:val="18"/>
                <w:lang w:val="pt-PT"/>
              </w:rPr>
              <w:t>2013,</w:t>
            </w:r>
            <w:r w:rsidR="003E4324" w:rsidRPr="00310456">
              <w:rPr>
                <w:rFonts w:asciiTheme="minorHAnsi" w:hAnsiTheme="minorHAnsi" w:cs="Times New Roman"/>
                <w:sz w:val="18"/>
                <w:szCs w:val="18"/>
                <w:lang w:val="pt-PT"/>
              </w:rPr>
              <w:t xml:space="preserve"> </w:t>
            </w:r>
            <w:r w:rsidR="00B67BDF">
              <w:rPr>
                <w:rFonts w:asciiTheme="minorHAnsi" w:hAnsiTheme="minorHAnsi" w:cs="Times New Roman"/>
                <w:sz w:val="18"/>
                <w:szCs w:val="18"/>
                <w:lang w:val="pt-PT"/>
              </w:rPr>
              <w:t>idêntica à de 2012, afectando negativamente o crescimento das exportações em A</w:t>
            </w:r>
            <w:r w:rsidR="003E4324" w:rsidRPr="00310456">
              <w:rPr>
                <w:rFonts w:asciiTheme="minorHAnsi" w:hAnsiTheme="minorHAnsi" w:cs="Times New Roman"/>
                <w:sz w:val="18"/>
                <w:szCs w:val="18"/>
                <w:lang w:val="pt-PT"/>
              </w:rPr>
              <w:t xml:space="preserve">ngola. </w:t>
            </w:r>
            <w:r w:rsidR="00B67BDF">
              <w:rPr>
                <w:rFonts w:asciiTheme="minorHAnsi" w:hAnsiTheme="minorHAnsi" w:cs="Times New Roman"/>
                <w:b w:val="0"/>
                <w:sz w:val="18"/>
                <w:szCs w:val="18"/>
                <w:lang w:val="pt-PT"/>
              </w:rPr>
              <w:t xml:space="preserve">O abrandamento do crescimento entre os seus principais parceiros comerciais afectou a economia de Angola em 2013. A China, um dos principais destinos das exportações de Angola, cresceu 7,7%, idêntico a 2012, mas bastante abaixo da média de 9,6% registada durante 2009-2011, enquanto a fraca procura interna resultava num abrandamento da actividade industrial na Índia. O PIB agregado da Zona Euro caiu 0,4%, enquanto a economia dos EUA registava um aumento de 1,9% em 2013, uma queda face aos 2,8% no ano anterior. O crescimento do PIB na região Subsariana subiu para 4,7% em 2013, um acréscimo relativamente aos 3,5% em 2012, apoiado por uma sólida procura interna, designadamente do crescimento do investimento. No entanto, na África do Sul, um dos principais parceiros comerciais de Angola, </w:t>
            </w:r>
            <w:r w:rsidR="003E4324" w:rsidRPr="00310456">
              <w:rPr>
                <w:rFonts w:asciiTheme="minorHAnsi" w:hAnsiTheme="minorHAnsi" w:cs="Times New Roman"/>
                <w:b w:val="0"/>
                <w:iCs/>
                <w:sz w:val="18"/>
                <w:szCs w:val="18"/>
                <w:lang w:val="pt-PT"/>
              </w:rPr>
              <w:t>e</w:t>
            </w:r>
            <w:r w:rsidR="00B67BDF">
              <w:rPr>
                <w:rFonts w:asciiTheme="minorHAnsi" w:hAnsiTheme="minorHAnsi" w:cs="Times New Roman"/>
                <w:b w:val="0"/>
                <w:iCs/>
                <w:sz w:val="18"/>
                <w:szCs w:val="18"/>
                <w:lang w:val="pt-PT"/>
              </w:rPr>
              <w:t xml:space="preserve">strangulamentos estruturais e relações laborais tensas a par da baixa confiança dos investidores e da fraca procura externa foram responsáveis pelo baixo valor do crescimento de 1,9%. </w:t>
            </w:r>
          </w:p>
          <w:tbl>
            <w:tblPr>
              <w:tblpPr w:leftFromText="180" w:rightFromText="180" w:vertAnchor="text" w:horzAnchor="margin" w:tblpXSpec="right" w:tblpY="260"/>
              <w:tblOverlap w:val="never"/>
              <w:tblW w:w="5965" w:type="dxa"/>
              <w:tblBorders>
                <w:insideH w:val="single" w:sz="8" w:space="0" w:color="943634" w:themeColor="accent2" w:themeShade="BF"/>
                <w:insideV w:val="single" w:sz="8" w:space="0" w:color="C00000"/>
              </w:tblBorders>
              <w:tblCellMar>
                <w:left w:w="29" w:type="dxa"/>
                <w:right w:w="29" w:type="dxa"/>
              </w:tblCellMar>
              <w:tblLook w:val="01E0" w:firstRow="1" w:lastRow="1" w:firstColumn="1" w:lastColumn="1" w:noHBand="0" w:noVBand="0"/>
            </w:tblPr>
            <w:tblGrid>
              <w:gridCol w:w="5965"/>
            </w:tblGrid>
            <w:tr w:rsidR="003E4324" w:rsidRPr="004E1715" w:rsidTr="006C0F58">
              <w:trPr>
                <w:trHeight w:val="194"/>
              </w:trPr>
              <w:tc>
                <w:tcPr>
                  <w:tcW w:w="5965" w:type="dxa"/>
                </w:tcPr>
                <w:p w:rsidR="003E4324" w:rsidRPr="00310456" w:rsidRDefault="003E4324" w:rsidP="00092E10">
                  <w:pPr>
                    <w:pStyle w:val="quarterly-chart-subtitle"/>
                    <w:keepNext/>
                    <w:keepLines/>
                    <w:rPr>
                      <w:rFonts w:asciiTheme="minorHAnsi" w:eastAsiaTheme="minorHAnsi" w:hAnsiTheme="minorHAnsi" w:cstheme="minorHAnsi"/>
                      <w:bCs/>
                      <w:i w:val="0"/>
                      <w:color w:val="943634" w:themeColor="accent2" w:themeShade="BF"/>
                      <w:kern w:val="0"/>
                      <w:szCs w:val="18"/>
                      <w:lang w:val="pt-PT"/>
                    </w:rPr>
                  </w:pPr>
                  <w:r w:rsidRPr="00310456">
                    <w:rPr>
                      <w:rFonts w:asciiTheme="minorHAnsi" w:hAnsiTheme="minorHAnsi" w:cstheme="minorHAnsi"/>
                      <w:color w:val="943634" w:themeColor="accent2" w:themeShade="BF"/>
                      <w:szCs w:val="18"/>
                      <w:lang w:val="pt-PT"/>
                    </w:rPr>
                    <w:t>Figu</w:t>
                  </w:r>
                  <w:r w:rsidR="00D85578">
                    <w:rPr>
                      <w:rFonts w:asciiTheme="minorHAnsi" w:hAnsiTheme="minorHAnsi" w:cstheme="minorHAnsi"/>
                      <w:color w:val="943634" w:themeColor="accent2" w:themeShade="BF"/>
                      <w:szCs w:val="18"/>
                      <w:lang w:val="pt-PT"/>
                    </w:rPr>
                    <w:t>ra</w:t>
                  </w:r>
                  <w:r w:rsidRPr="00310456">
                    <w:rPr>
                      <w:rFonts w:asciiTheme="minorHAnsi" w:hAnsiTheme="minorHAnsi" w:cstheme="minorHAnsi"/>
                      <w:color w:val="943634" w:themeColor="accent2" w:themeShade="BF"/>
                      <w:szCs w:val="18"/>
                      <w:lang w:val="pt-PT"/>
                    </w:rPr>
                    <w:t xml:space="preserve"> 1: </w:t>
                  </w:r>
                  <w:r w:rsidR="00D85578">
                    <w:rPr>
                      <w:rFonts w:asciiTheme="minorHAnsi" w:eastAsiaTheme="minorHAnsi" w:hAnsiTheme="minorHAnsi" w:cstheme="minorHAnsi"/>
                      <w:bCs/>
                      <w:i w:val="0"/>
                      <w:color w:val="943634" w:themeColor="accent2" w:themeShade="BF"/>
                      <w:kern w:val="0"/>
                      <w:szCs w:val="18"/>
                      <w:lang w:val="pt-PT"/>
                    </w:rPr>
                    <w:t>Não houve uma retoma total no crescimento dos principais parceiros comerciais de Angola</w:t>
                  </w:r>
                </w:p>
                <w:p w:rsidR="003E4324" w:rsidRPr="00310456" w:rsidRDefault="003E4324" w:rsidP="00D85578">
                  <w:pPr>
                    <w:pStyle w:val="quarterly-chart-subtitle"/>
                    <w:keepNext/>
                    <w:keepLines/>
                    <w:rPr>
                      <w:rFonts w:asciiTheme="minorHAnsi" w:hAnsiTheme="minorHAnsi" w:cstheme="minorHAnsi"/>
                      <w:szCs w:val="18"/>
                      <w:lang w:val="pt-PT"/>
                    </w:rPr>
                  </w:pPr>
                  <w:r w:rsidRPr="00310456">
                    <w:rPr>
                      <w:rFonts w:asciiTheme="minorHAnsi" w:hAnsiTheme="minorHAnsi" w:cstheme="minorHAnsi"/>
                      <w:szCs w:val="18"/>
                      <w:lang w:val="pt-PT"/>
                    </w:rPr>
                    <w:t>(</w:t>
                  </w:r>
                  <w:r w:rsidR="00D85578">
                    <w:rPr>
                      <w:rFonts w:asciiTheme="minorHAnsi" w:hAnsiTheme="minorHAnsi" w:cstheme="minorHAnsi"/>
                      <w:szCs w:val="18"/>
                      <w:lang w:val="pt-PT"/>
                    </w:rPr>
                    <w:t xml:space="preserve">crescimento do PIB real </w:t>
                  </w:r>
                  <w:r w:rsidRPr="00310456">
                    <w:rPr>
                      <w:rFonts w:asciiTheme="minorHAnsi" w:hAnsiTheme="minorHAnsi" w:cstheme="minorHAnsi"/>
                      <w:szCs w:val="18"/>
                      <w:lang w:val="pt-PT"/>
                    </w:rPr>
                    <w:t>per capita)</w:t>
                  </w:r>
                </w:p>
              </w:tc>
            </w:tr>
            <w:tr w:rsidR="003E4324" w:rsidRPr="00310456" w:rsidTr="006C0F58">
              <w:trPr>
                <w:trHeight w:val="194"/>
              </w:trPr>
              <w:tc>
                <w:tcPr>
                  <w:tcW w:w="5965" w:type="dxa"/>
                </w:tcPr>
                <w:p w:rsidR="00946D49" w:rsidRPr="00310456" w:rsidRDefault="003E4324" w:rsidP="005E469D">
                  <w:pPr>
                    <w:pStyle w:val="BodyText"/>
                    <w:keepNext/>
                    <w:keepLines/>
                    <w:jc w:val="center"/>
                    <w:rPr>
                      <w:rFonts w:asciiTheme="minorHAnsi" w:hAnsiTheme="minorHAnsi" w:cstheme="minorHAnsi"/>
                      <w:szCs w:val="18"/>
                      <w:lang w:val="pt-PT"/>
                    </w:rPr>
                  </w:pPr>
                  <w:r w:rsidRPr="00310456">
                    <w:rPr>
                      <w:rFonts w:asciiTheme="minorHAnsi" w:hAnsiTheme="minorHAnsi" w:cstheme="minorHAnsi"/>
                      <w:noProof/>
                      <w:szCs w:val="18"/>
                    </w:rPr>
                    <w:drawing>
                      <wp:inline distT="0" distB="0" distL="0" distR="0" wp14:anchorId="6DAE52F4" wp14:editId="53B15CA4">
                        <wp:extent cx="3079630" cy="1733911"/>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9630" cy="1733911"/>
                                </a:xfrm>
                                <a:prstGeom prst="rect">
                                  <a:avLst/>
                                </a:prstGeom>
                                <a:noFill/>
                              </pic:spPr>
                            </pic:pic>
                          </a:graphicData>
                        </a:graphic>
                      </wp:inline>
                    </w:drawing>
                  </w:r>
                </w:p>
              </w:tc>
            </w:tr>
            <w:tr w:rsidR="003E4324" w:rsidRPr="00310456" w:rsidTr="006C0F58">
              <w:trPr>
                <w:trHeight w:val="194"/>
              </w:trPr>
              <w:tc>
                <w:tcPr>
                  <w:tcW w:w="5965" w:type="dxa"/>
                </w:tcPr>
                <w:p w:rsidR="003E4324" w:rsidRPr="00310456" w:rsidRDefault="003E4324" w:rsidP="00092E10">
                  <w:pPr>
                    <w:pStyle w:val="BodyText"/>
                    <w:keepNext/>
                    <w:keepLines/>
                    <w:rPr>
                      <w:rFonts w:asciiTheme="minorHAnsi" w:hAnsiTheme="minorHAnsi" w:cstheme="minorHAnsi"/>
                      <w:noProof/>
                      <w:szCs w:val="18"/>
                      <w:lang w:val="pt-PT"/>
                    </w:rPr>
                  </w:pPr>
                </w:p>
              </w:tc>
            </w:tr>
            <w:tr w:rsidR="003E4324" w:rsidRPr="004E1715" w:rsidTr="006C0F58">
              <w:trPr>
                <w:trHeight w:val="193"/>
              </w:trPr>
              <w:tc>
                <w:tcPr>
                  <w:tcW w:w="5965" w:type="dxa"/>
                </w:tcPr>
                <w:p w:rsidR="003E4324" w:rsidRPr="00310456" w:rsidRDefault="003B14B7" w:rsidP="00D85578">
                  <w:pPr>
                    <w:pStyle w:val="quarterly-chart-notes"/>
                    <w:keepNext/>
                    <w:keepLines/>
                    <w:rPr>
                      <w:rFonts w:asciiTheme="minorHAnsi" w:hAnsiTheme="minorHAnsi" w:cstheme="minorHAnsi"/>
                      <w:b w:val="0"/>
                      <w:sz w:val="18"/>
                      <w:szCs w:val="18"/>
                      <w:lang w:val="pt-PT"/>
                    </w:rPr>
                  </w:pPr>
                  <w:r>
                    <w:rPr>
                      <w:rFonts w:asciiTheme="minorHAnsi" w:hAnsiTheme="minorHAnsi" w:cstheme="minorHAnsi"/>
                      <w:b w:val="0"/>
                      <w:sz w:val="18"/>
                      <w:szCs w:val="18"/>
                      <w:lang w:val="pt-PT"/>
                    </w:rPr>
                    <w:t>Fonte</w:t>
                  </w:r>
                  <w:r w:rsidR="003E4324" w:rsidRPr="00310456">
                    <w:rPr>
                      <w:rFonts w:asciiTheme="minorHAnsi" w:hAnsiTheme="minorHAnsi" w:cstheme="minorHAnsi"/>
                      <w:b w:val="0"/>
                      <w:sz w:val="18"/>
                      <w:szCs w:val="18"/>
                      <w:lang w:val="pt-PT"/>
                    </w:rPr>
                    <w:t xml:space="preserve">: </w:t>
                  </w:r>
                  <w:r w:rsidR="00D85578">
                    <w:rPr>
                      <w:rFonts w:asciiTheme="minorHAnsi" w:hAnsiTheme="minorHAnsi" w:cstheme="minorHAnsi"/>
                      <w:b w:val="0"/>
                      <w:sz w:val="18"/>
                      <w:szCs w:val="18"/>
                      <w:lang w:val="pt-PT"/>
                    </w:rPr>
                    <w:t xml:space="preserve">Banco Mundial, </w:t>
                  </w:r>
                  <w:r w:rsidR="003E4324" w:rsidRPr="00310456">
                    <w:rPr>
                      <w:rFonts w:asciiTheme="minorHAnsi" w:hAnsiTheme="minorHAnsi" w:cstheme="minorHAnsi"/>
                      <w:b w:val="0"/>
                      <w:sz w:val="18"/>
                      <w:szCs w:val="18"/>
                      <w:lang w:val="pt-PT"/>
                    </w:rPr>
                    <w:t xml:space="preserve">WDI </w:t>
                  </w:r>
                  <w:r w:rsidR="00D85578">
                    <w:rPr>
                      <w:rFonts w:asciiTheme="minorHAnsi" w:hAnsiTheme="minorHAnsi" w:cstheme="minorHAnsi"/>
                      <w:b w:val="0"/>
                      <w:sz w:val="18"/>
                      <w:szCs w:val="18"/>
                      <w:lang w:val="pt-PT"/>
                    </w:rPr>
                    <w:t>e base de dados WEO do FMI</w:t>
                  </w:r>
                </w:p>
              </w:tc>
            </w:tr>
          </w:tbl>
          <w:p w:rsidR="003E4324" w:rsidRPr="00946D49" w:rsidRDefault="003E4324" w:rsidP="003E4324">
            <w:pPr>
              <w:widowControl w:val="0"/>
              <w:rPr>
                <w:rFonts w:asciiTheme="minorHAnsi" w:hAnsiTheme="minorHAnsi" w:cs="Garamond"/>
                <w:color w:val="000000"/>
                <w:sz w:val="18"/>
                <w:szCs w:val="18"/>
                <w:lang w:val="pt-PT"/>
              </w:rPr>
            </w:pPr>
            <w:r w:rsidRPr="00310456">
              <w:rPr>
                <w:rFonts w:asciiTheme="minorHAnsi" w:hAnsiTheme="minorHAnsi" w:cs="Garamond"/>
                <w:color w:val="000000"/>
                <w:sz w:val="18"/>
                <w:szCs w:val="18"/>
                <w:lang w:val="pt-PT"/>
              </w:rPr>
              <w:t>N</w:t>
            </w:r>
            <w:r w:rsidR="007440C0">
              <w:rPr>
                <w:rFonts w:asciiTheme="minorHAnsi" w:hAnsiTheme="minorHAnsi" w:cs="Garamond"/>
                <w:color w:val="000000"/>
                <w:sz w:val="18"/>
                <w:szCs w:val="18"/>
                <w:lang w:val="pt-PT"/>
              </w:rPr>
              <w:t xml:space="preserve">o entanto, o crescimento global está a recuperar em virtude da retoma nas economias de alto </w:t>
            </w:r>
            <w:r w:rsidR="00A60418">
              <w:rPr>
                <w:rFonts w:asciiTheme="minorHAnsi" w:hAnsiTheme="minorHAnsi" w:cs="Garamond"/>
                <w:color w:val="000000"/>
                <w:sz w:val="18"/>
                <w:szCs w:val="18"/>
                <w:lang w:val="pt-PT"/>
              </w:rPr>
              <w:t xml:space="preserve">rendimento. </w:t>
            </w:r>
            <w:r w:rsidR="007440C0">
              <w:rPr>
                <w:rFonts w:asciiTheme="minorHAnsi" w:hAnsiTheme="minorHAnsi" w:cs="Garamond"/>
                <w:b w:val="0"/>
                <w:color w:val="000000"/>
                <w:sz w:val="18"/>
                <w:szCs w:val="18"/>
                <w:lang w:val="pt-PT"/>
              </w:rPr>
              <w:t xml:space="preserve">A retoma </w:t>
            </w:r>
            <w:r w:rsidR="00A60418">
              <w:rPr>
                <w:rFonts w:asciiTheme="minorHAnsi" w:hAnsiTheme="minorHAnsi" w:cs="Garamond"/>
                <w:b w:val="0"/>
                <w:color w:val="000000"/>
                <w:sz w:val="18"/>
                <w:szCs w:val="18"/>
                <w:lang w:val="pt-PT"/>
              </w:rPr>
              <w:t>é mais forte nos EUA ap</w:t>
            </w:r>
            <w:r w:rsidR="007440C0">
              <w:rPr>
                <w:rFonts w:asciiTheme="minorHAnsi" w:hAnsiTheme="minorHAnsi" w:cs="Garamond"/>
                <w:b w:val="0"/>
                <w:color w:val="000000"/>
                <w:sz w:val="18"/>
                <w:szCs w:val="18"/>
                <w:lang w:val="pt-PT"/>
              </w:rPr>
              <w:t xml:space="preserve">esar de um recente abrandamento que se deve </w:t>
            </w:r>
            <w:r w:rsidR="002B032B">
              <w:rPr>
                <w:rFonts w:asciiTheme="minorHAnsi" w:hAnsiTheme="minorHAnsi" w:cs="Garamond"/>
                <w:b w:val="0"/>
                <w:color w:val="000000"/>
                <w:sz w:val="18"/>
                <w:szCs w:val="18"/>
                <w:lang w:val="pt-PT"/>
              </w:rPr>
              <w:t xml:space="preserve">a temperaturas </w:t>
            </w:r>
            <w:r w:rsidR="007440C0">
              <w:rPr>
                <w:rFonts w:asciiTheme="minorHAnsi" w:hAnsiTheme="minorHAnsi" w:cs="Garamond"/>
                <w:b w:val="0"/>
                <w:color w:val="000000"/>
                <w:sz w:val="18"/>
                <w:szCs w:val="18"/>
                <w:lang w:val="pt-PT"/>
              </w:rPr>
              <w:t>extremamente fri</w:t>
            </w:r>
            <w:r w:rsidR="002B032B">
              <w:rPr>
                <w:rFonts w:asciiTheme="minorHAnsi" w:hAnsiTheme="minorHAnsi" w:cs="Garamond"/>
                <w:b w:val="0"/>
                <w:color w:val="000000"/>
                <w:sz w:val="18"/>
                <w:szCs w:val="18"/>
                <w:lang w:val="pt-PT"/>
              </w:rPr>
              <w:t>as, que pesaram</w:t>
            </w:r>
            <w:r w:rsidR="007440C0">
              <w:rPr>
                <w:rFonts w:asciiTheme="minorHAnsi" w:hAnsiTheme="minorHAnsi" w:cs="Garamond"/>
                <w:b w:val="0"/>
                <w:color w:val="000000"/>
                <w:sz w:val="18"/>
                <w:szCs w:val="18"/>
                <w:lang w:val="pt-PT"/>
              </w:rPr>
              <w:t xml:space="preserve"> nas despesas familiares, </w:t>
            </w:r>
            <w:r w:rsidR="00A60418">
              <w:rPr>
                <w:rFonts w:asciiTheme="minorHAnsi" w:hAnsiTheme="minorHAnsi" w:cs="Garamond"/>
                <w:b w:val="0"/>
                <w:color w:val="000000"/>
                <w:sz w:val="18"/>
                <w:szCs w:val="18"/>
                <w:lang w:val="pt-PT"/>
              </w:rPr>
              <w:t xml:space="preserve">na </w:t>
            </w:r>
            <w:r w:rsidR="007440C0">
              <w:rPr>
                <w:rFonts w:asciiTheme="minorHAnsi" w:hAnsiTheme="minorHAnsi" w:cs="Garamond"/>
                <w:b w:val="0"/>
                <w:color w:val="000000"/>
                <w:sz w:val="18"/>
                <w:szCs w:val="18"/>
                <w:lang w:val="pt-PT"/>
              </w:rPr>
              <w:t xml:space="preserve">actividade empresarial e </w:t>
            </w:r>
            <w:r w:rsidR="00A60418">
              <w:rPr>
                <w:rFonts w:asciiTheme="minorHAnsi" w:hAnsiTheme="minorHAnsi" w:cs="Garamond"/>
                <w:b w:val="0"/>
                <w:color w:val="000000"/>
                <w:sz w:val="18"/>
                <w:szCs w:val="18"/>
                <w:lang w:val="pt-PT"/>
              </w:rPr>
              <w:t xml:space="preserve">na </w:t>
            </w:r>
            <w:r w:rsidR="007440C0">
              <w:rPr>
                <w:rFonts w:asciiTheme="minorHAnsi" w:hAnsiTheme="minorHAnsi" w:cs="Garamond"/>
                <w:b w:val="0"/>
                <w:color w:val="000000"/>
                <w:sz w:val="18"/>
                <w:szCs w:val="18"/>
                <w:lang w:val="pt-PT"/>
              </w:rPr>
              <w:t>criação de emprego, tendo</w:t>
            </w:r>
            <w:r w:rsidR="00A60418">
              <w:rPr>
                <w:rFonts w:asciiTheme="minorHAnsi" w:hAnsiTheme="minorHAnsi" w:cs="Garamond"/>
                <w:b w:val="0"/>
                <w:color w:val="000000"/>
                <w:sz w:val="18"/>
                <w:szCs w:val="18"/>
                <w:lang w:val="pt-PT"/>
              </w:rPr>
              <w:t>-se</w:t>
            </w:r>
            <w:r w:rsidR="007440C0">
              <w:rPr>
                <w:rFonts w:asciiTheme="minorHAnsi" w:hAnsiTheme="minorHAnsi" w:cs="Garamond"/>
                <w:b w:val="0"/>
                <w:color w:val="000000"/>
                <w:sz w:val="18"/>
                <w:szCs w:val="18"/>
                <w:lang w:val="pt-PT"/>
              </w:rPr>
              <w:t xml:space="preserve"> registado em Janeiro, e pela primeira vez em vários meses, uma contracção quer na produção industrial</w:t>
            </w:r>
            <w:r w:rsidR="00216950">
              <w:rPr>
                <w:rFonts w:asciiTheme="minorHAnsi" w:hAnsiTheme="minorHAnsi" w:cs="Garamond"/>
                <w:b w:val="0"/>
                <w:color w:val="000000"/>
                <w:sz w:val="18"/>
                <w:szCs w:val="18"/>
                <w:lang w:val="pt-PT"/>
              </w:rPr>
              <w:t>,</w:t>
            </w:r>
            <w:r w:rsidR="007440C0">
              <w:rPr>
                <w:rFonts w:asciiTheme="minorHAnsi" w:hAnsiTheme="minorHAnsi" w:cs="Garamond"/>
                <w:b w:val="0"/>
                <w:color w:val="000000"/>
                <w:sz w:val="18"/>
                <w:szCs w:val="18"/>
                <w:lang w:val="pt-PT"/>
              </w:rPr>
              <w:t xml:space="preserve"> quer nas vendas a retalho</w:t>
            </w:r>
            <w:r w:rsidR="00A60418">
              <w:rPr>
                <w:rFonts w:asciiTheme="minorHAnsi" w:hAnsiTheme="minorHAnsi" w:cs="Garamond"/>
                <w:b w:val="0"/>
                <w:color w:val="000000"/>
                <w:sz w:val="18"/>
                <w:szCs w:val="18"/>
                <w:lang w:val="pt-PT"/>
              </w:rPr>
              <w:t xml:space="preserve">. Contudo, o </w:t>
            </w:r>
            <w:r w:rsidR="00D82564">
              <w:rPr>
                <w:rFonts w:asciiTheme="minorHAnsi" w:hAnsiTheme="minorHAnsi" w:cs="Garamond"/>
                <w:b w:val="0"/>
                <w:color w:val="000000"/>
                <w:sz w:val="18"/>
                <w:szCs w:val="18"/>
                <w:lang w:val="pt-PT"/>
              </w:rPr>
              <w:t>impulso</w:t>
            </w:r>
            <w:r w:rsidR="00A60418">
              <w:rPr>
                <w:rFonts w:asciiTheme="minorHAnsi" w:hAnsiTheme="minorHAnsi" w:cs="Garamond"/>
                <w:b w:val="0"/>
                <w:color w:val="000000"/>
                <w:sz w:val="18"/>
                <w:szCs w:val="18"/>
                <w:lang w:val="pt-PT"/>
              </w:rPr>
              <w:t xml:space="preserve"> subjacente permanece </w:t>
            </w:r>
            <w:r w:rsidR="00D85578">
              <w:rPr>
                <w:rFonts w:asciiTheme="minorHAnsi" w:hAnsiTheme="minorHAnsi" w:cs="Garamond"/>
                <w:b w:val="0"/>
                <w:color w:val="000000"/>
                <w:sz w:val="18"/>
                <w:szCs w:val="18"/>
                <w:lang w:val="pt-PT"/>
              </w:rPr>
              <w:t xml:space="preserve">sólido. </w:t>
            </w:r>
            <w:r w:rsidR="00D82564">
              <w:rPr>
                <w:rFonts w:asciiTheme="minorHAnsi" w:hAnsiTheme="minorHAnsi" w:cs="Garamond"/>
                <w:b w:val="0"/>
                <w:color w:val="000000"/>
                <w:sz w:val="18"/>
                <w:szCs w:val="18"/>
                <w:lang w:val="pt-PT"/>
              </w:rPr>
              <w:t>O crescimento do PIB na Zona Euro acelerou para 1,1 no 4º Trimestre, o dobro do valor verificado no T3, apoiado pelas exportações. As vendas a retalho e as encomendas às fábricas em Fevereiro</w:t>
            </w:r>
            <w:r w:rsidR="00935883">
              <w:rPr>
                <w:rFonts w:asciiTheme="minorHAnsi" w:hAnsiTheme="minorHAnsi" w:cs="Garamond"/>
                <w:b w:val="0"/>
                <w:color w:val="000000"/>
                <w:sz w:val="18"/>
                <w:szCs w:val="18"/>
                <w:lang w:val="pt-PT"/>
              </w:rPr>
              <w:t xml:space="preserve"> indicam que a confiança dos consumidores e dos investidores continuou a melhorar.</w:t>
            </w:r>
            <w:r w:rsidRPr="00310456">
              <w:rPr>
                <w:rFonts w:asciiTheme="minorHAnsi" w:hAnsiTheme="minorHAnsi" w:cs="Garamond"/>
                <w:b w:val="0"/>
                <w:color w:val="000000"/>
                <w:sz w:val="18"/>
                <w:szCs w:val="18"/>
                <w:lang w:val="pt-PT"/>
              </w:rPr>
              <w:t xml:space="preserve"> </w:t>
            </w:r>
            <w:r w:rsidR="00216950">
              <w:rPr>
                <w:rFonts w:asciiTheme="minorHAnsi" w:hAnsiTheme="minorHAnsi" w:cs="Garamond"/>
                <w:b w:val="0"/>
                <w:color w:val="000000"/>
                <w:sz w:val="18"/>
                <w:szCs w:val="18"/>
                <w:lang w:val="pt-PT"/>
              </w:rPr>
              <w:t xml:space="preserve">O </w:t>
            </w:r>
            <w:r w:rsidR="00935883">
              <w:rPr>
                <w:rFonts w:asciiTheme="minorHAnsi" w:hAnsiTheme="minorHAnsi" w:cs="Garamond"/>
                <w:b w:val="0"/>
                <w:color w:val="000000"/>
                <w:sz w:val="18"/>
                <w:szCs w:val="18"/>
                <w:lang w:val="pt-PT"/>
              </w:rPr>
              <w:t>crescimento está, contudo, bastante abaixo d</w:t>
            </w:r>
            <w:r w:rsidR="00216950">
              <w:rPr>
                <w:rFonts w:asciiTheme="minorHAnsi" w:hAnsiTheme="minorHAnsi" w:cs="Garamond"/>
                <w:b w:val="0"/>
                <w:color w:val="000000"/>
                <w:sz w:val="18"/>
                <w:szCs w:val="18"/>
                <w:lang w:val="pt-PT"/>
              </w:rPr>
              <w:t xml:space="preserve">a taxa necessária para baixar as elevadas taxas de desemprego e  queda contínua da inflação </w:t>
            </w:r>
            <w:r w:rsidR="000A6343">
              <w:rPr>
                <w:rFonts w:asciiTheme="minorHAnsi" w:hAnsiTheme="minorHAnsi" w:cs="Garamond"/>
                <w:b w:val="0"/>
                <w:color w:val="000000"/>
                <w:sz w:val="18"/>
                <w:szCs w:val="18"/>
                <w:lang w:val="pt-PT"/>
              </w:rPr>
              <w:t>est</w:t>
            </w:r>
            <w:r w:rsidR="00216950">
              <w:rPr>
                <w:rFonts w:asciiTheme="minorHAnsi" w:hAnsiTheme="minorHAnsi" w:cs="Garamond"/>
                <w:b w:val="0"/>
                <w:color w:val="000000"/>
                <w:sz w:val="18"/>
                <w:szCs w:val="18"/>
                <w:lang w:val="pt-PT"/>
              </w:rPr>
              <w:t>á</w:t>
            </w:r>
            <w:r w:rsidR="008D1FFF">
              <w:rPr>
                <w:rFonts w:asciiTheme="minorHAnsi" w:hAnsiTheme="minorHAnsi" w:cs="Garamond"/>
                <w:b w:val="0"/>
                <w:color w:val="000000"/>
                <w:sz w:val="18"/>
                <w:szCs w:val="18"/>
                <w:lang w:val="pt-PT"/>
              </w:rPr>
              <w:t xml:space="preserve"> a </w:t>
            </w:r>
            <w:r w:rsidR="00216950">
              <w:rPr>
                <w:rFonts w:asciiTheme="minorHAnsi" w:hAnsiTheme="minorHAnsi" w:cs="Garamond"/>
                <w:b w:val="0"/>
                <w:color w:val="000000"/>
                <w:sz w:val="18"/>
                <w:szCs w:val="18"/>
                <w:lang w:val="pt-PT"/>
              </w:rPr>
              <w:t xml:space="preserve">levantar preocupações de </w:t>
            </w:r>
            <w:r w:rsidR="000A6343">
              <w:rPr>
                <w:rFonts w:asciiTheme="minorHAnsi" w:hAnsiTheme="minorHAnsi" w:cs="Garamond"/>
                <w:b w:val="0"/>
                <w:color w:val="000000"/>
                <w:sz w:val="18"/>
                <w:szCs w:val="18"/>
                <w:lang w:val="pt-PT"/>
              </w:rPr>
              <w:t xml:space="preserve">deflação, </w:t>
            </w:r>
            <w:r w:rsidR="00216950">
              <w:rPr>
                <w:rFonts w:asciiTheme="minorHAnsi" w:hAnsiTheme="minorHAnsi" w:cs="Garamond"/>
                <w:b w:val="0"/>
                <w:color w:val="000000"/>
                <w:sz w:val="18"/>
                <w:szCs w:val="18"/>
                <w:lang w:val="pt-PT"/>
              </w:rPr>
              <w:t xml:space="preserve">factor que </w:t>
            </w:r>
            <w:r w:rsidR="008D1FFF">
              <w:rPr>
                <w:rFonts w:asciiTheme="minorHAnsi" w:hAnsiTheme="minorHAnsi" w:cs="Garamond"/>
                <w:b w:val="0"/>
                <w:color w:val="000000"/>
                <w:sz w:val="18"/>
                <w:szCs w:val="18"/>
                <w:lang w:val="pt-PT"/>
              </w:rPr>
              <w:t>p</w:t>
            </w:r>
            <w:r w:rsidR="000A6343">
              <w:rPr>
                <w:rFonts w:asciiTheme="minorHAnsi" w:hAnsiTheme="minorHAnsi" w:cs="Garamond"/>
                <w:b w:val="0"/>
                <w:color w:val="000000"/>
                <w:sz w:val="18"/>
                <w:szCs w:val="18"/>
                <w:lang w:val="pt-PT"/>
              </w:rPr>
              <w:t>od</w:t>
            </w:r>
            <w:r w:rsidR="00216950">
              <w:rPr>
                <w:rFonts w:asciiTheme="minorHAnsi" w:hAnsiTheme="minorHAnsi" w:cs="Garamond"/>
                <w:b w:val="0"/>
                <w:color w:val="000000"/>
                <w:sz w:val="18"/>
                <w:szCs w:val="18"/>
                <w:lang w:val="pt-PT"/>
              </w:rPr>
              <w:t>er</w:t>
            </w:r>
            <w:r w:rsidR="000A6343">
              <w:rPr>
                <w:rFonts w:asciiTheme="minorHAnsi" w:hAnsiTheme="minorHAnsi" w:cs="Garamond"/>
                <w:b w:val="0"/>
                <w:color w:val="000000"/>
                <w:sz w:val="18"/>
                <w:szCs w:val="18"/>
                <w:lang w:val="pt-PT"/>
              </w:rPr>
              <w:t xml:space="preserve">ia exacerbar </w:t>
            </w:r>
            <w:r w:rsidR="00A278C1">
              <w:rPr>
                <w:rFonts w:asciiTheme="minorHAnsi" w:hAnsiTheme="minorHAnsi" w:cs="Garamond"/>
                <w:b w:val="0"/>
                <w:color w:val="000000"/>
                <w:sz w:val="18"/>
                <w:szCs w:val="18"/>
                <w:lang w:val="pt-PT"/>
              </w:rPr>
              <w:t>o excesso d</w:t>
            </w:r>
            <w:r w:rsidR="00216950">
              <w:rPr>
                <w:rFonts w:asciiTheme="minorHAnsi" w:hAnsiTheme="minorHAnsi" w:cs="Garamond"/>
                <w:b w:val="0"/>
                <w:color w:val="000000"/>
                <w:sz w:val="18"/>
                <w:szCs w:val="18"/>
                <w:lang w:val="pt-PT"/>
              </w:rPr>
              <w:t>e</w:t>
            </w:r>
            <w:r w:rsidR="00A278C1">
              <w:rPr>
                <w:rFonts w:asciiTheme="minorHAnsi" w:hAnsiTheme="minorHAnsi" w:cs="Garamond"/>
                <w:b w:val="0"/>
                <w:color w:val="000000"/>
                <w:sz w:val="18"/>
                <w:szCs w:val="18"/>
                <w:lang w:val="pt-PT"/>
              </w:rPr>
              <w:t xml:space="preserve"> dívida e o enfraquecimento da </w:t>
            </w:r>
            <w:r w:rsidR="00C42321">
              <w:rPr>
                <w:rFonts w:asciiTheme="minorHAnsi" w:hAnsiTheme="minorHAnsi" w:cs="Garamond"/>
                <w:b w:val="0"/>
                <w:color w:val="000000"/>
                <w:sz w:val="18"/>
                <w:szCs w:val="18"/>
                <w:lang w:val="pt-PT"/>
              </w:rPr>
              <w:t xml:space="preserve">procura. </w:t>
            </w:r>
            <w:r w:rsidR="008D1FFF">
              <w:rPr>
                <w:rFonts w:asciiTheme="minorHAnsi" w:hAnsiTheme="minorHAnsi" w:cs="Garamond"/>
                <w:b w:val="0"/>
                <w:color w:val="000000"/>
                <w:sz w:val="18"/>
                <w:szCs w:val="18"/>
                <w:lang w:val="pt-PT"/>
              </w:rPr>
              <w:t xml:space="preserve">No Japão, o crescimento do PIB </w:t>
            </w:r>
            <w:r w:rsidR="008D1FFF">
              <w:rPr>
                <w:rFonts w:asciiTheme="minorHAnsi" w:hAnsiTheme="minorHAnsi" w:cs="Garamond"/>
                <w:b w:val="0"/>
                <w:color w:val="000000"/>
                <w:sz w:val="18"/>
                <w:szCs w:val="18"/>
                <w:lang w:val="pt-PT"/>
              </w:rPr>
              <w:lastRenderedPageBreak/>
              <w:t>estagnou em 1% no</w:t>
            </w:r>
            <w:r w:rsidR="008D1FFF" w:rsidRPr="00FD72B9">
              <w:rPr>
                <w:rFonts w:asciiTheme="minorHAnsi" w:hAnsiTheme="minorHAnsi" w:cs="Garamond"/>
                <w:b w:val="0"/>
                <w:color w:val="000000"/>
                <w:sz w:val="18"/>
                <w:szCs w:val="18"/>
                <w:lang w:val="pt-PT"/>
              </w:rPr>
              <w:t xml:space="preserve"> T4</w:t>
            </w:r>
            <w:r w:rsidR="008D1FFF">
              <w:rPr>
                <w:rFonts w:asciiTheme="minorHAnsi" w:hAnsiTheme="minorHAnsi" w:cs="Garamond"/>
                <w:b w:val="0"/>
                <w:color w:val="000000"/>
                <w:sz w:val="18"/>
                <w:szCs w:val="18"/>
                <w:lang w:val="pt-PT"/>
              </w:rPr>
              <w:t xml:space="preserve">, o que se deve principalmente a </w:t>
            </w:r>
            <w:r w:rsidR="00DC187D">
              <w:rPr>
                <w:rFonts w:asciiTheme="minorHAnsi" w:hAnsiTheme="minorHAnsi" w:cs="Garamond"/>
                <w:b w:val="0"/>
                <w:color w:val="000000"/>
                <w:sz w:val="18"/>
                <w:szCs w:val="18"/>
                <w:lang w:val="pt-PT"/>
              </w:rPr>
              <w:t xml:space="preserve">uma redução das exportações líquidas; mas o crescimento da produção industrial recuperou </w:t>
            </w:r>
            <w:r w:rsidR="001845EA">
              <w:rPr>
                <w:rFonts w:asciiTheme="minorHAnsi" w:hAnsiTheme="minorHAnsi" w:cs="Garamond"/>
                <w:b w:val="0"/>
                <w:color w:val="000000"/>
                <w:sz w:val="18"/>
                <w:szCs w:val="18"/>
                <w:lang w:val="pt-PT"/>
              </w:rPr>
              <w:t>fortemente em Janeiro e Fevereiro, reflectindo a procura robusta. Contudo, a recuperação cíclica pod</w:t>
            </w:r>
            <w:r w:rsidR="00216950">
              <w:rPr>
                <w:rFonts w:asciiTheme="minorHAnsi" w:hAnsiTheme="minorHAnsi" w:cs="Garamond"/>
                <w:b w:val="0"/>
                <w:color w:val="000000"/>
                <w:sz w:val="18"/>
                <w:szCs w:val="18"/>
                <w:lang w:val="pt-PT"/>
              </w:rPr>
              <w:t>er</w:t>
            </w:r>
            <w:r w:rsidR="001845EA">
              <w:rPr>
                <w:rFonts w:asciiTheme="minorHAnsi" w:hAnsiTheme="minorHAnsi" w:cs="Garamond"/>
                <w:b w:val="0"/>
                <w:color w:val="000000"/>
                <w:sz w:val="18"/>
                <w:szCs w:val="18"/>
                <w:lang w:val="pt-PT"/>
              </w:rPr>
              <w:t xml:space="preserve">ia ser </w:t>
            </w:r>
            <w:r w:rsidR="00216950">
              <w:rPr>
                <w:rFonts w:asciiTheme="minorHAnsi" w:hAnsiTheme="minorHAnsi" w:cs="Garamond"/>
                <w:b w:val="0"/>
                <w:color w:val="000000"/>
                <w:sz w:val="18"/>
                <w:szCs w:val="18"/>
                <w:lang w:val="pt-PT"/>
              </w:rPr>
              <w:t xml:space="preserve">mais </w:t>
            </w:r>
            <w:r w:rsidR="00FD72B9">
              <w:rPr>
                <w:rFonts w:asciiTheme="minorHAnsi" w:hAnsiTheme="minorHAnsi" w:cs="Garamond"/>
                <w:b w:val="0"/>
                <w:color w:val="000000"/>
                <w:sz w:val="18"/>
                <w:szCs w:val="18"/>
                <w:lang w:val="pt-PT"/>
              </w:rPr>
              <w:t xml:space="preserve">difícil de sustentar face aos agravamentos fiscais decorrentes do aumento do IVA que ocorreram em 1 de Abril e ao ritmo lento das reformas estruturais. </w:t>
            </w:r>
          </w:p>
          <w:p w:rsidR="003E4324" w:rsidRPr="00946D49" w:rsidRDefault="003E4324" w:rsidP="003E4324">
            <w:pPr>
              <w:widowControl w:val="0"/>
              <w:rPr>
                <w:rFonts w:asciiTheme="minorHAnsi" w:hAnsiTheme="minorHAnsi" w:cs="Garamond"/>
                <w:color w:val="000000"/>
                <w:sz w:val="18"/>
                <w:szCs w:val="18"/>
                <w:lang w:val="pt-PT"/>
              </w:rPr>
            </w:pPr>
          </w:p>
          <w:p w:rsidR="00500503" w:rsidRDefault="00FD72B9" w:rsidP="003E4324">
            <w:pPr>
              <w:widowControl w:val="0"/>
              <w:rPr>
                <w:rFonts w:asciiTheme="minorHAnsi" w:hAnsiTheme="minorHAnsi" w:cs="Garamond"/>
                <w:b w:val="0"/>
                <w:color w:val="000000"/>
                <w:sz w:val="18"/>
                <w:szCs w:val="18"/>
                <w:lang w:val="pt-PT"/>
              </w:rPr>
            </w:pPr>
            <w:r>
              <w:rPr>
                <w:rFonts w:asciiTheme="minorHAnsi" w:hAnsiTheme="minorHAnsi" w:cs="Garamond"/>
                <w:color w:val="000000"/>
                <w:sz w:val="18"/>
                <w:szCs w:val="18"/>
                <w:lang w:val="pt-PT"/>
              </w:rPr>
              <w:t xml:space="preserve">Todos os índices de preços </w:t>
            </w:r>
            <w:r w:rsidR="00500503">
              <w:rPr>
                <w:rFonts w:asciiTheme="minorHAnsi" w:hAnsiTheme="minorHAnsi" w:cs="Garamond"/>
                <w:color w:val="000000"/>
                <w:sz w:val="18"/>
                <w:szCs w:val="18"/>
                <w:lang w:val="pt-PT"/>
              </w:rPr>
              <w:t>de matérias-primas, à excepção da energia, baixaram significativamente em 2013</w:t>
            </w:r>
            <w:r w:rsidR="003E4324" w:rsidRPr="00310456">
              <w:rPr>
                <w:rFonts w:asciiTheme="minorHAnsi" w:hAnsiTheme="minorHAnsi" w:cs="Garamond"/>
                <w:color w:val="000000"/>
                <w:sz w:val="18"/>
                <w:szCs w:val="18"/>
                <w:lang w:val="pt-PT"/>
              </w:rPr>
              <w:t xml:space="preserve">. </w:t>
            </w:r>
            <w:r w:rsidR="00500503">
              <w:rPr>
                <w:rFonts w:asciiTheme="minorHAnsi" w:hAnsiTheme="minorHAnsi" w:cs="Garamond"/>
                <w:b w:val="0"/>
                <w:color w:val="000000"/>
                <w:sz w:val="18"/>
                <w:szCs w:val="18"/>
                <w:lang w:val="pt-PT"/>
              </w:rPr>
              <w:t>De particular importância para Angola, o preço da maior parte dos produtos agrícolas continuou a cair: em especial, o índice do preço dos cereais baixou significativamente, reflectindo a queda-livre dos preços do milho e do arroz, de 36% e de 25% em apenas 9 meses (de Março a Dezembro de 2013). Dada a dependência de Angola de produtos agrícolas e alimentares importados, o declínio dos preços agrícolas ajud</w:t>
            </w:r>
            <w:r w:rsidR="00D6552C">
              <w:rPr>
                <w:rFonts w:asciiTheme="minorHAnsi" w:hAnsiTheme="minorHAnsi" w:cs="Garamond"/>
                <w:b w:val="0"/>
                <w:color w:val="000000"/>
                <w:sz w:val="18"/>
                <w:szCs w:val="18"/>
                <w:lang w:val="pt-PT"/>
              </w:rPr>
              <w:t>ou</w:t>
            </w:r>
            <w:r w:rsidR="00500503">
              <w:rPr>
                <w:rFonts w:asciiTheme="minorHAnsi" w:hAnsiTheme="minorHAnsi" w:cs="Garamond"/>
                <w:b w:val="0"/>
                <w:color w:val="000000"/>
                <w:sz w:val="18"/>
                <w:szCs w:val="18"/>
                <w:lang w:val="pt-PT"/>
              </w:rPr>
              <w:t xml:space="preserve"> a conter a inflação em Angola. Já os preços do crude, que se situaram numa média de USD 104/barril (bbl) durante 2013, inferior ao valor médio de USD 105/bbl em 2012, fruto </w:t>
            </w:r>
            <w:r w:rsidR="00D6552C">
              <w:rPr>
                <w:rFonts w:asciiTheme="minorHAnsi" w:hAnsiTheme="minorHAnsi" w:cs="Garamond"/>
                <w:b w:val="0"/>
                <w:color w:val="000000"/>
                <w:sz w:val="18"/>
                <w:szCs w:val="18"/>
                <w:lang w:val="pt-PT"/>
              </w:rPr>
              <w:t>também de uma rápida expansão da</w:t>
            </w:r>
            <w:r w:rsidR="00500503">
              <w:rPr>
                <w:rFonts w:asciiTheme="minorHAnsi" w:hAnsiTheme="minorHAnsi" w:cs="Garamond"/>
                <w:b w:val="0"/>
                <w:color w:val="000000"/>
                <w:sz w:val="18"/>
                <w:szCs w:val="18"/>
                <w:lang w:val="pt-PT"/>
              </w:rPr>
              <w:t xml:space="preserve"> produção de petróleo não convencional (como por exemplo o aumento do petróleo canadiano a partir de areias asfálticas) </w:t>
            </w:r>
            <w:r w:rsidR="003B14B7">
              <w:rPr>
                <w:rFonts w:asciiTheme="minorHAnsi" w:hAnsiTheme="minorHAnsi" w:cs="Garamond"/>
                <w:b w:val="0"/>
                <w:color w:val="000000"/>
                <w:sz w:val="18"/>
                <w:szCs w:val="18"/>
                <w:lang w:val="pt-PT"/>
              </w:rPr>
              <w:t>contribuíram para uma constituição de stocks numa altura em que o consumo petrolífero está a baixar nos EUA e os fornecedores de gás natural estão a aumentar rapidamente.</w:t>
            </w:r>
            <w:r w:rsidR="00500503">
              <w:rPr>
                <w:rFonts w:asciiTheme="minorHAnsi" w:hAnsiTheme="minorHAnsi" w:cs="Garamond"/>
                <w:b w:val="0"/>
                <w:color w:val="000000"/>
                <w:sz w:val="18"/>
                <w:szCs w:val="18"/>
                <w:lang w:val="pt-PT"/>
              </w:rPr>
              <w:t xml:space="preserve">  </w:t>
            </w:r>
          </w:p>
          <w:p w:rsidR="003E4324" w:rsidRPr="00310456" w:rsidRDefault="003E4324" w:rsidP="003E4324">
            <w:pPr>
              <w:keepNext/>
              <w:autoSpaceDE w:val="0"/>
              <w:autoSpaceDN w:val="0"/>
              <w:adjustRightInd w:val="0"/>
              <w:rPr>
                <w:rFonts w:asciiTheme="minorHAnsi" w:hAnsiTheme="minorHAnsi" w:cs="Garamond"/>
                <w:b w:val="0"/>
                <w:color w:val="000000"/>
                <w:sz w:val="18"/>
                <w:szCs w:val="18"/>
                <w:lang w:val="pt-PT"/>
              </w:rPr>
            </w:pPr>
          </w:p>
          <w:p w:rsidR="00FF34BC" w:rsidRPr="00310456" w:rsidRDefault="003B14B7" w:rsidP="003B14B7">
            <w:pPr>
              <w:keepNext/>
              <w:autoSpaceDE w:val="0"/>
              <w:autoSpaceDN w:val="0"/>
              <w:adjustRightInd w:val="0"/>
              <w:jc w:val="left"/>
              <w:rPr>
                <w:rFonts w:cs="Garamond"/>
                <w:b w:val="0"/>
                <w:color w:val="000000"/>
                <w:sz w:val="20"/>
                <w:szCs w:val="20"/>
                <w:lang w:val="pt-PT"/>
              </w:rPr>
            </w:pPr>
            <w:r>
              <w:rPr>
                <w:rFonts w:asciiTheme="minorHAnsi" w:hAnsiTheme="minorHAnsi" w:cs="Garamond"/>
                <w:b w:val="0"/>
                <w:color w:val="808080" w:themeColor="background1" w:themeShade="80"/>
                <w:sz w:val="18"/>
                <w:szCs w:val="18"/>
                <w:lang w:val="pt-PT"/>
              </w:rPr>
              <w:t xml:space="preserve">Fonte: </w:t>
            </w:r>
            <w:r w:rsidR="003E4324" w:rsidRPr="005E469D">
              <w:rPr>
                <w:rFonts w:asciiTheme="minorHAnsi" w:hAnsiTheme="minorHAnsi" w:cs="Garamond"/>
                <w:b w:val="0"/>
                <w:color w:val="808080" w:themeColor="background1" w:themeShade="80"/>
                <w:sz w:val="18"/>
                <w:szCs w:val="18"/>
                <w:lang w:val="pt-PT"/>
              </w:rPr>
              <w:t>World Bank Global Economic Prospect</w:t>
            </w:r>
            <w:r w:rsidR="003E4324" w:rsidRPr="00310456">
              <w:rPr>
                <w:rFonts w:asciiTheme="minorHAnsi" w:hAnsiTheme="minorHAnsi" w:cs="Garamond"/>
                <w:b w:val="0"/>
                <w:color w:val="808080" w:themeColor="background1" w:themeShade="80"/>
                <w:sz w:val="18"/>
                <w:szCs w:val="18"/>
                <w:lang w:val="pt-PT"/>
              </w:rPr>
              <w:t xml:space="preserve"> (</w:t>
            </w:r>
            <w:r w:rsidRPr="00310456">
              <w:rPr>
                <w:rFonts w:asciiTheme="minorHAnsi" w:hAnsiTheme="minorHAnsi" w:cs="Garamond"/>
                <w:b w:val="0"/>
                <w:color w:val="808080" w:themeColor="background1" w:themeShade="80"/>
                <w:sz w:val="18"/>
                <w:szCs w:val="18"/>
                <w:lang w:val="pt-PT"/>
              </w:rPr>
              <w:t>2014),</w:t>
            </w:r>
            <w:r w:rsidR="003E4324" w:rsidRPr="00310456">
              <w:rPr>
                <w:rFonts w:asciiTheme="minorHAnsi" w:hAnsiTheme="minorHAnsi" w:cs="Garamond"/>
                <w:b w:val="0"/>
                <w:color w:val="808080" w:themeColor="background1" w:themeShade="80"/>
                <w:sz w:val="18"/>
                <w:szCs w:val="18"/>
                <w:lang w:val="pt-PT"/>
              </w:rPr>
              <w:t xml:space="preserve"> </w:t>
            </w:r>
            <w:r>
              <w:rPr>
                <w:rFonts w:asciiTheme="minorHAnsi" w:hAnsiTheme="minorHAnsi" w:cs="Garamond"/>
                <w:b w:val="0"/>
                <w:color w:val="808080" w:themeColor="background1" w:themeShade="80"/>
                <w:sz w:val="18"/>
                <w:szCs w:val="18"/>
                <w:lang w:val="pt-PT"/>
              </w:rPr>
              <w:t>base de dados WEO do FMI e estimativas dos Funcionários do Banco Mundial</w:t>
            </w:r>
          </w:p>
        </w:tc>
      </w:tr>
    </w:tbl>
    <w:p w:rsidR="009F24C0" w:rsidRPr="003B14B7" w:rsidRDefault="009F24C0" w:rsidP="0085133C">
      <w:pPr>
        <w:pStyle w:val="ParagraphNumbering"/>
        <w:numPr>
          <w:ilvl w:val="0"/>
          <w:numId w:val="0"/>
        </w:numPr>
        <w:rPr>
          <w:lang w:val="pt-PT"/>
        </w:rPr>
      </w:pPr>
    </w:p>
    <w:p w:rsidR="009F24C0" w:rsidRPr="00037947" w:rsidRDefault="003B14B7" w:rsidP="0085133C">
      <w:pPr>
        <w:pStyle w:val="ParagraphNumbering"/>
        <w:rPr>
          <w:color w:val="000000"/>
          <w:lang w:val="pt-PT"/>
        </w:rPr>
      </w:pPr>
      <w:r>
        <w:rPr>
          <w:b/>
          <w:lang w:val="pt-PT"/>
        </w:rPr>
        <w:t>O crescimento do PIB não petrolífero está a acelerar graças à expansão do sector da electricidade e à retoma da agricultura</w:t>
      </w:r>
      <w:r w:rsidR="007E4034" w:rsidRPr="003B14B7">
        <w:rPr>
          <w:lang w:val="pt-PT"/>
        </w:rPr>
        <w:t xml:space="preserve">. </w:t>
      </w:r>
      <w:r>
        <w:rPr>
          <w:lang w:val="pt-PT"/>
        </w:rPr>
        <w:t>O crescimento da economia não petrolífera registou um</w:t>
      </w:r>
      <w:r w:rsidR="00D6552C">
        <w:rPr>
          <w:lang w:val="pt-PT"/>
        </w:rPr>
        <w:t>a subida</w:t>
      </w:r>
      <w:r>
        <w:rPr>
          <w:lang w:val="pt-PT"/>
        </w:rPr>
        <w:t xml:space="preserve"> durante 2012, tendo atingido 6,3% em 2013. A produção agrícola aumentou substancialmente, depois de um longo período de seca, embora tal pareça ser uma re</w:t>
      </w:r>
      <w:r w:rsidR="00D6552C">
        <w:rPr>
          <w:lang w:val="pt-PT"/>
        </w:rPr>
        <w:t>toma</w:t>
      </w:r>
      <w:r>
        <w:rPr>
          <w:lang w:val="pt-PT"/>
        </w:rPr>
        <w:t xml:space="preserve"> do sector que não traduz um aumento subjacente da produtividade agrícola. Estima-se, entretanto, que a produção de electricidade tenha aumentado em 22%. Esta expansão deverá produzir um impulso permanente na produção económica. A actividade de construção também cresceu, se bem que a um ritmo mais lento do que em 2012, uma vez que o investimento do sector público continuou abaixo do nível de 2012 (Figura 1, painel </w:t>
      </w:r>
      <w:r w:rsidRPr="00037947">
        <w:rPr>
          <w:lang w:val="pt-PT"/>
        </w:rPr>
        <w:t>esquerdo)</w:t>
      </w:r>
      <w:r w:rsidR="00BB432A" w:rsidRPr="00037947">
        <w:rPr>
          <w:lang w:val="pt-PT"/>
        </w:rPr>
        <w:t>.</w:t>
      </w:r>
    </w:p>
    <w:p w:rsidR="009F24C0" w:rsidRPr="00037947" w:rsidRDefault="009F24C0" w:rsidP="00FF34BC">
      <w:pPr>
        <w:pStyle w:val="ListParagraph"/>
        <w:ind w:left="0"/>
        <w:rPr>
          <w:b/>
          <w:lang w:val="pt-PT"/>
        </w:rPr>
      </w:pPr>
    </w:p>
    <w:p w:rsidR="00912D56" w:rsidRPr="00E27358" w:rsidRDefault="00037947" w:rsidP="0085133C">
      <w:pPr>
        <w:pStyle w:val="ParagraphNumbering"/>
        <w:rPr>
          <w:color w:val="000000"/>
          <w:lang w:val="pt-PT"/>
        </w:rPr>
      </w:pPr>
      <w:r>
        <w:rPr>
          <w:b/>
          <w:lang w:val="pt-PT"/>
        </w:rPr>
        <w:t>Do lado das despesas, o consumo</w:t>
      </w:r>
      <w:r w:rsidR="00E27358">
        <w:rPr>
          <w:b/>
          <w:lang w:val="pt-PT"/>
        </w:rPr>
        <w:t xml:space="preserve"> foi responsável pelo crescimento do PIB em </w:t>
      </w:r>
      <w:r w:rsidR="003A5571" w:rsidRPr="00037947">
        <w:rPr>
          <w:b/>
          <w:lang w:val="pt-PT"/>
        </w:rPr>
        <w:t xml:space="preserve">2013. </w:t>
      </w:r>
      <w:r w:rsidR="00E27358">
        <w:rPr>
          <w:lang w:val="pt-PT"/>
        </w:rPr>
        <w:t xml:space="preserve">O consumo privado aumentou rapidamente (16%), em linha com o forte desempenho do sector não petrolífero, enquanto o consumo público registou um aumento de 6% em termos reais. A taxa de crescimento real do investimento teve uma queda de 3,7%, contrastando com a taxa de crescimento média de 11,6% observada durante 2011-2012 e em consonância com o desempenho do sector petrolífero. Os resultados observados estão associados sobretudo com a variação do crescimento real do investimento público: o crescimento real dos investimentos públicos registou um aumento de 22,6% em 2012 e um decréscimo de 8,7% em 2013 </w:t>
      </w:r>
      <w:r w:rsidR="00B91071" w:rsidRPr="00037947">
        <w:rPr>
          <w:lang w:val="pt-PT"/>
        </w:rPr>
        <w:t>(</w:t>
      </w:r>
      <w:r w:rsidR="00946D49">
        <w:fldChar w:fldCharType="begin"/>
      </w:r>
      <w:r w:rsidR="00946D49" w:rsidRPr="005E469D">
        <w:rPr>
          <w:lang w:val="pt-PT"/>
        </w:rPr>
        <w:instrText xml:space="preserve"> REF _Ref384305278 \h  \* MERGEFORMAT </w:instrText>
      </w:r>
      <w:r w:rsidR="00946D49">
        <w:fldChar w:fldCharType="separate"/>
      </w:r>
      <w:r w:rsidR="004F553E" w:rsidRPr="004F553E">
        <w:rPr>
          <w:lang w:val="pt-PT"/>
        </w:rPr>
        <w:t>Figura 1</w:t>
      </w:r>
      <w:r w:rsidR="00946D49">
        <w:fldChar w:fldCharType="end"/>
      </w:r>
      <w:r w:rsidR="00B91071" w:rsidRPr="00037947">
        <w:rPr>
          <w:lang w:val="pt-PT"/>
        </w:rPr>
        <w:t xml:space="preserve">) </w:t>
      </w:r>
      <w:r w:rsidR="00D94206" w:rsidRPr="00037947">
        <w:rPr>
          <w:lang w:val="pt-PT"/>
        </w:rPr>
        <w:t xml:space="preserve">. </w:t>
      </w:r>
      <w:r w:rsidR="00E27358">
        <w:rPr>
          <w:lang w:val="pt-PT"/>
        </w:rPr>
        <w:t xml:space="preserve">Apesar do aumento significativo no consumo total, as taxas de poupança ultrapassaram as taxas de investimento, dando origem a um excedente da balança corrente (ver subsecção </w:t>
      </w:r>
      <w:r w:rsidR="00F33279" w:rsidRPr="00037947">
        <w:rPr>
          <w:lang w:val="pt-PT"/>
        </w:rPr>
        <w:t>“Balan</w:t>
      </w:r>
      <w:r w:rsidR="00E27358">
        <w:rPr>
          <w:lang w:val="pt-PT"/>
        </w:rPr>
        <w:t>ça de Pagamentos</w:t>
      </w:r>
      <w:r w:rsidR="00F33279" w:rsidRPr="00037947">
        <w:rPr>
          <w:lang w:val="pt-PT"/>
        </w:rPr>
        <w:t>”</w:t>
      </w:r>
      <w:r w:rsidR="00735CA6" w:rsidRPr="00037947">
        <w:rPr>
          <w:lang w:val="pt-PT"/>
        </w:rPr>
        <w:t xml:space="preserve">, </w:t>
      </w:r>
      <w:r w:rsidR="00E27358">
        <w:rPr>
          <w:lang w:val="pt-PT"/>
        </w:rPr>
        <w:t>abaixo</w:t>
      </w:r>
      <w:r w:rsidR="00116BB5" w:rsidRPr="00037947">
        <w:rPr>
          <w:lang w:val="pt-PT"/>
        </w:rPr>
        <w:t>)</w:t>
      </w:r>
      <w:r w:rsidR="00F33279" w:rsidRPr="00037947">
        <w:rPr>
          <w:lang w:val="pt-PT"/>
        </w:rPr>
        <w:t>.</w:t>
      </w:r>
    </w:p>
    <w:p w:rsidR="00E27358" w:rsidRDefault="00E27358" w:rsidP="00E27358">
      <w:pPr>
        <w:pStyle w:val="ListParagraph"/>
        <w:rPr>
          <w:color w:val="000000"/>
          <w:lang w:val="pt-PT"/>
        </w:rPr>
      </w:pPr>
    </w:p>
    <w:p w:rsidR="00E107F1" w:rsidRDefault="00E107F1" w:rsidP="0085133C">
      <w:pPr>
        <w:pStyle w:val="ParagraphNumbering"/>
        <w:numPr>
          <w:ilvl w:val="0"/>
          <w:numId w:val="0"/>
        </w:numPr>
        <w:rPr>
          <w:lang w:val="pt-PT"/>
        </w:rPr>
      </w:pPr>
    </w:p>
    <w:p w:rsidR="005E469D" w:rsidRDefault="005E469D" w:rsidP="0085133C">
      <w:pPr>
        <w:pStyle w:val="ParagraphNumbering"/>
        <w:numPr>
          <w:ilvl w:val="0"/>
          <w:numId w:val="0"/>
        </w:numPr>
        <w:rPr>
          <w:lang w:val="pt-PT"/>
        </w:rPr>
      </w:pPr>
    </w:p>
    <w:p w:rsidR="005E469D" w:rsidRDefault="005E469D" w:rsidP="0085133C">
      <w:pPr>
        <w:pStyle w:val="ParagraphNumbering"/>
        <w:numPr>
          <w:ilvl w:val="0"/>
          <w:numId w:val="0"/>
        </w:numPr>
        <w:rPr>
          <w:lang w:val="pt-PT"/>
        </w:rPr>
      </w:pPr>
    </w:p>
    <w:p w:rsidR="005E469D" w:rsidRDefault="005E469D" w:rsidP="0085133C">
      <w:pPr>
        <w:pStyle w:val="ParagraphNumbering"/>
        <w:numPr>
          <w:ilvl w:val="0"/>
          <w:numId w:val="0"/>
        </w:numPr>
        <w:rPr>
          <w:lang w:val="pt-PT"/>
        </w:rPr>
      </w:pPr>
    </w:p>
    <w:p w:rsidR="005E469D" w:rsidRDefault="005E469D" w:rsidP="0085133C">
      <w:pPr>
        <w:pStyle w:val="ParagraphNumbering"/>
        <w:numPr>
          <w:ilvl w:val="0"/>
          <w:numId w:val="0"/>
        </w:numPr>
        <w:rPr>
          <w:lang w:val="pt-PT"/>
        </w:rPr>
      </w:pPr>
    </w:p>
    <w:p w:rsidR="005E469D" w:rsidRDefault="005E469D" w:rsidP="0085133C">
      <w:pPr>
        <w:pStyle w:val="ParagraphNumbering"/>
        <w:numPr>
          <w:ilvl w:val="0"/>
          <w:numId w:val="0"/>
        </w:numPr>
        <w:rPr>
          <w:lang w:val="pt-PT"/>
        </w:rPr>
      </w:pPr>
    </w:p>
    <w:p w:rsidR="005E469D" w:rsidRDefault="005E469D" w:rsidP="0085133C">
      <w:pPr>
        <w:pStyle w:val="ParagraphNumbering"/>
        <w:numPr>
          <w:ilvl w:val="0"/>
          <w:numId w:val="0"/>
        </w:numPr>
        <w:rPr>
          <w:lang w:val="pt-PT"/>
        </w:rPr>
      </w:pPr>
    </w:p>
    <w:p w:rsidR="005E469D" w:rsidRDefault="005E469D" w:rsidP="0085133C">
      <w:pPr>
        <w:pStyle w:val="ParagraphNumbering"/>
        <w:numPr>
          <w:ilvl w:val="0"/>
          <w:numId w:val="0"/>
        </w:numPr>
        <w:rPr>
          <w:lang w:val="pt-PT"/>
        </w:rPr>
      </w:pPr>
    </w:p>
    <w:p w:rsidR="005E469D" w:rsidRDefault="005E469D" w:rsidP="0085133C">
      <w:pPr>
        <w:pStyle w:val="ParagraphNumbering"/>
        <w:numPr>
          <w:ilvl w:val="0"/>
          <w:numId w:val="0"/>
        </w:numPr>
        <w:rPr>
          <w:lang w:val="pt-PT"/>
        </w:rPr>
      </w:pPr>
    </w:p>
    <w:p w:rsidR="005E469D" w:rsidRDefault="005E469D" w:rsidP="0085133C">
      <w:pPr>
        <w:pStyle w:val="ParagraphNumbering"/>
        <w:numPr>
          <w:ilvl w:val="0"/>
          <w:numId w:val="0"/>
        </w:numPr>
        <w:rPr>
          <w:lang w:val="pt-PT"/>
        </w:rPr>
      </w:pPr>
    </w:p>
    <w:p w:rsidR="005E469D" w:rsidRDefault="005E469D" w:rsidP="0085133C">
      <w:pPr>
        <w:pStyle w:val="ParagraphNumbering"/>
        <w:numPr>
          <w:ilvl w:val="0"/>
          <w:numId w:val="0"/>
        </w:numPr>
        <w:rPr>
          <w:lang w:val="pt-PT"/>
        </w:rPr>
      </w:pPr>
    </w:p>
    <w:p w:rsidR="005E469D" w:rsidRDefault="005E469D" w:rsidP="0085133C">
      <w:pPr>
        <w:pStyle w:val="ParagraphNumbering"/>
        <w:numPr>
          <w:ilvl w:val="0"/>
          <w:numId w:val="0"/>
        </w:numPr>
        <w:rPr>
          <w:lang w:val="pt-PT"/>
        </w:rPr>
      </w:pPr>
    </w:p>
    <w:p w:rsidR="005E469D" w:rsidRDefault="005E469D" w:rsidP="0085133C">
      <w:pPr>
        <w:pStyle w:val="ParagraphNumbering"/>
        <w:numPr>
          <w:ilvl w:val="0"/>
          <w:numId w:val="0"/>
        </w:numPr>
        <w:rPr>
          <w:lang w:val="pt-PT"/>
        </w:rPr>
      </w:pPr>
    </w:p>
    <w:p w:rsidR="005E469D" w:rsidRPr="00037947" w:rsidRDefault="005E469D" w:rsidP="0085133C">
      <w:pPr>
        <w:pStyle w:val="ParagraphNumbering"/>
        <w:numPr>
          <w:ilvl w:val="0"/>
          <w:numId w:val="0"/>
        </w:numPr>
        <w:rPr>
          <w:lang w:val="pt-P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1"/>
        <w:gridCol w:w="4735"/>
      </w:tblGrid>
      <w:tr w:rsidR="00F5062A" w:rsidRPr="004E1715" w:rsidTr="009F24C0">
        <w:trPr>
          <w:trHeight w:val="449"/>
        </w:trPr>
        <w:tc>
          <w:tcPr>
            <w:tcW w:w="0" w:type="auto"/>
          </w:tcPr>
          <w:p w:rsidR="00A25767" w:rsidRPr="00037947" w:rsidRDefault="00A25767" w:rsidP="00E27358">
            <w:pPr>
              <w:pStyle w:val="Caption"/>
              <w:rPr>
                <w:lang w:val="pt-PT"/>
              </w:rPr>
            </w:pPr>
            <w:bookmarkStart w:id="34" w:name="_Ref384305278"/>
            <w:bookmarkStart w:id="35" w:name="_Toc384305309"/>
            <w:r w:rsidRPr="00037947">
              <w:rPr>
                <w:rFonts w:asciiTheme="minorHAnsi" w:eastAsia="Times New Roman" w:hAnsiTheme="minorHAnsi" w:cstheme="minorHAnsi"/>
                <w:bCs w:val="0"/>
                <w:color w:val="943634" w:themeColor="accent2" w:themeShade="BF"/>
                <w:kern w:val="28"/>
                <w:szCs w:val="20"/>
                <w:lang w:val="pt-PT"/>
              </w:rPr>
              <w:lastRenderedPageBreak/>
              <w:t>Figur</w:t>
            </w:r>
            <w:r w:rsidR="00E27358">
              <w:rPr>
                <w:rFonts w:asciiTheme="minorHAnsi" w:eastAsia="Times New Roman" w:hAnsiTheme="minorHAnsi" w:cstheme="minorHAnsi"/>
                <w:bCs w:val="0"/>
                <w:color w:val="943634" w:themeColor="accent2" w:themeShade="BF"/>
                <w:kern w:val="28"/>
                <w:szCs w:val="20"/>
                <w:lang w:val="pt-PT"/>
              </w:rPr>
              <w:t>a</w:t>
            </w:r>
            <w:r w:rsidR="00B91071" w:rsidRPr="00037947">
              <w:rPr>
                <w:rFonts w:asciiTheme="minorHAnsi" w:eastAsia="Times New Roman" w:hAnsiTheme="minorHAnsi" w:cstheme="minorHAnsi"/>
                <w:bCs w:val="0"/>
                <w:color w:val="943634" w:themeColor="accent2" w:themeShade="BF"/>
                <w:kern w:val="28"/>
                <w:szCs w:val="20"/>
                <w:lang w:val="pt-PT"/>
              </w:rPr>
              <w:t xml:space="preserve"> </w:t>
            </w:r>
            <w:r w:rsidR="00FB4E23" w:rsidRPr="00037947">
              <w:rPr>
                <w:rFonts w:asciiTheme="minorHAnsi" w:eastAsia="Times New Roman" w:hAnsiTheme="minorHAnsi" w:cstheme="minorHAnsi"/>
                <w:bCs w:val="0"/>
                <w:color w:val="943634" w:themeColor="accent2" w:themeShade="BF"/>
                <w:kern w:val="28"/>
                <w:szCs w:val="20"/>
                <w:lang w:val="pt-PT"/>
              </w:rPr>
              <w:fldChar w:fldCharType="begin"/>
            </w:r>
            <w:r w:rsidR="00B91071" w:rsidRPr="00037947">
              <w:rPr>
                <w:rFonts w:asciiTheme="minorHAnsi" w:eastAsia="Times New Roman" w:hAnsiTheme="minorHAnsi" w:cstheme="minorHAnsi"/>
                <w:bCs w:val="0"/>
                <w:color w:val="943634" w:themeColor="accent2" w:themeShade="BF"/>
                <w:kern w:val="28"/>
                <w:szCs w:val="20"/>
                <w:lang w:val="pt-PT"/>
              </w:rPr>
              <w:instrText xml:space="preserve"> SEQ Figure \* ARABIC </w:instrText>
            </w:r>
            <w:r w:rsidR="00FB4E23" w:rsidRPr="00037947">
              <w:rPr>
                <w:rFonts w:asciiTheme="minorHAnsi" w:eastAsia="Times New Roman" w:hAnsiTheme="minorHAnsi" w:cstheme="minorHAnsi"/>
                <w:bCs w:val="0"/>
                <w:color w:val="943634" w:themeColor="accent2" w:themeShade="BF"/>
                <w:kern w:val="28"/>
                <w:szCs w:val="20"/>
                <w:lang w:val="pt-PT"/>
              </w:rPr>
              <w:fldChar w:fldCharType="separate"/>
            </w:r>
            <w:r w:rsidR="004F553E">
              <w:rPr>
                <w:rFonts w:asciiTheme="minorHAnsi" w:eastAsia="Times New Roman" w:hAnsiTheme="minorHAnsi" w:cstheme="minorHAnsi"/>
                <w:bCs w:val="0"/>
                <w:noProof/>
                <w:color w:val="943634" w:themeColor="accent2" w:themeShade="BF"/>
                <w:kern w:val="28"/>
                <w:szCs w:val="20"/>
                <w:lang w:val="pt-PT"/>
              </w:rPr>
              <w:t>1</w:t>
            </w:r>
            <w:r w:rsidR="00FB4E23" w:rsidRPr="00037947">
              <w:rPr>
                <w:rFonts w:asciiTheme="minorHAnsi" w:eastAsia="Times New Roman" w:hAnsiTheme="minorHAnsi" w:cstheme="minorHAnsi"/>
                <w:bCs w:val="0"/>
                <w:color w:val="943634" w:themeColor="accent2" w:themeShade="BF"/>
                <w:kern w:val="28"/>
                <w:szCs w:val="20"/>
                <w:lang w:val="pt-PT"/>
              </w:rPr>
              <w:fldChar w:fldCharType="end"/>
            </w:r>
            <w:bookmarkEnd w:id="34"/>
            <w:r w:rsidR="00F5062A">
              <w:rPr>
                <w:rFonts w:asciiTheme="minorHAnsi" w:eastAsia="Times New Roman" w:hAnsiTheme="minorHAnsi" w:cstheme="minorHAnsi"/>
                <w:bCs w:val="0"/>
                <w:color w:val="943634" w:themeColor="accent2" w:themeShade="BF"/>
                <w:kern w:val="28"/>
                <w:szCs w:val="20"/>
                <w:lang w:val="pt-PT"/>
              </w:rPr>
              <w:t xml:space="preserve"> : O sector agrícola está a recuperar, influenciando positivamente o crescimento do PIB n</w:t>
            </w:r>
            <w:bookmarkEnd w:id="35"/>
            <w:r w:rsidR="00F5062A">
              <w:rPr>
                <w:rFonts w:asciiTheme="minorHAnsi" w:eastAsia="Times New Roman" w:hAnsiTheme="minorHAnsi" w:cstheme="minorHAnsi"/>
                <w:bCs w:val="0"/>
                <w:color w:val="943634" w:themeColor="accent2" w:themeShade="BF"/>
                <w:kern w:val="28"/>
                <w:szCs w:val="20"/>
                <w:lang w:val="pt-PT"/>
              </w:rPr>
              <w:t>ão petrolífero…</w:t>
            </w:r>
          </w:p>
        </w:tc>
        <w:tc>
          <w:tcPr>
            <w:tcW w:w="0" w:type="auto"/>
          </w:tcPr>
          <w:p w:rsidR="00A25767" w:rsidRPr="00037947" w:rsidRDefault="00A25767" w:rsidP="0085133C">
            <w:pPr>
              <w:pStyle w:val="ParagraphNumbering"/>
              <w:numPr>
                <w:ilvl w:val="0"/>
                <w:numId w:val="0"/>
              </w:numPr>
              <w:rPr>
                <w:rFonts w:cs="Times New Roman"/>
                <w:color w:val="000000"/>
                <w:szCs w:val="22"/>
                <w:lang w:val="pt-PT"/>
              </w:rPr>
            </w:pPr>
            <w:r w:rsidRPr="005E469D">
              <w:rPr>
                <w:rFonts w:asciiTheme="minorHAnsi" w:eastAsia="Times New Roman" w:hAnsiTheme="minorHAnsi" w:cstheme="minorHAnsi"/>
                <w:b/>
                <w:noProof w:val="0"/>
                <w:color w:val="943634" w:themeColor="accent2" w:themeShade="BF"/>
                <w:kern w:val="28"/>
                <w:sz w:val="18"/>
                <w:szCs w:val="20"/>
                <w:lang w:val="pt-PT"/>
              </w:rPr>
              <w:t xml:space="preserve">… </w:t>
            </w:r>
            <w:r w:rsidR="00F5062A" w:rsidRPr="005E469D">
              <w:rPr>
                <w:rFonts w:asciiTheme="minorHAnsi" w:eastAsia="Times New Roman" w:hAnsiTheme="minorHAnsi" w:cstheme="minorHAnsi"/>
                <w:b/>
                <w:noProof w:val="0"/>
                <w:color w:val="943634" w:themeColor="accent2" w:themeShade="BF"/>
                <w:kern w:val="28"/>
                <w:sz w:val="18"/>
                <w:szCs w:val="20"/>
                <w:lang w:val="pt-PT"/>
              </w:rPr>
              <w:t>e o consumo está a impulsionar o crescimento do PIB pelo lado da despesa</w:t>
            </w:r>
            <w:r w:rsidRPr="00037947">
              <w:rPr>
                <w:rFonts w:cs="Times New Roman"/>
                <w:color w:val="000000"/>
                <w:szCs w:val="22"/>
                <w:lang w:val="pt-PT"/>
              </w:rPr>
              <w:t xml:space="preserve"> </w:t>
            </w:r>
          </w:p>
        </w:tc>
      </w:tr>
      <w:tr w:rsidR="00F5062A" w:rsidTr="009F24C0">
        <w:trPr>
          <w:trHeight w:val="3449"/>
        </w:trPr>
        <w:tc>
          <w:tcPr>
            <w:tcW w:w="0" w:type="auto"/>
          </w:tcPr>
          <w:p w:rsidR="00A25767" w:rsidRPr="00A25767" w:rsidRDefault="00946D49" w:rsidP="0085133C">
            <w:pPr>
              <w:pStyle w:val="ParagraphNumbering"/>
              <w:numPr>
                <w:ilvl w:val="0"/>
                <w:numId w:val="0"/>
              </w:numPr>
            </w:pPr>
            <w:r>
              <w:drawing>
                <wp:inline distT="0" distB="0" distL="0" distR="0" wp14:anchorId="153715A4" wp14:editId="7D45F949">
                  <wp:extent cx="2311265" cy="21431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3821" cy="2145495"/>
                          </a:xfrm>
                          <a:prstGeom prst="rect">
                            <a:avLst/>
                          </a:prstGeom>
                          <a:noFill/>
                        </pic:spPr>
                      </pic:pic>
                    </a:graphicData>
                  </a:graphic>
                </wp:inline>
              </w:drawing>
            </w:r>
          </w:p>
        </w:tc>
        <w:tc>
          <w:tcPr>
            <w:tcW w:w="0" w:type="auto"/>
          </w:tcPr>
          <w:p w:rsidR="00A25767" w:rsidRDefault="00946D49" w:rsidP="0085133C">
            <w:pPr>
              <w:pStyle w:val="ParagraphNumbering"/>
              <w:numPr>
                <w:ilvl w:val="0"/>
                <w:numId w:val="0"/>
              </w:numPr>
            </w:pPr>
            <w:r>
              <w:drawing>
                <wp:inline distT="0" distB="0" distL="0" distR="0" wp14:anchorId="49BF38B8" wp14:editId="47EFC283">
                  <wp:extent cx="2662715" cy="21431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9988" cy="2148979"/>
                          </a:xfrm>
                          <a:prstGeom prst="rect">
                            <a:avLst/>
                          </a:prstGeom>
                          <a:noFill/>
                        </pic:spPr>
                      </pic:pic>
                    </a:graphicData>
                  </a:graphic>
                </wp:inline>
              </w:drawing>
            </w:r>
          </w:p>
        </w:tc>
      </w:tr>
      <w:tr w:rsidR="00A25767" w:rsidRPr="004E1715" w:rsidTr="009F24C0">
        <w:trPr>
          <w:trHeight w:val="175"/>
        </w:trPr>
        <w:tc>
          <w:tcPr>
            <w:tcW w:w="0" w:type="auto"/>
            <w:gridSpan w:val="2"/>
          </w:tcPr>
          <w:p w:rsidR="00A25767" w:rsidRPr="00F5062A" w:rsidRDefault="003B14B7" w:rsidP="00F5062A">
            <w:pPr>
              <w:pStyle w:val="quarterly-chart-notes"/>
              <w:keepNext/>
              <w:keepLines/>
              <w:jc w:val="left"/>
              <w:rPr>
                <w:rFonts w:asciiTheme="minorHAnsi" w:hAnsiTheme="minorHAnsi" w:cstheme="minorHAnsi"/>
                <w:b w:val="0"/>
                <w:color w:val="943634" w:themeColor="accent2" w:themeShade="BF"/>
                <w:sz w:val="18"/>
                <w:lang w:val="pt-PT"/>
              </w:rPr>
            </w:pPr>
            <w:r w:rsidRPr="00F5062A">
              <w:rPr>
                <w:rFonts w:asciiTheme="minorHAnsi" w:hAnsiTheme="minorHAnsi" w:cstheme="minorHAnsi"/>
                <w:b w:val="0"/>
                <w:szCs w:val="16"/>
                <w:lang w:val="pt-PT"/>
              </w:rPr>
              <w:t>Fonte</w:t>
            </w:r>
            <w:r w:rsidR="00A25767" w:rsidRPr="00F5062A">
              <w:rPr>
                <w:rFonts w:asciiTheme="minorHAnsi" w:hAnsiTheme="minorHAnsi" w:cstheme="minorHAnsi"/>
                <w:b w:val="0"/>
                <w:szCs w:val="16"/>
                <w:lang w:val="pt-PT"/>
              </w:rPr>
              <w:t>: Aut</w:t>
            </w:r>
            <w:r w:rsidR="00F5062A" w:rsidRPr="00F5062A">
              <w:rPr>
                <w:rFonts w:asciiTheme="minorHAnsi" w:hAnsiTheme="minorHAnsi" w:cstheme="minorHAnsi"/>
                <w:b w:val="0"/>
                <w:szCs w:val="16"/>
                <w:lang w:val="pt-PT"/>
              </w:rPr>
              <w:t>oridades, Banco Mundial e estimativas do FMI</w:t>
            </w:r>
          </w:p>
        </w:tc>
      </w:tr>
    </w:tbl>
    <w:p w:rsidR="00FF34BC" w:rsidRPr="005E469D" w:rsidRDefault="00FF34BC" w:rsidP="0085133C">
      <w:pPr>
        <w:pStyle w:val="ParagraphNumbering"/>
        <w:numPr>
          <w:ilvl w:val="0"/>
          <w:numId w:val="0"/>
        </w:numPr>
        <w:rPr>
          <w:lang w:val="pt-PT"/>
        </w:rPr>
      </w:pPr>
    </w:p>
    <w:p w:rsidR="00BD144A" w:rsidRDefault="00D956A8" w:rsidP="0085133C">
      <w:pPr>
        <w:pStyle w:val="ParagraphNumbering"/>
        <w:rPr>
          <w:lang w:val="pt-PT"/>
        </w:rPr>
      </w:pPr>
      <w:r>
        <w:rPr>
          <w:b/>
          <w:lang w:val="pt-PT"/>
        </w:rPr>
        <w:t xml:space="preserve">A previsão de produção petrolífera de médio prazo indica que a economia pode ter chegado a uma taxa de crescimento </w:t>
      </w:r>
      <w:r w:rsidR="00982BCF">
        <w:rPr>
          <w:b/>
          <w:lang w:val="pt-PT"/>
        </w:rPr>
        <w:t>estável</w:t>
      </w:r>
      <w:r w:rsidR="00EA53DF" w:rsidRPr="00D956A8">
        <w:rPr>
          <w:lang w:val="pt-PT"/>
        </w:rPr>
        <w:t xml:space="preserve">.  </w:t>
      </w:r>
      <w:r w:rsidR="00982BCF">
        <w:rPr>
          <w:lang w:val="pt-PT"/>
        </w:rPr>
        <w:t xml:space="preserve">Na ausência de novas descobertas, não é provável que a produção de petróleo acelere ainda mais o crescimento do PIB (ver secção II). O PIB não petrolífero precisaria, portanto, de se expandir rapidamente para trazer Angola de volta ao sólido desempenho registado antes da crise de 2009. Além do mais, Angola tem demonstrado um alto nível de dependência do sector petrolífero </w:t>
      </w:r>
      <w:r w:rsidR="00C372FD">
        <w:rPr>
          <w:lang w:val="pt-PT"/>
        </w:rPr>
        <w:t xml:space="preserve">no que toca a apoiar a acumulação de capital assim como a produtividade total dos factores </w:t>
      </w:r>
      <w:r w:rsidR="00AD7133" w:rsidRPr="00D956A8">
        <w:rPr>
          <w:lang w:val="pt-PT"/>
        </w:rPr>
        <w:t>(</w:t>
      </w:r>
      <w:r w:rsidR="006D0416" w:rsidRPr="00D956A8">
        <w:rPr>
          <w:lang w:val="pt-PT"/>
        </w:rPr>
        <w:t>TFP</w:t>
      </w:r>
      <w:r w:rsidR="00AD7133" w:rsidRPr="00D956A8">
        <w:rPr>
          <w:lang w:val="pt-PT"/>
        </w:rPr>
        <w:t xml:space="preserve">), </w:t>
      </w:r>
      <w:r w:rsidR="00F14EE4">
        <w:rPr>
          <w:lang w:val="pt-PT"/>
        </w:rPr>
        <w:t xml:space="preserve">facto que acentua ainda mais a importância da diversificação económica </w:t>
      </w:r>
      <w:r w:rsidR="004E23AD" w:rsidRPr="00D956A8">
        <w:rPr>
          <w:lang w:val="pt-PT"/>
        </w:rPr>
        <w:t>(</w:t>
      </w:r>
      <w:r w:rsidR="00F14EE4">
        <w:rPr>
          <w:lang w:val="pt-PT"/>
        </w:rPr>
        <w:t>ver</w:t>
      </w:r>
      <w:r w:rsidR="00EC33E4" w:rsidRPr="00D956A8">
        <w:rPr>
          <w:lang w:val="pt-PT"/>
        </w:rPr>
        <w:t xml:space="preserve"> </w:t>
      </w:r>
      <w:r w:rsidR="00946D49">
        <w:fldChar w:fldCharType="begin"/>
      </w:r>
      <w:r w:rsidR="00946D49" w:rsidRPr="00946D49">
        <w:rPr>
          <w:lang w:val="pt-PT"/>
        </w:rPr>
        <w:instrText xml:space="preserve"> REF _Ref382405270 \h  \* MERGEFORMAT </w:instrText>
      </w:r>
      <w:r w:rsidR="00946D49">
        <w:fldChar w:fldCharType="separate"/>
      </w:r>
      <w:r w:rsidR="004F553E" w:rsidRPr="004F553E">
        <w:rPr>
          <w:lang w:val="pt-PT"/>
        </w:rPr>
        <w:t>Caixa 2</w:t>
      </w:r>
      <w:r w:rsidR="00946D49">
        <w:fldChar w:fldCharType="end"/>
      </w:r>
      <w:r w:rsidR="004E23AD" w:rsidRPr="00D956A8">
        <w:rPr>
          <w:lang w:val="pt-PT"/>
        </w:rPr>
        <w:t>)</w:t>
      </w:r>
      <w:r w:rsidR="00343871" w:rsidRPr="00D956A8">
        <w:rPr>
          <w:lang w:val="pt-PT"/>
        </w:rPr>
        <w:t xml:space="preserve">. </w:t>
      </w:r>
    </w:p>
    <w:p w:rsidR="00267766" w:rsidRPr="00D956A8" w:rsidRDefault="00267766" w:rsidP="0085133C">
      <w:pPr>
        <w:pStyle w:val="ParagraphNumbering"/>
        <w:numPr>
          <w:ilvl w:val="0"/>
          <w:numId w:val="0"/>
        </w:numPr>
        <w:rPr>
          <w:lang w:val="pt-PT"/>
        </w:rPr>
      </w:pPr>
    </w:p>
    <w:tbl>
      <w:tblPr>
        <w:tblStyle w:val="ColorfulList-Accent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08"/>
        <w:gridCol w:w="8568"/>
      </w:tblGrid>
      <w:tr w:rsidR="00CA022E" w:rsidRPr="004E1715" w:rsidTr="00BE2106">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008" w:type="dxa"/>
            <w:vAlign w:val="center"/>
          </w:tcPr>
          <w:p w:rsidR="00CA022E" w:rsidRPr="00D956A8" w:rsidRDefault="00F14EE4" w:rsidP="00BD144A">
            <w:pPr>
              <w:pStyle w:val="NoSpacing"/>
              <w:keepNext/>
              <w:jc w:val="center"/>
              <w:rPr>
                <w:rFonts w:asciiTheme="minorHAnsi" w:hAnsiTheme="minorHAnsi" w:cstheme="minorHAnsi"/>
                <w:lang w:val="pt-PT"/>
              </w:rPr>
            </w:pPr>
            <w:bookmarkStart w:id="36" w:name="_Ref382405270"/>
            <w:r>
              <w:rPr>
                <w:rFonts w:asciiTheme="minorHAnsi" w:hAnsiTheme="minorHAnsi" w:cstheme="minorHAnsi"/>
                <w:lang w:val="pt-PT"/>
              </w:rPr>
              <w:t>Caixa</w:t>
            </w:r>
            <w:r w:rsidR="00BE2106" w:rsidRPr="00D956A8">
              <w:rPr>
                <w:rFonts w:asciiTheme="minorHAnsi" w:hAnsiTheme="minorHAnsi" w:cstheme="minorHAnsi"/>
                <w:lang w:val="pt-PT"/>
              </w:rPr>
              <w:t xml:space="preserve"> </w:t>
            </w:r>
            <w:r w:rsidR="00FB4E23" w:rsidRPr="00D956A8">
              <w:rPr>
                <w:rFonts w:asciiTheme="minorHAnsi" w:hAnsiTheme="minorHAnsi" w:cstheme="minorHAnsi"/>
                <w:lang w:val="pt-PT"/>
              </w:rPr>
              <w:fldChar w:fldCharType="begin"/>
            </w:r>
            <w:r w:rsidR="00BE2106" w:rsidRPr="00D956A8">
              <w:rPr>
                <w:rFonts w:asciiTheme="minorHAnsi" w:hAnsiTheme="minorHAnsi" w:cstheme="minorHAnsi"/>
                <w:lang w:val="pt-PT"/>
              </w:rPr>
              <w:instrText xml:space="preserve"> SEQ Box \* ARABIC </w:instrText>
            </w:r>
            <w:r w:rsidR="00FB4E23" w:rsidRPr="00D956A8">
              <w:rPr>
                <w:rFonts w:asciiTheme="minorHAnsi" w:hAnsiTheme="minorHAnsi" w:cstheme="minorHAnsi"/>
                <w:lang w:val="pt-PT"/>
              </w:rPr>
              <w:fldChar w:fldCharType="separate"/>
            </w:r>
            <w:r w:rsidR="004F553E">
              <w:rPr>
                <w:rFonts w:asciiTheme="minorHAnsi" w:hAnsiTheme="minorHAnsi" w:cstheme="minorHAnsi"/>
                <w:noProof/>
                <w:lang w:val="pt-PT"/>
              </w:rPr>
              <w:t>2</w:t>
            </w:r>
            <w:r w:rsidR="00FB4E23" w:rsidRPr="00D956A8">
              <w:rPr>
                <w:rFonts w:asciiTheme="minorHAnsi" w:hAnsiTheme="minorHAnsi" w:cstheme="minorHAnsi"/>
                <w:lang w:val="pt-PT"/>
              </w:rPr>
              <w:fldChar w:fldCharType="end"/>
            </w:r>
            <w:bookmarkEnd w:id="36"/>
          </w:p>
        </w:tc>
        <w:tc>
          <w:tcPr>
            <w:tcW w:w="8568" w:type="dxa"/>
            <w:shd w:val="clear" w:color="auto" w:fill="000000" w:themeFill="text1"/>
            <w:vAlign w:val="center"/>
          </w:tcPr>
          <w:p w:rsidR="00CA022E" w:rsidRPr="00D956A8" w:rsidRDefault="00F14EE4" w:rsidP="00BD144A">
            <w:pPr>
              <w:pStyle w:val="NoSpacing"/>
              <w:jc w:val="left"/>
              <w:cnfStyle w:val="100000000000" w:firstRow="1" w:lastRow="0" w:firstColumn="0" w:lastColumn="0" w:oddVBand="0" w:evenVBand="0" w:oddHBand="0" w:evenHBand="0" w:firstRowFirstColumn="0" w:firstRowLastColumn="0" w:lastRowFirstColumn="0" w:lastRowLastColumn="0"/>
              <w:rPr>
                <w:rFonts w:asciiTheme="minorHAnsi" w:hAnsiTheme="minorHAnsi"/>
                <w:bCs w:val="0"/>
                <w:szCs w:val="24"/>
                <w:lang w:val="pt-PT"/>
              </w:rPr>
            </w:pPr>
            <w:r>
              <w:rPr>
                <w:rFonts w:asciiTheme="minorHAnsi" w:hAnsiTheme="minorHAnsi"/>
                <w:sz w:val="24"/>
                <w:szCs w:val="24"/>
                <w:lang w:val="pt-PT"/>
              </w:rPr>
              <w:t>Para Além do Capital e do Trabalho</w:t>
            </w:r>
            <w:r w:rsidR="00CA022E" w:rsidRPr="00D956A8">
              <w:rPr>
                <w:rFonts w:asciiTheme="minorHAnsi" w:hAnsiTheme="minorHAnsi"/>
                <w:sz w:val="24"/>
                <w:szCs w:val="24"/>
                <w:lang w:val="pt-PT"/>
              </w:rPr>
              <w:t xml:space="preserve">: </w:t>
            </w:r>
            <w:r w:rsidR="00A2560C">
              <w:rPr>
                <w:rFonts w:asciiTheme="minorHAnsi" w:hAnsiTheme="minorHAnsi"/>
                <w:sz w:val="24"/>
                <w:szCs w:val="24"/>
                <w:lang w:val="pt-PT"/>
              </w:rPr>
              <w:t>Em que Medida É Importante a Produtividade Total dos Factores</w:t>
            </w:r>
            <w:r w:rsidR="00CA022E" w:rsidRPr="00D956A8">
              <w:rPr>
                <w:rFonts w:asciiTheme="minorHAnsi" w:hAnsiTheme="minorHAnsi"/>
                <w:sz w:val="24"/>
                <w:szCs w:val="24"/>
                <w:lang w:val="pt-PT"/>
              </w:rPr>
              <w:t>?</w:t>
            </w:r>
            <w:r w:rsidR="00CA022E" w:rsidRPr="00D956A8">
              <w:rPr>
                <w:rFonts w:asciiTheme="minorHAnsi" w:hAnsiTheme="minorHAnsi"/>
                <w:bCs w:val="0"/>
                <w:szCs w:val="24"/>
                <w:lang w:val="pt-PT"/>
              </w:rPr>
              <w:t xml:space="preserve"> </w:t>
            </w:r>
          </w:p>
          <w:p w:rsidR="00CA022E" w:rsidRPr="00D956A8" w:rsidRDefault="00A2560C" w:rsidP="00A2560C">
            <w:pPr>
              <w:pStyle w:val="NoSpacing"/>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lang w:val="pt-PT"/>
              </w:rPr>
            </w:pPr>
            <w:r>
              <w:rPr>
                <w:rFonts w:asciiTheme="minorHAnsi" w:hAnsiTheme="minorHAnsi"/>
                <w:bCs w:val="0"/>
                <w:i/>
                <w:sz w:val="20"/>
                <w:lang w:val="pt-PT"/>
              </w:rPr>
              <w:t xml:space="preserve">Decomposição do crescimento económico em </w:t>
            </w:r>
            <w:r w:rsidR="00CA022E" w:rsidRPr="00D956A8">
              <w:rPr>
                <w:rFonts w:asciiTheme="minorHAnsi" w:hAnsiTheme="minorHAnsi"/>
                <w:bCs w:val="0"/>
                <w:i/>
                <w:sz w:val="20"/>
                <w:lang w:val="pt-PT"/>
              </w:rPr>
              <w:t>Angola</w:t>
            </w:r>
          </w:p>
        </w:tc>
      </w:tr>
      <w:tr w:rsidR="00CA022E" w:rsidRPr="004E1715" w:rsidTr="00BE2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BA7281" w:rsidRPr="00D956A8" w:rsidRDefault="00BA7281" w:rsidP="00BD144A">
            <w:pPr>
              <w:rPr>
                <w:rFonts w:asciiTheme="minorHAnsi" w:hAnsiTheme="minorHAnsi" w:cstheme="minorHAnsi"/>
                <w:b w:val="0"/>
                <w:sz w:val="18"/>
                <w:szCs w:val="18"/>
                <w:lang w:val="pt-PT"/>
              </w:rPr>
            </w:pPr>
          </w:p>
          <w:p w:rsidR="00EE0911" w:rsidRPr="00D956A8" w:rsidRDefault="00AD6ED0" w:rsidP="00BD144A">
            <w:pPr>
              <w:rPr>
                <w:b w:val="0"/>
                <w:bCs w:val="0"/>
                <w:color w:val="auto"/>
                <w:lang w:val="pt-PT"/>
              </w:rPr>
            </w:pPr>
            <w:r w:rsidRPr="00D956A8">
              <w:rPr>
                <w:rFonts w:asciiTheme="minorHAnsi" w:hAnsiTheme="minorHAnsi" w:cstheme="minorHAnsi"/>
                <w:sz w:val="18"/>
                <w:szCs w:val="18"/>
                <w:lang w:val="pt-PT"/>
              </w:rPr>
              <w:t>E</w:t>
            </w:r>
            <w:r w:rsidR="00CA022E" w:rsidRPr="00D956A8">
              <w:rPr>
                <w:rFonts w:asciiTheme="minorHAnsi" w:hAnsiTheme="minorHAnsi" w:cstheme="minorHAnsi"/>
                <w:sz w:val="18"/>
                <w:szCs w:val="18"/>
                <w:lang w:val="pt-PT"/>
              </w:rPr>
              <w:t>stima</w:t>
            </w:r>
            <w:r w:rsidR="00A2560C">
              <w:rPr>
                <w:rFonts w:asciiTheme="minorHAnsi" w:hAnsiTheme="minorHAnsi" w:cstheme="minorHAnsi"/>
                <w:sz w:val="18"/>
                <w:szCs w:val="18"/>
                <w:lang w:val="pt-PT"/>
              </w:rPr>
              <w:t>r a produtividade de longo prazo da economia pode</w:t>
            </w:r>
            <w:r w:rsidR="00A97BB7">
              <w:rPr>
                <w:rFonts w:asciiTheme="minorHAnsi" w:hAnsiTheme="minorHAnsi" w:cstheme="minorHAnsi"/>
                <w:sz w:val="18"/>
                <w:szCs w:val="18"/>
                <w:lang w:val="pt-PT"/>
              </w:rPr>
              <w:t xml:space="preserve"> esclarecer a sua evolução recente e a trajectória futura.</w:t>
            </w:r>
            <w:r w:rsidR="004E1B73">
              <w:rPr>
                <w:rFonts w:asciiTheme="minorHAnsi" w:hAnsiTheme="minorHAnsi" w:cstheme="minorHAnsi"/>
                <w:sz w:val="18"/>
                <w:szCs w:val="18"/>
                <w:lang w:val="pt-PT"/>
              </w:rPr>
              <w:t xml:space="preserve"> </w:t>
            </w:r>
            <w:r w:rsidR="004E1B73" w:rsidRPr="004E1B73">
              <w:rPr>
                <w:rFonts w:asciiTheme="minorHAnsi" w:hAnsiTheme="minorHAnsi" w:cstheme="minorHAnsi"/>
                <w:b w:val="0"/>
                <w:sz w:val="18"/>
                <w:szCs w:val="18"/>
                <w:lang w:val="pt-PT"/>
              </w:rPr>
              <w:t>A</w:t>
            </w:r>
            <w:r w:rsidR="004E1B73">
              <w:rPr>
                <w:rFonts w:asciiTheme="minorHAnsi" w:hAnsiTheme="minorHAnsi" w:cstheme="minorHAnsi"/>
                <w:sz w:val="18"/>
                <w:szCs w:val="18"/>
                <w:lang w:val="pt-PT"/>
              </w:rPr>
              <w:t xml:space="preserve"> </w:t>
            </w:r>
            <w:r w:rsidR="00CA022E" w:rsidRPr="00D956A8">
              <w:rPr>
                <w:rFonts w:asciiTheme="minorHAnsi" w:hAnsiTheme="minorHAnsi" w:cstheme="minorHAnsi"/>
                <w:b w:val="0"/>
                <w:sz w:val="18"/>
                <w:szCs w:val="18"/>
                <w:lang w:val="pt-PT"/>
              </w:rPr>
              <w:t>“</w:t>
            </w:r>
            <w:r w:rsidR="004E1B73">
              <w:rPr>
                <w:rFonts w:asciiTheme="minorHAnsi" w:hAnsiTheme="minorHAnsi" w:cstheme="minorHAnsi"/>
                <w:b w:val="0"/>
                <w:sz w:val="18"/>
                <w:szCs w:val="18"/>
                <w:lang w:val="pt-PT"/>
              </w:rPr>
              <w:t>Contabilidade do Crescimento</w:t>
            </w:r>
            <w:r w:rsidR="00CA022E" w:rsidRPr="00D956A8">
              <w:rPr>
                <w:rFonts w:asciiTheme="minorHAnsi" w:hAnsiTheme="minorHAnsi" w:cstheme="minorHAnsi"/>
                <w:b w:val="0"/>
                <w:sz w:val="18"/>
                <w:szCs w:val="18"/>
                <w:lang w:val="pt-PT"/>
              </w:rPr>
              <w:t>” me</w:t>
            </w:r>
            <w:r w:rsidR="004E1B73">
              <w:rPr>
                <w:rFonts w:asciiTheme="minorHAnsi" w:hAnsiTheme="minorHAnsi" w:cstheme="minorHAnsi"/>
                <w:b w:val="0"/>
                <w:sz w:val="18"/>
                <w:szCs w:val="18"/>
                <w:lang w:val="pt-PT"/>
              </w:rPr>
              <w:t xml:space="preserve">de as contribuições do capital, do trabalho e a eficiência com que estes dois factores se combinam para o crescimento económico (TFP). O Quadro 1 resume os resultados deste exercício de contabilidade do crescimento e mostra a decomposição do PIB durante três períodos diferentes; </w:t>
            </w:r>
            <w:r w:rsidR="00EE0911" w:rsidRPr="00D956A8">
              <w:rPr>
                <w:rFonts w:asciiTheme="minorHAnsi" w:hAnsiTheme="minorHAnsi" w:cstheme="minorHAnsi"/>
                <w:b w:val="0"/>
                <w:sz w:val="18"/>
                <w:szCs w:val="18"/>
                <w:lang w:val="pt-PT"/>
              </w:rPr>
              <w:t xml:space="preserve">(i) </w:t>
            </w:r>
            <w:r w:rsidR="004E1B73">
              <w:rPr>
                <w:rFonts w:asciiTheme="minorHAnsi" w:hAnsiTheme="minorHAnsi" w:cstheme="minorHAnsi"/>
                <w:b w:val="0"/>
                <w:sz w:val="18"/>
                <w:szCs w:val="18"/>
                <w:lang w:val="pt-PT"/>
              </w:rPr>
              <w:t>o período da guerra civil</w:t>
            </w:r>
            <w:r w:rsidR="00EE0911" w:rsidRPr="00D956A8">
              <w:rPr>
                <w:rFonts w:asciiTheme="minorHAnsi" w:hAnsiTheme="minorHAnsi" w:cstheme="minorHAnsi"/>
                <w:b w:val="0"/>
                <w:sz w:val="18"/>
                <w:szCs w:val="18"/>
                <w:lang w:val="pt-PT"/>
              </w:rPr>
              <w:t xml:space="preserve"> (1980-2001); (ii) </w:t>
            </w:r>
            <w:r w:rsidR="004E1B73">
              <w:rPr>
                <w:rFonts w:asciiTheme="minorHAnsi" w:hAnsiTheme="minorHAnsi" w:cstheme="minorHAnsi"/>
                <w:b w:val="0"/>
                <w:sz w:val="18"/>
                <w:szCs w:val="18"/>
                <w:lang w:val="pt-PT"/>
              </w:rPr>
              <w:t>o período</w:t>
            </w:r>
            <w:r w:rsidR="00D6552C">
              <w:rPr>
                <w:rFonts w:asciiTheme="minorHAnsi" w:hAnsiTheme="minorHAnsi" w:cstheme="minorHAnsi"/>
                <w:b w:val="0"/>
                <w:sz w:val="18"/>
                <w:szCs w:val="18"/>
                <w:lang w:val="pt-PT"/>
              </w:rPr>
              <w:t xml:space="preserve"> do</w:t>
            </w:r>
            <w:r w:rsidR="004E1B73">
              <w:rPr>
                <w:rFonts w:asciiTheme="minorHAnsi" w:hAnsiTheme="minorHAnsi" w:cstheme="minorHAnsi"/>
                <w:b w:val="0"/>
                <w:sz w:val="18"/>
                <w:szCs w:val="18"/>
                <w:lang w:val="pt-PT"/>
              </w:rPr>
              <w:t xml:space="preserve"> pós-guerra imediato, durante o qual os preços do petróleo subiram rapidamente</w:t>
            </w:r>
            <w:r w:rsidR="00EE0911" w:rsidRPr="00D956A8">
              <w:rPr>
                <w:rFonts w:asciiTheme="minorHAnsi" w:hAnsiTheme="minorHAnsi" w:cstheme="minorHAnsi"/>
                <w:b w:val="0"/>
                <w:sz w:val="18"/>
                <w:szCs w:val="18"/>
                <w:lang w:val="pt-PT"/>
              </w:rPr>
              <w:t xml:space="preserve"> (2002-2008); </w:t>
            </w:r>
            <w:r w:rsidR="004E1B73">
              <w:rPr>
                <w:rFonts w:asciiTheme="minorHAnsi" w:hAnsiTheme="minorHAnsi" w:cstheme="minorHAnsi"/>
                <w:b w:val="0"/>
                <w:sz w:val="18"/>
                <w:szCs w:val="18"/>
                <w:lang w:val="pt-PT"/>
              </w:rPr>
              <w:t>e</w:t>
            </w:r>
            <w:r w:rsidR="00EE0911" w:rsidRPr="00D956A8">
              <w:rPr>
                <w:rFonts w:asciiTheme="minorHAnsi" w:hAnsiTheme="minorHAnsi" w:cstheme="minorHAnsi"/>
                <w:b w:val="0"/>
                <w:sz w:val="18"/>
                <w:szCs w:val="18"/>
                <w:lang w:val="pt-PT"/>
              </w:rPr>
              <w:t xml:space="preserve"> (iii) </w:t>
            </w:r>
            <w:r w:rsidR="004E1B73">
              <w:rPr>
                <w:rFonts w:asciiTheme="minorHAnsi" w:hAnsiTheme="minorHAnsi" w:cstheme="minorHAnsi"/>
                <w:b w:val="0"/>
                <w:sz w:val="18"/>
                <w:szCs w:val="18"/>
                <w:lang w:val="pt-PT"/>
              </w:rPr>
              <w:t>o período mais recente da crise financeira global e consequente queda dos preços do petróleo</w:t>
            </w:r>
            <w:r w:rsidR="00EE0911" w:rsidRPr="00D956A8">
              <w:rPr>
                <w:rFonts w:asciiTheme="minorHAnsi" w:hAnsiTheme="minorHAnsi" w:cstheme="minorHAnsi"/>
                <w:b w:val="0"/>
                <w:sz w:val="18"/>
                <w:szCs w:val="18"/>
                <w:lang w:val="pt-PT"/>
              </w:rPr>
              <w:t xml:space="preserve"> (2009-2011).</w:t>
            </w:r>
          </w:p>
          <w:p w:rsidR="006C0F58" w:rsidRPr="00D956A8" w:rsidRDefault="006C0F58" w:rsidP="00BD144A">
            <w:pPr>
              <w:rPr>
                <w:rFonts w:asciiTheme="minorHAnsi" w:hAnsiTheme="minorHAnsi" w:cstheme="minorHAnsi"/>
                <w:b w:val="0"/>
                <w:sz w:val="18"/>
                <w:szCs w:val="18"/>
                <w:lang w:val="pt-PT"/>
              </w:rPr>
            </w:pPr>
          </w:p>
          <w:tbl>
            <w:tblPr>
              <w:tblpPr w:leftFromText="180" w:rightFromText="180" w:vertAnchor="text" w:horzAnchor="margin" w:tblpXSpec="right" w:tblpY="74"/>
              <w:tblOverlap w:val="never"/>
              <w:tblW w:w="6361" w:type="dxa"/>
              <w:tblBorders>
                <w:insideH w:val="single" w:sz="8" w:space="0" w:color="943634" w:themeColor="accent2" w:themeShade="BF"/>
                <w:insideV w:val="single" w:sz="8" w:space="0" w:color="C00000"/>
              </w:tblBorders>
              <w:tblCellMar>
                <w:left w:w="29" w:type="dxa"/>
                <w:right w:w="29" w:type="dxa"/>
              </w:tblCellMar>
              <w:tblLook w:val="01E0" w:firstRow="1" w:lastRow="1" w:firstColumn="1" w:lastColumn="1" w:noHBand="0" w:noVBand="0"/>
            </w:tblPr>
            <w:tblGrid>
              <w:gridCol w:w="6361"/>
            </w:tblGrid>
            <w:tr w:rsidR="00D33887" w:rsidRPr="004E1715" w:rsidTr="00144EE7">
              <w:trPr>
                <w:trHeight w:val="218"/>
              </w:trPr>
              <w:tc>
                <w:tcPr>
                  <w:tcW w:w="6361" w:type="dxa"/>
                </w:tcPr>
                <w:p w:rsidR="00D33887" w:rsidRPr="00D956A8" w:rsidRDefault="003349BC" w:rsidP="00BD144A">
                  <w:pPr>
                    <w:pStyle w:val="Caption"/>
                    <w:keepNext/>
                    <w:keepLines/>
                    <w:rPr>
                      <w:rFonts w:asciiTheme="minorHAnsi" w:hAnsiTheme="minorHAnsi" w:cstheme="minorHAnsi"/>
                      <w:color w:val="943634" w:themeColor="accent2" w:themeShade="BF"/>
                      <w:lang w:val="pt-PT"/>
                    </w:rPr>
                  </w:pPr>
                  <w:bookmarkStart w:id="37" w:name="_Ref382405353"/>
                  <w:bookmarkStart w:id="38" w:name="_Toc349761963"/>
                  <w:bookmarkStart w:id="39" w:name="_Ref382405348"/>
                  <w:r>
                    <w:rPr>
                      <w:rFonts w:asciiTheme="minorHAnsi" w:hAnsiTheme="minorHAnsi" w:cstheme="minorHAnsi"/>
                      <w:color w:val="943634" w:themeColor="accent2" w:themeShade="BF"/>
                      <w:lang w:val="pt-PT"/>
                    </w:rPr>
                    <w:t>Quadro</w:t>
                  </w:r>
                  <w:r w:rsidR="00D33887" w:rsidRPr="00D956A8">
                    <w:rPr>
                      <w:rFonts w:asciiTheme="minorHAnsi" w:hAnsiTheme="minorHAnsi" w:cstheme="minorHAnsi"/>
                      <w:color w:val="943634" w:themeColor="accent2" w:themeShade="BF"/>
                      <w:lang w:val="pt-PT"/>
                    </w:rPr>
                    <w:t xml:space="preserve"> </w:t>
                  </w:r>
                  <w:r w:rsidR="00FB4E23" w:rsidRPr="00D956A8">
                    <w:rPr>
                      <w:rFonts w:asciiTheme="minorHAnsi" w:hAnsiTheme="minorHAnsi" w:cstheme="minorHAnsi"/>
                      <w:color w:val="943634" w:themeColor="accent2" w:themeShade="BF"/>
                      <w:lang w:val="pt-PT"/>
                    </w:rPr>
                    <w:fldChar w:fldCharType="begin"/>
                  </w:r>
                  <w:r w:rsidR="00D33887" w:rsidRPr="00D956A8">
                    <w:rPr>
                      <w:rFonts w:asciiTheme="minorHAnsi" w:hAnsiTheme="minorHAnsi" w:cstheme="minorHAnsi"/>
                      <w:color w:val="943634" w:themeColor="accent2" w:themeShade="BF"/>
                      <w:lang w:val="pt-PT"/>
                    </w:rPr>
                    <w:instrText xml:space="preserve"> SEQ Table \* ARABIC </w:instrText>
                  </w:r>
                  <w:r w:rsidR="00FB4E23" w:rsidRPr="00D956A8">
                    <w:rPr>
                      <w:rFonts w:asciiTheme="minorHAnsi" w:hAnsiTheme="minorHAnsi" w:cstheme="minorHAnsi"/>
                      <w:color w:val="943634" w:themeColor="accent2" w:themeShade="BF"/>
                      <w:lang w:val="pt-PT"/>
                    </w:rPr>
                    <w:fldChar w:fldCharType="separate"/>
                  </w:r>
                  <w:r w:rsidR="004F553E">
                    <w:rPr>
                      <w:rFonts w:asciiTheme="minorHAnsi" w:hAnsiTheme="minorHAnsi" w:cstheme="minorHAnsi"/>
                      <w:noProof/>
                      <w:color w:val="943634" w:themeColor="accent2" w:themeShade="BF"/>
                      <w:lang w:val="pt-PT"/>
                    </w:rPr>
                    <w:t>1</w:t>
                  </w:r>
                  <w:r w:rsidR="00FB4E23" w:rsidRPr="00D956A8">
                    <w:rPr>
                      <w:rFonts w:asciiTheme="minorHAnsi" w:hAnsiTheme="minorHAnsi" w:cstheme="minorHAnsi"/>
                      <w:color w:val="943634" w:themeColor="accent2" w:themeShade="BF"/>
                      <w:lang w:val="pt-PT"/>
                    </w:rPr>
                    <w:fldChar w:fldCharType="end"/>
                  </w:r>
                  <w:bookmarkEnd w:id="37"/>
                  <w:r>
                    <w:rPr>
                      <w:rFonts w:asciiTheme="minorHAnsi" w:hAnsiTheme="minorHAnsi" w:cstheme="minorHAnsi"/>
                      <w:color w:val="943634" w:themeColor="accent2" w:themeShade="BF"/>
                      <w:lang w:val="pt-PT"/>
                    </w:rPr>
                    <w:t xml:space="preserve">: A produtividade total dos factores </w:t>
                  </w:r>
                  <w:r w:rsidR="00D33887" w:rsidRPr="00D956A8">
                    <w:rPr>
                      <w:rFonts w:asciiTheme="minorHAnsi" w:hAnsiTheme="minorHAnsi" w:cstheme="minorHAnsi"/>
                      <w:color w:val="943634" w:themeColor="accent2" w:themeShade="BF"/>
                      <w:lang w:val="pt-PT"/>
                    </w:rPr>
                    <w:t xml:space="preserve">(TFP) </w:t>
                  </w:r>
                  <w:r>
                    <w:rPr>
                      <w:rFonts w:asciiTheme="minorHAnsi" w:hAnsiTheme="minorHAnsi" w:cstheme="minorHAnsi"/>
                      <w:color w:val="943634" w:themeColor="accent2" w:themeShade="BF"/>
                      <w:lang w:val="pt-PT"/>
                    </w:rPr>
                    <w:t>tem sido uma força propulsora do crescimento económico de Angola durante as últimas drês décadas</w:t>
                  </w:r>
                  <w:bookmarkEnd w:id="38"/>
                  <w:bookmarkEnd w:id="39"/>
                </w:p>
                <w:p w:rsidR="00946D49" w:rsidRPr="00D956A8" w:rsidRDefault="00D33887" w:rsidP="00651E3C">
                  <w:pPr>
                    <w:pStyle w:val="quarterly-chart-subtitle"/>
                    <w:keepNext/>
                    <w:keepLines/>
                    <w:rPr>
                      <w:rFonts w:asciiTheme="minorHAnsi" w:hAnsiTheme="minorHAnsi" w:cstheme="minorHAnsi"/>
                      <w:szCs w:val="18"/>
                      <w:lang w:val="pt-PT"/>
                    </w:rPr>
                  </w:pPr>
                  <w:r w:rsidRPr="00D956A8">
                    <w:rPr>
                      <w:rFonts w:asciiTheme="minorHAnsi" w:hAnsiTheme="minorHAnsi" w:cstheme="minorHAnsi"/>
                      <w:szCs w:val="18"/>
                      <w:lang w:val="pt-PT"/>
                    </w:rPr>
                    <w:t>(</w:t>
                  </w:r>
                  <w:r w:rsidR="004F0A6A" w:rsidRPr="00D956A8">
                    <w:rPr>
                      <w:rFonts w:asciiTheme="minorHAnsi" w:hAnsiTheme="minorHAnsi" w:cstheme="minorHAnsi"/>
                      <w:szCs w:val="18"/>
                      <w:lang w:val="pt-PT"/>
                    </w:rPr>
                    <w:t>F</w:t>
                  </w:r>
                  <w:r w:rsidRPr="00D956A8">
                    <w:rPr>
                      <w:rFonts w:asciiTheme="minorHAnsi" w:hAnsiTheme="minorHAnsi" w:cstheme="minorHAnsi"/>
                      <w:szCs w:val="18"/>
                      <w:lang w:val="pt-PT"/>
                    </w:rPr>
                    <w:t>act</w:t>
                  </w:r>
                  <w:r w:rsidR="00A4344C">
                    <w:rPr>
                      <w:rFonts w:asciiTheme="minorHAnsi" w:hAnsiTheme="minorHAnsi" w:cstheme="minorHAnsi"/>
                      <w:szCs w:val="18"/>
                      <w:lang w:val="pt-PT"/>
                    </w:rPr>
                    <w:t>ores de produção, crescimento em</w:t>
                  </w:r>
                  <w:r w:rsidR="004F0A6A" w:rsidRPr="00D956A8">
                    <w:rPr>
                      <w:rFonts w:asciiTheme="minorHAnsi" w:hAnsiTheme="minorHAnsi" w:cstheme="minorHAnsi"/>
                      <w:szCs w:val="18"/>
                      <w:lang w:val="pt-PT"/>
                    </w:rPr>
                    <w:t xml:space="preserve"> % </w:t>
                  </w:r>
                  <w:r w:rsidR="00A4344C">
                    <w:rPr>
                      <w:rFonts w:asciiTheme="minorHAnsi" w:hAnsiTheme="minorHAnsi" w:cstheme="minorHAnsi"/>
                      <w:szCs w:val="18"/>
                      <w:lang w:val="pt-PT"/>
                    </w:rPr>
                    <w:t xml:space="preserve">e </w:t>
                  </w:r>
                  <w:r w:rsidR="00651E3C">
                    <w:rPr>
                      <w:rFonts w:asciiTheme="minorHAnsi" w:hAnsiTheme="minorHAnsi" w:cstheme="minorHAnsi"/>
                      <w:szCs w:val="18"/>
                      <w:lang w:val="pt-PT"/>
                    </w:rPr>
                    <w:t>quota</w:t>
                  </w:r>
                  <w:r w:rsidR="00A4344C">
                    <w:rPr>
                      <w:rFonts w:asciiTheme="minorHAnsi" w:hAnsiTheme="minorHAnsi" w:cstheme="minorHAnsi"/>
                      <w:szCs w:val="18"/>
                      <w:lang w:val="pt-PT"/>
                    </w:rPr>
                    <w:t xml:space="preserve"> d</w:t>
                  </w:r>
                  <w:r w:rsidR="00651E3C">
                    <w:rPr>
                      <w:rFonts w:asciiTheme="minorHAnsi" w:hAnsiTheme="minorHAnsi" w:cstheme="minorHAnsi"/>
                      <w:szCs w:val="18"/>
                      <w:lang w:val="pt-PT"/>
                    </w:rPr>
                    <w:t>a</w:t>
                  </w:r>
                  <w:r w:rsidR="004F0A6A" w:rsidRPr="00D956A8">
                    <w:rPr>
                      <w:rFonts w:asciiTheme="minorHAnsi" w:hAnsiTheme="minorHAnsi" w:cstheme="minorHAnsi"/>
                      <w:szCs w:val="18"/>
                      <w:lang w:val="pt-PT"/>
                    </w:rPr>
                    <w:t xml:space="preserve"> TFP</w:t>
                  </w:r>
                  <w:r w:rsidRPr="00D956A8">
                    <w:rPr>
                      <w:rFonts w:asciiTheme="minorHAnsi" w:hAnsiTheme="minorHAnsi" w:cstheme="minorHAnsi"/>
                      <w:szCs w:val="18"/>
                      <w:lang w:val="pt-PT"/>
                    </w:rPr>
                    <w:t>)</w:t>
                  </w:r>
                </w:p>
              </w:tc>
            </w:tr>
            <w:tr w:rsidR="00D33887" w:rsidRPr="00D956A8" w:rsidTr="00144EE7">
              <w:trPr>
                <w:trHeight w:val="218"/>
              </w:trPr>
              <w:tc>
                <w:tcPr>
                  <w:tcW w:w="6361" w:type="dxa"/>
                </w:tcPr>
                <w:tbl>
                  <w:tblPr>
                    <w:tblStyle w:val="TableGrid"/>
                    <w:tblW w:w="6239" w:type="dxa"/>
                    <w:shd w:val="clear" w:color="auto" w:fill="FFFFFF" w:themeFill="background1"/>
                    <w:tblLook w:val="04A0" w:firstRow="1" w:lastRow="0" w:firstColumn="1" w:lastColumn="0" w:noHBand="0" w:noVBand="1"/>
                  </w:tblPr>
                  <w:tblGrid>
                    <w:gridCol w:w="1136"/>
                    <w:gridCol w:w="630"/>
                    <w:gridCol w:w="664"/>
                    <w:gridCol w:w="608"/>
                    <w:gridCol w:w="630"/>
                    <w:gridCol w:w="674"/>
                    <w:gridCol w:w="617"/>
                    <w:gridCol w:w="650"/>
                    <w:gridCol w:w="630"/>
                  </w:tblGrid>
                  <w:tr w:rsidR="00CC61DC" w:rsidRPr="004E1715" w:rsidTr="00CC61DC">
                    <w:tc>
                      <w:tcPr>
                        <w:tcW w:w="2430" w:type="dxa"/>
                        <w:gridSpan w:val="3"/>
                        <w:tcBorders>
                          <w:right w:val="nil"/>
                        </w:tcBorders>
                        <w:shd w:val="clear" w:color="auto" w:fill="FFFFFF" w:themeFill="background1"/>
                      </w:tcPr>
                      <w:p w:rsidR="00CC61DC" w:rsidRPr="00425A50" w:rsidRDefault="00CC61DC" w:rsidP="00CC61DC">
                        <w:pPr>
                          <w:pStyle w:val="quarterly-chart-subtitle"/>
                          <w:keepNext/>
                          <w:keepLines/>
                          <w:jc w:val="center"/>
                          <w:rPr>
                            <w:rFonts w:asciiTheme="minorHAnsi" w:hAnsiTheme="minorHAnsi" w:cstheme="minorHAnsi"/>
                            <w:b w:val="0"/>
                            <w:i w:val="0"/>
                            <w:sz w:val="16"/>
                            <w:szCs w:val="16"/>
                            <w:lang w:val="pt-PT"/>
                          </w:rPr>
                        </w:pPr>
                      </w:p>
                    </w:tc>
                    <w:tc>
                      <w:tcPr>
                        <w:tcW w:w="1238" w:type="dxa"/>
                        <w:gridSpan w:val="2"/>
                        <w:tcBorders>
                          <w:left w:val="nil"/>
                          <w:bottom w:val="single" w:sz="4" w:space="0" w:color="auto"/>
                          <w:right w:val="nil"/>
                        </w:tcBorders>
                        <w:shd w:val="clear" w:color="auto" w:fill="FFFFFF" w:themeFill="background1"/>
                      </w:tcPr>
                      <w:p w:rsidR="00CC61DC" w:rsidRPr="00425A50" w:rsidRDefault="00CC61DC" w:rsidP="00CC61DC">
                        <w:pPr>
                          <w:jc w:val="center"/>
                          <w:rPr>
                            <w:rFonts w:asciiTheme="minorHAnsi" w:hAnsiTheme="minorHAnsi"/>
                            <w:sz w:val="16"/>
                            <w:szCs w:val="16"/>
                            <w:lang w:val="pt-PT"/>
                          </w:rPr>
                        </w:pPr>
                        <w:r w:rsidRPr="00425A50">
                          <w:rPr>
                            <w:rFonts w:asciiTheme="minorHAnsi" w:hAnsiTheme="minorHAnsi" w:cs="Arial"/>
                            <w:bCs/>
                            <w:color w:val="000000"/>
                            <w:sz w:val="16"/>
                            <w:szCs w:val="16"/>
                            <w:lang w:val="pt-PT"/>
                          </w:rPr>
                          <w:t>Período Guerra  Civil</w:t>
                        </w:r>
                      </w:p>
                    </w:tc>
                    <w:tc>
                      <w:tcPr>
                        <w:tcW w:w="1291" w:type="dxa"/>
                        <w:gridSpan w:val="2"/>
                        <w:tcBorders>
                          <w:left w:val="nil"/>
                          <w:bottom w:val="single" w:sz="4" w:space="0" w:color="auto"/>
                          <w:right w:val="nil"/>
                        </w:tcBorders>
                        <w:shd w:val="clear" w:color="auto" w:fill="FFFFFF" w:themeFill="background1"/>
                      </w:tcPr>
                      <w:p w:rsidR="00CC61DC" w:rsidRPr="00425A50" w:rsidRDefault="00CC61DC" w:rsidP="00CC61DC">
                        <w:pPr>
                          <w:jc w:val="center"/>
                          <w:rPr>
                            <w:rFonts w:asciiTheme="minorHAnsi" w:hAnsiTheme="minorHAnsi"/>
                            <w:sz w:val="16"/>
                            <w:szCs w:val="16"/>
                            <w:lang w:val="pt-PT"/>
                          </w:rPr>
                        </w:pPr>
                        <w:r w:rsidRPr="00425A50">
                          <w:rPr>
                            <w:rFonts w:asciiTheme="minorHAnsi" w:hAnsiTheme="minorHAnsi" w:cs="Arial"/>
                            <w:bCs/>
                            <w:color w:val="000000"/>
                            <w:sz w:val="16"/>
                            <w:szCs w:val="16"/>
                            <w:lang w:val="pt-PT"/>
                          </w:rPr>
                          <w:t>Paz e Boom do Preço do Petróleo</w:t>
                        </w:r>
                      </w:p>
                    </w:tc>
                    <w:tc>
                      <w:tcPr>
                        <w:tcW w:w="1280" w:type="dxa"/>
                        <w:gridSpan w:val="2"/>
                        <w:tcBorders>
                          <w:left w:val="nil"/>
                          <w:bottom w:val="single" w:sz="4" w:space="0" w:color="auto"/>
                        </w:tcBorders>
                        <w:shd w:val="clear" w:color="auto" w:fill="FFFFFF" w:themeFill="background1"/>
                      </w:tcPr>
                      <w:p w:rsidR="00CC61DC" w:rsidRPr="00425A50" w:rsidRDefault="00CC61DC" w:rsidP="00CC61DC">
                        <w:pPr>
                          <w:jc w:val="center"/>
                          <w:rPr>
                            <w:rFonts w:asciiTheme="minorHAnsi" w:hAnsiTheme="minorHAnsi"/>
                            <w:sz w:val="16"/>
                            <w:szCs w:val="16"/>
                            <w:lang w:val="pt-PT"/>
                          </w:rPr>
                        </w:pPr>
                        <w:r w:rsidRPr="00425A50">
                          <w:rPr>
                            <w:rFonts w:asciiTheme="minorHAnsi" w:hAnsiTheme="minorHAnsi" w:cs="Arial"/>
                            <w:bCs/>
                            <w:color w:val="000000"/>
                            <w:sz w:val="16"/>
                            <w:szCs w:val="16"/>
                            <w:lang w:val="pt-PT"/>
                          </w:rPr>
                          <w:t>Queda do Preço do Petróleo</w:t>
                        </w:r>
                      </w:p>
                    </w:tc>
                  </w:tr>
                  <w:tr w:rsidR="00CC61DC" w:rsidRPr="00425A50" w:rsidTr="00CC61DC">
                    <w:tc>
                      <w:tcPr>
                        <w:tcW w:w="1136" w:type="dxa"/>
                        <w:tcBorders>
                          <w:bottom w:val="nil"/>
                        </w:tcBorders>
                        <w:shd w:val="clear" w:color="auto" w:fill="FFFFFF" w:themeFill="background1"/>
                      </w:tcPr>
                      <w:p w:rsidR="00CC61DC" w:rsidRPr="00425A50" w:rsidRDefault="00CC61DC" w:rsidP="005E469D">
                        <w:pPr>
                          <w:pStyle w:val="quarterly-chart-subtitle"/>
                          <w:keepNext/>
                          <w:keepLines/>
                          <w:rPr>
                            <w:rFonts w:asciiTheme="minorHAnsi" w:hAnsiTheme="minorHAnsi" w:cstheme="minorHAnsi"/>
                            <w:b w:val="0"/>
                            <w:i w:val="0"/>
                            <w:sz w:val="16"/>
                            <w:szCs w:val="16"/>
                            <w:lang w:val="pt-PT"/>
                          </w:rPr>
                        </w:pPr>
                      </w:p>
                    </w:tc>
                    <w:tc>
                      <w:tcPr>
                        <w:tcW w:w="1294" w:type="dxa"/>
                        <w:gridSpan w:val="2"/>
                        <w:tcBorders>
                          <w:bottom w:val="nil"/>
                        </w:tcBorders>
                        <w:shd w:val="clear" w:color="auto" w:fill="FFFFFF" w:themeFill="background1"/>
                      </w:tcPr>
                      <w:p w:rsidR="00CC61DC" w:rsidRPr="00425A50" w:rsidRDefault="00CC61DC" w:rsidP="00CC61DC">
                        <w:pPr>
                          <w:pStyle w:val="quarterly-chart-subtitle"/>
                          <w:keepNext/>
                          <w:keepLines/>
                          <w:jc w:val="center"/>
                          <w:rPr>
                            <w:rFonts w:asciiTheme="minorHAnsi" w:hAnsiTheme="minorHAnsi" w:cstheme="minorHAnsi"/>
                            <w:b w:val="0"/>
                            <w:i w:val="0"/>
                            <w:sz w:val="16"/>
                            <w:szCs w:val="16"/>
                            <w:lang w:val="pt-PT"/>
                          </w:rPr>
                        </w:pPr>
                        <w:r w:rsidRPr="00425A50">
                          <w:rPr>
                            <w:rFonts w:asciiTheme="minorHAnsi" w:hAnsiTheme="minorHAnsi" w:cstheme="minorHAnsi"/>
                            <w:b w:val="0"/>
                            <w:i w:val="0"/>
                            <w:sz w:val="16"/>
                            <w:szCs w:val="16"/>
                            <w:lang w:val="pt-PT"/>
                          </w:rPr>
                          <w:t>1980-2011</w:t>
                        </w:r>
                      </w:p>
                    </w:tc>
                    <w:tc>
                      <w:tcPr>
                        <w:tcW w:w="1238" w:type="dxa"/>
                        <w:gridSpan w:val="2"/>
                        <w:tcBorders>
                          <w:bottom w:val="nil"/>
                        </w:tcBorders>
                        <w:shd w:val="clear" w:color="auto" w:fill="FFFFFF" w:themeFill="background1"/>
                      </w:tcPr>
                      <w:p w:rsidR="00CC61DC" w:rsidRPr="00425A50" w:rsidRDefault="00CC61DC" w:rsidP="00CC61DC">
                        <w:pPr>
                          <w:pStyle w:val="quarterly-chart-subtitle"/>
                          <w:keepNext/>
                          <w:keepLines/>
                          <w:jc w:val="center"/>
                          <w:rPr>
                            <w:rFonts w:asciiTheme="minorHAnsi" w:hAnsiTheme="minorHAnsi" w:cstheme="minorHAnsi"/>
                            <w:b w:val="0"/>
                            <w:i w:val="0"/>
                            <w:sz w:val="16"/>
                            <w:szCs w:val="16"/>
                            <w:lang w:val="pt-PT"/>
                          </w:rPr>
                        </w:pPr>
                        <w:r w:rsidRPr="00425A50">
                          <w:rPr>
                            <w:rFonts w:asciiTheme="minorHAnsi" w:hAnsiTheme="minorHAnsi" w:cstheme="minorHAnsi"/>
                            <w:b w:val="0"/>
                            <w:i w:val="0"/>
                            <w:sz w:val="16"/>
                            <w:szCs w:val="16"/>
                            <w:lang w:val="pt-PT"/>
                          </w:rPr>
                          <w:t>1980-2001</w:t>
                        </w:r>
                      </w:p>
                    </w:tc>
                    <w:tc>
                      <w:tcPr>
                        <w:tcW w:w="1291" w:type="dxa"/>
                        <w:gridSpan w:val="2"/>
                        <w:tcBorders>
                          <w:bottom w:val="nil"/>
                        </w:tcBorders>
                        <w:shd w:val="clear" w:color="auto" w:fill="FFFFFF" w:themeFill="background1"/>
                      </w:tcPr>
                      <w:p w:rsidR="00CC61DC" w:rsidRPr="00425A50" w:rsidRDefault="00CC61DC" w:rsidP="00CC61DC">
                        <w:pPr>
                          <w:pStyle w:val="quarterly-chart-subtitle"/>
                          <w:keepNext/>
                          <w:keepLines/>
                          <w:jc w:val="center"/>
                          <w:rPr>
                            <w:rFonts w:asciiTheme="minorHAnsi" w:hAnsiTheme="minorHAnsi" w:cstheme="minorHAnsi"/>
                            <w:b w:val="0"/>
                            <w:i w:val="0"/>
                            <w:sz w:val="16"/>
                            <w:szCs w:val="16"/>
                            <w:lang w:val="pt-PT"/>
                          </w:rPr>
                        </w:pPr>
                        <w:r w:rsidRPr="00425A50">
                          <w:rPr>
                            <w:rFonts w:asciiTheme="minorHAnsi" w:hAnsiTheme="minorHAnsi" w:cstheme="minorHAnsi"/>
                            <w:b w:val="0"/>
                            <w:i w:val="0"/>
                            <w:sz w:val="16"/>
                            <w:szCs w:val="16"/>
                            <w:lang w:val="pt-PT"/>
                          </w:rPr>
                          <w:t>2002-2008</w:t>
                        </w:r>
                      </w:p>
                    </w:tc>
                    <w:tc>
                      <w:tcPr>
                        <w:tcW w:w="1280" w:type="dxa"/>
                        <w:gridSpan w:val="2"/>
                        <w:tcBorders>
                          <w:bottom w:val="nil"/>
                        </w:tcBorders>
                        <w:shd w:val="clear" w:color="auto" w:fill="FFFFFF" w:themeFill="background1"/>
                      </w:tcPr>
                      <w:p w:rsidR="00CC61DC" w:rsidRPr="00425A50" w:rsidRDefault="00CC61DC" w:rsidP="00CC61DC">
                        <w:pPr>
                          <w:pStyle w:val="quarterly-chart-subtitle"/>
                          <w:keepNext/>
                          <w:keepLines/>
                          <w:jc w:val="center"/>
                          <w:rPr>
                            <w:rFonts w:asciiTheme="minorHAnsi" w:hAnsiTheme="minorHAnsi" w:cstheme="minorHAnsi"/>
                            <w:b w:val="0"/>
                            <w:i w:val="0"/>
                            <w:sz w:val="16"/>
                            <w:szCs w:val="16"/>
                            <w:lang w:val="pt-PT"/>
                          </w:rPr>
                        </w:pPr>
                        <w:r w:rsidRPr="00425A50">
                          <w:rPr>
                            <w:rFonts w:asciiTheme="minorHAnsi" w:hAnsiTheme="minorHAnsi" w:cstheme="minorHAnsi"/>
                            <w:b w:val="0"/>
                            <w:i w:val="0"/>
                            <w:sz w:val="16"/>
                            <w:szCs w:val="16"/>
                            <w:lang w:val="pt-PT"/>
                          </w:rPr>
                          <w:t>2009-2011</w:t>
                        </w:r>
                      </w:p>
                    </w:tc>
                  </w:tr>
                  <w:tr w:rsidR="00CC61DC" w:rsidRPr="00425A50" w:rsidTr="00CC61DC">
                    <w:tc>
                      <w:tcPr>
                        <w:tcW w:w="1136" w:type="dxa"/>
                        <w:tcBorders>
                          <w:top w:val="nil"/>
                          <w:bottom w:val="single" w:sz="4" w:space="0" w:color="auto"/>
                        </w:tcBorders>
                        <w:shd w:val="clear" w:color="auto" w:fill="FFFFFF" w:themeFill="background1"/>
                      </w:tcPr>
                      <w:p w:rsidR="00CC61DC" w:rsidRPr="00425A50" w:rsidRDefault="00CC61DC" w:rsidP="005E469D">
                        <w:pPr>
                          <w:pStyle w:val="quarterly-chart-subtitle"/>
                          <w:keepNext/>
                          <w:keepLines/>
                          <w:rPr>
                            <w:rFonts w:asciiTheme="minorHAnsi" w:hAnsiTheme="minorHAnsi" w:cstheme="minorHAnsi"/>
                            <w:b w:val="0"/>
                            <w:i w:val="0"/>
                            <w:sz w:val="16"/>
                            <w:szCs w:val="16"/>
                            <w:lang w:val="pt-PT"/>
                          </w:rPr>
                        </w:pPr>
                      </w:p>
                    </w:tc>
                    <w:tc>
                      <w:tcPr>
                        <w:tcW w:w="1294" w:type="dxa"/>
                        <w:gridSpan w:val="2"/>
                        <w:tcBorders>
                          <w:top w:val="nil"/>
                          <w:bottom w:val="single" w:sz="4" w:space="0" w:color="auto"/>
                        </w:tcBorders>
                        <w:shd w:val="clear" w:color="auto" w:fill="FFFFFF" w:themeFill="background1"/>
                      </w:tcPr>
                      <w:p w:rsidR="00CC61DC" w:rsidRPr="00425A50" w:rsidRDefault="00CC61DC" w:rsidP="00CC61DC">
                        <w:pPr>
                          <w:jc w:val="center"/>
                          <w:rPr>
                            <w:rFonts w:asciiTheme="minorHAnsi" w:hAnsiTheme="minorHAnsi" w:cs="Arial"/>
                            <w:sz w:val="16"/>
                            <w:szCs w:val="16"/>
                            <w:lang w:val="pt-PT"/>
                          </w:rPr>
                        </w:pPr>
                        <w:r w:rsidRPr="00425A50">
                          <w:rPr>
                            <w:rFonts w:asciiTheme="minorHAnsi" w:hAnsiTheme="minorHAnsi" w:cs="Arial"/>
                            <w:sz w:val="16"/>
                            <w:szCs w:val="16"/>
                            <w:lang w:val="pt-PT"/>
                          </w:rPr>
                          <w:t>Contribuição para o Crescimento</w:t>
                        </w:r>
                      </w:p>
                    </w:tc>
                    <w:tc>
                      <w:tcPr>
                        <w:tcW w:w="1238" w:type="dxa"/>
                        <w:gridSpan w:val="2"/>
                        <w:tcBorders>
                          <w:top w:val="nil"/>
                          <w:bottom w:val="single" w:sz="4" w:space="0" w:color="auto"/>
                        </w:tcBorders>
                        <w:shd w:val="clear" w:color="auto" w:fill="FFFFFF" w:themeFill="background1"/>
                      </w:tcPr>
                      <w:p w:rsidR="00CC61DC" w:rsidRPr="00425A50" w:rsidRDefault="00CC61DC" w:rsidP="00CC61DC">
                        <w:pPr>
                          <w:jc w:val="center"/>
                          <w:rPr>
                            <w:rFonts w:asciiTheme="minorHAnsi" w:hAnsiTheme="minorHAnsi" w:cs="Arial"/>
                            <w:sz w:val="16"/>
                            <w:szCs w:val="16"/>
                            <w:lang w:val="pt-PT"/>
                          </w:rPr>
                        </w:pPr>
                        <w:r w:rsidRPr="00425A50">
                          <w:rPr>
                            <w:rFonts w:asciiTheme="minorHAnsi" w:hAnsiTheme="minorHAnsi" w:cs="Arial"/>
                            <w:sz w:val="16"/>
                            <w:szCs w:val="16"/>
                            <w:lang w:val="pt-PT"/>
                          </w:rPr>
                          <w:t>Contribuição para o Crescimento</w:t>
                        </w:r>
                      </w:p>
                    </w:tc>
                    <w:tc>
                      <w:tcPr>
                        <w:tcW w:w="1291" w:type="dxa"/>
                        <w:gridSpan w:val="2"/>
                        <w:tcBorders>
                          <w:top w:val="nil"/>
                          <w:bottom w:val="single" w:sz="4" w:space="0" w:color="auto"/>
                        </w:tcBorders>
                        <w:shd w:val="clear" w:color="auto" w:fill="FFFFFF" w:themeFill="background1"/>
                      </w:tcPr>
                      <w:p w:rsidR="00CC61DC" w:rsidRPr="00425A50" w:rsidRDefault="00CC61DC" w:rsidP="00CC61DC">
                        <w:pPr>
                          <w:jc w:val="center"/>
                          <w:rPr>
                            <w:rFonts w:asciiTheme="minorHAnsi" w:hAnsiTheme="minorHAnsi"/>
                            <w:sz w:val="16"/>
                            <w:szCs w:val="16"/>
                            <w:lang w:val="pt-PT"/>
                          </w:rPr>
                        </w:pPr>
                        <w:r w:rsidRPr="00425A50">
                          <w:rPr>
                            <w:rFonts w:asciiTheme="minorHAnsi" w:hAnsiTheme="minorHAnsi" w:cs="Arial"/>
                            <w:iCs/>
                            <w:color w:val="000000"/>
                            <w:sz w:val="16"/>
                            <w:szCs w:val="16"/>
                            <w:lang w:val="pt-PT"/>
                          </w:rPr>
                          <w:t>Contribuição para o Crescimento</w:t>
                        </w:r>
                      </w:p>
                    </w:tc>
                    <w:tc>
                      <w:tcPr>
                        <w:tcW w:w="1280" w:type="dxa"/>
                        <w:gridSpan w:val="2"/>
                        <w:tcBorders>
                          <w:top w:val="nil"/>
                          <w:bottom w:val="single" w:sz="4" w:space="0" w:color="auto"/>
                        </w:tcBorders>
                        <w:shd w:val="clear" w:color="auto" w:fill="FFFFFF" w:themeFill="background1"/>
                      </w:tcPr>
                      <w:p w:rsidR="00CC61DC" w:rsidRPr="00425A50" w:rsidRDefault="00CC61DC" w:rsidP="00CC61DC">
                        <w:pPr>
                          <w:jc w:val="center"/>
                          <w:rPr>
                            <w:rFonts w:asciiTheme="minorHAnsi" w:hAnsiTheme="minorHAnsi" w:cs="Arial"/>
                            <w:sz w:val="16"/>
                            <w:szCs w:val="16"/>
                            <w:lang w:val="pt-PT"/>
                          </w:rPr>
                        </w:pPr>
                        <w:r w:rsidRPr="00425A50">
                          <w:rPr>
                            <w:rFonts w:asciiTheme="minorHAnsi" w:hAnsiTheme="minorHAnsi" w:cs="Arial"/>
                            <w:sz w:val="16"/>
                            <w:szCs w:val="16"/>
                            <w:lang w:val="pt-PT"/>
                          </w:rPr>
                          <w:t>Contribuição para o Crescimento</w:t>
                        </w:r>
                      </w:p>
                    </w:tc>
                  </w:tr>
                  <w:tr w:rsidR="00CC61DC" w:rsidRPr="00425A50" w:rsidTr="00CC61DC">
                    <w:tc>
                      <w:tcPr>
                        <w:tcW w:w="1136" w:type="dxa"/>
                        <w:tcBorders>
                          <w:bottom w:val="nil"/>
                        </w:tcBorders>
                        <w:shd w:val="clear" w:color="auto" w:fill="FFFFFF" w:themeFill="background1"/>
                      </w:tcPr>
                      <w:p w:rsidR="00CC61DC" w:rsidRPr="00425A50" w:rsidRDefault="00CC61DC" w:rsidP="005E469D">
                        <w:pPr>
                          <w:rPr>
                            <w:rFonts w:asciiTheme="minorHAnsi" w:hAnsiTheme="minorHAnsi"/>
                            <w:sz w:val="16"/>
                            <w:szCs w:val="16"/>
                            <w:lang w:val="pt-PT"/>
                          </w:rPr>
                        </w:pPr>
                        <w:r w:rsidRPr="00425A50">
                          <w:rPr>
                            <w:rFonts w:asciiTheme="minorHAnsi" w:hAnsiTheme="minorHAnsi" w:cs="Arial"/>
                            <w:bCs/>
                            <w:color w:val="000000"/>
                            <w:sz w:val="16"/>
                            <w:szCs w:val="16"/>
                            <w:lang w:val="pt-PT"/>
                          </w:rPr>
                          <w:t>PIB</w:t>
                        </w:r>
                      </w:p>
                    </w:tc>
                    <w:tc>
                      <w:tcPr>
                        <w:tcW w:w="630" w:type="dxa"/>
                        <w:tcBorders>
                          <w:bottom w:val="nil"/>
                          <w:right w:val="nil"/>
                        </w:tcBorders>
                        <w:shd w:val="clear" w:color="auto" w:fill="FFFFFF" w:themeFill="background1"/>
                      </w:tcPr>
                      <w:p w:rsidR="00CC61DC" w:rsidRPr="00425A50" w:rsidRDefault="00CC61DC" w:rsidP="00CC61DC">
                        <w:pPr>
                          <w:pStyle w:val="quarterly-chart-subtitle"/>
                          <w:keepNext/>
                          <w:keepLines/>
                          <w:jc w:val="center"/>
                          <w:rPr>
                            <w:rFonts w:asciiTheme="minorHAnsi" w:hAnsiTheme="minorHAnsi" w:cstheme="minorHAnsi"/>
                            <w:b w:val="0"/>
                            <w:i w:val="0"/>
                            <w:sz w:val="16"/>
                            <w:szCs w:val="16"/>
                            <w:lang w:val="pt-PT"/>
                          </w:rPr>
                        </w:pPr>
                        <w:r w:rsidRPr="00425A50">
                          <w:rPr>
                            <w:rFonts w:asciiTheme="minorHAnsi" w:hAnsiTheme="minorHAnsi" w:cstheme="minorHAnsi"/>
                            <w:b w:val="0"/>
                            <w:i w:val="0"/>
                            <w:sz w:val="16"/>
                            <w:szCs w:val="16"/>
                            <w:lang w:val="pt-PT"/>
                          </w:rPr>
                          <w:t>4.6%</w:t>
                        </w:r>
                      </w:p>
                    </w:tc>
                    <w:tc>
                      <w:tcPr>
                        <w:tcW w:w="664" w:type="dxa"/>
                        <w:tcBorders>
                          <w:left w:val="nil"/>
                          <w:bottom w:val="nil"/>
                        </w:tcBorders>
                        <w:shd w:val="clear" w:color="auto" w:fill="FFFFFF" w:themeFill="background1"/>
                      </w:tcPr>
                      <w:p w:rsidR="00CC61DC" w:rsidRPr="00425A50" w:rsidRDefault="00CC61DC" w:rsidP="00CC61DC">
                        <w:pPr>
                          <w:pStyle w:val="quarterly-chart-subtitle"/>
                          <w:keepNext/>
                          <w:keepLines/>
                          <w:jc w:val="center"/>
                          <w:rPr>
                            <w:rFonts w:asciiTheme="minorHAnsi" w:hAnsiTheme="minorHAnsi" w:cstheme="minorHAnsi"/>
                            <w:b w:val="0"/>
                            <w:i w:val="0"/>
                            <w:sz w:val="16"/>
                            <w:szCs w:val="16"/>
                            <w:lang w:val="pt-PT"/>
                          </w:rPr>
                        </w:pPr>
                      </w:p>
                    </w:tc>
                    <w:tc>
                      <w:tcPr>
                        <w:tcW w:w="608" w:type="dxa"/>
                        <w:tcBorders>
                          <w:bottom w:val="nil"/>
                          <w:right w:val="nil"/>
                        </w:tcBorders>
                        <w:shd w:val="clear" w:color="auto" w:fill="FFFFFF" w:themeFill="background1"/>
                      </w:tcPr>
                      <w:p w:rsidR="00CC61DC" w:rsidRPr="00425A50" w:rsidRDefault="00CC61DC" w:rsidP="00CC61DC">
                        <w:pPr>
                          <w:pStyle w:val="quarterly-chart-subtitle"/>
                          <w:keepNext/>
                          <w:keepLines/>
                          <w:jc w:val="center"/>
                          <w:rPr>
                            <w:rFonts w:asciiTheme="minorHAnsi" w:hAnsiTheme="minorHAnsi" w:cstheme="minorHAnsi"/>
                            <w:b w:val="0"/>
                            <w:i w:val="0"/>
                            <w:sz w:val="16"/>
                            <w:szCs w:val="16"/>
                            <w:lang w:val="pt-PT"/>
                          </w:rPr>
                        </w:pPr>
                        <w:r w:rsidRPr="00425A50">
                          <w:rPr>
                            <w:rFonts w:asciiTheme="minorHAnsi" w:hAnsiTheme="minorHAnsi" w:cstheme="minorHAnsi"/>
                            <w:b w:val="0"/>
                            <w:i w:val="0"/>
                            <w:sz w:val="16"/>
                            <w:szCs w:val="16"/>
                            <w:lang w:val="pt-PT"/>
                          </w:rPr>
                          <w:t>2%</w:t>
                        </w:r>
                      </w:p>
                    </w:tc>
                    <w:tc>
                      <w:tcPr>
                        <w:tcW w:w="630" w:type="dxa"/>
                        <w:tcBorders>
                          <w:left w:val="nil"/>
                          <w:bottom w:val="nil"/>
                        </w:tcBorders>
                        <w:shd w:val="clear" w:color="auto" w:fill="FFFFFF" w:themeFill="background1"/>
                      </w:tcPr>
                      <w:p w:rsidR="00CC61DC" w:rsidRPr="00425A50" w:rsidRDefault="00CC61DC" w:rsidP="00CC61DC">
                        <w:pPr>
                          <w:pStyle w:val="quarterly-chart-subtitle"/>
                          <w:keepNext/>
                          <w:keepLines/>
                          <w:jc w:val="center"/>
                          <w:rPr>
                            <w:rFonts w:asciiTheme="minorHAnsi" w:hAnsiTheme="minorHAnsi" w:cstheme="minorHAnsi"/>
                            <w:b w:val="0"/>
                            <w:i w:val="0"/>
                            <w:sz w:val="16"/>
                            <w:szCs w:val="16"/>
                            <w:lang w:val="pt-PT"/>
                          </w:rPr>
                        </w:pPr>
                      </w:p>
                    </w:tc>
                    <w:tc>
                      <w:tcPr>
                        <w:tcW w:w="674" w:type="dxa"/>
                        <w:tcBorders>
                          <w:bottom w:val="nil"/>
                          <w:right w:val="nil"/>
                        </w:tcBorders>
                        <w:shd w:val="clear" w:color="auto" w:fill="FFFFFF" w:themeFill="background1"/>
                      </w:tcPr>
                      <w:p w:rsidR="00CC61DC" w:rsidRPr="00425A50" w:rsidRDefault="00CC61DC" w:rsidP="00CC61DC">
                        <w:pPr>
                          <w:pStyle w:val="quarterly-chart-subtitle"/>
                          <w:keepNext/>
                          <w:keepLines/>
                          <w:jc w:val="center"/>
                          <w:rPr>
                            <w:rFonts w:asciiTheme="minorHAnsi" w:hAnsiTheme="minorHAnsi" w:cstheme="minorHAnsi"/>
                            <w:b w:val="0"/>
                            <w:i w:val="0"/>
                            <w:sz w:val="16"/>
                            <w:szCs w:val="16"/>
                            <w:lang w:val="pt-PT"/>
                          </w:rPr>
                        </w:pPr>
                        <w:r w:rsidRPr="00425A50">
                          <w:rPr>
                            <w:rFonts w:asciiTheme="minorHAnsi" w:hAnsiTheme="minorHAnsi" w:cstheme="minorHAnsi"/>
                            <w:b w:val="0"/>
                            <w:i w:val="0"/>
                            <w:sz w:val="16"/>
                            <w:szCs w:val="16"/>
                            <w:lang w:val="pt-PT"/>
                          </w:rPr>
                          <w:t>14%</w:t>
                        </w:r>
                      </w:p>
                    </w:tc>
                    <w:tc>
                      <w:tcPr>
                        <w:tcW w:w="617" w:type="dxa"/>
                        <w:tcBorders>
                          <w:left w:val="nil"/>
                          <w:bottom w:val="nil"/>
                        </w:tcBorders>
                        <w:shd w:val="clear" w:color="auto" w:fill="FFFFFF" w:themeFill="background1"/>
                      </w:tcPr>
                      <w:p w:rsidR="00CC61DC" w:rsidRPr="00425A50" w:rsidRDefault="00CC61DC" w:rsidP="00CC61DC">
                        <w:pPr>
                          <w:pStyle w:val="quarterly-chart-subtitle"/>
                          <w:keepNext/>
                          <w:keepLines/>
                          <w:jc w:val="center"/>
                          <w:rPr>
                            <w:rFonts w:asciiTheme="minorHAnsi" w:hAnsiTheme="minorHAnsi" w:cstheme="minorHAnsi"/>
                            <w:b w:val="0"/>
                            <w:i w:val="0"/>
                            <w:sz w:val="16"/>
                            <w:szCs w:val="16"/>
                            <w:lang w:val="pt-PT"/>
                          </w:rPr>
                        </w:pPr>
                      </w:p>
                    </w:tc>
                    <w:tc>
                      <w:tcPr>
                        <w:tcW w:w="650" w:type="dxa"/>
                        <w:tcBorders>
                          <w:bottom w:val="nil"/>
                          <w:right w:val="nil"/>
                        </w:tcBorders>
                        <w:shd w:val="clear" w:color="auto" w:fill="FFFFFF" w:themeFill="background1"/>
                      </w:tcPr>
                      <w:p w:rsidR="00CC61DC" w:rsidRPr="00425A50" w:rsidRDefault="00CC61DC" w:rsidP="00CC61DC">
                        <w:pPr>
                          <w:pStyle w:val="quarterly-chart-subtitle"/>
                          <w:keepNext/>
                          <w:keepLines/>
                          <w:jc w:val="center"/>
                          <w:rPr>
                            <w:rFonts w:asciiTheme="minorHAnsi" w:hAnsiTheme="minorHAnsi" w:cstheme="minorHAnsi"/>
                            <w:b w:val="0"/>
                            <w:i w:val="0"/>
                            <w:sz w:val="16"/>
                            <w:szCs w:val="16"/>
                            <w:lang w:val="pt-PT"/>
                          </w:rPr>
                        </w:pPr>
                        <w:r w:rsidRPr="00425A50">
                          <w:rPr>
                            <w:rFonts w:asciiTheme="minorHAnsi" w:hAnsiTheme="minorHAnsi" w:cstheme="minorHAnsi"/>
                            <w:b w:val="0"/>
                            <w:i w:val="0"/>
                            <w:sz w:val="16"/>
                            <w:szCs w:val="16"/>
                            <w:lang w:val="pt-PT"/>
                          </w:rPr>
                          <w:t>3%</w:t>
                        </w:r>
                      </w:p>
                    </w:tc>
                    <w:tc>
                      <w:tcPr>
                        <w:tcW w:w="630" w:type="dxa"/>
                        <w:tcBorders>
                          <w:left w:val="nil"/>
                          <w:bottom w:val="nil"/>
                        </w:tcBorders>
                        <w:shd w:val="clear" w:color="auto" w:fill="FFFFFF" w:themeFill="background1"/>
                      </w:tcPr>
                      <w:p w:rsidR="00CC61DC" w:rsidRPr="00425A50" w:rsidRDefault="00CC61DC" w:rsidP="00CC61DC">
                        <w:pPr>
                          <w:pStyle w:val="quarterly-chart-subtitle"/>
                          <w:keepNext/>
                          <w:keepLines/>
                          <w:jc w:val="center"/>
                          <w:rPr>
                            <w:rFonts w:asciiTheme="minorHAnsi" w:hAnsiTheme="minorHAnsi" w:cstheme="minorHAnsi"/>
                            <w:b w:val="0"/>
                            <w:i w:val="0"/>
                            <w:sz w:val="16"/>
                            <w:szCs w:val="16"/>
                            <w:lang w:val="pt-PT"/>
                          </w:rPr>
                        </w:pPr>
                      </w:p>
                    </w:tc>
                  </w:tr>
                  <w:tr w:rsidR="00CC61DC" w:rsidRPr="00425A50" w:rsidTr="00CC61DC">
                    <w:tc>
                      <w:tcPr>
                        <w:tcW w:w="1136" w:type="dxa"/>
                        <w:tcBorders>
                          <w:top w:val="nil"/>
                          <w:bottom w:val="nil"/>
                        </w:tcBorders>
                        <w:shd w:val="clear" w:color="auto" w:fill="FFFFFF" w:themeFill="background1"/>
                      </w:tcPr>
                      <w:p w:rsidR="00CC61DC" w:rsidRPr="00425A50" w:rsidRDefault="00CC61DC" w:rsidP="005E469D">
                        <w:pPr>
                          <w:rPr>
                            <w:rFonts w:asciiTheme="minorHAnsi" w:hAnsiTheme="minorHAnsi"/>
                            <w:sz w:val="16"/>
                            <w:szCs w:val="16"/>
                          </w:rPr>
                        </w:pPr>
                        <w:r w:rsidRPr="00425A50">
                          <w:rPr>
                            <w:rFonts w:asciiTheme="minorHAnsi" w:hAnsiTheme="minorHAnsi" w:cs="Arial"/>
                            <w:bCs/>
                            <w:color w:val="000000"/>
                            <w:sz w:val="16"/>
                            <w:szCs w:val="16"/>
                          </w:rPr>
                          <w:t>Capital</w:t>
                        </w:r>
                      </w:p>
                    </w:tc>
                    <w:tc>
                      <w:tcPr>
                        <w:tcW w:w="630" w:type="dxa"/>
                        <w:tcBorders>
                          <w:top w:val="nil"/>
                          <w:bottom w:val="nil"/>
                          <w:right w:val="nil"/>
                        </w:tcBorders>
                        <w:shd w:val="clear" w:color="auto" w:fill="FFFFFF" w:themeFill="background1"/>
                      </w:tcPr>
                      <w:p w:rsidR="00CC61DC" w:rsidRPr="00425A50" w:rsidRDefault="00CC61DC" w:rsidP="00CC61DC">
                        <w:pPr>
                          <w:pStyle w:val="quarterly-chart-subtitle"/>
                          <w:keepNext/>
                          <w:keepLines/>
                          <w:jc w:val="center"/>
                          <w:rPr>
                            <w:rFonts w:asciiTheme="minorHAnsi" w:hAnsiTheme="minorHAnsi" w:cstheme="minorHAnsi"/>
                            <w:b w:val="0"/>
                            <w:i w:val="0"/>
                            <w:sz w:val="16"/>
                            <w:szCs w:val="16"/>
                            <w:lang w:val="pt-PT"/>
                          </w:rPr>
                        </w:pPr>
                        <w:r w:rsidRPr="00425A50">
                          <w:rPr>
                            <w:rFonts w:asciiTheme="minorHAnsi" w:hAnsiTheme="minorHAnsi" w:cstheme="minorHAnsi"/>
                            <w:b w:val="0"/>
                            <w:i w:val="0"/>
                            <w:sz w:val="16"/>
                            <w:szCs w:val="16"/>
                            <w:lang w:val="pt-PT"/>
                          </w:rPr>
                          <w:t>4.2%</w:t>
                        </w:r>
                      </w:p>
                    </w:tc>
                    <w:tc>
                      <w:tcPr>
                        <w:tcW w:w="664" w:type="dxa"/>
                        <w:tcBorders>
                          <w:top w:val="nil"/>
                          <w:left w:val="nil"/>
                          <w:bottom w:val="nil"/>
                        </w:tcBorders>
                        <w:shd w:val="clear" w:color="auto" w:fill="FFFFFF" w:themeFill="background1"/>
                      </w:tcPr>
                      <w:p w:rsidR="00CC61DC" w:rsidRPr="00425A50" w:rsidRDefault="00CC61DC" w:rsidP="00CC61DC">
                        <w:pPr>
                          <w:pStyle w:val="quarterly-chart-subtitle"/>
                          <w:keepNext/>
                          <w:keepLines/>
                          <w:jc w:val="center"/>
                          <w:rPr>
                            <w:rFonts w:asciiTheme="minorHAnsi" w:hAnsiTheme="minorHAnsi" w:cstheme="minorHAnsi"/>
                            <w:b w:val="0"/>
                            <w:i w:val="0"/>
                            <w:sz w:val="16"/>
                            <w:szCs w:val="16"/>
                            <w:lang w:val="pt-PT"/>
                          </w:rPr>
                        </w:pPr>
                        <w:r w:rsidRPr="00425A50">
                          <w:rPr>
                            <w:rFonts w:asciiTheme="minorHAnsi" w:hAnsiTheme="minorHAnsi" w:cstheme="minorHAnsi"/>
                            <w:b w:val="0"/>
                            <w:i w:val="0"/>
                            <w:sz w:val="16"/>
                            <w:szCs w:val="16"/>
                            <w:lang w:val="pt-PT"/>
                          </w:rPr>
                          <w:t>41%</w:t>
                        </w:r>
                      </w:p>
                    </w:tc>
                    <w:tc>
                      <w:tcPr>
                        <w:tcW w:w="608" w:type="dxa"/>
                        <w:tcBorders>
                          <w:top w:val="nil"/>
                          <w:bottom w:val="nil"/>
                          <w:right w:val="nil"/>
                        </w:tcBorders>
                        <w:shd w:val="clear" w:color="auto" w:fill="FFFFFF" w:themeFill="background1"/>
                      </w:tcPr>
                      <w:p w:rsidR="00CC61DC" w:rsidRPr="00425A50" w:rsidRDefault="00CC61DC" w:rsidP="00CC61DC">
                        <w:pPr>
                          <w:pStyle w:val="quarterly-chart-subtitle"/>
                          <w:keepNext/>
                          <w:keepLines/>
                          <w:jc w:val="center"/>
                          <w:rPr>
                            <w:rFonts w:asciiTheme="minorHAnsi" w:hAnsiTheme="minorHAnsi" w:cstheme="minorHAnsi"/>
                            <w:b w:val="0"/>
                            <w:i w:val="0"/>
                            <w:sz w:val="16"/>
                            <w:szCs w:val="16"/>
                            <w:lang w:val="pt-PT"/>
                          </w:rPr>
                        </w:pPr>
                        <w:r w:rsidRPr="00425A50">
                          <w:rPr>
                            <w:rFonts w:asciiTheme="minorHAnsi" w:hAnsiTheme="minorHAnsi" w:cstheme="minorHAnsi"/>
                            <w:b w:val="0"/>
                            <w:i w:val="0"/>
                            <w:sz w:val="16"/>
                            <w:szCs w:val="16"/>
                            <w:lang w:val="pt-PT"/>
                          </w:rPr>
                          <w:t>5%</w:t>
                        </w:r>
                      </w:p>
                    </w:tc>
                    <w:tc>
                      <w:tcPr>
                        <w:tcW w:w="630" w:type="dxa"/>
                        <w:tcBorders>
                          <w:top w:val="nil"/>
                          <w:left w:val="nil"/>
                          <w:bottom w:val="nil"/>
                        </w:tcBorders>
                        <w:shd w:val="clear" w:color="auto" w:fill="FFFFFF" w:themeFill="background1"/>
                      </w:tcPr>
                      <w:p w:rsidR="00CC61DC" w:rsidRPr="00425A50" w:rsidRDefault="00CC61DC" w:rsidP="00CC61DC">
                        <w:pPr>
                          <w:pStyle w:val="quarterly-chart-subtitle"/>
                          <w:keepNext/>
                          <w:keepLines/>
                          <w:jc w:val="center"/>
                          <w:rPr>
                            <w:rFonts w:asciiTheme="minorHAnsi" w:hAnsiTheme="minorHAnsi" w:cstheme="minorHAnsi"/>
                            <w:b w:val="0"/>
                            <w:i w:val="0"/>
                            <w:sz w:val="16"/>
                            <w:szCs w:val="16"/>
                            <w:lang w:val="pt-PT"/>
                          </w:rPr>
                        </w:pPr>
                        <w:r w:rsidRPr="00425A50">
                          <w:rPr>
                            <w:rFonts w:asciiTheme="minorHAnsi" w:hAnsiTheme="minorHAnsi" w:cstheme="minorHAnsi"/>
                            <w:b w:val="0"/>
                            <w:i w:val="0"/>
                            <w:sz w:val="16"/>
                            <w:szCs w:val="16"/>
                            <w:lang w:val="pt-PT"/>
                          </w:rPr>
                          <w:t>133%</w:t>
                        </w:r>
                      </w:p>
                    </w:tc>
                    <w:tc>
                      <w:tcPr>
                        <w:tcW w:w="674" w:type="dxa"/>
                        <w:tcBorders>
                          <w:top w:val="nil"/>
                          <w:bottom w:val="nil"/>
                          <w:right w:val="nil"/>
                        </w:tcBorders>
                        <w:shd w:val="clear" w:color="auto" w:fill="FFFFFF" w:themeFill="background1"/>
                      </w:tcPr>
                      <w:p w:rsidR="00CC61DC" w:rsidRPr="00425A50" w:rsidRDefault="00CC61DC" w:rsidP="00CC61DC">
                        <w:pPr>
                          <w:pStyle w:val="quarterly-chart-subtitle"/>
                          <w:keepNext/>
                          <w:keepLines/>
                          <w:jc w:val="center"/>
                          <w:rPr>
                            <w:rFonts w:asciiTheme="minorHAnsi" w:hAnsiTheme="minorHAnsi" w:cstheme="minorHAnsi"/>
                            <w:b w:val="0"/>
                            <w:i w:val="0"/>
                            <w:sz w:val="16"/>
                            <w:szCs w:val="16"/>
                            <w:lang w:val="pt-PT"/>
                          </w:rPr>
                        </w:pPr>
                        <w:r w:rsidRPr="00425A50">
                          <w:rPr>
                            <w:rFonts w:asciiTheme="minorHAnsi" w:hAnsiTheme="minorHAnsi" w:cstheme="minorHAnsi"/>
                            <w:b w:val="0"/>
                            <w:i w:val="0"/>
                            <w:sz w:val="16"/>
                            <w:szCs w:val="16"/>
                            <w:lang w:val="pt-PT"/>
                          </w:rPr>
                          <w:t>1%</w:t>
                        </w:r>
                      </w:p>
                    </w:tc>
                    <w:tc>
                      <w:tcPr>
                        <w:tcW w:w="617" w:type="dxa"/>
                        <w:tcBorders>
                          <w:top w:val="nil"/>
                          <w:left w:val="nil"/>
                          <w:bottom w:val="nil"/>
                        </w:tcBorders>
                        <w:shd w:val="clear" w:color="auto" w:fill="FFFFFF" w:themeFill="background1"/>
                      </w:tcPr>
                      <w:p w:rsidR="00CC61DC" w:rsidRPr="00425A50" w:rsidRDefault="00CC61DC" w:rsidP="00CC61DC">
                        <w:pPr>
                          <w:pStyle w:val="quarterly-chart-subtitle"/>
                          <w:keepNext/>
                          <w:keepLines/>
                          <w:jc w:val="center"/>
                          <w:rPr>
                            <w:rFonts w:asciiTheme="minorHAnsi" w:hAnsiTheme="minorHAnsi" w:cstheme="minorHAnsi"/>
                            <w:b w:val="0"/>
                            <w:i w:val="0"/>
                            <w:sz w:val="16"/>
                            <w:szCs w:val="16"/>
                            <w:lang w:val="pt-PT"/>
                          </w:rPr>
                        </w:pPr>
                        <w:r w:rsidRPr="00425A50">
                          <w:rPr>
                            <w:rFonts w:asciiTheme="minorHAnsi" w:hAnsiTheme="minorHAnsi" w:cstheme="minorHAnsi"/>
                            <w:b w:val="0"/>
                            <w:i w:val="0"/>
                            <w:sz w:val="16"/>
                            <w:szCs w:val="16"/>
                            <w:lang w:val="pt-PT"/>
                          </w:rPr>
                          <w:t>5%</w:t>
                        </w:r>
                      </w:p>
                    </w:tc>
                    <w:tc>
                      <w:tcPr>
                        <w:tcW w:w="650" w:type="dxa"/>
                        <w:tcBorders>
                          <w:top w:val="nil"/>
                          <w:bottom w:val="nil"/>
                          <w:right w:val="nil"/>
                        </w:tcBorders>
                        <w:shd w:val="clear" w:color="auto" w:fill="FFFFFF" w:themeFill="background1"/>
                      </w:tcPr>
                      <w:p w:rsidR="00CC61DC" w:rsidRPr="00425A50" w:rsidRDefault="00CC61DC" w:rsidP="00CC61DC">
                        <w:pPr>
                          <w:pStyle w:val="quarterly-chart-subtitle"/>
                          <w:keepNext/>
                          <w:keepLines/>
                          <w:jc w:val="center"/>
                          <w:rPr>
                            <w:rFonts w:asciiTheme="minorHAnsi" w:hAnsiTheme="minorHAnsi" w:cstheme="minorHAnsi"/>
                            <w:b w:val="0"/>
                            <w:i w:val="0"/>
                            <w:sz w:val="16"/>
                            <w:szCs w:val="16"/>
                            <w:lang w:val="pt-PT"/>
                          </w:rPr>
                        </w:pPr>
                        <w:r w:rsidRPr="00425A50">
                          <w:rPr>
                            <w:rFonts w:asciiTheme="minorHAnsi" w:hAnsiTheme="minorHAnsi" w:cstheme="minorHAnsi"/>
                            <w:b w:val="0"/>
                            <w:i w:val="0"/>
                            <w:sz w:val="16"/>
                            <w:szCs w:val="16"/>
                            <w:lang w:val="pt-PT"/>
                          </w:rPr>
                          <w:t>6%</w:t>
                        </w:r>
                      </w:p>
                    </w:tc>
                    <w:tc>
                      <w:tcPr>
                        <w:tcW w:w="630" w:type="dxa"/>
                        <w:tcBorders>
                          <w:top w:val="nil"/>
                          <w:left w:val="nil"/>
                          <w:bottom w:val="nil"/>
                        </w:tcBorders>
                        <w:shd w:val="clear" w:color="auto" w:fill="FFFFFF" w:themeFill="background1"/>
                      </w:tcPr>
                      <w:p w:rsidR="00CC61DC" w:rsidRPr="00425A50" w:rsidRDefault="00CC61DC" w:rsidP="00CC61DC">
                        <w:pPr>
                          <w:pStyle w:val="quarterly-chart-subtitle"/>
                          <w:keepNext/>
                          <w:keepLines/>
                          <w:jc w:val="center"/>
                          <w:rPr>
                            <w:rFonts w:asciiTheme="minorHAnsi" w:hAnsiTheme="minorHAnsi" w:cstheme="minorHAnsi"/>
                            <w:b w:val="0"/>
                            <w:i w:val="0"/>
                            <w:sz w:val="16"/>
                            <w:szCs w:val="16"/>
                            <w:lang w:val="pt-PT"/>
                          </w:rPr>
                        </w:pPr>
                        <w:r w:rsidRPr="00425A50">
                          <w:rPr>
                            <w:rFonts w:asciiTheme="minorHAnsi" w:hAnsiTheme="minorHAnsi" w:cstheme="minorHAnsi"/>
                            <w:b w:val="0"/>
                            <w:i w:val="0"/>
                            <w:sz w:val="16"/>
                            <w:szCs w:val="16"/>
                            <w:lang w:val="pt-PT"/>
                          </w:rPr>
                          <w:t>95%</w:t>
                        </w:r>
                      </w:p>
                    </w:tc>
                  </w:tr>
                  <w:tr w:rsidR="00CC61DC" w:rsidRPr="00425A50" w:rsidTr="00CC61DC">
                    <w:tc>
                      <w:tcPr>
                        <w:tcW w:w="1136" w:type="dxa"/>
                        <w:tcBorders>
                          <w:top w:val="nil"/>
                          <w:bottom w:val="nil"/>
                        </w:tcBorders>
                        <w:shd w:val="clear" w:color="auto" w:fill="FFFFFF" w:themeFill="background1"/>
                      </w:tcPr>
                      <w:p w:rsidR="00CC61DC" w:rsidRPr="00425A50" w:rsidRDefault="00CC61DC" w:rsidP="005E469D">
                        <w:pPr>
                          <w:rPr>
                            <w:rFonts w:asciiTheme="minorHAnsi" w:hAnsiTheme="minorHAnsi"/>
                            <w:sz w:val="16"/>
                            <w:szCs w:val="16"/>
                            <w:lang w:val="pt-PT"/>
                          </w:rPr>
                        </w:pPr>
                        <w:r w:rsidRPr="00425A50">
                          <w:rPr>
                            <w:rFonts w:asciiTheme="minorHAnsi" w:hAnsiTheme="minorHAnsi" w:cs="Arial"/>
                            <w:bCs/>
                            <w:color w:val="000000"/>
                            <w:sz w:val="16"/>
                            <w:szCs w:val="16"/>
                            <w:lang w:val="pt-PT"/>
                          </w:rPr>
                          <w:t>Mão-de-obra</w:t>
                        </w:r>
                      </w:p>
                    </w:tc>
                    <w:tc>
                      <w:tcPr>
                        <w:tcW w:w="630" w:type="dxa"/>
                        <w:tcBorders>
                          <w:top w:val="nil"/>
                          <w:bottom w:val="nil"/>
                          <w:right w:val="nil"/>
                        </w:tcBorders>
                        <w:shd w:val="clear" w:color="auto" w:fill="FFFFFF" w:themeFill="background1"/>
                      </w:tcPr>
                      <w:p w:rsidR="00CC61DC" w:rsidRPr="00425A50" w:rsidRDefault="00CC61DC" w:rsidP="00CC61DC">
                        <w:pPr>
                          <w:pStyle w:val="quarterly-chart-subtitle"/>
                          <w:keepNext/>
                          <w:keepLines/>
                          <w:jc w:val="center"/>
                          <w:rPr>
                            <w:rFonts w:asciiTheme="minorHAnsi" w:hAnsiTheme="minorHAnsi" w:cstheme="minorHAnsi"/>
                            <w:b w:val="0"/>
                            <w:i w:val="0"/>
                            <w:sz w:val="16"/>
                            <w:szCs w:val="16"/>
                            <w:lang w:val="pt-PT"/>
                          </w:rPr>
                        </w:pPr>
                        <w:r w:rsidRPr="00425A50">
                          <w:rPr>
                            <w:rFonts w:asciiTheme="minorHAnsi" w:hAnsiTheme="minorHAnsi" w:cstheme="minorHAnsi"/>
                            <w:b w:val="0"/>
                            <w:i w:val="0"/>
                            <w:sz w:val="16"/>
                            <w:szCs w:val="16"/>
                            <w:lang w:val="pt-PT"/>
                          </w:rPr>
                          <w:t>3.1%</w:t>
                        </w:r>
                      </w:p>
                    </w:tc>
                    <w:tc>
                      <w:tcPr>
                        <w:tcW w:w="664" w:type="dxa"/>
                        <w:tcBorders>
                          <w:top w:val="nil"/>
                          <w:left w:val="nil"/>
                          <w:bottom w:val="nil"/>
                        </w:tcBorders>
                        <w:shd w:val="clear" w:color="auto" w:fill="FFFFFF" w:themeFill="background1"/>
                      </w:tcPr>
                      <w:p w:rsidR="00CC61DC" w:rsidRPr="00425A50" w:rsidRDefault="00CC61DC" w:rsidP="00CC61DC">
                        <w:pPr>
                          <w:pStyle w:val="quarterly-chart-subtitle"/>
                          <w:keepNext/>
                          <w:keepLines/>
                          <w:jc w:val="center"/>
                          <w:rPr>
                            <w:rFonts w:asciiTheme="minorHAnsi" w:hAnsiTheme="minorHAnsi" w:cstheme="minorHAnsi"/>
                            <w:b w:val="0"/>
                            <w:i w:val="0"/>
                            <w:sz w:val="16"/>
                            <w:szCs w:val="16"/>
                            <w:lang w:val="pt-PT"/>
                          </w:rPr>
                        </w:pPr>
                        <w:r w:rsidRPr="00425A50">
                          <w:rPr>
                            <w:rFonts w:asciiTheme="minorHAnsi" w:hAnsiTheme="minorHAnsi" w:cstheme="minorHAnsi"/>
                            <w:b w:val="0"/>
                            <w:i w:val="0"/>
                            <w:sz w:val="16"/>
                            <w:szCs w:val="16"/>
                            <w:lang w:val="pt-PT"/>
                          </w:rPr>
                          <w:t>37%</w:t>
                        </w:r>
                      </w:p>
                    </w:tc>
                    <w:tc>
                      <w:tcPr>
                        <w:tcW w:w="608" w:type="dxa"/>
                        <w:tcBorders>
                          <w:top w:val="nil"/>
                          <w:bottom w:val="nil"/>
                          <w:right w:val="nil"/>
                        </w:tcBorders>
                        <w:shd w:val="clear" w:color="auto" w:fill="FFFFFF" w:themeFill="background1"/>
                      </w:tcPr>
                      <w:p w:rsidR="00CC61DC" w:rsidRPr="00425A50" w:rsidRDefault="00CC61DC" w:rsidP="00CC61DC">
                        <w:pPr>
                          <w:pStyle w:val="quarterly-chart-subtitle"/>
                          <w:keepNext/>
                          <w:keepLines/>
                          <w:jc w:val="center"/>
                          <w:rPr>
                            <w:rFonts w:asciiTheme="minorHAnsi" w:hAnsiTheme="minorHAnsi" w:cstheme="minorHAnsi"/>
                            <w:b w:val="0"/>
                            <w:i w:val="0"/>
                            <w:sz w:val="16"/>
                            <w:szCs w:val="16"/>
                            <w:lang w:val="pt-PT"/>
                          </w:rPr>
                        </w:pPr>
                        <w:r w:rsidRPr="00425A50">
                          <w:rPr>
                            <w:rFonts w:asciiTheme="minorHAnsi" w:hAnsiTheme="minorHAnsi" w:cstheme="minorHAnsi"/>
                            <w:b w:val="0"/>
                            <w:i w:val="0"/>
                            <w:sz w:val="16"/>
                            <w:szCs w:val="16"/>
                            <w:lang w:val="pt-PT"/>
                          </w:rPr>
                          <w:t>3%</w:t>
                        </w:r>
                      </w:p>
                    </w:tc>
                    <w:tc>
                      <w:tcPr>
                        <w:tcW w:w="630" w:type="dxa"/>
                        <w:tcBorders>
                          <w:top w:val="nil"/>
                          <w:left w:val="nil"/>
                          <w:bottom w:val="nil"/>
                        </w:tcBorders>
                        <w:shd w:val="clear" w:color="auto" w:fill="FFFFFF" w:themeFill="background1"/>
                      </w:tcPr>
                      <w:p w:rsidR="00CC61DC" w:rsidRPr="00425A50" w:rsidRDefault="00CC61DC" w:rsidP="00CC61DC">
                        <w:pPr>
                          <w:pStyle w:val="quarterly-chart-subtitle"/>
                          <w:keepNext/>
                          <w:keepLines/>
                          <w:jc w:val="center"/>
                          <w:rPr>
                            <w:rFonts w:asciiTheme="minorHAnsi" w:hAnsiTheme="minorHAnsi" w:cstheme="minorHAnsi"/>
                            <w:b w:val="0"/>
                            <w:i w:val="0"/>
                            <w:sz w:val="16"/>
                            <w:szCs w:val="16"/>
                            <w:lang w:val="pt-PT"/>
                          </w:rPr>
                        </w:pPr>
                        <w:r w:rsidRPr="00425A50">
                          <w:rPr>
                            <w:rFonts w:asciiTheme="minorHAnsi" w:hAnsiTheme="minorHAnsi" w:cstheme="minorHAnsi"/>
                            <w:b w:val="0"/>
                            <w:i w:val="0"/>
                            <w:sz w:val="16"/>
                            <w:szCs w:val="16"/>
                            <w:lang w:val="pt-PT"/>
                          </w:rPr>
                          <w:t>103%</w:t>
                        </w:r>
                      </w:p>
                    </w:tc>
                    <w:tc>
                      <w:tcPr>
                        <w:tcW w:w="674" w:type="dxa"/>
                        <w:tcBorders>
                          <w:top w:val="nil"/>
                          <w:bottom w:val="nil"/>
                          <w:right w:val="nil"/>
                        </w:tcBorders>
                        <w:shd w:val="clear" w:color="auto" w:fill="FFFFFF" w:themeFill="background1"/>
                      </w:tcPr>
                      <w:p w:rsidR="00CC61DC" w:rsidRPr="00425A50" w:rsidRDefault="00CC61DC" w:rsidP="00CC61DC">
                        <w:pPr>
                          <w:pStyle w:val="quarterly-chart-subtitle"/>
                          <w:keepNext/>
                          <w:keepLines/>
                          <w:jc w:val="center"/>
                          <w:rPr>
                            <w:rFonts w:asciiTheme="minorHAnsi" w:hAnsiTheme="minorHAnsi" w:cstheme="minorHAnsi"/>
                            <w:b w:val="0"/>
                            <w:i w:val="0"/>
                            <w:sz w:val="16"/>
                            <w:szCs w:val="16"/>
                            <w:lang w:val="pt-PT"/>
                          </w:rPr>
                        </w:pPr>
                        <w:r w:rsidRPr="00425A50">
                          <w:rPr>
                            <w:rFonts w:asciiTheme="minorHAnsi" w:hAnsiTheme="minorHAnsi" w:cstheme="minorHAnsi"/>
                            <w:b w:val="0"/>
                            <w:i w:val="0"/>
                            <w:sz w:val="16"/>
                            <w:szCs w:val="16"/>
                            <w:lang w:val="pt-PT"/>
                          </w:rPr>
                          <w:t>3%</w:t>
                        </w:r>
                      </w:p>
                    </w:tc>
                    <w:tc>
                      <w:tcPr>
                        <w:tcW w:w="617" w:type="dxa"/>
                        <w:tcBorders>
                          <w:top w:val="nil"/>
                          <w:left w:val="nil"/>
                          <w:bottom w:val="nil"/>
                        </w:tcBorders>
                        <w:shd w:val="clear" w:color="auto" w:fill="FFFFFF" w:themeFill="background1"/>
                      </w:tcPr>
                      <w:p w:rsidR="00CC61DC" w:rsidRPr="00425A50" w:rsidRDefault="00CC61DC" w:rsidP="00CC61DC">
                        <w:pPr>
                          <w:pStyle w:val="quarterly-chart-subtitle"/>
                          <w:keepNext/>
                          <w:keepLines/>
                          <w:jc w:val="center"/>
                          <w:rPr>
                            <w:rFonts w:asciiTheme="minorHAnsi" w:hAnsiTheme="minorHAnsi" w:cstheme="minorHAnsi"/>
                            <w:b w:val="0"/>
                            <w:i w:val="0"/>
                            <w:sz w:val="16"/>
                            <w:szCs w:val="16"/>
                            <w:lang w:val="pt-PT"/>
                          </w:rPr>
                        </w:pPr>
                        <w:r w:rsidRPr="00425A50">
                          <w:rPr>
                            <w:rFonts w:asciiTheme="minorHAnsi" w:hAnsiTheme="minorHAnsi" w:cstheme="minorHAnsi"/>
                            <w:b w:val="0"/>
                            <w:i w:val="0"/>
                            <w:sz w:val="16"/>
                            <w:szCs w:val="16"/>
                            <w:lang w:val="pt-PT"/>
                          </w:rPr>
                          <w:t>12%</w:t>
                        </w:r>
                      </w:p>
                    </w:tc>
                    <w:tc>
                      <w:tcPr>
                        <w:tcW w:w="650" w:type="dxa"/>
                        <w:tcBorders>
                          <w:top w:val="nil"/>
                          <w:bottom w:val="nil"/>
                          <w:right w:val="nil"/>
                        </w:tcBorders>
                        <w:shd w:val="clear" w:color="auto" w:fill="FFFFFF" w:themeFill="background1"/>
                      </w:tcPr>
                      <w:p w:rsidR="00CC61DC" w:rsidRPr="00425A50" w:rsidRDefault="00CC61DC" w:rsidP="00CC61DC">
                        <w:pPr>
                          <w:pStyle w:val="quarterly-chart-subtitle"/>
                          <w:keepNext/>
                          <w:keepLines/>
                          <w:jc w:val="center"/>
                          <w:rPr>
                            <w:rFonts w:asciiTheme="minorHAnsi" w:hAnsiTheme="minorHAnsi" w:cstheme="minorHAnsi"/>
                            <w:b w:val="0"/>
                            <w:i w:val="0"/>
                            <w:sz w:val="16"/>
                            <w:szCs w:val="16"/>
                            <w:lang w:val="pt-PT"/>
                          </w:rPr>
                        </w:pPr>
                        <w:r w:rsidRPr="00425A50">
                          <w:rPr>
                            <w:rFonts w:asciiTheme="minorHAnsi" w:hAnsiTheme="minorHAnsi" w:cstheme="minorHAnsi"/>
                            <w:b w:val="0"/>
                            <w:i w:val="0"/>
                            <w:sz w:val="16"/>
                            <w:szCs w:val="16"/>
                            <w:lang w:val="pt-PT"/>
                          </w:rPr>
                          <w:t>4%</w:t>
                        </w:r>
                      </w:p>
                    </w:tc>
                    <w:tc>
                      <w:tcPr>
                        <w:tcW w:w="630" w:type="dxa"/>
                        <w:tcBorders>
                          <w:top w:val="nil"/>
                          <w:left w:val="nil"/>
                          <w:bottom w:val="nil"/>
                        </w:tcBorders>
                        <w:shd w:val="clear" w:color="auto" w:fill="FFFFFF" w:themeFill="background1"/>
                      </w:tcPr>
                      <w:p w:rsidR="00CC61DC" w:rsidRPr="00425A50" w:rsidRDefault="00CC61DC" w:rsidP="00CC61DC">
                        <w:pPr>
                          <w:pStyle w:val="quarterly-chart-subtitle"/>
                          <w:keepNext/>
                          <w:keepLines/>
                          <w:jc w:val="center"/>
                          <w:rPr>
                            <w:rFonts w:asciiTheme="minorHAnsi" w:hAnsiTheme="minorHAnsi" w:cstheme="minorHAnsi"/>
                            <w:b w:val="0"/>
                            <w:i w:val="0"/>
                            <w:sz w:val="16"/>
                            <w:szCs w:val="16"/>
                            <w:lang w:val="pt-PT"/>
                          </w:rPr>
                        </w:pPr>
                        <w:r w:rsidRPr="00425A50">
                          <w:rPr>
                            <w:rFonts w:asciiTheme="minorHAnsi" w:hAnsiTheme="minorHAnsi" w:cstheme="minorHAnsi"/>
                            <w:b w:val="0"/>
                            <w:i w:val="0"/>
                            <w:sz w:val="16"/>
                            <w:szCs w:val="16"/>
                            <w:lang w:val="pt-PT"/>
                          </w:rPr>
                          <w:t>65%</w:t>
                        </w:r>
                      </w:p>
                    </w:tc>
                  </w:tr>
                  <w:tr w:rsidR="00CC61DC" w:rsidRPr="00425A50" w:rsidTr="00CC61DC">
                    <w:tc>
                      <w:tcPr>
                        <w:tcW w:w="1136" w:type="dxa"/>
                        <w:tcBorders>
                          <w:top w:val="nil"/>
                        </w:tcBorders>
                        <w:shd w:val="clear" w:color="auto" w:fill="FFFFFF" w:themeFill="background1"/>
                      </w:tcPr>
                      <w:p w:rsidR="00CC61DC" w:rsidRPr="00425A50" w:rsidRDefault="00CC61DC" w:rsidP="005E469D">
                        <w:pPr>
                          <w:rPr>
                            <w:rFonts w:asciiTheme="minorHAnsi" w:hAnsiTheme="minorHAnsi"/>
                            <w:sz w:val="16"/>
                            <w:szCs w:val="16"/>
                          </w:rPr>
                        </w:pPr>
                        <w:r w:rsidRPr="00425A50">
                          <w:rPr>
                            <w:rFonts w:asciiTheme="minorHAnsi" w:hAnsiTheme="minorHAnsi" w:cs="Arial"/>
                            <w:bCs/>
                            <w:color w:val="000000"/>
                            <w:sz w:val="16"/>
                            <w:szCs w:val="16"/>
                          </w:rPr>
                          <w:t>TFP</w:t>
                        </w:r>
                      </w:p>
                    </w:tc>
                    <w:tc>
                      <w:tcPr>
                        <w:tcW w:w="630" w:type="dxa"/>
                        <w:tcBorders>
                          <w:top w:val="nil"/>
                          <w:right w:val="nil"/>
                        </w:tcBorders>
                        <w:shd w:val="clear" w:color="auto" w:fill="FFFFFF" w:themeFill="background1"/>
                      </w:tcPr>
                      <w:p w:rsidR="00CC61DC" w:rsidRPr="00425A50" w:rsidRDefault="00CC61DC" w:rsidP="00CC61DC">
                        <w:pPr>
                          <w:pStyle w:val="quarterly-chart-subtitle"/>
                          <w:keepNext/>
                          <w:keepLines/>
                          <w:jc w:val="center"/>
                          <w:rPr>
                            <w:rFonts w:asciiTheme="minorHAnsi" w:hAnsiTheme="minorHAnsi" w:cstheme="minorHAnsi"/>
                            <w:b w:val="0"/>
                            <w:i w:val="0"/>
                            <w:sz w:val="16"/>
                            <w:szCs w:val="16"/>
                            <w:lang w:val="pt-PT"/>
                          </w:rPr>
                        </w:pPr>
                        <w:r w:rsidRPr="00425A50">
                          <w:rPr>
                            <w:rFonts w:asciiTheme="minorHAnsi" w:hAnsiTheme="minorHAnsi" w:cstheme="minorHAnsi"/>
                            <w:b w:val="0"/>
                            <w:i w:val="0"/>
                            <w:sz w:val="16"/>
                            <w:szCs w:val="16"/>
                            <w:lang w:val="pt-PT"/>
                          </w:rPr>
                          <w:t>1.0%</w:t>
                        </w:r>
                      </w:p>
                    </w:tc>
                    <w:tc>
                      <w:tcPr>
                        <w:tcW w:w="664" w:type="dxa"/>
                        <w:tcBorders>
                          <w:top w:val="nil"/>
                          <w:left w:val="nil"/>
                        </w:tcBorders>
                        <w:shd w:val="clear" w:color="auto" w:fill="FFFFFF" w:themeFill="background1"/>
                      </w:tcPr>
                      <w:p w:rsidR="00CC61DC" w:rsidRPr="00425A50" w:rsidRDefault="00CC61DC" w:rsidP="00CC61DC">
                        <w:pPr>
                          <w:pStyle w:val="quarterly-chart-subtitle"/>
                          <w:keepNext/>
                          <w:keepLines/>
                          <w:jc w:val="center"/>
                          <w:rPr>
                            <w:rFonts w:asciiTheme="minorHAnsi" w:hAnsiTheme="minorHAnsi" w:cstheme="minorHAnsi"/>
                            <w:b w:val="0"/>
                            <w:i w:val="0"/>
                            <w:sz w:val="16"/>
                            <w:szCs w:val="16"/>
                            <w:lang w:val="pt-PT"/>
                          </w:rPr>
                        </w:pPr>
                        <w:r w:rsidRPr="00425A50">
                          <w:rPr>
                            <w:rFonts w:asciiTheme="minorHAnsi" w:hAnsiTheme="minorHAnsi" w:cstheme="minorHAnsi"/>
                            <w:b w:val="0"/>
                            <w:i w:val="0"/>
                            <w:sz w:val="16"/>
                            <w:szCs w:val="16"/>
                            <w:lang w:val="pt-PT"/>
                          </w:rPr>
                          <w:t>22%</w:t>
                        </w:r>
                      </w:p>
                    </w:tc>
                    <w:tc>
                      <w:tcPr>
                        <w:tcW w:w="608" w:type="dxa"/>
                        <w:tcBorders>
                          <w:top w:val="nil"/>
                          <w:right w:val="nil"/>
                        </w:tcBorders>
                        <w:shd w:val="clear" w:color="auto" w:fill="FFFFFF" w:themeFill="background1"/>
                      </w:tcPr>
                      <w:p w:rsidR="00CC61DC" w:rsidRPr="00425A50" w:rsidRDefault="00CC61DC" w:rsidP="00CC61DC">
                        <w:pPr>
                          <w:pStyle w:val="quarterly-chart-subtitle"/>
                          <w:keepNext/>
                          <w:keepLines/>
                          <w:jc w:val="center"/>
                          <w:rPr>
                            <w:rFonts w:asciiTheme="minorHAnsi" w:hAnsiTheme="minorHAnsi" w:cstheme="minorHAnsi"/>
                            <w:b w:val="0"/>
                            <w:i w:val="0"/>
                            <w:sz w:val="16"/>
                            <w:szCs w:val="16"/>
                            <w:lang w:val="pt-PT"/>
                          </w:rPr>
                        </w:pPr>
                        <w:r w:rsidRPr="00425A50">
                          <w:rPr>
                            <w:rFonts w:asciiTheme="minorHAnsi" w:hAnsiTheme="minorHAnsi" w:cstheme="minorHAnsi"/>
                            <w:b w:val="0"/>
                            <w:i w:val="0"/>
                            <w:sz w:val="16"/>
                            <w:szCs w:val="16"/>
                            <w:lang w:val="pt-PT"/>
                          </w:rPr>
                          <w:t>-2%</w:t>
                        </w:r>
                      </w:p>
                    </w:tc>
                    <w:tc>
                      <w:tcPr>
                        <w:tcW w:w="630" w:type="dxa"/>
                        <w:tcBorders>
                          <w:top w:val="nil"/>
                          <w:left w:val="nil"/>
                        </w:tcBorders>
                        <w:shd w:val="clear" w:color="auto" w:fill="FFFFFF" w:themeFill="background1"/>
                      </w:tcPr>
                      <w:p w:rsidR="00CC61DC" w:rsidRPr="00425A50" w:rsidRDefault="00CC61DC" w:rsidP="00CC61DC">
                        <w:pPr>
                          <w:pStyle w:val="quarterly-chart-subtitle"/>
                          <w:keepNext/>
                          <w:keepLines/>
                          <w:jc w:val="center"/>
                          <w:rPr>
                            <w:rFonts w:asciiTheme="minorHAnsi" w:hAnsiTheme="minorHAnsi" w:cstheme="minorHAnsi"/>
                            <w:b w:val="0"/>
                            <w:i w:val="0"/>
                            <w:sz w:val="16"/>
                            <w:szCs w:val="16"/>
                            <w:lang w:val="pt-PT"/>
                          </w:rPr>
                        </w:pPr>
                        <w:r w:rsidRPr="00425A50">
                          <w:rPr>
                            <w:rFonts w:asciiTheme="minorHAnsi" w:hAnsiTheme="minorHAnsi" w:cstheme="minorHAnsi"/>
                            <w:b w:val="0"/>
                            <w:i w:val="0"/>
                            <w:sz w:val="16"/>
                            <w:szCs w:val="16"/>
                            <w:lang w:val="pt-PT"/>
                          </w:rPr>
                          <w:t>136%</w:t>
                        </w:r>
                      </w:p>
                    </w:tc>
                    <w:tc>
                      <w:tcPr>
                        <w:tcW w:w="674" w:type="dxa"/>
                        <w:tcBorders>
                          <w:top w:val="nil"/>
                          <w:right w:val="nil"/>
                        </w:tcBorders>
                        <w:shd w:val="clear" w:color="auto" w:fill="FFFFFF" w:themeFill="background1"/>
                      </w:tcPr>
                      <w:p w:rsidR="00CC61DC" w:rsidRPr="00425A50" w:rsidRDefault="00CC61DC" w:rsidP="00CC61DC">
                        <w:pPr>
                          <w:pStyle w:val="quarterly-chart-subtitle"/>
                          <w:keepNext/>
                          <w:keepLines/>
                          <w:jc w:val="center"/>
                          <w:rPr>
                            <w:rFonts w:asciiTheme="minorHAnsi" w:hAnsiTheme="minorHAnsi" w:cstheme="minorHAnsi"/>
                            <w:b w:val="0"/>
                            <w:i w:val="0"/>
                            <w:sz w:val="16"/>
                            <w:szCs w:val="16"/>
                            <w:lang w:val="pt-PT"/>
                          </w:rPr>
                        </w:pPr>
                        <w:r w:rsidRPr="00425A50">
                          <w:rPr>
                            <w:rFonts w:asciiTheme="minorHAnsi" w:hAnsiTheme="minorHAnsi" w:cstheme="minorHAnsi"/>
                            <w:b w:val="0"/>
                            <w:i w:val="0"/>
                            <w:sz w:val="16"/>
                            <w:szCs w:val="16"/>
                            <w:lang w:val="pt-PT"/>
                          </w:rPr>
                          <w:t>12%</w:t>
                        </w:r>
                      </w:p>
                    </w:tc>
                    <w:tc>
                      <w:tcPr>
                        <w:tcW w:w="617" w:type="dxa"/>
                        <w:tcBorders>
                          <w:top w:val="nil"/>
                          <w:left w:val="nil"/>
                        </w:tcBorders>
                        <w:shd w:val="clear" w:color="auto" w:fill="FFFFFF" w:themeFill="background1"/>
                      </w:tcPr>
                      <w:p w:rsidR="00CC61DC" w:rsidRPr="00425A50" w:rsidRDefault="00CC61DC" w:rsidP="00CC61DC">
                        <w:pPr>
                          <w:pStyle w:val="quarterly-chart-subtitle"/>
                          <w:keepNext/>
                          <w:keepLines/>
                          <w:jc w:val="center"/>
                          <w:rPr>
                            <w:rFonts w:asciiTheme="minorHAnsi" w:hAnsiTheme="minorHAnsi" w:cstheme="minorHAnsi"/>
                            <w:b w:val="0"/>
                            <w:i w:val="0"/>
                            <w:sz w:val="16"/>
                            <w:szCs w:val="16"/>
                            <w:lang w:val="pt-PT"/>
                          </w:rPr>
                        </w:pPr>
                        <w:r w:rsidRPr="00425A50">
                          <w:rPr>
                            <w:rFonts w:asciiTheme="minorHAnsi" w:hAnsiTheme="minorHAnsi" w:cstheme="minorHAnsi"/>
                            <w:b w:val="0"/>
                            <w:i w:val="0"/>
                            <w:sz w:val="16"/>
                            <w:szCs w:val="16"/>
                            <w:lang w:val="pt-PT"/>
                          </w:rPr>
                          <w:t>84%</w:t>
                        </w:r>
                      </w:p>
                    </w:tc>
                    <w:tc>
                      <w:tcPr>
                        <w:tcW w:w="650" w:type="dxa"/>
                        <w:tcBorders>
                          <w:top w:val="nil"/>
                          <w:right w:val="nil"/>
                        </w:tcBorders>
                        <w:shd w:val="clear" w:color="auto" w:fill="FFFFFF" w:themeFill="background1"/>
                      </w:tcPr>
                      <w:p w:rsidR="00CC61DC" w:rsidRPr="00425A50" w:rsidRDefault="00CC61DC" w:rsidP="00CC61DC">
                        <w:pPr>
                          <w:pStyle w:val="quarterly-chart-subtitle"/>
                          <w:keepNext/>
                          <w:keepLines/>
                          <w:jc w:val="center"/>
                          <w:rPr>
                            <w:rFonts w:asciiTheme="minorHAnsi" w:hAnsiTheme="minorHAnsi" w:cstheme="minorHAnsi"/>
                            <w:b w:val="0"/>
                            <w:i w:val="0"/>
                            <w:sz w:val="16"/>
                            <w:szCs w:val="16"/>
                            <w:lang w:val="pt-PT"/>
                          </w:rPr>
                        </w:pPr>
                        <w:r w:rsidRPr="00425A50">
                          <w:rPr>
                            <w:rFonts w:asciiTheme="minorHAnsi" w:hAnsiTheme="minorHAnsi" w:cstheme="minorHAnsi"/>
                            <w:b w:val="0"/>
                            <w:i w:val="0"/>
                            <w:sz w:val="16"/>
                            <w:szCs w:val="16"/>
                            <w:lang w:val="pt-PT"/>
                          </w:rPr>
                          <w:t>-2%</w:t>
                        </w:r>
                      </w:p>
                    </w:tc>
                    <w:tc>
                      <w:tcPr>
                        <w:tcW w:w="630" w:type="dxa"/>
                        <w:tcBorders>
                          <w:top w:val="nil"/>
                          <w:left w:val="nil"/>
                        </w:tcBorders>
                        <w:shd w:val="clear" w:color="auto" w:fill="FFFFFF" w:themeFill="background1"/>
                      </w:tcPr>
                      <w:p w:rsidR="00CC61DC" w:rsidRPr="00425A50" w:rsidRDefault="00CC61DC" w:rsidP="00CC61DC">
                        <w:pPr>
                          <w:pStyle w:val="quarterly-chart-subtitle"/>
                          <w:keepNext/>
                          <w:keepLines/>
                          <w:jc w:val="center"/>
                          <w:rPr>
                            <w:rFonts w:asciiTheme="minorHAnsi" w:hAnsiTheme="minorHAnsi" w:cstheme="minorHAnsi"/>
                            <w:b w:val="0"/>
                            <w:i w:val="0"/>
                            <w:sz w:val="16"/>
                            <w:szCs w:val="16"/>
                            <w:lang w:val="pt-PT"/>
                          </w:rPr>
                        </w:pPr>
                        <w:r w:rsidRPr="00425A50">
                          <w:rPr>
                            <w:rFonts w:asciiTheme="minorHAnsi" w:hAnsiTheme="minorHAnsi" w:cstheme="minorHAnsi"/>
                            <w:b w:val="0"/>
                            <w:i w:val="0"/>
                            <w:sz w:val="16"/>
                            <w:szCs w:val="16"/>
                            <w:lang w:val="pt-PT"/>
                          </w:rPr>
                          <w:t>-60%</w:t>
                        </w:r>
                      </w:p>
                    </w:tc>
                  </w:tr>
                </w:tbl>
                <w:p w:rsidR="004B1495" w:rsidRPr="00D956A8" w:rsidRDefault="004B1495" w:rsidP="00144EE7">
                  <w:pPr>
                    <w:pStyle w:val="BodyText"/>
                    <w:keepNext/>
                    <w:keepLines/>
                    <w:jc w:val="right"/>
                    <w:rPr>
                      <w:rFonts w:asciiTheme="minorHAnsi" w:hAnsiTheme="minorHAnsi" w:cstheme="minorHAnsi"/>
                      <w:szCs w:val="18"/>
                      <w:lang w:val="pt-PT"/>
                    </w:rPr>
                  </w:pPr>
                </w:p>
              </w:tc>
            </w:tr>
            <w:tr w:rsidR="00D33887" w:rsidRPr="004E1715" w:rsidTr="00144EE7">
              <w:trPr>
                <w:trHeight w:val="217"/>
              </w:trPr>
              <w:tc>
                <w:tcPr>
                  <w:tcW w:w="6361" w:type="dxa"/>
                </w:tcPr>
                <w:p w:rsidR="00D33887" w:rsidRPr="00D956A8" w:rsidRDefault="003B14B7" w:rsidP="003349BC">
                  <w:pPr>
                    <w:pStyle w:val="quarterly-chart-notes"/>
                    <w:keepNext/>
                    <w:keepLines/>
                    <w:jc w:val="left"/>
                    <w:rPr>
                      <w:rFonts w:asciiTheme="minorHAnsi" w:hAnsiTheme="minorHAnsi" w:cstheme="minorHAnsi"/>
                      <w:b w:val="0"/>
                      <w:szCs w:val="16"/>
                      <w:lang w:val="pt-PT"/>
                    </w:rPr>
                  </w:pPr>
                  <w:r w:rsidRPr="00D956A8">
                    <w:rPr>
                      <w:rFonts w:asciiTheme="minorHAnsi" w:hAnsiTheme="minorHAnsi" w:cstheme="minorHAnsi"/>
                      <w:b w:val="0"/>
                      <w:szCs w:val="16"/>
                      <w:lang w:val="pt-PT"/>
                    </w:rPr>
                    <w:t>Fonte</w:t>
                  </w:r>
                  <w:r w:rsidR="003349BC">
                    <w:rPr>
                      <w:rFonts w:asciiTheme="minorHAnsi" w:hAnsiTheme="minorHAnsi" w:cstheme="minorHAnsi"/>
                      <w:b w:val="0"/>
                      <w:szCs w:val="16"/>
                      <w:lang w:val="pt-PT"/>
                    </w:rPr>
                    <w:t>: Estimativas dos funcionários do Banco Mundial com fundamento no WDI e na base de dados de</w:t>
                  </w:r>
                  <w:r w:rsidR="00D33887" w:rsidRPr="00D956A8">
                    <w:rPr>
                      <w:rFonts w:asciiTheme="minorHAnsi" w:hAnsiTheme="minorHAnsi" w:cstheme="minorHAnsi"/>
                      <w:b w:val="0"/>
                      <w:szCs w:val="16"/>
                      <w:lang w:val="pt-PT"/>
                    </w:rPr>
                    <w:t xml:space="preserve"> World Economic Outloo</w:t>
                  </w:r>
                  <w:r w:rsidR="00665573" w:rsidRPr="00D956A8">
                    <w:rPr>
                      <w:rFonts w:asciiTheme="minorHAnsi" w:hAnsiTheme="minorHAnsi" w:cstheme="minorHAnsi"/>
                      <w:b w:val="0"/>
                      <w:szCs w:val="16"/>
                      <w:lang w:val="pt-PT"/>
                    </w:rPr>
                    <w:t xml:space="preserve">k </w:t>
                  </w:r>
                  <w:r w:rsidR="003349BC">
                    <w:rPr>
                      <w:rFonts w:asciiTheme="minorHAnsi" w:hAnsiTheme="minorHAnsi" w:cstheme="minorHAnsi"/>
                      <w:b w:val="0"/>
                      <w:szCs w:val="16"/>
                      <w:lang w:val="pt-PT"/>
                    </w:rPr>
                    <w:t>do FMI</w:t>
                  </w:r>
                  <w:r w:rsidR="00D33887" w:rsidRPr="00D956A8">
                    <w:rPr>
                      <w:rFonts w:asciiTheme="minorHAnsi" w:hAnsiTheme="minorHAnsi" w:cstheme="minorHAnsi"/>
                      <w:b w:val="0"/>
                      <w:szCs w:val="16"/>
                      <w:lang w:val="pt-PT"/>
                    </w:rPr>
                    <w:t>.</w:t>
                  </w:r>
                </w:p>
              </w:tc>
            </w:tr>
          </w:tbl>
          <w:p w:rsidR="00A71CD4" w:rsidRPr="00D956A8" w:rsidRDefault="003B2310" w:rsidP="00BD144A">
            <w:pPr>
              <w:rPr>
                <w:rFonts w:asciiTheme="minorHAnsi" w:hAnsiTheme="minorHAnsi" w:cstheme="minorHAnsi"/>
                <w:b w:val="0"/>
                <w:sz w:val="18"/>
                <w:szCs w:val="18"/>
                <w:lang w:val="pt-PT"/>
              </w:rPr>
            </w:pPr>
            <w:r>
              <w:rPr>
                <w:rFonts w:asciiTheme="minorHAnsi" w:hAnsiTheme="minorHAnsi" w:cstheme="minorHAnsi"/>
                <w:sz w:val="18"/>
                <w:szCs w:val="18"/>
                <w:lang w:val="pt-PT"/>
              </w:rPr>
              <w:t xml:space="preserve">As alterações na TFP tiveram uma influência considerável no crescimento do PIB em Angola. </w:t>
            </w:r>
            <w:r>
              <w:rPr>
                <w:rFonts w:asciiTheme="minorHAnsi" w:hAnsiTheme="minorHAnsi" w:cstheme="minorHAnsi"/>
                <w:b w:val="0"/>
                <w:sz w:val="18"/>
                <w:szCs w:val="18"/>
                <w:lang w:val="pt-PT"/>
              </w:rPr>
              <w:t xml:space="preserve">Entre </w:t>
            </w:r>
            <w:r w:rsidR="00CA022E" w:rsidRPr="00D956A8">
              <w:rPr>
                <w:rFonts w:asciiTheme="minorHAnsi" w:hAnsiTheme="minorHAnsi" w:cstheme="minorHAnsi"/>
                <w:b w:val="0"/>
                <w:sz w:val="18"/>
                <w:szCs w:val="18"/>
                <w:lang w:val="pt-PT"/>
              </w:rPr>
              <w:t xml:space="preserve">1980 </w:t>
            </w:r>
            <w:r>
              <w:rPr>
                <w:rFonts w:asciiTheme="minorHAnsi" w:hAnsiTheme="minorHAnsi" w:cstheme="minorHAnsi"/>
                <w:b w:val="0"/>
                <w:sz w:val="18"/>
                <w:szCs w:val="18"/>
                <w:lang w:val="pt-PT"/>
              </w:rPr>
              <w:t>e</w:t>
            </w:r>
            <w:r w:rsidR="00CA022E" w:rsidRPr="00D956A8">
              <w:rPr>
                <w:rFonts w:asciiTheme="minorHAnsi" w:hAnsiTheme="minorHAnsi" w:cstheme="minorHAnsi"/>
                <w:b w:val="0"/>
                <w:sz w:val="18"/>
                <w:szCs w:val="18"/>
                <w:lang w:val="pt-PT"/>
              </w:rPr>
              <w:t xml:space="preserve"> 2011</w:t>
            </w:r>
            <w:r>
              <w:rPr>
                <w:rFonts w:asciiTheme="minorHAnsi" w:hAnsiTheme="minorHAnsi" w:cstheme="minorHAnsi"/>
                <w:b w:val="0"/>
                <w:sz w:val="18"/>
                <w:szCs w:val="18"/>
                <w:lang w:val="pt-PT"/>
              </w:rPr>
              <w:t xml:space="preserve">, o PIB de Angola registou um crescimento médio de 4,6% ao ano. Durante este período, </w:t>
            </w:r>
            <w:r w:rsidR="00125F1A">
              <w:rPr>
                <w:rFonts w:asciiTheme="minorHAnsi" w:hAnsiTheme="minorHAnsi" w:cstheme="minorHAnsi"/>
                <w:b w:val="0"/>
                <w:sz w:val="18"/>
                <w:szCs w:val="18"/>
                <w:lang w:val="pt-PT"/>
              </w:rPr>
              <w:t>as reservas</w:t>
            </w:r>
            <w:r>
              <w:rPr>
                <w:rFonts w:asciiTheme="minorHAnsi" w:hAnsiTheme="minorHAnsi" w:cstheme="minorHAnsi"/>
                <w:b w:val="0"/>
                <w:sz w:val="18"/>
                <w:szCs w:val="18"/>
                <w:lang w:val="pt-PT"/>
              </w:rPr>
              <w:t xml:space="preserve"> de capital do país </w:t>
            </w:r>
            <w:r w:rsidR="00125F1A">
              <w:rPr>
                <w:rFonts w:asciiTheme="minorHAnsi" w:hAnsiTheme="minorHAnsi" w:cstheme="minorHAnsi"/>
                <w:b w:val="0"/>
                <w:sz w:val="18"/>
                <w:szCs w:val="18"/>
                <w:lang w:val="pt-PT"/>
              </w:rPr>
              <w:t>aumentaram 4,2% e representaram 41% do crescimento do PIB. Entretanto, a</w:t>
            </w:r>
            <w:r w:rsidR="00114564">
              <w:rPr>
                <w:rFonts w:asciiTheme="minorHAnsi" w:hAnsiTheme="minorHAnsi" w:cstheme="minorHAnsi"/>
                <w:b w:val="0"/>
                <w:sz w:val="18"/>
                <w:szCs w:val="18"/>
                <w:lang w:val="pt-PT"/>
              </w:rPr>
              <w:t xml:space="preserve"> força de trabalho cresceu 3,1% e representou 37% do crescimento do PIB. Os restantes 22% do crescimento do PIB são o resultado da crescente TFP</w:t>
            </w:r>
            <w:r w:rsidR="00CA022E" w:rsidRPr="00D956A8">
              <w:rPr>
                <w:rFonts w:asciiTheme="minorHAnsi" w:hAnsiTheme="minorHAnsi" w:cstheme="minorHAnsi"/>
                <w:b w:val="0"/>
                <w:sz w:val="18"/>
                <w:szCs w:val="18"/>
                <w:lang w:val="pt-PT"/>
              </w:rPr>
              <w:t xml:space="preserve">. </w:t>
            </w:r>
          </w:p>
          <w:p w:rsidR="00CA022E" w:rsidRPr="00D956A8" w:rsidRDefault="00CA022E" w:rsidP="00BD144A">
            <w:pPr>
              <w:rPr>
                <w:rFonts w:asciiTheme="minorHAnsi" w:hAnsiTheme="minorHAnsi" w:cstheme="minorHAnsi"/>
                <w:sz w:val="18"/>
                <w:szCs w:val="18"/>
                <w:lang w:val="pt-PT"/>
              </w:rPr>
            </w:pPr>
          </w:p>
          <w:p w:rsidR="00CC61DC" w:rsidRDefault="00CC61DC" w:rsidP="00196F11">
            <w:pPr>
              <w:rPr>
                <w:rFonts w:asciiTheme="minorHAnsi" w:hAnsiTheme="minorHAnsi" w:cstheme="minorHAnsi"/>
                <w:sz w:val="18"/>
                <w:szCs w:val="18"/>
                <w:lang w:val="pt-PT"/>
              </w:rPr>
            </w:pPr>
          </w:p>
          <w:p w:rsidR="00A84145" w:rsidRDefault="00651E3C" w:rsidP="00196F11">
            <w:pPr>
              <w:rPr>
                <w:rFonts w:asciiTheme="minorHAnsi" w:hAnsiTheme="minorHAnsi" w:cstheme="minorHAnsi"/>
                <w:b w:val="0"/>
                <w:sz w:val="18"/>
                <w:szCs w:val="18"/>
                <w:lang w:val="pt-PT"/>
              </w:rPr>
            </w:pPr>
            <w:r>
              <w:rPr>
                <w:rFonts w:asciiTheme="minorHAnsi" w:hAnsiTheme="minorHAnsi" w:cstheme="minorHAnsi"/>
                <w:sz w:val="18"/>
                <w:szCs w:val="18"/>
                <w:lang w:val="pt-PT"/>
              </w:rPr>
              <w:t xml:space="preserve">Se bem que tenha sido sempre um factor importante em Angola, tanto o impacto das alterações na TFP </w:t>
            </w:r>
            <w:r w:rsidR="00D6552C">
              <w:rPr>
                <w:rFonts w:asciiTheme="minorHAnsi" w:hAnsiTheme="minorHAnsi" w:cstheme="minorHAnsi"/>
                <w:sz w:val="18"/>
                <w:szCs w:val="18"/>
                <w:lang w:val="pt-PT"/>
              </w:rPr>
              <w:t xml:space="preserve">como </w:t>
            </w:r>
            <w:r>
              <w:rPr>
                <w:rFonts w:asciiTheme="minorHAnsi" w:hAnsiTheme="minorHAnsi" w:cstheme="minorHAnsi"/>
                <w:sz w:val="18"/>
                <w:szCs w:val="18"/>
                <w:lang w:val="pt-PT"/>
              </w:rPr>
              <w:t xml:space="preserve">a direcção </w:t>
            </w:r>
            <w:r>
              <w:rPr>
                <w:rFonts w:asciiTheme="minorHAnsi" w:hAnsiTheme="minorHAnsi" w:cstheme="minorHAnsi"/>
                <w:sz w:val="18"/>
                <w:szCs w:val="18"/>
                <w:lang w:val="pt-PT"/>
              </w:rPr>
              <w:lastRenderedPageBreak/>
              <w:t xml:space="preserve">positiva ou negativa dessas alterações têm variado ao longo do tempo. Durante 1980-2011 Angola </w:t>
            </w:r>
            <w:r>
              <w:rPr>
                <w:rFonts w:asciiTheme="minorHAnsi" w:hAnsiTheme="minorHAnsi" w:cstheme="minorHAnsi"/>
                <w:b w:val="0"/>
                <w:sz w:val="18"/>
                <w:szCs w:val="18"/>
                <w:lang w:val="pt-PT"/>
              </w:rPr>
              <w:t>sofreu do impacto combinado de uma guerra civil prolongada, da volatilidade dos preços do petróleo e de políticas económicas profundamente distorcivas.</w:t>
            </w:r>
            <w:r w:rsidR="00CF4ACF">
              <w:rPr>
                <w:rFonts w:asciiTheme="minorHAnsi" w:hAnsiTheme="minorHAnsi" w:cstheme="minorHAnsi"/>
                <w:b w:val="0"/>
                <w:sz w:val="18"/>
                <w:szCs w:val="18"/>
                <w:lang w:val="pt-PT"/>
              </w:rPr>
              <w:t xml:space="preserve"> No entanto, investimento público de grande escala em infraestrut</w:t>
            </w:r>
            <w:r w:rsidR="00A84145">
              <w:rPr>
                <w:rFonts w:asciiTheme="minorHAnsi" w:hAnsiTheme="minorHAnsi" w:cstheme="minorHAnsi"/>
                <w:b w:val="0"/>
                <w:sz w:val="18"/>
                <w:szCs w:val="18"/>
                <w:lang w:val="pt-PT"/>
              </w:rPr>
              <w:t>ura</w:t>
            </w:r>
            <w:r w:rsidR="00D6552C">
              <w:rPr>
                <w:rFonts w:asciiTheme="minorHAnsi" w:hAnsiTheme="minorHAnsi" w:cstheme="minorHAnsi"/>
                <w:b w:val="0"/>
                <w:sz w:val="18"/>
                <w:szCs w:val="18"/>
                <w:lang w:val="pt-PT"/>
              </w:rPr>
              <w:t>s, em conjugação com</w:t>
            </w:r>
            <w:r w:rsidR="00CF4ACF">
              <w:rPr>
                <w:rFonts w:asciiTheme="minorHAnsi" w:hAnsiTheme="minorHAnsi" w:cstheme="minorHAnsi"/>
                <w:b w:val="0"/>
                <w:sz w:val="18"/>
                <w:szCs w:val="18"/>
                <w:lang w:val="pt-PT"/>
              </w:rPr>
              <w:t xml:space="preserve"> investimento privado no sector petrolífero impulsionaram</w:t>
            </w:r>
            <w:r w:rsidR="00A84145">
              <w:rPr>
                <w:rFonts w:asciiTheme="minorHAnsi" w:hAnsiTheme="minorHAnsi" w:cstheme="minorHAnsi"/>
                <w:b w:val="0"/>
                <w:sz w:val="18"/>
                <w:szCs w:val="18"/>
                <w:lang w:val="pt-PT"/>
              </w:rPr>
              <w:t xml:space="preserve"> o crescimento das reservas nacionais de capital em 5%, enquanto a força de trabalho crescia 3%. Os danos infligidos pela guerra e a deterioração generalizada das condições económicas que </w:t>
            </w:r>
            <w:r w:rsidR="00916D0F">
              <w:rPr>
                <w:rFonts w:asciiTheme="minorHAnsi" w:hAnsiTheme="minorHAnsi" w:cstheme="minorHAnsi"/>
                <w:b w:val="0"/>
                <w:sz w:val="18"/>
                <w:szCs w:val="18"/>
                <w:lang w:val="pt-PT"/>
              </w:rPr>
              <w:t>a acompanharam minaram profundamente o crescimento do capital e do trabalho, tendo o PIB aumentado apenas 2% ao ano. Isto refle</w:t>
            </w:r>
            <w:r w:rsidR="00D6552C">
              <w:rPr>
                <w:rFonts w:asciiTheme="minorHAnsi" w:hAnsiTheme="minorHAnsi" w:cstheme="minorHAnsi"/>
                <w:b w:val="0"/>
                <w:sz w:val="18"/>
                <w:szCs w:val="18"/>
                <w:lang w:val="pt-PT"/>
              </w:rPr>
              <w:t>c</w:t>
            </w:r>
            <w:r w:rsidR="00916D0F">
              <w:rPr>
                <w:rFonts w:asciiTheme="minorHAnsi" w:hAnsiTheme="minorHAnsi" w:cstheme="minorHAnsi"/>
                <w:b w:val="0"/>
                <w:sz w:val="18"/>
                <w:szCs w:val="18"/>
                <w:lang w:val="pt-PT"/>
              </w:rPr>
              <w:t>te o forte impacto da TFP negativa, uma vez que o declínio na eficiência produtiva reduziu efectivamente a metade o crescimento durante o período.</w:t>
            </w:r>
          </w:p>
          <w:p w:rsidR="00CA022E" w:rsidRPr="00D956A8" w:rsidRDefault="00CA022E" w:rsidP="00BD144A">
            <w:pPr>
              <w:rPr>
                <w:rFonts w:asciiTheme="minorHAnsi" w:hAnsiTheme="minorHAnsi" w:cstheme="minorHAnsi"/>
                <w:sz w:val="18"/>
                <w:szCs w:val="18"/>
                <w:lang w:val="pt-PT"/>
              </w:rPr>
            </w:pPr>
          </w:p>
          <w:p w:rsidR="00916D0F" w:rsidRDefault="00916D0F" w:rsidP="00BD144A">
            <w:pPr>
              <w:rPr>
                <w:rFonts w:asciiTheme="minorHAnsi" w:hAnsiTheme="minorHAnsi" w:cstheme="minorHAnsi"/>
                <w:b w:val="0"/>
                <w:sz w:val="18"/>
                <w:szCs w:val="18"/>
                <w:lang w:val="pt-PT"/>
              </w:rPr>
            </w:pPr>
            <w:r>
              <w:rPr>
                <w:rFonts w:asciiTheme="minorHAnsi" w:hAnsiTheme="minorHAnsi" w:cstheme="minorHAnsi"/>
                <w:sz w:val="18"/>
                <w:szCs w:val="18"/>
                <w:lang w:val="pt-PT"/>
              </w:rPr>
              <w:t>Com o advento da paz em 2002 e um boom sustentado nos preços globais do petróleo, a taxa de crescimento do PIB de Angola aumentou expressivamente.</w:t>
            </w:r>
            <w:r w:rsidR="00CA022E" w:rsidRPr="00D956A8">
              <w:rPr>
                <w:rFonts w:asciiTheme="minorHAnsi" w:hAnsiTheme="minorHAnsi" w:cstheme="minorHAnsi"/>
                <w:sz w:val="18"/>
                <w:szCs w:val="18"/>
                <w:lang w:val="pt-PT"/>
              </w:rPr>
              <w:t xml:space="preserve"> </w:t>
            </w:r>
            <w:r w:rsidR="005365B6" w:rsidRPr="00D956A8">
              <w:rPr>
                <w:rFonts w:asciiTheme="minorHAnsi" w:hAnsiTheme="minorHAnsi" w:cstheme="minorHAnsi"/>
                <w:b w:val="0"/>
                <w:sz w:val="18"/>
                <w:szCs w:val="18"/>
                <w:lang w:val="pt-PT"/>
              </w:rPr>
              <w:t>O</w:t>
            </w:r>
            <w:r>
              <w:rPr>
                <w:rFonts w:asciiTheme="minorHAnsi" w:hAnsiTheme="minorHAnsi" w:cstheme="minorHAnsi"/>
                <w:b w:val="0"/>
                <w:sz w:val="18"/>
                <w:szCs w:val="18"/>
                <w:lang w:val="pt-PT"/>
              </w:rPr>
              <w:t xml:space="preserve">s preços do petróleo continuaram a subir entre 2002 e 2008, resultado da expansão da economia e a taxa média anual de crescimento do PIB em Angola </w:t>
            </w:r>
            <w:r w:rsidR="00D6552C">
              <w:rPr>
                <w:rFonts w:asciiTheme="minorHAnsi" w:hAnsiTheme="minorHAnsi" w:cstheme="minorHAnsi"/>
                <w:b w:val="0"/>
                <w:sz w:val="18"/>
                <w:szCs w:val="18"/>
                <w:lang w:val="pt-PT"/>
              </w:rPr>
              <w:t>atingia</w:t>
            </w:r>
            <w:r>
              <w:rPr>
                <w:rFonts w:asciiTheme="minorHAnsi" w:hAnsiTheme="minorHAnsi" w:cstheme="minorHAnsi"/>
                <w:b w:val="0"/>
                <w:sz w:val="18"/>
                <w:szCs w:val="18"/>
                <w:lang w:val="pt-PT"/>
              </w:rPr>
              <w:t xml:space="preserve"> um valor notável de 14%. Contudo, durante este período, as taxas médias anuais de crescimento do capital e do trabalho eram apenas</w:t>
            </w:r>
            <w:r w:rsidR="00D6552C">
              <w:rPr>
                <w:rFonts w:asciiTheme="minorHAnsi" w:hAnsiTheme="minorHAnsi" w:cstheme="minorHAnsi"/>
                <w:b w:val="0"/>
                <w:sz w:val="18"/>
                <w:szCs w:val="18"/>
                <w:lang w:val="pt-PT"/>
              </w:rPr>
              <w:t xml:space="preserve"> de 1% e de 3% respectivamente</w:t>
            </w:r>
            <w:r>
              <w:rPr>
                <w:rFonts w:asciiTheme="minorHAnsi" w:hAnsiTheme="minorHAnsi" w:cstheme="minorHAnsi"/>
                <w:b w:val="0"/>
                <w:sz w:val="18"/>
                <w:szCs w:val="18"/>
                <w:lang w:val="pt-PT"/>
              </w:rPr>
              <w:t xml:space="preserve"> e, no seu conjunto, representavam menos de um quinto do crescimento do PIB. Entretanto, a TFP cresceu a uma média anual de 12%, representando 84% do crescimento do PIB. As alterações na TFP de Angola estão estreitamente correlacionad</w:t>
            </w:r>
            <w:r w:rsidR="00245B5B">
              <w:rPr>
                <w:rFonts w:asciiTheme="minorHAnsi" w:hAnsiTheme="minorHAnsi" w:cstheme="minorHAnsi"/>
                <w:b w:val="0"/>
                <w:sz w:val="18"/>
                <w:szCs w:val="18"/>
                <w:lang w:val="pt-PT"/>
              </w:rPr>
              <w:t>a</w:t>
            </w:r>
            <w:r>
              <w:rPr>
                <w:rFonts w:asciiTheme="minorHAnsi" w:hAnsiTheme="minorHAnsi" w:cstheme="minorHAnsi"/>
                <w:b w:val="0"/>
                <w:sz w:val="18"/>
                <w:szCs w:val="18"/>
                <w:lang w:val="pt-PT"/>
              </w:rPr>
              <w:t>s com os preços do petróleo, o que por seu turno podia</w:t>
            </w:r>
            <w:r w:rsidR="00245B5B">
              <w:rPr>
                <w:rFonts w:asciiTheme="minorHAnsi" w:hAnsiTheme="minorHAnsi" w:cstheme="minorHAnsi"/>
                <w:b w:val="0"/>
                <w:sz w:val="18"/>
                <w:szCs w:val="18"/>
                <w:lang w:val="pt-PT"/>
              </w:rPr>
              <w:t xml:space="preserve"> produzir uma taxa de utilização de capacidade mais alta, reflectindo também o impacto da paz, da maior segurança e estabilidade política, o que reforçou a confiança económica e incentivou mais investimento directo estrangeiro (IDE)</w:t>
            </w:r>
          </w:p>
          <w:p w:rsidR="00CA022E" w:rsidRPr="00D956A8" w:rsidRDefault="00CA022E" w:rsidP="00BD144A">
            <w:pPr>
              <w:rPr>
                <w:rFonts w:asciiTheme="minorHAnsi" w:hAnsiTheme="minorHAnsi" w:cstheme="minorHAnsi"/>
                <w:b w:val="0"/>
                <w:sz w:val="18"/>
                <w:szCs w:val="18"/>
                <w:lang w:val="pt-PT"/>
              </w:rPr>
            </w:pPr>
          </w:p>
          <w:p w:rsidR="00824087" w:rsidRDefault="00824087" w:rsidP="00BD144A">
            <w:pPr>
              <w:rPr>
                <w:rFonts w:asciiTheme="minorHAnsi" w:hAnsiTheme="minorHAnsi" w:cstheme="minorHAnsi"/>
                <w:b w:val="0"/>
                <w:sz w:val="18"/>
                <w:szCs w:val="18"/>
                <w:lang w:val="pt-PT"/>
              </w:rPr>
            </w:pPr>
            <w:r>
              <w:rPr>
                <w:rFonts w:asciiTheme="minorHAnsi" w:hAnsiTheme="minorHAnsi" w:cstheme="minorHAnsi"/>
                <w:sz w:val="18"/>
                <w:szCs w:val="18"/>
                <w:lang w:val="pt-PT"/>
              </w:rPr>
              <w:t xml:space="preserve">O crescimento do PIB abrandou de novo entre </w:t>
            </w:r>
            <w:r w:rsidR="00CA022E" w:rsidRPr="00D956A8">
              <w:rPr>
                <w:rFonts w:asciiTheme="minorHAnsi" w:hAnsiTheme="minorHAnsi" w:cstheme="minorHAnsi"/>
                <w:sz w:val="18"/>
                <w:szCs w:val="18"/>
                <w:lang w:val="pt-PT"/>
              </w:rPr>
              <w:t>2009</w:t>
            </w:r>
            <w:r>
              <w:rPr>
                <w:rFonts w:asciiTheme="minorHAnsi" w:hAnsiTheme="minorHAnsi" w:cstheme="minorHAnsi"/>
                <w:sz w:val="18"/>
                <w:szCs w:val="18"/>
                <w:lang w:val="pt-PT"/>
              </w:rPr>
              <w:t xml:space="preserve"> e </w:t>
            </w:r>
            <w:r w:rsidR="00CA022E" w:rsidRPr="00D956A8">
              <w:rPr>
                <w:rFonts w:asciiTheme="minorHAnsi" w:hAnsiTheme="minorHAnsi" w:cstheme="minorHAnsi"/>
                <w:sz w:val="18"/>
                <w:szCs w:val="18"/>
                <w:lang w:val="pt-PT"/>
              </w:rPr>
              <w:t>2011</w:t>
            </w:r>
            <w:r>
              <w:rPr>
                <w:rFonts w:asciiTheme="minorHAnsi" w:hAnsiTheme="minorHAnsi" w:cstheme="minorHAnsi"/>
                <w:sz w:val="18"/>
                <w:szCs w:val="18"/>
                <w:lang w:val="pt-PT"/>
              </w:rPr>
              <w:t>, com a crise financeira global a afectar negativamente os preços do petróleo</w:t>
            </w:r>
            <w:r w:rsidR="00CA022E" w:rsidRPr="00D956A8">
              <w:rPr>
                <w:rFonts w:asciiTheme="minorHAnsi" w:hAnsiTheme="minorHAnsi" w:cstheme="minorHAnsi"/>
                <w:sz w:val="18"/>
                <w:szCs w:val="18"/>
                <w:lang w:val="pt-PT"/>
              </w:rPr>
              <w:t xml:space="preserve">. </w:t>
            </w:r>
            <w:r>
              <w:rPr>
                <w:rFonts w:asciiTheme="minorHAnsi" w:hAnsiTheme="minorHAnsi" w:cstheme="minorHAnsi"/>
                <w:b w:val="0"/>
                <w:sz w:val="18"/>
                <w:szCs w:val="18"/>
                <w:lang w:val="pt-PT"/>
              </w:rPr>
              <w:t xml:space="preserve">O investimento de grande escala continuou a bom ritmo e as reservas de capital de Angola </w:t>
            </w:r>
            <w:r w:rsidR="00D6552C">
              <w:rPr>
                <w:rFonts w:asciiTheme="minorHAnsi" w:hAnsiTheme="minorHAnsi" w:cstheme="minorHAnsi"/>
                <w:b w:val="0"/>
                <w:sz w:val="18"/>
                <w:szCs w:val="18"/>
                <w:lang w:val="pt-PT"/>
              </w:rPr>
              <w:t>aumentaram em</w:t>
            </w:r>
            <w:r>
              <w:rPr>
                <w:rFonts w:asciiTheme="minorHAnsi" w:hAnsiTheme="minorHAnsi" w:cstheme="minorHAnsi"/>
                <w:b w:val="0"/>
                <w:sz w:val="18"/>
                <w:szCs w:val="18"/>
                <w:lang w:val="pt-PT"/>
              </w:rPr>
              <w:t xml:space="preserve"> 6%, a sua taxa mais e</w:t>
            </w:r>
            <w:r w:rsidR="007B6827">
              <w:rPr>
                <w:rFonts w:asciiTheme="minorHAnsi" w:hAnsiTheme="minorHAnsi" w:cstheme="minorHAnsi"/>
                <w:b w:val="0"/>
                <w:sz w:val="18"/>
                <w:szCs w:val="18"/>
                <w:lang w:val="pt-PT"/>
              </w:rPr>
              <w:t xml:space="preserve">levada do período. No entanto, o crescimento da força de trabalho também registou um acréscimo de 4%. Mas apesar da rápida acumulação de capital e de trabalho, o PIB só aumentou 3%, </w:t>
            </w:r>
            <w:r w:rsidR="00A60341">
              <w:rPr>
                <w:rFonts w:asciiTheme="minorHAnsi" w:hAnsiTheme="minorHAnsi" w:cstheme="minorHAnsi"/>
                <w:b w:val="0"/>
                <w:sz w:val="18"/>
                <w:szCs w:val="18"/>
                <w:lang w:val="pt-PT"/>
              </w:rPr>
              <w:t xml:space="preserve">tendo perdido 2% em virtude de uma TFP em declínio. A tendência negativa do período anterior </w:t>
            </w:r>
            <w:r w:rsidR="00D6552C">
              <w:rPr>
                <w:rFonts w:asciiTheme="minorHAnsi" w:hAnsiTheme="minorHAnsi" w:cstheme="minorHAnsi"/>
                <w:b w:val="0"/>
                <w:sz w:val="18"/>
                <w:szCs w:val="18"/>
                <w:lang w:val="pt-PT"/>
              </w:rPr>
              <w:t>acompanhou a queda</w:t>
            </w:r>
            <w:r w:rsidR="00A60341">
              <w:rPr>
                <w:rFonts w:asciiTheme="minorHAnsi" w:hAnsiTheme="minorHAnsi" w:cstheme="minorHAnsi"/>
                <w:b w:val="0"/>
                <w:sz w:val="18"/>
                <w:szCs w:val="18"/>
                <w:lang w:val="pt-PT"/>
              </w:rPr>
              <w:t xml:space="preserve"> dos preços do petróleo. A experiência de Angola durante a década anterior demonstra a vulnerabilidade da sua economia a alterações nos preços do petróleo; este facto indirectamente liga o destino de Angola ao da economia global, conforme ilustrado pelo peso das consequências da crise financeira mundial na procura global da principal exportação de Angola. </w:t>
            </w:r>
          </w:p>
          <w:p w:rsidR="00BA7281" w:rsidRPr="00D956A8" w:rsidRDefault="00BA7281" w:rsidP="00BD144A">
            <w:pPr>
              <w:rPr>
                <w:rFonts w:asciiTheme="minorHAnsi" w:hAnsiTheme="minorHAnsi" w:cstheme="minorHAnsi"/>
                <w:b w:val="0"/>
                <w:sz w:val="18"/>
                <w:szCs w:val="18"/>
                <w:lang w:val="pt-PT"/>
              </w:rPr>
            </w:pPr>
          </w:p>
          <w:p w:rsidR="00F05380" w:rsidRDefault="00A60341" w:rsidP="00A60341">
            <w:pPr>
              <w:rPr>
                <w:rFonts w:asciiTheme="minorHAnsi" w:hAnsiTheme="minorHAnsi" w:cstheme="minorHAnsi"/>
                <w:b w:val="0"/>
                <w:sz w:val="18"/>
                <w:szCs w:val="18"/>
                <w:lang w:val="pt-PT"/>
              </w:rPr>
            </w:pPr>
            <w:r>
              <w:rPr>
                <w:rFonts w:asciiTheme="minorHAnsi" w:hAnsiTheme="minorHAnsi" w:cstheme="minorHAnsi"/>
                <w:sz w:val="18"/>
                <w:szCs w:val="18"/>
                <w:lang w:val="pt-PT"/>
              </w:rPr>
              <w:t>Este exercício revela a importância extraordinária da TFP para o crescimento da economia angolana</w:t>
            </w:r>
            <w:r w:rsidR="00CA022E" w:rsidRPr="00D956A8">
              <w:rPr>
                <w:rFonts w:asciiTheme="minorHAnsi" w:hAnsiTheme="minorHAnsi" w:cstheme="minorHAnsi"/>
                <w:b w:val="0"/>
                <w:sz w:val="18"/>
                <w:szCs w:val="18"/>
                <w:lang w:val="pt-PT"/>
              </w:rPr>
              <w:t xml:space="preserve">. </w:t>
            </w:r>
            <w:r>
              <w:rPr>
                <w:rFonts w:asciiTheme="minorHAnsi" w:hAnsiTheme="minorHAnsi" w:cstheme="minorHAnsi"/>
                <w:b w:val="0"/>
                <w:sz w:val="18"/>
                <w:szCs w:val="18"/>
                <w:lang w:val="pt-PT"/>
              </w:rPr>
              <w:t>A decomposição do crescimento do PIB de 1980 a 2011 indica que os aumentos dos factores de produção foram impulsionados sobretudo pela acumulação de capital físico</w:t>
            </w:r>
            <w:r w:rsidR="00D6552C">
              <w:rPr>
                <w:rFonts w:asciiTheme="minorHAnsi" w:hAnsiTheme="minorHAnsi" w:cstheme="minorHAnsi"/>
                <w:b w:val="0"/>
                <w:sz w:val="18"/>
                <w:szCs w:val="18"/>
                <w:lang w:val="pt-PT"/>
              </w:rPr>
              <w:t>,</w:t>
            </w:r>
            <w:r>
              <w:rPr>
                <w:rFonts w:asciiTheme="minorHAnsi" w:hAnsiTheme="minorHAnsi" w:cstheme="minorHAnsi"/>
                <w:b w:val="0"/>
                <w:sz w:val="18"/>
                <w:szCs w:val="18"/>
                <w:lang w:val="pt-PT"/>
              </w:rPr>
              <w:t xml:space="preserve"> </w:t>
            </w:r>
            <w:r w:rsidR="00E25673">
              <w:rPr>
                <w:rFonts w:asciiTheme="minorHAnsi" w:hAnsiTheme="minorHAnsi" w:cstheme="minorHAnsi"/>
                <w:b w:val="0"/>
                <w:sz w:val="18"/>
                <w:szCs w:val="18"/>
                <w:lang w:val="pt-PT"/>
              </w:rPr>
              <w:t>alimentada pelo IDE no sector petrolífero e pelo forte investimento público em infraestruturas básicas. Entretanto, as alterações na TFP reflectem em grande medida o impacto dos choques externos, principalmente preços de petróleo voláteis, que podem aumentar ou reduzir radicalmente quer a sua resiliência estrutural a choques externos</w:t>
            </w:r>
            <w:r w:rsidR="00D6552C">
              <w:rPr>
                <w:rFonts w:asciiTheme="minorHAnsi" w:hAnsiTheme="minorHAnsi" w:cstheme="minorHAnsi"/>
                <w:b w:val="0"/>
                <w:sz w:val="18"/>
                <w:szCs w:val="18"/>
                <w:lang w:val="pt-PT"/>
              </w:rPr>
              <w:t>,</w:t>
            </w:r>
            <w:r w:rsidR="00E25673">
              <w:rPr>
                <w:rFonts w:asciiTheme="minorHAnsi" w:hAnsiTheme="minorHAnsi" w:cstheme="minorHAnsi"/>
                <w:b w:val="0"/>
                <w:sz w:val="18"/>
                <w:szCs w:val="18"/>
                <w:lang w:val="pt-PT"/>
              </w:rPr>
              <w:t xml:space="preserve"> quer a sua capacidade para os contraria</w:t>
            </w:r>
            <w:r w:rsidR="00C155B3">
              <w:rPr>
                <w:rFonts w:asciiTheme="minorHAnsi" w:hAnsiTheme="minorHAnsi" w:cstheme="minorHAnsi"/>
                <w:b w:val="0"/>
                <w:sz w:val="18"/>
                <w:szCs w:val="18"/>
                <w:lang w:val="pt-PT"/>
              </w:rPr>
              <w:t>r</w:t>
            </w:r>
            <w:r w:rsidR="00E25673">
              <w:rPr>
                <w:rFonts w:asciiTheme="minorHAnsi" w:hAnsiTheme="minorHAnsi" w:cstheme="minorHAnsi"/>
                <w:b w:val="0"/>
                <w:sz w:val="18"/>
                <w:szCs w:val="18"/>
                <w:lang w:val="pt-PT"/>
              </w:rPr>
              <w:t xml:space="preserve"> através de medidas de políticas</w:t>
            </w:r>
            <w:r w:rsidR="00C155B3">
              <w:rPr>
                <w:rFonts w:asciiTheme="minorHAnsi" w:hAnsiTheme="minorHAnsi" w:cstheme="minorHAnsi"/>
                <w:b w:val="0"/>
                <w:sz w:val="18"/>
                <w:szCs w:val="18"/>
                <w:lang w:val="pt-PT"/>
              </w:rPr>
              <w:t xml:space="preserve"> correctivas. Por último, a importância económica da TFP sublinha a necessidade de se acelerar o progresso nas reformas estruturais concebidas para aumentar a produtividade, incluindo medidas para reforçar as instituições públicas, melhorar o clima de negócios e criar capital humano. </w:t>
            </w:r>
          </w:p>
          <w:p w:rsidR="007C047E" w:rsidRPr="00D956A8" w:rsidRDefault="007C047E" w:rsidP="00A60341">
            <w:pPr>
              <w:rPr>
                <w:rFonts w:asciiTheme="minorHAnsi" w:hAnsiTheme="minorHAnsi" w:cstheme="minorHAnsi"/>
                <w:b w:val="0"/>
                <w:sz w:val="18"/>
                <w:szCs w:val="18"/>
                <w:lang w:val="pt-PT"/>
              </w:rPr>
            </w:pPr>
          </w:p>
        </w:tc>
      </w:tr>
    </w:tbl>
    <w:p w:rsidR="00BD144A" w:rsidRPr="00946D49" w:rsidRDefault="00BD144A" w:rsidP="0085133C">
      <w:pPr>
        <w:pStyle w:val="ParagraphNumbering"/>
        <w:numPr>
          <w:ilvl w:val="0"/>
          <w:numId w:val="0"/>
        </w:numPr>
        <w:rPr>
          <w:lang w:val="pt-PT"/>
        </w:rPr>
      </w:pPr>
    </w:p>
    <w:p w:rsidR="00424FD3" w:rsidRPr="005E469D" w:rsidRDefault="00383B13" w:rsidP="0085133C">
      <w:pPr>
        <w:pStyle w:val="ParagraphNumbering"/>
        <w:rPr>
          <w:color w:val="000000"/>
          <w:lang w:val="pt-PT"/>
        </w:rPr>
      </w:pPr>
      <w:r w:rsidRPr="005E469D">
        <w:rPr>
          <w:b/>
          <w:lang w:val="pt-PT"/>
        </w:rPr>
        <w:t>Uma estratégia de diversificação económica eficaz poderia fomentar a trajectória de crescimento de longo prazo do PIB de Angola</w:t>
      </w:r>
      <w:r w:rsidR="00325DB1" w:rsidRPr="005E469D">
        <w:rPr>
          <w:b/>
          <w:lang w:val="pt-PT"/>
        </w:rPr>
        <w:t>.</w:t>
      </w:r>
      <w:r w:rsidR="00325DB1" w:rsidRPr="00383B13">
        <w:rPr>
          <w:lang w:val="pt-PT"/>
        </w:rPr>
        <w:t xml:space="preserve"> </w:t>
      </w:r>
      <w:r w:rsidR="00DF2D64" w:rsidRPr="00383B13">
        <w:rPr>
          <w:lang w:val="pt-PT"/>
        </w:rPr>
        <w:t>Re</w:t>
      </w:r>
      <w:r w:rsidR="00424FD3">
        <w:rPr>
          <w:lang w:val="pt-PT"/>
        </w:rPr>
        <w:t xml:space="preserve">centrar as despesas públicas em infraestruturas de alta qualidade no sector petrolífero podia atrair investimento privado complementar e impulsionar crescimento económico sem desestabilizar a posição orçamental do governo. Conforme mencionado no último AEU, os investimento em transportes e serviços de utilidade pública básicos, especialmente </w:t>
      </w:r>
      <w:r w:rsidR="00D6552C">
        <w:rPr>
          <w:lang w:val="pt-PT"/>
        </w:rPr>
        <w:t>nas</w:t>
      </w:r>
      <w:r w:rsidR="00424FD3">
        <w:rPr>
          <w:lang w:val="pt-PT"/>
        </w:rPr>
        <w:t xml:space="preserve"> áreas rurais, poderiam estimular o sector agrícola de Angola de baixo desempenho e, simultaneamente, modernizar os portos de Angola </w:t>
      </w:r>
      <w:r w:rsidR="00E907F7" w:rsidRPr="00383B13">
        <w:rPr>
          <w:rStyle w:val="FootnoteReference"/>
          <w:rFonts w:cs="Times New Roman"/>
          <w:color w:val="000000"/>
          <w:szCs w:val="22"/>
          <w:lang w:val="pt-PT"/>
        </w:rPr>
        <w:footnoteReference w:id="2"/>
      </w:r>
      <w:r w:rsidR="007060EB">
        <w:rPr>
          <w:lang w:val="pt-PT"/>
        </w:rPr>
        <w:t>,</w:t>
      </w:r>
      <w:r w:rsidR="00424FD3">
        <w:rPr>
          <w:color w:val="000000"/>
          <w:lang w:val="pt-PT"/>
        </w:rPr>
        <w:t xml:space="preserve"> e o desenvolvimento das principais rotas comerciais terrrestres</w:t>
      </w:r>
      <w:r w:rsidR="007060EB">
        <w:rPr>
          <w:color w:val="000000"/>
          <w:lang w:val="pt-PT"/>
        </w:rPr>
        <w:t xml:space="preserve"> poderia promover a competitividade económica global. Reconhecendo o considerável défice global do país em infraestruras, as autoridades já afectaram recursos orçamentais adicionais para apoiar um maior investimento público, com especial enfoque na diversificação e criação de emprego. A Secção </w:t>
      </w:r>
      <w:r w:rsidR="005640FA">
        <w:rPr>
          <w:color w:val="000000"/>
          <w:lang w:val="pt-PT"/>
        </w:rPr>
        <w:t xml:space="preserve">de </w:t>
      </w:r>
      <w:r w:rsidR="00D6552C">
        <w:rPr>
          <w:color w:val="000000"/>
          <w:lang w:val="pt-PT"/>
        </w:rPr>
        <w:t>Enfoque</w:t>
      </w:r>
      <w:r w:rsidR="005640FA">
        <w:rPr>
          <w:color w:val="000000"/>
          <w:lang w:val="pt-PT"/>
        </w:rPr>
        <w:t xml:space="preserve"> Especial discute alguns destes desafios no contexto do sistema </w:t>
      </w:r>
      <w:r w:rsidR="00737F9D">
        <w:rPr>
          <w:color w:val="000000"/>
          <w:lang w:val="pt-PT"/>
        </w:rPr>
        <w:t xml:space="preserve">nacional </w:t>
      </w:r>
      <w:r w:rsidR="005640FA">
        <w:rPr>
          <w:color w:val="000000"/>
          <w:lang w:val="pt-PT"/>
        </w:rPr>
        <w:t>de gestão do investimento p</w:t>
      </w:r>
      <w:r w:rsidR="00737F9D">
        <w:rPr>
          <w:color w:val="000000"/>
          <w:lang w:val="pt-PT"/>
        </w:rPr>
        <w:t>úblico</w:t>
      </w:r>
      <w:r w:rsidR="005640FA">
        <w:rPr>
          <w:color w:val="000000"/>
          <w:lang w:val="pt-PT"/>
        </w:rPr>
        <w:t xml:space="preserve">. </w:t>
      </w:r>
      <w:r w:rsidR="00737F9D">
        <w:rPr>
          <w:color w:val="000000"/>
          <w:lang w:val="pt-PT"/>
        </w:rPr>
        <w:t xml:space="preserve">Contudo, </w:t>
      </w:r>
      <w:r w:rsidR="00BC1444">
        <w:rPr>
          <w:color w:val="000000"/>
          <w:lang w:val="pt-PT"/>
        </w:rPr>
        <w:t xml:space="preserve">se bem que a </w:t>
      </w:r>
      <w:r w:rsidR="00737F9D">
        <w:rPr>
          <w:color w:val="000000"/>
          <w:lang w:val="pt-PT"/>
        </w:rPr>
        <w:t>diversificação</w:t>
      </w:r>
      <w:r w:rsidR="00BC1444">
        <w:rPr>
          <w:color w:val="000000"/>
          <w:lang w:val="pt-PT"/>
        </w:rPr>
        <w:t xml:space="preserve"> exija</w:t>
      </w:r>
      <w:r w:rsidR="00737F9D">
        <w:rPr>
          <w:color w:val="000000"/>
          <w:lang w:val="pt-PT"/>
        </w:rPr>
        <w:t xml:space="preserve"> um aumento do investimento público, </w:t>
      </w:r>
      <w:r w:rsidR="00BC1444">
        <w:rPr>
          <w:color w:val="000000"/>
          <w:lang w:val="pt-PT"/>
        </w:rPr>
        <w:t>é esssencial prestar uma e</w:t>
      </w:r>
      <w:r w:rsidR="00737F9D">
        <w:rPr>
          <w:color w:val="000000"/>
          <w:lang w:val="pt-PT"/>
        </w:rPr>
        <w:t xml:space="preserve">special </w:t>
      </w:r>
      <w:r w:rsidR="00BC1444">
        <w:rPr>
          <w:color w:val="000000"/>
          <w:lang w:val="pt-PT"/>
        </w:rPr>
        <w:t xml:space="preserve">atenção à concepção e às disposições das políticas industriais de Angola. Conforme </w:t>
      </w:r>
      <w:r w:rsidR="00BC1444">
        <w:rPr>
          <w:color w:val="000000"/>
          <w:lang w:val="pt-PT"/>
        </w:rPr>
        <w:lastRenderedPageBreak/>
        <w:t>descrito na Caixa 3 abai</w:t>
      </w:r>
      <w:r w:rsidR="00D6552C">
        <w:rPr>
          <w:color w:val="000000"/>
          <w:lang w:val="pt-PT"/>
        </w:rPr>
        <w:t>x</w:t>
      </w:r>
      <w:r w:rsidR="00BC1444">
        <w:rPr>
          <w:color w:val="000000"/>
          <w:lang w:val="pt-PT"/>
        </w:rPr>
        <w:t>o, reformas adequadas do enquadramento da política industrial do país poderiam aumentar o crescimento e acelerar a diversificação na economia não petrolífera.</w:t>
      </w:r>
    </w:p>
    <w:p w:rsidR="00CC61DC" w:rsidRPr="005E469D" w:rsidRDefault="00CC61DC" w:rsidP="0085133C">
      <w:pPr>
        <w:pStyle w:val="ParagraphNumbering"/>
        <w:numPr>
          <w:ilvl w:val="0"/>
          <w:numId w:val="0"/>
        </w:numPr>
        <w:rPr>
          <w:lang w:val="pt-PT"/>
        </w:rPr>
      </w:pPr>
    </w:p>
    <w:tbl>
      <w:tblPr>
        <w:tblStyle w:val="ColorfulList-Accent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69"/>
        <w:gridCol w:w="8607"/>
      </w:tblGrid>
      <w:tr w:rsidR="00436AC8" w:rsidRPr="004E1715" w:rsidTr="00BC1444">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969" w:type="dxa"/>
            <w:vAlign w:val="center"/>
          </w:tcPr>
          <w:p w:rsidR="004E23AD" w:rsidRPr="00546544" w:rsidRDefault="00546544" w:rsidP="00546544">
            <w:pPr>
              <w:pStyle w:val="NoSpacing"/>
              <w:keepNext/>
              <w:jc w:val="center"/>
              <w:rPr>
                <w:rFonts w:asciiTheme="minorHAnsi" w:hAnsiTheme="minorHAnsi" w:cstheme="minorHAnsi"/>
                <w:lang w:val="pt-PT"/>
              </w:rPr>
            </w:pPr>
            <w:bookmarkStart w:id="40" w:name="_Ref382405509"/>
            <w:r w:rsidRPr="00546544">
              <w:rPr>
                <w:rFonts w:asciiTheme="minorHAnsi" w:hAnsiTheme="minorHAnsi" w:cstheme="minorHAnsi"/>
                <w:lang w:val="pt-PT"/>
              </w:rPr>
              <w:t>Caixa</w:t>
            </w:r>
            <w:r w:rsidR="00BE2106" w:rsidRPr="00546544">
              <w:rPr>
                <w:rFonts w:asciiTheme="minorHAnsi" w:hAnsiTheme="minorHAnsi" w:cstheme="minorHAnsi"/>
                <w:lang w:val="pt-PT"/>
              </w:rPr>
              <w:t xml:space="preserve"> </w:t>
            </w:r>
            <w:r w:rsidR="00FB4E23" w:rsidRPr="00546544">
              <w:rPr>
                <w:rFonts w:asciiTheme="minorHAnsi" w:hAnsiTheme="minorHAnsi" w:cstheme="minorHAnsi"/>
                <w:lang w:val="pt-PT"/>
              </w:rPr>
              <w:fldChar w:fldCharType="begin"/>
            </w:r>
            <w:r w:rsidR="00BE2106" w:rsidRPr="00546544">
              <w:rPr>
                <w:rFonts w:asciiTheme="minorHAnsi" w:hAnsiTheme="minorHAnsi" w:cstheme="minorHAnsi"/>
                <w:lang w:val="pt-PT"/>
              </w:rPr>
              <w:instrText xml:space="preserve"> SEQ Box \* ARABIC </w:instrText>
            </w:r>
            <w:r w:rsidR="00FB4E23" w:rsidRPr="00546544">
              <w:rPr>
                <w:rFonts w:asciiTheme="minorHAnsi" w:hAnsiTheme="minorHAnsi" w:cstheme="minorHAnsi"/>
                <w:lang w:val="pt-PT"/>
              </w:rPr>
              <w:fldChar w:fldCharType="separate"/>
            </w:r>
            <w:r w:rsidR="004F553E">
              <w:rPr>
                <w:rFonts w:asciiTheme="minorHAnsi" w:hAnsiTheme="minorHAnsi" w:cstheme="minorHAnsi"/>
                <w:noProof/>
                <w:lang w:val="pt-PT"/>
              </w:rPr>
              <w:t>3</w:t>
            </w:r>
            <w:r w:rsidR="00FB4E23" w:rsidRPr="00546544">
              <w:rPr>
                <w:rFonts w:asciiTheme="minorHAnsi" w:hAnsiTheme="minorHAnsi" w:cstheme="minorHAnsi"/>
                <w:lang w:val="pt-PT"/>
              </w:rPr>
              <w:fldChar w:fldCharType="end"/>
            </w:r>
            <w:bookmarkEnd w:id="40"/>
          </w:p>
        </w:tc>
        <w:tc>
          <w:tcPr>
            <w:tcW w:w="8607" w:type="dxa"/>
            <w:shd w:val="clear" w:color="auto" w:fill="000000" w:themeFill="text1"/>
            <w:vAlign w:val="center"/>
          </w:tcPr>
          <w:p w:rsidR="004E23AD" w:rsidRPr="00546544" w:rsidRDefault="00546544" w:rsidP="00BD144A">
            <w:pPr>
              <w:pStyle w:val="NoSpacing"/>
              <w:jc w:val="left"/>
              <w:cnfStyle w:val="100000000000" w:firstRow="1" w:lastRow="0" w:firstColumn="0" w:lastColumn="0" w:oddVBand="0" w:evenVBand="0" w:oddHBand="0" w:evenHBand="0" w:firstRowFirstColumn="0" w:firstRowLastColumn="0" w:lastRowFirstColumn="0" w:lastRowLastColumn="0"/>
              <w:rPr>
                <w:rFonts w:asciiTheme="minorHAnsi" w:hAnsiTheme="minorHAnsi"/>
                <w:bCs w:val="0"/>
                <w:szCs w:val="24"/>
                <w:lang w:val="pt-PT"/>
              </w:rPr>
            </w:pPr>
            <w:r w:rsidRPr="00546544">
              <w:rPr>
                <w:rFonts w:asciiTheme="minorHAnsi" w:hAnsiTheme="minorHAnsi"/>
                <w:sz w:val="24"/>
                <w:szCs w:val="24"/>
                <w:lang w:val="pt-PT"/>
              </w:rPr>
              <w:t>Acab</w:t>
            </w:r>
            <w:r w:rsidR="00503039">
              <w:rPr>
                <w:rFonts w:asciiTheme="minorHAnsi" w:hAnsiTheme="minorHAnsi"/>
                <w:sz w:val="24"/>
                <w:szCs w:val="24"/>
                <w:lang w:val="pt-PT"/>
              </w:rPr>
              <w:t xml:space="preserve">ar </w:t>
            </w:r>
            <w:r w:rsidRPr="00546544">
              <w:rPr>
                <w:rFonts w:asciiTheme="minorHAnsi" w:hAnsiTheme="minorHAnsi"/>
                <w:sz w:val="24"/>
                <w:szCs w:val="24"/>
                <w:lang w:val="pt-PT"/>
              </w:rPr>
              <w:t>com as velhas práticas e Incentiv</w:t>
            </w:r>
            <w:r w:rsidR="00503039">
              <w:rPr>
                <w:rFonts w:asciiTheme="minorHAnsi" w:hAnsiTheme="minorHAnsi"/>
                <w:sz w:val="24"/>
                <w:szCs w:val="24"/>
                <w:lang w:val="pt-PT"/>
              </w:rPr>
              <w:t>ar</w:t>
            </w:r>
            <w:r w:rsidRPr="00546544">
              <w:rPr>
                <w:rFonts w:asciiTheme="minorHAnsi" w:hAnsiTheme="minorHAnsi"/>
                <w:sz w:val="24"/>
                <w:szCs w:val="24"/>
                <w:lang w:val="pt-PT"/>
              </w:rPr>
              <w:t xml:space="preserve"> a Novidade</w:t>
            </w:r>
          </w:p>
          <w:p w:rsidR="004E23AD" w:rsidRPr="00546544" w:rsidRDefault="00546544" w:rsidP="00546544">
            <w:pPr>
              <w:pStyle w:val="NoSpacing"/>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lang w:val="pt-PT"/>
              </w:rPr>
            </w:pPr>
            <w:r>
              <w:rPr>
                <w:rFonts w:asciiTheme="minorHAnsi" w:hAnsiTheme="minorHAnsi"/>
                <w:bCs w:val="0"/>
                <w:i/>
                <w:sz w:val="20"/>
                <w:lang w:val="pt-PT"/>
              </w:rPr>
              <w:t>Reformar constantemente as políticas industriais para promover o crescimento e a diversificação</w:t>
            </w:r>
          </w:p>
        </w:tc>
      </w:tr>
      <w:tr w:rsidR="004E23AD" w:rsidRPr="0005246F" w:rsidTr="00BC1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7C047E" w:rsidRPr="00546544" w:rsidRDefault="007C047E" w:rsidP="00925B1D">
            <w:pPr>
              <w:rPr>
                <w:rFonts w:asciiTheme="minorHAnsi" w:hAnsiTheme="minorHAnsi" w:cstheme="minorHAnsi"/>
                <w:sz w:val="18"/>
                <w:szCs w:val="18"/>
                <w:lang w:val="pt-PT"/>
              </w:rPr>
            </w:pPr>
          </w:p>
          <w:p w:rsidR="00925B1D" w:rsidRPr="00546544" w:rsidRDefault="00546544" w:rsidP="008C5133">
            <w:pPr>
              <w:rPr>
                <w:rFonts w:asciiTheme="minorHAnsi" w:hAnsiTheme="minorHAnsi" w:cstheme="minorHAnsi"/>
                <w:b w:val="0"/>
                <w:sz w:val="18"/>
                <w:szCs w:val="18"/>
                <w:lang w:val="pt-PT"/>
              </w:rPr>
            </w:pPr>
            <w:r>
              <w:rPr>
                <w:rFonts w:asciiTheme="minorHAnsi" w:hAnsiTheme="minorHAnsi" w:cstheme="minorHAnsi"/>
                <w:sz w:val="18"/>
                <w:szCs w:val="18"/>
                <w:lang w:val="pt-PT"/>
              </w:rPr>
              <w:t>Facilitar o crescimento na economia não petrolífera é uma prioridade principal para o governo angolano</w:t>
            </w:r>
            <w:r w:rsidR="0073329D" w:rsidRPr="00546544">
              <w:rPr>
                <w:rFonts w:asciiTheme="minorHAnsi" w:hAnsiTheme="minorHAnsi" w:cstheme="minorHAnsi"/>
                <w:sz w:val="18"/>
                <w:szCs w:val="18"/>
                <w:lang w:val="pt-PT"/>
              </w:rPr>
              <w:t xml:space="preserve">. </w:t>
            </w:r>
            <w:r w:rsidR="00807E88" w:rsidRPr="00546544">
              <w:rPr>
                <w:rFonts w:asciiTheme="minorHAnsi" w:hAnsiTheme="minorHAnsi" w:cstheme="minorHAnsi"/>
                <w:b w:val="0"/>
                <w:sz w:val="18"/>
                <w:szCs w:val="18"/>
                <w:lang w:val="pt-PT"/>
              </w:rPr>
              <w:t>A</w:t>
            </w:r>
            <w:r w:rsidR="00503039">
              <w:rPr>
                <w:rFonts w:asciiTheme="minorHAnsi" w:hAnsiTheme="minorHAnsi" w:cstheme="minorHAnsi"/>
                <w:b w:val="0"/>
                <w:sz w:val="18"/>
                <w:szCs w:val="18"/>
                <w:lang w:val="pt-PT"/>
              </w:rPr>
              <w:t xml:space="preserve">ctualmente, Angola apoia o sector não petrolífero através de uma série de programas, incluindo </w:t>
            </w:r>
            <w:r w:rsidR="00542779" w:rsidRPr="00546544">
              <w:rPr>
                <w:rFonts w:asciiTheme="minorHAnsi" w:hAnsiTheme="minorHAnsi" w:cstheme="minorHAnsi"/>
                <w:b w:val="0"/>
                <w:i/>
                <w:sz w:val="18"/>
                <w:szCs w:val="18"/>
                <w:lang w:val="pt-PT"/>
              </w:rPr>
              <w:t>Angola Investe</w:t>
            </w:r>
            <w:r w:rsidR="00B959B6" w:rsidRPr="00546544">
              <w:rPr>
                <w:rFonts w:asciiTheme="minorHAnsi" w:hAnsiTheme="minorHAnsi" w:cstheme="minorHAnsi"/>
                <w:b w:val="0"/>
                <w:sz w:val="18"/>
                <w:szCs w:val="18"/>
                <w:lang w:val="pt-PT"/>
              </w:rPr>
              <w:t xml:space="preserve">, </w:t>
            </w:r>
            <w:r w:rsidR="00503039">
              <w:rPr>
                <w:rFonts w:asciiTheme="minorHAnsi" w:hAnsiTheme="minorHAnsi" w:cstheme="minorHAnsi"/>
                <w:b w:val="0"/>
                <w:sz w:val="18"/>
                <w:szCs w:val="18"/>
                <w:lang w:val="pt-PT"/>
              </w:rPr>
              <w:t>que se centra na expansão do acesso ao crédito das micro, pequenas e médias empresas, e um programa mais recente, denominado</w:t>
            </w:r>
            <w:r w:rsidR="00542779" w:rsidRPr="00546544">
              <w:rPr>
                <w:rFonts w:asciiTheme="minorHAnsi" w:hAnsiTheme="minorHAnsi" w:cstheme="minorHAnsi"/>
                <w:b w:val="0"/>
                <w:sz w:val="18"/>
                <w:szCs w:val="18"/>
                <w:lang w:val="pt-PT"/>
              </w:rPr>
              <w:t xml:space="preserve"> </w:t>
            </w:r>
            <w:r w:rsidR="00B959B6" w:rsidRPr="00546544">
              <w:rPr>
                <w:rFonts w:asciiTheme="minorHAnsi" w:hAnsiTheme="minorHAnsi" w:cstheme="minorHAnsi"/>
                <w:b w:val="0"/>
                <w:i/>
                <w:sz w:val="18"/>
                <w:szCs w:val="18"/>
                <w:lang w:val="pt-PT"/>
              </w:rPr>
              <w:t>Programa de Aquisição de Produtos Agrícolas</w:t>
            </w:r>
            <w:r w:rsidR="00B959B6" w:rsidRPr="00546544">
              <w:rPr>
                <w:rFonts w:asciiTheme="minorHAnsi" w:hAnsiTheme="minorHAnsi" w:cstheme="minorHAnsi"/>
                <w:b w:val="0"/>
                <w:sz w:val="18"/>
                <w:szCs w:val="18"/>
                <w:lang w:val="pt-PT"/>
              </w:rPr>
              <w:t>,</w:t>
            </w:r>
            <w:r w:rsidR="00503039">
              <w:rPr>
                <w:rFonts w:asciiTheme="minorHAnsi" w:hAnsiTheme="minorHAnsi" w:cstheme="minorHAnsi"/>
                <w:b w:val="0"/>
                <w:sz w:val="18"/>
                <w:szCs w:val="18"/>
                <w:lang w:val="pt-PT"/>
              </w:rPr>
              <w:t xml:space="preserve"> que visa dar aos pequenos proprietários agrícolas a possibilidade de consolidar os seus bens e vendê-los directamente à indústria transformadora via pontos de comercialização centralizados, colmatando o ineficiente sistema em vigor, em que são realizadas inúmeras operações </w:t>
            </w:r>
            <w:r w:rsidR="00967ACC">
              <w:rPr>
                <w:rFonts w:asciiTheme="minorHAnsi" w:hAnsiTheme="minorHAnsi" w:cstheme="minorHAnsi"/>
                <w:b w:val="0"/>
                <w:sz w:val="18"/>
                <w:szCs w:val="18"/>
                <w:lang w:val="pt-PT"/>
              </w:rPr>
              <w:t>locais</w:t>
            </w:r>
            <w:r w:rsidR="00503039">
              <w:rPr>
                <w:rFonts w:asciiTheme="minorHAnsi" w:hAnsiTheme="minorHAnsi" w:cstheme="minorHAnsi"/>
                <w:b w:val="0"/>
                <w:sz w:val="18"/>
                <w:szCs w:val="18"/>
                <w:lang w:val="pt-PT"/>
              </w:rPr>
              <w:t xml:space="preserve"> através de comerciantes intermediários. Não obstante estes esforços, o investimento privado na economia não petrolífera caiu nos últimos anos, de uma taxa robusta de 10% em 2011, para uma mais modesta de 7,5% em 2013. </w:t>
            </w:r>
          </w:p>
          <w:p w:rsidR="00542779" w:rsidRPr="00546544" w:rsidRDefault="00542779" w:rsidP="002E4D77">
            <w:pPr>
              <w:rPr>
                <w:rFonts w:asciiTheme="minorHAnsi" w:hAnsiTheme="minorHAnsi" w:cstheme="minorHAnsi"/>
                <w:b w:val="0"/>
                <w:sz w:val="18"/>
                <w:szCs w:val="18"/>
                <w:lang w:val="pt-PT"/>
              </w:rPr>
            </w:pPr>
          </w:p>
          <w:p w:rsidR="00925B1D" w:rsidRPr="00546544" w:rsidRDefault="00D73488" w:rsidP="00483C4D">
            <w:pPr>
              <w:autoSpaceDE w:val="0"/>
              <w:autoSpaceDN w:val="0"/>
              <w:adjustRightInd w:val="0"/>
              <w:rPr>
                <w:rFonts w:asciiTheme="minorHAnsi" w:hAnsiTheme="minorHAnsi" w:cs="Times-Roman"/>
                <w:b w:val="0"/>
                <w:bCs w:val="0"/>
                <w:color w:val="auto"/>
                <w:sz w:val="18"/>
                <w:szCs w:val="18"/>
                <w:lang w:val="pt-PT"/>
              </w:rPr>
            </w:pPr>
            <w:r>
              <w:rPr>
                <w:rFonts w:asciiTheme="minorHAnsi" w:hAnsiTheme="minorHAnsi" w:cstheme="minorHAnsi"/>
                <w:sz w:val="18"/>
                <w:szCs w:val="18"/>
                <w:lang w:val="pt-PT"/>
              </w:rPr>
              <w:t>A chave para uma política industrial eficaz é, não apenas identificar e executar programas adequados, mas também analisar e reformar os programas existentes para garantir a continuação da sua relevância e consistência com os objectivos das políticas do governo</w:t>
            </w:r>
            <w:r w:rsidR="00925B1D" w:rsidRPr="00546544">
              <w:rPr>
                <w:rFonts w:asciiTheme="minorHAnsi" w:hAnsiTheme="minorHAnsi" w:cstheme="minorHAnsi"/>
                <w:sz w:val="18"/>
                <w:szCs w:val="18"/>
                <w:lang w:val="pt-PT"/>
              </w:rPr>
              <w:t>.</w:t>
            </w:r>
            <w:r w:rsidR="004B1C9F" w:rsidRPr="00546544">
              <w:rPr>
                <w:rFonts w:asciiTheme="minorHAnsi" w:hAnsiTheme="minorHAnsi" w:cstheme="minorHAnsi"/>
                <w:sz w:val="18"/>
                <w:szCs w:val="18"/>
                <w:lang w:val="pt-PT"/>
              </w:rPr>
              <w:t xml:space="preserve"> </w:t>
            </w:r>
            <w:r w:rsidR="00967ACC">
              <w:rPr>
                <w:rFonts w:asciiTheme="minorHAnsi" w:hAnsiTheme="minorHAnsi" w:cstheme="minorHAnsi"/>
                <w:b w:val="0"/>
                <w:sz w:val="18"/>
                <w:szCs w:val="18"/>
                <w:lang w:val="pt-PT"/>
              </w:rPr>
              <w:t xml:space="preserve">Por exemplo, um estudo recente </w:t>
            </w:r>
            <w:r w:rsidR="00436AC8" w:rsidRPr="00546544">
              <w:rPr>
                <w:rFonts w:asciiTheme="minorHAnsi" w:hAnsiTheme="minorHAnsi" w:cstheme="minorHAnsi"/>
                <w:b w:val="0"/>
                <w:sz w:val="18"/>
                <w:szCs w:val="18"/>
                <w:lang w:val="pt-PT"/>
              </w:rPr>
              <w:t>(Partow, 2012</w:t>
            </w:r>
            <w:r w:rsidR="00967ACC">
              <w:rPr>
                <w:rFonts w:asciiTheme="minorHAnsi" w:hAnsiTheme="minorHAnsi" w:cstheme="minorHAnsi"/>
                <w:b w:val="0"/>
                <w:sz w:val="18"/>
                <w:szCs w:val="18"/>
                <w:lang w:val="pt-PT"/>
              </w:rPr>
              <w:t xml:space="preserve">) analisa as actuais políticas industriais no Botswana e constata que não estão alinhadas com o objectivo declarado de fomentar a competitividade. Ao contrário, muitas estão concebidas para proteger indústrias não competitivas e apoiar sectores em declínio; em vez de apoiarem o desenvolvimento de novas actividades económicas, estas políticas tendem a minar a diversificação, ao </w:t>
            </w:r>
            <w:r w:rsidR="00716804">
              <w:rPr>
                <w:rFonts w:asciiTheme="minorHAnsi" w:hAnsiTheme="minorHAnsi" w:cstheme="minorHAnsi"/>
                <w:b w:val="0"/>
                <w:sz w:val="18"/>
                <w:szCs w:val="18"/>
                <w:lang w:val="pt-PT"/>
              </w:rPr>
              <w:t xml:space="preserve">afastarem a afectação de recursos produtivos para sectores que deixaram de ser viáveis ou até mesmo que nunca </w:t>
            </w:r>
            <w:r w:rsidR="004A3D6D">
              <w:rPr>
                <w:rFonts w:asciiTheme="minorHAnsi" w:hAnsiTheme="minorHAnsi" w:cstheme="minorHAnsi"/>
                <w:b w:val="0"/>
                <w:sz w:val="18"/>
                <w:szCs w:val="18"/>
                <w:lang w:val="pt-PT"/>
              </w:rPr>
              <w:t xml:space="preserve">foram. </w:t>
            </w:r>
            <w:r w:rsidR="00716804">
              <w:rPr>
                <w:rFonts w:asciiTheme="minorHAnsi" w:hAnsiTheme="minorHAnsi" w:cs="Times-Roman"/>
                <w:b w:val="0"/>
                <w:sz w:val="18"/>
                <w:szCs w:val="18"/>
                <w:lang w:val="pt-PT"/>
              </w:rPr>
              <w:t>É, portanto, essencial não apenas conceber e apli</w:t>
            </w:r>
            <w:r w:rsidR="00C85FB0">
              <w:rPr>
                <w:rFonts w:asciiTheme="minorHAnsi" w:hAnsiTheme="minorHAnsi" w:cs="Times-Roman"/>
                <w:b w:val="0"/>
                <w:sz w:val="18"/>
                <w:szCs w:val="18"/>
                <w:lang w:val="pt-PT"/>
              </w:rPr>
              <w:t>car novos programas e políticas</w:t>
            </w:r>
            <w:r w:rsidR="00716804">
              <w:rPr>
                <w:rFonts w:asciiTheme="minorHAnsi" w:hAnsiTheme="minorHAnsi" w:cs="Times-Roman"/>
                <w:b w:val="0"/>
                <w:sz w:val="18"/>
                <w:szCs w:val="18"/>
                <w:lang w:val="pt-PT"/>
              </w:rPr>
              <w:t xml:space="preserve"> mas</w:t>
            </w:r>
            <w:r w:rsidR="00C85FB0">
              <w:rPr>
                <w:rFonts w:asciiTheme="minorHAnsi" w:hAnsiTheme="minorHAnsi" w:cs="Times-Roman"/>
                <w:b w:val="0"/>
                <w:sz w:val="18"/>
                <w:szCs w:val="18"/>
                <w:lang w:val="pt-PT"/>
              </w:rPr>
              <w:t>,</w:t>
            </w:r>
            <w:r w:rsidR="00716804">
              <w:rPr>
                <w:rFonts w:asciiTheme="minorHAnsi" w:hAnsiTheme="minorHAnsi" w:cs="Times-Roman"/>
                <w:b w:val="0"/>
                <w:sz w:val="18"/>
                <w:szCs w:val="18"/>
                <w:lang w:val="pt-PT"/>
              </w:rPr>
              <w:t xml:space="preserve"> também analisar regularmente os existentes, para assegurar que continuam a estar conformes aos objectivos do governo, e</w:t>
            </w:r>
            <w:r w:rsidR="00751B3F">
              <w:rPr>
                <w:rFonts w:asciiTheme="minorHAnsi" w:hAnsiTheme="minorHAnsi" w:cs="Times-Roman"/>
                <w:b w:val="0"/>
                <w:sz w:val="18"/>
                <w:szCs w:val="18"/>
                <w:lang w:val="pt-PT"/>
              </w:rPr>
              <w:t xml:space="preserve"> fazê-los avançar de forma significativa. </w:t>
            </w:r>
          </w:p>
          <w:p w:rsidR="00807E88" w:rsidRPr="00546544" w:rsidRDefault="00807E88" w:rsidP="008C5133">
            <w:pPr>
              <w:rPr>
                <w:rFonts w:asciiTheme="minorHAnsi" w:hAnsiTheme="minorHAnsi" w:cstheme="minorHAnsi"/>
                <w:b w:val="0"/>
                <w:sz w:val="18"/>
                <w:szCs w:val="18"/>
                <w:lang w:val="pt-PT"/>
              </w:rPr>
            </w:pPr>
          </w:p>
          <w:p w:rsidR="00542779" w:rsidRPr="00546544" w:rsidRDefault="00113449" w:rsidP="002E4D77">
            <w:pPr>
              <w:rPr>
                <w:rFonts w:asciiTheme="minorHAnsi" w:hAnsiTheme="minorHAnsi" w:cstheme="minorHAnsi"/>
                <w:b w:val="0"/>
                <w:sz w:val="18"/>
                <w:szCs w:val="18"/>
                <w:lang w:val="pt-PT"/>
              </w:rPr>
            </w:pPr>
            <w:r>
              <w:rPr>
                <w:rFonts w:asciiTheme="minorHAnsi" w:hAnsiTheme="minorHAnsi" w:cstheme="minorHAnsi"/>
                <w:sz w:val="18"/>
                <w:szCs w:val="18"/>
                <w:lang w:val="pt-PT"/>
              </w:rPr>
              <w:t>Enquanto o desenho de políticas e programas específicos t</w:t>
            </w:r>
            <w:r w:rsidR="00C85FB0">
              <w:rPr>
                <w:rFonts w:asciiTheme="minorHAnsi" w:hAnsiTheme="minorHAnsi" w:cstheme="minorHAnsi"/>
                <w:sz w:val="18"/>
                <w:szCs w:val="18"/>
                <w:lang w:val="pt-PT"/>
              </w:rPr>
              <w:t>em</w:t>
            </w:r>
            <w:r>
              <w:rPr>
                <w:rFonts w:asciiTheme="minorHAnsi" w:hAnsiTheme="minorHAnsi" w:cstheme="minorHAnsi"/>
                <w:sz w:val="18"/>
                <w:szCs w:val="18"/>
                <w:lang w:val="pt-PT"/>
              </w:rPr>
              <w:t xml:space="preserve"> de reflectir as circunstâncias únicas de cada país, </w:t>
            </w:r>
            <w:r w:rsidR="004B1C9F" w:rsidRPr="00546544">
              <w:rPr>
                <w:rFonts w:asciiTheme="minorHAnsi" w:hAnsiTheme="minorHAnsi" w:cstheme="minorHAnsi"/>
                <w:sz w:val="18"/>
                <w:szCs w:val="18"/>
                <w:lang w:val="pt-PT"/>
              </w:rPr>
              <w:t>Rodrik (2008</w:t>
            </w:r>
            <w:r w:rsidR="00542779" w:rsidRPr="00546544">
              <w:rPr>
                <w:rFonts w:asciiTheme="minorHAnsi" w:hAnsiTheme="minorHAnsi" w:cstheme="minorHAnsi"/>
                <w:sz w:val="18"/>
                <w:szCs w:val="18"/>
                <w:lang w:val="pt-PT"/>
              </w:rPr>
              <w:t xml:space="preserve">) </w:t>
            </w:r>
            <w:r>
              <w:rPr>
                <w:rFonts w:asciiTheme="minorHAnsi" w:hAnsiTheme="minorHAnsi" w:cstheme="minorHAnsi"/>
                <w:sz w:val="18"/>
                <w:szCs w:val="18"/>
                <w:lang w:val="pt-PT"/>
              </w:rPr>
              <w:t>aponta três princípios gerais para a manutenção de um enquadramento de política industrial eficiente</w:t>
            </w:r>
            <w:r w:rsidR="00807E88" w:rsidRPr="00546544">
              <w:rPr>
                <w:rFonts w:asciiTheme="minorHAnsi" w:hAnsiTheme="minorHAnsi" w:cstheme="minorHAnsi"/>
                <w:sz w:val="18"/>
                <w:szCs w:val="18"/>
                <w:lang w:val="pt-PT"/>
              </w:rPr>
              <w:t xml:space="preserve">. </w:t>
            </w:r>
            <w:r>
              <w:rPr>
                <w:rFonts w:asciiTheme="minorHAnsi" w:hAnsiTheme="minorHAnsi" w:cstheme="minorHAnsi"/>
                <w:b w:val="0"/>
                <w:sz w:val="18"/>
                <w:szCs w:val="18"/>
                <w:lang w:val="pt-PT"/>
              </w:rPr>
              <w:t>São eles</w:t>
            </w:r>
            <w:r w:rsidR="00E907F7" w:rsidRPr="00546544">
              <w:rPr>
                <w:rFonts w:asciiTheme="minorHAnsi" w:hAnsiTheme="minorHAnsi" w:cstheme="minorHAnsi"/>
                <w:b w:val="0"/>
                <w:sz w:val="18"/>
                <w:szCs w:val="18"/>
                <w:lang w:val="pt-PT"/>
              </w:rPr>
              <w:t>:</w:t>
            </w:r>
          </w:p>
          <w:p w:rsidR="00E907F7" w:rsidRPr="00546544" w:rsidRDefault="00E907F7" w:rsidP="002E4D77">
            <w:pPr>
              <w:rPr>
                <w:rFonts w:asciiTheme="minorHAnsi" w:hAnsiTheme="minorHAnsi" w:cstheme="minorHAnsi"/>
                <w:sz w:val="18"/>
                <w:szCs w:val="18"/>
                <w:lang w:val="pt-PT"/>
              </w:rPr>
            </w:pPr>
          </w:p>
          <w:p w:rsidR="00764FDE" w:rsidRPr="00546544" w:rsidRDefault="00113449" w:rsidP="00405281">
            <w:pPr>
              <w:pStyle w:val="ListParagraph"/>
              <w:numPr>
                <w:ilvl w:val="0"/>
                <w:numId w:val="10"/>
              </w:numPr>
              <w:autoSpaceDE w:val="0"/>
              <w:autoSpaceDN w:val="0"/>
              <w:adjustRightInd w:val="0"/>
              <w:ind w:left="0" w:firstLine="0"/>
              <w:rPr>
                <w:rFonts w:asciiTheme="minorHAnsi" w:hAnsiTheme="minorHAnsi" w:cstheme="minorHAnsi"/>
                <w:b w:val="0"/>
                <w:bCs w:val="0"/>
                <w:color w:val="auto"/>
                <w:sz w:val="18"/>
                <w:szCs w:val="18"/>
                <w:lang w:val="pt-PT"/>
              </w:rPr>
            </w:pPr>
            <w:r>
              <w:rPr>
                <w:rFonts w:asciiTheme="minorHAnsi" w:hAnsiTheme="minorHAnsi" w:cstheme="minorHAnsi"/>
                <w:sz w:val="18"/>
                <w:szCs w:val="18"/>
                <w:lang w:val="pt-PT"/>
              </w:rPr>
              <w:t>Colaboração e coordenação estratégicas entre o sector privado e o governo</w:t>
            </w:r>
            <w:r w:rsidR="00667FEC" w:rsidRPr="00546544">
              <w:rPr>
                <w:rFonts w:asciiTheme="minorHAnsi" w:hAnsiTheme="minorHAnsi" w:cstheme="minorHAnsi"/>
                <w:b w:val="0"/>
                <w:sz w:val="18"/>
                <w:szCs w:val="18"/>
                <w:lang w:val="pt-PT"/>
              </w:rPr>
              <w:t xml:space="preserve">. </w:t>
            </w:r>
            <w:r>
              <w:rPr>
                <w:rFonts w:asciiTheme="minorHAnsi" w:hAnsiTheme="minorHAnsi" w:cstheme="minorHAnsi"/>
                <w:b w:val="0"/>
                <w:sz w:val="18"/>
                <w:szCs w:val="18"/>
                <w:lang w:val="pt-PT"/>
              </w:rPr>
              <w:t>Este princípio tem quatro objectivos</w:t>
            </w:r>
            <w:r w:rsidR="008C5133" w:rsidRPr="00546544">
              <w:rPr>
                <w:rFonts w:asciiTheme="minorHAnsi" w:hAnsiTheme="minorHAnsi" w:cstheme="minorHAnsi"/>
                <w:b w:val="0"/>
                <w:sz w:val="18"/>
                <w:szCs w:val="18"/>
                <w:lang w:val="pt-PT"/>
              </w:rPr>
              <w:t>:</w:t>
            </w:r>
            <w:r w:rsidR="00764FDE" w:rsidRPr="00546544">
              <w:rPr>
                <w:rFonts w:asciiTheme="minorHAnsi" w:hAnsiTheme="minorHAnsi" w:cstheme="minorHAnsi"/>
                <w:b w:val="0"/>
                <w:sz w:val="18"/>
                <w:szCs w:val="18"/>
                <w:lang w:val="pt-PT"/>
              </w:rPr>
              <w:t xml:space="preserve"> </w:t>
            </w:r>
            <w:r w:rsidR="008C5133" w:rsidRPr="00546544">
              <w:rPr>
                <w:rFonts w:asciiTheme="minorHAnsi" w:hAnsiTheme="minorHAnsi" w:cstheme="minorHAnsi"/>
                <w:b w:val="0"/>
                <w:sz w:val="18"/>
                <w:szCs w:val="18"/>
                <w:lang w:val="pt-PT"/>
              </w:rPr>
              <w:t>(</w:t>
            </w:r>
            <w:r w:rsidR="00764FDE" w:rsidRPr="00546544">
              <w:rPr>
                <w:rFonts w:asciiTheme="minorHAnsi" w:hAnsiTheme="minorHAnsi" w:cstheme="minorHAnsi"/>
                <w:b w:val="0"/>
                <w:sz w:val="18"/>
                <w:szCs w:val="18"/>
                <w:lang w:val="pt-PT"/>
              </w:rPr>
              <w:t xml:space="preserve">i) </w:t>
            </w:r>
            <w:r>
              <w:rPr>
                <w:rFonts w:asciiTheme="minorHAnsi" w:hAnsiTheme="minorHAnsi" w:cstheme="minorHAnsi"/>
                <w:b w:val="0"/>
                <w:sz w:val="18"/>
                <w:szCs w:val="18"/>
                <w:lang w:val="pt-PT"/>
              </w:rPr>
              <w:t xml:space="preserve">identificar os principais estrangulamentos ao crescimento e diversificação; </w:t>
            </w:r>
            <w:r w:rsidR="008C5133" w:rsidRPr="00546544">
              <w:rPr>
                <w:rFonts w:asciiTheme="minorHAnsi" w:hAnsiTheme="minorHAnsi" w:cstheme="minorHAnsi"/>
                <w:b w:val="0"/>
                <w:sz w:val="18"/>
                <w:szCs w:val="18"/>
                <w:lang w:val="pt-PT"/>
              </w:rPr>
              <w:t>(</w:t>
            </w:r>
            <w:r w:rsidR="00764FDE" w:rsidRPr="00546544">
              <w:rPr>
                <w:rFonts w:asciiTheme="minorHAnsi" w:hAnsiTheme="minorHAnsi" w:cstheme="minorHAnsi"/>
                <w:b w:val="0"/>
                <w:sz w:val="18"/>
                <w:szCs w:val="18"/>
                <w:lang w:val="pt-PT"/>
              </w:rPr>
              <w:t xml:space="preserve">ii) </w:t>
            </w:r>
            <w:r>
              <w:rPr>
                <w:rFonts w:asciiTheme="minorHAnsi" w:hAnsiTheme="minorHAnsi" w:cstheme="minorHAnsi"/>
                <w:b w:val="0"/>
                <w:sz w:val="18"/>
                <w:szCs w:val="18"/>
                <w:lang w:val="pt-PT"/>
              </w:rPr>
              <w:t>desenhar intervenções que não distorçam excessivamente a afectação</w:t>
            </w:r>
            <w:r w:rsidR="009F23F9">
              <w:rPr>
                <w:rFonts w:asciiTheme="minorHAnsi" w:hAnsiTheme="minorHAnsi" w:cstheme="minorHAnsi"/>
                <w:b w:val="0"/>
                <w:sz w:val="18"/>
                <w:szCs w:val="18"/>
                <w:lang w:val="pt-PT"/>
              </w:rPr>
              <w:t xml:space="preserve"> de recursos para</w:t>
            </w:r>
            <w:r>
              <w:rPr>
                <w:rFonts w:asciiTheme="minorHAnsi" w:hAnsiTheme="minorHAnsi" w:cstheme="minorHAnsi"/>
                <w:b w:val="0"/>
                <w:sz w:val="18"/>
                <w:szCs w:val="18"/>
                <w:lang w:val="pt-PT"/>
              </w:rPr>
              <w:t xml:space="preserve"> factores produtivos</w:t>
            </w:r>
            <w:r w:rsidR="009F23F9">
              <w:rPr>
                <w:rFonts w:asciiTheme="minorHAnsi" w:hAnsiTheme="minorHAnsi" w:cstheme="minorHAnsi"/>
                <w:b w:val="0"/>
                <w:sz w:val="18"/>
                <w:szCs w:val="18"/>
                <w:lang w:val="pt-PT"/>
              </w:rPr>
              <w:t>,</w:t>
            </w:r>
            <w:r>
              <w:rPr>
                <w:rFonts w:asciiTheme="minorHAnsi" w:hAnsiTheme="minorHAnsi" w:cstheme="minorHAnsi"/>
                <w:b w:val="0"/>
                <w:sz w:val="18"/>
                <w:szCs w:val="18"/>
                <w:lang w:val="pt-PT"/>
              </w:rPr>
              <w:t xml:space="preserve"> o que poderia </w:t>
            </w:r>
            <w:r w:rsidR="009F23F9">
              <w:rPr>
                <w:rFonts w:asciiTheme="minorHAnsi" w:hAnsiTheme="minorHAnsi" w:cstheme="minorHAnsi"/>
                <w:b w:val="0"/>
                <w:sz w:val="18"/>
                <w:szCs w:val="18"/>
                <w:lang w:val="pt-PT"/>
              </w:rPr>
              <w:t xml:space="preserve">prejudicar </w:t>
            </w:r>
            <w:r>
              <w:rPr>
                <w:rFonts w:asciiTheme="minorHAnsi" w:hAnsiTheme="minorHAnsi" w:cstheme="minorHAnsi"/>
                <w:b w:val="0"/>
                <w:sz w:val="18"/>
                <w:szCs w:val="18"/>
                <w:lang w:val="pt-PT"/>
              </w:rPr>
              <w:t xml:space="preserve">a consecução dos seus objectivos </w:t>
            </w:r>
            <w:r w:rsidR="009F23F9">
              <w:rPr>
                <w:rFonts w:asciiTheme="minorHAnsi" w:hAnsiTheme="minorHAnsi" w:cstheme="minorHAnsi"/>
                <w:b w:val="0"/>
                <w:sz w:val="18"/>
                <w:szCs w:val="18"/>
                <w:lang w:val="pt-PT"/>
              </w:rPr>
              <w:t>mais vastos; (iii) avaliar periodicamente as consequências práticas das políticas existentes; e (iv) aprender com os erros passador e incorporar estes ensinamentos na concepção de políticas futuras</w:t>
            </w:r>
            <w:r w:rsidR="00667FEC" w:rsidRPr="00546544">
              <w:rPr>
                <w:rFonts w:asciiTheme="minorHAnsi" w:hAnsiTheme="minorHAnsi" w:cstheme="minorHAnsi"/>
                <w:b w:val="0"/>
                <w:sz w:val="18"/>
                <w:szCs w:val="18"/>
                <w:lang w:val="pt-PT"/>
              </w:rPr>
              <w:t>.</w:t>
            </w:r>
          </w:p>
          <w:p w:rsidR="007856A6" w:rsidRPr="00546544" w:rsidRDefault="007856A6" w:rsidP="00405281">
            <w:pPr>
              <w:pStyle w:val="ListParagraph"/>
              <w:autoSpaceDE w:val="0"/>
              <w:autoSpaceDN w:val="0"/>
              <w:adjustRightInd w:val="0"/>
              <w:ind w:left="0"/>
              <w:rPr>
                <w:rFonts w:asciiTheme="minorHAnsi" w:hAnsiTheme="minorHAnsi" w:cstheme="minorHAnsi"/>
                <w:b w:val="0"/>
                <w:bCs w:val="0"/>
                <w:color w:val="auto"/>
                <w:sz w:val="18"/>
                <w:szCs w:val="18"/>
                <w:lang w:val="pt-PT"/>
              </w:rPr>
            </w:pPr>
          </w:p>
          <w:p w:rsidR="005B00CD" w:rsidRPr="005B00CD" w:rsidRDefault="00C25262" w:rsidP="00405281">
            <w:pPr>
              <w:pStyle w:val="ListParagraph"/>
              <w:numPr>
                <w:ilvl w:val="0"/>
                <w:numId w:val="10"/>
              </w:numPr>
              <w:autoSpaceDE w:val="0"/>
              <w:autoSpaceDN w:val="0"/>
              <w:adjustRightInd w:val="0"/>
              <w:ind w:left="0" w:firstLine="0"/>
              <w:rPr>
                <w:rFonts w:asciiTheme="minorHAnsi" w:hAnsiTheme="minorHAnsi" w:cstheme="minorHAnsi"/>
                <w:b w:val="0"/>
                <w:bCs w:val="0"/>
                <w:color w:val="auto"/>
                <w:sz w:val="18"/>
                <w:szCs w:val="18"/>
                <w:lang w:val="pt-PT"/>
              </w:rPr>
            </w:pPr>
            <w:r>
              <w:rPr>
                <w:rFonts w:asciiTheme="minorHAnsi" w:hAnsiTheme="minorHAnsi" w:cstheme="minorHAnsi"/>
                <w:sz w:val="18"/>
                <w:szCs w:val="18"/>
                <w:lang w:val="pt-PT"/>
              </w:rPr>
              <w:t>Incentivos adequados</w:t>
            </w:r>
            <w:r w:rsidR="00667FEC" w:rsidRPr="00546544">
              <w:rPr>
                <w:rFonts w:asciiTheme="minorHAnsi" w:hAnsiTheme="minorHAnsi" w:cstheme="minorHAnsi"/>
                <w:b w:val="0"/>
                <w:sz w:val="18"/>
                <w:szCs w:val="18"/>
                <w:lang w:val="pt-PT"/>
              </w:rPr>
              <w:t xml:space="preserve">: </w:t>
            </w:r>
            <w:r>
              <w:rPr>
                <w:rFonts w:asciiTheme="minorHAnsi" w:hAnsiTheme="minorHAnsi" w:cstheme="minorHAnsi"/>
                <w:b w:val="0"/>
                <w:sz w:val="18"/>
                <w:szCs w:val="18"/>
                <w:lang w:val="pt-PT"/>
              </w:rPr>
              <w:t>Os incentivos fiscais podem aj</w:t>
            </w:r>
            <w:r w:rsidR="00CF5BE4">
              <w:rPr>
                <w:rFonts w:asciiTheme="minorHAnsi" w:hAnsiTheme="minorHAnsi" w:cstheme="minorHAnsi"/>
                <w:b w:val="0"/>
                <w:sz w:val="18"/>
                <w:szCs w:val="18"/>
                <w:lang w:val="pt-PT"/>
              </w:rPr>
              <w:t>udar a estimular o investimento</w:t>
            </w:r>
            <w:r>
              <w:rPr>
                <w:rFonts w:asciiTheme="minorHAnsi" w:hAnsiTheme="minorHAnsi" w:cstheme="minorHAnsi"/>
                <w:b w:val="0"/>
                <w:sz w:val="18"/>
                <w:szCs w:val="18"/>
                <w:lang w:val="pt-PT"/>
              </w:rPr>
              <w:t xml:space="preserve"> mas, antes da sua implementação, deverão ficar claramente estabelecidas disposições no sentido de uma análise periódica e, em última instância, </w:t>
            </w:r>
            <w:r w:rsidR="00796295">
              <w:rPr>
                <w:rFonts w:asciiTheme="minorHAnsi" w:hAnsiTheme="minorHAnsi" w:cstheme="minorHAnsi"/>
                <w:b w:val="0"/>
                <w:sz w:val="18"/>
                <w:szCs w:val="18"/>
                <w:lang w:val="pt-PT"/>
              </w:rPr>
              <w:t>d</w:t>
            </w:r>
            <w:r>
              <w:rPr>
                <w:rFonts w:asciiTheme="minorHAnsi" w:hAnsiTheme="minorHAnsi" w:cstheme="minorHAnsi"/>
                <w:b w:val="0"/>
                <w:sz w:val="18"/>
                <w:szCs w:val="18"/>
                <w:lang w:val="pt-PT"/>
              </w:rPr>
              <w:t>a eliminação destes incentivos</w:t>
            </w:r>
            <w:r w:rsidR="00170F35">
              <w:rPr>
                <w:rFonts w:asciiTheme="minorHAnsi" w:hAnsiTheme="minorHAnsi" w:cstheme="minorHAnsi"/>
                <w:b w:val="0"/>
                <w:sz w:val="18"/>
                <w:szCs w:val="18"/>
                <w:lang w:val="pt-PT"/>
              </w:rPr>
              <w:t xml:space="preserve">. </w:t>
            </w:r>
            <w:r w:rsidR="00C14141">
              <w:rPr>
                <w:rFonts w:asciiTheme="minorHAnsi" w:hAnsiTheme="minorHAnsi" w:cstheme="minorHAnsi"/>
                <w:b w:val="0"/>
                <w:sz w:val="18"/>
                <w:szCs w:val="18"/>
                <w:lang w:val="pt-PT"/>
              </w:rPr>
              <w:t xml:space="preserve">A condicionalidade, </w:t>
            </w:r>
            <w:r w:rsidR="00170F35">
              <w:rPr>
                <w:rFonts w:asciiTheme="minorHAnsi" w:hAnsiTheme="minorHAnsi" w:cstheme="minorHAnsi"/>
                <w:b w:val="0"/>
                <w:sz w:val="18"/>
                <w:szCs w:val="18"/>
                <w:lang w:val="pt-PT"/>
              </w:rPr>
              <w:t xml:space="preserve">“cláusulas de </w:t>
            </w:r>
            <w:r w:rsidR="00C14141">
              <w:rPr>
                <w:rFonts w:asciiTheme="minorHAnsi" w:hAnsiTheme="minorHAnsi" w:cstheme="minorHAnsi"/>
                <w:b w:val="0"/>
                <w:sz w:val="18"/>
                <w:szCs w:val="18"/>
                <w:lang w:val="pt-PT"/>
              </w:rPr>
              <w:t>caducidade”,</w:t>
            </w:r>
            <w:r w:rsidR="005B00CD">
              <w:rPr>
                <w:rFonts w:asciiTheme="minorHAnsi" w:hAnsiTheme="minorHAnsi" w:cstheme="minorHAnsi"/>
                <w:b w:val="0"/>
                <w:sz w:val="18"/>
                <w:szCs w:val="18"/>
                <w:lang w:val="pt-PT"/>
              </w:rPr>
              <w:t xml:space="preserve"> revisão, monitorização, benchmarking e avaliação regular de programas incorporados, todos eles são vitais para garantir a possibilidade de as políticas ineficazes ou contraproducentes serem eliminadas. </w:t>
            </w:r>
          </w:p>
          <w:p w:rsidR="007856A6" w:rsidRPr="00546544" w:rsidRDefault="007856A6" w:rsidP="00405281">
            <w:pPr>
              <w:pStyle w:val="ListParagraph"/>
              <w:autoSpaceDE w:val="0"/>
              <w:autoSpaceDN w:val="0"/>
              <w:adjustRightInd w:val="0"/>
              <w:ind w:left="0"/>
              <w:rPr>
                <w:rFonts w:asciiTheme="minorHAnsi" w:hAnsiTheme="minorHAnsi" w:cstheme="minorHAnsi"/>
                <w:b w:val="0"/>
                <w:bCs w:val="0"/>
                <w:color w:val="auto"/>
                <w:sz w:val="18"/>
                <w:szCs w:val="18"/>
                <w:lang w:val="pt-PT"/>
              </w:rPr>
            </w:pPr>
          </w:p>
          <w:p w:rsidR="00667FEC" w:rsidRPr="00546544" w:rsidRDefault="005B00CD" w:rsidP="00405281">
            <w:pPr>
              <w:pStyle w:val="ListParagraph"/>
              <w:numPr>
                <w:ilvl w:val="0"/>
                <w:numId w:val="10"/>
              </w:numPr>
              <w:autoSpaceDE w:val="0"/>
              <w:autoSpaceDN w:val="0"/>
              <w:adjustRightInd w:val="0"/>
              <w:ind w:left="0" w:firstLine="0"/>
              <w:rPr>
                <w:rFonts w:asciiTheme="minorHAnsi" w:hAnsiTheme="minorHAnsi" w:cs="PalatinoLinotype-Roman"/>
                <w:b w:val="0"/>
                <w:bCs w:val="0"/>
                <w:color w:val="auto"/>
                <w:sz w:val="18"/>
                <w:szCs w:val="18"/>
                <w:lang w:val="pt-PT"/>
              </w:rPr>
            </w:pPr>
            <w:r>
              <w:rPr>
                <w:rFonts w:asciiTheme="minorHAnsi" w:hAnsiTheme="minorHAnsi" w:cstheme="minorHAnsi"/>
                <w:sz w:val="18"/>
                <w:szCs w:val="18"/>
                <w:lang w:val="pt-PT"/>
              </w:rPr>
              <w:t>Mecanismos de Responsabilização Sólidos</w:t>
            </w:r>
            <w:r w:rsidR="00764FDE" w:rsidRPr="00546544">
              <w:rPr>
                <w:rFonts w:asciiTheme="minorHAnsi" w:hAnsiTheme="minorHAnsi" w:cstheme="minorHAnsi"/>
                <w:sz w:val="18"/>
                <w:szCs w:val="18"/>
                <w:lang w:val="pt-PT"/>
              </w:rPr>
              <w:t xml:space="preserve">: </w:t>
            </w:r>
            <w:r w:rsidR="00F56F00" w:rsidRPr="00546544">
              <w:rPr>
                <w:rFonts w:asciiTheme="minorHAnsi" w:hAnsiTheme="minorHAnsi" w:cstheme="minorHAnsi"/>
                <w:b w:val="0"/>
                <w:sz w:val="18"/>
                <w:szCs w:val="18"/>
                <w:lang w:val="pt-PT"/>
              </w:rPr>
              <w:t>A</w:t>
            </w:r>
            <w:r>
              <w:rPr>
                <w:rFonts w:asciiTheme="minorHAnsi" w:hAnsiTheme="minorHAnsi" w:cstheme="minorHAnsi"/>
                <w:b w:val="0"/>
                <w:sz w:val="18"/>
                <w:szCs w:val="18"/>
                <w:lang w:val="pt-PT"/>
              </w:rPr>
              <w:t xml:space="preserve"> responsabilização das agências executoras pode ser apoiada por mandatos claros, responsabilidades bem definidas e reporte periódico </w:t>
            </w:r>
            <w:r w:rsidR="0084741A">
              <w:rPr>
                <w:rFonts w:asciiTheme="minorHAnsi" w:hAnsiTheme="minorHAnsi" w:cstheme="minorHAnsi"/>
                <w:b w:val="0"/>
                <w:sz w:val="18"/>
                <w:szCs w:val="18"/>
                <w:lang w:val="pt-PT"/>
              </w:rPr>
              <w:t>sobre as realizações dos programas e impactos das políticas, tanto positivos como negativos</w:t>
            </w:r>
            <w:r w:rsidR="004B1C9F" w:rsidRPr="00546544">
              <w:rPr>
                <w:rFonts w:asciiTheme="minorHAnsi" w:hAnsiTheme="minorHAnsi" w:cstheme="minorHAnsi"/>
                <w:b w:val="0"/>
                <w:sz w:val="18"/>
                <w:szCs w:val="18"/>
                <w:lang w:val="pt-PT"/>
              </w:rPr>
              <w:t>.</w:t>
            </w:r>
            <w:r w:rsidR="00436AC8" w:rsidRPr="00546544">
              <w:rPr>
                <w:rStyle w:val="FootnoteReference"/>
                <w:rFonts w:asciiTheme="minorHAnsi" w:hAnsiTheme="minorHAnsi" w:cstheme="minorHAnsi"/>
                <w:b w:val="0"/>
                <w:sz w:val="18"/>
                <w:szCs w:val="18"/>
                <w:lang w:val="pt-PT"/>
              </w:rPr>
              <w:footnoteReference w:id="3"/>
            </w:r>
            <w:r w:rsidR="004B1C9F" w:rsidRPr="00546544">
              <w:rPr>
                <w:rFonts w:asciiTheme="minorHAnsi" w:hAnsiTheme="minorHAnsi" w:cstheme="minorHAnsi"/>
                <w:b w:val="0"/>
                <w:sz w:val="18"/>
                <w:szCs w:val="18"/>
                <w:lang w:val="pt-PT"/>
              </w:rPr>
              <w:t xml:space="preserve"> </w:t>
            </w:r>
            <w:r w:rsidR="00CF5BE4">
              <w:rPr>
                <w:rFonts w:asciiTheme="minorHAnsi" w:hAnsiTheme="minorHAnsi" w:cs="PalatinoLinotype-Roman"/>
                <w:b w:val="0"/>
                <w:sz w:val="18"/>
                <w:szCs w:val="18"/>
                <w:lang w:val="pt-PT"/>
              </w:rPr>
              <w:t>Com vista a reforçar a responsabilização na política industrial, são da maior importância as m</w:t>
            </w:r>
            <w:r w:rsidR="0084741A">
              <w:rPr>
                <w:rFonts w:asciiTheme="minorHAnsi" w:hAnsiTheme="minorHAnsi" w:cs="PalatinoLinotype-Roman"/>
                <w:b w:val="0"/>
                <w:sz w:val="18"/>
                <w:szCs w:val="18"/>
                <w:lang w:val="pt-PT"/>
              </w:rPr>
              <w:t>edidas destinadas a garantir a transparência fiscal e a assegurar que o diálogo em curso com o governo se mante</w:t>
            </w:r>
            <w:r w:rsidR="00CF5BE4">
              <w:rPr>
                <w:rFonts w:asciiTheme="minorHAnsi" w:hAnsiTheme="minorHAnsi" w:cs="PalatinoLinotype-Roman"/>
                <w:b w:val="0"/>
                <w:sz w:val="18"/>
                <w:szCs w:val="18"/>
                <w:lang w:val="pt-PT"/>
              </w:rPr>
              <w:t>nha</w:t>
            </w:r>
            <w:r w:rsidR="0084741A">
              <w:rPr>
                <w:rFonts w:asciiTheme="minorHAnsi" w:hAnsiTheme="minorHAnsi" w:cs="PalatinoLinotype-Roman"/>
                <w:b w:val="0"/>
                <w:sz w:val="18"/>
                <w:szCs w:val="18"/>
                <w:lang w:val="pt-PT"/>
              </w:rPr>
              <w:t xml:space="preserve"> aberto a novos participantes </w:t>
            </w:r>
          </w:p>
          <w:p w:rsidR="00764FDE" w:rsidRPr="00546544" w:rsidRDefault="00764FDE" w:rsidP="00667FEC">
            <w:pPr>
              <w:rPr>
                <w:rFonts w:asciiTheme="minorHAnsi" w:hAnsiTheme="minorHAnsi" w:cs="PalatinoLinotype-Roman"/>
                <w:sz w:val="18"/>
                <w:szCs w:val="18"/>
                <w:lang w:val="pt-PT"/>
              </w:rPr>
            </w:pPr>
          </w:p>
          <w:p w:rsidR="00665573" w:rsidRPr="005B00CD" w:rsidRDefault="005B00CD" w:rsidP="00557868">
            <w:pPr>
              <w:rPr>
                <w:rFonts w:asciiTheme="minorHAnsi" w:hAnsiTheme="minorHAnsi" w:cstheme="minorHAnsi"/>
                <w:b w:val="0"/>
                <w:color w:val="808080" w:themeColor="background1" w:themeShade="80"/>
                <w:sz w:val="16"/>
                <w:szCs w:val="16"/>
              </w:rPr>
            </w:pPr>
            <w:r w:rsidRPr="005E469D">
              <w:rPr>
                <w:rFonts w:asciiTheme="minorHAnsi" w:hAnsiTheme="minorHAnsi" w:cstheme="minorHAnsi"/>
                <w:color w:val="808080" w:themeColor="background1" w:themeShade="80"/>
                <w:sz w:val="16"/>
                <w:szCs w:val="16"/>
              </w:rPr>
              <w:t>Fontes</w:t>
            </w:r>
            <w:r w:rsidR="00764FDE" w:rsidRPr="005E469D">
              <w:rPr>
                <w:rFonts w:asciiTheme="minorHAnsi" w:hAnsiTheme="minorHAnsi" w:cstheme="minorHAnsi"/>
                <w:color w:val="808080" w:themeColor="background1" w:themeShade="80"/>
                <w:sz w:val="16"/>
                <w:szCs w:val="16"/>
              </w:rPr>
              <w:t>:</w:t>
            </w:r>
            <w:r w:rsidR="00A041BC" w:rsidRPr="005E469D">
              <w:rPr>
                <w:rFonts w:asciiTheme="minorHAnsi" w:hAnsiTheme="minorHAnsi" w:cstheme="minorHAnsi"/>
                <w:color w:val="808080" w:themeColor="background1" w:themeShade="80"/>
                <w:sz w:val="16"/>
                <w:szCs w:val="16"/>
              </w:rPr>
              <w:t xml:space="preserve"> </w:t>
            </w:r>
            <w:r w:rsidR="00557868" w:rsidRPr="005B00CD">
              <w:rPr>
                <w:rFonts w:asciiTheme="minorHAnsi" w:hAnsiTheme="minorHAnsi" w:cstheme="minorHAnsi"/>
                <w:b w:val="0"/>
                <w:color w:val="808080" w:themeColor="background1" w:themeShade="80"/>
                <w:sz w:val="16"/>
                <w:szCs w:val="16"/>
              </w:rPr>
              <w:t xml:space="preserve">Partow, Zeinab. 2012. </w:t>
            </w:r>
            <w:r w:rsidRPr="005B00CD">
              <w:rPr>
                <w:rFonts w:asciiTheme="minorHAnsi" w:hAnsiTheme="minorHAnsi" w:cstheme="minorHAnsi"/>
                <w:b w:val="0"/>
                <w:color w:val="808080" w:themeColor="background1" w:themeShade="80"/>
                <w:sz w:val="16"/>
                <w:szCs w:val="16"/>
              </w:rPr>
              <w:t xml:space="preserve">Botswana development policy review: </w:t>
            </w:r>
            <w:r>
              <w:rPr>
                <w:rFonts w:asciiTheme="minorHAnsi" w:hAnsiTheme="minorHAnsi" w:cstheme="minorHAnsi"/>
                <w:b w:val="0"/>
                <w:color w:val="808080" w:themeColor="background1" w:themeShade="80"/>
                <w:sz w:val="16"/>
                <w:szCs w:val="16"/>
              </w:rPr>
              <w:t xml:space="preserve">an </w:t>
            </w:r>
            <w:r w:rsidRPr="005B00CD">
              <w:rPr>
                <w:rFonts w:asciiTheme="minorHAnsi" w:hAnsiTheme="minorHAnsi" w:cstheme="minorHAnsi"/>
                <w:b w:val="0"/>
                <w:color w:val="808080" w:themeColor="background1" w:themeShade="80"/>
                <w:sz w:val="16"/>
                <w:szCs w:val="16"/>
              </w:rPr>
              <w:t xml:space="preserve">agenda for competitiveness and diversification. </w:t>
            </w:r>
            <w:r w:rsidR="00557868" w:rsidRPr="005B00CD">
              <w:rPr>
                <w:rFonts w:asciiTheme="minorHAnsi" w:hAnsiTheme="minorHAnsi" w:cstheme="minorHAnsi"/>
                <w:b w:val="0"/>
                <w:color w:val="808080" w:themeColor="background1" w:themeShade="80"/>
                <w:sz w:val="16"/>
                <w:szCs w:val="16"/>
              </w:rPr>
              <w:t>Public Expenditure Review. Washington DC</w:t>
            </w:r>
            <w:r w:rsidR="00AD24C1" w:rsidRPr="005B00CD">
              <w:rPr>
                <w:rFonts w:asciiTheme="minorHAnsi" w:hAnsiTheme="minorHAnsi" w:cstheme="minorHAnsi"/>
                <w:b w:val="0"/>
                <w:color w:val="808080" w:themeColor="background1" w:themeShade="80"/>
                <w:sz w:val="16"/>
                <w:szCs w:val="16"/>
              </w:rPr>
              <w:t xml:space="preserve">: </w:t>
            </w:r>
            <w:r w:rsidRPr="005B00CD">
              <w:rPr>
                <w:rFonts w:asciiTheme="minorHAnsi" w:hAnsiTheme="minorHAnsi" w:cstheme="minorHAnsi"/>
                <w:b w:val="0"/>
                <w:color w:val="808080" w:themeColor="background1" w:themeShade="80"/>
                <w:sz w:val="16"/>
                <w:szCs w:val="16"/>
              </w:rPr>
              <w:t>Banco Mundial</w:t>
            </w:r>
            <w:r w:rsidR="00AD24C1" w:rsidRPr="005B00CD">
              <w:rPr>
                <w:rFonts w:asciiTheme="minorHAnsi" w:hAnsiTheme="minorHAnsi"/>
                <w:b w:val="0"/>
                <w:color w:val="808080" w:themeColor="background1" w:themeShade="80"/>
                <w:sz w:val="16"/>
                <w:szCs w:val="16"/>
              </w:rPr>
              <w:t>;</w:t>
            </w:r>
            <w:r w:rsidR="00AD24C1" w:rsidRPr="005B00CD">
              <w:rPr>
                <w:rFonts w:asciiTheme="minorHAnsi" w:hAnsiTheme="minorHAnsi" w:cstheme="minorHAnsi"/>
                <w:b w:val="0"/>
                <w:color w:val="808080" w:themeColor="background1" w:themeShade="80"/>
                <w:sz w:val="16"/>
                <w:szCs w:val="16"/>
              </w:rPr>
              <w:t xml:space="preserve"> </w:t>
            </w:r>
          </w:p>
          <w:p w:rsidR="00436AC8" w:rsidRPr="005E469D" w:rsidRDefault="00764FDE" w:rsidP="005B00CD">
            <w:pPr>
              <w:rPr>
                <w:rFonts w:asciiTheme="minorHAnsi" w:hAnsiTheme="minorHAnsi" w:cstheme="minorHAnsi"/>
                <w:b w:val="0"/>
                <w:sz w:val="20"/>
                <w:szCs w:val="20"/>
              </w:rPr>
            </w:pPr>
            <w:r w:rsidRPr="005B00CD">
              <w:rPr>
                <w:rFonts w:asciiTheme="minorHAnsi" w:hAnsiTheme="minorHAnsi" w:cstheme="minorHAnsi"/>
                <w:b w:val="0"/>
                <w:color w:val="808080" w:themeColor="background1" w:themeShade="80"/>
                <w:sz w:val="16"/>
                <w:szCs w:val="16"/>
              </w:rPr>
              <w:t>Rodrik</w:t>
            </w:r>
            <w:r w:rsidR="00557868" w:rsidRPr="005B00CD">
              <w:rPr>
                <w:rFonts w:asciiTheme="minorHAnsi" w:hAnsiTheme="minorHAnsi" w:cstheme="minorHAnsi"/>
                <w:b w:val="0"/>
                <w:color w:val="808080" w:themeColor="background1" w:themeShade="80"/>
                <w:sz w:val="16"/>
                <w:szCs w:val="16"/>
              </w:rPr>
              <w:t>, Dani. 2008.</w:t>
            </w:r>
            <w:r w:rsidRPr="005B00CD">
              <w:rPr>
                <w:rFonts w:asciiTheme="minorHAnsi" w:hAnsiTheme="minorHAnsi" w:cstheme="minorHAnsi"/>
                <w:b w:val="0"/>
                <w:color w:val="808080" w:themeColor="background1" w:themeShade="80"/>
                <w:sz w:val="16"/>
                <w:szCs w:val="16"/>
              </w:rPr>
              <w:t xml:space="preserve"> Normalizing Industrial Policy 2008, Growth Commission Working Paper n.3, Washington DC</w:t>
            </w:r>
            <w:r w:rsidR="00AD24C1" w:rsidRPr="005B00CD">
              <w:rPr>
                <w:rFonts w:asciiTheme="minorHAnsi" w:hAnsiTheme="minorHAnsi" w:cstheme="minorHAnsi"/>
                <w:b w:val="0"/>
                <w:color w:val="808080" w:themeColor="background1" w:themeShade="80"/>
                <w:sz w:val="16"/>
                <w:szCs w:val="16"/>
              </w:rPr>
              <w:t xml:space="preserve">: </w:t>
            </w:r>
            <w:r w:rsidR="005B00CD" w:rsidRPr="005B00CD">
              <w:rPr>
                <w:rFonts w:asciiTheme="minorHAnsi" w:hAnsiTheme="minorHAnsi" w:cstheme="minorHAnsi"/>
                <w:b w:val="0"/>
                <w:color w:val="808080" w:themeColor="background1" w:themeShade="80"/>
                <w:sz w:val="16"/>
                <w:szCs w:val="16"/>
              </w:rPr>
              <w:t>Banco Mundial</w:t>
            </w:r>
            <w:r w:rsidR="00557868" w:rsidRPr="005E469D">
              <w:rPr>
                <w:rFonts w:asciiTheme="minorHAnsi" w:hAnsiTheme="minorHAnsi"/>
                <w:b w:val="0"/>
                <w:color w:val="808080" w:themeColor="background1" w:themeShade="80"/>
                <w:sz w:val="16"/>
                <w:szCs w:val="16"/>
              </w:rPr>
              <w:t>.</w:t>
            </w:r>
          </w:p>
        </w:tc>
      </w:tr>
    </w:tbl>
    <w:p w:rsidR="00137F5E" w:rsidRDefault="00137F5E" w:rsidP="0085133C">
      <w:pPr>
        <w:pStyle w:val="ParagraphNumbering"/>
        <w:numPr>
          <w:ilvl w:val="0"/>
          <w:numId w:val="0"/>
        </w:numPr>
      </w:pPr>
    </w:p>
    <w:p w:rsidR="00CC61DC" w:rsidRDefault="00CC61DC">
      <w:pPr>
        <w:spacing w:after="200" w:line="276" w:lineRule="auto"/>
        <w:jc w:val="left"/>
        <w:rPr>
          <w:rFonts w:cs="TimesNewRomanPSMT"/>
          <w:noProof/>
          <w:color w:val="000000" w:themeColor="text1"/>
          <w:szCs w:val="18"/>
        </w:rPr>
      </w:pPr>
      <w:r>
        <w:br w:type="page"/>
      </w:r>
    </w:p>
    <w:p w:rsidR="0022451F" w:rsidRPr="00CC61DC" w:rsidRDefault="0084741A" w:rsidP="0085133C">
      <w:pPr>
        <w:pStyle w:val="ParagraphNumbering"/>
        <w:rPr>
          <w:lang w:val="pt-PT"/>
        </w:rPr>
      </w:pPr>
      <w:r w:rsidRPr="005E469D">
        <w:rPr>
          <w:b/>
          <w:lang w:val="pt-PT"/>
        </w:rPr>
        <w:lastRenderedPageBreak/>
        <w:t xml:space="preserve">O Fundo </w:t>
      </w:r>
      <w:r w:rsidR="0080003B" w:rsidRPr="005E469D">
        <w:rPr>
          <w:b/>
          <w:lang w:val="pt-PT"/>
        </w:rPr>
        <w:t>Soberano de Angola</w:t>
      </w:r>
      <w:r w:rsidR="00137F5E" w:rsidRPr="005E469D">
        <w:rPr>
          <w:b/>
          <w:lang w:val="pt-PT"/>
        </w:rPr>
        <w:t xml:space="preserve"> </w:t>
      </w:r>
      <w:r w:rsidR="00926378" w:rsidRPr="005E469D">
        <w:rPr>
          <w:b/>
          <w:lang w:val="pt-PT"/>
        </w:rPr>
        <w:t>(</w:t>
      </w:r>
      <w:r w:rsidR="0080003B" w:rsidRPr="005E469D">
        <w:rPr>
          <w:b/>
          <w:lang w:val="pt-PT"/>
        </w:rPr>
        <w:t>FSDEA</w:t>
      </w:r>
      <w:r w:rsidR="00926378" w:rsidRPr="005E469D">
        <w:rPr>
          <w:b/>
          <w:lang w:val="pt-PT"/>
        </w:rPr>
        <w:t xml:space="preserve">) </w:t>
      </w:r>
      <w:r w:rsidRPr="005E469D">
        <w:rPr>
          <w:b/>
          <w:lang w:val="pt-PT"/>
        </w:rPr>
        <w:t>poderia oferecer oportunidades adicionais destinadas a promover o desenvolvimento do sector não petrolífero mas, para se tornar eficaz, será preciso reforçar os regulamentos que o regem</w:t>
      </w:r>
      <w:r w:rsidR="00137F5E" w:rsidRPr="005E469D">
        <w:rPr>
          <w:b/>
          <w:lang w:val="pt-PT"/>
        </w:rPr>
        <w:t>.</w:t>
      </w:r>
      <w:r w:rsidR="00137F5E" w:rsidRPr="00CC61DC">
        <w:rPr>
          <w:lang w:val="pt-PT"/>
        </w:rPr>
        <w:t xml:space="preserve"> </w:t>
      </w:r>
      <w:r w:rsidRPr="00CC61DC">
        <w:rPr>
          <w:lang w:val="pt-PT"/>
        </w:rPr>
        <w:t>O FSDEA foi criado em 2012 e</w:t>
      </w:r>
      <w:r w:rsidR="00CF5BE4" w:rsidRPr="00CC61DC">
        <w:rPr>
          <w:lang w:val="pt-PT"/>
        </w:rPr>
        <w:t>, como uma ferramenta de política,</w:t>
      </w:r>
      <w:r w:rsidR="004C1146" w:rsidRPr="00CC61DC">
        <w:rPr>
          <w:lang w:val="pt-PT"/>
        </w:rPr>
        <w:t xml:space="preserve"> continua a ser relativamente novo. O fundo irá financiar tanto o investimento interno como externo e as suas operações </w:t>
      </w:r>
      <w:r w:rsidR="00A07260" w:rsidRPr="00CC61DC">
        <w:rPr>
          <w:lang w:val="pt-PT"/>
        </w:rPr>
        <w:t>visarão a consecução de</w:t>
      </w:r>
      <w:r w:rsidR="004C1146" w:rsidRPr="00CC61DC">
        <w:rPr>
          <w:lang w:val="pt-PT"/>
        </w:rPr>
        <w:t xml:space="preserve"> três objectivos dominantes: (i) a preservação do capital, (ii) a maximização d</w:t>
      </w:r>
      <w:r w:rsidR="00A07260" w:rsidRPr="00CC61DC">
        <w:rPr>
          <w:lang w:val="pt-PT"/>
        </w:rPr>
        <w:t>os</w:t>
      </w:r>
      <w:r w:rsidR="004C1146" w:rsidRPr="00CC61DC">
        <w:rPr>
          <w:lang w:val="pt-PT"/>
        </w:rPr>
        <w:t xml:space="preserve"> retornos a longo prazo e, (iii) a c</w:t>
      </w:r>
      <w:r w:rsidR="00A07260" w:rsidRPr="00CC61DC">
        <w:rPr>
          <w:lang w:val="pt-PT"/>
        </w:rPr>
        <w:t>onstru</w:t>
      </w:r>
      <w:r w:rsidR="004C1146" w:rsidRPr="00CC61DC">
        <w:rPr>
          <w:lang w:val="pt-PT"/>
        </w:rPr>
        <w:t xml:space="preserve">ção de </w:t>
      </w:r>
      <w:r w:rsidR="00A07260" w:rsidRPr="00CC61DC">
        <w:rPr>
          <w:lang w:val="pt-PT"/>
        </w:rPr>
        <w:t>novas infraestruturas, conforme especificado no plano de investimento anunciado em Junho de 2013. Futuramente, será essencial definir com precisão as circunstâncias e reg</w:t>
      </w:r>
      <w:r w:rsidR="00CF5BE4" w:rsidRPr="00CC61DC">
        <w:rPr>
          <w:lang w:val="pt-PT"/>
        </w:rPr>
        <w:t>ras</w:t>
      </w:r>
      <w:r w:rsidR="00A07260" w:rsidRPr="00CC61DC">
        <w:rPr>
          <w:lang w:val="pt-PT"/>
        </w:rPr>
        <w:t>, ao abrigo d</w:t>
      </w:r>
      <w:r w:rsidR="00CF5BE4" w:rsidRPr="00CC61DC">
        <w:rPr>
          <w:lang w:val="pt-PT"/>
        </w:rPr>
        <w:t>a</w:t>
      </w:r>
      <w:r w:rsidR="00A07260" w:rsidRPr="00CC61DC">
        <w:rPr>
          <w:lang w:val="pt-PT"/>
        </w:rPr>
        <w:t xml:space="preserve">s quais o governo pode </w:t>
      </w:r>
      <w:r w:rsidR="0042683B" w:rsidRPr="00CC61DC">
        <w:rPr>
          <w:lang w:val="pt-PT"/>
        </w:rPr>
        <w:t xml:space="preserve">recorrer ao fundo para efeitos de estabilização orçamental ou outros fins aprovados. Será também necessário forjar um plano para coordenar as operações do fundo com as políticas monetária e orçamental no sentido de reforçar o seu papel na manutenção da estabilidade macroeconómica. Ao contrário do antigo OIF, os fundos do FSDEA não serão afectados a activos que pudessem proporcionar liquidez no caso de necessidades súbitas financeiras ou da balança de pagamentos (FMI 2012). Tal </w:t>
      </w:r>
      <w:r w:rsidR="0098213A" w:rsidRPr="00CC61DC">
        <w:rPr>
          <w:lang w:val="pt-PT"/>
        </w:rPr>
        <w:t>realça</w:t>
      </w:r>
      <w:r w:rsidR="0042683B" w:rsidRPr="00CC61DC">
        <w:rPr>
          <w:lang w:val="pt-PT"/>
        </w:rPr>
        <w:t xml:space="preserve">, por sua vez, a </w:t>
      </w:r>
      <w:r w:rsidR="0098213A" w:rsidRPr="00CC61DC">
        <w:rPr>
          <w:lang w:val="pt-PT"/>
        </w:rPr>
        <w:t xml:space="preserve">importância da manutenção de um nível elevado de reservas para reduzir o impacto na economia da volatilidade das receitas petrolíferas (ver também </w:t>
      </w:r>
      <w:r w:rsidR="00946D49">
        <w:fldChar w:fldCharType="begin"/>
      </w:r>
      <w:r w:rsidR="00946D49" w:rsidRPr="00CC61DC">
        <w:rPr>
          <w:lang w:val="pt-PT"/>
        </w:rPr>
        <w:instrText xml:space="preserve"> REF _Ref384633127 \h  \* MERGEFORMAT </w:instrText>
      </w:r>
      <w:r w:rsidR="00946D49">
        <w:fldChar w:fldCharType="separate"/>
      </w:r>
      <w:r w:rsidR="004F553E" w:rsidRPr="004F553E">
        <w:rPr>
          <w:rFonts w:cs="Times New Roman"/>
          <w:szCs w:val="22"/>
          <w:lang w:val="pt-PT"/>
        </w:rPr>
        <w:t>Caixa 6</w:t>
      </w:r>
      <w:r w:rsidR="00946D49">
        <w:fldChar w:fldCharType="end"/>
      </w:r>
      <w:r w:rsidR="0080003B" w:rsidRPr="00CC61DC">
        <w:rPr>
          <w:rFonts w:cs="Times New Roman"/>
          <w:szCs w:val="22"/>
          <w:lang w:val="pt-PT"/>
        </w:rPr>
        <w:t>).</w:t>
      </w:r>
    </w:p>
    <w:p w:rsidR="00137F5E" w:rsidRPr="004F272B" w:rsidRDefault="00137F5E" w:rsidP="0085133C">
      <w:pPr>
        <w:pStyle w:val="ParagraphNumbering"/>
        <w:numPr>
          <w:ilvl w:val="0"/>
          <w:numId w:val="0"/>
        </w:numPr>
        <w:rPr>
          <w:lang w:val="pt-PT"/>
        </w:rPr>
      </w:pPr>
    </w:p>
    <w:p w:rsidR="00F6516F" w:rsidRPr="004F272B" w:rsidRDefault="0098213A" w:rsidP="002E4D77">
      <w:pPr>
        <w:pStyle w:val="Heading2"/>
        <w:rPr>
          <w:lang w:val="pt-PT"/>
        </w:rPr>
      </w:pPr>
      <w:bookmarkStart w:id="41" w:name="_Toc330283803"/>
      <w:bookmarkStart w:id="42" w:name="_Toc331228880"/>
      <w:bookmarkStart w:id="43" w:name="_Toc331230264"/>
      <w:bookmarkStart w:id="44" w:name="_Toc345748745"/>
      <w:bookmarkStart w:id="45" w:name="_Toc349150431"/>
      <w:bookmarkStart w:id="46" w:name="_Toc349391125"/>
      <w:bookmarkStart w:id="47" w:name="_Toc349668948"/>
      <w:bookmarkStart w:id="48" w:name="_Toc349818331"/>
      <w:bookmarkStart w:id="49" w:name="_Toc391261699"/>
      <w:r w:rsidRPr="004F272B">
        <w:rPr>
          <w:lang w:val="pt-PT"/>
        </w:rPr>
        <w:t>Política Orçamental</w:t>
      </w:r>
      <w:bookmarkEnd w:id="41"/>
      <w:bookmarkEnd w:id="42"/>
      <w:bookmarkEnd w:id="43"/>
      <w:bookmarkEnd w:id="44"/>
      <w:bookmarkEnd w:id="45"/>
      <w:bookmarkEnd w:id="46"/>
      <w:bookmarkEnd w:id="47"/>
      <w:bookmarkEnd w:id="48"/>
      <w:bookmarkEnd w:id="49"/>
    </w:p>
    <w:p w:rsidR="00C754EB" w:rsidRPr="004F272B" w:rsidRDefault="00C754EB" w:rsidP="00C754EB">
      <w:pPr>
        <w:rPr>
          <w:rFonts w:cs="Times New Roman"/>
          <w:lang w:val="pt-PT"/>
        </w:rPr>
      </w:pPr>
    </w:p>
    <w:p w:rsidR="00FF27E5" w:rsidRPr="004F272B" w:rsidRDefault="004F272B" w:rsidP="0085133C">
      <w:pPr>
        <w:pStyle w:val="ParagraphNumbering"/>
        <w:rPr>
          <w:lang w:val="pt-PT"/>
        </w:rPr>
      </w:pPr>
      <w:r>
        <w:rPr>
          <w:b/>
          <w:lang w:val="pt-PT"/>
        </w:rPr>
        <w:t>Em</w:t>
      </w:r>
      <w:r w:rsidR="0022451F" w:rsidRPr="004F272B">
        <w:rPr>
          <w:b/>
          <w:lang w:val="pt-PT"/>
        </w:rPr>
        <w:t xml:space="preserve"> 2013</w:t>
      </w:r>
      <w:r>
        <w:rPr>
          <w:b/>
          <w:lang w:val="pt-PT"/>
        </w:rPr>
        <w:t xml:space="preserve">, </w:t>
      </w:r>
      <w:r w:rsidR="0022451F" w:rsidRPr="004F272B">
        <w:rPr>
          <w:b/>
          <w:lang w:val="pt-PT"/>
        </w:rPr>
        <w:t xml:space="preserve"> </w:t>
      </w:r>
      <w:r w:rsidR="00AF767E">
        <w:rPr>
          <w:b/>
          <w:lang w:val="pt-PT"/>
        </w:rPr>
        <w:t xml:space="preserve">e pela primeira vez desde a crise de 2009, </w:t>
      </w:r>
      <w:r w:rsidR="0022451F" w:rsidRPr="004F272B">
        <w:rPr>
          <w:b/>
          <w:lang w:val="pt-PT"/>
        </w:rPr>
        <w:t xml:space="preserve">Angola </w:t>
      </w:r>
      <w:r>
        <w:rPr>
          <w:b/>
          <w:lang w:val="pt-PT"/>
        </w:rPr>
        <w:t>registou um défice orçamental global</w:t>
      </w:r>
      <w:r w:rsidR="00431BD2" w:rsidRPr="004F272B">
        <w:rPr>
          <w:b/>
          <w:lang w:val="pt-PT"/>
        </w:rPr>
        <w:t>.</w:t>
      </w:r>
      <w:r w:rsidR="00B92F80" w:rsidRPr="004F272B">
        <w:rPr>
          <w:lang w:val="pt-PT"/>
        </w:rPr>
        <w:t xml:space="preserve"> </w:t>
      </w:r>
      <w:r w:rsidR="00FD5C8D" w:rsidRPr="004F272B">
        <w:rPr>
          <w:lang w:val="pt-PT"/>
        </w:rPr>
        <w:t xml:space="preserve"> </w:t>
      </w:r>
      <w:r>
        <w:rPr>
          <w:lang w:val="pt-PT"/>
        </w:rPr>
        <w:t xml:space="preserve">As receitas tributárias baixaram em termos de percentagem </w:t>
      </w:r>
      <w:r w:rsidR="00C42E33">
        <w:rPr>
          <w:lang w:val="pt-PT"/>
        </w:rPr>
        <w:t>do</w:t>
      </w:r>
      <w:r>
        <w:rPr>
          <w:lang w:val="pt-PT"/>
        </w:rPr>
        <w:t xml:space="preserve"> PIB, enquanto as despesas aumentaram ligeiramente, </w:t>
      </w:r>
      <w:r w:rsidR="00AF767E">
        <w:rPr>
          <w:lang w:val="pt-PT"/>
        </w:rPr>
        <w:t>o que se traduziu n</w:t>
      </w:r>
      <w:r>
        <w:rPr>
          <w:szCs w:val="24"/>
          <w:lang w:val="pt-PT"/>
        </w:rPr>
        <w:t xml:space="preserve">um défice igual a 0,6% do PIB. </w:t>
      </w:r>
      <w:r w:rsidR="00AF767E">
        <w:rPr>
          <w:szCs w:val="24"/>
          <w:lang w:val="pt-PT"/>
        </w:rPr>
        <w:t>Trata-se d</w:t>
      </w:r>
      <w:r w:rsidR="006627A6">
        <w:rPr>
          <w:szCs w:val="24"/>
          <w:lang w:val="pt-PT"/>
        </w:rPr>
        <w:t>o primeiro d</w:t>
      </w:r>
      <w:r w:rsidR="00AF767E">
        <w:rPr>
          <w:szCs w:val="24"/>
          <w:lang w:val="pt-PT"/>
        </w:rPr>
        <w:t>éfice</w:t>
      </w:r>
      <w:r w:rsidR="006627A6">
        <w:rPr>
          <w:szCs w:val="24"/>
          <w:lang w:val="pt-PT"/>
        </w:rPr>
        <w:t xml:space="preserve"> desde 2009, altura em que uma queda abrupta das receitas petrolíferas provocou um défice orçamental significativo de 7,3%. Até mesmo</w:t>
      </w:r>
      <w:r w:rsidR="00AF767E">
        <w:rPr>
          <w:szCs w:val="24"/>
          <w:lang w:val="pt-PT"/>
        </w:rPr>
        <w:t xml:space="preserve"> para os </w:t>
      </w:r>
      <w:r w:rsidR="006627A6">
        <w:rPr>
          <w:szCs w:val="24"/>
          <w:lang w:val="pt-PT"/>
        </w:rPr>
        <w:t>países ricos em petróleo da SSA, as receitas petrolíferas representam uma quota invulgarmente grande das receitas totais de Angola</w:t>
      </w:r>
      <w:r w:rsidR="00AF767E">
        <w:rPr>
          <w:szCs w:val="24"/>
          <w:lang w:val="pt-PT"/>
        </w:rPr>
        <w:t xml:space="preserve"> (Figura 3). Nestas circunstâncias, o orçamento angolano é muito sensível aos choques</w:t>
      </w:r>
      <w:r w:rsidR="009D51DA">
        <w:rPr>
          <w:szCs w:val="24"/>
          <w:lang w:val="pt-PT"/>
        </w:rPr>
        <w:t xml:space="preserve"> dos preços do petróelo (Quadro 2). D</w:t>
      </w:r>
      <w:r w:rsidR="009D51DA">
        <w:rPr>
          <w:lang w:val="pt-PT"/>
        </w:rPr>
        <w:t>urante o processo orçamental e f</w:t>
      </w:r>
      <w:r w:rsidR="009D51DA">
        <w:rPr>
          <w:szCs w:val="24"/>
          <w:lang w:val="pt-PT"/>
        </w:rPr>
        <w:t xml:space="preserve">ace às previsões do preço do petróleo na altura, foi feita a antevisão de </w:t>
      </w:r>
      <w:r w:rsidR="009D51DA">
        <w:rPr>
          <w:lang w:val="pt-PT"/>
        </w:rPr>
        <w:t>défice.</w:t>
      </w:r>
    </w:p>
    <w:p w:rsidR="00F361ED" w:rsidRPr="004F272B" w:rsidRDefault="00F361ED" w:rsidP="00F361ED">
      <w:pPr>
        <w:pStyle w:val="Caption"/>
        <w:keepNext/>
        <w:rPr>
          <w:lang w:val="pt-PT"/>
        </w:rPr>
      </w:pPr>
    </w:p>
    <w:tbl>
      <w:tblPr>
        <w:tblW w:w="9900" w:type="dxa"/>
        <w:tblInd w:w="119" w:type="dxa"/>
        <w:tblBorders>
          <w:insideH w:val="single" w:sz="8" w:space="0" w:color="943634" w:themeColor="accent2" w:themeShade="BF"/>
        </w:tblBorders>
        <w:tblLayout w:type="fixed"/>
        <w:tblCellMar>
          <w:left w:w="29" w:type="dxa"/>
          <w:right w:w="29" w:type="dxa"/>
        </w:tblCellMar>
        <w:tblLook w:val="01E0" w:firstRow="1" w:lastRow="1" w:firstColumn="1" w:lastColumn="1" w:noHBand="0" w:noVBand="0"/>
      </w:tblPr>
      <w:tblGrid>
        <w:gridCol w:w="4680"/>
        <w:gridCol w:w="5220"/>
      </w:tblGrid>
      <w:tr w:rsidR="00F6516F" w:rsidRPr="004E1715" w:rsidTr="00CC61DC">
        <w:trPr>
          <w:trHeight w:val="702"/>
        </w:trPr>
        <w:tc>
          <w:tcPr>
            <w:tcW w:w="4680" w:type="dxa"/>
            <w:tcBorders>
              <w:bottom w:val="single" w:sz="8" w:space="0" w:color="943634" w:themeColor="accent2" w:themeShade="BF"/>
            </w:tcBorders>
          </w:tcPr>
          <w:p w:rsidR="00AF6075" w:rsidRPr="004F272B" w:rsidRDefault="00F6516F">
            <w:pPr>
              <w:pStyle w:val="quarterly-chart-subtitle"/>
              <w:keepNext/>
              <w:keepLines/>
              <w:ind w:right="64"/>
              <w:jc w:val="left"/>
              <w:rPr>
                <w:rFonts w:asciiTheme="minorHAnsi" w:hAnsiTheme="minorHAnsi" w:cstheme="minorHAnsi"/>
                <w:color w:val="943634" w:themeColor="accent2" w:themeShade="BF"/>
                <w:lang w:val="pt-PT"/>
              </w:rPr>
            </w:pPr>
            <w:bookmarkStart w:id="50" w:name="_Ref349670608"/>
            <w:bookmarkStart w:id="51" w:name="_Toc384305311"/>
            <w:bookmarkStart w:id="52" w:name="_Toc349761824"/>
            <w:r w:rsidRPr="004F272B">
              <w:rPr>
                <w:rFonts w:asciiTheme="minorHAnsi" w:hAnsiTheme="minorHAnsi"/>
                <w:i w:val="0"/>
                <w:color w:val="943634" w:themeColor="accent2" w:themeShade="BF"/>
                <w:lang w:val="pt-PT"/>
              </w:rPr>
              <w:t>Figur</w:t>
            </w:r>
            <w:r w:rsidR="00B839C3">
              <w:rPr>
                <w:rFonts w:asciiTheme="minorHAnsi" w:hAnsiTheme="minorHAnsi"/>
                <w:i w:val="0"/>
                <w:color w:val="943634" w:themeColor="accent2" w:themeShade="BF"/>
                <w:lang w:val="pt-PT"/>
              </w:rPr>
              <w:t>a</w:t>
            </w:r>
            <w:r w:rsidRPr="004F272B">
              <w:rPr>
                <w:rFonts w:asciiTheme="minorHAnsi" w:hAnsiTheme="minorHAnsi"/>
                <w:i w:val="0"/>
                <w:color w:val="943634" w:themeColor="accent2" w:themeShade="BF"/>
                <w:lang w:val="pt-PT"/>
              </w:rPr>
              <w:t xml:space="preserve"> </w:t>
            </w:r>
            <w:r w:rsidR="00FB4E23" w:rsidRPr="004F272B">
              <w:rPr>
                <w:rFonts w:asciiTheme="minorHAnsi" w:hAnsiTheme="minorHAnsi"/>
                <w:i w:val="0"/>
                <w:color w:val="943634" w:themeColor="accent2" w:themeShade="BF"/>
                <w:lang w:val="pt-PT"/>
              </w:rPr>
              <w:fldChar w:fldCharType="begin"/>
            </w:r>
            <w:r w:rsidR="001155F6" w:rsidRPr="004F272B">
              <w:rPr>
                <w:rFonts w:asciiTheme="minorHAnsi" w:hAnsiTheme="minorHAnsi"/>
                <w:i w:val="0"/>
                <w:color w:val="943634" w:themeColor="accent2" w:themeShade="BF"/>
                <w:lang w:val="pt-PT"/>
              </w:rPr>
              <w:instrText xml:space="preserve"> SEQ Figure \* ARABIC </w:instrText>
            </w:r>
            <w:r w:rsidR="00FB4E23" w:rsidRPr="004F272B">
              <w:rPr>
                <w:rFonts w:asciiTheme="minorHAnsi" w:hAnsiTheme="minorHAnsi"/>
                <w:i w:val="0"/>
                <w:color w:val="943634" w:themeColor="accent2" w:themeShade="BF"/>
                <w:lang w:val="pt-PT"/>
              </w:rPr>
              <w:fldChar w:fldCharType="separate"/>
            </w:r>
            <w:r w:rsidR="004F553E">
              <w:rPr>
                <w:rFonts w:asciiTheme="minorHAnsi" w:hAnsiTheme="minorHAnsi"/>
                <w:i w:val="0"/>
                <w:noProof/>
                <w:color w:val="943634" w:themeColor="accent2" w:themeShade="BF"/>
                <w:lang w:val="pt-PT"/>
              </w:rPr>
              <w:t>2</w:t>
            </w:r>
            <w:r w:rsidR="00FB4E23" w:rsidRPr="004F272B">
              <w:rPr>
                <w:rFonts w:asciiTheme="minorHAnsi" w:hAnsiTheme="minorHAnsi"/>
                <w:i w:val="0"/>
                <w:color w:val="943634" w:themeColor="accent2" w:themeShade="BF"/>
                <w:lang w:val="pt-PT"/>
              </w:rPr>
              <w:fldChar w:fldCharType="end"/>
            </w:r>
            <w:bookmarkEnd w:id="50"/>
            <w:r w:rsidRPr="004F272B">
              <w:rPr>
                <w:rFonts w:asciiTheme="minorHAnsi" w:hAnsiTheme="minorHAnsi"/>
                <w:b w:val="0"/>
                <w:bCs/>
                <w:i w:val="0"/>
                <w:color w:val="943634" w:themeColor="accent2" w:themeShade="BF"/>
                <w:lang w:val="pt-PT"/>
              </w:rPr>
              <w:t xml:space="preserve">: </w:t>
            </w:r>
            <w:r w:rsidRPr="004F272B">
              <w:rPr>
                <w:rFonts w:asciiTheme="minorHAnsi" w:hAnsiTheme="minorHAnsi" w:cstheme="minorHAnsi"/>
                <w:i w:val="0"/>
                <w:color w:val="943634" w:themeColor="accent2" w:themeShade="BF"/>
                <w:lang w:val="pt-PT"/>
              </w:rPr>
              <w:t>Angola</w:t>
            </w:r>
            <w:r w:rsidR="00B839C3">
              <w:rPr>
                <w:rFonts w:asciiTheme="minorHAnsi" w:hAnsiTheme="minorHAnsi" w:cstheme="minorHAnsi"/>
                <w:i w:val="0"/>
                <w:color w:val="943634" w:themeColor="accent2" w:themeShade="BF"/>
                <w:lang w:val="pt-PT"/>
              </w:rPr>
              <w:t xml:space="preserve"> tem o segundo rácio mais alto entre receitas petrolíferas e receitas totais de </w:t>
            </w:r>
            <w:r w:rsidR="00CF5BE4">
              <w:rPr>
                <w:rFonts w:asciiTheme="minorHAnsi" w:hAnsiTheme="minorHAnsi" w:cstheme="minorHAnsi"/>
                <w:i w:val="0"/>
                <w:color w:val="943634" w:themeColor="accent2" w:themeShade="BF"/>
                <w:lang w:val="pt-PT"/>
              </w:rPr>
              <w:t xml:space="preserve">todos os países </w:t>
            </w:r>
            <w:r w:rsidR="00B839C3">
              <w:rPr>
                <w:rFonts w:asciiTheme="minorHAnsi" w:hAnsiTheme="minorHAnsi" w:cstheme="minorHAnsi"/>
                <w:i w:val="0"/>
                <w:color w:val="943634" w:themeColor="accent2" w:themeShade="BF"/>
                <w:lang w:val="pt-PT"/>
              </w:rPr>
              <w:t>da SSA</w:t>
            </w:r>
            <w:r w:rsidRPr="004F272B">
              <w:rPr>
                <w:rFonts w:asciiTheme="minorHAnsi" w:hAnsiTheme="minorHAnsi" w:cstheme="minorHAnsi"/>
                <w:i w:val="0"/>
                <w:color w:val="943634" w:themeColor="accent2" w:themeShade="BF"/>
                <w:lang w:val="pt-PT"/>
              </w:rPr>
              <w:t>…</w:t>
            </w:r>
            <w:bookmarkEnd w:id="51"/>
            <w:r w:rsidRPr="004F272B">
              <w:rPr>
                <w:rFonts w:asciiTheme="minorHAnsi" w:hAnsiTheme="minorHAnsi" w:cstheme="minorHAnsi"/>
                <w:color w:val="943634" w:themeColor="accent2" w:themeShade="BF"/>
                <w:lang w:val="pt-PT"/>
              </w:rPr>
              <w:t xml:space="preserve"> </w:t>
            </w:r>
          </w:p>
          <w:p w:rsidR="00F6516F" w:rsidRPr="004F272B" w:rsidRDefault="00F6516F" w:rsidP="00B839C3">
            <w:pPr>
              <w:pStyle w:val="quarterly-chart-subtitle"/>
              <w:keepNext/>
              <w:keepLines/>
              <w:ind w:right="64"/>
              <w:jc w:val="left"/>
              <w:rPr>
                <w:rFonts w:asciiTheme="minorHAnsi" w:hAnsiTheme="minorHAnsi" w:cstheme="minorHAnsi"/>
                <w:lang w:val="pt-PT"/>
              </w:rPr>
            </w:pPr>
            <w:r w:rsidRPr="004F272B">
              <w:rPr>
                <w:rFonts w:asciiTheme="minorHAnsi" w:hAnsiTheme="minorHAnsi" w:cstheme="minorHAnsi"/>
                <w:lang w:val="pt-PT"/>
              </w:rPr>
              <w:t>(</w:t>
            </w:r>
            <w:r w:rsidR="00AF6075" w:rsidRPr="004F272B">
              <w:rPr>
                <w:rFonts w:asciiTheme="minorHAnsi" w:hAnsiTheme="minorHAnsi" w:cstheme="minorHAnsi"/>
                <w:lang w:val="pt-PT"/>
              </w:rPr>
              <w:t xml:space="preserve">% </w:t>
            </w:r>
            <w:r w:rsidR="00B839C3">
              <w:rPr>
                <w:rFonts w:asciiTheme="minorHAnsi" w:hAnsiTheme="minorHAnsi" w:cstheme="minorHAnsi"/>
                <w:lang w:val="pt-PT"/>
              </w:rPr>
              <w:t>das receitas públicas totais</w:t>
            </w:r>
            <w:r w:rsidRPr="004F272B">
              <w:rPr>
                <w:rFonts w:asciiTheme="minorHAnsi" w:hAnsiTheme="minorHAnsi" w:cstheme="minorHAnsi"/>
                <w:lang w:val="pt-PT"/>
              </w:rPr>
              <w:t>, 2012)</w:t>
            </w:r>
            <w:bookmarkEnd w:id="52"/>
          </w:p>
        </w:tc>
        <w:tc>
          <w:tcPr>
            <w:tcW w:w="5220" w:type="dxa"/>
          </w:tcPr>
          <w:p w:rsidR="00F6516F" w:rsidRPr="004F272B" w:rsidRDefault="00B839C3" w:rsidP="00DD19AB">
            <w:pPr>
              <w:pStyle w:val="Caption"/>
              <w:keepNext/>
              <w:keepLines/>
              <w:jc w:val="left"/>
              <w:rPr>
                <w:rFonts w:asciiTheme="minorHAnsi" w:hAnsiTheme="minorHAnsi" w:cstheme="minorHAnsi"/>
                <w:color w:val="943634" w:themeColor="accent2" w:themeShade="BF"/>
                <w:lang w:val="pt-PT"/>
              </w:rPr>
            </w:pPr>
            <w:bookmarkStart w:id="53" w:name="_Ref382405647"/>
            <w:bookmarkStart w:id="54" w:name="_Toc349761957"/>
            <w:r>
              <w:rPr>
                <w:rFonts w:asciiTheme="minorHAnsi" w:hAnsiTheme="minorHAnsi" w:cstheme="minorHAnsi"/>
                <w:color w:val="943634" w:themeColor="accent2" w:themeShade="BF"/>
                <w:lang w:val="pt-PT"/>
              </w:rPr>
              <w:t xml:space="preserve">Quadro </w:t>
            </w:r>
            <w:r w:rsidR="00FB4E23" w:rsidRPr="004F272B">
              <w:rPr>
                <w:rFonts w:asciiTheme="minorHAnsi" w:hAnsiTheme="minorHAnsi" w:cstheme="minorHAnsi"/>
                <w:color w:val="943634" w:themeColor="accent2" w:themeShade="BF"/>
                <w:lang w:val="pt-PT"/>
              </w:rPr>
              <w:fldChar w:fldCharType="begin"/>
            </w:r>
            <w:r w:rsidR="00F361ED" w:rsidRPr="004F272B">
              <w:rPr>
                <w:rFonts w:asciiTheme="minorHAnsi" w:hAnsiTheme="minorHAnsi" w:cstheme="minorHAnsi"/>
                <w:color w:val="943634" w:themeColor="accent2" w:themeShade="BF"/>
                <w:lang w:val="pt-PT"/>
              </w:rPr>
              <w:instrText xml:space="preserve"> SEQ Table \* ARABIC </w:instrText>
            </w:r>
            <w:r w:rsidR="00FB4E23" w:rsidRPr="004F272B">
              <w:rPr>
                <w:rFonts w:asciiTheme="minorHAnsi" w:hAnsiTheme="minorHAnsi" w:cstheme="minorHAnsi"/>
                <w:color w:val="943634" w:themeColor="accent2" w:themeShade="BF"/>
                <w:lang w:val="pt-PT"/>
              </w:rPr>
              <w:fldChar w:fldCharType="separate"/>
            </w:r>
            <w:r w:rsidR="004F553E">
              <w:rPr>
                <w:rFonts w:asciiTheme="minorHAnsi" w:hAnsiTheme="minorHAnsi" w:cstheme="minorHAnsi"/>
                <w:noProof/>
                <w:color w:val="943634" w:themeColor="accent2" w:themeShade="BF"/>
                <w:lang w:val="pt-PT"/>
              </w:rPr>
              <w:t>2</w:t>
            </w:r>
            <w:r w:rsidR="00FB4E23" w:rsidRPr="004F272B">
              <w:rPr>
                <w:rFonts w:asciiTheme="minorHAnsi" w:hAnsiTheme="minorHAnsi" w:cstheme="minorHAnsi"/>
                <w:color w:val="943634" w:themeColor="accent2" w:themeShade="BF"/>
                <w:lang w:val="pt-PT"/>
              </w:rPr>
              <w:fldChar w:fldCharType="end"/>
            </w:r>
            <w:bookmarkEnd w:id="53"/>
            <w:r>
              <w:rPr>
                <w:rFonts w:asciiTheme="minorHAnsi" w:hAnsiTheme="minorHAnsi" w:cstheme="minorHAnsi"/>
                <w:color w:val="943634" w:themeColor="accent2" w:themeShade="BF"/>
                <w:lang w:val="pt-PT"/>
              </w:rPr>
              <w:t>: …o que significa que o orçamento é extremamente vulnerável a alterações nos preços globais do petróleo</w:t>
            </w:r>
            <w:bookmarkEnd w:id="54"/>
            <w:r w:rsidR="0022451F" w:rsidRPr="004F272B">
              <w:rPr>
                <w:rFonts w:asciiTheme="minorHAnsi" w:hAnsiTheme="minorHAnsi" w:cstheme="minorHAnsi"/>
                <w:color w:val="943634" w:themeColor="accent2" w:themeShade="BF"/>
                <w:lang w:val="pt-PT"/>
              </w:rPr>
              <w:t>.</w:t>
            </w:r>
          </w:p>
          <w:p w:rsidR="00F6516F" w:rsidRPr="004F272B" w:rsidRDefault="00F6516F" w:rsidP="00B839C3">
            <w:pPr>
              <w:pStyle w:val="quarterly-chart-subtitle"/>
              <w:keepNext/>
              <w:keepLines/>
              <w:jc w:val="left"/>
              <w:rPr>
                <w:rFonts w:asciiTheme="minorHAnsi" w:hAnsiTheme="minorHAnsi" w:cstheme="minorHAnsi"/>
                <w:lang w:val="pt-PT"/>
              </w:rPr>
            </w:pPr>
            <w:r w:rsidRPr="004F272B">
              <w:rPr>
                <w:rFonts w:asciiTheme="minorHAnsi" w:hAnsiTheme="minorHAnsi" w:cstheme="minorHAnsi"/>
                <w:szCs w:val="18"/>
                <w:lang w:val="pt-PT"/>
              </w:rPr>
              <w:t>(</w:t>
            </w:r>
            <w:r w:rsidR="00B839C3">
              <w:rPr>
                <w:rFonts w:asciiTheme="minorHAnsi" w:hAnsiTheme="minorHAnsi" w:cstheme="minorHAnsi"/>
                <w:szCs w:val="18"/>
                <w:lang w:val="pt-PT"/>
              </w:rPr>
              <w:t xml:space="preserve">Orçamento de Angola, em milhões de USD e </w:t>
            </w:r>
            <w:r w:rsidR="00AF6075" w:rsidRPr="004F272B">
              <w:rPr>
                <w:rFonts w:asciiTheme="minorHAnsi" w:hAnsiTheme="minorHAnsi" w:cstheme="minorHAnsi"/>
                <w:szCs w:val="18"/>
                <w:lang w:val="pt-PT"/>
              </w:rPr>
              <w:t xml:space="preserve">% </w:t>
            </w:r>
            <w:r w:rsidR="00B839C3">
              <w:rPr>
                <w:rFonts w:asciiTheme="minorHAnsi" w:hAnsiTheme="minorHAnsi" w:cstheme="minorHAnsi"/>
                <w:szCs w:val="18"/>
                <w:lang w:val="pt-PT"/>
              </w:rPr>
              <w:t>do PIB</w:t>
            </w:r>
            <w:r w:rsidRPr="004F272B">
              <w:rPr>
                <w:rFonts w:asciiTheme="minorHAnsi" w:hAnsiTheme="minorHAnsi" w:cstheme="minorHAnsi"/>
                <w:szCs w:val="18"/>
                <w:lang w:val="pt-PT"/>
              </w:rPr>
              <w:t>)</w:t>
            </w:r>
          </w:p>
        </w:tc>
      </w:tr>
      <w:tr w:rsidR="00F6516F" w:rsidRPr="004F272B" w:rsidTr="00CC61DC">
        <w:tblPrEx>
          <w:tblCellMar>
            <w:left w:w="108" w:type="dxa"/>
            <w:right w:w="108" w:type="dxa"/>
          </w:tblCellMar>
        </w:tblPrEx>
        <w:trPr>
          <w:trHeight w:val="218"/>
        </w:trPr>
        <w:tc>
          <w:tcPr>
            <w:tcW w:w="4680" w:type="dxa"/>
            <w:tcBorders>
              <w:top w:val="single" w:sz="8" w:space="0" w:color="943634" w:themeColor="accent2" w:themeShade="BF"/>
              <w:bottom w:val="single" w:sz="8" w:space="0" w:color="943634" w:themeColor="accent2" w:themeShade="BF"/>
            </w:tcBorders>
          </w:tcPr>
          <w:p w:rsidR="00F6516F" w:rsidRPr="004F272B" w:rsidRDefault="00CC61DC" w:rsidP="006C0F58">
            <w:pPr>
              <w:pStyle w:val="BodyText"/>
              <w:keepNext/>
              <w:keepLines/>
              <w:spacing w:before="40"/>
              <w:jc w:val="center"/>
              <w:rPr>
                <w:rFonts w:asciiTheme="minorHAnsi" w:hAnsiTheme="minorHAnsi" w:cstheme="minorHAnsi"/>
                <w:i/>
                <w:color w:val="FF9900"/>
                <w:sz w:val="16"/>
                <w:szCs w:val="16"/>
                <w:lang w:val="pt-PT"/>
              </w:rPr>
            </w:pPr>
            <w:r>
              <w:rPr>
                <w:rFonts w:asciiTheme="minorHAnsi" w:hAnsiTheme="minorHAnsi" w:cstheme="minorHAnsi"/>
                <w:i/>
                <w:noProof/>
                <w:color w:val="FF9900"/>
                <w:sz w:val="16"/>
                <w:szCs w:val="16"/>
              </w:rPr>
              <w:drawing>
                <wp:inline distT="0" distB="0" distL="0" distR="0" wp14:anchorId="0B7B6CC2" wp14:editId="1907FD02">
                  <wp:extent cx="2676508" cy="16192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8363" cy="1620372"/>
                          </a:xfrm>
                          <a:prstGeom prst="rect">
                            <a:avLst/>
                          </a:prstGeom>
                          <a:noFill/>
                        </pic:spPr>
                      </pic:pic>
                    </a:graphicData>
                  </a:graphic>
                </wp:inline>
              </w:drawing>
            </w:r>
          </w:p>
        </w:tc>
        <w:tc>
          <w:tcPr>
            <w:tcW w:w="5220" w:type="dxa"/>
          </w:tcPr>
          <w:tbl>
            <w:tblPr>
              <w:tblW w:w="5065" w:type="dxa"/>
              <w:tblLayout w:type="fixed"/>
              <w:tblLook w:val="04A0" w:firstRow="1" w:lastRow="0" w:firstColumn="1" w:lastColumn="0" w:noHBand="0" w:noVBand="1"/>
            </w:tblPr>
            <w:tblGrid>
              <w:gridCol w:w="1111"/>
              <w:gridCol w:w="659"/>
              <w:gridCol w:w="659"/>
              <w:gridCol w:w="659"/>
              <w:gridCol w:w="659"/>
              <w:gridCol w:w="659"/>
              <w:gridCol w:w="659"/>
            </w:tblGrid>
            <w:tr w:rsidR="00CC61DC" w:rsidRPr="00CC61DC" w:rsidTr="00073FD8">
              <w:trPr>
                <w:trHeight w:val="345"/>
              </w:trPr>
              <w:tc>
                <w:tcPr>
                  <w:tcW w:w="1111" w:type="dxa"/>
                  <w:tcBorders>
                    <w:top w:val="nil"/>
                    <w:left w:val="nil"/>
                    <w:bottom w:val="nil"/>
                    <w:right w:val="nil"/>
                  </w:tcBorders>
                  <w:shd w:val="clear" w:color="auto" w:fill="auto"/>
                  <w:noWrap/>
                  <w:vAlign w:val="bottom"/>
                  <w:hideMark/>
                </w:tcPr>
                <w:p w:rsidR="00CC61DC" w:rsidRPr="00CC61DC" w:rsidRDefault="00CC61DC" w:rsidP="00CC61DC">
                  <w:pPr>
                    <w:jc w:val="left"/>
                    <w:rPr>
                      <w:rFonts w:ascii="Calibri" w:eastAsia="Times New Roman" w:hAnsi="Calibri" w:cs="Times New Roman"/>
                      <w:color w:val="000000"/>
                      <w:sz w:val="14"/>
                      <w:szCs w:val="14"/>
                    </w:rPr>
                  </w:pP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b/>
                      <w:bCs/>
                      <w:color w:val="000000"/>
                      <w:sz w:val="14"/>
                      <w:szCs w:val="14"/>
                    </w:rPr>
                  </w:pPr>
                  <w:r w:rsidRPr="00CC61DC">
                    <w:rPr>
                      <w:rFonts w:ascii="Calibri" w:eastAsia="Times New Roman" w:hAnsi="Calibri" w:cs="Times New Roman"/>
                      <w:b/>
                      <w:bCs/>
                      <w:color w:val="000000"/>
                      <w:sz w:val="14"/>
                      <w:szCs w:val="14"/>
                    </w:rPr>
                    <w:t>2009</w:t>
                  </w: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b/>
                      <w:bCs/>
                      <w:color w:val="000000"/>
                      <w:sz w:val="14"/>
                      <w:szCs w:val="14"/>
                    </w:rPr>
                  </w:pPr>
                  <w:r w:rsidRPr="00CC61DC">
                    <w:rPr>
                      <w:rFonts w:ascii="Calibri" w:eastAsia="Times New Roman" w:hAnsi="Calibri" w:cs="Times New Roman"/>
                      <w:b/>
                      <w:bCs/>
                      <w:color w:val="000000"/>
                      <w:sz w:val="14"/>
                      <w:szCs w:val="14"/>
                    </w:rPr>
                    <w:t>2010</w:t>
                  </w: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b/>
                      <w:bCs/>
                      <w:color w:val="000000"/>
                      <w:sz w:val="14"/>
                      <w:szCs w:val="14"/>
                    </w:rPr>
                  </w:pPr>
                  <w:r w:rsidRPr="00CC61DC">
                    <w:rPr>
                      <w:rFonts w:ascii="Calibri" w:eastAsia="Times New Roman" w:hAnsi="Calibri" w:cs="Times New Roman"/>
                      <w:b/>
                      <w:bCs/>
                      <w:color w:val="000000"/>
                      <w:sz w:val="14"/>
                      <w:szCs w:val="14"/>
                    </w:rPr>
                    <w:t>2011</w:t>
                  </w: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b/>
                      <w:bCs/>
                      <w:color w:val="000000"/>
                      <w:sz w:val="14"/>
                      <w:szCs w:val="14"/>
                    </w:rPr>
                  </w:pPr>
                  <w:r w:rsidRPr="00CC61DC">
                    <w:rPr>
                      <w:rFonts w:ascii="Calibri" w:eastAsia="Times New Roman" w:hAnsi="Calibri" w:cs="Times New Roman"/>
                      <w:b/>
                      <w:bCs/>
                      <w:color w:val="000000"/>
                      <w:sz w:val="14"/>
                      <w:szCs w:val="14"/>
                    </w:rPr>
                    <w:t>2012</w:t>
                  </w: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b/>
                      <w:bCs/>
                      <w:color w:val="000000"/>
                      <w:sz w:val="14"/>
                      <w:szCs w:val="14"/>
                    </w:rPr>
                  </w:pPr>
                  <w:r w:rsidRPr="00CC61DC">
                    <w:rPr>
                      <w:rFonts w:ascii="Calibri" w:eastAsia="Times New Roman" w:hAnsi="Calibri" w:cs="Times New Roman"/>
                      <w:b/>
                      <w:bCs/>
                      <w:color w:val="000000"/>
                      <w:sz w:val="14"/>
                      <w:szCs w:val="14"/>
                    </w:rPr>
                    <w:t>2013</w:t>
                  </w:r>
                  <w:r w:rsidRPr="00CC61DC">
                    <w:rPr>
                      <w:rFonts w:ascii="Calibri" w:eastAsia="Times New Roman" w:hAnsi="Calibri" w:cs="Times New Roman"/>
                      <w:b/>
                      <w:bCs/>
                      <w:color w:val="000000"/>
                      <w:sz w:val="14"/>
                      <w:szCs w:val="14"/>
                      <w:vertAlign w:val="superscript"/>
                    </w:rPr>
                    <w:t>E</w:t>
                  </w: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b/>
                      <w:bCs/>
                      <w:color w:val="000000"/>
                      <w:sz w:val="14"/>
                      <w:szCs w:val="14"/>
                    </w:rPr>
                  </w:pPr>
                  <w:r w:rsidRPr="00CC61DC">
                    <w:rPr>
                      <w:rFonts w:ascii="Calibri" w:eastAsia="Times New Roman" w:hAnsi="Calibri" w:cs="Times New Roman"/>
                      <w:b/>
                      <w:bCs/>
                      <w:color w:val="000000"/>
                      <w:sz w:val="14"/>
                      <w:szCs w:val="14"/>
                    </w:rPr>
                    <w:t>2014</w:t>
                  </w:r>
                  <w:r w:rsidRPr="00CC61DC">
                    <w:rPr>
                      <w:rFonts w:ascii="Calibri" w:eastAsia="Times New Roman" w:hAnsi="Calibri" w:cs="Times New Roman"/>
                      <w:b/>
                      <w:bCs/>
                      <w:color w:val="000000"/>
                      <w:sz w:val="14"/>
                      <w:szCs w:val="14"/>
                      <w:vertAlign w:val="superscript"/>
                    </w:rPr>
                    <w:t>F</w:t>
                  </w:r>
                </w:p>
              </w:tc>
            </w:tr>
            <w:tr w:rsidR="00CC61DC" w:rsidRPr="00CC61DC" w:rsidTr="00073FD8">
              <w:trPr>
                <w:trHeight w:val="300"/>
              </w:trPr>
              <w:tc>
                <w:tcPr>
                  <w:tcW w:w="1111" w:type="dxa"/>
                  <w:tcBorders>
                    <w:top w:val="nil"/>
                    <w:left w:val="nil"/>
                    <w:bottom w:val="nil"/>
                    <w:right w:val="nil"/>
                  </w:tcBorders>
                  <w:shd w:val="clear" w:color="000000" w:fill="FFFFFF"/>
                  <w:noWrap/>
                  <w:vAlign w:val="bottom"/>
                  <w:hideMark/>
                </w:tcPr>
                <w:p w:rsidR="00CC61DC" w:rsidRPr="00CC61DC" w:rsidRDefault="00CC61DC" w:rsidP="00CC61DC">
                  <w:pPr>
                    <w:ind w:left="-36"/>
                    <w:jc w:val="left"/>
                    <w:rPr>
                      <w:rFonts w:ascii="Calibri" w:eastAsia="Times New Roman" w:hAnsi="Calibri" w:cs="Times New Roman"/>
                      <w:b/>
                      <w:bCs/>
                      <w:color w:val="000000"/>
                      <w:sz w:val="14"/>
                      <w:szCs w:val="14"/>
                    </w:rPr>
                  </w:pPr>
                  <w:r w:rsidRPr="00CC61DC">
                    <w:rPr>
                      <w:rFonts w:ascii="Calibri" w:eastAsia="Times New Roman" w:hAnsi="Calibri" w:cs="Times New Roman"/>
                      <w:b/>
                      <w:bCs/>
                      <w:color w:val="000000"/>
                      <w:sz w:val="14"/>
                      <w:szCs w:val="14"/>
                    </w:rPr>
                    <w:t>Receitas</w:t>
                  </w:r>
                </w:p>
              </w:tc>
              <w:tc>
                <w:tcPr>
                  <w:tcW w:w="659" w:type="dxa"/>
                  <w:tcBorders>
                    <w:top w:val="single" w:sz="4" w:space="0" w:color="C00000"/>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2070</w:t>
                  </w:r>
                </w:p>
              </w:tc>
              <w:tc>
                <w:tcPr>
                  <w:tcW w:w="659" w:type="dxa"/>
                  <w:tcBorders>
                    <w:top w:val="single" w:sz="4" w:space="0" w:color="C00000"/>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3295</w:t>
                  </w:r>
                </w:p>
              </w:tc>
              <w:tc>
                <w:tcPr>
                  <w:tcW w:w="659" w:type="dxa"/>
                  <w:tcBorders>
                    <w:top w:val="single" w:sz="4" w:space="0" w:color="C00000"/>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4776</w:t>
                  </w:r>
                </w:p>
              </w:tc>
              <w:tc>
                <w:tcPr>
                  <w:tcW w:w="659" w:type="dxa"/>
                  <w:tcBorders>
                    <w:top w:val="single" w:sz="4" w:space="0" w:color="C00000"/>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5054</w:t>
                  </w:r>
                </w:p>
              </w:tc>
              <w:tc>
                <w:tcPr>
                  <w:tcW w:w="659" w:type="dxa"/>
                  <w:tcBorders>
                    <w:top w:val="single" w:sz="4" w:space="0" w:color="C00000"/>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4435</w:t>
                  </w:r>
                </w:p>
              </w:tc>
              <w:tc>
                <w:tcPr>
                  <w:tcW w:w="659" w:type="dxa"/>
                  <w:tcBorders>
                    <w:top w:val="single" w:sz="4" w:space="0" w:color="C00000"/>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4957</w:t>
                  </w:r>
                </w:p>
              </w:tc>
            </w:tr>
            <w:tr w:rsidR="00CC61DC" w:rsidRPr="00CC61DC" w:rsidTr="00073FD8">
              <w:trPr>
                <w:trHeight w:val="300"/>
              </w:trPr>
              <w:tc>
                <w:tcPr>
                  <w:tcW w:w="1111" w:type="dxa"/>
                  <w:tcBorders>
                    <w:top w:val="nil"/>
                    <w:left w:val="nil"/>
                    <w:bottom w:val="nil"/>
                    <w:right w:val="nil"/>
                  </w:tcBorders>
                  <w:shd w:val="clear" w:color="000000" w:fill="FFFFFF"/>
                  <w:noWrap/>
                  <w:vAlign w:val="bottom"/>
                  <w:hideMark/>
                </w:tcPr>
                <w:p w:rsidR="00CC61DC" w:rsidRPr="00CC61DC" w:rsidRDefault="00CC61DC" w:rsidP="00CC61DC">
                  <w:pPr>
                    <w:ind w:left="-36" w:firstLineChars="89" w:firstLine="125"/>
                    <w:jc w:val="left"/>
                    <w:rPr>
                      <w:rFonts w:ascii="Calibri" w:eastAsia="Times New Roman" w:hAnsi="Calibri" w:cs="Times New Roman"/>
                      <w:b/>
                      <w:bCs/>
                      <w:color w:val="000000"/>
                      <w:sz w:val="14"/>
                      <w:szCs w:val="14"/>
                    </w:rPr>
                  </w:pPr>
                  <w:r w:rsidRPr="00CC61DC">
                    <w:rPr>
                      <w:rFonts w:ascii="Calibri" w:eastAsia="Times New Roman" w:hAnsi="Calibri" w:cs="Times New Roman"/>
                      <w:b/>
                      <w:bCs/>
                      <w:color w:val="000000"/>
                      <w:sz w:val="14"/>
                      <w:szCs w:val="14"/>
                    </w:rPr>
                    <w:t>Petróleo</w:t>
                  </w: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1449.2</w:t>
                  </w: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2500.4</w:t>
                  </w: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3817.1</w:t>
                  </w: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4102.7</w:t>
                  </w: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3471.7</w:t>
                  </w: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3894.3</w:t>
                  </w:r>
                </w:p>
              </w:tc>
            </w:tr>
            <w:tr w:rsidR="00CC61DC" w:rsidRPr="00CC61DC" w:rsidTr="00073FD8">
              <w:trPr>
                <w:trHeight w:val="300"/>
              </w:trPr>
              <w:tc>
                <w:tcPr>
                  <w:tcW w:w="1111" w:type="dxa"/>
                  <w:tcBorders>
                    <w:top w:val="nil"/>
                    <w:left w:val="nil"/>
                    <w:bottom w:val="nil"/>
                    <w:right w:val="nil"/>
                  </w:tcBorders>
                  <w:shd w:val="clear" w:color="000000" w:fill="FFFFFF"/>
                  <w:noWrap/>
                  <w:vAlign w:val="bottom"/>
                  <w:hideMark/>
                </w:tcPr>
                <w:p w:rsidR="00CC61DC" w:rsidRPr="00CC61DC" w:rsidRDefault="00CC61DC" w:rsidP="00CC61DC">
                  <w:pPr>
                    <w:ind w:left="-36"/>
                    <w:jc w:val="left"/>
                    <w:rPr>
                      <w:rFonts w:ascii="Calibri" w:eastAsia="Times New Roman" w:hAnsi="Calibri" w:cs="Times New Roman"/>
                      <w:b/>
                      <w:bCs/>
                      <w:color w:val="000000"/>
                      <w:sz w:val="14"/>
                      <w:szCs w:val="14"/>
                    </w:rPr>
                  </w:pPr>
                  <w:r w:rsidRPr="00CC61DC">
                    <w:rPr>
                      <w:rFonts w:ascii="Calibri" w:eastAsia="Times New Roman" w:hAnsi="Calibri" w:cs="Times New Roman"/>
                      <w:b/>
                      <w:bCs/>
                      <w:color w:val="000000"/>
                      <w:sz w:val="14"/>
                      <w:szCs w:val="14"/>
                    </w:rPr>
                    <w:t>Despesas</w:t>
                  </w: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2383.4</w:t>
                  </w: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2945.4</w:t>
                  </w: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3826.8</w:t>
                  </w: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4223.6</w:t>
                  </w: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4415.7</w:t>
                  </w: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4959.4</w:t>
                  </w:r>
                </w:p>
              </w:tc>
            </w:tr>
            <w:tr w:rsidR="00CC61DC" w:rsidRPr="00CC61DC" w:rsidTr="00073FD8">
              <w:trPr>
                <w:trHeight w:val="300"/>
              </w:trPr>
              <w:tc>
                <w:tcPr>
                  <w:tcW w:w="1111" w:type="dxa"/>
                  <w:tcBorders>
                    <w:top w:val="nil"/>
                    <w:left w:val="nil"/>
                    <w:bottom w:val="nil"/>
                    <w:right w:val="nil"/>
                  </w:tcBorders>
                  <w:shd w:val="clear" w:color="000000" w:fill="FFFFFF"/>
                  <w:noWrap/>
                  <w:vAlign w:val="bottom"/>
                  <w:hideMark/>
                </w:tcPr>
                <w:p w:rsidR="00CC61DC" w:rsidRPr="00CC61DC" w:rsidRDefault="00CC61DC" w:rsidP="00CC61DC">
                  <w:pPr>
                    <w:ind w:left="-36"/>
                    <w:jc w:val="left"/>
                    <w:rPr>
                      <w:rFonts w:ascii="Calibri" w:eastAsia="Times New Roman" w:hAnsi="Calibri" w:cs="Times New Roman"/>
                      <w:b/>
                      <w:bCs/>
                      <w:color w:val="000000"/>
                      <w:sz w:val="14"/>
                      <w:szCs w:val="14"/>
                    </w:rPr>
                  </w:pPr>
                  <w:r w:rsidRPr="00CC61DC">
                    <w:rPr>
                      <w:rFonts w:ascii="Calibri" w:eastAsia="Times New Roman" w:hAnsi="Calibri" w:cs="Times New Roman"/>
                      <w:b/>
                      <w:bCs/>
                      <w:color w:val="000000"/>
                      <w:sz w:val="14"/>
                      <w:szCs w:val="14"/>
                    </w:rPr>
                    <w:t>Correntes</w:t>
                  </w: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1640.1</w:t>
                  </w: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2077.4</w:t>
                  </w: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2833.8</w:t>
                  </w: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3079.2</w:t>
                  </w: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3278.7</w:t>
                  </w: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3643.5</w:t>
                  </w:r>
                </w:p>
              </w:tc>
            </w:tr>
            <w:tr w:rsidR="00CC61DC" w:rsidRPr="00CC61DC" w:rsidTr="00073FD8">
              <w:trPr>
                <w:trHeight w:val="300"/>
              </w:trPr>
              <w:tc>
                <w:tcPr>
                  <w:tcW w:w="1111" w:type="dxa"/>
                  <w:tcBorders>
                    <w:top w:val="nil"/>
                    <w:left w:val="nil"/>
                    <w:bottom w:val="nil"/>
                    <w:right w:val="nil"/>
                  </w:tcBorders>
                  <w:shd w:val="clear" w:color="000000" w:fill="FFFFFF"/>
                  <w:noWrap/>
                  <w:vAlign w:val="bottom"/>
                  <w:hideMark/>
                </w:tcPr>
                <w:p w:rsidR="00CC61DC" w:rsidRPr="00CC61DC" w:rsidRDefault="00CC61DC" w:rsidP="00CC61DC">
                  <w:pPr>
                    <w:ind w:left="-36"/>
                    <w:jc w:val="left"/>
                    <w:rPr>
                      <w:rFonts w:ascii="Calibri" w:eastAsia="Times New Roman" w:hAnsi="Calibri" w:cs="Times New Roman"/>
                      <w:b/>
                      <w:bCs/>
                      <w:color w:val="000000"/>
                      <w:sz w:val="14"/>
                      <w:szCs w:val="14"/>
                    </w:rPr>
                  </w:pPr>
                  <w:r w:rsidRPr="00CC61DC">
                    <w:rPr>
                      <w:rFonts w:ascii="Calibri" w:eastAsia="Times New Roman" w:hAnsi="Calibri" w:cs="Times New Roman"/>
                      <w:b/>
                      <w:bCs/>
                      <w:color w:val="000000"/>
                      <w:sz w:val="14"/>
                      <w:szCs w:val="14"/>
                    </w:rPr>
                    <w:t>de Capital</w:t>
                  </w: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743.3</w:t>
                  </w: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868.0</w:t>
                  </w: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993.0</w:t>
                  </w: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1144.5</w:t>
                  </w: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1137.0</w:t>
                  </w: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1315.9</w:t>
                  </w:r>
                </w:p>
              </w:tc>
            </w:tr>
            <w:tr w:rsidR="00CC61DC" w:rsidRPr="00CC61DC" w:rsidTr="00073FD8">
              <w:trPr>
                <w:trHeight w:val="300"/>
              </w:trPr>
              <w:tc>
                <w:tcPr>
                  <w:tcW w:w="1111" w:type="dxa"/>
                  <w:tcBorders>
                    <w:top w:val="nil"/>
                    <w:left w:val="nil"/>
                    <w:bottom w:val="nil"/>
                    <w:right w:val="nil"/>
                  </w:tcBorders>
                  <w:shd w:val="clear" w:color="000000" w:fill="FFFFFF"/>
                  <w:noWrap/>
                  <w:vAlign w:val="bottom"/>
                  <w:hideMark/>
                </w:tcPr>
                <w:p w:rsidR="00CC61DC" w:rsidRPr="00CC61DC" w:rsidRDefault="00CC61DC" w:rsidP="00CC61DC">
                  <w:pPr>
                    <w:ind w:left="-36"/>
                    <w:jc w:val="left"/>
                    <w:rPr>
                      <w:rFonts w:ascii="Calibri" w:eastAsia="Times New Roman" w:hAnsi="Calibri" w:cs="Times New Roman"/>
                      <w:b/>
                      <w:bCs/>
                      <w:color w:val="000000"/>
                      <w:sz w:val="14"/>
                      <w:szCs w:val="14"/>
                    </w:rPr>
                  </w:pPr>
                  <w:r w:rsidRPr="00CC61DC">
                    <w:rPr>
                      <w:rFonts w:ascii="Calibri" w:eastAsia="Times New Roman" w:hAnsi="Calibri" w:cs="Times New Roman"/>
                      <w:b/>
                      <w:bCs/>
                      <w:color w:val="000000"/>
                      <w:sz w:val="14"/>
                      <w:szCs w:val="14"/>
                    </w:rPr>
                    <w:t>Balanço Global</w:t>
                  </w: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-439.7</w:t>
                  </w: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260.6</w:t>
                  </w: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854.1</w:t>
                  </w: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724.9</w:t>
                  </w: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-67.2</w:t>
                  </w: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-131.5</w:t>
                  </w:r>
                </w:p>
              </w:tc>
            </w:tr>
            <w:tr w:rsidR="00CC61DC" w:rsidRPr="00CC61DC" w:rsidTr="00073FD8">
              <w:trPr>
                <w:trHeight w:val="300"/>
              </w:trPr>
              <w:tc>
                <w:tcPr>
                  <w:tcW w:w="1111" w:type="dxa"/>
                  <w:tcBorders>
                    <w:top w:val="nil"/>
                    <w:left w:val="nil"/>
                    <w:bottom w:val="nil"/>
                    <w:right w:val="nil"/>
                  </w:tcBorders>
                  <w:shd w:val="clear" w:color="000000" w:fill="FFFFFF"/>
                  <w:noWrap/>
                  <w:vAlign w:val="bottom"/>
                  <w:hideMark/>
                </w:tcPr>
                <w:p w:rsidR="00CC61DC" w:rsidRPr="00CC61DC" w:rsidRDefault="00CC61DC" w:rsidP="00CC61DC">
                  <w:pPr>
                    <w:ind w:left="-36"/>
                    <w:jc w:val="left"/>
                    <w:rPr>
                      <w:rFonts w:ascii="Calibri" w:eastAsia="Times New Roman" w:hAnsi="Calibri" w:cs="Times New Roman"/>
                      <w:b/>
                      <w:bCs/>
                      <w:i/>
                      <w:iCs/>
                      <w:color w:val="000000"/>
                      <w:sz w:val="14"/>
                      <w:szCs w:val="14"/>
                    </w:rPr>
                  </w:pPr>
                  <w:r w:rsidRPr="00CC61DC">
                    <w:rPr>
                      <w:rFonts w:ascii="Calibri" w:eastAsia="Times New Roman" w:hAnsi="Calibri" w:cs="Times New Roman"/>
                      <w:b/>
                      <w:bCs/>
                      <w:i/>
                      <w:iCs/>
                      <w:color w:val="000000"/>
                      <w:sz w:val="14"/>
                      <w:szCs w:val="14"/>
                    </w:rPr>
                    <w:t>% do PIB</w:t>
                  </w: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-7.3</w:t>
                  </w: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3.4</w:t>
                  </w: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8.7</w:t>
                  </w: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6.6</w:t>
                  </w: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-0.6</w:t>
                  </w: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-1.0</w:t>
                  </w:r>
                </w:p>
              </w:tc>
            </w:tr>
            <w:tr w:rsidR="00CC61DC" w:rsidRPr="00CC61DC" w:rsidTr="00073FD8">
              <w:trPr>
                <w:trHeight w:val="300"/>
              </w:trPr>
              <w:tc>
                <w:tcPr>
                  <w:tcW w:w="1111" w:type="dxa"/>
                  <w:tcBorders>
                    <w:top w:val="nil"/>
                    <w:left w:val="nil"/>
                    <w:bottom w:val="nil"/>
                    <w:right w:val="nil"/>
                  </w:tcBorders>
                  <w:shd w:val="clear" w:color="000000" w:fill="FFFFFF"/>
                  <w:noWrap/>
                  <w:vAlign w:val="bottom"/>
                  <w:hideMark/>
                </w:tcPr>
                <w:p w:rsidR="00CC61DC" w:rsidRPr="005E469D" w:rsidRDefault="00CC61DC" w:rsidP="00CC61DC">
                  <w:pPr>
                    <w:ind w:left="-36"/>
                    <w:jc w:val="left"/>
                    <w:rPr>
                      <w:rFonts w:ascii="Calibri" w:eastAsia="Times New Roman" w:hAnsi="Calibri" w:cs="Times New Roman"/>
                      <w:b/>
                      <w:bCs/>
                      <w:color w:val="000000"/>
                      <w:sz w:val="14"/>
                      <w:szCs w:val="14"/>
                      <w:lang w:val="pt-PT"/>
                    </w:rPr>
                  </w:pPr>
                  <w:r w:rsidRPr="005E469D">
                    <w:rPr>
                      <w:rFonts w:ascii="Calibri" w:eastAsia="Times New Roman" w:hAnsi="Calibri" w:cs="Times New Roman"/>
                      <w:b/>
                      <w:bCs/>
                      <w:color w:val="000000"/>
                      <w:sz w:val="14"/>
                      <w:szCs w:val="14"/>
                      <w:lang w:val="pt-PT"/>
                    </w:rPr>
                    <w:t>Balanço Global não-referente a petróleo</w:t>
                  </w: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-1888.9</w:t>
                  </w: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-2239.8</w:t>
                  </w: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-2963.0</w:t>
                  </w: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-3377.8</w:t>
                  </w: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-3538.9</w:t>
                  </w:r>
                </w:p>
              </w:tc>
              <w:tc>
                <w:tcPr>
                  <w:tcW w:w="659" w:type="dxa"/>
                  <w:tcBorders>
                    <w:top w:val="nil"/>
                    <w:left w:val="nil"/>
                    <w:bottom w:val="nil"/>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-4025.8</w:t>
                  </w:r>
                </w:p>
              </w:tc>
            </w:tr>
            <w:tr w:rsidR="00CC61DC" w:rsidRPr="00CC61DC" w:rsidTr="00073FD8">
              <w:trPr>
                <w:trHeight w:val="300"/>
              </w:trPr>
              <w:tc>
                <w:tcPr>
                  <w:tcW w:w="1111" w:type="dxa"/>
                  <w:tcBorders>
                    <w:top w:val="nil"/>
                    <w:left w:val="nil"/>
                    <w:bottom w:val="nil"/>
                    <w:right w:val="nil"/>
                  </w:tcBorders>
                  <w:shd w:val="clear" w:color="000000" w:fill="FFFFFF"/>
                  <w:noWrap/>
                  <w:vAlign w:val="bottom"/>
                  <w:hideMark/>
                </w:tcPr>
                <w:p w:rsidR="00CC61DC" w:rsidRPr="00CC61DC" w:rsidRDefault="00CC61DC" w:rsidP="00CC61DC">
                  <w:pPr>
                    <w:ind w:left="-36"/>
                    <w:jc w:val="left"/>
                    <w:rPr>
                      <w:rFonts w:ascii="Calibri" w:eastAsia="Times New Roman" w:hAnsi="Calibri" w:cs="Times New Roman"/>
                      <w:b/>
                      <w:bCs/>
                      <w:i/>
                      <w:iCs/>
                      <w:color w:val="000000"/>
                      <w:sz w:val="14"/>
                      <w:szCs w:val="14"/>
                    </w:rPr>
                  </w:pPr>
                  <w:r w:rsidRPr="00CC61DC">
                    <w:rPr>
                      <w:rFonts w:ascii="Calibri" w:eastAsia="Times New Roman" w:hAnsi="Calibri" w:cs="Times New Roman"/>
                      <w:b/>
                      <w:bCs/>
                      <w:i/>
                      <w:iCs/>
                      <w:color w:val="000000"/>
                      <w:sz w:val="14"/>
                      <w:szCs w:val="14"/>
                    </w:rPr>
                    <w:t>% PIB não-petrolífero</w:t>
                  </w:r>
                </w:p>
              </w:tc>
              <w:tc>
                <w:tcPr>
                  <w:tcW w:w="659" w:type="dxa"/>
                  <w:tcBorders>
                    <w:top w:val="nil"/>
                    <w:left w:val="nil"/>
                    <w:bottom w:val="single" w:sz="4" w:space="0" w:color="C00000"/>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-31.5</w:t>
                  </w:r>
                </w:p>
              </w:tc>
              <w:tc>
                <w:tcPr>
                  <w:tcW w:w="659" w:type="dxa"/>
                  <w:tcBorders>
                    <w:top w:val="nil"/>
                    <w:left w:val="nil"/>
                    <w:bottom w:val="single" w:sz="4" w:space="0" w:color="C00000"/>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-29.6</w:t>
                  </w:r>
                </w:p>
              </w:tc>
              <w:tc>
                <w:tcPr>
                  <w:tcW w:w="659" w:type="dxa"/>
                  <w:tcBorders>
                    <w:top w:val="nil"/>
                    <w:left w:val="nil"/>
                    <w:bottom w:val="single" w:sz="4" w:space="0" w:color="C00000"/>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-30.3</w:t>
                  </w:r>
                </w:p>
              </w:tc>
              <w:tc>
                <w:tcPr>
                  <w:tcW w:w="659" w:type="dxa"/>
                  <w:tcBorders>
                    <w:top w:val="nil"/>
                    <w:left w:val="nil"/>
                    <w:bottom w:val="single" w:sz="4" w:space="0" w:color="C00000"/>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-30.8</w:t>
                  </w:r>
                </w:p>
              </w:tc>
              <w:tc>
                <w:tcPr>
                  <w:tcW w:w="659" w:type="dxa"/>
                  <w:tcBorders>
                    <w:top w:val="nil"/>
                    <w:left w:val="nil"/>
                    <w:bottom w:val="single" w:sz="4" w:space="0" w:color="C00000"/>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-30.0</w:t>
                  </w:r>
                </w:p>
              </w:tc>
              <w:tc>
                <w:tcPr>
                  <w:tcW w:w="659" w:type="dxa"/>
                  <w:tcBorders>
                    <w:top w:val="nil"/>
                    <w:left w:val="nil"/>
                    <w:bottom w:val="single" w:sz="4" w:space="0" w:color="C00000"/>
                    <w:right w:val="nil"/>
                  </w:tcBorders>
                  <w:shd w:val="clear" w:color="000000" w:fill="FFFFFF"/>
                  <w:noWrap/>
                  <w:vAlign w:val="bottom"/>
                  <w:hideMark/>
                </w:tcPr>
                <w:p w:rsidR="00CC61DC" w:rsidRPr="00CC61DC" w:rsidRDefault="00CC61DC" w:rsidP="00CC61DC">
                  <w:pPr>
                    <w:jc w:val="right"/>
                    <w:rPr>
                      <w:rFonts w:ascii="Calibri" w:eastAsia="Times New Roman" w:hAnsi="Calibri" w:cs="Times New Roman"/>
                      <w:color w:val="000000"/>
                      <w:sz w:val="14"/>
                      <w:szCs w:val="14"/>
                    </w:rPr>
                  </w:pPr>
                  <w:r w:rsidRPr="00CC61DC">
                    <w:rPr>
                      <w:rFonts w:ascii="Calibri" w:eastAsia="Times New Roman" w:hAnsi="Calibri" w:cs="Times New Roman"/>
                      <w:color w:val="000000"/>
                      <w:sz w:val="14"/>
                      <w:szCs w:val="14"/>
                    </w:rPr>
                    <w:t>-31.3</w:t>
                  </w:r>
                </w:p>
              </w:tc>
            </w:tr>
          </w:tbl>
          <w:p w:rsidR="00C511CF" w:rsidRPr="004F272B" w:rsidRDefault="00C511CF" w:rsidP="006C0F58">
            <w:pPr>
              <w:pStyle w:val="BodyText"/>
              <w:keepNext/>
              <w:keepLines/>
              <w:spacing w:before="60"/>
              <w:jc w:val="center"/>
              <w:rPr>
                <w:rFonts w:asciiTheme="minorHAnsi" w:hAnsiTheme="minorHAnsi" w:cstheme="minorHAnsi"/>
                <w:szCs w:val="18"/>
                <w:lang w:val="pt-PT"/>
              </w:rPr>
            </w:pPr>
          </w:p>
        </w:tc>
      </w:tr>
      <w:tr w:rsidR="00F6516F" w:rsidRPr="004E1715" w:rsidTr="00CC61DC">
        <w:trPr>
          <w:trHeight w:val="217"/>
        </w:trPr>
        <w:tc>
          <w:tcPr>
            <w:tcW w:w="9900" w:type="dxa"/>
            <w:gridSpan w:val="2"/>
          </w:tcPr>
          <w:p w:rsidR="00F6516F" w:rsidRPr="004F272B" w:rsidRDefault="003B14B7" w:rsidP="00B839C3">
            <w:pPr>
              <w:pStyle w:val="quarterly-chart-notes"/>
              <w:keepNext/>
              <w:keepLines/>
              <w:jc w:val="left"/>
              <w:rPr>
                <w:rFonts w:asciiTheme="minorHAnsi" w:hAnsiTheme="minorHAnsi" w:cstheme="minorHAnsi"/>
                <w:b w:val="0"/>
                <w:szCs w:val="16"/>
                <w:lang w:val="pt-PT"/>
              </w:rPr>
            </w:pPr>
            <w:r w:rsidRPr="004F272B">
              <w:rPr>
                <w:rFonts w:asciiTheme="minorHAnsi" w:hAnsiTheme="minorHAnsi" w:cstheme="minorHAnsi"/>
                <w:b w:val="0"/>
                <w:szCs w:val="16"/>
                <w:lang w:val="pt-PT"/>
              </w:rPr>
              <w:t>Fonte</w:t>
            </w:r>
            <w:r w:rsidR="00F6516F" w:rsidRPr="004F272B">
              <w:rPr>
                <w:rFonts w:asciiTheme="minorHAnsi" w:hAnsiTheme="minorHAnsi" w:cstheme="minorHAnsi"/>
                <w:b w:val="0"/>
                <w:szCs w:val="16"/>
                <w:lang w:val="pt-PT"/>
              </w:rPr>
              <w:t>:</w:t>
            </w:r>
            <w:r w:rsidR="005B372D" w:rsidRPr="004F272B">
              <w:rPr>
                <w:rFonts w:asciiTheme="minorHAnsi" w:hAnsiTheme="minorHAnsi" w:cstheme="minorHAnsi"/>
                <w:b w:val="0"/>
                <w:szCs w:val="16"/>
                <w:lang w:val="pt-PT"/>
              </w:rPr>
              <w:t xml:space="preserve"> Figur</w:t>
            </w:r>
            <w:r w:rsidR="00B839C3">
              <w:rPr>
                <w:rFonts w:asciiTheme="minorHAnsi" w:hAnsiTheme="minorHAnsi" w:cstheme="minorHAnsi"/>
                <w:b w:val="0"/>
                <w:szCs w:val="16"/>
                <w:lang w:val="pt-PT"/>
              </w:rPr>
              <w:t>a 2: FMI artº</w:t>
            </w:r>
            <w:r w:rsidR="005B372D" w:rsidRPr="004F272B">
              <w:rPr>
                <w:rFonts w:asciiTheme="minorHAnsi" w:hAnsiTheme="minorHAnsi" w:cstheme="minorHAnsi"/>
                <w:b w:val="0"/>
                <w:szCs w:val="16"/>
                <w:lang w:val="pt-PT"/>
              </w:rPr>
              <w:t xml:space="preserve">. IV 2013 </w:t>
            </w:r>
            <w:r w:rsidR="00B839C3">
              <w:rPr>
                <w:rFonts w:asciiTheme="minorHAnsi" w:hAnsiTheme="minorHAnsi" w:cstheme="minorHAnsi"/>
                <w:b w:val="0"/>
                <w:szCs w:val="16"/>
                <w:lang w:val="pt-PT"/>
              </w:rPr>
              <w:t>e estimativas dos Funcionários do Banco Mundial</w:t>
            </w:r>
            <w:r w:rsidR="005B372D" w:rsidRPr="004F272B">
              <w:rPr>
                <w:rFonts w:asciiTheme="minorHAnsi" w:hAnsiTheme="minorHAnsi" w:cstheme="minorHAnsi"/>
                <w:b w:val="0"/>
                <w:szCs w:val="16"/>
                <w:lang w:val="pt-PT"/>
              </w:rPr>
              <w:t xml:space="preserve"> (Angola). </w:t>
            </w:r>
            <w:r w:rsidR="00B839C3">
              <w:rPr>
                <w:rFonts w:asciiTheme="minorHAnsi" w:hAnsiTheme="minorHAnsi" w:cstheme="minorHAnsi"/>
                <w:b w:val="0"/>
                <w:szCs w:val="16"/>
                <w:lang w:val="pt-PT"/>
              </w:rPr>
              <w:t>Quadro</w:t>
            </w:r>
            <w:r w:rsidR="005B372D" w:rsidRPr="004F272B">
              <w:rPr>
                <w:rFonts w:asciiTheme="minorHAnsi" w:hAnsiTheme="minorHAnsi" w:cstheme="minorHAnsi"/>
                <w:b w:val="0"/>
                <w:szCs w:val="16"/>
                <w:lang w:val="pt-PT"/>
              </w:rPr>
              <w:t xml:space="preserve"> 2</w:t>
            </w:r>
            <w:r w:rsidR="00742032" w:rsidRPr="004F272B">
              <w:rPr>
                <w:rFonts w:asciiTheme="minorHAnsi" w:hAnsiTheme="minorHAnsi" w:cstheme="minorHAnsi"/>
                <w:b w:val="0"/>
                <w:szCs w:val="16"/>
                <w:lang w:val="pt-PT"/>
              </w:rPr>
              <w:t xml:space="preserve">: </w:t>
            </w:r>
            <w:r w:rsidR="00B839C3">
              <w:rPr>
                <w:rFonts w:asciiTheme="minorHAnsi" w:hAnsiTheme="minorHAnsi" w:cstheme="minorHAnsi"/>
                <w:b w:val="0"/>
                <w:szCs w:val="16"/>
                <w:lang w:val="pt-PT"/>
              </w:rPr>
              <w:t>Estimativas das Autoridades e dos Funcionários do Banco Mundial</w:t>
            </w:r>
            <w:r w:rsidR="00F6516F" w:rsidRPr="004F272B">
              <w:rPr>
                <w:rFonts w:asciiTheme="minorHAnsi" w:hAnsiTheme="minorHAnsi" w:cstheme="minorHAnsi"/>
                <w:b w:val="0"/>
                <w:szCs w:val="16"/>
                <w:lang w:val="pt-PT"/>
              </w:rPr>
              <w:t>.</w:t>
            </w:r>
          </w:p>
        </w:tc>
      </w:tr>
    </w:tbl>
    <w:p w:rsidR="00F6516F" w:rsidRPr="004F272B" w:rsidRDefault="00F6516F" w:rsidP="0085133C">
      <w:pPr>
        <w:pStyle w:val="ParagraphNumbering"/>
        <w:numPr>
          <w:ilvl w:val="0"/>
          <w:numId w:val="0"/>
        </w:numPr>
        <w:rPr>
          <w:lang w:val="pt-PT"/>
        </w:rPr>
      </w:pPr>
    </w:p>
    <w:p w:rsidR="00CC61DC" w:rsidRDefault="00CC61DC">
      <w:pPr>
        <w:spacing w:after="200" w:line="276" w:lineRule="auto"/>
        <w:jc w:val="left"/>
        <w:rPr>
          <w:rFonts w:cs="TimesNewRomanPSMT"/>
          <w:b/>
          <w:noProof/>
          <w:color w:val="000000" w:themeColor="text1"/>
          <w:szCs w:val="18"/>
          <w:lang w:val="pt-PT"/>
        </w:rPr>
      </w:pPr>
      <w:r>
        <w:rPr>
          <w:b/>
          <w:lang w:val="pt-PT"/>
        </w:rPr>
        <w:br w:type="page"/>
      </w:r>
    </w:p>
    <w:p w:rsidR="00D006A9" w:rsidRPr="00FE5FAC" w:rsidRDefault="0034327A" w:rsidP="0085133C">
      <w:pPr>
        <w:pStyle w:val="ParagraphNumbering"/>
        <w:rPr>
          <w:szCs w:val="22"/>
          <w:lang w:val="pt-PT"/>
        </w:rPr>
      </w:pPr>
      <w:r w:rsidRPr="005E469D">
        <w:rPr>
          <w:b/>
          <w:lang w:val="pt-PT"/>
        </w:rPr>
        <w:lastRenderedPageBreak/>
        <w:t xml:space="preserve">Como aconteceu em 2009, </w:t>
      </w:r>
      <w:r w:rsidR="00CF5BE4" w:rsidRPr="005E469D">
        <w:rPr>
          <w:b/>
          <w:lang w:val="pt-PT"/>
        </w:rPr>
        <w:t xml:space="preserve">as </w:t>
      </w:r>
      <w:r w:rsidRPr="005E469D">
        <w:rPr>
          <w:b/>
          <w:lang w:val="pt-PT"/>
        </w:rPr>
        <w:t>receitas petrolíferas mais baixas são as grandes responsáveis pelo défice orçamental actual; no entanto, o défice foi inferior ao previsto pelos formuladores de políticas</w:t>
      </w:r>
      <w:r w:rsidR="00A91B0D" w:rsidRPr="005E469D">
        <w:rPr>
          <w:b/>
          <w:lang w:val="pt-PT"/>
        </w:rPr>
        <w:t>.</w:t>
      </w:r>
      <w:r w:rsidR="00A91B0D" w:rsidRPr="004F272B">
        <w:rPr>
          <w:lang w:val="pt-PT"/>
        </w:rPr>
        <w:t xml:space="preserve"> </w:t>
      </w:r>
      <w:r>
        <w:rPr>
          <w:lang w:val="pt-PT"/>
        </w:rPr>
        <w:t>Estima-se que a produção de petróleo tenha contribuído com 42% do PIB nominal em 2013, uma quebra face a 46% em 2012. Estima-se que a receita petrolífera real seja, contudo, superior à orçamentada</w:t>
      </w:r>
      <w:r w:rsidR="00A91B0D" w:rsidRPr="004F272B">
        <w:rPr>
          <w:rStyle w:val="FootnoteReference"/>
          <w:rFonts w:cs="Times New Roman"/>
          <w:lang w:val="pt-PT"/>
        </w:rPr>
        <w:footnoteReference w:id="4"/>
      </w:r>
      <w:r w:rsidR="00A91B0D" w:rsidRPr="0034327A">
        <w:rPr>
          <w:lang w:val="pt-PT"/>
        </w:rPr>
        <w:t xml:space="preserve"> </w:t>
      </w:r>
      <w:r>
        <w:rPr>
          <w:lang w:val="pt-PT"/>
        </w:rPr>
        <w:t>porque o preço do petróleo previsto durante a fase de elaboração do orçamento ficou abaixo do real. O orçamento de 2012 antecipava um preço médio de USD 96 por barril, sendo que o preço médio está presentemente estimado em USD 107,5 por barril. Projecta-se que a receita tributária não petro</w:t>
      </w:r>
      <w:r w:rsidR="00144F69">
        <w:rPr>
          <w:lang w:val="pt-PT"/>
        </w:rPr>
        <w:t>lífe</w:t>
      </w:r>
      <w:r>
        <w:rPr>
          <w:lang w:val="pt-PT"/>
        </w:rPr>
        <w:t xml:space="preserve">ra </w:t>
      </w:r>
      <w:r w:rsidR="00144F69">
        <w:rPr>
          <w:lang w:val="pt-PT"/>
        </w:rPr>
        <w:t>se situe em cerca de 6,7% do PIB, praticamente igual à de 2012, mas inferior ao valor orçamentado em 2013. Isto reflecte, provavelmente, um atraso na aprovação dos novos códigos tributários. A</w:t>
      </w:r>
      <w:r w:rsidR="00234B02">
        <w:rPr>
          <w:lang w:val="pt-PT"/>
        </w:rPr>
        <w:t>s</w:t>
      </w:r>
      <w:r w:rsidR="00144F69">
        <w:rPr>
          <w:lang w:val="pt-PT"/>
        </w:rPr>
        <w:t xml:space="preserve"> receita</w:t>
      </w:r>
      <w:r w:rsidR="00234B02">
        <w:rPr>
          <w:lang w:val="pt-PT"/>
        </w:rPr>
        <w:t>s fiscais fora da área do petróleo,</w:t>
      </w:r>
      <w:r w:rsidR="00144F69">
        <w:rPr>
          <w:lang w:val="pt-PT"/>
        </w:rPr>
        <w:t xml:space="preserve"> como uma percentagem do PIB não petrolífero, </w:t>
      </w:r>
      <w:r w:rsidR="00234B02">
        <w:rPr>
          <w:lang w:val="pt-PT"/>
        </w:rPr>
        <w:t xml:space="preserve">têm vindo a baixar consistentemente nos últimos anos, tendo caído de 17% em 2008 para 12% em 2012. As despesas reais foram inferiores às orçamentadas, sobretudo as despesas de capital. Assim, o défice </w:t>
      </w:r>
      <w:r w:rsidR="00F3135C">
        <w:rPr>
          <w:lang w:val="pt-PT"/>
        </w:rPr>
        <w:t xml:space="preserve">orçamental verificado é inferior ao défice </w:t>
      </w:r>
      <w:r w:rsidR="00F3135C" w:rsidRPr="00FE5FAC">
        <w:rPr>
          <w:lang w:val="pt-PT"/>
        </w:rPr>
        <w:t>previsto na fase de preparação do orçamento.</w:t>
      </w:r>
      <w:r w:rsidR="00D5193E" w:rsidRPr="00FE5FAC">
        <w:rPr>
          <w:lang w:val="pt-PT"/>
        </w:rPr>
        <w:t xml:space="preserve"> </w:t>
      </w:r>
    </w:p>
    <w:p w:rsidR="00366930" w:rsidRPr="00FE5FAC" w:rsidRDefault="00366930" w:rsidP="0085133C">
      <w:pPr>
        <w:pStyle w:val="ParagraphNumbering"/>
        <w:numPr>
          <w:ilvl w:val="0"/>
          <w:numId w:val="0"/>
        </w:numPr>
        <w:rPr>
          <w:lang w:val="pt-PT"/>
        </w:rPr>
      </w:pPr>
    </w:p>
    <w:p w:rsidR="00D006A9" w:rsidRPr="00FE5FAC" w:rsidRDefault="00FE5FAC" w:rsidP="0085133C">
      <w:pPr>
        <w:pStyle w:val="ParagraphNumbering"/>
        <w:rPr>
          <w:lang w:val="pt-PT"/>
        </w:rPr>
      </w:pPr>
      <w:r>
        <w:rPr>
          <w:b/>
          <w:lang w:val="pt-PT"/>
        </w:rPr>
        <w:t>As despesas correntes aumentaram ligeiramente em 2013 e dominam o lado das despessas do orçamento</w:t>
      </w:r>
      <w:r w:rsidR="00B92F80" w:rsidRPr="00FE5FAC">
        <w:rPr>
          <w:b/>
          <w:lang w:val="pt-PT"/>
        </w:rPr>
        <w:t xml:space="preserve">. </w:t>
      </w:r>
      <w:r w:rsidR="00A81BE2" w:rsidRPr="00FE5FAC">
        <w:rPr>
          <w:b/>
          <w:lang w:val="pt-PT"/>
        </w:rPr>
        <w:t xml:space="preserve"> </w:t>
      </w:r>
      <w:r>
        <w:rPr>
          <w:lang w:val="pt-PT"/>
        </w:rPr>
        <w:t>Estima-se que os salários e compras de bens e serviços correspondam a cerca de 22,8% do PIB, representando um aumento de aproximadamente 15% em termos nominais. As despesas correntes</w:t>
      </w:r>
      <w:r w:rsidR="00366930" w:rsidRPr="00FE5FAC">
        <w:rPr>
          <w:rStyle w:val="FootnoteReference"/>
          <w:lang w:val="pt-PT"/>
        </w:rPr>
        <w:footnoteReference w:id="5"/>
      </w:r>
      <w:r w:rsidR="00A81BE2" w:rsidRPr="00FE5FAC">
        <w:rPr>
          <w:lang w:val="pt-PT"/>
        </w:rPr>
        <w:t xml:space="preserve"> </w:t>
      </w:r>
      <w:r>
        <w:rPr>
          <w:lang w:val="pt-PT"/>
        </w:rPr>
        <w:t>representaram 74% das des</w:t>
      </w:r>
      <w:r w:rsidR="00CF5BE4">
        <w:rPr>
          <w:lang w:val="pt-PT"/>
        </w:rPr>
        <w:t>p</w:t>
      </w:r>
      <w:r>
        <w:rPr>
          <w:lang w:val="pt-PT"/>
        </w:rPr>
        <w:t>esas totais em 2013, um acréscimo face a 73% em 2012. Estima-se que o investimento público tenha registado uma queda ligeira em termo</w:t>
      </w:r>
      <w:r w:rsidR="00CF5BE4">
        <w:rPr>
          <w:lang w:val="pt-PT"/>
        </w:rPr>
        <w:t>s</w:t>
      </w:r>
      <w:r>
        <w:rPr>
          <w:lang w:val="pt-PT"/>
        </w:rPr>
        <w:t xml:space="preserve"> de percentagem do PIB. Comparativamente a outros países de rendimento médio na região, Angola destina ao investimento de capital uma percentagem relativamente pequena das despesas públicas (ver Figura 4, abaixo, e a Secção de </w:t>
      </w:r>
      <w:r w:rsidR="00CF5BE4">
        <w:rPr>
          <w:lang w:val="pt-PT"/>
        </w:rPr>
        <w:t>Enfoque</w:t>
      </w:r>
      <w:r>
        <w:rPr>
          <w:lang w:val="pt-PT"/>
        </w:rPr>
        <w:t xml:space="preserve"> Especial). O rácio entre investimentos públicos e alterações no PIB não petrolífero no período seguinte subiu nos últimos anos (Figura 4). Por outras palavras, um dólar investido no sector público produziu um impacto menor na economia não petrolífera</w:t>
      </w:r>
      <w:r w:rsidR="00561128" w:rsidRPr="004F272B">
        <w:rPr>
          <w:rStyle w:val="FootnoteReference"/>
          <w:lang w:val="pt-PT"/>
        </w:rPr>
        <w:footnoteReference w:id="6"/>
      </w:r>
      <w:r w:rsidR="00AF6075" w:rsidRPr="00FE5FAC">
        <w:rPr>
          <w:lang w:val="pt-PT"/>
        </w:rPr>
        <w:t>.</w:t>
      </w:r>
      <w:r w:rsidR="00930495" w:rsidRPr="00FE5FAC">
        <w:rPr>
          <w:lang w:val="pt-PT"/>
        </w:rPr>
        <w:t xml:space="preserve"> </w:t>
      </w:r>
    </w:p>
    <w:p w:rsidR="00E107F1" w:rsidRPr="004F272B" w:rsidRDefault="00E107F1" w:rsidP="0085133C">
      <w:pPr>
        <w:pStyle w:val="ParagraphNumbering"/>
        <w:numPr>
          <w:ilvl w:val="0"/>
          <w:numId w:val="0"/>
        </w:numPr>
        <w:rPr>
          <w:lang w:val="pt-PT"/>
        </w:rPr>
      </w:pPr>
    </w:p>
    <w:tbl>
      <w:tblPr>
        <w:tblW w:w="9990" w:type="dxa"/>
        <w:tblInd w:w="119" w:type="dxa"/>
        <w:tblBorders>
          <w:insideH w:val="single" w:sz="8" w:space="0" w:color="943634" w:themeColor="accent2" w:themeShade="BF"/>
        </w:tblBorders>
        <w:tblLayout w:type="fixed"/>
        <w:tblCellMar>
          <w:left w:w="29" w:type="dxa"/>
          <w:right w:w="29" w:type="dxa"/>
        </w:tblCellMar>
        <w:tblLook w:val="01E0" w:firstRow="1" w:lastRow="1" w:firstColumn="1" w:lastColumn="1" w:noHBand="0" w:noVBand="0"/>
      </w:tblPr>
      <w:tblGrid>
        <w:gridCol w:w="4860"/>
        <w:gridCol w:w="90"/>
        <w:gridCol w:w="5040"/>
      </w:tblGrid>
      <w:tr w:rsidR="00D006A9" w:rsidRPr="004E1715" w:rsidTr="009506A4">
        <w:trPr>
          <w:trHeight w:val="684"/>
        </w:trPr>
        <w:tc>
          <w:tcPr>
            <w:tcW w:w="4950" w:type="dxa"/>
            <w:gridSpan w:val="2"/>
          </w:tcPr>
          <w:p w:rsidR="00D006A9" w:rsidRPr="004F272B" w:rsidRDefault="00D006A9" w:rsidP="009506A4">
            <w:pPr>
              <w:pStyle w:val="Caption"/>
              <w:keepNext/>
              <w:jc w:val="left"/>
              <w:rPr>
                <w:rFonts w:asciiTheme="minorHAnsi" w:hAnsiTheme="minorHAnsi" w:cstheme="minorHAnsi"/>
                <w:color w:val="943634" w:themeColor="accent2" w:themeShade="BF"/>
                <w:lang w:val="pt-PT"/>
              </w:rPr>
            </w:pPr>
            <w:bookmarkStart w:id="55" w:name="_Ref384145361"/>
            <w:bookmarkStart w:id="56" w:name="_Toc384305312"/>
            <w:r w:rsidRPr="004F272B">
              <w:rPr>
                <w:rFonts w:asciiTheme="minorHAnsi" w:hAnsiTheme="minorHAnsi"/>
                <w:color w:val="943634" w:themeColor="accent2" w:themeShade="BF"/>
                <w:lang w:val="pt-PT"/>
              </w:rPr>
              <w:lastRenderedPageBreak/>
              <w:t>Figu</w:t>
            </w:r>
            <w:r w:rsidR="00B96735">
              <w:rPr>
                <w:rFonts w:asciiTheme="minorHAnsi" w:hAnsiTheme="minorHAnsi"/>
                <w:color w:val="943634" w:themeColor="accent2" w:themeShade="BF"/>
                <w:lang w:val="pt-PT"/>
              </w:rPr>
              <w:t>ra</w:t>
            </w:r>
            <w:r w:rsidRPr="004F272B">
              <w:rPr>
                <w:rFonts w:asciiTheme="minorHAnsi" w:hAnsiTheme="minorHAnsi"/>
                <w:color w:val="943634" w:themeColor="accent2" w:themeShade="BF"/>
                <w:lang w:val="pt-PT"/>
              </w:rPr>
              <w:t xml:space="preserve"> </w:t>
            </w:r>
            <w:r w:rsidR="00FB4E23" w:rsidRPr="004F272B">
              <w:rPr>
                <w:rFonts w:asciiTheme="minorHAnsi" w:hAnsiTheme="minorHAnsi"/>
                <w:color w:val="943634" w:themeColor="accent2" w:themeShade="BF"/>
                <w:lang w:val="pt-PT"/>
              </w:rPr>
              <w:fldChar w:fldCharType="begin"/>
            </w:r>
            <w:r w:rsidRPr="004F272B">
              <w:rPr>
                <w:rFonts w:asciiTheme="minorHAnsi" w:hAnsiTheme="minorHAnsi"/>
                <w:color w:val="943634" w:themeColor="accent2" w:themeShade="BF"/>
                <w:lang w:val="pt-PT"/>
              </w:rPr>
              <w:instrText xml:space="preserve"> SEQ Figure \* ARABIC </w:instrText>
            </w:r>
            <w:r w:rsidR="00FB4E23" w:rsidRPr="004F272B">
              <w:rPr>
                <w:rFonts w:asciiTheme="minorHAnsi" w:hAnsiTheme="minorHAnsi"/>
                <w:color w:val="943634" w:themeColor="accent2" w:themeShade="BF"/>
                <w:lang w:val="pt-PT"/>
              </w:rPr>
              <w:fldChar w:fldCharType="separate"/>
            </w:r>
            <w:r w:rsidR="004F553E">
              <w:rPr>
                <w:rFonts w:asciiTheme="minorHAnsi" w:hAnsiTheme="minorHAnsi"/>
                <w:noProof/>
                <w:color w:val="943634" w:themeColor="accent2" w:themeShade="BF"/>
                <w:lang w:val="pt-PT"/>
              </w:rPr>
              <w:t>3</w:t>
            </w:r>
            <w:r w:rsidR="00FB4E23" w:rsidRPr="004F272B">
              <w:rPr>
                <w:rFonts w:asciiTheme="minorHAnsi" w:hAnsiTheme="minorHAnsi"/>
                <w:color w:val="943634" w:themeColor="accent2" w:themeShade="BF"/>
                <w:lang w:val="pt-PT"/>
              </w:rPr>
              <w:fldChar w:fldCharType="end"/>
            </w:r>
            <w:bookmarkEnd w:id="55"/>
            <w:r w:rsidRPr="004F272B">
              <w:rPr>
                <w:rFonts w:asciiTheme="minorHAnsi" w:hAnsiTheme="minorHAnsi"/>
                <w:color w:val="943634" w:themeColor="accent2" w:themeShade="BF"/>
                <w:lang w:val="pt-PT"/>
              </w:rPr>
              <w:t xml:space="preserve">: </w:t>
            </w:r>
            <w:r w:rsidR="0088135D">
              <w:rPr>
                <w:rFonts w:asciiTheme="minorHAnsi" w:hAnsiTheme="minorHAnsi" w:cstheme="minorHAnsi"/>
                <w:color w:val="943634" w:themeColor="accent2" w:themeShade="BF"/>
                <w:lang w:val="pt-PT"/>
              </w:rPr>
              <w:t xml:space="preserve">O investimento público em Angola é inferior ao de outros países ricos em petróleo da </w:t>
            </w:r>
            <w:r w:rsidRPr="004F272B">
              <w:rPr>
                <w:rFonts w:asciiTheme="minorHAnsi" w:hAnsiTheme="minorHAnsi" w:cstheme="minorHAnsi"/>
                <w:color w:val="943634" w:themeColor="accent2" w:themeShade="BF"/>
                <w:lang w:val="pt-PT"/>
              </w:rPr>
              <w:t>SSA…</w:t>
            </w:r>
            <w:bookmarkEnd w:id="56"/>
            <w:r w:rsidRPr="004F272B">
              <w:rPr>
                <w:rFonts w:asciiTheme="minorHAnsi" w:hAnsiTheme="minorHAnsi" w:cstheme="minorHAnsi"/>
                <w:color w:val="943634" w:themeColor="accent2" w:themeShade="BF"/>
                <w:lang w:val="pt-PT"/>
              </w:rPr>
              <w:t xml:space="preserve"> </w:t>
            </w:r>
          </w:p>
          <w:p w:rsidR="00D006A9" w:rsidRPr="004F272B" w:rsidRDefault="00D006A9" w:rsidP="0088135D">
            <w:pPr>
              <w:pStyle w:val="Caption"/>
              <w:keepNext/>
              <w:rPr>
                <w:rFonts w:cs="Times New Roman"/>
                <w:lang w:val="pt-PT"/>
              </w:rPr>
            </w:pPr>
            <w:r w:rsidRPr="004F272B">
              <w:rPr>
                <w:rFonts w:cs="Times New Roman"/>
                <w:i/>
                <w:color w:val="auto"/>
                <w:lang w:val="pt-PT"/>
              </w:rPr>
              <w:t>(%</w:t>
            </w:r>
            <w:r w:rsidR="0088135D">
              <w:rPr>
                <w:rFonts w:cs="Times New Roman"/>
                <w:i/>
                <w:color w:val="auto"/>
                <w:lang w:val="pt-PT"/>
              </w:rPr>
              <w:t xml:space="preserve"> de despesas totais, média em</w:t>
            </w:r>
            <w:r w:rsidR="002E7643" w:rsidRPr="004F272B">
              <w:rPr>
                <w:rFonts w:cs="Times New Roman"/>
                <w:i/>
                <w:color w:val="auto"/>
                <w:lang w:val="pt-PT"/>
              </w:rPr>
              <w:t xml:space="preserve"> 2010-</w:t>
            </w:r>
            <w:r w:rsidRPr="004F272B">
              <w:rPr>
                <w:rFonts w:cs="Times New Roman"/>
                <w:i/>
                <w:color w:val="auto"/>
                <w:lang w:val="pt-PT"/>
              </w:rPr>
              <w:t>2012)</w:t>
            </w:r>
          </w:p>
        </w:tc>
        <w:tc>
          <w:tcPr>
            <w:tcW w:w="5040" w:type="dxa"/>
          </w:tcPr>
          <w:p w:rsidR="00D006A9" w:rsidRPr="004F272B" w:rsidRDefault="0088135D" w:rsidP="009506A4">
            <w:pPr>
              <w:pStyle w:val="Caption"/>
              <w:keepNext/>
              <w:keepLines/>
              <w:rPr>
                <w:rFonts w:asciiTheme="minorHAnsi" w:hAnsiTheme="minorHAnsi" w:cstheme="minorHAnsi"/>
                <w:color w:val="943634" w:themeColor="accent2" w:themeShade="BF"/>
                <w:lang w:val="pt-PT"/>
              </w:rPr>
            </w:pPr>
            <w:r>
              <w:rPr>
                <w:rFonts w:asciiTheme="minorHAnsi" w:hAnsiTheme="minorHAnsi" w:cstheme="minorHAnsi"/>
                <w:color w:val="943634" w:themeColor="accent2" w:themeShade="BF"/>
                <w:lang w:val="pt-PT"/>
              </w:rPr>
              <w:t>…e os investimentos públicos estão a gerar um PIB não petrolífero de nível mais baixo</w:t>
            </w:r>
            <w:r w:rsidR="00D006A9" w:rsidRPr="004F272B">
              <w:rPr>
                <w:rFonts w:asciiTheme="minorHAnsi" w:hAnsiTheme="minorHAnsi" w:cstheme="minorHAnsi"/>
                <w:color w:val="943634" w:themeColor="accent2" w:themeShade="BF"/>
                <w:lang w:val="pt-PT"/>
              </w:rPr>
              <w:t xml:space="preserve">. </w:t>
            </w:r>
          </w:p>
          <w:p w:rsidR="00D006A9" w:rsidRPr="004F272B" w:rsidRDefault="00D006A9" w:rsidP="00CF5BE4">
            <w:pPr>
              <w:pStyle w:val="Caption"/>
              <w:keepNext/>
              <w:keepLines/>
              <w:rPr>
                <w:lang w:val="pt-PT"/>
              </w:rPr>
            </w:pPr>
            <w:r w:rsidRPr="004F272B">
              <w:rPr>
                <w:i/>
                <w:color w:val="auto"/>
                <w:lang w:val="pt-PT"/>
              </w:rPr>
              <w:t>(</w:t>
            </w:r>
            <w:r w:rsidR="0088135D">
              <w:rPr>
                <w:i/>
                <w:color w:val="auto"/>
                <w:lang w:val="pt-PT"/>
              </w:rPr>
              <w:t xml:space="preserve">Investimentos público em % de alterações do PIB não petrolífero </w:t>
            </w:r>
            <w:r w:rsidR="00CF5BE4">
              <w:rPr>
                <w:i/>
                <w:color w:val="auto"/>
                <w:lang w:val="pt-PT"/>
              </w:rPr>
              <w:t>n</w:t>
            </w:r>
            <w:r w:rsidR="0088135D">
              <w:rPr>
                <w:i/>
                <w:color w:val="auto"/>
                <w:lang w:val="pt-PT"/>
              </w:rPr>
              <w:t>o período seguinte</w:t>
            </w:r>
            <w:r w:rsidRPr="004F272B">
              <w:rPr>
                <w:i/>
                <w:color w:val="auto"/>
                <w:lang w:val="pt-PT"/>
              </w:rPr>
              <w:t>)</w:t>
            </w:r>
          </w:p>
        </w:tc>
      </w:tr>
      <w:tr w:rsidR="00D006A9" w:rsidRPr="004F272B" w:rsidTr="009506A4">
        <w:tblPrEx>
          <w:tblCellMar>
            <w:left w:w="108" w:type="dxa"/>
            <w:right w:w="108" w:type="dxa"/>
          </w:tblCellMar>
        </w:tblPrEx>
        <w:trPr>
          <w:trHeight w:val="218"/>
        </w:trPr>
        <w:tc>
          <w:tcPr>
            <w:tcW w:w="4860" w:type="dxa"/>
          </w:tcPr>
          <w:p w:rsidR="00D006A9" w:rsidRPr="004F272B" w:rsidRDefault="00CC61DC" w:rsidP="009946B6">
            <w:pPr>
              <w:pStyle w:val="BodyText"/>
              <w:keepNext/>
              <w:keepLines/>
              <w:jc w:val="center"/>
              <w:rPr>
                <w:rFonts w:asciiTheme="minorHAnsi" w:hAnsiTheme="minorHAnsi" w:cstheme="minorHAnsi"/>
                <w:i/>
                <w:color w:val="FF9900"/>
                <w:sz w:val="16"/>
                <w:szCs w:val="16"/>
                <w:lang w:val="pt-PT"/>
              </w:rPr>
            </w:pPr>
            <w:r>
              <w:rPr>
                <w:rFonts w:asciiTheme="minorHAnsi" w:hAnsiTheme="minorHAnsi" w:cstheme="minorHAnsi"/>
                <w:i/>
                <w:noProof/>
                <w:color w:val="FF9900"/>
                <w:sz w:val="16"/>
                <w:szCs w:val="16"/>
              </w:rPr>
              <w:drawing>
                <wp:inline distT="0" distB="0" distL="0" distR="0" wp14:anchorId="6DF47694" wp14:editId="56760692">
                  <wp:extent cx="3121610" cy="18764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6623" cy="1879439"/>
                          </a:xfrm>
                          <a:prstGeom prst="rect">
                            <a:avLst/>
                          </a:prstGeom>
                          <a:noFill/>
                        </pic:spPr>
                      </pic:pic>
                    </a:graphicData>
                  </a:graphic>
                </wp:inline>
              </w:drawing>
            </w:r>
          </w:p>
        </w:tc>
        <w:tc>
          <w:tcPr>
            <w:tcW w:w="5130" w:type="dxa"/>
            <w:gridSpan w:val="2"/>
          </w:tcPr>
          <w:p w:rsidR="00D006A9" w:rsidRPr="004F272B" w:rsidRDefault="004408DA" w:rsidP="009506A4">
            <w:pPr>
              <w:pStyle w:val="BodyText"/>
              <w:keepNext/>
              <w:keepLines/>
              <w:jc w:val="center"/>
              <w:rPr>
                <w:rFonts w:asciiTheme="minorHAnsi" w:hAnsiTheme="minorHAnsi" w:cstheme="minorHAnsi"/>
                <w:szCs w:val="18"/>
                <w:lang w:val="pt-PT"/>
              </w:rPr>
            </w:pPr>
            <w:r>
              <w:rPr>
                <w:rFonts w:asciiTheme="minorHAnsi" w:hAnsiTheme="minorHAnsi" w:cstheme="minorHAnsi"/>
                <w:noProof/>
                <w:szCs w:val="18"/>
              </w:rPr>
              <w:drawing>
                <wp:inline distT="0" distB="0" distL="0" distR="0" wp14:anchorId="08E70428" wp14:editId="21972256">
                  <wp:extent cx="2550758" cy="18992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3608" cy="1901412"/>
                          </a:xfrm>
                          <a:prstGeom prst="rect">
                            <a:avLst/>
                          </a:prstGeom>
                          <a:noFill/>
                        </pic:spPr>
                      </pic:pic>
                    </a:graphicData>
                  </a:graphic>
                </wp:inline>
              </w:drawing>
            </w:r>
          </w:p>
        </w:tc>
      </w:tr>
      <w:tr w:rsidR="00D006A9" w:rsidRPr="004E1715" w:rsidTr="009506A4">
        <w:trPr>
          <w:trHeight w:val="217"/>
        </w:trPr>
        <w:tc>
          <w:tcPr>
            <w:tcW w:w="9990" w:type="dxa"/>
            <w:gridSpan w:val="3"/>
          </w:tcPr>
          <w:p w:rsidR="00D006A9" w:rsidRPr="004F272B" w:rsidRDefault="003B14B7" w:rsidP="00CC42BF">
            <w:pPr>
              <w:pStyle w:val="quarterly-chart-notes"/>
              <w:keepNext/>
              <w:keepLines/>
              <w:jc w:val="left"/>
              <w:rPr>
                <w:rFonts w:asciiTheme="minorHAnsi" w:hAnsiTheme="minorHAnsi" w:cstheme="minorHAnsi"/>
                <w:b w:val="0"/>
                <w:szCs w:val="16"/>
                <w:lang w:val="pt-PT"/>
              </w:rPr>
            </w:pPr>
            <w:r w:rsidRPr="004F272B">
              <w:rPr>
                <w:rFonts w:asciiTheme="minorHAnsi" w:hAnsiTheme="minorHAnsi" w:cstheme="minorHAnsi"/>
                <w:b w:val="0"/>
                <w:szCs w:val="16"/>
                <w:lang w:val="pt-PT"/>
              </w:rPr>
              <w:t>Fonte</w:t>
            </w:r>
            <w:r w:rsidR="00CC42BF">
              <w:rPr>
                <w:rFonts w:asciiTheme="minorHAnsi" w:hAnsiTheme="minorHAnsi" w:cstheme="minorHAnsi"/>
                <w:b w:val="0"/>
                <w:szCs w:val="16"/>
                <w:lang w:val="pt-PT"/>
              </w:rPr>
              <w:t xml:space="preserve">: FMI </w:t>
            </w:r>
            <w:r w:rsidR="00D006A9" w:rsidRPr="004F272B">
              <w:rPr>
                <w:rFonts w:asciiTheme="minorHAnsi" w:hAnsiTheme="minorHAnsi" w:cstheme="minorHAnsi"/>
                <w:b w:val="0"/>
                <w:szCs w:val="16"/>
                <w:lang w:val="pt-PT"/>
              </w:rPr>
              <w:t>art</w:t>
            </w:r>
            <w:r w:rsidR="00CC42BF">
              <w:rPr>
                <w:rFonts w:asciiTheme="minorHAnsi" w:hAnsiTheme="minorHAnsi" w:cstheme="minorHAnsi"/>
                <w:b w:val="0"/>
                <w:szCs w:val="16"/>
                <w:lang w:val="pt-PT"/>
              </w:rPr>
              <w:t>º</w:t>
            </w:r>
            <w:r w:rsidR="00D006A9" w:rsidRPr="004F272B">
              <w:rPr>
                <w:rFonts w:asciiTheme="minorHAnsi" w:hAnsiTheme="minorHAnsi" w:cstheme="minorHAnsi"/>
                <w:b w:val="0"/>
                <w:szCs w:val="16"/>
                <w:lang w:val="pt-PT"/>
              </w:rPr>
              <w:t>. IV 2013</w:t>
            </w:r>
            <w:r w:rsidR="00CC42BF">
              <w:rPr>
                <w:rFonts w:asciiTheme="minorHAnsi" w:hAnsiTheme="minorHAnsi" w:cstheme="minorHAnsi"/>
                <w:b w:val="0"/>
                <w:szCs w:val="16"/>
                <w:lang w:val="pt-PT"/>
              </w:rPr>
              <w:t xml:space="preserve"> e estimativas dos funcionários do Banco Mundial</w:t>
            </w:r>
            <w:r w:rsidR="00D006A9" w:rsidRPr="004F272B">
              <w:rPr>
                <w:rFonts w:asciiTheme="minorHAnsi" w:hAnsiTheme="minorHAnsi" w:cstheme="minorHAnsi"/>
                <w:b w:val="0"/>
                <w:szCs w:val="16"/>
                <w:lang w:val="pt-PT"/>
              </w:rPr>
              <w:t xml:space="preserve"> (Angola). </w:t>
            </w:r>
            <w:r w:rsidR="00CC42BF">
              <w:rPr>
                <w:rFonts w:asciiTheme="minorHAnsi" w:hAnsiTheme="minorHAnsi" w:cstheme="minorHAnsi"/>
                <w:b w:val="0"/>
                <w:szCs w:val="16"/>
                <w:lang w:val="pt-PT"/>
              </w:rPr>
              <w:t xml:space="preserve">Quadro </w:t>
            </w:r>
            <w:r w:rsidR="00D006A9" w:rsidRPr="004F272B">
              <w:rPr>
                <w:rFonts w:asciiTheme="minorHAnsi" w:hAnsiTheme="minorHAnsi" w:cstheme="minorHAnsi"/>
                <w:b w:val="0"/>
                <w:szCs w:val="16"/>
                <w:lang w:val="pt-PT"/>
              </w:rPr>
              <w:t xml:space="preserve">2. </w:t>
            </w:r>
            <w:r w:rsidR="00CC42BF">
              <w:rPr>
                <w:rFonts w:asciiTheme="minorHAnsi" w:hAnsiTheme="minorHAnsi" w:cstheme="minorHAnsi"/>
                <w:b w:val="0"/>
                <w:szCs w:val="16"/>
                <w:lang w:val="pt-PT"/>
              </w:rPr>
              <w:t>Estimativas das Autoridades e dos funcionários do Banco Mundial</w:t>
            </w:r>
            <w:r w:rsidR="00D006A9" w:rsidRPr="004F272B">
              <w:rPr>
                <w:rFonts w:asciiTheme="minorHAnsi" w:hAnsiTheme="minorHAnsi" w:cstheme="minorHAnsi"/>
                <w:b w:val="0"/>
                <w:szCs w:val="16"/>
                <w:lang w:val="pt-PT"/>
              </w:rPr>
              <w:t>.</w:t>
            </w:r>
          </w:p>
        </w:tc>
      </w:tr>
    </w:tbl>
    <w:p w:rsidR="00464A47" w:rsidRPr="004F272B" w:rsidRDefault="00464A47" w:rsidP="0085133C">
      <w:pPr>
        <w:pStyle w:val="ParagraphNumbering"/>
        <w:numPr>
          <w:ilvl w:val="0"/>
          <w:numId w:val="0"/>
        </w:numPr>
        <w:rPr>
          <w:lang w:val="pt-PT"/>
        </w:rPr>
      </w:pPr>
    </w:p>
    <w:tbl>
      <w:tblPr>
        <w:tblStyle w:val="ColorfulList-Accent1"/>
        <w:tblW w:w="1029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008"/>
        <w:gridCol w:w="9288"/>
      </w:tblGrid>
      <w:tr w:rsidR="004F1CB9" w:rsidRPr="004E1715" w:rsidTr="000D4CFF">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008" w:type="dxa"/>
            <w:vAlign w:val="center"/>
          </w:tcPr>
          <w:p w:rsidR="004F1CB9" w:rsidRPr="004F272B" w:rsidRDefault="009F00D5" w:rsidP="004F1CB9">
            <w:pPr>
              <w:pStyle w:val="Caption"/>
              <w:keepNext/>
              <w:jc w:val="center"/>
              <w:rPr>
                <w:rFonts w:asciiTheme="minorHAnsi" w:hAnsiTheme="minorHAnsi" w:cstheme="minorHAnsi"/>
                <w:color w:val="FFFFFF" w:themeColor="background1"/>
                <w:sz w:val="22"/>
                <w:lang w:val="pt-PT"/>
              </w:rPr>
            </w:pPr>
            <w:bookmarkStart w:id="57" w:name="_Ref384212698"/>
            <w:r w:rsidRPr="004F272B">
              <w:rPr>
                <w:rFonts w:asciiTheme="minorHAnsi" w:hAnsiTheme="minorHAnsi" w:cstheme="minorHAnsi"/>
                <w:color w:val="FFFFFF" w:themeColor="background1"/>
                <w:sz w:val="20"/>
                <w:lang w:val="pt-PT"/>
              </w:rPr>
              <w:t>Caixa</w:t>
            </w:r>
            <w:r w:rsidR="004F1CB9" w:rsidRPr="004F272B">
              <w:rPr>
                <w:rFonts w:asciiTheme="minorHAnsi" w:hAnsiTheme="minorHAnsi" w:cstheme="minorHAnsi"/>
                <w:color w:val="FFFFFF" w:themeColor="background1"/>
                <w:sz w:val="20"/>
                <w:lang w:val="pt-PT"/>
              </w:rPr>
              <w:t xml:space="preserve"> </w:t>
            </w:r>
            <w:r w:rsidR="00FB4E23" w:rsidRPr="004F272B">
              <w:rPr>
                <w:rFonts w:asciiTheme="minorHAnsi" w:hAnsiTheme="minorHAnsi" w:cstheme="minorHAnsi"/>
                <w:color w:val="FFFFFF" w:themeColor="background1"/>
                <w:sz w:val="20"/>
                <w:lang w:val="pt-PT"/>
              </w:rPr>
              <w:fldChar w:fldCharType="begin"/>
            </w:r>
            <w:r w:rsidR="004F1CB9" w:rsidRPr="004F272B">
              <w:rPr>
                <w:rFonts w:asciiTheme="minorHAnsi" w:hAnsiTheme="minorHAnsi" w:cstheme="minorHAnsi"/>
                <w:color w:val="FFFFFF" w:themeColor="background1"/>
                <w:sz w:val="20"/>
                <w:lang w:val="pt-PT"/>
              </w:rPr>
              <w:instrText xml:space="preserve"> SEQ Box \* ARABIC </w:instrText>
            </w:r>
            <w:r w:rsidR="00FB4E23" w:rsidRPr="004F272B">
              <w:rPr>
                <w:rFonts w:asciiTheme="minorHAnsi" w:hAnsiTheme="minorHAnsi" w:cstheme="minorHAnsi"/>
                <w:color w:val="FFFFFF" w:themeColor="background1"/>
                <w:sz w:val="20"/>
                <w:lang w:val="pt-PT"/>
              </w:rPr>
              <w:fldChar w:fldCharType="separate"/>
            </w:r>
            <w:r w:rsidR="004F553E">
              <w:rPr>
                <w:rFonts w:asciiTheme="minorHAnsi" w:hAnsiTheme="minorHAnsi" w:cstheme="minorHAnsi"/>
                <w:noProof/>
                <w:color w:val="FFFFFF" w:themeColor="background1"/>
                <w:sz w:val="20"/>
                <w:lang w:val="pt-PT"/>
              </w:rPr>
              <w:t>4</w:t>
            </w:r>
            <w:r w:rsidR="00FB4E23" w:rsidRPr="004F272B">
              <w:rPr>
                <w:rFonts w:asciiTheme="minorHAnsi" w:hAnsiTheme="minorHAnsi" w:cstheme="minorHAnsi"/>
                <w:color w:val="FFFFFF" w:themeColor="background1"/>
                <w:sz w:val="20"/>
                <w:lang w:val="pt-PT"/>
              </w:rPr>
              <w:fldChar w:fldCharType="end"/>
            </w:r>
            <w:bookmarkEnd w:id="57"/>
          </w:p>
        </w:tc>
        <w:tc>
          <w:tcPr>
            <w:tcW w:w="9288" w:type="dxa"/>
            <w:shd w:val="clear" w:color="auto" w:fill="000000" w:themeFill="text1"/>
            <w:vAlign w:val="center"/>
          </w:tcPr>
          <w:p w:rsidR="005E5FB6" w:rsidRPr="004F272B" w:rsidRDefault="005E5FB6" w:rsidP="00996398">
            <w:pPr>
              <w:pStyle w:val="NoSpacing"/>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lang w:val="pt-PT"/>
              </w:rPr>
            </w:pPr>
            <w:r w:rsidRPr="004F272B">
              <w:rPr>
                <w:rFonts w:asciiTheme="minorHAnsi" w:hAnsiTheme="minorHAnsi" w:cstheme="minorHAnsi"/>
                <w:sz w:val="24"/>
                <w:szCs w:val="24"/>
                <w:lang w:val="pt-PT"/>
              </w:rPr>
              <w:t>M</w:t>
            </w:r>
            <w:r w:rsidR="00CC42BF">
              <w:rPr>
                <w:rFonts w:asciiTheme="minorHAnsi" w:hAnsiTheme="minorHAnsi" w:cstheme="minorHAnsi"/>
                <w:sz w:val="24"/>
                <w:szCs w:val="24"/>
                <w:lang w:val="pt-PT"/>
              </w:rPr>
              <w:t>ais Calor do que Luz</w:t>
            </w:r>
          </w:p>
          <w:p w:rsidR="004F1CB9" w:rsidRPr="004F272B" w:rsidRDefault="00CC42BF" w:rsidP="00FA33D2">
            <w:pPr>
              <w:pStyle w:val="NoSpacing"/>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sz w:val="20"/>
                <w:szCs w:val="20"/>
                <w:lang w:val="pt-PT"/>
              </w:rPr>
            </w:pPr>
            <w:r>
              <w:rPr>
                <w:rFonts w:asciiTheme="minorHAnsi" w:hAnsiTheme="minorHAnsi" w:cstheme="minorHAnsi"/>
                <w:i/>
                <w:sz w:val="20"/>
                <w:szCs w:val="20"/>
                <w:lang w:val="pt-PT"/>
              </w:rPr>
              <w:t xml:space="preserve">O custo elevado dos subsídios à energia e o ineficiente sector da electricidade em Angola </w:t>
            </w:r>
            <w:r w:rsidR="005D356B" w:rsidRPr="004F272B">
              <w:rPr>
                <w:rFonts w:asciiTheme="minorHAnsi" w:hAnsiTheme="minorHAnsi" w:cstheme="minorHAnsi"/>
                <w:i/>
                <w:sz w:val="20"/>
                <w:szCs w:val="20"/>
                <w:lang w:val="pt-PT"/>
              </w:rPr>
              <w:t xml:space="preserve"> </w:t>
            </w:r>
          </w:p>
        </w:tc>
      </w:tr>
      <w:tr w:rsidR="004F1CB9" w:rsidRPr="004E1715" w:rsidTr="00FB3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6" w:type="dxa"/>
            <w:gridSpan w:val="2"/>
          </w:tcPr>
          <w:p w:rsidR="004F1CB9" w:rsidRPr="004F272B" w:rsidRDefault="004F1CB9" w:rsidP="000D4CFF">
            <w:pPr>
              <w:pStyle w:val="Default"/>
              <w:spacing w:before="240"/>
              <w:jc w:val="both"/>
              <w:rPr>
                <w:b w:val="0"/>
                <w:bCs w:val="0"/>
                <w:lang w:val="pt-PT"/>
              </w:rPr>
            </w:pPr>
            <w:r w:rsidRPr="004F272B">
              <w:rPr>
                <w:rFonts w:asciiTheme="minorHAnsi" w:hAnsiTheme="minorHAnsi" w:cs="Garamond"/>
                <w:sz w:val="18"/>
                <w:szCs w:val="18"/>
                <w:lang w:val="pt-PT"/>
              </w:rPr>
              <w:t>Angola d</w:t>
            </w:r>
            <w:r w:rsidR="00FA33D2">
              <w:rPr>
                <w:rFonts w:asciiTheme="minorHAnsi" w:hAnsiTheme="minorHAnsi" w:cs="Garamond"/>
                <w:sz w:val="18"/>
                <w:szCs w:val="18"/>
                <w:lang w:val="pt-PT"/>
              </w:rPr>
              <w:t>edica uma quota muito maior do seu PIB aos subsídios à energia do que os países comparáveis, impondo um pesado ónus fiscal ao país</w:t>
            </w:r>
            <w:r w:rsidRPr="004F272B">
              <w:rPr>
                <w:rFonts w:asciiTheme="minorHAnsi" w:hAnsiTheme="minorHAnsi" w:cs="Garamond"/>
                <w:sz w:val="18"/>
                <w:szCs w:val="18"/>
                <w:lang w:val="pt-PT"/>
              </w:rPr>
              <w:t>.</w:t>
            </w:r>
            <w:r w:rsidRPr="004F272B">
              <w:rPr>
                <w:rFonts w:asciiTheme="minorHAnsi" w:hAnsiTheme="minorHAnsi" w:cs="Garamond"/>
                <w:b w:val="0"/>
                <w:sz w:val="18"/>
                <w:szCs w:val="18"/>
                <w:lang w:val="pt-PT"/>
              </w:rPr>
              <w:t xml:space="preserve"> </w:t>
            </w:r>
            <w:r w:rsidR="006E3E3B">
              <w:rPr>
                <w:rFonts w:asciiTheme="minorHAnsi" w:hAnsiTheme="minorHAnsi" w:cs="Garamond"/>
                <w:b w:val="0"/>
                <w:sz w:val="18"/>
                <w:szCs w:val="18"/>
                <w:lang w:val="pt-PT"/>
              </w:rPr>
              <w:t>Em</w:t>
            </w:r>
            <w:r w:rsidR="006D6F9D" w:rsidRPr="004F272B">
              <w:rPr>
                <w:rFonts w:asciiTheme="minorHAnsi" w:hAnsiTheme="minorHAnsi" w:cs="Garamond"/>
                <w:b w:val="0"/>
                <w:sz w:val="18"/>
                <w:szCs w:val="18"/>
                <w:lang w:val="pt-PT"/>
              </w:rPr>
              <w:t xml:space="preserve"> 2012</w:t>
            </w:r>
            <w:r w:rsidR="006E3E3B">
              <w:rPr>
                <w:rFonts w:asciiTheme="minorHAnsi" w:hAnsiTheme="minorHAnsi" w:cs="Garamond"/>
                <w:b w:val="0"/>
                <w:sz w:val="18"/>
                <w:szCs w:val="18"/>
                <w:lang w:val="pt-PT"/>
              </w:rPr>
              <w:t xml:space="preserve">, os subsídios à energia antes dos impostos estavam estimados em 2,5% do PIB, bastante acima da média de 0,8% para outros países exportadores de petróleo da região </w:t>
            </w:r>
            <w:r w:rsidRPr="004F272B">
              <w:rPr>
                <w:rFonts w:asciiTheme="minorHAnsi" w:hAnsiTheme="minorHAnsi" w:cs="Garamond"/>
                <w:b w:val="0"/>
                <w:sz w:val="18"/>
                <w:szCs w:val="18"/>
                <w:lang w:val="pt-PT"/>
              </w:rPr>
              <w:t>(</w:t>
            </w:r>
            <w:r w:rsidR="006E3E3B">
              <w:rPr>
                <w:rFonts w:asciiTheme="minorHAnsi" w:hAnsiTheme="minorHAnsi" w:cs="Garamond"/>
                <w:b w:val="0"/>
                <w:sz w:val="18"/>
                <w:szCs w:val="18"/>
                <w:lang w:val="pt-PT"/>
              </w:rPr>
              <w:t>FMI</w:t>
            </w:r>
            <w:r w:rsidRPr="004F272B">
              <w:rPr>
                <w:rFonts w:asciiTheme="minorHAnsi" w:hAnsiTheme="minorHAnsi" w:cs="Garamond"/>
                <w:b w:val="0"/>
                <w:sz w:val="18"/>
                <w:szCs w:val="18"/>
                <w:lang w:val="pt-PT"/>
              </w:rPr>
              <w:t xml:space="preserve">, 2013). </w:t>
            </w:r>
            <w:r w:rsidR="006E3E3B">
              <w:rPr>
                <w:rFonts w:asciiTheme="minorHAnsi" w:hAnsiTheme="minorHAnsi" w:cs="Garamond"/>
                <w:b w:val="0"/>
                <w:sz w:val="18"/>
                <w:szCs w:val="18"/>
                <w:lang w:val="pt-PT"/>
              </w:rPr>
              <w:t>E isto não inclui os passivos contingentes gerados pela e</w:t>
            </w:r>
            <w:r w:rsidR="007552F4">
              <w:rPr>
                <w:rFonts w:asciiTheme="minorHAnsi" w:hAnsiTheme="minorHAnsi" w:cs="Garamond"/>
                <w:b w:val="0"/>
                <w:sz w:val="18"/>
                <w:szCs w:val="18"/>
                <w:lang w:val="pt-PT"/>
              </w:rPr>
              <w:t>mpresa pública de electricidade</w:t>
            </w:r>
            <w:r w:rsidR="006E3E3B">
              <w:rPr>
                <w:rFonts w:asciiTheme="minorHAnsi" w:hAnsiTheme="minorHAnsi" w:cs="Garamond"/>
                <w:b w:val="0"/>
                <w:sz w:val="18"/>
                <w:szCs w:val="18"/>
                <w:lang w:val="pt-PT"/>
              </w:rPr>
              <w:t xml:space="preserve"> que</w:t>
            </w:r>
            <w:r w:rsidR="007552F4">
              <w:rPr>
                <w:rFonts w:asciiTheme="minorHAnsi" w:hAnsiTheme="minorHAnsi" w:cs="Garamond"/>
                <w:b w:val="0"/>
                <w:sz w:val="18"/>
                <w:szCs w:val="18"/>
                <w:lang w:val="pt-PT"/>
              </w:rPr>
              <w:t>, em 2009, se estimavam em aproximadamente 1,5% do PIB (FMI, 2013).</w:t>
            </w:r>
            <w:r w:rsidR="00EE2B7D">
              <w:rPr>
                <w:rFonts w:asciiTheme="minorHAnsi" w:hAnsiTheme="minorHAnsi" w:cs="Garamond"/>
                <w:b w:val="0"/>
                <w:sz w:val="18"/>
                <w:szCs w:val="18"/>
                <w:lang w:val="pt-PT"/>
              </w:rPr>
              <w:t xml:space="preserve"> Excluem-se ainda as receitas não recebidas relativamente aos impostos sobre combustíveis e os subsídios depois dos impostos que, em 2012, estavam estimados em 4% do PIB</w:t>
            </w:r>
            <w:r w:rsidRPr="004F272B">
              <w:rPr>
                <w:rFonts w:asciiTheme="minorHAnsi" w:hAnsiTheme="minorHAnsi" w:cs="Garamond"/>
                <w:b w:val="0"/>
                <w:sz w:val="18"/>
                <w:szCs w:val="18"/>
                <w:lang w:val="pt-PT"/>
              </w:rPr>
              <w:t xml:space="preserve"> (</w:t>
            </w:r>
            <w:r w:rsidR="006D6F9D" w:rsidRPr="004F272B">
              <w:rPr>
                <w:rFonts w:asciiTheme="minorHAnsi" w:hAnsiTheme="minorHAnsi" w:cs="Garamond"/>
                <w:b w:val="0"/>
                <w:i/>
                <w:sz w:val="18"/>
                <w:szCs w:val="18"/>
                <w:lang w:val="pt-PT"/>
              </w:rPr>
              <w:t>ibid</w:t>
            </w:r>
            <w:r w:rsidR="006D6F9D" w:rsidRPr="004F272B">
              <w:rPr>
                <w:rFonts w:asciiTheme="minorHAnsi" w:hAnsiTheme="minorHAnsi" w:cs="Garamond"/>
                <w:b w:val="0"/>
                <w:sz w:val="18"/>
                <w:szCs w:val="18"/>
                <w:lang w:val="pt-PT"/>
              </w:rPr>
              <w:t>.</w:t>
            </w:r>
            <w:r w:rsidRPr="004F272B">
              <w:rPr>
                <w:rFonts w:asciiTheme="minorHAnsi" w:hAnsiTheme="minorHAnsi" w:cs="Garamond"/>
                <w:b w:val="0"/>
                <w:sz w:val="18"/>
                <w:szCs w:val="18"/>
                <w:lang w:val="pt-PT"/>
              </w:rPr>
              <w:t xml:space="preserve">). </w:t>
            </w:r>
          </w:p>
          <w:p w:rsidR="004F1CB9" w:rsidRPr="004F272B" w:rsidRDefault="004F1CB9" w:rsidP="004F1CB9">
            <w:pPr>
              <w:autoSpaceDE w:val="0"/>
              <w:autoSpaceDN w:val="0"/>
              <w:adjustRightInd w:val="0"/>
              <w:rPr>
                <w:rFonts w:ascii="Garamond" w:hAnsi="Garamond" w:cs="Garamond"/>
                <w:sz w:val="24"/>
                <w:szCs w:val="24"/>
                <w:lang w:val="pt-PT"/>
              </w:rPr>
            </w:pPr>
          </w:p>
          <w:p w:rsidR="00F34806" w:rsidRPr="004F272B" w:rsidRDefault="0074023F" w:rsidP="004F1CB9">
            <w:pPr>
              <w:autoSpaceDE w:val="0"/>
              <w:autoSpaceDN w:val="0"/>
              <w:adjustRightInd w:val="0"/>
              <w:rPr>
                <w:rFonts w:asciiTheme="minorHAnsi" w:hAnsiTheme="minorHAnsi" w:cs="Garamond"/>
                <w:b w:val="0"/>
                <w:sz w:val="18"/>
                <w:szCs w:val="18"/>
                <w:lang w:val="pt-PT"/>
              </w:rPr>
            </w:pPr>
            <w:r>
              <w:rPr>
                <w:rFonts w:asciiTheme="minorHAnsi" w:hAnsiTheme="minorHAnsi" w:cs="Garamond"/>
                <w:sz w:val="18"/>
                <w:szCs w:val="18"/>
                <w:lang w:val="pt-PT"/>
              </w:rPr>
              <w:t>A redução dos subsídios à energia vai exigir o aumento do abastecimento de energia</w:t>
            </w:r>
            <w:r w:rsidR="004F1CB9" w:rsidRPr="004F272B">
              <w:rPr>
                <w:rFonts w:asciiTheme="minorHAnsi" w:hAnsiTheme="minorHAnsi" w:cs="Garamond"/>
                <w:sz w:val="18"/>
                <w:szCs w:val="18"/>
                <w:lang w:val="pt-PT"/>
              </w:rPr>
              <w:t>.</w:t>
            </w:r>
            <w:r w:rsidR="0039799F">
              <w:rPr>
                <w:rFonts w:asciiTheme="minorHAnsi" w:hAnsiTheme="minorHAnsi" w:cs="Garamond"/>
                <w:b w:val="0"/>
                <w:sz w:val="18"/>
                <w:szCs w:val="18"/>
                <w:lang w:val="pt-PT"/>
              </w:rPr>
              <w:t xml:space="preserve"> Análises comparativas entre países revelam uma forte correlação entre </w:t>
            </w:r>
            <w:r w:rsidR="00036279">
              <w:rPr>
                <w:rFonts w:asciiTheme="minorHAnsi" w:hAnsiTheme="minorHAnsi" w:cs="Garamond"/>
                <w:b w:val="0"/>
                <w:sz w:val="18"/>
                <w:szCs w:val="18"/>
                <w:lang w:val="pt-PT"/>
              </w:rPr>
              <w:t xml:space="preserve">preços abaixo do valor e o subinvestimento no sector da electricidade (FMI, </w:t>
            </w:r>
            <w:r w:rsidR="00CF5BE4">
              <w:rPr>
                <w:rFonts w:asciiTheme="minorHAnsi" w:hAnsiTheme="minorHAnsi" w:cs="Garamond"/>
                <w:b w:val="0"/>
                <w:sz w:val="18"/>
                <w:szCs w:val="18"/>
                <w:lang w:val="pt-PT"/>
              </w:rPr>
              <w:t xml:space="preserve">2013). </w:t>
            </w:r>
            <w:r w:rsidR="00D55400">
              <w:rPr>
                <w:rFonts w:asciiTheme="minorHAnsi" w:hAnsiTheme="minorHAnsi" w:cs="Garamond"/>
                <w:b w:val="0"/>
                <w:sz w:val="18"/>
                <w:szCs w:val="18"/>
                <w:lang w:val="pt-PT"/>
              </w:rPr>
              <w:t xml:space="preserve">Um abastecimento de electricidade limitado, </w:t>
            </w:r>
            <w:r w:rsidR="00C24E2D">
              <w:rPr>
                <w:rFonts w:asciiTheme="minorHAnsi" w:hAnsiTheme="minorHAnsi" w:cs="Garamond"/>
                <w:b w:val="0"/>
                <w:sz w:val="18"/>
                <w:szCs w:val="18"/>
                <w:lang w:val="pt-PT"/>
              </w:rPr>
              <w:t xml:space="preserve">irregular ou de qualquer outra forma inadequado pode ter um impacto profundamente negativo na competitividade de toda a economia, uma vez que a electricidade é crucial para quase todas as actividades numa economia moderna. Melhorar o abastecimento de energia iria contribuir adicionalmente para a aceitação pelo público da redução de subsídios. </w:t>
            </w:r>
            <w:r w:rsidR="00CF4B31" w:rsidRPr="004F272B">
              <w:rPr>
                <w:rFonts w:asciiTheme="minorHAnsi" w:hAnsiTheme="minorHAnsi" w:cs="Garamond"/>
                <w:b w:val="0"/>
                <w:sz w:val="18"/>
                <w:szCs w:val="18"/>
                <w:lang w:val="pt-PT"/>
              </w:rPr>
              <w:t xml:space="preserve"> </w:t>
            </w:r>
          </w:p>
          <w:p w:rsidR="00F34806" w:rsidRPr="004F272B" w:rsidRDefault="00F34806" w:rsidP="004F1CB9">
            <w:pPr>
              <w:autoSpaceDE w:val="0"/>
              <w:autoSpaceDN w:val="0"/>
              <w:adjustRightInd w:val="0"/>
              <w:rPr>
                <w:rFonts w:asciiTheme="minorHAnsi" w:hAnsiTheme="minorHAnsi" w:cs="Garamond"/>
                <w:b w:val="0"/>
                <w:sz w:val="18"/>
                <w:szCs w:val="18"/>
                <w:lang w:val="pt-PT"/>
              </w:rPr>
            </w:pPr>
          </w:p>
          <w:p w:rsidR="00143D39" w:rsidRDefault="0026323F" w:rsidP="00DC5B41">
            <w:pPr>
              <w:autoSpaceDE w:val="0"/>
              <w:autoSpaceDN w:val="0"/>
              <w:adjustRightInd w:val="0"/>
              <w:jc w:val="left"/>
              <w:rPr>
                <w:rFonts w:asciiTheme="minorHAnsi" w:hAnsiTheme="minorHAnsi" w:cs="Garamond"/>
                <w:b w:val="0"/>
                <w:sz w:val="18"/>
                <w:szCs w:val="18"/>
                <w:lang w:val="pt-PT"/>
              </w:rPr>
            </w:pPr>
            <w:r>
              <w:rPr>
                <w:noProof/>
              </w:rPr>
              <mc:AlternateContent>
                <mc:Choice Requires="wps">
                  <w:drawing>
                    <wp:anchor distT="0" distB="0" distL="114300" distR="114300" simplePos="0" relativeHeight="251689984" behindDoc="0" locked="0" layoutInCell="1" allowOverlap="1" wp14:anchorId="59BF8524" wp14:editId="2363A2F3">
                      <wp:simplePos x="0" y="0"/>
                      <wp:positionH relativeFrom="column">
                        <wp:posOffset>2457450</wp:posOffset>
                      </wp:positionH>
                      <wp:positionV relativeFrom="paragraph">
                        <wp:posOffset>-366395</wp:posOffset>
                      </wp:positionV>
                      <wp:extent cx="3961765" cy="495300"/>
                      <wp:effectExtent l="0" t="0" r="635" b="0"/>
                      <wp:wrapSquare wrapText="left"/>
                      <wp:docPr id="3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1765" cy="495300"/>
                              </a:xfrm>
                              <a:prstGeom prst="rect">
                                <a:avLst/>
                              </a:prstGeom>
                              <a:solidFill>
                                <a:schemeClr val="accent1">
                                  <a:lumMod val="20000"/>
                                  <a:lumOff val="80000"/>
                                </a:schemeClr>
                              </a:solidFill>
                              <a:ln>
                                <a:noFill/>
                              </a:ln>
                              <a:effectLst/>
                            </wps:spPr>
                            <wps:txbx>
                              <w:txbxContent>
                                <w:p w:rsidR="004E1715" w:rsidRPr="0093446B" w:rsidRDefault="004E1715" w:rsidP="000D4CFF">
                                  <w:pPr>
                                    <w:pStyle w:val="Caption"/>
                                    <w:jc w:val="center"/>
                                    <w:rPr>
                                      <w:rFonts w:asciiTheme="minorHAnsi" w:hAnsiTheme="minorHAnsi"/>
                                      <w:color w:val="943634" w:themeColor="accent2" w:themeShade="BF"/>
                                      <w:sz w:val="16"/>
                                      <w:szCs w:val="16"/>
                                      <w:lang w:val="pt-PT"/>
                                    </w:rPr>
                                  </w:pPr>
                                  <w:bookmarkStart w:id="58" w:name="_Toc384305313"/>
                                  <w:r w:rsidRPr="0093446B">
                                    <w:rPr>
                                      <w:rFonts w:asciiTheme="minorHAnsi" w:hAnsiTheme="minorHAnsi"/>
                                      <w:color w:val="943634" w:themeColor="accent2" w:themeShade="BF"/>
                                      <w:sz w:val="16"/>
                                      <w:szCs w:val="16"/>
                                      <w:lang w:val="pt-PT"/>
                                    </w:rPr>
                                    <w:t xml:space="preserve">Figura </w:t>
                                  </w:r>
                                  <w:r w:rsidRPr="0093446B">
                                    <w:rPr>
                                      <w:rFonts w:asciiTheme="minorHAnsi" w:hAnsiTheme="minorHAnsi"/>
                                      <w:color w:val="943634" w:themeColor="accent2" w:themeShade="BF"/>
                                      <w:sz w:val="16"/>
                                      <w:szCs w:val="16"/>
                                      <w:lang w:val="pt-PT"/>
                                    </w:rPr>
                                    <w:fldChar w:fldCharType="begin"/>
                                  </w:r>
                                  <w:r w:rsidRPr="0093446B">
                                    <w:rPr>
                                      <w:rFonts w:asciiTheme="minorHAnsi" w:hAnsiTheme="minorHAnsi"/>
                                      <w:color w:val="943634" w:themeColor="accent2" w:themeShade="BF"/>
                                      <w:sz w:val="16"/>
                                      <w:szCs w:val="16"/>
                                      <w:lang w:val="pt-PT"/>
                                    </w:rPr>
                                    <w:instrText xml:space="preserve"> SEQ Figure \* ARABIC </w:instrText>
                                  </w:r>
                                  <w:r w:rsidRPr="0093446B">
                                    <w:rPr>
                                      <w:rFonts w:asciiTheme="minorHAnsi" w:hAnsiTheme="minorHAnsi"/>
                                      <w:color w:val="943634" w:themeColor="accent2" w:themeShade="BF"/>
                                      <w:sz w:val="16"/>
                                      <w:szCs w:val="16"/>
                                      <w:lang w:val="pt-PT"/>
                                    </w:rPr>
                                    <w:fldChar w:fldCharType="separate"/>
                                  </w:r>
                                  <w:r w:rsidR="004F553E">
                                    <w:rPr>
                                      <w:rFonts w:asciiTheme="minorHAnsi" w:hAnsiTheme="minorHAnsi"/>
                                      <w:noProof/>
                                      <w:color w:val="943634" w:themeColor="accent2" w:themeShade="BF"/>
                                      <w:sz w:val="16"/>
                                      <w:szCs w:val="16"/>
                                      <w:lang w:val="pt-PT"/>
                                    </w:rPr>
                                    <w:t>4</w:t>
                                  </w:r>
                                  <w:r w:rsidRPr="0093446B">
                                    <w:rPr>
                                      <w:rFonts w:asciiTheme="minorHAnsi" w:hAnsiTheme="minorHAnsi"/>
                                      <w:color w:val="943634" w:themeColor="accent2" w:themeShade="BF"/>
                                      <w:sz w:val="16"/>
                                      <w:szCs w:val="16"/>
                                      <w:lang w:val="pt-PT"/>
                                    </w:rPr>
                                    <w:fldChar w:fldCharType="end"/>
                                  </w:r>
                                  <w:r w:rsidRPr="0093446B">
                                    <w:rPr>
                                      <w:rFonts w:asciiTheme="minorHAnsi" w:hAnsiTheme="minorHAnsi"/>
                                      <w:color w:val="943634" w:themeColor="accent2" w:themeShade="BF"/>
                                      <w:sz w:val="16"/>
                                      <w:szCs w:val="16"/>
                                      <w:lang w:val="pt-PT"/>
                                    </w:rPr>
                                    <w:t>: Os subs</w:t>
                                  </w:r>
                                  <w:r>
                                    <w:rPr>
                                      <w:rFonts w:asciiTheme="minorHAnsi" w:hAnsiTheme="minorHAnsi"/>
                                      <w:color w:val="943634" w:themeColor="accent2" w:themeShade="BF"/>
                                      <w:sz w:val="16"/>
                                      <w:szCs w:val="16"/>
                                      <w:lang w:val="pt-PT"/>
                                    </w:rPr>
                                    <w:t>ídios</w:t>
                                  </w:r>
                                  <w:r w:rsidRPr="0093446B">
                                    <w:rPr>
                                      <w:rFonts w:asciiTheme="minorHAnsi" w:hAnsiTheme="minorHAnsi"/>
                                      <w:color w:val="943634" w:themeColor="accent2" w:themeShade="BF"/>
                                      <w:sz w:val="16"/>
                                      <w:szCs w:val="16"/>
                                      <w:lang w:val="pt-PT"/>
                                    </w:rPr>
                                    <w:t xml:space="preserve"> à energia em Angola têm um custo fiscal </w:t>
                                  </w:r>
                                  <w:bookmarkEnd w:id="58"/>
                                  <w:r w:rsidRPr="0093446B">
                                    <w:rPr>
                                      <w:rFonts w:asciiTheme="minorHAnsi" w:hAnsiTheme="minorHAnsi"/>
                                      <w:color w:val="943634" w:themeColor="accent2" w:themeShade="BF"/>
                                      <w:sz w:val="16"/>
                                      <w:szCs w:val="16"/>
                                      <w:lang w:val="pt-PT"/>
                                    </w:rPr>
                                    <w:t>muito alto</w:t>
                                  </w:r>
                                </w:p>
                                <w:p w:rsidR="004E1715" w:rsidRPr="0093446B" w:rsidRDefault="004E1715" w:rsidP="000D4CFF">
                                  <w:pPr>
                                    <w:pStyle w:val="Caption"/>
                                    <w:jc w:val="center"/>
                                    <w:rPr>
                                      <w:rFonts w:asciiTheme="minorHAnsi" w:hAnsiTheme="minorHAnsi" w:cs="Garamond"/>
                                      <w:b w:val="0"/>
                                      <w:bCs w:val="0"/>
                                      <w:i/>
                                      <w:color w:val="auto"/>
                                      <w:lang w:val="pt-PT"/>
                                    </w:rPr>
                                  </w:pPr>
                                  <w:r w:rsidRPr="0093446B">
                                    <w:rPr>
                                      <w:rFonts w:asciiTheme="minorHAnsi" w:hAnsiTheme="minorHAnsi"/>
                                      <w:i/>
                                      <w:color w:val="auto"/>
                                      <w:sz w:val="14"/>
                                      <w:szCs w:val="14"/>
                                      <w:lang w:val="pt-PT"/>
                                    </w:rPr>
                                    <w:t xml:space="preserve">(Subsídios aos combustíveis antes de impostos entre países exportadores de </w:t>
                                  </w:r>
                                  <w:r>
                                    <w:rPr>
                                      <w:rFonts w:asciiTheme="minorHAnsi" w:hAnsiTheme="minorHAnsi"/>
                                      <w:i/>
                                      <w:color w:val="auto"/>
                                      <w:sz w:val="14"/>
                                      <w:szCs w:val="14"/>
                                      <w:lang w:val="pt-PT"/>
                                    </w:rPr>
                                    <w:t>petróleo da SSA, % do PIB)</w:t>
                                  </w:r>
                                  <w:r w:rsidRPr="0093446B">
                                    <w:rPr>
                                      <w:rFonts w:asciiTheme="minorHAnsi" w:hAnsiTheme="minorHAnsi"/>
                                      <w:i/>
                                      <w:color w:val="auto"/>
                                      <w:lang w:val="pt-PT"/>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8" o:spid="_x0000_s1027" type="#_x0000_t202" style="position:absolute;margin-left:193.5pt;margin-top:-28.85pt;width:311.95pt;height: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" fillcolor="#dbe5f1 [660]" stroked="f">
                      <v:path arrowok="t"/>
                      <v:textbox inset="0,0,0,0">
                        <w:txbxContent>
                          <w:p w:rsidR="004E1715" w:rsidRPr="0093446B" w:rsidRDefault="004E1715" w:rsidP="000D4CFF">
                            <w:pPr>
                              <w:pStyle w:val="Caption"/>
                              <w:jc w:val="center"/>
                              <w:rPr>
                                <w:rFonts w:asciiTheme="minorHAnsi" w:hAnsiTheme="minorHAnsi"/>
                                <w:color w:val="943634" w:themeColor="accent2" w:themeShade="BF"/>
                                <w:sz w:val="16"/>
                                <w:szCs w:val="16"/>
                                <w:lang w:val="pt-PT"/>
                              </w:rPr>
                            </w:pPr>
                            <w:bookmarkStart w:id="59" w:name="_Toc384305313"/>
                            <w:r w:rsidRPr="0093446B">
                              <w:rPr>
                                <w:rFonts w:asciiTheme="minorHAnsi" w:hAnsiTheme="minorHAnsi"/>
                                <w:color w:val="943634" w:themeColor="accent2" w:themeShade="BF"/>
                                <w:sz w:val="16"/>
                                <w:szCs w:val="16"/>
                                <w:lang w:val="pt-PT"/>
                              </w:rPr>
                              <w:t xml:space="preserve">Figura </w:t>
                            </w:r>
                            <w:r w:rsidRPr="0093446B">
                              <w:rPr>
                                <w:rFonts w:asciiTheme="minorHAnsi" w:hAnsiTheme="minorHAnsi"/>
                                <w:color w:val="943634" w:themeColor="accent2" w:themeShade="BF"/>
                                <w:sz w:val="16"/>
                                <w:szCs w:val="16"/>
                                <w:lang w:val="pt-PT"/>
                              </w:rPr>
                              <w:fldChar w:fldCharType="begin"/>
                            </w:r>
                            <w:r w:rsidRPr="0093446B">
                              <w:rPr>
                                <w:rFonts w:asciiTheme="minorHAnsi" w:hAnsiTheme="minorHAnsi"/>
                                <w:color w:val="943634" w:themeColor="accent2" w:themeShade="BF"/>
                                <w:sz w:val="16"/>
                                <w:szCs w:val="16"/>
                                <w:lang w:val="pt-PT"/>
                              </w:rPr>
                              <w:instrText xml:space="preserve"> SEQ Figure \* ARABIC </w:instrText>
                            </w:r>
                            <w:r w:rsidRPr="0093446B">
                              <w:rPr>
                                <w:rFonts w:asciiTheme="minorHAnsi" w:hAnsiTheme="minorHAnsi"/>
                                <w:color w:val="943634" w:themeColor="accent2" w:themeShade="BF"/>
                                <w:sz w:val="16"/>
                                <w:szCs w:val="16"/>
                                <w:lang w:val="pt-PT"/>
                              </w:rPr>
                              <w:fldChar w:fldCharType="separate"/>
                            </w:r>
                            <w:r w:rsidR="004F553E">
                              <w:rPr>
                                <w:rFonts w:asciiTheme="minorHAnsi" w:hAnsiTheme="minorHAnsi"/>
                                <w:noProof/>
                                <w:color w:val="943634" w:themeColor="accent2" w:themeShade="BF"/>
                                <w:sz w:val="16"/>
                                <w:szCs w:val="16"/>
                                <w:lang w:val="pt-PT"/>
                              </w:rPr>
                              <w:t>4</w:t>
                            </w:r>
                            <w:r w:rsidRPr="0093446B">
                              <w:rPr>
                                <w:rFonts w:asciiTheme="minorHAnsi" w:hAnsiTheme="minorHAnsi"/>
                                <w:color w:val="943634" w:themeColor="accent2" w:themeShade="BF"/>
                                <w:sz w:val="16"/>
                                <w:szCs w:val="16"/>
                                <w:lang w:val="pt-PT"/>
                              </w:rPr>
                              <w:fldChar w:fldCharType="end"/>
                            </w:r>
                            <w:r w:rsidRPr="0093446B">
                              <w:rPr>
                                <w:rFonts w:asciiTheme="minorHAnsi" w:hAnsiTheme="minorHAnsi"/>
                                <w:color w:val="943634" w:themeColor="accent2" w:themeShade="BF"/>
                                <w:sz w:val="16"/>
                                <w:szCs w:val="16"/>
                                <w:lang w:val="pt-PT"/>
                              </w:rPr>
                              <w:t>: Os subs</w:t>
                            </w:r>
                            <w:r>
                              <w:rPr>
                                <w:rFonts w:asciiTheme="minorHAnsi" w:hAnsiTheme="minorHAnsi"/>
                                <w:color w:val="943634" w:themeColor="accent2" w:themeShade="BF"/>
                                <w:sz w:val="16"/>
                                <w:szCs w:val="16"/>
                                <w:lang w:val="pt-PT"/>
                              </w:rPr>
                              <w:t>ídios</w:t>
                            </w:r>
                            <w:r w:rsidRPr="0093446B">
                              <w:rPr>
                                <w:rFonts w:asciiTheme="minorHAnsi" w:hAnsiTheme="minorHAnsi"/>
                                <w:color w:val="943634" w:themeColor="accent2" w:themeShade="BF"/>
                                <w:sz w:val="16"/>
                                <w:szCs w:val="16"/>
                                <w:lang w:val="pt-PT"/>
                              </w:rPr>
                              <w:t xml:space="preserve"> à energia em Angola têm um custo fiscal </w:t>
                            </w:r>
                            <w:bookmarkEnd w:id="59"/>
                            <w:r w:rsidRPr="0093446B">
                              <w:rPr>
                                <w:rFonts w:asciiTheme="minorHAnsi" w:hAnsiTheme="minorHAnsi"/>
                                <w:color w:val="943634" w:themeColor="accent2" w:themeShade="BF"/>
                                <w:sz w:val="16"/>
                                <w:szCs w:val="16"/>
                                <w:lang w:val="pt-PT"/>
                              </w:rPr>
                              <w:t>muito alto</w:t>
                            </w:r>
                          </w:p>
                          <w:p w:rsidR="004E1715" w:rsidRPr="0093446B" w:rsidRDefault="004E1715" w:rsidP="000D4CFF">
                            <w:pPr>
                              <w:pStyle w:val="Caption"/>
                              <w:jc w:val="center"/>
                              <w:rPr>
                                <w:rFonts w:asciiTheme="minorHAnsi" w:hAnsiTheme="minorHAnsi" w:cs="Garamond"/>
                                <w:b w:val="0"/>
                                <w:bCs w:val="0"/>
                                <w:i/>
                                <w:color w:val="auto"/>
                                <w:lang w:val="pt-PT"/>
                              </w:rPr>
                            </w:pPr>
                            <w:r w:rsidRPr="0093446B">
                              <w:rPr>
                                <w:rFonts w:asciiTheme="minorHAnsi" w:hAnsiTheme="minorHAnsi"/>
                                <w:i/>
                                <w:color w:val="auto"/>
                                <w:sz w:val="14"/>
                                <w:szCs w:val="14"/>
                                <w:lang w:val="pt-PT"/>
                              </w:rPr>
                              <w:t xml:space="preserve">(Subsídios aos combustíveis antes de impostos entre países exportadores de </w:t>
                            </w:r>
                            <w:r>
                              <w:rPr>
                                <w:rFonts w:asciiTheme="minorHAnsi" w:hAnsiTheme="minorHAnsi"/>
                                <w:i/>
                                <w:color w:val="auto"/>
                                <w:sz w:val="14"/>
                                <w:szCs w:val="14"/>
                                <w:lang w:val="pt-PT"/>
                              </w:rPr>
                              <w:t>petróleo da SSA, % do PIB)</w:t>
                            </w:r>
                            <w:r w:rsidRPr="0093446B">
                              <w:rPr>
                                <w:rFonts w:asciiTheme="minorHAnsi" w:hAnsiTheme="minorHAnsi"/>
                                <w:i/>
                                <w:color w:val="auto"/>
                                <w:lang w:val="pt-PT"/>
                              </w:rPr>
                              <w:t xml:space="preserve"> </w:t>
                            </w:r>
                          </w:p>
                        </w:txbxContent>
                      </v:textbox>
                      <w10:wrap type="square" side="left"/>
                    </v:shape>
                  </w:pict>
                </mc:Fallback>
              </mc:AlternateContent>
            </w:r>
            <w:r w:rsidR="001B3CD1" w:rsidRPr="004F272B">
              <w:rPr>
                <w:noProof/>
              </w:rPr>
              <w:drawing>
                <wp:anchor distT="0" distB="0" distL="114300" distR="114300" simplePos="0" relativeHeight="251659776" behindDoc="0" locked="0" layoutInCell="1" allowOverlap="1" wp14:anchorId="406F1B32" wp14:editId="01731B9E">
                  <wp:simplePos x="0" y="0"/>
                  <wp:positionH relativeFrom="column">
                    <wp:posOffset>2432050</wp:posOffset>
                  </wp:positionH>
                  <wp:positionV relativeFrom="paragraph">
                    <wp:posOffset>-395605</wp:posOffset>
                  </wp:positionV>
                  <wp:extent cx="3976370" cy="1922780"/>
                  <wp:effectExtent l="0" t="0" r="24130" b="20320"/>
                  <wp:wrapSquare wrapText="left"/>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800D8D">
              <w:rPr>
                <w:rFonts w:asciiTheme="minorHAnsi" w:hAnsiTheme="minorHAnsi" w:cs="Garamond"/>
                <w:sz w:val="18"/>
                <w:szCs w:val="18"/>
                <w:lang w:val="pt-PT"/>
              </w:rPr>
              <w:t>A eficiência é um dos grandes problemas do sector da electricidade em Angola</w:t>
            </w:r>
            <w:r w:rsidR="00F34806" w:rsidRPr="004F272B">
              <w:rPr>
                <w:rFonts w:asciiTheme="minorHAnsi" w:hAnsiTheme="minorHAnsi" w:cs="Garamond"/>
                <w:sz w:val="18"/>
                <w:szCs w:val="18"/>
                <w:lang w:val="pt-PT"/>
              </w:rPr>
              <w:t>.</w:t>
            </w:r>
            <w:r w:rsidR="00800D8D">
              <w:rPr>
                <w:rFonts w:asciiTheme="minorHAnsi" w:hAnsiTheme="minorHAnsi" w:cs="Garamond"/>
                <w:b w:val="0"/>
                <w:sz w:val="18"/>
                <w:szCs w:val="18"/>
                <w:lang w:val="pt-PT"/>
              </w:rPr>
              <w:t xml:space="preserve"> As perdas na distribuição de energia em 2008 (o montante de electricidade injectado na rede de distribuição que não pôde ser facturado) foram estimadas ligeiramente abaixo de 50% do total do abastecimento de energia</w:t>
            </w:r>
            <w:r w:rsidR="00F718CE" w:rsidRPr="004F272B">
              <w:rPr>
                <w:rFonts w:asciiTheme="minorHAnsi" w:hAnsiTheme="minorHAnsi" w:cs="Garamond"/>
                <w:b w:val="0"/>
                <w:sz w:val="18"/>
                <w:szCs w:val="18"/>
                <w:lang w:val="pt-PT"/>
              </w:rPr>
              <w:t xml:space="preserve"> (</w:t>
            </w:r>
            <w:r w:rsidR="00800D8D">
              <w:rPr>
                <w:rFonts w:asciiTheme="minorHAnsi" w:hAnsiTheme="minorHAnsi" w:cs="Garamond"/>
                <w:b w:val="0"/>
                <w:sz w:val="18"/>
                <w:szCs w:val="18"/>
                <w:lang w:val="pt-PT"/>
              </w:rPr>
              <w:t>FMI</w:t>
            </w:r>
            <w:r w:rsidR="00F718CE" w:rsidRPr="004F272B">
              <w:rPr>
                <w:rFonts w:asciiTheme="minorHAnsi" w:hAnsiTheme="minorHAnsi" w:cs="Garamond"/>
                <w:b w:val="0"/>
                <w:sz w:val="18"/>
                <w:szCs w:val="18"/>
                <w:lang w:val="pt-PT"/>
              </w:rPr>
              <w:t>, 2013)</w:t>
            </w:r>
            <w:r w:rsidR="004F1CB9" w:rsidRPr="004F272B">
              <w:rPr>
                <w:rFonts w:asciiTheme="minorHAnsi" w:hAnsiTheme="minorHAnsi" w:cs="Garamond"/>
                <w:b w:val="0"/>
                <w:sz w:val="18"/>
                <w:szCs w:val="18"/>
                <w:lang w:val="pt-PT"/>
              </w:rPr>
              <w:t xml:space="preserve">. </w:t>
            </w:r>
            <w:r w:rsidR="00143D39">
              <w:rPr>
                <w:rFonts w:asciiTheme="minorHAnsi" w:hAnsiTheme="minorHAnsi" w:cs="Garamond"/>
                <w:b w:val="0"/>
                <w:sz w:val="18"/>
                <w:szCs w:val="18"/>
                <w:lang w:val="pt-PT"/>
              </w:rPr>
              <w:t xml:space="preserve">Enquanto o governo está neste momento a intensificar o investimento destinado a fomentar a geração e a expandir a rede eléctrica, o investimento público em Angola favorece, sistematicamente, despesas com novos projectos e não com a manutenção e funcionamento das infraestruturas existentes (ver Secção de </w:t>
            </w:r>
            <w:r w:rsidR="00CF5BE4">
              <w:rPr>
                <w:rFonts w:asciiTheme="minorHAnsi" w:hAnsiTheme="minorHAnsi" w:cs="Garamond"/>
                <w:b w:val="0"/>
                <w:sz w:val="18"/>
                <w:szCs w:val="18"/>
                <w:lang w:val="pt-PT"/>
              </w:rPr>
              <w:t>Enfoque</w:t>
            </w:r>
            <w:r w:rsidR="00143D39">
              <w:rPr>
                <w:rFonts w:asciiTheme="minorHAnsi" w:hAnsiTheme="minorHAnsi" w:cs="Garamond"/>
                <w:b w:val="0"/>
                <w:sz w:val="18"/>
                <w:szCs w:val="18"/>
                <w:lang w:val="pt-PT"/>
              </w:rPr>
              <w:t xml:space="preserve"> Especial), </w:t>
            </w:r>
            <w:r w:rsidR="00FB4248">
              <w:rPr>
                <w:rFonts w:asciiTheme="minorHAnsi" w:hAnsiTheme="minorHAnsi" w:cs="Garamond"/>
                <w:b w:val="0"/>
                <w:sz w:val="18"/>
                <w:szCs w:val="18"/>
                <w:lang w:val="pt-PT"/>
              </w:rPr>
              <w:t>suscitando</w:t>
            </w:r>
            <w:r w:rsidR="00143D39">
              <w:rPr>
                <w:rFonts w:asciiTheme="minorHAnsi" w:hAnsiTheme="minorHAnsi" w:cs="Garamond"/>
                <w:b w:val="0"/>
                <w:sz w:val="18"/>
                <w:szCs w:val="18"/>
                <w:lang w:val="pt-PT"/>
              </w:rPr>
              <w:t xml:space="preserve"> preocupações </w:t>
            </w:r>
            <w:r w:rsidR="00FB4248">
              <w:rPr>
                <w:rFonts w:asciiTheme="minorHAnsi" w:hAnsiTheme="minorHAnsi" w:cs="Garamond"/>
                <w:b w:val="0"/>
                <w:sz w:val="18"/>
                <w:szCs w:val="18"/>
                <w:lang w:val="pt-PT"/>
              </w:rPr>
              <w:t>quanto à</w:t>
            </w:r>
            <w:r w:rsidR="00143D39">
              <w:rPr>
                <w:rFonts w:asciiTheme="minorHAnsi" w:hAnsiTheme="minorHAnsi" w:cs="Garamond"/>
                <w:b w:val="0"/>
                <w:sz w:val="18"/>
                <w:szCs w:val="18"/>
                <w:lang w:val="pt-PT"/>
              </w:rPr>
              <w:t xml:space="preserve"> sustentabilidade </w:t>
            </w:r>
            <w:r w:rsidR="00FB4248">
              <w:rPr>
                <w:rFonts w:asciiTheme="minorHAnsi" w:hAnsiTheme="minorHAnsi" w:cs="Garamond"/>
                <w:b w:val="0"/>
                <w:sz w:val="18"/>
                <w:szCs w:val="18"/>
                <w:lang w:val="pt-PT"/>
              </w:rPr>
              <w:t>a</w:t>
            </w:r>
            <w:r w:rsidR="00143D39">
              <w:rPr>
                <w:rFonts w:asciiTheme="minorHAnsi" w:hAnsiTheme="minorHAnsi" w:cs="Garamond"/>
                <w:b w:val="0"/>
                <w:sz w:val="18"/>
                <w:szCs w:val="18"/>
                <w:lang w:val="pt-PT"/>
              </w:rPr>
              <w:t xml:space="preserve"> longo prazo de novo investimento de capital. </w:t>
            </w:r>
            <w:r w:rsidR="00FB4248">
              <w:rPr>
                <w:rFonts w:asciiTheme="minorHAnsi" w:hAnsiTheme="minorHAnsi" w:cs="Garamond"/>
                <w:b w:val="0"/>
                <w:sz w:val="18"/>
                <w:szCs w:val="18"/>
                <w:lang w:val="pt-PT"/>
              </w:rPr>
              <w:t>No entanto, a construção de nova capacidade de geração e transmissão é inegavelmente importante, uma vez que a insuficiência de electricidade permanece entre os grandes constrangimentos citados por empresas angolanas nos Inquéritos às Empresas do Banco Mundial (Figura 6).</w:t>
            </w:r>
            <w:r w:rsidR="00CF48C2">
              <w:rPr>
                <w:rFonts w:asciiTheme="minorHAnsi" w:hAnsiTheme="minorHAnsi" w:cs="Garamond"/>
                <w:b w:val="0"/>
                <w:sz w:val="18"/>
                <w:szCs w:val="18"/>
                <w:lang w:val="pt-PT"/>
              </w:rPr>
              <w:t xml:space="preserve"> Estima-se que os cortes de abastecimento de energia custem à empresa média angolana cerca de 8,8% das suas receitas anuais.</w:t>
            </w:r>
          </w:p>
          <w:p w:rsidR="004F1CB9" w:rsidRDefault="004F1CB9" w:rsidP="004F1CB9">
            <w:pPr>
              <w:autoSpaceDE w:val="0"/>
              <w:autoSpaceDN w:val="0"/>
              <w:adjustRightInd w:val="0"/>
              <w:rPr>
                <w:rFonts w:asciiTheme="minorHAnsi" w:hAnsiTheme="minorHAnsi" w:cs="Garamond"/>
                <w:sz w:val="18"/>
                <w:szCs w:val="18"/>
                <w:lang w:val="pt-PT"/>
              </w:rPr>
            </w:pPr>
          </w:p>
          <w:p w:rsidR="00FB3B8E" w:rsidRDefault="00FB3B8E" w:rsidP="004F1CB9">
            <w:pPr>
              <w:autoSpaceDE w:val="0"/>
              <w:autoSpaceDN w:val="0"/>
              <w:adjustRightInd w:val="0"/>
              <w:rPr>
                <w:rFonts w:asciiTheme="minorHAnsi" w:hAnsiTheme="minorHAnsi" w:cs="Garamond"/>
                <w:sz w:val="18"/>
                <w:szCs w:val="18"/>
                <w:lang w:val="pt-PT"/>
              </w:rPr>
            </w:pPr>
          </w:p>
          <w:p w:rsidR="00FB3B8E" w:rsidRPr="004F272B" w:rsidRDefault="00FB3B8E" w:rsidP="004F1CB9">
            <w:pPr>
              <w:autoSpaceDE w:val="0"/>
              <w:autoSpaceDN w:val="0"/>
              <w:adjustRightInd w:val="0"/>
              <w:rPr>
                <w:rFonts w:asciiTheme="minorHAnsi" w:hAnsiTheme="minorHAnsi" w:cs="Garamond"/>
                <w:sz w:val="18"/>
                <w:szCs w:val="18"/>
                <w:lang w:val="pt-PT"/>
              </w:rPr>
            </w:pPr>
          </w:p>
          <w:p w:rsidR="00100E9D" w:rsidRPr="004F272B" w:rsidRDefault="00A94626" w:rsidP="000D4CFF">
            <w:pPr>
              <w:pStyle w:val="Caption"/>
              <w:keepNext/>
              <w:jc w:val="center"/>
              <w:rPr>
                <w:rFonts w:asciiTheme="minorHAnsi" w:hAnsiTheme="minorHAnsi"/>
                <w:color w:val="943634" w:themeColor="accent2" w:themeShade="BF"/>
                <w:lang w:val="pt-PT"/>
              </w:rPr>
            </w:pPr>
            <w:bookmarkStart w:id="60" w:name="_Ref384202916"/>
            <w:bookmarkStart w:id="61" w:name="_Toc384305314"/>
            <w:r w:rsidRPr="004F272B">
              <w:rPr>
                <w:rFonts w:asciiTheme="minorHAnsi" w:hAnsiTheme="minorHAnsi"/>
                <w:color w:val="943634" w:themeColor="accent2" w:themeShade="BF"/>
                <w:lang w:val="pt-PT"/>
              </w:rPr>
              <w:lastRenderedPageBreak/>
              <w:t>Figur</w:t>
            </w:r>
            <w:r w:rsidR="00CF48C2">
              <w:rPr>
                <w:rFonts w:asciiTheme="minorHAnsi" w:hAnsiTheme="minorHAnsi"/>
                <w:color w:val="943634" w:themeColor="accent2" w:themeShade="BF"/>
                <w:lang w:val="pt-PT"/>
              </w:rPr>
              <w:t>a</w:t>
            </w:r>
            <w:r w:rsidRPr="004F272B">
              <w:rPr>
                <w:rFonts w:asciiTheme="minorHAnsi" w:hAnsiTheme="minorHAnsi"/>
                <w:color w:val="943634" w:themeColor="accent2" w:themeShade="BF"/>
                <w:lang w:val="pt-PT"/>
              </w:rPr>
              <w:t xml:space="preserve"> </w:t>
            </w:r>
            <w:r w:rsidR="00FB4E23" w:rsidRPr="004F272B">
              <w:rPr>
                <w:rFonts w:asciiTheme="minorHAnsi" w:hAnsiTheme="minorHAnsi"/>
                <w:color w:val="943634" w:themeColor="accent2" w:themeShade="BF"/>
                <w:lang w:val="pt-PT"/>
              </w:rPr>
              <w:fldChar w:fldCharType="begin"/>
            </w:r>
            <w:r w:rsidR="001155F6" w:rsidRPr="004F272B">
              <w:rPr>
                <w:rFonts w:asciiTheme="minorHAnsi" w:hAnsiTheme="minorHAnsi"/>
                <w:color w:val="943634" w:themeColor="accent2" w:themeShade="BF"/>
                <w:lang w:val="pt-PT"/>
              </w:rPr>
              <w:instrText xml:space="preserve"> SEQ Figure \* ARABIC </w:instrText>
            </w:r>
            <w:r w:rsidR="00FB4E23" w:rsidRPr="004F272B">
              <w:rPr>
                <w:rFonts w:asciiTheme="minorHAnsi" w:hAnsiTheme="minorHAnsi"/>
                <w:color w:val="943634" w:themeColor="accent2" w:themeShade="BF"/>
                <w:lang w:val="pt-PT"/>
              </w:rPr>
              <w:fldChar w:fldCharType="separate"/>
            </w:r>
            <w:r w:rsidR="004F553E">
              <w:rPr>
                <w:rFonts w:asciiTheme="minorHAnsi" w:hAnsiTheme="minorHAnsi"/>
                <w:noProof/>
                <w:color w:val="943634" w:themeColor="accent2" w:themeShade="BF"/>
                <w:lang w:val="pt-PT"/>
              </w:rPr>
              <w:t>5</w:t>
            </w:r>
            <w:r w:rsidR="00FB4E23" w:rsidRPr="004F272B">
              <w:rPr>
                <w:rFonts w:asciiTheme="minorHAnsi" w:hAnsiTheme="minorHAnsi"/>
                <w:color w:val="943634" w:themeColor="accent2" w:themeShade="BF"/>
                <w:lang w:val="pt-PT"/>
              </w:rPr>
              <w:fldChar w:fldCharType="end"/>
            </w:r>
            <w:bookmarkEnd w:id="60"/>
            <w:r w:rsidRPr="004F272B">
              <w:rPr>
                <w:rFonts w:asciiTheme="minorHAnsi" w:hAnsiTheme="minorHAnsi"/>
                <w:color w:val="943634" w:themeColor="accent2" w:themeShade="BF"/>
                <w:lang w:val="pt-PT"/>
              </w:rPr>
              <w:t xml:space="preserve">: </w:t>
            </w:r>
            <w:r w:rsidR="00CF48C2">
              <w:rPr>
                <w:rFonts w:asciiTheme="minorHAnsi" w:hAnsiTheme="minorHAnsi"/>
                <w:color w:val="943634" w:themeColor="accent2" w:themeShade="BF"/>
                <w:lang w:val="pt-PT"/>
              </w:rPr>
              <w:t>O sector da electricidade de Angola é altamente ineficiente</w:t>
            </w:r>
            <w:bookmarkEnd w:id="61"/>
          </w:p>
          <w:p w:rsidR="00A94626" w:rsidRDefault="00100E9D" w:rsidP="000D4CFF">
            <w:pPr>
              <w:pStyle w:val="Caption"/>
              <w:keepNext/>
              <w:jc w:val="center"/>
              <w:rPr>
                <w:rFonts w:asciiTheme="minorHAnsi" w:hAnsiTheme="minorHAnsi"/>
                <w:i/>
                <w:color w:val="auto"/>
                <w:lang w:val="pt-PT"/>
              </w:rPr>
            </w:pPr>
            <w:r w:rsidRPr="004F272B">
              <w:rPr>
                <w:rFonts w:asciiTheme="minorHAnsi" w:hAnsiTheme="minorHAnsi"/>
                <w:i/>
                <w:color w:val="auto"/>
                <w:lang w:val="pt-PT"/>
              </w:rPr>
              <w:t>(E</w:t>
            </w:r>
            <w:r w:rsidR="00CF48C2">
              <w:rPr>
                <w:rFonts w:asciiTheme="minorHAnsi" w:hAnsiTheme="minorHAnsi"/>
                <w:i/>
                <w:color w:val="auto"/>
                <w:lang w:val="pt-PT"/>
              </w:rPr>
              <w:t xml:space="preserve">statísticas do sector da electricidade, </w:t>
            </w:r>
            <w:r w:rsidRPr="004F272B">
              <w:rPr>
                <w:rFonts w:asciiTheme="minorHAnsi" w:hAnsiTheme="minorHAnsi"/>
                <w:i/>
                <w:color w:val="auto"/>
                <w:lang w:val="pt-PT"/>
              </w:rPr>
              <w:t xml:space="preserve">Angola, SSA </w:t>
            </w:r>
            <w:r w:rsidR="00CF48C2">
              <w:rPr>
                <w:rFonts w:asciiTheme="minorHAnsi" w:hAnsiTheme="minorHAnsi"/>
                <w:i/>
                <w:color w:val="auto"/>
                <w:lang w:val="pt-PT"/>
              </w:rPr>
              <w:t>e médias globais</w:t>
            </w:r>
            <w:r w:rsidRPr="004F272B">
              <w:rPr>
                <w:rFonts w:asciiTheme="minorHAnsi" w:hAnsiTheme="minorHAnsi"/>
                <w:i/>
                <w:color w:val="auto"/>
                <w:lang w:val="pt-PT"/>
              </w:rPr>
              <w:t>)</w:t>
            </w:r>
          </w:p>
          <w:p w:rsidR="00FB3B8E" w:rsidRPr="00FB3B8E" w:rsidRDefault="00FB3B8E" w:rsidP="00FB3B8E">
            <w:pPr>
              <w:rPr>
                <w:lang w:val="pt-PT"/>
              </w:rPr>
            </w:pPr>
          </w:p>
          <w:p w:rsidR="004F1CB9" w:rsidRPr="004F272B" w:rsidRDefault="00FB3B8E" w:rsidP="000D4CFF">
            <w:pPr>
              <w:autoSpaceDE w:val="0"/>
              <w:autoSpaceDN w:val="0"/>
              <w:adjustRightInd w:val="0"/>
              <w:jc w:val="center"/>
              <w:rPr>
                <w:rFonts w:asciiTheme="minorHAnsi" w:hAnsiTheme="minorHAnsi" w:cs="Garamond"/>
                <w:b w:val="0"/>
                <w:bCs w:val="0"/>
                <w:color w:val="auto"/>
                <w:sz w:val="18"/>
                <w:szCs w:val="18"/>
                <w:lang w:val="pt-PT"/>
              </w:rPr>
            </w:pPr>
            <w:r>
              <w:rPr>
                <w:noProof/>
              </w:rPr>
              <w:drawing>
                <wp:inline distT="0" distB="0" distL="0" distR="0" wp14:anchorId="34E16B12" wp14:editId="433122F0">
                  <wp:extent cx="6057900" cy="353377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F1CB9" w:rsidRPr="004F272B" w:rsidRDefault="003B14B7" w:rsidP="000D4CFF">
            <w:pPr>
              <w:autoSpaceDE w:val="0"/>
              <w:autoSpaceDN w:val="0"/>
              <w:adjustRightInd w:val="0"/>
              <w:jc w:val="left"/>
              <w:rPr>
                <w:rFonts w:asciiTheme="minorHAnsi" w:hAnsiTheme="minorHAnsi" w:cs="Times New Roman"/>
                <w:b w:val="0"/>
                <w:color w:val="808080" w:themeColor="background1" w:themeShade="80"/>
                <w:sz w:val="16"/>
                <w:szCs w:val="16"/>
                <w:lang w:val="pt-PT"/>
              </w:rPr>
            </w:pPr>
            <w:r w:rsidRPr="004F272B">
              <w:rPr>
                <w:rFonts w:asciiTheme="minorHAnsi" w:hAnsiTheme="minorHAnsi" w:cs="Times New Roman"/>
                <w:color w:val="808080" w:themeColor="background1" w:themeShade="80"/>
                <w:sz w:val="16"/>
                <w:szCs w:val="16"/>
                <w:lang w:val="pt-PT"/>
              </w:rPr>
              <w:t>Fonte</w:t>
            </w:r>
            <w:r w:rsidR="004F1CB9" w:rsidRPr="004F272B">
              <w:rPr>
                <w:rFonts w:asciiTheme="minorHAnsi" w:hAnsiTheme="minorHAnsi" w:cs="Times New Roman"/>
                <w:color w:val="808080" w:themeColor="background1" w:themeShade="80"/>
                <w:sz w:val="16"/>
                <w:szCs w:val="16"/>
                <w:lang w:val="pt-PT"/>
              </w:rPr>
              <w:t>:  </w:t>
            </w:r>
            <w:r w:rsidR="00CF48C2">
              <w:rPr>
                <w:rFonts w:asciiTheme="minorHAnsi" w:hAnsiTheme="minorHAnsi" w:cs="Times New Roman"/>
                <w:color w:val="808080" w:themeColor="background1" w:themeShade="80"/>
                <w:sz w:val="16"/>
                <w:szCs w:val="16"/>
                <w:lang w:val="pt-PT"/>
              </w:rPr>
              <w:t xml:space="preserve">Inquérito às Empresas do Banco Mundial de </w:t>
            </w:r>
            <w:r w:rsidR="00AD24C1" w:rsidRPr="004F272B">
              <w:rPr>
                <w:rFonts w:asciiTheme="minorHAnsi" w:hAnsiTheme="minorHAnsi" w:cs="Times New Roman"/>
                <w:color w:val="808080" w:themeColor="background1" w:themeShade="80"/>
                <w:sz w:val="16"/>
                <w:szCs w:val="16"/>
                <w:lang w:val="pt-PT"/>
              </w:rPr>
              <w:t>2010</w:t>
            </w:r>
            <w:r w:rsidR="004F1CB9" w:rsidRPr="004F272B">
              <w:rPr>
                <w:rFonts w:asciiTheme="minorHAnsi" w:hAnsiTheme="minorHAnsi" w:cs="Times New Roman"/>
                <w:color w:val="808080" w:themeColor="background1" w:themeShade="80"/>
                <w:sz w:val="16"/>
                <w:szCs w:val="16"/>
                <w:lang w:val="pt-PT"/>
              </w:rPr>
              <w:t xml:space="preserve"> (</w:t>
            </w:r>
            <w:hyperlink r:id="rId22" w:history="1">
              <w:r w:rsidR="00AD24C1" w:rsidRPr="004F272B">
                <w:rPr>
                  <w:rStyle w:val="Hyperlink"/>
                  <w:rFonts w:cs="Times New Roman"/>
                  <w:color w:val="808080" w:themeColor="background1" w:themeShade="80"/>
                  <w:sz w:val="16"/>
                  <w:szCs w:val="16"/>
                  <w:lang w:val="pt-PT"/>
                </w:rPr>
                <w:t>http://www.enterprisesurveys.org</w:t>
              </w:r>
            </w:hyperlink>
            <w:r w:rsidR="004F1CB9" w:rsidRPr="004F272B">
              <w:rPr>
                <w:rFonts w:asciiTheme="minorHAnsi" w:hAnsiTheme="minorHAnsi" w:cs="Times New Roman"/>
                <w:color w:val="808080" w:themeColor="background1" w:themeShade="80"/>
                <w:sz w:val="16"/>
                <w:szCs w:val="16"/>
                <w:lang w:val="pt-PT"/>
              </w:rPr>
              <w:t>)</w:t>
            </w:r>
          </w:p>
          <w:p w:rsidR="004F1CB9" w:rsidRPr="004F272B" w:rsidRDefault="004F1CB9" w:rsidP="004F1CB9">
            <w:pPr>
              <w:autoSpaceDE w:val="0"/>
              <w:autoSpaceDN w:val="0"/>
              <w:adjustRightInd w:val="0"/>
              <w:rPr>
                <w:rFonts w:asciiTheme="minorHAnsi" w:hAnsiTheme="minorHAnsi" w:cs="Garamond"/>
                <w:sz w:val="18"/>
                <w:szCs w:val="18"/>
                <w:lang w:val="pt-PT"/>
              </w:rPr>
            </w:pPr>
          </w:p>
          <w:p w:rsidR="004F1CB9" w:rsidRPr="004F272B" w:rsidRDefault="00D95B2F" w:rsidP="004F1CB9">
            <w:pPr>
              <w:autoSpaceDE w:val="0"/>
              <w:autoSpaceDN w:val="0"/>
              <w:adjustRightInd w:val="0"/>
              <w:rPr>
                <w:rFonts w:asciiTheme="minorHAnsi" w:hAnsiTheme="minorHAnsi" w:cs="Myriad Pro Light"/>
                <w:b w:val="0"/>
                <w:color w:val="000000"/>
                <w:sz w:val="18"/>
                <w:szCs w:val="18"/>
                <w:lang w:val="pt-PT"/>
              </w:rPr>
            </w:pPr>
            <w:r>
              <w:rPr>
                <w:rFonts w:asciiTheme="minorHAnsi" w:hAnsiTheme="minorHAnsi" w:cs="Garamond"/>
                <w:sz w:val="18"/>
                <w:szCs w:val="18"/>
                <w:lang w:val="pt-PT"/>
              </w:rPr>
              <w:t xml:space="preserve">A expansão do abastecimento de electricidade irá reduzir o custo marginal da energia e a eliminação gradual dos subsídios irá ainda dar origem a um aumento líquido das tarifas de electricidade; </w:t>
            </w:r>
            <w:r w:rsidR="00672B96">
              <w:rPr>
                <w:rFonts w:asciiTheme="minorHAnsi" w:hAnsiTheme="minorHAnsi" w:cs="Garamond"/>
                <w:sz w:val="18"/>
                <w:szCs w:val="18"/>
                <w:lang w:val="pt-PT"/>
              </w:rPr>
              <w:t xml:space="preserve">um regime de subsídios específico iria contribuir para que não sejam os pobres a </w:t>
            </w:r>
            <w:r w:rsidR="006B0E8F" w:rsidRPr="004F272B">
              <w:rPr>
                <w:rFonts w:asciiTheme="minorHAnsi" w:hAnsiTheme="minorHAnsi" w:cs="Garamond"/>
                <w:sz w:val="18"/>
                <w:szCs w:val="18"/>
                <w:lang w:val="pt-PT"/>
              </w:rPr>
              <w:t>s</w:t>
            </w:r>
            <w:r w:rsidR="004015C8">
              <w:rPr>
                <w:rFonts w:asciiTheme="minorHAnsi" w:hAnsiTheme="minorHAnsi" w:cs="Garamond"/>
                <w:sz w:val="18"/>
                <w:szCs w:val="18"/>
                <w:lang w:val="pt-PT"/>
              </w:rPr>
              <w:t>uportar o peso das reformas</w:t>
            </w:r>
            <w:r w:rsidR="004F1CB9" w:rsidRPr="004F272B">
              <w:rPr>
                <w:rFonts w:asciiTheme="minorHAnsi" w:hAnsiTheme="minorHAnsi" w:cs="Garamond"/>
                <w:sz w:val="18"/>
                <w:szCs w:val="18"/>
                <w:lang w:val="pt-PT"/>
              </w:rPr>
              <w:t>.</w:t>
            </w:r>
            <w:r w:rsidR="004F1CB9" w:rsidRPr="004F272B">
              <w:rPr>
                <w:rFonts w:asciiTheme="minorHAnsi" w:hAnsiTheme="minorHAnsi" w:cs="Garamond"/>
                <w:b w:val="0"/>
                <w:sz w:val="18"/>
                <w:szCs w:val="18"/>
                <w:lang w:val="pt-PT"/>
              </w:rPr>
              <w:t xml:space="preserve"> </w:t>
            </w:r>
            <w:r w:rsidR="004015C8">
              <w:rPr>
                <w:rFonts w:asciiTheme="minorHAnsi" w:hAnsiTheme="minorHAnsi" w:cs="Garamond"/>
                <w:b w:val="0"/>
                <w:sz w:val="18"/>
                <w:szCs w:val="18"/>
                <w:lang w:val="pt-PT"/>
              </w:rPr>
              <w:t>A experiência internacional prova que</w:t>
            </w:r>
            <w:r w:rsidR="008602D4">
              <w:rPr>
                <w:rFonts w:asciiTheme="minorHAnsi" w:hAnsiTheme="minorHAnsi" w:cs="Garamond"/>
                <w:b w:val="0"/>
                <w:sz w:val="18"/>
                <w:szCs w:val="18"/>
                <w:lang w:val="pt-PT"/>
              </w:rPr>
              <w:t xml:space="preserve"> os subsídios universais à energia não são uma política favorável aos pobres. As famílias mais pobres tendem a afectar aos produtos energéticos uma quota do seu rendimento inferior à dos agregados mais ricos e têm uma probabilidade menor de ter acesso às redes eléctricas. Se bem que este efeito seja variável entre países e produtos energéticos (em que os subsídios ao querosene são tradicionalmente os menos regressivos), os dados referentes a Moçambique, Serra Leoa, Zâmbia, Gana, Camarões e Costa de Marfim mostram que, em média, o quintile de rendimento superior recebe quase o dobre dos benefícios do quintile mais baixo. No entanto, enquanto a eliminação de subsídios sem mecanismos específicos ou de compensação terá um efeito maior nas famílias mais ricas, os pobres têm uma capacidade bastante menor para absorver o impacto do choque dos preços.  As autoridades deveriam começar por desenvolver um plano ou para eliminar gradualmente os subsídios de uma forma específica que poupe </w:t>
            </w:r>
            <w:r w:rsidR="00B802B0">
              <w:rPr>
                <w:rFonts w:asciiTheme="minorHAnsi" w:hAnsiTheme="minorHAnsi" w:cs="Garamond"/>
                <w:b w:val="0"/>
                <w:sz w:val="18"/>
                <w:szCs w:val="18"/>
                <w:lang w:val="pt-PT"/>
              </w:rPr>
              <w:t xml:space="preserve">as famílias mais pobres, ou para substituir os subsídios à energia por uma política mais eficaz e em prol dos pobres, tais como transferências directas de dinheiro para os agregados familiares de baixo rendimento. </w:t>
            </w:r>
            <w:r w:rsidR="00CF5F97" w:rsidRPr="004F272B">
              <w:rPr>
                <w:rFonts w:asciiTheme="minorHAnsi" w:hAnsiTheme="minorHAnsi" w:cs="Myriad Pro Light"/>
                <w:b w:val="0"/>
                <w:color w:val="000000"/>
                <w:sz w:val="18"/>
                <w:szCs w:val="18"/>
                <w:lang w:val="pt-PT"/>
              </w:rPr>
              <w:t xml:space="preserve"> </w:t>
            </w:r>
          </w:p>
          <w:p w:rsidR="004F1CB9" w:rsidRPr="004F272B" w:rsidRDefault="004F1CB9" w:rsidP="004F1CB9">
            <w:pPr>
              <w:autoSpaceDE w:val="0"/>
              <w:autoSpaceDN w:val="0"/>
              <w:adjustRightInd w:val="0"/>
              <w:rPr>
                <w:rFonts w:asciiTheme="minorHAnsi" w:hAnsiTheme="minorHAnsi" w:cs="Myriad Pro Light"/>
                <w:b w:val="0"/>
                <w:color w:val="000000"/>
                <w:sz w:val="18"/>
                <w:szCs w:val="18"/>
                <w:lang w:val="pt-PT"/>
              </w:rPr>
            </w:pPr>
          </w:p>
          <w:p w:rsidR="00665573" w:rsidRPr="004F272B" w:rsidRDefault="003B14B7" w:rsidP="000D4CFF">
            <w:pPr>
              <w:autoSpaceDE w:val="0"/>
              <w:autoSpaceDN w:val="0"/>
              <w:adjustRightInd w:val="0"/>
              <w:rPr>
                <w:rFonts w:asciiTheme="minorHAnsi" w:hAnsiTheme="minorHAnsi" w:cs="Myriad Pro Light"/>
                <w:b w:val="0"/>
                <w:color w:val="808080" w:themeColor="background1" w:themeShade="80"/>
                <w:sz w:val="16"/>
                <w:szCs w:val="16"/>
                <w:lang w:val="pt-PT"/>
              </w:rPr>
            </w:pPr>
            <w:r w:rsidRPr="004F272B">
              <w:rPr>
                <w:rFonts w:asciiTheme="minorHAnsi" w:hAnsiTheme="minorHAnsi" w:cs="Myriad Pro Light"/>
                <w:b w:val="0"/>
                <w:color w:val="808080" w:themeColor="background1" w:themeShade="80"/>
                <w:sz w:val="16"/>
                <w:szCs w:val="16"/>
                <w:lang w:val="pt-PT"/>
              </w:rPr>
              <w:t>Fonte</w:t>
            </w:r>
            <w:r w:rsidR="004F1CB9" w:rsidRPr="004F272B">
              <w:rPr>
                <w:rFonts w:asciiTheme="minorHAnsi" w:hAnsiTheme="minorHAnsi" w:cs="Myriad Pro Light"/>
                <w:b w:val="0"/>
                <w:color w:val="808080" w:themeColor="background1" w:themeShade="80"/>
                <w:sz w:val="16"/>
                <w:szCs w:val="16"/>
                <w:lang w:val="pt-PT"/>
              </w:rPr>
              <w:t xml:space="preserve">: </w:t>
            </w:r>
            <w:r w:rsidR="00B802B0">
              <w:rPr>
                <w:rFonts w:asciiTheme="minorHAnsi" w:hAnsiTheme="minorHAnsi" w:cs="Myriad Pro Light"/>
                <w:b w:val="0"/>
                <w:color w:val="808080" w:themeColor="background1" w:themeShade="80"/>
                <w:sz w:val="16"/>
                <w:szCs w:val="16"/>
                <w:lang w:val="pt-PT"/>
              </w:rPr>
              <w:t>Departamento África do FMI</w:t>
            </w:r>
            <w:r w:rsidR="004F1CB9" w:rsidRPr="004F272B">
              <w:rPr>
                <w:rFonts w:asciiTheme="minorHAnsi" w:hAnsiTheme="minorHAnsi" w:cs="Myriad Pro Light"/>
                <w:b w:val="0"/>
                <w:color w:val="808080" w:themeColor="background1" w:themeShade="80"/>
                <w:sz w:val="16"/>
                <w:szCs w:val="16"/>
                <w:lang w:val="pt-PT"/>
              </w:rPr>
              <w:t xml:space="preserve"> (2013) Energy Subsidy Reform in Sub-Saharan Africa Experiences and Lessons, </w:t>
            </w:r>
            <w:r w:rsidR="00B802B0">
              <w:rPr>
                <w:rFonts w:asciiTheme="minorHAnsi" w:hAnsiTheme="minorHAnsi" w:cs="Garamond"/>
                <w:b w:val="0"/>
                <w:color w:val="808080" w:themeColor="background1" w:themeShade="80"/>
                <w:sz w:val="16"/>
                <w:szCs w:val="16"/>
                <w:lang w:val="pt-PT"/>
              </w:rPr>
              <w:t>Washington, D.C.: Fundo Monetário Internacional</w:t>
            </w:r>
            <w:r w:rsidR="00AD24C1" w:rsidRPr="004F272B">
              <w:rPr>
                <w:rFonts w:asciiTheme="minorHAnsi" w:hAnsiTheme="minorHAnsi" w:cs="Myriad Pro Light"/>
                <w:b w:val="0"/>
                <w:color w:val="808080" w:themeColor="background1" w:themeShade="80"/>
                <w:sz w:val="16"/>
                <w:szCs w:val="16"/>
                <w:lang w:val="pt-PT"/>
              </w:rPr>
              <w:t xml:space="preserve">; </w:t>
            </w:r>
          </w:p>
          <w:p w:rsidR="004F1CB9" w:rsidRPr="004F272B" w:rsidRDefault="00B802B0" w:rsidP="00B802B0">
            <w:pPr>
              <w:autoSpaceDE w:val="0"/>
              <w:autoSpaceDN w:val="0"/>
              <w:adjustRightInd w:val="0"/>
              <w:rPr>
                <w:rFonts w:asciiTheme="minorHAnsi" w:hAnsiTheme="minorHAnsi" w:cstheme="minorHAnsi"/>
                <w:b w:val="0"/>
                <w:bCs w:val="0"/>
                <w:color w:val="auto"/>
                <w:sz w:val="18"/>
                <w:szCs w:val="18"/>
                <w:lang w:val="pt-PT"/>
              </w:rPr>
            </w:pPr>
            <w:r>
              <w:rPr>
                <w:rFonts w:asciiTheme="minorHAnsi" w:hAnsiTheme="minorHAnsi" w:cs="Myriad Pro Light"/>
                <w:b w:val="0"/>
                <w:color w:val="808080" w:themeColor="background1" w:themeShade="80"/>
                <w:sz w:val="16"/>
                <w:szCs w:val="16"/>
                <w:lang w:val="pt-PT"/>
              </w:rPr>
              <w:t>Banco Mundial</w:t>
            </w:r>
            <w:r w:rsidR="004F1CB9" w:rsidRPr="004F272B">
              <w:rPr>
                <w:rFonts w:asciiTheme="minorHAnsi" w:hAnsiTheme="minorHAnsi" w:cs="Myriad Pro Light"/>
                <w:b w:val="0"/>
                <w:color w:val="808080" w:themeColor="background1" w:themeShade="80"/>
                <w:sz w:val="16"/>
                <w:szCs w:val="16"/>
                <w:lang w:val="pt-PT"/>
              </w:rPr>
              <w:t xml:space="preserve"> </w:t>
            </w:r>
            <w:r w:rsidR="004F1CB9" w:rsidRPr="004F272B">
              <w:rPr>
                <w:rFonts w:asciiTheme="minorHAnsi" w:hAnsiTheme="minorHAnsi" w:cs="Arial"/>
                <w:b w:val="0"/>
                <w:color w:val="808080" w:themeColor="background1" w:themeShade="80"/>
                <w:sz w:val="16"/>
                <w:szCs w:val="16"/>
                <w:lang w:val="pt-PT"/>
              </w:rPr>
              <w:t xml:space="preserve">(2012) </w:t>
            </w:r>
            <w:r w:rsidR="004F1CB9" w:rsidRPr="004F272B">
              <w:rPr>
                <w:rFonts w:asciiTheme="minorHAnsi" w:hAnsiTheme="minorHAnsi" w:cs="Myriad Pro Light"/>
                <w:b w:val="0"/>
                <w:color w:val="808080" w:themeColor="background1" w:themeShade="80"/>
                <w:sz w:val="16"/>
                <w:szCs w:val="16"/>
                <w:lang w:val="pt-PT"/>
              </w:rPr>
              <w:t xml:space="preserve">Africa's Pulse Vol. 5, Washington DC: </w:t>
            </w:r>
            <w:r>
              <w:rPr>
                <w:rFonts w:asciiTheme="minorHAnsi" w:hAnsiTheme="minorHAnsi" w:cs="Myriad Pro Light"/>
                <w:b w:val="0"/>
                <w:color w:val="808080" w:themeColor="background1" w:themeShade="80"/>
                <w:sz w:val="16"/>
                <w:szCs w:val="16"/>
                <w:lang w:val="pt-PT"/>
              </w:rPr>
              <w:t>Banco Mundial</w:t>
            </w:r>
          </w:p>
        </w:tc>
      </w:tr>
    </w:tbl>
    <w:p w:rsidR="00946D49" w:rsidRPr="006C34E6" w:rsidRDefault="00946D49" w:rsidP="00946D49">
      <w:pPr>
        <w:pStyle w:val="Heading2"/>
        <w:rPr>
          <w:lang w:val="pt-PT"/>
        </w:rPr>
      </w:pPr>
      <w:bookmarkStart w:id="62" w:name="_Toc387169366"/>
      <w:bookmarkStart w:id="63" w:name="_Toc391261700"/>
      <w:r w:rsidRPr="006C34E6">
        <w:rPr>
          <w:lang w:val="pt-PT"/>
        </w:rPr>
        <w:lastRenderedPageBreak/>
        <w:t>Balança de Pagamentos</w:t>
      </w:r>
      <w:bookmarkEnd w:id="62"/>
      <w:bookmarkEnd w:id="63"/>
    </w:p>
    <w:p w:rsidR="00946D49" w:rsidRPr="006C34E6" w:rsidRDefault="00946D49" w:rsidP="00946D49">
      <w:pPr>
        <w:rPr>
          <w:rFonts w:cs="Times New Roman"/>
          <w:lang w:val="pt-PT"/>
        </w:rPr>
      </w:pPr>
    </w:p>
    <w:p w:rsidR="00946D49" w:rsidRPr="006C34E6" w:rsidRDefault="00946D49" w:rsidP="0085133C">
      <w:pPr>
        <w:pStyle w:val="ParagraphNumbering"/>
        <w:rPr>
          <w:lang w:val="pt-PT"/>
        </w:rPr>
      </w:pPr>
      <w:r w:rsidRPr="00FB3B8E">
        <w:rPr>
          <w:b/>
          <w:lang w:val="pt-PT"/>
        </w:rPr>
        <w:t>E</w:t>
      </w:r>
      <w:r w:rsidRPr="005E469D">
        <w:rPr>
          <w:b/>
          <w:lang w:val="pt-PT"/>
        </w:rPr>
        <w:t>mbora Angola continue a apresentar um significativo excedente, a balança de transacções correntes continua altamente vulnerável a choques externos.</w:t>
      </w:r>
      <w:r w:rsidRPr="006C34E6">
        <w:rPr>
          <w:lang w:val="pt-PT"/>
        </w:rPr>
        <w:t xml:space="preserve"> As exportações de petróleo dominam as receitas em divisas, mas em 2013 começaram a declinar, com a quebra nos preços globais do petróleo. Entretanto, muitas exportações não petrolíferas continuam baixas e geralmente estagnadas, devido à escassa capacidade dos produtores angolanos em ganhar acesso e competir em mercados estrangeiros. Do lado das importações, a crescente procura, tanto de bens de consumo como bens de capital relacionados com o sector do petróleo, superou a baixa dos preços globais de alimentos e produtos de base (</w:t>
      </w:r>
      <w:r w:rsidRPr="006C34E6">
        <w:rPr>
          <w:i/>
          <w:lang w:val="pt-PT"/>
        </w:rPr>
        <w:t>commodities</w:t>
      </w:r>
      <w:r w:rsidRPr="006C34E6">
        <w:rPr>
          <w:lang w:val="pt-PT"/>
        </w:rPr>
        <w:t xml:space="preserve">). O reforço da competitividade da exportação do sector não-petrolífero (incluindo indústrias </w:t>
      </w:r>
      <w:r w:rsidRPr="006C34E6">
        <w:rPr>
          <w:lang w:val="pt-PT"/>
        </w:rPr>
        <w:lastRenderedPageBreak/>
        <w:t>extractivas não relacionadas com o petróleo) será vital para manter um excedente estável da balança de contas correntes e reduzir a exposição de Angola à volatilidade dos termos de troca.</w:t>
      </w:r>
    </w:p>
    <w:p w:rsidR="00946D49" w:rsidRPr="006C34E6" w:rsidRDefault="00946D49" w:rsidP="0085133C">
      <w:pPr>
        <w:pStyle w:val="ParagraphNumbering"/>
        <w:numPr>
          <w:ilvl w:val="0"/>
          <w:numId w:val="0"/>
        </w:numPr>
        <w:rPr>
          <w:lang w:val="pt-PT"/>
        </w:rPr>
      </w:pPr>
    </w:p>
    <w:p w:rsidR="00946D49" w:rsidRPr="006C34E6" w:rsidRDefault="00946D49" w:rsidP="0085133C">
      <w:pPr>
        <w:pStyle w:val="ParagraphNumbering"/>
        <w:rPr>
          <w:lang w:val="pt-PT"/>
        </w:rPr>
      </w:pPr>
      <w:r w:rsidRPr="005E469D">
        <w:rPr>
          <w:b/>
          <w:lang w:val="pt-PT"/>
        </w:rPr>
        <w:t>O declínio das exportações e o aumento de importações reduziram o excedente da conta corrente, de um nível elevado de 12,1 por cento do PIB em 2012, para 6,5 por cento em 2013.</w:t>
      </w:r>
      <w:r w:rsidRPr="006C34E6">
        <w:rPr>
          <w:lang w:val="pt-PT"/>
        </w:rPr>
        <w:t xml:space="preserve">  O estreitar da margem do excedente da conta corrente foi devido principalmente a uma deterioração da balança comercial. Em 2013, a importação real de bens e serviços terá subido em 10,9 por cento, enquanto o crescimento real das exportações terá tido uma contracção de 0,6 por cento. Além disso, a quebra do excedente da conta corrente parece ser resultado de poupanças mais reduzidas e não de maior investimento (Caixa 5).</w:t>
      </w:r>
    </w:p>
    <w:p w:rsidR="00946D49" w:rsidRPr="006C34E6" w:rsidRDefault="00946D49" w:rsidP="00946D49">
      <w:pPr>
        <w:pStyle w:val="ListParagraph"/>
        <w:rPr>
          <w:lang w:val="pt-PT"/>
        </w:rPr>
      </w:pPr>
    </w:p>
    <w:p w:rsidR="004F553E" w:rsidRPr="005E469D" w:rsidRDefault="00946D49" w:rsidP="004F553E">
      <w:pPr>
        <w:pStyle w:val="ParagraphNumbering"/>
        <w:rPr>
          <w:lang w:val="pt-PT"/>
        </w:rPr>
      </w:pPr>
      <w:r w:rsidRPr="006C34E6">
        <w:rPr>
          <w:b/>
          <w:lang w:val="pt-PT"/>
        </w:rPr>
        <w:t xml:space="preserve">A quebra nas exportações foi resultado directo da baixa no preço do petróleo. </w:t>
      </w:r>
      <w:r w:rsidRPr="006C34E6">
        <w:rPr>
          <w:lang w:val="pt-PT"/>
        </w:rPr>
        <w:t>Em 2013, as exportações de petróleo representavam cerca de 97 por cento do total de bens exportados, o que realça a extrema sensibilidade da balança comercial a choques no mercado global do petróleo. Entretanto, a exportação de bens, serviços e mercadorias não-petrolíferas mantém-se estável, reflectindo também a limitada capacidade dos produtores angolanos em ganhar acesso a mercados estrangeiros.  Angola tem uma elevada concentração de produtos de exportação, mesmo em comparação com os padrões de outros grandes exportadores de petróleo. Além disso, essas exportações chegavam a muito poucos mercados de destino, o que sugere que as empresas angolanas enfrentam obstáculos que limitam a sua capacidade de participar na economia global (</w:t>
      </w:r>
      <w:r w:rsidRPr="006C34E6">
        <w:rPr>
          <w:lang w:val="pt-PT"/>
        </w:rPr>
        <w:fldChar w:fldCharType="begin"/>
      </w:r>
      <w:r w:rsidRPr="006C34E6">
        <w:rPr>
          <w:lang w:val="pt-PT"/>
        </w:rPr>
        <w:instrText xml:space="preserve"> REF _Ref382495188 \h  \* MERGEFORMAT </w:instrText>
      </w:r>
      <w:r w:rsidRPr="006C34E6">
        <w:rPr>
          <w:lang w:val="pt-PT"/>
        </w:rPr>
      </w:r>
      <w:r w:rsidRPr="006C34E6">
        <w:rPr>
          <w:lang w:val="pt-PT"/>
        </w:rPr>
        <w:fldChar w:fldCharType="separate"/>
      </w:r>
      <w:r w:rsidR="004F553E" w:rsidRPr="004F553E">
        <w:rPr>
          <w:lang w:val="pt-PT"/>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802"/>
      </w:tblGrid>
      <w:tr w:rsidR="004F553E" w:rsidRPr="004E1715" w:rsidTr="0026323F">
        <w:tc>
          <w:tcPr>
            <w:tcW w:w="4774" w:type="dxa"/>
          </w:tcPr>
          <w:p w:rsidR="004F553E" w:rsidRPr="006C34E6" w:rsidRDefault="004F553E" w:rsidP="004F553E">
            <w:pPr>
              <w:pStyle w:val="ParagraphNumbering"/>
              <w:rPr>
                <w:rFonts w:asciiTheme="minorHAnsi" w:eastAsia="Times New Roman" w:hAnsiTheme="minorHAnsi" w:cs="Times New Roman"/>
                <w:color w:val="943634" w:themeColor="accent2" w:themeShade="BF"/>
                <w:lang w:val="pt-PT"/>
              </w:rPr>
            </w:pPr>
            <w:r w:rsidRPr="006C34E6">
              <w:rPr>
                <w:rFonts w:asciiTheme="minorHAnsi" w:eastAsia="Times New Roman" w:hAnsiTheme="minorHAnsi" w:cs="Times New Roman"/>
                <w:color w:val="943634" w:themeColor="accent2" w:themeShade="BF"/>
                <w:lang w:val="pt-PT"/>
              </w:rPr>
              <w:lastRenderedPageBreak/>
              <w:t xml:space="preserve">Figura </w:t>
            </w:r>
            <w:r>
              <w:rPr>
                <w:rFonts w:asciiTheme="minorHAnsi" w:eastAsia="Times New Roman" w:hAnsiTheme="minorHAnsi" w:cs="Times New Roman"/>
                <w:color w:val="943634" w:themeColor="accent2" w:themeShade="BF"/>
                <w:lang w:val="pt-PT"/>
              </w:rPr>
              <w:t>6</w:t>
            </w:r>
            <w:r w:rsidRPr="006C34E6">
              <w:rPr>
                <w:rFonts w:asciiTheme="minorHAnsi" w:eastAsia="Times New Roman" w:hAnsiTheme="minorHAnsi" w:cs="Times New Roman"/>
                <w:color w:val="943634" w:themeColor="accent2" w:themeShade="BF"/>
                <w:lang w:val="pt-PT"/>
              </w:rPr>
              <w:t>:  A concentração de exportações de Angola é elevada, mesmo quando comparada com outros grandes exportadores de petróleo…</w:t>
            </w:r>
          </w:p>
          <w:p w:rsidR="004F553E" w:rsidRPr="006C34E6" w:rsidRDefault="004F553E" w:rsidP="00946D49">
            <w:pPr>
              <w:rPr>
                <w:rFonts w:asciiTheme="minorHAnsi" w:hAnsiTheme="minorHAnsi"/>
                <w:b/>
                <w:i/>
                <w:sz w:val="18"/>
                <w:szCs w:val="18"/>
                <w:lang w:val="pt-PT"/>
              </w:rPr>
            </w:pPr>
            <w:r w:rsidRPr="006C34E6">
              <w:rPr>
                <w:rFonts w:asciiTheme="minorHAnsi" w:hAnsiTheme="minorHAnsi"/>
                <w:b/>
                <w:i/>
                <w:sz w:val="18"/>
                <w:szCs w:val="18"/>
                <w:lang w:val="pt-PT"/>
              </w:rPr>
              <w:t xml:space="preserve">(Índice de concentração de produtos exportados, 2012) </w:t>
            </w:r>
          </w:p>
        </w:tc>
        <w:tc>
          <w:tcPr>
            <w:tcW w:w="4802" w:type="dxa"/>
          </w:tcPr>
          <w:p w:rsidR="004F553E" w:rsidRPr="006C34E6" w:rsidRDefault="004F553E" w:rsidP="00946D49">
            <w:pPr>
              <w:pStyle w:val="Caption"/>
              <w:jc w:val="left"/>
              <w:rPr>
                <w:rFonts w:asciiTheme="minorHAnsi" w:eastAsia="Times New Roman" w:hAnsiTheme="minorHAnsi" w:cs="Times New Roman"/>
                <w:color w:val="943634" w:themeColor="accent2" w:themeShade="BF"/>
                <w:lang w:val="pt-PT"/>
              </w:rPr>
            </w:pPr>
            <w:r w:rsidRPr="006C34E6">
              <w:rPr>
                <w:rFonts w:asciiTheme="minorHAnsi" w:eastAsia="Times New Roman" w:hAnsiTheme="minorHAnsi" w:cs="Times New Roman"/>
                <w:color w:val="943634" w:themeColor="accent2" w:themeShade="BF"/>
                <w:lang w:val="pt-PT"/>
              </w:rPr>
              <w:t xml:space="preserve">…e as suas exportações chegam apenas a uma pequena quota dos mercados disponíveis. </w:t>
            </w:r>
          </w:p>
          <w:p w:rsidR="004F553E" w:rsidRPr="006C34E6" w:rsidRDefault="004F553E" w:rsidP="00946D49">
            <w:pPr>
              <w:rPr>
                <w:lang w:val="pt-PT"/>
              </w:rPr>
            </w:pPr>
          </w:p>
          <w:p w:rsidR="004F553E" w:rsidRPr="006C34E6" w:rsidRDefault="004F553E" w:rsidP="00946D49">
            <w:pPr>
              <w:rPr>
                <w:rFonts w:asciiTheme="minorHAnsi" w:hAnsiTheme="minorHAnsi"/>
                <w:b/>
                <w:i/>
                <w:sz w:val="18"/>
                <w:szCs w:val="18"/>
                <w:lang w:val="pt-PT"/>
              </w:rPr>
            </w:pPr>
            <w:r w:rsidRPr="006C34E6">
              <w:rPr>
                <w:rFonts w:asciiTheme="minorHAnsi" w:hAnsiTheme="minorHAnsi"/>
                <w:b/>
                <w:i/>
                <w:sz w:val="18"/>
                <w:szCs w:val="18"/>
                <w:lang w:val="pt-PT"/>
              </w:rPr>
              <w:t>(Índice de penetração no mercado da exportação, 2010)</w:t>
            </w:r>
            <w:r w:rsidRPr="006C34E6">
              <w:rPr>
                <w:rStyle w:val="FootnoteReference"/>
                <w:rFonts w:asciiTheme="minorHAnsi" w:hAnsiTheme="minorHAnsi"/>
                <w:b/>
                <w:i/>
                <w:sz w:val="18"/>
                <w:szCs w:val="18"/>
                <w:lang w:val="pt-PT"/>
              </w:rPr>
              <w:t xml:space="preserve"> </w:t>
            </w:r>
          </w:p>
        </w:tc>
      </w:tr>
    </w:tbl>
    <w:p w:rsidR="00946D49" w:rsidRPr="006C34E6" w:rsidRDefault="00946D49" w:rsidP="0085133C">
      <w:pPr>
        <w:pStyle w:val="ParagraphNumbering"/>
        <w:rPr>
          <w:color w:val="auto"/>
          <w:lang w:val="pt-PT"/>
        </w:rPr>
      </w:pPr>
      <w:r w:rsidRPr="006C34E6">
        <w:rPr>
          <w:lang w:val="pt-PT"/>
        </w:rPr>
        <w:fldChar w:fldCharType="end"/>
      </w:r>
      <w:r w:rsidRPr="006C34E6">
        <w:rPr>
          <w:lang w:val="pt-PT"/>
        </w:rPr>
        <w:t xml:space="preserve">). </w:t>
      </w:r>
    </w:p>
    <w:p w:rsidR="00946D49" w:rsidRPr="0026323F" w:rsidRDefault="00946D49" w:rsidP="0085133C">
      <w:pPr>
        <w:pStyle w:val="ParagraphNumbering"/>
        <w:numPr>
          <w:ilvl w:val="0"/>
          <w:numId w:val="0"/>
        </w:numPr>
        <w:rPr>
          <w:lang w:val="pt-PT"/>
        </w:rPr>
      </w:pPr>
    </w:p>
    <w:p w:rsidR="0026323F" w:rsidRPr="005E469D" w:rsidRDefault="0026323F">
      <w:pPr>
        <w:rPr>
          <w:lang w:val="pt-PT"/>
        </w:rPr>
      </w:pPr>
      <w:bookmarkStart w:id="64" w:name="_Ref382495188"/>
      <w:r w:rsidRPr="005E469D">
        <w:rPr>
          <w:b/>
          <w:bCs/>
          <w:lang w:val="pt-PT"/>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802"/>
      </w:tblGrid>
      <w:tr w:rsidR="00946D49" w:rsidRPr="004E1715" w:rsidTr="0026323F">
        <w:tc>
          <w:tcPr>
            <w:tcW w:w="4774" w:type="dxa"/>
          </w:tcPr>
          <w:p w:rsidR="00946D49" w:rsidRPr="006C34E6" w:rsidRDefault="00946D49" w:rsidP="00946D49">
            <w:pPr>
              <w:pStyle w:val="Caption"/>
              <w:jc w:val="left"/>
              <w:rPr>
                <w:rFonts w:asciiTheme="minorHAnsi" w:eastAsia="Times New Roman" w:hAnsiTheme="minorHAnsi" w:cs="Times New Roman"/>
                <w:color w:val="943634" w:themeColor="accent2" w:themeShade="BF"/>
                <w:lang w:val="pt-PT"/>
              </w:rPr>
            </w:pPr>
            <w:r w:rsidRPr="006C34E6">
              <w:rPr>
                <w:rFonts w:asciiTheme="minorHAnsi" w:eastAsia="Times New Roman" w:hAnsiTheme="minorHAnsi" w:cs="Times New Roman"/>
                <w:color w:val="943634" w:themeColor="accent2" w:themeShade="BF"/>
                <w:lang w:val="pt-PT"/>
              </w:rPr>
              <w:lastRenderedPageBreak/>
              <w:t xml:space="preserve">Figura </w:t>
            </w:r>
            <w:r w:rsidRPr="006C34E6">
              <w:rPr>
                <w:rFonts w:asciiTheme="minorHAnsi" w:eastAsia="Times New Roman" w:hAnsiTheme="minorHAnsi" w:cs="Times New Roman"/>
                <w:color w:val="943634" w:themeColor="accent2" w:themeShade="BF"/>
                <w:lang w:val="pt-PT"/>
              </w:rPr>
              <w:fldChar w:fldCharType="begin"/>
            </w:r>
            <w:r w:rsidRPr="006C34E6">
              <w:rPr>
                <w:rFonts w:asciiTheme="minorHAnsi" w:eastAsia="Times New Roman" w:hAnsiTheme="minorHAnsi" w:cs="Times New Roman"/>
                <w:color w:val="943634" w:themeColor="accent2" w:themeShade="BF"/>
                <w:lang w:val="pt-PT"/>
              </w:rPr>
              <w:instrText xml:space="preserve"> SEQ Figure \* ARABIC </w:instrText>
            </w:r>
            <w:r w:rsidRPr="006C34E6">
              <w:rPr>
                <w:rFonts w:asciiTheme="minorHAnsi" w:eastAsia="Times New Roman" w:hAnsiTheme="minorHAnsi" w:cs="Times New Roman"/>
                <w:color w:val="943634" w:themeColor="accent2" w:themeShade="BF"/>
                <w:lang w:val="pt-PT"/>
              </w:rPr>
              <w:fldChar w:fldCharType="separate"/>
            </w:r>
            <w:r w:rsidR="004F553E">
              <w:rPr>
                <w:rFonts w:asciiTheme="minorHAnsi" w:eastAsia="Times New Roman" w:hAnsiTheme="minorHAnsi" w:cs="Times New Roman"/>
                <w:noProof/>
                <w:color w:val="943634" w:themeColor="accent2" w:themeShade="BF"/>
                <w:lang w:val="pt-PT"/>
              </w:rPr>
              <w:t>6</w:t>
            </w:r>
            <w:r w:rsidRPr="006C34E6">
              <w:rPr>
                <w:rFonts w:asciiTheme="minorHAnsi" w:eastAsia="Times New Roman" w:hAnsiTheme="minorHAnsi" w:cs="Times New Roman"/>
                <w:color w:val="943634" w:themeColor="accent2" w:themeShade="BF"/>
                <w:lang w:val="pt-PT"/>
              </w:rPr>
              <w:fldChar w:fldCharType="end"/>
            </w:r>
            <w:bookmarkEnd w:id="64"/>
            <w:r w:rsidRPr="006C34E6">
              <w:rPr>
                <w:rFonts w:asciiTheme="minorHAnsi" w:eastAsia="Times New Roman" w:hAnsiTheme="minorHAnsi" w:cs="Times New Roman"/>
                <w:color w:val="943634" w:themeColor="accent2" w:themeShade="BF"/>
                <w:lang w:val="pt-PT"/>
              </w:rPr>
              <w:t>:  A concentração de exportações de Angola é elevada, mesmo quando comparada com outros grandes exportadores de petróleo…</w:t>
            </w:r>
          </w:p>
          <w:p w:rsidR="00946D49" w:rsidRPr="006C34E6" w:rsidRDefault="00946D49" w:rsidP="00946D49">
            <w:pPr>
              <w:rPr>
                <w:rFonts w:asciiTheme="minorHAnsi" w:hAnsiTheme="minorHAnsi"/>
                <w:b/>
                <w:i/>
                <w:sz w:val="18"/>
                <w:szCs w:val="18"/>
                <w:lang w:val="pt-PT"/>
              </w:rPr>
            </w:pPr>
            <w:r w:rsidRPr="006C34E6">
              <w:rPr>
                <w:rFonts w:asciiTheme="minorHAnsi" w:hAnsiTheme="minorHAnsi"/>
                <w:b/>
                <w:i/>
                <w:sz w:val="18"/>
                <w:szCs w:val="18"/>
                <w:lang w:val="pt-PT"/>
              </w:rPr>
              <w:t>(Índice de concentração de produtos exportados, 2012)</w:t>
            </w:r>
            <w:r w:rsidRPr="006C34E6">
              <w:rPr>
                <w:rStyle w:val="FootnoteReference"/>
                <w:rFonts w:asciiTheme="minorHAnsi" w:hAnsiTheme="minorHAnsi"/>
                <w:b/>
                <w:i/>
                <w:sz w:val="18"/>
                <w:szCs w:val="18"/>
                <w:lang w:val="pt-PT"/>
              </w:rPr>
              <w:footnoteReference w:id="7"/>
            </w:r>
            <w:r w:rsidRPr="006C34E6">
              <w:rPr>
                <w:rFonts w:asciiTheme="minorHAnsi" w:hAnsiTheme="minorHAnsi"/>
                <w:b/>
                <w:i/>
                <w:sz w:val="18"/>
                <w:szCs w:val="18"/>
                <w:lang w:val="pt-PT"/>
              </w:rPr>
              <w:t xml:space="preserve"> </w:t>
            </w:r>
          </w:p>
        </w:tc>
        <w:tc>
          <w:tcPr>
            <w:tcW w:w="4802" w:type="dxa"/>
          </w:tcPr>
          <w:p w:rsidR="00946D49" w:rsidRPr="006C34E6" w:rsidRDefault="00946D49" w:rsidP="00946D49">
            <w:pPr>
              <w:pStyle w:val="Caption"/>
              <w:jc w:val="left"/>
              <w:rPr>
                <w:rFonts w:asciiTheme="minorHAnsi" w:eastAsia="Times New Roman" w:hAnsiTheme="minorHAnsi" w:cs="Times New Roman"/>
                <w:color w:val="943634" w:themeColor="accent2" w:themeShade="BF"/>
                <w:lang w:val="pt-PT"/>
              </w:rPr>
            </w:pPr>
            <w:r w:rsidRPr="006C34E6">
              <w:rPr>
                <w:rFonts w:asciiTheme="minorHAnsi" w:eastAsia="Times New Roman" w:hAnsiTheme="minorHAnsi" w:cs="Times New Roman"/>
                <w:color w:val="943634" w:themeColor="accent2" w:themeShade="BF"/>
                <w:lang w:val="pt-PT"/>
              </w:rPr>
              <w:t xml:space="preserve">…e as suas exportações chegam apenas a uma pequena quota dos mercados disponíveis. </w:t>
            </w:r>
          </w:p>
          <w:p w:rsidR="00946D49" w:rsidRPr="006C34E6" w:rsidRDefault="00946D49" w:rsidP="00946D49">
            <w:pPr>
              <w:rPr>
                <w:lang w:val="pt-PT"/>
              </w:rPr>
            </w:pPr>
          </w:p>
          <w:p w:rsidR="00946D49" w:rsidRPr="006C34E6" w:rsidRDefault="00946D49" w:rsidP="00946D49">
            <w:pPr>
              <w:rPr>
                <w:rFonts w:asciiTheme="minorHAnsi" w:hAnsiTheme="minorHAnsi"/>
                <w:b/>
                <w:i/>
                <w:sz w:val="18"/>
                <w:szCs w:val="18"/>
                <w:lang w:val="pt-PT"/>
              </w:rPr>
            </w:pPr>
            <w:r w:rsidRPr="006C34E6">
              <w:rPr>
                <w:rFonts w:asciiTheme="minorHAnsi" w:hAnsiTheme="minorHAnsi"/>
                <w:b/>
                <w:i/>
                <w:sz w:val="18"/>
                <w:szCs w:val="18"/>
                <w:lang w:val="pt-PT"/>
              </w:rPr>
              <w:t>(Índice de penetração no mercado da exportação, 2010)</w:t>
            </w:r>
            <w:r w:rsidRPr="006C34E6">
              <w:rPr>
                <w:rStyle w:val="FootnoteReference"/>
                <w:rFonts w:asciiTheme="minorHAnsi" w:hAnsiTheme="minorHAnsi"/>
                <w:b/>
                <w:i/>
                <w:sz w:val="18"/>
                <w:szCs w:val="18"/>
                <w:lang w:val="pt-PT"/>
              </w:rPr>
              <w:t xml:space="preserve"> </w:t>
            </w:r>
            <w:r w:rsidRPr="006C34E6">
              <w:rPr>
                <w:rStyle w:val="FootnoteReference"/>
                <w:rFonts w:asciiTheme="minorHAnsi" w:hAnsiTheme="minorHAnsi"/>
                <w:b/>
                <w:i/>
                <w:sz w:val="18"/>
                <w:szCs w:val="18"/>
                <w:lang w:val="pt-PT"/>
              </w:rPr>
              <w:footnoteReference w:id="8"/>
            </w:r>
          </w:p>
        </w:tc>
      </w:tr>
      <w:tr w:rsidR="00946D49" w:rsidRPr="006C34E6" w:rsidTr="0026323F">
        <w:tc>
          <w:tcPr>
            <w:tcW w:w="4774" w:type="dxa"/>
          </w:tcPr>
          <w:p w:rsidR="00946D49" w:rsidRPr="006C34E6" w:rsidRDefault="00946D49" w:rsidP="00946D49">
            <w:pPr>
              <w:widowControl w:val="0"/>
              <w:tabs>
                <w:tab w:val="num" w:pos="720"/>
              </w:tabs>
              <w:autoSpaceDE w:val="0"/>
              <w:autoSpaceDN w:val="0"/>
              <w:adjustRightInd w:val="0"/>
              <w:rPr>
                <w:rFonts w:eastAsia="Times New Roman" w:cs="Times New Roman"/>
                <w:b/>
                <w:lang w:val="pt-PT"/>
              </w:rPr>
            </w:pPr>
            <w:r>
              <w:rPr>
                <w:rFonts w:eastAsia="Times New Roman" w:cs="Times New Roman"/>
                <w:b/>
                <w:noProof/>
              </w:rPr>
              <w:drawing>
                <wp:inline distT="0" distB="0" distL="0" distR="0" wp14:anchorId="751308BB" wp14:editId="7642EBCF">
                  <wp:extent cx="3143250" cy="18894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50969" cy="1894073"/>
                          </a:xfrm>
                          <a:prstGeom prst="rect">
                            <a:avLst/>
                          </a:prstGeom>
                          <a:noFill/>
                        </pic:spPr>
                      </pic:pic>
                    </a:graphicData>
                  </a:graphic>
                </wp:inline>
              </w:drawing>
            </w:r>
          </w:p>
        </w:tc>
        <w:tc>
          <w:tcPr>
            <w:tcW w:w="4802" w:type="dxa"/>
          </w:tcPr>
          <w:p w:rsidR="00946D49" w:rsidRPr="006C34E6" w:rsidRDefault="00946D49" w:rsidP="00946D49">
            <w:pPr>
              <w:widowControl w:val="0"/>
              <w:tabs>
                <w:tab w:val="num" w:pos="720"/>
              </w:tabs>
              <w:autoSpaceDE w:val="0"/>
              <w:autoSpaceDN w:val="0"/>
              <w:adjustRightInd w:val="0"/>
              <w:rPr>
                <w:rFonts w:eastAsia="Times New Roman" w:cs="Times New Roman"/>
                <w:b/>
                <w:lang w:val="pt-PT"/>
              </w:rPr>
            </w:pPr>
            <w:r>
              <w:rPr>
                <w:rFonts w:eastAsia="Times New Roman" w:cs="Times New Roman"/>
                <w:b/>
                <w:noProof/>
              </w:rPr>
              <w:drawing>
                <wp:inline distT="0" distB="0" distL="0" distR="0" wp14:anchorId="005D6A66" wp14:editId="1AC78AD2">
                  <wp:extent cx="3160193" cy="1899617"/>
                  <wp:effectExtent l="0" t="0" r="254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3838" cy="1901808"/>
                          </a:xfrm>
                          <a:prstGeom prst="rect">
                            <a:avLst/>
                          </a:prstGeom>
                          <a:noFill/>
                        </pic:spPr>
                      </pic:pic>
                    </a:graphicData>
                  </a:graphic>
                </wp:inline>
              </w:drawing>
            </w:r>
          </w:p>
        </w:tc>
      </w:tr>
      <w:tr w:rsidR="00946D49" w:rsidRPr="006C34E6" w:rsidTr="00946D49">
        <w:tc>
          <w:tcPr>
            <w:tcW w:w="9576" w:type="dxa"/>
            <w:gridSpan w:val="2"/>
          </w:tcPr>
          <w:p w:rsidR="00946D49" w:rsidRPr="006C34E6" w:rsidRDefault="00946D49" w:rsidP="00946D49">
            <w:pPr>
              <w:keepNext/>
              <w:widowControl w:val="0"/>
              <w:tabs>
                <w:tab w:val="num" w:pos="720"/>
              </w:tabs>
              <w:autoSpaceDE w:val="0"/>
              <w:autoSpaceDN w:val="0"/>
              <w:adjustRightInd w:val="0"/>
              <w:rPr>
                <w:rFonts w:eastAsia="Times New Roman" w:cs="Times New Roman"/>
                <w:color w:val="808080" w:themeColor="background1" w:themeShade="80"/>
                <w:sz w:val="16"/>
                <w:szCs w:val="16"/>
                <w:lang w:val="pt-PT"/>
              </w:rPr>
            </w:pPr>
            <w:r w:rsidRPr="006C34E6">
              <w:rPr>
                <w:rFonts w:eastAsia="Times New Roman" w:cs="Times New Roman"/>
                <w:color w:val="808080" w:themeColor="background1" w:themeShade="80"/>
                <w:sz w:val="16"/>
                <w:szCs w:val="16"/>
                <w:lang w:val="pt-PT"/>
              </w:rPr>
              <w:t xml:space="preserve">Fonte Indicadores de Comércio, base de dados WITS  </w:t>
            </w:r>
          </w:p>
          <w:p w:rsidR="00946D49" w:rsidRPr="006C34E6" w:rsidRDefault="00946D49" w:rsidP="00946D49">
            <w:pPr>
              <w:keepNext/>
              <w:widowControl w:val="0"/>
              <w:tabs>
                <w:tab w:val="num" w:pos="720"/>
              </w:tabs>
              <w:autoSpaceDE w:val="0"/>
              <w:autoSpaceDN w:val="0"/>
              <w:adjustRightInd w:val="0"/>
              <w:rPr>
                <w:rFonts w:eastAsia="Times New Roman" w:cs="Times New Roman"/>
                <w:b/>
                <w:lang w:val="pt-PT"/>
              </w:rPr>
            </w:pPr>
            <w:r w:rsidRPr="006C34E6">
              <w:rPr>
                <w:rFonts w:eastAsia="Times New Roman" w:cs="Times New Roman"/>
                <w:color w:val="808080" w:themeColor="background1" w:themeShade="80"/>
                <w:sz w:val="16"/>
                <w:szCs w:val="16"/>
                <w:lang w:val="pt-PT"/>
              </w:rPr>
              <w:t>Nota: Foram usados dados espelhados para computar os indicadores de comércio de Angola. Inclui exportações de petróleo</w:t>
            </w:r>
          </w:p>
        </w:tc>
      </w:tr>
    </w:tbl>
    <w:p w:rsidR="00946D49" w:rsidRPr="006C34E6" w:rsidRDefault="00946D49" w:rsidP="00946D49">
      <w:pPr>
        <w:pStyle w:val="ListParagraph"/>
        <w:widowControl w:val="0"/>
        <w:autoSpaceDE w:val="0"/>
        <w:autoSpaceDN w:val="0"/>
        <w:adjustRightInd w:val="0"/>
        <w:ind w:left="-360"/>
        <w:rPr>
          <w:rFonts w:eastAsia="Times New Roman" w:cs="Times New Roman"/>
          <w:lang w:val="pt-PT"/>
        </w:rPr>
      </w:pPr>
    </w:p>
    <w:p w:rsidR="00946D49" w:rsidRPr="006C34E6" w:rsidRDefault="00946D49" w:rsidP="0085133C">
      <w:pPr>
        <w:pStyle w:val="ParagraphNumbering"/>
        <w:rPr>
          <w:lang w:val="pt-PT"/>
        </w:rPr>
      </w:pPr>
      <w:r w:rsidRPr="006C34E6">
        <w:rPr>
          <w:b/>
          <w:lang w:val="pt-PT"/>
        </w:rPr>
        <w:t xml:space="preserve">O crescimento de importação de bens  parece seguir de perto a tendência do total da despesa pública  </w:t>
      </w:r>
      <w:r w:rsidRPr="006C34E6">
        <w:rPr>
          <w:lang w:val="pt-PT"/>
        </w:rPr>
        <w:t>(</w:t>
      </w:r>
      <w:r w:rsidRPr="006C34E6">
        <w:rPr>
          <w:lang w:val="pt-PT"/>
        </w:rPr>
        <w:fldChar w:fldCharType="begin"/>
      </w:r>
      <w:r w:rsidRPr="006C34E6">
        <w:rPr>
          <w:lang w:val="pt-PT"/>
        </w:rPr>
        <w:instrText xml:space="preserve"> REF _Ref382495228 \h  \* MERGEFORMAT </w:instrText>
      </w:r>
      <w:r w:rsidRPr="006C34E6">
        <w:rPr>
          <w:lang w:val="pt-PT"/>
        </w:rPr>
        <w:fldChar w:fldCharType="separate"/>
      </w:r>
      <w:r w:rsidR="004F553E">
        <w:rPr>
          <w:b/>
          <w:bCs/>
        </w:rPr>
        <w:t>Error! Reference source not found.</w:t>
      </w:r>
      <w:r w:rsidRPr="006C34E6">
        <w:rPr>
          <w:lang w:val="pt-PT"/>
        </w:rPr>
        <w:fldChar w:fldCharType="end"/>
      </w:r>
      <w:r w:rsidRPr="006C34E6">
        <w:rPr>
          <w:lang w:val="pt-PT"/>
        </w:rPr>
        <w:t>). Isto reflecte, em parte, a predominância de despesas correntes no orçamento, em particular salários e aquisições. As despesas correntes geralmente constam de bens de consumo (quer directamente, via suprimento ou indirectamente, via salários) e em 2012 ainda representavam mais de metade de todas as importações de bens. Além disso, devido à baixa produtividade agrícola e um sector interno de manufacturas muito reduzido, a forte procura de bens de consumo e produtos básicos é ainda suprida por um aumento de importações. As importações agrícolas cresceram de 13 por cento do total de importações em 2008, para quase 22 por cento em 2012, aceleradas por uma seca que fez baixar a produção agrícola interna. Estimativas para 2013 traçam um quadro similar, com o crescimento nominal de bens (estimado em 3 por cento) em linha com um ligeiro aumento das despesas correntes.</w:t>
      </w:r>
    </w:p>
    <w:p w:rsidR="00946D49" w:rsidRPr="006C34E6" w:rsidRDefault="00946D49" w:rsidP="00946D49">
      <w:pPr>
        <w:widowControl w:val="0"/>
        <w:tabs>
          <w:tab w:val="num" w:pos="720"/>
        </w:tabs>
        <w:autoSpaceDE w:val="0"/>
        <w:autoSpaceDN w:val="0"/>
        <w:adjustRightInd w:val="0"/>
        <w:rPr>
          <w:rFonts w:eastAsia="Times New Roman" w:cs="Times New Roman"/>
          <w:lang w:val="pt-PT"/>
        </w:rPr>
      </w:pPr>
    </w:p>
    <w:p w:rsidR="0026323F" w:rsidRDefault="0026323F">
      <w:pPr>
        <w:spacing w:after="200" w:line="276" w:lineRule="auto"/>
        <w:jc w:val="left"/>
        <w:rPr>
          <w:rFonts w:asciiTheme="minorHAnsi" w:hAnsiTheme="minorHAnsi" w:cs="Times New Roman"/>
          <w:b/>
          <w:color w:val="943634" w:themeColor="accent2" w:themeShade="BF"/>
          <w:sz w:val="18"/>
          <w:szCs w:val="18"/>
          <w:lang w:val="pt-PT"/>
        </w:rPr>
      </w:pPr>
      <w:r>
        <w:rPr>
          <w:rFonts w:asciiTheme="minorHAnsi" w:hAnsiTheme="minorHAnsi" w:cs="Times New Roman"/>
          <w:b/>
          <w:color w:val="943634" w:themeColor="accent2" w:themeShade="BF"/>
          <w:sz w:val="18"/>
          <w:szCs w:val="18"/>
          <w:lang w:val="pt-PT"/>
        </w:rPr>
        <w:br w:type="page"/>
      </w:r>
    </w:p>
    <w:p w:rsidR="00946D49" w:rsidRDefault="00946D49" w:rsidP="00946D49">
      <w:pPr>
        <w:widowControl w:val="0"/>
        <w:tabs>
          <w:tab w:val="num" w:pos="720"/>
        </w:tabs>
        <w:autoSpaceDE w:val="0"/>
        <w:autoSpaceDN w:val="0"/>
        <w:adjustRightInd w:val="0"/>
        <w:ind w:left="-360"/>
        <w:jc w:val="center"/>
        <w:rPr>
          <w:i/>
          <w:lang w:val="pt-PT"/>
        </w:rPr>
      </w:pPr>
      <w:r>
        <w:rPr>
          <w:rFonts w:asciiTheme="minorHAnsi" w:hAnsiTheme="minorHAnsi" w:cs="Times New Roman"/>
          <w:b/>
          <w:color w:val="943634" w:themeColor="accent2" w:themeShade="BF"/>
          <w:sz w:val="18"/>
          <w:szCs w:val="18"/>
          <w:lang w:val="pt-PT"/>
        </w:rPr>
        <w:lastRenderedPageBreak/>
        <w:t>Figur</w:t>
      </w:r>
      <w:r w:rsidRPr="006C34E6">
        <w:rPr>
          <w:rFonts w:asciiTheme="minorHAnsi" w:hAnsiTheme="minorHAnsi" w:cs="Times New Roman"/>
          <w:b/>
          <w:color w:val="943634" w:themeColor="accent2" w:themeShade="BF"/>
          <w:sz w:val="18"/>
          <w:szCs w:val="18"/>
          <w:lang w:val="pt-PT"/>
        </w:rPr>
        <w:t>a 8 :   Tendências de importação reflectem as tendências da</w:t>
      </w:r>
      <w:r>
        <w:rPr>
          <w:rFonts w:asciiTheme="minorHAnsi" w:hAnsiTheme="minorHAnsi" w:cs="Times New Roman"/>
          <w:b/>
          <w:color w:val="943634" w:themeColor="accent2" w:themeShade="BF"/>
          <w:sz w:val="18"/>
          <w:szCs w:val="18"/>
          <w:lang w:val="pt-PT"/>
        </w:rPr>
        <w:t xml:space="preserve"> </w:t>
      </w:r>
      <w:r w:rsidRPr="006C34E6">
        <w:rPr>
          <w:rFonts w:asciiTheme="minorHAnsi" w:hAnsiTheme="minorHAnsi" w:cs="Times New Roman"/>
          <w:b/>
          <w:color w:val="943634" w:themeColor="accent2" w:themeShade="BF"/>
          <w:sz w:val="18"/>
          <w:szCs w:val="18"/>
          <w:lang w:val="pt-PT"/>
        </w:rPr>
        <w:t>despesa orçamental.</w:t>
      </w:r>
      <w:r>
        <w:rPr>
          <w:rFonts w:asciiTheme="minorHAnsi" w:hAnsiTheme="minorHAnsi" w:cs="Times New Roman"/>
          <w:b/>
          <w:color w:val="943634" w:themeColor="accent2" w:themeShade="BF"/>
          <w:sz w:val="18"/>
          <w:szCs w:val="18"/>
          <w:lang w:val="pt-PT"/>
        </w:rPr>
        <w:t xml:space="preserve"> </w:t>
      </w:r>
      <w:r>
        <w:rPr>
          <w:rFonts w:asciiTheme="minorHAnsi" w:hAnsiTheme="minorHAnsi" w:cs="Times New Roman"/>
          <w:b/>
          <w:color w:val="943634" w:themeColor="accent2" w:themeShade="BF"/>
          <w:sz w:val="18"/>
          <w:szCs w:val="18"/>
          <w:lang w:val="pt-PT"/>
        </w:rPr>
        <w:br/>
      </w:r>
      <w:r w:rsidRPr="006C34E6">
        <w:rPr>
          <w:rFonts w:asciiTheme="minorHAnsi" w:hAnsiTheme="minorHAnsi" w:cs="Times New Roman"/>
          <w:b/>
          <w:i/>
          <w:sz w:val="18"/>
          <w:szCs w:val="18"/>
          <w:lang w:val="pt-PT"/>
        </w:rPr>
        <w:t>( % das taxas de crescimento de importações e despesas,</w:t>
      </w:r>
      <w:r>
        <w:rPr>
          <w:rFonts w:asciiTheme="minorHAnsi" w:hAnsiTheme="minorHAnsi" w:cs="Times New Roman"/>
          <w:b/>
          <w:i/>
          <w:sz w:val="18"/>
          <w:szCs w:val="18"/>
          <w:lang w:val="pt-PT"/>
        </w:rPr>
        <w:t xml:space="preserve"> </w:t>
      </w:r>
      <w:r w:rsidRPr="006C34E6">
        <w:rPr>
          <w:rFonts w:asciiTheme="minorHAnsi" w:hAnsiTheme="minorHAnsi" w:cs="Times New Roman"/>
          <w:b/>
          <w:i/>
          <w:sz w:val="18"/>
          <w:szCs w:val="18"/>
          <w:lang w:val="pt-PT"/>
        </w:rPr>
        <w:t>2009-2012)</w:t>
      </w:r>
    </w:p>
    <w:p w:rsidR="00946D49" w:rsidRDefault="00946D49" w:rsidP="00946D49">
      <w:pPr>
        <w:spacing w:before="120"/>
        <w:jc w:val="center"/>
        <w:rPr>
          <w:i/>
          <w:lang w:val="pt-PT"/>
        </w:rPr>
      </w:pPr>
      <w:r>
        <w:rPr>
          <w:rFonts w:eastAsia="Times New Roman" w:cs="Times New Roman"/>
          <w:b/>
          <w:noProof/>
        </w:rPr>
        <w:drawing>
          <wp:inline distT="0" distB="0" distL="0" distR="0" wp14:anchorId="0E5823E0" wp14:editId="666511BA">
            <wp:extent cx="3484745" cy="2895483"/>
            <wp:effectExtent l="0" t="0" r="190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81392" cy="2892697"/>
                    </a:xfrm>
                    <a:prstGeom prst="rect">
                      <a:avLst/>
                    </a:prstGeom>
                    <a:noFill/>
                  </pic:spPr>
                </pic:pic>
              </a:graphicData>
            </a:graphic>
          </wp:inline>
        </w:drawing>
      </w:r>
    </w:p>
    <w:p w:rsidR="00946D49" w:rsidRPr="006C34E6" w:rsidRDefault="00946D49" w:rsidP="00946D49">
      <w:pPr>
        <w:spacing w:before="120"/>
        <w:jc w:val="center"/>
        <w:rPr>
          <w:i/>
          <w:lang w:val="pt-PT"/>
        </w:rPr>
      </w:pPr>
      <w:r w:rsidRPr="006C34E6">
        <w:rPr>
          <w:color w:val="808080" w:themeColor="background1" w:themeShade="80"/>
          <w:sz w:val="16"/>
          <w:szCs w:val="16"/>
          <w:lang w:val="pt-PT"/>
        </w:rPr>
        <w:t>Fonte: INE, BCA, Estimativas do Banco Mundial.</w:t>
      </w:r>
    </w:p>
    <w:p w:rsidR="00946D49" w:rsidRPr="006C34E6" w:rsidRDefault="00946D49" w:rsidP="00946D49">
      <w:pPr>
        <w:spacing w:before="120"/>
        <w:rPr>
          <w:i/>
          <w:lang w:val="pt-PT"/>
        </w:rPr>
      </w:pPr>
    </w:p>
    <w:tbl>
      <w:tblPr>
        <w:tblStyle w:val="ColorfulList-Accent1"/>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008"/>
        <w:gridCol w:w="9288"/>
      </w:tblGrid>
      <w:tr w:rsidR="00946D49" w:rsidRPr="004E1715" w:rsidTr="00946D49">
        <w:trPr>
          <w:cnfStyle w:val="100000000000" w:firstRow="1" w:lastRow="0" w:firstColumn="0" w:lastColumn="0" w:oddVBand="0" w:evenVBand="0" w:oddHBand="0"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1008" w:type="dxa"/>
            <w:vAlign w:val="center"/>
          </w:tcPr>
          <w:p w:rsidR="00946D49" w:rsidRPr="006C34E6" w:rsidRDefault="00946D49" w:rsidP="00946D49">
            <w:pPr>
              <w:pStyle w:val="Caption"/>
              <w:keepNext/>
              <w:jc w:val="center"/>
              <w:rPr>
                <w:rFonts w:asciiTheme="minorHAnsi" w:hAnsiTheme="minorHAnsi" w:cstheme="minorHAnsi"/>
                <w:color w:val="FFFFFF" w:themeColor="background1"/>
                <w:sz w:val="22"/>
                <w:lang w:val="pt-PT"/>
              </w:rPr>
            </w:pPr>
            <w:bookmarkStart w:id="65" w:name="_Ref382495300"/>
            <w:r w:rsidRPr="006C34E6">
              <w:rPr>
                <w:rFonts w:asciiTheme="minorHAnsi" w:hAnsiTheme="minorHAnsi" w:cstheme="minorHAnsi"/>
                <w:color w:val="FFFFFF" w:themeColor="background1"/>
                <w:sz w:val="20"/>
                <w:lang w:val="pt-PT"/>
              </w:rPr>
              <w:t xml:space="preserve">Caixa </w:t>
            </w:r>
            <w:r w:rsidRPr="006C34E6">
              <w:rPr>
                <w:rFonts w:asciiTheme="minorHAnsi" w:hAnsiTheme="minorHAnsi" w:cstheme="minorHAnsi"/>
                <w:color w:val="FFFFFF" w:themeColor="background1"/>
                <w:sz w:val="20"/>
                <w:lang w:val="pt-PT"/>
              </w:rPr>
              <w:fldChar w:fldCharType="begin"/>
            </w:r>
            <w:r w:rsidRPr="006C34E6">
              <w:rPr>
                <w:rFonts w:asciiTheme="minorHAnsi" w:hAnsiTheme="minorHAnsi" w:cstheme="minorHAnsi"/>
                <w:color w:val="FFFFFF" w:themeColor="background1"/>
                <w:sz w:val="20"/>
                <w:lang w:val="pt-PT"/>
              </w:rPr>
              <w:instrText xml:space="preserve"> SEQ Box \* ARABIC </w:instrText>
            </w:r>
            <w:r w:rsidRPr="006C34E6">
              <w:rPr>
                <w:rFonts w:asciiTheme="minorHAnsi" w:hAnsiTheme="minorHAnsi" w:cstheme="minorHAnsi"/>
                <w:color w:val="FFFFFF" w:themeColor="background1"/>
                <w:sz w:val="20"/>
                <w:lang w:val="pt-PT"/>
              </w:rPr>
              <w:fldChar w:fldCharType="separate"/>
            </w:r>
            <w:r w:rsidR="004F553E">
              <w:rPr>
                <w:rFonts w:asciiTheme="minorHAnsi" w:hAnsiTheme="minorHAnsi" w:cstheme="minorHAnsi"/>
                <w:noProof/>
                <w:color w:val="FFFFFF" w:themeColor="background1"/>
                <w:sz w:val="20"/>
                <w:lang w:val="pt-PT"/>
              </w:rPr>
              <w:t>5</w:t>
            </w:r>
            <w:r w:rsidRPr="006C34E6">
              <w:rPr>
                <w:rFonts w:asciiTheme="minorHAnsi" w:hAnsiTheme="minorHAnsi" w:cstheme="minorHAnsi"/>
                <w:color w:val="FFFFFF" w:themeColor="background1"/>
                <w:sz w:val="20"/>
                <w:lang w:val="pt-PT"/>
              </w:rPr>
              <w:fldChar w:fldCharType="end"/>
            </w:r>
            <w:bookmarkEnd w:id="65"/>
          </w:p>
        </w:tc>
        <w:tc>
          <w:tcPr>
            <w:tcW w:w="9288" w:type="dxa"/>
            <w:shd w:val="clear" w:color="auto" w:fill="000000" w:themeFill="text1"/>
            <w:vAlign w:val="center"/>
          </w:tcPr>
          <w:p w:rsidR="00946D49" w:rsidRPr="006C34E6" w:rsidRDefault="00946D49" w:rsidP="00946D49">
            <w:pPr>
              <w:pStyle w:val="NoSpacing"/>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lang w:val="pt-PT"/>
              </w:rPr>
            </w:pPr>
            <w:r w:rsidRPr="006C34E6">
              <w:rPr>
                <w:rFonts w:asciiTheme="minorHAnsi" w:hAnsiTheme="minorHAnsi" w:cstheme="minorHAnsi"/>
                <w:sz w:val="24"/>
                <w:szCs w:val="24"/>
                <w:lang w:val="pt-PT"/>
              </w:rPr>
              <w:t xml:space="preserve"> A balança de pagamentos e o equilíbrio entre poupança nacional e investimento público</w:t>
            </w:r>
          </w:p>
        </w:tc>
      </w:tr>
      <w:tr w:rsidR="00946D49" w:rsidRPr="004E1715" w:rsidTr="00946D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296" w:type="dxa"/>
            <w:gridSpan w:val="2"/>
          </w:tcPr>
          <w:p w:rsidR="00946D49" w:rsidRPr="006C34E6" w:rsidRDefault="00946D49" w:rsidP="00946D49">
            <w:pPr>
              <w:rPr>
                <w:rFonts w:asciiTheme="minorHAnsi" w:hAnsiTheme="minorHAnsi"/>
                <w:b w:val="0"/>
                <w:sz w:val="18"/>
                <w:szCs w:val="18"/>
                <w:lang w:val="pt-PT"/>
              </w:rPr>
            </w:pPr>
          </w:p>
          <w:p w:rsidR="00946D49" w:rsidRPr="006C34E6" w:rsidRDefault="00946D49" w:rsidP="00946D49">
            <w:pPr>
              <w:rPr>
                <w:rFonts w:asciiTheme="minorHAnsi" w:hAnsiTheme="minorHAnsi"/>
                <w:b w:val="0"/>
                <w:sz w:val="18"/>
                <w:szCs w:val="18"/>
                <w:lang w:val="pt-PT"/>
              </w:rPr>
            </w:pPr>
            <w:r w:rsidRPr="006C34E6">
              <w:rPr>
                <w:rFonts w:asciiTheme="minorHAnsi" w:hAnsiTheme="minorHAnsi"/>
                <w:sz w:val="18"/>
                <w:szCs w:val="18"/>
                <w:lang w:val="pt-PT"/>
              </w:rPr>
              <w:t xml:space="preserve">Compreender a estrutura da BdP pode dar uma útil perspectiva da relação de um país com a economia global. </w:t>
            </w:r>
            <w:r w:rsidRPr="006C34E6">
              <w:rPr>
                <w:rFonts w:asciiTheme="minorHAnsi" w:hAnsiTheme="minorHAnsi"/>
                <w:b w:val="0"/>
                <w:sz w:val="18"/>
                <w:szCs w:val="18"/>
                <w:lang w:val="pt-PT"/>
              </w:rPr>
              <w:t>A BdeP é particularmente útil para compreender os canais de transmissão através dos quais os choques dos mercados internacionais podem ter impacto na economia interna, mas também demonstra a decisão colectiva de um país sobre o equilíbrio entre o consumo actual e futuro.</w:t>
            </w:r>
          </w:p>
          <w:p w:rsidR="00946D49" w:rsidRPr="006C34E6" w:rsidRDefault="00946D49" w:rsidP="00946D49">
            <w:pPr>
              <w:rPr>
                <w:rFonts w:asciiTheme="minorHAnsi" w:hAnsiTheme="minorHAnsi"/>
                <w:b w:val="0"/>
                <w:sz w:val="18"/>
                <w:szCs w:val="18"/>
                <w:lang w:val="pt-PT"/>
              </w:rPr>
            </w:pPr>
            <w:r w:rsidRPr="006C34E6">
              <w:rPr>
                <w:rFonts w:asciiTheme="minorHAnsi" w:hAnsiTheme="minorHAnsi"/>
                <w:b w:val="0"/>
                <w:sz w:val="18"/>
                <w:szCs w:val="18"/>
                <w:lang w:val="pt-PT"/>
              </w:rPr>
              <w:t>Olhando a BdeP segundo a perspectiva anterior, ela destaca a vulnerabilidade de Angola perante os mercados globais de petróleo e de alimentos, enquanto a mais recente situa os robustos excedentes da conta corrente no contexto dos seus baixos índices de investimento público.</w:t>
            </w:r>
          </w:p>
          <w:p w:rsidR="00946D49" w:rsidRPr="006C34E6" w:rsidRDefault="00946D49" w:rsidP="00946D49">
            <w:pPr>
              <w:rPr>
                <w:rFonts w:asciiTheme="minorHAnsi" w:hAnsiTheme="minorHAnsi" w:cstheme="minorHAnsi"/>
                <w:b w:val="0"/>
                <w:bCs w:val="0"/>
                <w:color w:val="auto"/>
                <w:sz w:val="18"/>
                <w:szCs w:val="18"/>
                <w:lang w:val="pt-PT"/>
              </w:rPr>
            </w:pPr>
          </w:p>
          <w:tbl>
            <w:tblPr>
              <w:tblW w:w="9679" w:type="dxa"/>
              <w:tblInd w:w="119" w:type="dxa"/>
              <w:tblBorders>
                <w:insideH w:val="single" w:sz="8" w:space="0" w:color="943634" w:themeColor="accent2" w:themeShade="BF"/>
              </w:tblBorders>
              <w:tblLayout w:type="fixed"/>
              <w:tblCellMar>
                <w:left w:w="29" w:type="dxa"/>
                <w:right w:w="29" w:type="dxa"/>
              </w:tblCellMar>
              <w:tblLook w:val="01E0" w:firstRow="1" w:lastRow="1" w:firstColumn="1" w:lastColumn="1" w:noHBand="0" w:noVBand="0"/>
            </w:tblPr>
            <w:tblGrid>
              <w:gridCol w:w="4734"/>
              <w:gridCol w:w="4867"/>
              <w:gridCol w:w="78"/>
            </w:tblGrid>
            <w:tr w:rsidR="00946D49" w:rsidRPr="004E1715" w:rsidTr="00946D49">
              <w:trPr>
                <w:trHeight w:val="216"/>
              </w:trPr>
              <w:tc>
                <w:tcPr>
                  <w:tcW w:w="9679" w:type="dxa"/>
                  <w:gridSpan w:val="3"/>
                  <w:tcBorders>
                    <w:bottom w:val="single" w:sz="8" w:space="0" w:color="943634" w:themeColor="accent2" w:themeShade="BF"/>
                  </w:tcBorders>
                </w:tcPr>
                <w:p w:rsidR="00946D49" w:rsidRPr="006C34E6" w:rsidRDefault="00946D49" w:rsidP="00946D49">
                  <w:pPr>
                    <w:pStyle w:val="quarterly-chart-subtitle"/>
                    <w:keepNext/>
                    <w:keepLines/>
                    <w:jc w:val="center"/>
                    <w:rPr>
                      <w:rFonts w:asciiTheme="minorHAnsi" w:hAnsiTheme="minorHAnsi" w:cstheme="minorHAnsi"/>
                      <w:i w:val="0"/>
                      <w:color w:val="943634" w:themeColor="accent2" w:themeShade="BF"/>
                      <w:lang w:val="pt-PT"/>
                    </w:rPr>
                  </w:pPr>
                  <w:bookmarkStart w:id="66" w:name="_Ref384214188"/>
                  <w:r w:rsidRPr="006C34E6">
                    <w:rPr>
                      <w:rFonts w:asciiTheme="minorHAnsi" w:hAnsiTheme="minorHAnsi" w:cstheme="minorHAnsi"/>
                      <w:i w:val="0"/>
                      <w:color w:val="943634" w:themeColor="accent2" w:themeShade="BF"/>
                      <w:lang w:val="pt-PT"/>
                    </w:rPr>
                    <w:t xml:space="preserve">Figura </w:t>
                  </w:r>
                  <w:r w:rsidRPr="006C34E6">
                    <w:rPr>
                      <w:rFonts w:asciiTheme="minorHAnsi" w:hAnsiTheme="minorHAnsi" w:cstheme="minorHAnsi"/>
                      <w:i w:val="0"/>
                      <w:color w:val="943634" w:themeColor="accent2" w:themeShade="BF"/>
                      <w:lang w:val="pt-PT"/>
                    </w:rPr>
                    <w:fldChar w:fldCharType="begin"/>
                  </w:r>
                  <w:r w:rsidRPr="006C34E6">
                    <w:rPr>
                      <w:rFonts w:asciiTheme="minorHAnsi" w:hAnsiTheme="minorHAnsi" w:cstheme="minorHAnsi"/>
                      <w:i w:val="0"/>
                      <w:color w:val="943634" w:themeColor="accent2" w:themeShade="BF"/>
                      <w:lang w:val="pt-PT"/>
                    </w:rPr>
                    <w:instrText xml:space="preserve"> SEQ Figure \* ARABIC </w:instrText>
                  </w:r>
                  <w:r w:rsidRPr="006C34E6">
                    <w:rPr>
                      <w:rFonts w:asciiTheme="minorHAnsi" w:hAnsiTheme="minorHAnsi" w:cstheme="minorHAnsi"/>
                      <w:i w:val="0"/>
                      <w:color w:val="943634" w:themeColor="accent2" w:themeShade="BF"/>
                      <w:lang w:val="pt-PT"/>
                    </w:rPr>
                    <w:fldChar w:fldCharType="separate"/>
                  </w:r>
                  <w:r w:rsidR="004F553E">
                    <w:rPr>
                      <w:rFonts w:asciiTheme="minorHAnsi" w:hAnsiTheme="minorHAnsi" w:cstheme="minorHAnsi"/>
                      <w:i w:val="0"/>
                      <w:noProof/>
                      <w:color w:val="943634" w:themeColor="accent2" w:themeShade="BF"/>
                      <w:lang w:val="pt-PT"/>
                    </w:rPr>
                    <w:t>7</w:t>
                  </w:r>
                  <w:r w:rsidRPr="006C34E6">
                    <w:rPr>
                      <w:rFonts w:asciiTheme="minorHAnsi" w:hAnsiTheme="minorHAnsi" w:cstheme="minorHAnsi"/>
                      <w:i w:val="0"/>
                      <w:color w:val="943634" w:themeColor="accent2" w:themeShade="BF"/>
                      <w:lang w:val="pt-PT"/>
                    </w:rPr>
                    <w:fldChar w:fldCharType="end"/>
                  </w:r>
                  <w:bookmarkEnd w:id="66"/>
                  <w:r w:rsidRPr="006C34E6">
                    <w:rPr>
                      <w:rFonts w:asciiTheme="minorHAnsi" w:hAnsiTheme="minorHAnsi" w:cstheme="minorHAnsi"/>
                      <w:i w:val="0"/>
                      <w:color w:val="943634" w:themeColor="accent2" w:themeShade="BF"/>
                      <w:lang w:val="pt-PT"/>
                    </w:rPr>
                    <w:t>: A balança comercial domina a balança de pagamentos.</w:t>
                  </w:r>
                </w:p>
                <w:p w:rsidR="00946D49" w:rsidRPr="006C34E6" w:rsidRDefault="00946D49" w:rsidP="00946D49">
                  <w:pPr>
                    <w:pStyle w:val="quarterly-chart-subtitle"/>
                    <w:keepNext/>
                    <w:keepLines/>
                    <w:jc w:val="center"/>
                    <w:rPr>
                      <w:rFonts w:asciiTheme="minorHAnsi" w:hAnsiTheme="minorHAnsi" w:cstheme="minorHAnsi"/>
                      <w:szCs w:val="18"/>
                      <w:lang w:val="pt-PT"/>
                    </w:rPr>
                  </w:pPr>
                  <w:r w:rsidRPr="006C34E6">
                    <w:rPr>
                      <w:rFonts w:asciiTheme="minorHAnsi" w:hAnsiTheme="minorHAnsi" w:cstheme="minorHAnsi"/>
                      <w:lang w:val="pt-PT"/>
                    </w:rPr>
                    <w:t>(Discriminação  das balanças das contas, corrente e de capital, 2008-2013)</w:t>
                  </w:r>
                </w:p>
              </w:tc>
            </w:tr>
            <w:tr w:rsidR="00946D49" w:rsidRPr="004E1715" w:rsidTr="00946D49">
              <w:trPr>
                <w:trHeight w:val="216"/>
              </w:trPr>
              <w:tc>
                <w:tcPr>
                  <w:tcW w:w="9679" w:type="dxa"/>
                  <w:gridSpan w:val="3"/>
                  <w:tcBorders>
                    <w:top w:val="single" w:sz="8" w:space="0" w:color="943634" w:themeColor="accent2" w:themeShade="BF"/>
                    <w:bottom w:val="nil"/>
                  </w:tcBorders>
                </w:tcPr>
                <w:p w:rsidR="00946D49" w:rsidRPr="006C34E6" w:rsidRDefault="00946D49" w:rsidP="00946D49">
                  <w:pPr>
                    <w:pStyle w:val="quarterly-chart-subtitle"/>
                    <w:keepNext/>
                    <w:keepLines/>
                    <w:jc w:val="center"/>
                    <w:rPr>
                      <w:rFonts w:asciiTheme="minorHAnsi" w:hAnsiTheme="minorHAnsi" w:cstheme="minorHAnsi"/>
                      <w:i w:val="0"/>
                      <w:color w:val="943634" w:themeColor="accent2" w:themeShade="BF"/>
                      <w:lang w:val="pt-PT"/>
                    </w:rPr>
                  </w:pPr>
                </w:p>
              </w:tc>
            </w:tr>
            <w:tr w:rsidR="00946D49" w:rsidRPr="006C34E6" w:rsidTr="00946D49">
              <w:tblPrEx>
                <w:tblCellMar>
                  <w:left w:w="108" w:type="dxa"/>
                  <w:right w:w="108" w:type="dxa"/>
                </w:tblCellMar>
              </w:tblPrEx>
              <w:trPr>
                <w:gridAfter w:val="1"/>
                <w:wAfter w:w="79" w:type="dxa"/>
                <w:trHeight w:val="216"/>
              </w:trPr>
              <w:tc>
                <w:tcPr>
                  <w:tcW w:w="4772" w:type="dxa"/>
                  <w:tcBorders>
                    <w:top w:val="nil"/>
                    <w:bottom w:val="single" w:sz="8" w:space="0" w:color="943634" w:themeColor="accent2" w:themeShade="BF"/>
                  </w:tcBorders>
                </w:tcPr>
                <w:p w:rsidR="00946D49" w:rsidRPr="006C34E6" w:rsidRDefault="00946D49" w:rsidP="00946D49">
                  <w:pPr>
                    <w:pStyle w:val="BodyText"/>
                    <w:keepNext/>
                    <w:keepLines/>
                    <w:rPr>
                      <w:rFonts w:asciiTheme="minorHAnsi" w:hAnsiTheme="minorHAnsi" w:cstheme="minorHAnsi"/>
                      <w:color w:val="FF9900"/>
                      <w:szCs w:val="18"/>
                      <w:lang w:val="pt-PT"/>
                    </w:rPr>
                  </w:pPr>
                  <w:r w:rsidRPr="006C34E6">
                    <w:rPr>
                      <w:lang w:val="pt-PT"/>
                    </w:rPr>
                    <w:t xml:space="preserve"> </w:t>
                  </w:r>
                  <w:r>
                    <w:rPr>
                      <w:noProof/>
                    </w:rPr>
                    <w:drawing>
                      <wp:inline distT="0" distB="0" distL="0" distR="0" wp14:anchorId="4E66061A" wp14:editId="3B05051D">
                        <wp:extent cx="2819713" cy="17621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6042" cy="1766080"/>
                                </a:xfrm>
                                <a:prstGeom prst="rect">
                                  <a:avLst/>
                                </a:prstGeom>
                                <a:noFill/>
                              </pic:spPr>
                            </pic:pic>
                          </a:graphicData>
                        </a:graphic>
                      </wp:inline>
                    </w:drawing>
                  </w:r>
                </w:p>
              </w:tc>
              <w:tc>
                <w:tcPr>
                  <w:tcW w:w="4907" w:type="dxa"/>
                  <w:tcBorders>
                    <w:top w:val="nil"/>
                    <w:bottom w:val="single" w:sz="8" w:space="0" w:color="943634" w:themeColor="accent2" w:themeShade="BF"/>
                  </w:tcBorders>
                </w:tcPr>
                <w:p w:rsidR="00946D49" w:rsidRPr="006C34E6" w:rsidRDefault="00946D49" w:rsidP="00946D49">
                  <w:pPr>
                    <w:pStyle w:val="BodyText"/>
                    <w:keepNext/>
                    <w:keepLines/>
                    <w:jc w:val="center"/>
                    <w:rPr>
                      <w:rFonts w:asciiTheme="minorHAnsi" w:hAnsiTheme="minorHAnsi" w:cstheme="minorHAnsi"/>
                      <w:szCs w:val="18"/>
                      <w:lang w:val="pt-PT"/>
                    </w:rPr>
                  </w:pPr>
                  <w:r>
                    <w:rPr>
                      <w:noProof/>
                    </w:rPr>
                    <w:drawing>
                      <wp:inline distT="0" distB="0" distL="0" distR="0" wp14:anchorId="4AA1F211" wp14:editId="41D0496C">
                        <wp:extent cx="2589045" cy="1764163"/>
                        <wp:effectExtent l="0" t="0" r="190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590417" cy="1765098"/>
                                </a:xfrm>
                                <a:prstGeom prst="rect">
                                  <a:avLst/>
                                </a:prstGeom>
                              </pic:spPr>
                            </pic:pic>
                          </a:graphicData>
                        </a:graphic>
                      </wp:inline>
                    </w:drawing>
                  </w:r>
                </w:p>
              </w:tc>
            </w:tr>
            <w:tr w:rsidR="00946D49" w:rsidRPr="004E1715" w:rsidTr="00946D49">
              <w:tblPrEx>
                <w:tblCellMar>
                  <w:left w:w="108" w:type="dxa"/>
                  <w:right w:w="108" w:type="dxa"/>
                </w:tblCellMar>
              </w:tblPrEx>
              <w:trPr>
                <w:gridAfter w:val="1"/>
                <w:wAfter w:w="79" w:type="dxa"/>
                <w:trHeight w:val="216"/>
              </w:trPr>
              <w:tc>
                <w:tcPr>
                  <w:tcW w:w="9679" w:type="dxa"/>
                  <w:gridSpan w:val="2"/>
                </w:tcPr>
                <w:p w:rsidR="00946D49" w:rsidRPr="006C34E6" w:rsidRDefault="00946D49" w:rsidP="00946D49">
                  <w:pPr>
                    <w:pStyle w:val="BodyText"/>
                    <w:keepNext/>
                    <w:keepLines/>
                    <w:rPr>
                      <w:lang w:val="pt-PT"/>
                    </w:rPr>
                  </w:pPr>
                  <w:r w:rsidRPr="006C34E6">
                    <w:rPr>
                      <w:rFonts w:asciiTheme="minorHAnsi" w:hAnsiTheme="minorHAnsi" w:cstheme="minorHAnsi"/>
                      <w:color w:val="808080" w:themeColor="background1" w:themeShade="80"/>
                      <w:sz w:val="16"/>
                      <w:szCs w:val="16"/>
                      <w:lang w:val="pt-PT"/>
                    </w:rPr>
                    <w:t>Fonte : Estimativas das Autoridades e dos serviços do Banco Mundial.</w:t>
                  </w:r>
                </w:p>
              </w:tc>
            </w:tr>
          </w:tbl>
          <w:p w:rsidR="00946D49" w:rsidRPr="006C34E6" w:rsidRDefault="00946D49" w:rsidP="00946D49">
            <w:pPr>
              <w:rPr>
                <w:rFonts w:asciiTheme="minorHAnsi" w:hAnsiTheme="minorHAnsi"/>
                <w:sz w:val="18"/>
                <w:lang w:val="pt-PT"/>
              </w:rPr>
            </w:pPr>
          </w:p>
          <w:p w:rsidR="00946D49" w:rsidRPr="006C34E6" w:rsidRDefault="00946D49" w:rsidP="00946D49">
            <w:pPr>
              <w:rPr>
                <w:rFonts w:asciiTheme="minorHAnsi" w:hAnsiTheme="minorHAnsi"/>
                <w:b w:val="0"/>
                <w:sz w:val="18"/>
                <w:lang w:val="pt-PT"/>
              </w:rPr>
            </w:pPr>
            <w:r w:rsidRPr="006C34E6">
              <w:rPr>
                <w:rFonts w:asciiTheme="minorHAnsi" w:hAnsiTheme="minorHAnsi"/>
                <w:sz w:val="18"/>
                <w:lang w:val="pt-PT"/>
              </w:rPr>
              <w:t xml:space="preserve">Ainda que os mercados financeiros de Angola se continuem a desenvolver, a balança do comércio exerce maior influência sobre a BdeP que a conta de capital. </w:t>
            </w:r>
            <w:r w:rsidRPr="006C34E6">
              <w:rPr>
                <w:rFonts w:asciiTheme="minorHAnsi" w:hAnsiTheme="minorHAnsi" w:cstheme="minorHAnsi"/>
                <w:b w:val="0"/>
                <w:sz w:val="18"/>
                <w:szCs w:val="18"/>
                <w:lang w:val="pt-PT"/>
              </w:rPr>
              <w:t xml:space="preserve">Os fluxos de capital em carteira continuam relativamente limitados devido à pequena dimensão do mercado interno de acções e obrigações. O IDE representa a maior parcela de capital entrado, seguido de empréstimos de bancos estrangeiros e compras de dívida soberana por investidores estrangeiros. Mas ainda que estas entradas de capital estrangeiro sejam </w:t>
            </w:r>
            <w:r w:rsidRPr="006C34E6">
              <w:rPr>
                <w:rFonts w:asciiTheme="minorHAnsi" w:hAnsiTheme="minorHAnsi" w:cstheme="minorHAnsi"/>
                <w:b w:val="0"/>
                <w:sz w:val="18"/>
                <w:szCs w:val="18"/>
                <w:lang w:val="pt-PT"/>
              </w:rPr>
              <w:lastRenderedPageBreak/>
              <w:t>importantes para estimular a actividade económica interna e financiar o orçamento, os fluxos líquidos de capital totalizaram apenas 3,5-8 por cento do PIB nos últimos 4 anos, bem abaixo do excedente comercial, que é geralmente de cerca de 20 por cento do PIB (Figura 9).    O IDE concentra-se principalmente no sector do petróleo, embora recentemente esteja a subir nos sectores da manufactura e da agricultura (ver a Secção III: Perspectivas e Riscos Económicos). Empréstimos a médio e longo prazo de bancos estrangeiros empresas angolanas propriedade do Estado são outra importante fonte de entradas de capital.</w:t>
            </w:r>
          </w:p>
          <w:p w:rsidR="00946D49" w:rsidRPr="006C34E6" w:rsidRDefault="00946D49" w:rsidP="00946D49">
            <w:pPr>
              <w:rPr>
                <w:rFonts w:asciiTheme="minorHAnsi" w:hAnsiTheme="minorHAnsi" w:cstheme="minorHAnsi"/>
                <w:b w:val="0"/>
                <w:sz w:val="18"/>
                <w:szCs w:val="18"/>
                <w:lang w:val="pt-PT"/>
              </w:rPr>
            </w:pPr>
          </w:p>
          <w:p w:rsidR="00946D49" w:rsidRPr="006C34E6" w:rsidRDefault="00946D49" w:rsidP="00946D49">
            <w:pPr>
              <w:rPr>
                <w:rFonts w:asciiTheme="minorHAnsi" w:hAnsiTheme="minorHAnsi"/>
                <w:b w:val="0"/>
                <w:sz w:val="18"/>
                <w:lang w:val="pt-PT"/>
              </w:rPr>
            </w:pPr>
            <w:r w:rsidRPr="006C34E6">
              <w:rPr>
                <w:rFonts w:asciiTheme="minorHAnsi" w:hAnsiTheme="minorHAnsi" w:cstheme="minorHAnsi"/>
                <w:sz w:val="18"/>
                <w:szCs w:val="18"/>
                <w:lang w:val="pt-PT"/>
              </w:rPr>
              <w:t xml:space="preserve">A balança </w:t>
            </w:r>
            <w:r w:rsidRPr="006C34E6">
              <w:rPr>
                <w:rFonts w:asciiTheme="minorHAnsi" w:hAnsiTheme="minorHAnsi"/>
                <w:sz w:val="18"/>
                <w:lang w:val="pt-PT"/>
              </w:rPr>
              <w:t xml:space="preserve"> da conta corrente pode também ser vista como a diferença entre poupança agregada e investimento. </w:t>
            </w:r>
            <w:r w:rsidRPr="006C34E6">
              <w:rPr>
                <w:rFonts w:asciiTheme="minorHAnsi" w:hAnsiTheme="minorHAnsi"/>
                <w:b w:val="0"/>
                <w:sz w:val="18"/>
                <w:lang w:val="pt-PT"/>
              </w:rPr>
              <w:t xml:space="preserve">Este enquadramento analítico ajuda não só a identificar os canais através dos quais os choques externos são transmitidos à economia interna, mas pode também explicar importantes compromissos entre o consumo actual e futuro. Se uma economia consome e investe mais do que produz, ou recebe em rendimento e transferências, tem de financiar a diferença com empréstimos de fora, apresentando um défice de conta corrente. Este défice é sustentável se os empréstimos forem usados para financiar investimentos que promovam a produtividade e obtenham um aumento suficiente da economia nacional para financiar o peso da dívida do país. Angola, no entanto, é apenas um de uma série de países da região que têm regularmente um </w:t>
            </w:r>
            <w:r w:rsidRPr="006C34E6">
              <w:rPr>
                <w:rFonts w:asciiTheme="minorHAnsi" w:hAnsiTheme="minorHAnsi"/>
                <w:b w:val="0"/>
                <w:i/>
                <w:sz w:val="18"/>
                <w:lang w:val="pt-PT"/>
              </w:rPr>
              <w:t>superavit</w:t>
            </w:r>
            <w:r w:rsidRPr="006C34E6">
              <w:rPr>
                <w:rFonts w:asciiTheme="minorHAnsi" w:hAnsiTheme="minorHAnsi"/>
                <w:b w:val="0"/>
                <w:sz w:val="18"/>
                <w:lang w:val="pt-PT"/>
              </w:rPr>
              <w:t xml:space="preserve"> na balança de transacções correntes, o que permite emprestar mais do que o que toma de empréstimo. Mas enquanto outros países em desenvolvimento ricos em petróleo – Gabão e Nigéria, por exemplo – têm usado o </w:t>
            </w:r>
            <w:r w:rsidRPr="006C34E6">
              <w:rPr>
                <w:rFonts w:asciiTheme="minorHAnsi" w:hAnsiTheme="minorHAnsi"/>
                <w:b w:val="0"/>
                <w:i/>
                <w:sz w:val="18"/>
                <w:lang w:val="pt-PT"/>
              </w:rPr>
              <w:t>superavit</w:t>
            </w:r>
            <w:r w:rsidRPr="006C34E6">
              <w:rPr>
                <w:rFonts w:asciiTheme="minorHAnsi" w:hAnsiTheme="minorHAnsi"/>
                <w:b w:val="0"/>
                <w:sz w:val="18"/>
                <w:lang w:val="pt-PT"/>
              </w:rPr>
              <w:t xml:space="preserve"> das suas contas correntes para conseguir níveis de investimento público de mais de 25 por cento do PIB, o investimento público em Angola tem-se mantido muito mais baixo, cerca de 10 por cento do PIB.</w:t>
            </w:r>
          </w:p>
          <w:p w:rsidR="00946D49" w:rsidRPr="006C34E6" w:rsidRDefault="00946D49" w:rsidP="00946D49">
            <w:pPr>
              <w:pStyle w:val="NoSpacing"/>
              <w:rPr>
                <w:rFonts w:asciiTheme="minorHAnsi" w:hAnsiTheme="minorHAnsi" w:cstheme="minorHAnsi"/>
                <w:b w:val="0"/>
                <w:sz w:val="18"/>
                <w:szCs w:val="18"/>
                <w:lang w:val="pt-PT"/>
              </w:rPr>
            </w:pPr>
          </w:p>
          <w:tbl>
            <w:tblPr>
              <w:tblW w:w="9961" w:type="dxa"/>
              <w:tblInd w:w="119" w:type="dxa"/>
              <w:tblBorders>
                <w:insideH w:val="single" w:sz="8" w:space="0" w:color="943634" w:themeColor="accent2" w:themeShade="BF"/>
              </w:tblBorders>
              <w:tblLayout w:type="fixed"/>
              <w:tblCellMar>
                <w:left w:w="29" w:type="dxa"/>
                <w:right w:w="29" w:type="dxa"/>
              </w:tblCellMar>
              <w:tblLook w:val="01E0" w:firstRow="1" w:lastRow="1" w:firstColumn="1" w:lastColumn="1" w:noHBand="0" w:noVBand="0"/>
            </w:tblPr>
            <w:tblGrid>
              <w:gridCol w:w="4972"/>
              <w:gridCol w:w="4911"/>
              <w:gridCol w:w="78"/>
            </w:tblGrid>
            <w:tr w:rsidR="00946D49" w:rsidRPr="004E1715" w:rsidTr="00946D49">
              <w:trPr>
                <w:trHeight w:val="218"/>
              </w:trPr>
              <w:tc>
                <w:tcPr>
                  <w:tcW w:w="5011" w:type="dxa"/>
                </w:tcPr>
                <w:p w:rsidR="00946D49" w:rsidRPr="006C34E6" w:rsidRDefault="00946D49" w:rsidP="00946D49">
                  <w:pPr>
                    <w:pStyle w:val="Caption"/>
                    <w:keepNext/>
                    <w:keepLines/>
                    <w:rPr>
                      <w:rFonts w:asciiTheme="minorHAnsi" w:hAnsiTheme="minorHAnsi" w:cstheme="minorHAnsi"/>
                      <w:color w:val="943634" w:themeColor="accent2" w:themeShade="BF"/>
                      <w:lang w:val="pt-PT"/>
                    </w:rPr>
                  </w:pPr>
                  <w:bookmarkStart w:id="67" w:name="_Ref349669459"/>
                  <w:bookmarkStart w:id="68" w:name="_Toc349761813"/>
                  <w:r w:rsidRPr="006C34E6">
                    <w:rPr>
                      <w:rFonts w:asciiTheme="minorHAnsi" w:hAnsiTheme="minorHAnsi" w:cstheme="minorHAnsi"/>
                      <w:color w:val="943634" w:themeColor="accent2" w:themeShade="BF"/>
                      <w:lang w:val="pt-PT"/>
                    </w:rPr>
                    <w:t xml:space="preserve">Figura </w:t>
                  </w:r>
                  <w:r w:rsidRPr="006C34E6">
                    <w:rPr>
                      <w:rFonts w:asciiTheme="minorHAnsi" w:hAnsiTheme="minorHAnsi" w:cstheme="minorHAnsi"/>
                      <w:color w:val="943634" w:themeColor="accent2" w:themeShade="BF"/>
                      <w:lang w:val="pt-PT"/>
                    </w:rPr>
                    <w:fldChar w:fldCharType="begin"/>
                  </w:r>
                  <w:r w:rsidRPr="006C34E6">
                    <w:rPr>
                      <w:rFonts w:asciiTheme="minorHAnsi" w:hAnsiTheme="minorHAnsi" w:cstheme="minorHAnsi"/>
                      <w:color w:val="943634" w:themeColor="accent2" w:themeShade="BF"/>
                      <w:lang w:val="pt-PT"/>
                    </w:rPr>
                    <w:instrText xml:space="preserve"> SEQ Figure \* ARABIC </w:instrText>
                  </w:r>
                  <w:r w:rsidRPr="006C34E6">
                    <w:rPr>
                      <w:rFonts w:asciiTheme="minorHAnsi" w:hAnsiTheme="minorHAnsi" w:cstheme="minorHAnsi"/>
                      <w:color w:val="943634" w:themeColor="accent2" w:themeShade="BF"/>
                      <w:lang w:val="pt-PT"/>
                    </w:rPr>
                    <w:fldChar w:fldCharType="separate"/>
                  </w:r>
                  <w:r w:rsidR="004F553E">
                    <w:rPr>
                      <w:rFonts w:asciiTheme="minorHAnsi" w:hAnsiTheme="minorHAnsi" w:cstheme="minorHAnsi"/>
                      <w:noProof/>
                      <w:color w:val="943634" w:themeColor="accent2" w:themeShade="BF"/>
                      <w:lang w:val="pt-PT"/>
                    </w:rPr>
                    <w:t>8</w:t>
                  </w:r>
                  <w:r w:rsidRPr="006C34E6">
                    <w:rPr>
                      <w:rFonts w:asciiTheme="minorHAnsi" w:hAnsiTheme="minorHAnsi" w:cstheme="minorHAnsi"/>
                      <w:color w:val="943634" w:themeColor="accent2" w:themeShade="BF"/>
                      <w:lang w:val="pt-PT"/>
                    </w:rPr>
                    <w:fldChar w:fldCharType="end"/>
                  </w:r>
                  <w:bookmarkEnd w:id="67"/>
                  <w:r w:rsidRPr="006C34E6">
                    <w:rPr>
                      <w:rFonts w:asciiTheme="minorHAnsi" w:hAnsiTheme="minorHAnsi" w:cstheme="minorHAnsi"/>
                      <w:color w:val="943634" w:themeColor="accent2" w:themeShade="BF"/>
                      <w:lang w:val="pt-PT"/>
                    </w:rPr>
                    <w:t xml:space="preserve">: Angola tem mantido um elevado </w:t>
                  </w:r>
                  <w:r w:rsidRPr="006C34E6">
                    <w:rPr>
                      <w:rFonts w:asciiTheme="minorHAnsi" w:hAnsiTheme="minorHAnsi" w:cstheme="minorHAnsi"/>
                      <w:i/>
                      <w:color w:val="943634" w:themeColor="accent2" w:themeShade="BF"/>
                      <w:lang w:val="pt-PT"/>
                    </w:rPr>
                    <w:t>superavit</w:t>
                  </w:r>
                  <w:r w:rsidRPr="006C34E6">
                    <w:rPr>
                      <w:rFonts w:asciiTheme="minorHAnsi" w:hAnsiTheme="minorHAnsi" w:cstheme="minorHAnsi"/>
                      <w:color w:val="943634" w:themeColor="accent2" w:themeShade="BF"/>
                      <w:lang w:val="pt-PT"/>
                    </w:rPr>
                    <w:t xml:space="preserve"> da</w:t>
                  </w:r>
                </w:p>
                <w:p w:rsidR="00946D49" w:rsidRPr="006C34E6" w:rsidRDefault="00946D49" w:rsidP="00946D49">
                  <w:pPr>
                    <w:pStyle w:val="Caption"/>
                    <w:keepNext/>
                    <w:keepLines/>
                    <w:rPr>
                      <w:rFonts w:asciiTheme="minorHAnsi" w:hAnsiTheme="minorHAnsi" w:cstheme="minorHAnsi"/>
                      <w:color w:val="943634" w:themeColor="accent2" w:themeShade="BF"/>
                      <w:lang w:val="pt-PT"/>
                    </w:rPr>
                  </w:pPr>
                  <w:r w:rsidRPr="006C34E6">
                    <w:rPr>
                      <w:rFonts w:asciiTheme="minorHAnsi" w:hAnsiTheme="minorHAnsi" w:cstheme="minorHAnsi"/>
                      <w:color w:val="943634" w:themeColor="accent2" w:themeShade="BF"/>
                      <w:lang w:val="pt-PT"/>
                    </w:rPr>
                    <w:t xml:space="preserve"> conta corrente, com a poupança interna excedendo geralmente</w:t>
                  </w:r>
                </w:p>
                <w:p w:rsidR="00946D49" w:rsidRPr="006C34E6" w:rsidRDefault="00946D49" w:rsidP="00946D49">
                  <w:pPr>
                    <w:pStyle w:val="Caption"/>
                    <w:keepNext/>
                    <w:keepLines/>
                    <w:rPr>
                      <w:rFonts w:asciiTheme="minorHAnsi" w:hAnsiTheme="minorHAnsi" w:cstheme="minorHAnsi"/>
                      <w:color w:val="943634" w:themeColor="accent2" w:themeShade="BF"/>
                      <w:lang w:val="pt-PT"/>
                    </w:rPr>
                  </w:pPr>
                  <w:r w:rsidRPr="006C34E6">
                    <w:rPr>
                      <w:rFonts w:asciiTheme="minorHAnsi" w:hAnsiTheme="minorHAnsi" w:cstheme="minorHAnsi"/>
                      <w:color w:val="943634" w:themeColor="accent2" w:themeShade="BF"/>
                      <w:lang w:val="pt-PT"/>
                    </w:rPr>
                    <w:t xml:space="preserve"> o investimento interno.</w:t>
                  </w:r>
                  <w:bookmarkEnd w:id="68"/>
                </w:p>
                <w:p w:rsidR="00946D49" w:rsidRPr="006C34E6" w:rsidRDefault="00946D49" w:rsidP="00946D49">
                  <w:pPr>
                    <w:pStyle w:val="quarterly-chart-subtitle"/>
                    <w:keepNext/>
                    <w:keepLines/>
                    <w:ind w:right="64"/>
                    <w:jc w:val="left"/>
                    <w:rPr>
                      <w:rFonts w:asciiTheme="minorHAnsi" w:hAnsiTheme="minorHAnsi" w:cstheme="minorHAnsi"/>
                      <w:szCs w:val="18"/>
                      <w:lang w:val="pt-PT"/>
                    </w:rPr>
                  </w:pPr>
                  <w:r w:rsidRPr="006C34E6">
                    <w:rPr>
                      <w:rFonts w:asciiTheme="minorHAnsi" w:hAnsiTheme="minorHAnsi" w:cstheme="minorHAnsi"/>
                      <w:szCs w:val="18"/>
                      <w:lang w:val="pt-PT"/>
                    </w:rPr>
                    <w:t>(Diferença Poupança- Investimentos , % do PIB)</w:t>
                  </w:r>
                </w:p>
              </w:tc>
              <w:tc>
                <w:tcPr>
                  <w:tcW w:w="4950" w:type="dxa"/>
                  <w:gridSpan w:val="2"/>
                </w:tcPr>
                <w:p w:rsidR="00946D49" w:rsidRPr="006C34E6" w:rsidRDefault="00946D49" w:rsidP="00946D49">
                  <w:pPr>
                    <w:pStyle w:val="Caption"/>
                    <w:keepNext/>
                    <w:keepLines/>
                    <w:ind w:right="158"/>
                    <w:rPr>
                      <w:rFonts w:asciiTheme="minorHAnsi" w:hAnsiTheme="minorHAnsi" w:cstheme="minorHAnsi"/>
                      <w:color w:val="943634" w:themeColor="accent2" w:themeShade="BF"/>
                      <w:lang w:val="pt-PT"/>
                    </w:rPr>
                  </w:pPr>
                  <w:bookmarkStart w:id="69" w:name="_Ref349669473"/>
                  <w:bookmarkStart w:id="70" w:name="_Toc349761814"/>
                  <w:r w:rsidRPr="006C34E6">
                    <w:rPr>
                      <w:rFonts w:asciiTheme="minorHAnsi" w:hAnsiTheme="minorHAnsi" w:cstheme="minorHAnsi"/>
                      <w:color w:val="943634" w:themeColor="accent2" w:themeShade="BF"/>
                      <w:lang w:val="pt-PT"/>
                    </w:rPr>
                    <w:t xml:space="preserve">Figura </w:t>
                  </w:r>
                  <w:r w:rsidRPr="006C34E6">
                    <w:rPr>
                      <w:rFonts w:asciiTheme="minorHAnsi" w:hAnsiTheme="minorHAnsi" w:cstheme="minorHAnsi"/>
                      <w:color w:val="943634" w:themeColor="accent2" w:themeShade="BF"/>
                      <w:lang w:val="pt-PT"/>
                    </w:rPr>
                    <w:fldChar w:fldCharType="begin"/>
                  </w:r>
                  <w:r w:rsidRPr="006C34E6">
                    <w:rPr>
                      <w:rFonts w:asciiTheme="minorHAnsi" w:hAnsiTheme="minorHAnsi" w:cstheme="minorHAnsi"/>
                      <w:color w:val="943634" w:themeColor="accent2" w:themeShade="BF"/>
                      <w:lang w:val="pt-PT"/>
                    </w:rPr>
                    <w:instrText xml:space="preserve"> SEQ Figure \* ARABIC </w:instrText>
                  </w:r>
                  <w:r w:rsidRPr="006C34E6">
                    <w:rPr>
                      <w:rFonts w:asciiTheme="minorHAnsi" w:hAnsiTheme="minorHAnsi" w:cstheme="minorHAnsi"/>
                      <w:color w:val="943634" w:themeColor="accent2" w:themeShade="BF"/>
                      <w:lang w:val="pt-PT"/>
                    </w:rPr>
                    <w:fldChar w:fldCharType="separate"/>
                  </w:r>
                  <w:r w:rsidR="004F553E">
                    <w:rPr>
                      <w:rFonts w:asciiTheme="minorHAnsi" w:hAnsiTheme="minorHAnsi" w:cstheme="minorHAnsi"/>
                      <w:noProof/>
                      <w:color w:val="943634" w:themeColor="accent2" w:themeShade="BF"/>
                      <w:lang w:val="pt-PT"/>
                    </w:rPr>
                    <w:t>9</w:t>
                  </w:r>
                  <w:r w:rsidRPr="006C34E6">
                    <w:rPr>
                      <w:rFonts w:asciiTheme="minorHAnsi" w:hAnsiTheme="minorHAnsi" w:cstheme="minorHAnsi"/>
                      <w:color w:val="943634" w:themeColor="accent2" w:themeShade="BF"/>
                      <w:lang w:val="pt-PT"/>
                    </w:rPr>
                    <w:fldChar w:fldCharType="end"/>
                  </w:r>
                  <w:bookmarkEnd w:id="69"/>
                  <w:r w:rsidRPr="006C34E6">
                    <w:rPr>
                      <w:rFonts w:asciiTheme="minorHAnsi" w:hAnsiTheme="minorHAnsi" w:cstheme="minorHAnsi"/>
                      <w:color w:val="943634" w:themeColor="accent2" w:themeShade="BF"/>
                      <w:lang w:val="pt-PT"/>
                    </w:rPr>
                    <w:t>: A balança corrente e saldo fiscal de Angola estão grandemente correlacionados, pois ambos estão estreitamente ligados aos preços globais do petróleo.</w:t>
                  </w:r>
                  <w:bookmarkEnd w:id="70"/>
                </w:p>
                <w:p w:rsidR="00946D49" w:rsidRPr="006C34E6" w:rsidRDefault="00946D49" w:rsidP="00946D49">
                  <w:pPr>
                    <w:pStyle w:val="quarterly-chart-subtitle"/>
                    <w:keepNext/>
                    <w:keepLines/>
                    <w:rPr>
                      <w:rFonts w:asciiTheme="minorHAnsi" w:hAnsiTheme="minorHAnsi" w:cstheme="minorHAnsi"/>
                      <w:szCs w:val="18"/>
                      <w:lang w:val="pt-PT"/>
                    </w:rPr>
                  </w:pPr>
                  <w:r w:rsidRPr="006C34E6">
                    <w:rPr>
                      <w:rFonts w:asciiTheme="minorHAnsi" w:hAnsiTheme="minorHAnsi" w:cstheme="minorHAnsi"/>
                      <w:szCs w:val="18"/>
                      <w:lang w:val="pt-PT"/>
                    </w:rPr>
                    <w:t>(Balança da conta corrente e  empréstimos líquidos em % do PIB)</w:t>
                  </w:r>
                </w:p>
              </w:tc>
            </w:tr>
            <w:tr w:rsidR="00946D49" w:rsidRPr="006C34E6" w:rsidTr="00946D49">
              <w:tblPrEx>
                <w:tblCellMar>
                  <w:left w:w="108" w:type="dxa"/>
                  <w:right w:w="108" w:type="dxa"/>
                </w:tblCellMar>
              </w:tblPrEx>
              <w:trPr>
                <w:gridAfter w:val="1"/>
                <w:wAfter w:w="79" w:type="dxa"/>
                <w:trHeight w:val="218"/>
              </w:trPr>
              <w:tc>
                <w:tcPr>
                  <w:tcW w:w="5011" w:type="dxa"/>
                </w:tcPr>
                <w:p w:rsidR="00946D49" w:rsidRPr="006C34E6" w:rsidRDefault="00946D49" w:rsidP="00946D49">
                  <w:pPr>
                    <w:pStyle w:val="BodyText"/>
                    <w:keepNext/>
                    <w:keepLines/>
                    <w:tabs>
                      <w:tab w:val="left" w:pos="1803"/>
                    </w:tabs>
                    <w:rPr>
                      <w:lang w:val="pt-PT"/>
                    </w:rPr>
                  </w:pPr>
                  <w:r>
                    <w:rPr>
                      <w:noProof/>
                    </w:rPr>
                    <w:drawing>
                      <wp:inline distT="0" distB="0" distL="0" distR="0" wp14:anchorId="6E9D8681" wp14:editId="2C3DEDA3">
                        <wp:extent cx="3169146" cy="1905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79867" cy="1911445"/>
                                </a:xfrm>
                                <a:prstGeom prst="rect">
                                  <a:avLst/>
                                </a:prstGeom>
                                <a:noFill/>
                              </pic:spPr>
                            </pic:pic>
                          </a:graphicData>
                        </a:graphic>
                      </wp:inline>
                    </w:drawing>
                  </w:r>
                </w:p>
                <w:p w:rsidR="00946D49" w:rsidRPr="006C34E6" w:rsidRDefault="00946D49" w:rsidP="00946D49">
                  <w:pPr>
                    <w:pStyle w:val="BodyText"/>
                    <w:keepNext/>
                    <w:keepLines/>
                    <w:rPr>
                      <w:rFonts w:asciiTheme="minorHAnsi" w:hAnsiTheme="minorHAnsi" w:cstheme="minorHAnsi"/>
                      <w:color w:val="FF9900"/>
                      <w:szCs w:val="18"/>
                      <w:lang w:val="pt-PT"/>
                    </w:rPr>
                  </w:pPr>
                  <w:r w:rsidRPr="006C34E6">
                    <w:rPr>
                      <w:rFonts w:asciiTheme="minorHAnsi" w:hAnsiTheme="minorHAnsi" w:cstheme="minorHAnsi"/>
                      <w:color w:val="808080" w:themeColor="background1" w:themeShade="80"/>
                      <w:sz w:val="16"/>
                      <w:szCs w:val="16"/>
                      <w:lang w:val="pt-PT"/>
                    </w:rPr>
                    <w:t>Fonte:  Estimativas dos Serviços do Banco Mundial.</w:t>
                  </w:r>
                </w:p>
              </w:tc>
              <w:tc>
                <w:tcPr>
                  <w:tcW w:w="4950" w:type="dxa"/>
                </w:tcPr>
                <w:p w:rsidR="00946D49" w:rsidRPr="006C34E6" w:rsidRDefault="00946D49" w:rsidP="00946D49">
                  <w:pPr>
                    <w:pStyle w:val="BodyText"/>
                    <w:keepNext/>
                    <w:keepLines/>
                    <w:rPr>
                      <w:rFonts w:asciiTheme="minorHAnsi" w:hAnsiTheme="minorHAnsi" w:cstheme="minorHAnsi"/>
                      <w:szCs w:val="18"/>
                      <w:lang w:val="pt-PT"/>
                    </w:rPr>
                  </w:pPr>
                  <w:r>
                    <w:rPr>
                      <w:rFonts w:asciiTheme="minorHAnsi" w:hAnsiTheme="minorHAnsi" w:cstheme="minorHAnsi"/>
                      <w:noProof/>
                      <w:szCs w:val="18"/>
                    </w:rPr>
                    <w:drawing>
                      <wp:inline distT="0" distB="0" distL="0" distR="0" wp14:anchorId="5ED259E8" wp14:editId="46D0155D">
                        <wp:extent cx="2801757" cy="1905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0133" cy="1903896"/>
                                </a:xfrm>
                                <a:prstGeom prst="rect">
                                  <a:avLst/>
                                </a:prstGeom>
                                <a:noFill/>
                              </pic:spPr>
                            </pic:pic>
                          </a:graphicData>
                        </a:graphic>
                      </wp:inline>
                    </w:drawing>
                  </w:r>
                </w:p>
              </w:tc>
            </w:tr>
          </w:tbl>
          <w:p w:rsidR="00946D49" w:rsidRPr="006C34E6" w:rsidRDefault="00946D49" w:rsidP="00946D49">
            <w:pPr>
              <w:pStyle w:val="NoSpacing"/>
              <w:rPr>
                <w:rFonts w:asciiTheme="minorHAnsi" w:hAnsiTheme="minorHAnsi" w:cstheme="minorHAnsi"/>
                <w:b w:val="0"/>
                <w:sz w:val="18"/>
                <w:szCs w:val="18"/>
                <w:lang w:val="pt-PT"/>
              </w:rPr>
            </w:pPr>
          </w:p>
          <w:p w:rsidR="00946D49" w:rsidRPr="006C34E6" w:rsidRDefault="00946D49" w:rsidP="00946D49">
            <w:pPr>
              <w:keepNext/>
              <w:rPr>
                <w:rFonts w:asciiTheme="minorHAnsi" w:hAnsiTheme="minorHAnsi" w:cstheme="minorHAnsi"/>
                <w:b w:val="0"/>
                <w:sz w:val="18"/>
                <w:szCs w:val="18"/>
                <w:lang w:val="pt-PT"/>
              </w:rPr>
            </w:pPr>
            <w:r w:rsidRPr="006C34E6">
              <w:rPr>
                <w:rFonts w:asciiTheme="minorHAnsi" w:hAnsiTheme="minorHAnsi" w:cstheme="minorHAnsi"/>
                <w:sz w:val="18"/>
                <w:szCs w:val="18"/>
                <w:lang w:val="pt-PT"/>
              </w:rPr>
              <w:t xml:space="preserve">Embora um elevado </w:t>
            </w:r>
            <w:r w:rsidRPr="006C34E6">
              <w:rPr>
                <w:rFonts w:asciiTheme="minorHAnsi" w:hAnsiTheme="minorHAnsi" w:cstheme="minorHAnsi"/>
                <w:i/>
                <w:sz w:val="18"/>
                <w:szCs w:val="18"/>
                <w:lang w:val="pt-PT"/>
              </w:rPr>
              <w:t>superavit</w:t>
            </w:r>
            <w:r w:rsidRPr="006C34E6">
              <w:rPr>
                <w:rFonts w:asciiTheme="minorHAnsi" w:hAnsiTheme="minorHAnsi" w:cstheme="minorHAnsi"/>
                <w:sz w:val="18"/>
                <w:szCs w:val="18"/>
                <w:lang w:val="pt-PT"/>
              </w:rPr>
              <w:t xml:space="preserve"> da balança de contas correntes possa ajudar a isolar a economia de choques externos, ele representa também uma oportunidade perdida de elevar a trajectória de crescimento de Angola, através de investimentos em infra-estruturas essenciais. </w:t>
            </w:r>
            <w:r w:rsidRPr="006C34E6">
              <w:rPr>
                <w:rFonts w:asciiTheme="minorHAnsi" w:hAnsiTheme="minorHAnsi" w:cstheme="minorHAnsi"/>
                <w:b w:val="0"/>
                <w:sz w:val="18"/>
                <w:szCs w:val="18"/>
                <w:lang w:val="pt-PT"/>
              </w:rPr>
              <w:t>Os vastos influxos de capital estrangeiro para Angola, podem ser utilizados para construir os alicerces de uma economia mais diversificada e produtiva. Isto é particularmente verdade na administração pública, onde investimentos relativamente modestos nas capacidades institucionais e na reforma do ambiente de negócios, podem atrair investimento privado complementar e desbloquear o vasto potencial de crescimento da economia não-petrolífera de Angola. O investimento em infra-estruturas tem também uma importância crítica, embora deva ser acompanhado por reformas estruturais fundamentais, na gestão do investimento público, que são detalhadas na Secção de Enfoques Especiais.</w:t>
            </w:r>
          </w:p>
          <w:p w:rsidR="00946D49" w:rsidRPr="006C34E6" w:rsidRDefault="00946D49" w:rsidP="00946D49">
            <w:pPr>
              <w:keepNext/>
              <w:rPr>
                <w:rFonts w:asciiTheme="minorHAnsi" w:hAnsiTheme="minorHAnsi" w:cstheme="minorHAnsi"/>
                <w:b w:val="0"/>
                <w:sz w:val="18"/>
                <w:szCs w:val="18"/>
                <w:lang w:val="pt-PT"/>
              </w:rPr>
            </w:pPr>
          </w:p>
          <w:p w:rsidR="00946D49" w:rsidRPr="006C34E6" w:rsidRDefault="00946D49" w:rsidP="00946D49">
            <w:pPr>
              <w:keepNext/>
              <w:rPr>
                <w:rFonts w:asciiTheme="minorHAnsi" w:hAnsiTheme="minorHAnsi" w:cstheme="minorHAnsi"/>
                <w:b w:val="0"/>
                <w:sz w:val="18"/>
                <w:szCs w:val="18"/>
                <w:lang w:val="pt-PT"/>
              </w:rPr>
            </w:pPr>
            <w:r w:rsidRPr="006C34E6">
              <w:rPr>
                <w:rFonts w:asciiTheme="minorHAnsi" w:hAnsiTheme="minorHAnsi" w:cstheme="minorHAnsi"/>
                <w:sz w:val="18"/>
                <w:szCs w:val="18"/>
                <w:lang w:val="pt-PT"/>
              </w:rPr>
              <w:t xml:space="preserve">Mantendo-se baixa, por padrões internacionais, a taxa de investimento de Angola – e tendo caído ainda mais devido à crise financeira global – as flutuações da conta de transacções correntes têm sido acompanhadas por alterações dramáticas na poupança nacional. </w:t>
            </w:r>
            <w:r w:rsidRPr="006C34E6">
              <w:rPr>
                <w:rFonts w:asciiTheme="minorHAnsi" w:hAnsiTheme="minorHAnsi" w:cstheme="minorHAnsi"/>
                <w:b w:val="0"/>
                <w:sz w:val="18"/>
                <w:szCs w:val="18"/>
                <w:lang w:val="pt-PT"/>
              </w:rPr>
              <w:t xml:space="preserve">A taxa de poupança de Angola mergulhou de quase 26 por cento do PIB em 2008, para cerca de 6 por cento, em 2009. Entretanto, a poupança recuperou, mas ao nível de 19 por cento do PIB em 2013, continua abaixo dos níveis pré-crise (Figura 10). Esta recuperação, entre 2009-2012, foi impulsionada principalmente por um aumento na poupança pública, tendo o governo levado o orçamento de novo a excedentes. A taxa de poupança privada de Angola tem ainda de conseguir os níveis anteriores à crise: em 2008 os investimentos privados eram de 16,6 por cento do PIB, contra os 10,3 por cento de 2013.  </w:t>
            </w:r>
          </w:p>
          <w:p w:rsidR="00946D49" w:rsidRPr="006C34E6" w:rsidRDefault="00946D49" w:rsidP="00946D49">
            <w:pPr>
              <w:keepNext/>
              <w:rPr>
                <w:rFonts w:asciiTheme="minorHAnsi" w:hAnsiTheme="minorHAnsi" w:cstheme="minorHAnsi"/>
                <w:b w:val="0"/>
                <w:sz w:val="18"/>
                <w:szCs w:val="18"/>
                <w:lang w:val="pt-PT"/>
              </w:rPr>
            </w:pPr>
          </w:p>
          <w:p w:rsidR="00946D49" w:rsidRPr="006C34E6" w:rsidRDefault="00946D49" w:rsidP="00946D49">
            <w:pPr>
              <w:keepNext/>
              <w:rPr>
                <w:rFonts w:asciiTheme="minorHAnsi" w:hAnsiTheme="minorHAnsi" w:cstheme="minorHAnsi"/>
                <w:b w:val="0"/>
                <w:sz w:val="18"/>
                <w:szCs w:val="18"/>
                <w:lang w:val="pt-PT"/>
              </w:rPr>
            </w:pPr>
            <w:r w:rsidRPr="006C34E6">
              <w:rPr>
                <w:rFonts w:asciiTheme="minorHAnsi" w:hAnsiTheme="minorHAnsi" w:cstheme="minorHAnsi"/>
                <w:sz w:val="18"/>
                <w:szCs w:val="18"/>
                <w:lang w:val="pt-PT"/>
              </w:rPr>
              <w:t xml:space="preserve">A volatilidade das poupanças públicas destaca um outro importante canal de transmissão através do qual as flutuações nos preços globais do petróleo têm um impacto na economia angolana – a natureza altamente pró-cíclica do orçamento nacional. </w:t>
            </w:r>
            <w:r w:rsidRPr="006C34E6">
              <w:rPr>
                <w:rFonts w:asciiTheme="minorHAnsi" w:hAnsiTheme="minorHAnsi" w:cstheme="minorHAnsi"/>
                <w:b w:val="0"/>
                <w:sz w:val="18"/>
                <w:szCs w:val="18"/>
                <w:lang w:val="pt-PT"/>
              </w:rPr>
              <w:t xml:space="preserve">Com as receitas do petróleo a corresponderem a 80 por cento de toda a receita pública de Angola, a balança orçamental é também afectada pelas flutuações nos preços globais do petróleo, o que significa que está estreitamente ligada ao saldo da balança de transacções correntes </w:t>
            </w:r>
            <w:r w:rsidRPr="006C34E6">
              <w:rPr>
                <w:rFonts w:asciiTheme="minorHAnsi" w:hAnsiTheme="minorHAnsi" w:cstheme="minorHAnsi"/>
                <w:b w:val="0"/>
                <w:sz w:val="18"/>
                <w:szCs w:val="18"/>
                <w:lang w:val="pt-PT"/>
              </w:rPr>
              <w:lastRenderedPageBreak/>
              <w:t>(Figura 11). A correlação entre a balança das transacções correntes e o saldo orçamental</w:t>
            </w:r>
            <w:r w:rsidRPr="006C34E6">
              <w:rPr>
                <w:b w:val="0"/>
                <w:vertAlign w:val="superscript"/>
                <w:lang w:val="pt-PT"/>
              </w:rPr>
              <w:footnoteReference w:id="9"/>
            </w:r>
            <w:r w:rsidRPr="006C34E6">
              <w:rPr>
                <w:rFonts w:asciiTheme="minorHAnsi" w:hAnsiTheme="minorHAnsi" w:cstheme="minorHAnsi"/>
                <w:b w:val="0"/>
                <w:sz w:val="18"/>
                <w:szCs w:val="18"/>
                <w:lang w:val="pt-PT"/>
              </w:rPr>
              <w:t xml:space="preserve"> aumenta o efeito das flutuações nos preços globais do petróleo sobre a actividade económica de Angola, acentuando a necessidade de diversificar a economia e separar as finanças públicas do sector do petróleo.   </w:t>
            </w:r>
          </w:p>
        </w:tc>
      </w:tr>
    </w:tbl>
    <w:p w:rsidR="00946D49" w:rsidRPr="006C34E6" w:rsidRDefault="00946D49" w:rsidP="0085133C">
      <w:pPr>
        <w:pStyle w:val="ParagraphNumbering"/>
        <w:numPr>
          <w:ilvl w:val="0"/>
          <w:numId w:val="0"/>
        </w:numPr>
        <w:rPr>
          <w:lang w:val="pt-PT"/>
        </w:rPr>
      </w:pPr>
    </w:p>
    <w:p w:rsidR="004F553E" w:rsidRPr="004F553E" w:rsidRDefault="00946D49" w:rsidP="0085133C">
      <w:pPr>
        <w:pStyle w:val="ParagraphNumbering"/>
        <w:rPr>
          <w:lang w:val="pt-PT"/>
        </w:rPr>
      </w:pPr>
      <w:r w:rsidRPr="00267766">
        <w:rPr>
          <w:lang w:val="pt-PT"/>
        </w:rPr>
        <w:t>Apesar da sua posição líquida interna negativa em IDE</w:t>
      </w:r>
      <w:r w:rsidRPr="00267766">
        <w:rPr>
          <w:rStyle w:val="FootnoteReference"/>
          <w:rFonts w:cs="Times New Roman"/>
          <w:b/>
          <w:noProof w:val="0"/>
          <w:szCs w:val="22"/>
          <w:lang w:val="pt-PT"/>
        </w:rPr>
        <w:footnoteReference w:id="10"/>
      </w:r>
      <w:r w:rsidRPr="00267766">
        <w:rPr>
          <w:szCs w:val="22"/>
          <w:lang w:val="pt-PT"/>
        </w:rPr>
        <w:t xml:space="preserve"> os projectos de crescimento em áreas novas cresceram rapidamente em 2012</w:t>
      </w:r>
      <w:r w:rsidRPr="00267766">
        <w:rPr>
          <w:lang w:val="pt-PT"/>
        </w:rPr>
        <w:t>.</w:t>
      </w:r>
      <w:r w:rsidRPr="006C34E6">
        <w:rPr>
          <w:lang w:val="pt-PT"/>
        </w:rPr>
        <w:t xml:space="preserve"> As tendências do IDE em Angola são largamente influenciadas pelo comportamento das empresas petrolíferas, e a repatriação de lucros do petróleo resultaram numa posição de fluxo líquido interno do IDE </w:t>
      </w:r>
      <w:r w:rsidRPr="006C34E6">
        <w:rPr>
          <w:color w:val="auto"/>
          <w:lang w:val="pt-PT"/>
        </w:rPr>
        <w:t>de -9 por cento do GDP, em 2012. No entanto isto</w:t>
      </w:r>
      <w:r w:rsidRPr="006C34E6">
        <w:rPr>
          <w:lang w:val="pt-PT"/>
        </w:rPr>
        <w:t xml:space="preserve"> mascara o facto de que o </w:t>
      </w:r>
      <w:r w:rsidRPr="00211E94">
        <w:rPr>
          <w:i/>
          <w:szCs w:val="22"/>
          <w:lang w:val="pt-PT"/>
        </w:rPr>
        <w:t>greenfield</w:t>
      </w:r>
      <w:r w:rsidRPr="006C34E6">
        <w:rPr>
          <w:i/>
          <w:lang w:val="pt-PT"/>
        </w:rPr>
        <w:t xml:space="preserve"> investment</w:t>
      </w:r>
      <w:r w:rsidRPr="006C34E6">
        <w:rPr>
          <w:szCs w:val="22"/>
          <w:lang w:val="pt-PT"/>
        </w:rPr>
        <w:t xml:space="preserve"> (investimento em projectos originais – N.T.) foi quatro vezes mais elevado do que a média de </w:t>
      </w:r>
      <w:r w:rsidRPr="006C34E6">
        <w:rPr>
          <w:lang w:val="pt-PT"/>
        </w:rPr>
        <w:t xml:space="preserve"> 2010-2011 e comparável às taxas observadas na Nigéria e África do Sul (</w:t>
      </w:r>
      <w:r w:rsidRPr="006C34E6">
        <w:rPr>
          <w:lang w:val="pt-PT"/>
        </w:rPr>
        <w:fldChar w:fldCharType="begin"/>
      </w:r>
      <w:r w:rsidRPr="006C34E6">
        <w:rPr>
          <w:lang w:val="pt-PT"/>
        </w:rPr>
        <w:instrText xml:space="preserve"> REF _Ref376437289 \h  \* MERGEFORMAT </w:instrText>
      </w:r>
      <w:r w:rsidRPr="006C34E6">
        <w:rPr>
          <w:lang w:val="pt-PT"/>
        </w:rPr>
      </w:r>
      <w:r w:rsidRPr="006C34E6">
        <w:rPr>
          <w:lang w:val="pt-PT"/>
        </w:rPr>
        <w:fldChar w:fldCharType="separate"/>
      </w:r>
    </w:p>
    <w:p w:rsidR="004F553E" w:rsidRPr="006C34E6" w:rsidRDefault="004F553E" w:rsidP="004F553E">
      <w:pPr>
        <w:pStyle w:val="ParagraphNumbering"/>
        <w:rPr>
          <w:lang w:val="pt-PT"/>
        </w:rPr>
      </w:pPr>
    </w:p>
    <w:p w:rsidR="00946D49" w:rsidRPr="006C34E6" w:rsidRDefault="004F553E" w:rsidP="0085133C">
      <w:pPr>
        <w:pStyle w:val="ParagraphNumbering"/>
        <w:rPr>
          <w:bCs/>
          <w:lang w:val="pt-PT"/>
        </w:rPr>
      </w:pPr>
      <w:r w:rsidRPr="004F553E">
        <w:rPr>
          <w:lang w:val="pt-PT"/>
        </w:rPr>
        <w:t>Figura</w:t>
      </w:r>
      <w:r w:rsidRPr="006C34E6">
        <w:rPr>
          <w:rFonts w:asciiTheme="minorHAnsi" w:hAnsiTheme="minorHAnsi"/>
          <w:color w:val="943634" w:themeColor="accent2" w:themeShade="BF"/>
          <w:lang w:val="pt-PT"/>
        </w:rPr>
        <w:t xml:space="preserve"> </w:t>
      </w:r>
      <w:r>
        <w:rPr>
          <w:rFonts w:asciiTheme="minorHAnsi" w:hAnsiTheme="minorHAnsi"/>
          <w:color w:val="943634" w:themeColor="accent2" w:themeShade="BF"/>
          <w:lang w:val="pt-PT"/>
        </w:rPr>
        <w:t>10</w:t>
      </w:r>
      <w:r w:rsidR="00946D49" w:rsidRPr="006C34E6">
        <w:rPr>
          <w:lang w:val="pt-PT"/>
        </w:rPr>
        <w:fldChar w:fldCharType="end"/>
      </w:r>
      <w:r w:rsidR="00946D49" w:rsidRPr="006C34E6">
        <w:rPr>
          <w:lang w:val="pt-PT"/>
        </w:rPr>
        <w:t>)</w:t>
      </w:r>
      <w:r w:rsidR="00946D49" w:rsidRPr="006C34E6">
        <w:rPr>
          <w:szCs w:val="22"/>
          <w:lang w:val="pt-PT"/>
        </w:rPr>
        <w:t>.</w:t>
      </w:r>
      <w:bookmarkStart w:id="71" w:name="_Ref376437289"/>
    </w:p>
    <w:p w:rsidR="00946D49" w:rsidRPr="006C34E6" w:rsidRDefault="00946D49" w:rsidP="0085133C">
      <w:pPr>
        <w:pStyle w:val="ParagraphNumbering"/>
        <w:numPr>
          <w:ilvl w:val="0"/>
          <w:numId w:val="0"/>
        </w:numPr>
        <w:rPr>
          <w:lang w:val="pt-PT"/>
        </w:rPr>
      </w:pPr>
    </w:p>
    <w:p w:rsidR="00946D49" w:rsidRPr="006C34E6" w:rsidRDefault="00946D49" w:rsidP="00946D49">
      <w:pPr>
        <w:pStyle w:val="Caption"/>
        <w:ind w:left="-360"/>
        <w:jc w:val="center"/>
        <w:rPr>
          <w:rFonts w:asciiTheme="minorHAnsi" w:hAnsiTheme="minorHAnsi" w:cs="Times New Roman"/>
          <w:color w:val="943634" w:themeColor="accent2" w:themeShade="BF"/>
          <w:lang w:val="pt-PT"/>
        </w:rPr>
      </w:pPr>
      <w:r w:rsidRPr="006C34E6">
        <w:rPr>
          <w:rFonts w:asciiTheme="minorHAnsi" w:hAnsiTheme="minorHAnsi"/>
          <w:color w:val="943634" w:themeColor="accent2" w:themeShade="BF"/>
          <w:lang w:val="pt-PT"/>
        </w:rPr>
        <w:t xml:space="preserve">Figura </w:t>
      </w:r>
      <w:r w:rsidRPr="006C34E6">
        <w:rPr>
          <w:rFonts w:asciiTheme="minorHAnsi" w:hAnsiTheme="minorHAnsi"/>
          <w:color w:val="943634" w:themeColor="accent2" w:themeShade="BF"/>
          <w:lang w:val="pt-PT"/>
        </w:rPr>
        <w:fldChar w:fldCharType="begin"/>
      </w:r>
      <w:r w:rsidRPr="006C34E6">
        <w:rPr>
          <w:rFonts w:asciiTheme="minorHAnsi" w:hAnsiTheme="minorHAnsi"/>
          <w:color w:val="943634" w:themeColor="accent2" w:themeShade="BF"/>
          <w:lang w:val="pt-PT"/>
        </w:rPr>
        <w:instrText xml:space="preserve"> SEQ Figure \* ARABIC </w:instrText>
      </w:r>
      <w:r w:rsidRPr="006C34E6">
        <w:rPr>
          <w:rFonts w:asciiTheme="minorHAnsi" w:hAnsiTheme="minorHAnsi"/>
          <w:color w:val="943634" w:themeColor="accent2" w:themeShade="BF"/>
          <w:lang w:val="pt-PT"/>
        </w:rPr>
        <w:fldChar w:fldCharType="separate"/>
      </w:r>
      <w:r w:rsidR="004F553E">
        <w:rPr>
          <w:rFonts w:asciiTheme="minorHAnsi" w:hAnsiTheme="minorHAnsi"/>
          <w:noProof/>
          <w:color w:val="943634" w:themeColor="accent2" w:themeShade="BF"/>
          <w:lang w:val="pt-PT"/>
        </w:rPr>
        <w:t>10</w:t>
      </w:r>
      <w:r w:rsidRPr="006C34E6">
        <w:rPr>
          <w:rFonts w:asciiTheme="minorHAnsi" w:hAnsiTheme="minorHAnsi"/>
          <w:color w:val="943634" w:themeColor="accent2" w:themeShade="BF"/>
          <w:lang w:val="pt-PT"/>
        </w:rPr>
        <w:fldChar w:fldCharType="end"/>
      </w:r>
      <w:bookmarkEnd w:id="71"/>
      <w:r w:rsidRPr="006C34E6">
        <w:rPr>
          <w:rFonts w:asciiTheme="minorHAnsi" w:hAnsiTheme="minorHAnsi" w:cs="Times New Roman"/>
          <w:color w:val="943634" w:themeColor="accent2" w:themeShade="BF"/>
          <w:lang w:val="pt-PT"/>
        </w:rPr>
        <w:t>: Estão a crescer os novos investimentos em Angola.</w:t>
      </w:r>
    </w:p>
    <w:p w:rsidR="00946D49" w:rsidRPr="006C34E6" w:rsidRDefault="00946D49" w:rsidP="00946D49">
      <w:pPr>
        <w:pStyle w:val="Caption"/>
        <w:ind w:left="-360"/>
        <w:jc w:val="center"/>
        <w:rPr>
          <w:rFonts w:asciiTheme="minorHAnsi" w:hAnsiTheme="minorHAnsi"/>
          <w:i/>
          <w:color w:val="auto"/>
          <w:lang w:val="pt-PT"/>
        </w:rPr>
      </w:pPr>
      <w:r w:rsidRPr="006C34E6">
        <w:rPr>
          <w:rFonts w:asciiTheme="minorHAnsi" w:hAnsiTheme="minorHAnsi"/>
          <w:i/>
          <w:color w:val="auto"/>
          <w:lang w:val="pt-PT"/>
        </w:rPr>
        <w:t>(Projectos de Investimento Greenfield, % do PIB)</w:t>
      </w:r>
    </w:p>
    <w:p w:rsidR="00946D49" w:rsidRPr="006C34E6" w:rsidRDefault="00946D49" w:rsidP="00946D49">
      <w:pPr>
        <w:ind w:left="-360"/>
        <w:jc w:val="center"/>
        <w:rPr>
          <w:lang w:val="pt-PT"/>
        </w:rPr>
      </w:pPr>
      <w:r>
        <w:rPr>
          <w:noProof/>
        </w:rPr>
        <w:drawing>
          <wp:inline distT="0" distB="0" distL="0" distR="0" wp14:anchorId="2B17137B" wp14:editId="2F5328A1">
            <wp:extent cx="4038600" cy="24276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43258" cy="2430435"/>
                    </a:xfrm>
                    <a:prstGeom prst="rect">
                      <a:avLst/>
                    </a:prstGeom>
                    <a:noFill/>
                  </pic:spPr>
                </pic:pic>
              </a:graphicData>
            </a:graphic>
          </wp:inline>
        </w:drawing>
      </w:r>
    </w:p>
    <w:p w:rsidR="00946D49" w:rsidRPr="006C34E6" w:rsidRDefault="00946D49" w:rsidP="00946D49">
      <w:pPr>
        <w:ind w:left="-360"/>
        <w:jc w:val="center"/>
        <w:rPr>
          <w:color w:val="808080" w:themeColor="background1" w:themeShade="80"/>
          <w:sz w:val="16"/>
          <w:szCs w:val="16"/>
          <w:lang w:val="pt-PT"/>
        </w:rPr>
      </w:pPr>
      <w:r w:rsidRPr="006C34E6">
        <w:rPr>
          <w:color w:val="808080" w:themeColor="background1" w:themeShade="80"/>
          <w:sz w:val="16"/>
          <w:szCs w:val="16"/>
          <w:lang w:val="pt-PT"/>
        </w:rPr>
        <w:t xml:space="preserve">Fonte: CNUCED – Relatório do Investimento Mundial, 2013 e Banco Mundial, base de dados WDI </w:t>
      </w:r>
    </w:p>
    <w:p w:rsidR="00946D49" w:rsidRPr="006C34E6" w:rsidRDefault="00946D49" w:rsidP="00946D49">
      <w:pPr>
        <w:pStyle w:val="ListParagraph"/>
        <w:widowControl w:val="0"/>
        <w:autoSpaceDE w:val="0"/>
        <w:autoSpaceDN w:val="0"/>
        <w:adjustRightInd w:val="0"/>
        <w:ind w:left="0"/>
        <w:jc w:val="center"/>
        <w:rPr>
          <w:rFonts w:cs="Times New Roman"/>
          <w:b/>
          <w:lang w:val="pt-PT"/>
        </w:rPr>
      </w:pPr>
    </w:p>
    <w:p w:rsidR="00946D49" w:rsidRPr="0026323F" w:rsidRDefault="00946D49" w:rsidP="0085133C">
      <w:pPr>
        <w:pStyle w:val="ParagraphNumbering"/>
        <w:rPr>
          <w:b/>
          <w:lang w:val="pt-PT"/>
        </w:rPr>
      </w:pPr>
      <w:r w:rsidRPr="006C34E6">
        <w:rPr>
          <w:b/>
          <w:lang w:val="pt-PT"/>
        </w:rPr>
        <w:t xml:space="preserve">No final de 2013 as reservas internacionais tinham voltado aos seus níveis de 2012. </w:t>
      </w:r>
      <w:r w:rsidRPr="006C34E6">
        <w:rPr>
          <w:lang w:val="pt-PT"/>
        </w:rPr>
        <w:t>Após terem atingido um pico em Junho, as reservas líquidas internacionais declinaram em Julho e de novo em Dezembro. Isto deveu-se a uma execução acelerada do orçamento, no segundo trimestre do ano fiscal e o seu impacto nas importações. No último trimestre de 2013, as reservas internacionais caíram 8 por cento, reflectindo uma quebra similar nos depósitos de divisas do governo no banco central. As reservas internacionais desempenham um papel central para a defesa da economia de Angola contra as flutuações do preço do petróleo.</w:t>
      </w:r>
    </w:p>
    <w:p w:rsidR="00946D49" w:rsidRPr="006C34E6" w:rsidRDefault="00946D49" w:rsidP="0085133C">
      <w:pPr>
        <w:pStyle w:val="ParagraphNumbering"/>
        <w:numPr>
          <w:ilvl w:val="0"/>
          <w:numId w:val="0"/>
        </w:numPr>
        <w:rPr>
          <w:lang w:val="pt-PT"/>
        </w:rPr>
      </w:pPr>
    </w:p>
    <w:p w:rsidR="00946D49" w:rsidRPr="006C34E6" w:rsidRDefault="00946D49" w:rsidP="00946D49">
      <w:pPr>
        <w:pStyle w:val="Heading2"/>
        <w:rPr>
          <w:lang w:val="pt-PT"/>
        </w:rPr>
      </w:pPr>
      <w:bookmarkStart w:id="72" w:name="_Toc391261701"/>
      <w:r w:rsidRPr="006C34E6">
        <w:rPr>
          <w:lang w:val="pt-PT"/>
        </w:rPr>
        <w:t>Política Monetária</w:t>
      </w:r>
      <w:bookmarkEnd w:id="72"/>
    </w:p>
    <w:p w:rsidR="00946D49" w:rsidRPr="006C34E6" w:rsidRDefault="00946D49" w:rsidP="00946D49">
      <w:pPr>
        <w:rPr>
          <w:rFonts w:cs="Times New Roman"/>
          <w:lang w:val="pt-PT"/>
        </w:rPr>
      </w:pPr>
    </w:p>
    <w:p w:rsidR="00946D49" w:rsidRDefault="00946D49" w:rsidP="0085133C">
      <w:pPr>
        <w:pStyle w:val="ParagraphNumbering"/>
        <w:rPr>
          <w:lang w:val="pt-PT"/>
        </w:rPr>
      </w:pPr>
      <w:r w:rsidRPr="006C34E6">
        <w:rPr>
          <w:b/>
          <w:lang w:val="pt-PT"/>
        </w:rPr>
        <w:t>Angola mantém um regime de câmbios controlado através do seu banco central o Banco Nacional de Angola (BNA).</w:t>
      </w:r>
      <w:r w:rsidRPr="006C34E6">
        <w:rPr>
          <w:lang w:val="pt-PT"/>
        </w:rPr>
        <w:t xml:space="preserve"> O BNA utiliza actualmente um sistema de leilões, com um calendário predefinido, que permite aos bancos comerciais licitarem moeda estrangeira. Desde 2010, a taxa de câmbio tem flutuado numa banda entre 90 e 97,4 kwanzas para o dólar EUA. Numa tentativa de aumentar a flexibilidade do sistema de taxas de câmbio, mantendo simultaneamente baixa a taxa de inflação, o </w:t>
      </w:r>
      <w:r w:rsidRPr="006C34E6">
        <w:rPr>
          <w:lang w:val="pt-PT"/>
        </w:rPr>
        <w:lastRenderedPageBreak/>
        <w:t>governo adoptou um enquadramento monetário actualizado em Janeiro 2012. O novo enquadramento monetário introduziu o conceito de “taxa de juros de referência” como um indicador chave de política.</w:t>
      </w:r>
      <w:r w:rsidRPr="006C34E6">
        <w:rPr>
          <w:rStyle w:val="FootnoteReference"/>
          <w:rFonts w:cs="Times New Roman"/>
          <w:noProof w:val="0"/>
          <w:szCs w:val="22"/>
          <w:lang w:val="pt-PT"/>
        </w:rPr>
        <w:footnoteReference w:id="11"/>
      </w:r>
      <w:r w:rsidRPr="006C34E6">
        <w:rPr>
          <w:lang w:val="pt-PT"/>
        </w:rPr>
        <w:t xml:space="preserve"> Além disso o instrumento de “facilidade de liquidez permanente”, tem por objectivo absorver a liquidez dos bancos no mercado “</w:t>
      </w:r>
      <w:r w:rsidRPr="006C34E6">
        <w:rPr>
          <w:i/>
          <w:lang w:val="pt-PT"/>
        </w:rPr>
        <w:t>overnigh</w:t>
      </w:r>
      <w:r w:rsidRPr="006C34E6">
        <w:rPr>
          <w:lang w:val="pt-PT"/>
        </w:rPr>
        <w:t xml:space="preserve">t”, e tem um </w:t>
      </w:r>
      <w:r w:rsidRPr="006C34E6">
        <w:rPr>
          <w:i/>
          <w:lang w:val="pt-PT"/>
        </w:rPr>
        <w:t>spread</w:t>
      </w:r>
      <w:r w:rsidRPr="006C34E6">
        <w:rPr>
          <w:lang w:val="pt-PT"/>
        </w:rPr>
        <w:t xml:space="preserve"> próximo da taxa do BNA. Deste a sua introdução, o BNA já fez quatro cortes na taxa directora, em Janeiro 2012, Janeiro 2013, Agosto 2013, e Novembro 2013. Em resultado, a taxa de juros está agora em 9.25 por cento, o nível mais baixo desde que a taxa foi introduzida em 2011, com uma taxa de 10,5 por cento.</w:t>
      </w:r>
    </w:p>
    <w:p w:rsidR="0026323F" w:rsidRPr="006C34E6" w:rsidRDefault="0026323F" w:rsidP="0085133C">
      <w:pPr>
        <w:pStyle w:val="ParagraphNumbering"/>
        <w:numPr>
          <w:ilvl w:val="0"/>
          <w:numId w:val="0"/>
        </w:numPr>
        <w:rPr>
          <w:lang w:val="pt-PT"/>
        </w:rPr>
      </w:pPr>
    </w:p>
    <w:p w:rsidR="00946D49" w:rsidRPr="006C34E6" w:rsidRDefault="00946D49" w:rsidP="0085133C">
      <w:pPr>
        <w:pStyle w:val="ParagraphNumbering"/>
        <w:rPr>
          <w:lang w:val="pt-PT"/>
        </w:rPr>
      </w:pPr>
      <w:r w:rsidRPr="004E1715">
        <w:rPr>
          <w:b/>
          <w:lang w:val="pt-PT"/>
        </w:rPr>
        <w:t>O crescimento do crédito ao sector privado pelos bancos comerciais abrandou em 2013, mas a quota em empréstimos expressos em kwanzas aumentou, devido ao esforço de desdolarização</w:t>
      </w:r>
      <w:r w:rsidRPr="00267766">
        <w:rPr>
          <w:lang w:val="pt-PT"/>
        </w:rPr>
        <w:t>.</w:t>
      </w:r>
      <w:r w:rsidRPr="006C34E6">
        <w:rPr>
          <w:lang w:val="pt-PT"/>
        </w:rPr>
        <w:t xml:space="preserve"> Entre Dezembro 2012 e Dezembro 2013 o crédito ao sector privado cresceu 10 por cento, uma acentuada redução face aos 24 por cento verificados em 2011-2012, em linha com um mais baixo crescimento económico. Em Dezembro 2013, só 36,7 do total de empréstimos eram em divisas estrangeiras, em comparação com 43,4 por cento em 2012.</w:t>
      </w:r>
    </w:p>
    <w:p w:rsidR="00946D49" w:rsidRPr="0026323F" w:rsidRDefault="00946D49" w:rsidP="0085133C">
      <w:pPr>
        <w:pStyle w:val="ParagraphNumbering"/>
        <w:numPr>
          <w:ilvl w:val="0"/>
          <w:numId w:val="0"/>
        </w:numPr>
        <w:rPr>
          <w:lang w:val="pt-PT"/>
        </w:rPr>
      </w:pPr>
    </w:p>
    <w:p w:rsidR="00946D49" w:rsidRPr="006C34E6" w:rsidRDefault="0026323F" w:rsidP="0085133C">
      <w:pPr>
        <w:pStyle w:val="ParagraphNumbering"/>
        <w:numPr>
          <w:ilvl w:val="0"/>
          <w:numId w:val="0"/>
        </w:numPr>
        <w:rPr>
          <w:rFonts w:cs="Times New Roman"/>
          <w:noProof w:val="0"/>
          <w:szCs w:val="22"/>
          <w:lang w:val="pt-PT"/>
        </w:rPr>
      </w:pPr>
      <w:r>
        <mc:AlternateContent>
          <mc:Choice Requires="wps">
            <w:drawing>
              <wp:inline distT="0" distB="0" distL="0" distR="0" wp14:anchorId="4A8D8EAE" wp14:editId="33A773C4">
                <wp:extent cx="6021070" cy="541020"/>
                <wp:effectExtent l="0" t="0" r="0" b="0"/>
                <wp:docPr id="3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1070" cy="541020"/>
                        </a:xfrm>
                        <a:prstGeom prst="rect">
                          <a:avLst/>
                        </a:prstGeom>
                        <a:solidFill>
                          <a:prstClr val="white"/>
                        </a:solidFill>
                        <a:ln>
                          <a:noFill/>
                        </a:ln>
                        <a:effectLst/>
                      </wps:spPr>
                      <wps:txbx>
                        <w:txbxContent>
                          <w:p w:rsidR="004E1715" w:rsidRDefault="004E1715" w:rsidP="00946D49">
                            <w:pPr>
                              <w:pStyle w:val="Caption"/>
                              <w:jc w:val="center"/>
                              <w:rPr>
                                <w:rFonts w:asciiTheme="minorHAnsi" w:hAnsiTheme="minorHAnsi"/>
                                <w:color w:val="943634" w:themeColor="accent2" w:themeShade="BF"/>
                                <w:lang w:val="pt-PT"/>
                              </w:rPr>
                            </w:pPr>
                            <w:bookmarkStart w:id="73" w:name="_Toc384305315"/>
                            <w:r w:rsidRPr="006D2B6F">
                              <w:rPr>
                                <w:rFonts w:asciiTheme="minorHAnsi" w:hAnsiTheme="minorHAnsi"/>
                                <w:color w:val="943634" w:themeColor="accent2" w:themeShade="BF"/>
                                <w:lang w:val="pt-PT"/>
                              </w:rPr>
                              <w:t xml:space="preserve">Figura </w:t>
                            </w:r>
                            <w:r>
                              <w:rPr>
                                <w:rFonts w:asciiTheme="minorHAnsi" w:hAnsiTheme="minorHAnsi"/>
                                <w:color w:val="943634" w:themeColor="accent2" w:themeShade="BF"/>
                                <w:lang w:val="pt-PT"/>
                              </w:rPr>
                              <w:t>1</w:t>
                            </w:r>
                            <w:r w:rsidRPr="005E469D">
                              <w:rPr>
                                <w:rFonts w:asciiTheme="minorHAnsi" w:hAnsiTheme="minorHAnsi"/>
                                <w:color w:val="943634" w:themeColor="accent2" w:themeShade="BF"/>
                                <w:lang w:val="pt-PT"/>
                              </w:rPr>
                              <w:t>3</w:t>
                            </w:r>
                            <w:r w:rsidRPr="006D2B6F">
                              <w:rPr>
                                <w:rFonts w:asciiTheme="minorHAnsi" w:hAnsiTheme="minorHAnsi"/>
                                <w:color w:val="943634" w:themeColor="accent2" w:themeShade="BF"/>
                                <w:lang w:val="pt-PT"/>
                              </w:rPr>
                              <w:t>: O crédito da banca comercial à economia abrandou mas empréstimos</w:t>
                            </w:r>
                          </w:p>
                          <w:p w:rsidR="004E1715" w:rsidRPr="004E279A" w:rsidRDefault="004E1715" w:rsidP="00946D49">
                            <w:pPr>
                              <w:pStyle w:val="Caption"/>
                              <w:jc w:val="center"/>
                              <w:rPr>
                                <w:rFonts w:asciiTheme="minorHAnsi" w:hAnsiTheme="minorHAnsi"/>
                                <w:color w:val="943634" w:themeColor="accent2" w:themeShade="BF"/>
                                <w:lang w:val="pt-PT"/>
                              </w:rPr>
                            </w:pPr>
                            <w:r w:rsidRPr="006D2B6F">
                              <w:rPr>
                                <w:rFonts w:asciiTheme="minorHAnsi" w:hAnsiTheme="minorHAnsi"/>
                                <w:color w:val="943634" w:themeColor="accent2" w:themeShade="BF"/>
                                <w:lang w:val="pt-PT"/>
                              </w:rPr>
                              <w:t xml:space="preserve"> denominados em kwanzas</w:t>
                            </w:r>
                            <w:r>
                              <w:rPr>
                                <w:rFonts w:asciiTheme="minorHAnsi" w:hAnsiTheme="minorHAnsi"/>
                                <w:color w:val="943634" w:themeColor="accent2" w:themeShade="BF"/>
                                <w:lang w:val="pt-PT"/>
                              </w:rPr>
                              <w:t xml:space="preserve"> </w:t>
                            </w:r>
                            <w:r w:rsidRPr="004E279A">
                              <w:rPr>
                                <w:rFonts w:asciiTheme="minorHAnsi" w:hAnsiTheme="minorHAnsi"/>
                                <w:color w:val="943634" w:themeColor="accent2" w:themeShade="BF"/>
                                <w:lang w:val="pt-PT"/>
                              </w:rPr>
                              <w:t>são agora a maioria</w:t>
                            </w:r>
                            <w:bookmarkEnd w:id="73"/>
                          </w:p>
                          <w:p w:rsidR="004E1715" w:rsidRPr="006D2B6F" w:rsidRDefault="004E1715" w:rsidP="00946D49">
                            <w:pPr>
                              <w:jc w:val="center"/>
                              <w:rPr>
                                <w:rFonts w:asciiTheme="minorHAnsi" w:hAnsiTheme="minorHAnsi"/>
                                <w:b/>
                                <w:i/>
                                <w:sz w:val="18"/>
                                <w:szCs w:val="18"/>
                                <w:lang w:val="pt-PT"/>
                              </w:rPr>
                            </w:pPr>
                            <w:r w:rsidRPr="006D2B6F">
                              <w:rPr>
                                <w:rFonts w:asciiTheme="minorHAnsi" w:hAnsiTheme="minorHAnsi"/>
                                <w:b/>
                                <w:i/>
                                <w:sz w:val="18"/>
                                <w:szCs w:val="18"/>
                                <w:lang w:val="pt-PT"/>
                              </w:rPr>
                              <w:t>(% de mudança em crédito ao sector privado e quota dos empréstimos em moeda local)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id="Text Box 13" o:spid="_x0000_s1027" type="#_x0000_t202" style="width:474.1pt;height:4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" stroked="f">
                <v:path arrowok="t"/>
                <v:textbox inset="0,0,0,0">
                  <w:txbxContent>
                    <w:p w:rsidR="004E1715" w:rsidRDefault="004E1715" w:rsidP="00946D49">
                      <w:pPr>
                        <w:pStyle w:val="Caption"/>
                        <w:jc w:val="center"/>
                        <w:rPr>
                          <w:rFonts w:asciiTheme="minorHAnsi" w:hAnsiTheme="minorHAnsi"/>
                          <w:color w:val="943634" w:themeColor="accent2" w:themeShade="BF"/>
                          <w:lang w:val="pt-PT"/>
                        </w:rPr>
                      </w:pPr>
                      <w:bookmarkStart w:id="74" w:name="_Toc384305315"/>
                      <w:r w:rsidRPr="006D2B6F">
                        <w:rPr>
                          <w:rFonts w:asciiTheme="minorHAnsi" w:hAnsiTheme="minorHAnsi"/>
                          <w:color w:val="943634" w:themeColor="accent2" w:themeShade="BF"/>
                          <w:lang w:val="pt-PT"/>
                        </w:rPr>
                        <w:t xml:space="preserve">Figura </w:t>
                      </w:r>
                      <w:r>
                        <w:rPr>
                          <w:rFonts w:asciiTheme="minorHAnsi" w:hAnsiTheme="minorHAnsi"/>
                          <w:color w:val="943634" w:themeColor="accent2" w:themeShade="BF"/>
                          <w:lang w:val="pt-PT"/>
                        </w:rPr>
                        <w:t>1</w:t>
                      </w:r>
                      <w:r w:rsidRPr="005E469D">
                        <w:rPr>
                          <w:rFonts w:asciiTheme="minorHAnsi" w:hAnsiTheme="minorHAnsi"/>
                          <w:color w:val="943634" w:themeColor="accent2" w:themeShade="BF"/>
                          <w:lang w:val="pt-PT"/>
                        </w:rPr>
                        <w:t>3</w:t>
                      </w:r>
                      <w:r w:rsidRPr="006D2B6F">
                        <w:rPr>
                          <w:rFonts w:asciiTheme="minorHAnsi" w:hAnsiTheme="minorHAnsi"/>
                          <w:color w:val="943634" w:themeColor="accent2" w:themeShade="BF"/>
                          <w:lang w:val="pt-PT"/>
                        </w:rPr>
                        <w:t>: O crédito da banca comercial à economia abrandou mas empréstimos</w:t>
                      </w:r>
                    </w:p>
                    <w:p w:rsidR="004E1715" w:rsidRPr="004E279A" w:rsidRDefault="004E1715" w:rsidP="00946D49">
                      <w:pPr>
                        <w:pStyle w:val="Caption"/>
                        <w:jc w:val="center"/>
                        <w:rPr>
                          <w:rFonts w:asciiTheme="minorHAnsi" w:hAnsiTheme="minorHAnsi"/>
                          <w:color w:val="943634" w:themeColor="accent2" w:themeShade="BF"/>
                          <w:lang w:val="pt-PT"/>
                        </w:rPr>
                      </w:pPr>
                      <w:r w:rsidRPr="006D2B6F">
                        <w:rPr>
                          <w:rFonts w:asciiTheme="minorHAnsi" w:hAnsiTheme="minorHAnsi"/>
                          <w:color w:val="943634" w:themeColor="accent2" w:themeShade="BF"/>
                          <w:lang w:val="pt-PT"/>
                        </w:rPr>
                        <w:t xml:space="preserve"> denominados em kwanzas</w:t>
                      </w:r>
                      <w:r>
                        <w:rPr>
                          <w:rFonts w:asciiTheme="minorHAnsi" w:hAnsiTheme="minorHAnsi"/>
                          <w:color w:val="943634" w:themeColor="accent2" w:themeShade="BF"/>
                          <w:lang w:val="pt-PT"/>
                        </w:rPr>
                        <w:t xml:space="preserve"> </w:t>
                      </w:r>
                      <w:r w:rsidRPr="004E279A">
                        <w:rPr>
                          <w:rFonts w:asciiTheme="minorHAnsi" w:hAnsiTheme="minorHAnsi"/>
                          <w:color w:val="943634" w:themeColor="accent2" w:themeShade="BF"/>
                          <w:lang w:val="pt-PT"/>
                        </w:rPr>
                        <w:t>são agora a maioria</w:t>
                      </w:r>
                      <w:bookmarkEnd w:id="74"/>
                    </w:p>
                    <w:p w:rsidR="004E1715" w:rsidRPr="006D2B6F" w:rsidRDefault="004E1715" w:rsidP="00946D49">
                      <w:pPr>
                        <w:jc w:val="center"/>
                        <w:rPr>
                          <w:rFonts w:asciiTheme="minorHAnsi" w:hAnsiTheme="minorHAnsi"/>
                          <w:b/>
                          <w:i/>
                          <w:sz w:val="18"/>
                          <w:szCs w:val="18"/>
                          <w:lang w:val="pt-PT"/>
                        </w:rPr>
                      </w:pPr>
                      <w:r w:rsidRPr="006D2B6F">
                        <w:rPr>
                          <w:rFonts w:asciiTheme="minorHAnsi" w:hAnsiTheme="minorHAnsi"/>
                          <w:b/>
                          <w:i/>
                          <w:sz w:val="18"/>
                          <w:szCs w:val="18"/>
                          <w:lang w:val="pt-PT"/>
                        </w:rPr>
                        <w:t>(% de mudança em crédito ao sector privado e quota dos empréstimos em moeda local)</w:t>
                      </w:r>
                    </w:p>
                  </w:txbxContent>
                </v:textbox>
                <w10:anchorlock/>
              </v:shape>
            </w:pict>
          </mc:Fallback>
        </mc:AlternateContent>
      </w:r>
    </w:p>
    <w:p w:rsidR="00946D49" w:rsidRPr="006C34E6" w:rsidRDefault="0026323F" w:rsidP="0085133C">
      <w:pPr>
        <w:pStyle w:val="ParagraphNumbering"/>
        <w:numPr>
          <w:ilvl w:val="0"/>
          <w:numId w:val="0"/>
        </w:numPr>
        <w:rPr>
          <w:noProof w:val="0"/>
          <w:lang w:val="pt-PT"/>
        </w:rPr>
      </w:pPr>
      <w:r>
        <mc:AlternateContent>
          <mc:Choice Requires="wps">
            <w:drawing>
              <wp:inline distT="0" distB="0" distL="0" distR="0" wp14:anchorId="1321242A" wp14:editId="797508D7">
                <wp:extent cx="6053455" cy="2398395"/>
                <wp:effectExtent l="0" t="0" r="23495" b="20955"/>
                <wp:docPr id="3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3455" cy="23983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1715" w:rsidRPr="00E6092F" w:rsidRDefault="004E1715" w:rsidP="00946D49">
                            <w:pPr>
                              <w:rPr>
                                <w:rFonts w:cs="Times New Roman"/>
                                <w:b/>
                                <w:sz w:val="18"/>
                                <w:szCs w:val="18"/>
                              </w:rPr>
                            </w:pPr>
                            <w:r w:rsidRPr="008E52AF">
                              <w:rPr>
                                <w:noProof/>
                              </w:rPr>
                              <w:drawing>
                                <wp:inline distT="0" distB="0" distL="0" distR="0" wp14:anchorId="09C4E80A" wp14:editId="62068320">
                                  <wp:extent cx="5633049" cy="2353884"/>
                                  <wp:effectExtent l="0" t="0" r="635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6287" cy="2355237"/>
                                          </a:xfrm>
                                          <a:prstGeom prst="rect">
                                            <a:avLst/>
                                          </a:prstGeom>
                                          <a:noFill/>
                                          <a:ln>
                                            <a:noFill/>
                                          </a:ln>
                                        </pic:spPr>
                                      </pic:pic>
                                    </a:graphicData>
                                  </a:graphic>
                                </wp:inline>
                              </w:drawing>
                            </w:r>
                          </w:p>
                          <w:p w:rsidR="004E1715" w:rsidRDefault="004E1715" w:rsidP="00946D4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6" o:spid="_x0000_s1028" type="#_x0000_t202" style="width:476.65pt;height:18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" fillcolor="white [3201]" strokeweight=".5pt">
                <v:path arrowok="t"/>
                <v:textbox>
                  <w:txbxContent>
                    <w:p w:rsidR="004E1715" w:rsidRPr="00E6092F" w:rsidRDefault="004E1715" w:rsidP="00946D49">
                      <w:pPr>
                        <w:rPr>
                          <w:rFonts w:cs="Times New Roman"/>
                          <w:b/>
                          <w:sz w:val="18"/>
                          <w:szCs w:val="18"/>
                        </w:rPr>
                      </w:pPr>
                      <w:r w:rsidRPr="008E52AF">
                        <w:rPr>
                          <w:noProof/>
                        </w:rPr>
                        <w:drawing>
                          <wp:inline distT="0" distB="0" distL="0" distR="0" wp14:anchorId="09C4E80A" wp14:editId="62068320">
                            <wp:extent cx="5633049" cy="2353884"/>
                            <wp:effectExtent l="0" t="0" r="635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36287" cy="2355237"/>
                                    </a:xfrm>
                                    <a:prstGeom prst="rect">
                                      <a:avLst/>
                                    </a:prstGeom>
                                    <a:noFill/>
                                    <a:ln>
                                      <a:noFill/>
                                    </a:ln>
                                  </pic:spPr>
                                </pic:pic>
                              </a:graphicData>
                            </a:graphic>
                          </wp:inline>
                        </w:drawing>
                      </w:r>
                    </w:p>
                    <w:p w:rsidR="004E1715" w:rsidRDefault="004E1715" w:rsidP="00946D49">
                      <w:pPr>
                        <w:jc w:val="center"/>
                      </w:pPr>
                    </w:p>
                  </w:txbxContent>
                </v:textbox>
                <w10:anchorlock/>
              </v:shape>
            </w:pict>
          </mc:Fallback>
        </mc:AlternateContent>
      </w:r>
    </w:p>
    <w:p w:rsidR="0026323F" w:rsidRPr="006D2B6F" w:rsidRDefault="0026323F" w:rsidP="0085133C">
      <w:pPr>
        <w:pStyle w:val="ParagraphNumbering"/>
        <w:numPr>
          <w:ilvl w:val="0"/>
          <w:numId w:val="0"/>
        </w:numPr>
        <w:rPr>
          <w:lang w:val="pt-PT"/>
        </w:rPr>
      </w:pPr>
      <w:r>
        <w:rPr>
          <w:lang w:val="pt-PT"/>
        </w:rPr>
        <w:t>F</w:t>
      </w:r>
      <w:r w:rsidRPr="006D2B6F">
        <w:rPr>
          <w:lang w:val="pt-PT"/>
        </w:rPr>
        <w:t>ontes: BCA e  estimativas dos Serviços do Banco Mundial</w:t>
      </w:r>
    </w:p>
    <w:p w:rsidR="00946D49" w:rsidRPr="00267766" w:rsidRDefault="00946D49" w:rsidP="0085133C">
      <w:pPr>
        <w:pStyle w:val="ParagraphNumbering"/>
        <w:numPr>
          <w:ilvl w:val="0"/>
          <w:numId w:val="0"/>
        </w:numPr>
        <w:rPr>
          <w:lang w:val="pt-PT"/>
        </w:rPr>
      </w:pPr>
    </w:p>
    <w:p w:rsidR="00946D49" w:rsidRPr="006C34E6" w:rsidRDefault="00946D49" w:rsidP="0085133C">
      <w:pPr>
        <w:pStyle w:val="ParagraphNumbering"/>
        <w:rPr>
          <w:lang w:val="pt-PT"/>
        </w:rPr>
      </w:pPr>
      <w:r w:rsidRPr="005E469D">
        <w:rPr>
          <w:b/>
          <w:lang w:val="pt-PT"/>
        </w:rPr>
        <w:t>Os indicadores de rendibilidade deterioram-se e, apesar de recentes melhorias, a profundidade e dimensão da inclusão financeira estão abaixo da média dos países de rendimento médio.</w:t>
      </w:r>
      <w:r w:rsidRPr="006C34E6">
        <w:rPr>
          <w:lang w:val="pt-PT"/>
        </w:rPr>
        <w:t xml:space="preserve"> Pagamentos atrasados de créditos, títulos e juros, em percentagem do crédito global ao sector privado, subiram de 5,7 por cento em Dezembro 2011 para 8,3 por cento em Dezembro 2012, e atingiram 10,2 por cento em 2013. Os indicadores da profundidade, inclusão e competitividade do sector financeiro, todos mostraram tendências positivas, no entanto ficam bem abaixo da média para os países de rendimento médio (Figura 14). Tem também sido feito progresso no alargamento da inclusão financeira, mas de acordo com a Base de Dados Global de Inclusão Financeira do Banco Mundial (Findex), a taxa de bancarização rural</w:t>
      </w:r>
      <w:r w:rsidRPr="006C34E6">
        <w:rPr>
          <w:rStyle w:val="FootnoteReference"/>
          <w:rFonts w:cs="Times New Roman"/>
          <w:noProof w:val="0"/>
          <w:szCs w:val="22"/>
          <w:lang w:val="pt-PT"/>
        </w:rPr>
        <w:footnoteReference w:id="12"/>
      </w:r>
      <w:r w:rsidRPr="006C34E6">
        <w:rPr>
          <w:lang w:val="pt-PT"/>
        </w:rPr>
        <w:t xml:space="preserve"> é de apenas 33,8 por cento e 56,7 por cento em áreas urbanas.</w:t>
      </w:r>
    </w:p>
    <w:p w:rsidR="00946D49" w:rsidRPr="006C34E6" w:rsidRDefault="00946D49" w:rsidP="0085133C">
      <w:pPr>
        <w:pStyle w:val="ParagraphNumbering"/>
        <w:numPr>
          <w:ilvl w:val="0"/>
          <w:numId w:val="0"/>
        </w:numPr>
        <w:rPr>
          <w:lang w:val="pt-P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5"/>
        <w:gridCol w:w="4751"/>
      </w:tblGrid>
      <w:tr w:rsidR="00946D49" w:rsidRPr="006C34E6" w:rsidTr="00946D49">
        <w:trPr>
          <w:trHeight w:val="620"/>
        </w:trPr>
        <w:tc>
          <w:tcPr>
            <w:tcW w:w="4825" w:type="dxa"/>
          </w:tcPr>
          <w:p w:rsidR="00946D49" w:rsidRPr="006C34E6" w:rsidRDefault="00946D49" w:rsidP="00946D49">
            <w:pPr>
              <w:pStyle w:val="Caption"/>
              <w:jc w:val="left"/>
              <w:rPr>
                <w:rFonts w:asciiTheme="minorHAnsi" w:hAnsiTheme="minorHAnsi" w:cs="Times New Roman"/>
                <w:color w:val="943634" w:themeColor="accent2" w:themeShade="BF"/>
                <w:lang w:val="pt-PT"/>
              </w:rPr>
            </w:pPr>
            <w:bookmarkStart w:id="74" w:name="_Ref384229472"/>
            <w:r w:rsidRPr="006C34E6">
              <w:rPr>
                <w:rFonts w:asciiTheme="minorHAnsi" w:eastAsia="Times New Roman" w:hAnsiTheme="minorHAnsi" w:cs="Times New Roman"/>
                <w:color w:val="943634" w:themeColor="accent2" w:themeShade="BF"/>
                <w:lang w:val="pt-PT"/>
              </w:rPr>
              <w:t xml:space="preserve">Figura </w:t>
            </w:r>
            <w:r w:rsidRPr="006C34E6">
              <w:rPr>
                <w:rFonts w:asciiTheme="minorHAnsi" w:eastAsia="Times New Roman" w:hAnsiTheme="minorHAnsi" w:cs="Times New Roman"/>
                <w:color w:val="943634" w:themeColor="accent2" w:themeShade="BF"/>
                <w:lang w:val="pt-PT"/>
              </w:rPr>
              <w:fldChar w:fldCharType="begin"/>
            </w:r>
            <w:r w:rsidRPr="006C34E6">
              <w:rPr>
                <w:rFonts w:asciiTheme="minorHAnsi" w:eastAsia="Times New Roman" w:hAnsiTheme="minorHAnsi" w:cs="Times New Roman"/>
                <w:color w:val="943634" w:themeColor="accent2" w:themeShade="BF"/>
                <w:lang w:val="pt-PT"/>
              </w:rPr>
              <w:instrText xml:space="preserve"> SEQ Figure \* ARABIC </w:instrText>
            </w:r>
            <w:r w:rsidRPr="006C34E6">
              <w:rPr>
                <w:rFonts w:asciiTheme="minorHAnsi" w:eastAsia="Times New Roman" w:hAnsiTheme="minorHAnsi" w:cs="Times New Roman"/>
                <w:color w:val="943634" w:themeColor="accent2" w:themeShade="BF"/>
                <w:lang w:val="pt-PT"/>
              </w:rPr>
              <w:fldChar w:fldCharType="separate"/>
            </w:r>
            <w:r w:rsidR="004F553E">
              <w:rPr>
                <w:rFonts w:asciiTheme="minorHAnsi" w:eastAsia="Times New Roman" w:hAnsiTheme="minorHAnsi" w:cs="Times New Roman"/>
                <w:noProof/>
                <w:color w:val="943634" w:themeColor="accent2" w:themeShade="BF"/>
                <w:lang w:val="pt-PT"/>
              </w:rPr>
              <w:t>11</w:t>
            </w:r>
            <w:r w:rsidRPr="006C34E6">
              <w:rPr>
                <w:rFonts w:asciiTheme="minorHAnsi" w:eastAsia="Times New Roman" w:hAnsiTheme="minorHAnsi" w:cs="Times New Roman"/>
                <w:color w:val="943634" w:themeColor="accent2" w:themeShade="BF"/>
                <w:lang w:val="pt-PT"/>
              </w:rPr>
              <w:fldChar w:fldCharType="end"/>
            </w:r>
            <w:bookmarkEnd w:id="74"/>
            <w:r w:rsidRPr="006C34E6">
              <w:rPr>
                <w:rFonts w:asciiTheme="minorHAnsi" w:eastAsia="Times New Roman" w:hAnsiTheme="minorHAnsi" w:cs="Times New Roman"/>
                <w:color w:val="943634" w:themeColor="accent2" w:themeShade="BF"/>
                <w:lang w:val="pt-PT"/>
              </w:rPr>
              <w:t>: O sector financeiro de Angola continua a desenvolver-se</w:t>
            </w:r>
            <w:r w:rsidRPr="006C34E6">
              <w:rPr>
                <w:rFonts w:asciiTheme="minorHAnsi" w:hAnsiTheme="minorHAnsi" w:cs="Times New Roman"/>
                <w:color w:val="943634" w:themeColor="accent2" w:themeShade="BF"/>
                <w:lang w:val="pt-PT"/>
              </w:rPr>
              <w:t>…</w:t>
            </w:r>
          </w:p>
          <w:p w:rsidR="00946D49" w:rsidRPr="006C34E6" w:rsidRDefault="00946D49" w:rsidP="00946D49">
            <w:pPr>
              <w:rPr>
                <w:rFonts w:asciiTheme="minorHAnsi" w:hAnsiTheme="minorHAnsi" w:cs="Times New Roman"/>
                <w:b/>
                <w:color w:val="943634" w:themeColor="accent2" w:themeShade="BF"/>
                <w:lang w:val="pt-PT"/>
              </w:rPr>
            </w:pPr>
            <w:r w:rsidRPr="006C34E6">
              <w:rPr>
                <w:rFonts w:asciiTheme="minorHAnsi" w:hAnsiTheme="minorHAnsi"/>
                <w:b/>
                <w:i/>
                <w:sz w:val="18"/>
                <w:szCs w:val="18"/>
                <w:lang w:val="pt-PT"/>
              </w:rPr>
              <w:t>(% crescim. crédito bancário e filiais de bancos per capita)</w:t>
            </w:r>
            <w:r>
              <w:rPr>
                <w:rFonts w:asciiTheme="minorHAnsi" w:hAnsiTheme="minorHAnsi"/>
                <w:b/>
                <w:i/>
                <w:noProof/>
                <w:sz w:val="18"/>
                <w:szCs w:val="18"/>
              </w:rPr>
              <w:drawing>
                <wp:inline distT="0" distB="0" distL="0" distR="0" wp14:anchorId="2371859C" wp14:editId="551F7914">
                  <wp:extent cx="2962276" cy="178064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72090" cy="1786547"/>
                          </a:xfrm>
                          <a:prstGeom prst="rect">
                            <a:avLst/>
                          </a:prstGeom>
                          <a:noFill/>
                        </pic:spPr>
                      </pic:pic>
                    </a:graphicData>
                  </a:graphic>
                </wp:inline>
              </w:drawing>
            </w:r>
          </w:p>
        </w:tc>
        <w:tc>
          <w:tcPr>
            <w:tcW w:w="4751" w:type="dxa"/>
          </w:tcPr>
          <w:p w:rsidR="00946D49" w:rsidRPr="006C34E6" w:rsidRDefault="00946D49" w:rsidP="00946D49">
            <w:pPr>
              <w:jc w:val="left"/>
              <w:rPr>
                <w:rFonts w:asciiTheme="minorHAnsi" w:hAnsiTheme="minorHAnsi" w:cs="Times New Roman"/>
                <w:b/>
                <w:color w:val="943634" w:themeColor="accent2" w:themeShade="BF"/>
                <w:sz w:val="18"/>
                <w:szCs w:val="18"/>
                <w:lang w:val="pt-PT"/>
              </w:rPr>
            </w:pPr>
            <w:r w:rsidRPr="006C34E6">
              <w:rPr>
                <w:rFonts w:asciiTheme="minorHAnsi" w:hAnsiTheme="minorHAnsi" w:cs="Times New Roman"/>
                <w:b/>
                <w:color w:val="943634" w:themeColor="accent2" w:themeShade="BF"/>
                <w:sz w:val="18"/>
                <w:szCs w:val="18"/>
                <w:lang w:val="pt-PT"/>
              </w:rPr>
              <w:t xml:space="preserve">…e a concorrência já começou a crescer… </w:t>
            </w:r>
          </w:p>
          <w:p w:rsidR="00946D49" w:rsidRPr="006C34E6" w:rsidRDefault="00946D49" w:rsidP="00946D49">
            <w:pPr>
              <w:jc w:val="left"/>
              <w:rPr>
                <w:rFonts w:asciiTheme="minorHAnsi" w:hAnsiTheme="minorHAnsi" w:cs="Times New Roman"/>
                <w:b/>
                <w:i/>
                <w:sz w:val="18"/>
                <w:szCs w:val="18"/>
                <w:lang w:val="pt-PT"/>
              </w:rPr>
            </w:pPr>
            <w:r w:rsidRPr="006C34E6">
              <w:rPr>
                <w:rFonts w:asciiTheme="minorHAnsi" w:hAnsiTheme="minorHAnsi" w:cs="Times New Roman"/>
                <w:b/>
                <w:i/>
                <w:sz w:val="18"/>
                <w:szCs w:val="18"/>
                <w:lang w:val="pt-PT"/>
              </w:rPr>
              <w:t>(Concentração de activos e % de bancos estrangeiros)</w:t>
            </w:r>
          </w:p>
          <w:p w:rsidR="00946D49" w:rsidRPr="006C34E6" w:rsidRDefault="00946D49" w:rsidP="00946D49">
            <w:pPr>
              <w:jc w:val="left"/>
              <w:rPr>
                <w:rFonts w:asciiTheme="minorHAnsi" w:hAnsiTheme="minorHAnsi" w:cs="Times New Roman"/>
                <w:b/>
                <w:color w:val="943634" w:themeColor="accent2" w:themeShade="BF"/>
                <w:sz w:val="18"/>
                <w:szCs w:val="18"/>
                <w:lang w:val="pt-PT"/>
              </w:rPr>
            </w:pPr>
            <w:r>
              <w:rPr>
                <w:rFonts w:asciiTheme="minorHAnsi" w:hAnsiTheme="minorHAnsi" w:cs="Times New Roman"/>
                <w:b/>
                <w:noProof/>
                <w:color w:val="943634" w:themeColor="accent2" w:themeShade="BF"/>
                <w:sz w:val="18"/>
                <w:szCs w:val="18"/>
              </w:rPr>
              <w:drawing>
                <wp:inline distT="0" distB="0" distL="0" distR="0" wp14:anchorId="3374D214" wp14:editId="23AC0CA1">
                  <wp:extent cx="2914650" cy="1752019"/>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16162" cy="1752928"/>
                          </a:xfrm>
                          <a:prstGeom prst="rect">
                            <a:avLst/>
                          </a:prstGeom>
                          <a:noFill/>
                        </pic:spPr>
                      </pic:pic>
                    </a:graphicData>
                  </a:graphic>
                </wp:inline>
              </w:drawing>
            </w:r>
          </w:p>
        </w:tc>
      </w:tr>
      <w:tr w:rsidR="00946D49" w:rsidRPr="006C34E6" w:rsidTr="00946D49">
        <w:trPr>
          <w:trHeight w:val="620"/>
        </w:trPr>
        <w:tc>
          <w:tcPr>
            <w:tcW w:w="4825" w:type="dxa"/>
          </w:tcPr>
          <w:p w:rsidR="00946D49" w:rsidRPr="006C34E6" w:rsidRDefault="00946D49" w:rsidP="00946D49">
            <w:pPr>
              <w:jc w:val="left"/>
              <w:rPr>
                <w:rFonts w:asciiTheme="minorHAnsi" w:hAnsiTheme="minorHAnsi" w:cs="Times New Roman"/>
                <w:b/>
                <w:color w:val="943634" w:themeColor="accent2" w:themeShade="BF"/>
                <w:sz w:val="18"/>
                <w:szCs w:val="18"/>
                <w:lang w:val="pt-PT"/>
              </w:rPr>
            </w:pPr>
          </w:p>
          <w:p w:rsidR="00946D49" w:rsidRPr="006C34E6" w:rsidRDefault="00946D49" w:rsidP="00946D49">
            <w:pPr>
              <w:jc w:val="left"/>
              <w:rPr>
                <w:rFonts w:asciiTheme="minorHAnsi" w:hAnsiTheme="minorHAnsi" w:cs="Times New Roman"/>
                <w:b/>
                <w:color w:val="943634" w:themeColor="accent2" w:themeShade="BF"/>
                <w:sz w:val="18"/>
                <w:szCs w:val="18"/>
                <w:lang w:val="pt-PT"/>
              </w:rPr>
            </w:pPr>
            <w:r w:rsidRPr="006C34E6">
              <w:rPr>
                <w:rFonts w:asciiTheme="minorHAnsi" w:hAnsiTheme="minorHAnsi" w:cs="Times New Roman"/>
                <w:b/>
                <w:color w:val="943634" w:themeColor="accent2" w:themeShade="BF"/>
                <w:sz w:val="18"/>
                <w:szCs w:val="18"/>
                <w:lang w:val="pt-PT"/>
              </w:rPr>
              <w:t>…mas o sector é menos profundo que a média de outros países de rendimento médio….</w:t>
            </w:r>
          </w:p>
          <w:p w:rsidR="00946D49" w:rsidRPr="006C34E6" w:rsidRDefault="00946D49" w:rsidP="00946D49">
            <w:pPr>
              <w:jc w:val="left"/>
              <w:rPr>
                <w:rFonts w:asciiTheme="minorHAnsi" w:hAnsiTheme="minorHAnsi" w:cs="Times New Roman"/>
                <w:b/>
                <w:i/>
                <w:sz w:val="18"/>
                <w:szCs w:val="18"/>
                <w:lang w:val="pt-PT"/>
              </w:rPr>
            </w:pPr>
            <w:r w:rsidRPr="006C34E6">
              <w:rPr>
                <w:rFonts w:asciiTheme="minorHAnsi" w:hAnsiTheme="minorHAnsi" w:cs="Times New Roman"/>
                <w:b/>
                <w:i/>
                <w:sz w:val="18"/>
                <w:szCs w:val="18"/>
                <w:lang w:val="pt-PT"/>
              </w:rPr>
              <w:t>(Profundidade do sector financeiro, 2012)</w:t>
            </w:r>
          </w:p>
          <w:p w:rsidR="00946D49" w:rsidRPr="006C34E6" w:rsidRDefault="00946D49" w:rsidP="00946D49">
            <w:pPr>
              <w:jc w:val="left"/>
              <w:rPr>
                <w:rFonts w:asciiTheme="minorHAnsi" w:hAnsiTheme="minorHAnsi" w:cs="Times New Roman"/>
                <w:b/>
                <w:color w:val="943634" w:themeColor="accent2" w:themeShade="BF"/>
                <w:sz w:val="18"/>
                <w:szCs w:val="18"/>
                <w:lang w:val="pt-PT"/>
              </w:rPr>
            </w:pPr>
            <w:r>
              <w:rPr>
                <w:rFonts w:asciiTheme="minorHAnsi" w:hAnsiTheme="minorHAnsi" w:cs="Times New Roman"/>
                <w:b/>
                <w:noProof/>
                <w:color w:val="943634" w:themeColor="accent2" w:themeShade="BF"/>
                <w:sz w:val="18"/>
                <w:szCs w:val="18"/>
              </w:rPr>
              <w:drawing>
                <wp:inline distT="0" distB="0" distL="0" distR="0" wp14:anchorId="1A6D3B48" wp14:editId="6B87F4DF">
                  <wp:extent cx="2911068" cy="2219325"/>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13475" cy="2221160"/>
                          </a:xfrm>
                          <a:prstGeom prst="rect">
                            <a:avLst/>
                          </a:prstGeom>
                          <a:noFill/>
                        </pic:spPr>
                      </pic:pic>
                    </a:graphicData>
                  </a:graphic>
                </wp:inline>
              </w:drawing>
            </w:r>
          </w:p>
        </w:tc>
        <w:tc>
          <w:tcPr>
            <w:tcW w:w="4751" w:type="dxa"/>
          </w:tcPr>
          <w:p w:rsidR="00946D49" w:rsidRPr="006C34E6" w:rsidRDefault="00946D49" w:rsidP="00946D49">
            <w:pPr>
              <w:jc w:val="left"/>
              <w:rPr>
                <w:rFonts w:asciiTheme="minorHAnsi" w:hAnsiTheme="minorHAnsi" w:cs="Times New Roman"/>
                <w:b/>
                <w:color w:val="943634" w:themeColor="accent2" w:themeShade="BF"/>
                <w:sz w:val="18"/>
                <w:szCs w:val="18"/>
                <w:lang w:val="pt-PT"/>
              </w:rPr>
            </w:pPr>
          </w:p>
          <w:p w:rsidR="00946D49" w:rsidRPr="006C34E6" w:rsidRDefault="00946D49" w:rsidP="00946D49">
            <w:pPr>
              <w:jc w:val="left"/>
              <w:rPr>
                <w:rFonts w:cs="Times New Roman"/>
                <w:lang w:val="pt-PT"/>
              </w:rPr>
            </w:pPr>
            <w:r w:rsidRPr="006C34E6">
              <w:rPr>
                <w:rFonts w:asciiTheme="minorHAnsi" w:hAnsiTheme="minorHAnsi" w:cs="Times New Roman"/>
                <w:b/>
                <w:color w:val="943634" w:themeColor="accent2" w:themeShade="BF"/>
                <w:sz w:val="18"/>
                <w:szCs w:val="18"/>
                <w:lang w:val="pt-PT"/>
              </w:rPr>
              <w:t>…e a infra-estrutura financeira é limitada, para um país com o PIB per capita de Angola.</w:t>
            </w:r>
            <w:r w:rsidRPr="006C34E6">
              <w:rPr>
                <w:rFonts w:cs="Times New Roman"/>
                <w:lang w:val="pt-PT"/>
              </w:rPr>
              <w:t xml:space="preserve"> </w:t>
            </w:r>
          </w:p>
          <w:p w:rsidR="00946D49" w:rsidRPr="006C34E6" w:rsidRDefault="00946D49" w:rsidP="00946D49">
            <w:pPr>
              <w:jc w:val="left"/>
              <w:rPr>
                <w:rFonts w:asciiTheme="minorHAnsi" w:hAnsiTheme="minorHAnsi" w:cs="Times New Roman"/>
                <w:b/>
                <w:i/>
                <w:sz w:val="18"/>
                <w:szCs w:val="18"/>
                <w:lang w:val="pt-PT"/>
              </w:rPr>
            </w:pPr>
            <w:r w:rsidRPr="006C34E6">
              <w:rPr>
                <w:rFonts w:asciiTheme="minorHAnsi" w:hAnsiTheme="minorHAnsi" w:cs="Times New Roman"/>
                <w:b/>
                <w:i/>
                <w:sz w:val="18"/>
                <w:szCs w:val="18"/>
                <w:lang w:val="pt-PT"/>
              </w:rPr>
              <w:t>(ATMs per 100,000 adultos)</w:t>
            </w:r>
          </w:p>
          <w:p w:rsidR="00946D49" w:rsidRPr="006C34E6" w:rsidRDefault="00946D49" w:rsidP="00946D49">
            <w:pPr>
              <w:jc w:val="left"/>
              <w:rPr>
                <w:rFonts w:asciiTheme="minorHAnsi" w:hAnsiTheme="minorHAnsi" w:cs="Times New Roman"/>
                <w:b/>
                <w:color w:val="943634" w:themeColor="accent2" w:themeShade="BF"/>
                <w:sz w:val="18"/>
                <w:szCs w:val="18"/>
                <w:lang w:val="pt-PT"/>
              </w:rPr>
            </w:pPr>
            <w:r>
              <w:rPr>
                <w:rFonts w:asciiTheme="minorHAnsi" w:hAnsiTheme="minorHAnsi" w:cs="Times New Roman"/>
                <w:b/>
                <w:noProof/>
                <w:color w:val="943634" w:themeColor="accent2" w:themeShade="BF"/>
                <w:sz w:val="18"/>
                <w:szCs w:val="18"/>
              </w:rPr>
              <w:drawing>
                <wp:inline distT="0" distB="0" distL="0" distR="0" wp14:anchorId="59CA064C" wp14:editId="3660720B">
                  <wp:extent cx="2790825" cy="2144653"/>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93375" cy="2146612"/>
                          </a:xfrm>
                          <a:prstGeom prst="rect">
                            <a:avLst/>
                          </a:prstGeom>
                          <a:noFill/>
                        </pic:spPr>
                      </pic:pic>
                    </a:graphicData>
                  </a:graphic>
                </wp:inline>
              </w:drawing>
            </w:r>
          </w:p>
        </w:tc>
      </w:tr>
      <w:tr w:rsidR="00946D49" w:rsidRPr="004E1715" w:rsidTr="00946D49">
        <w:tc>
          <w:tcPr>
            <w:tcW w:w="9576" w:type="dxa"/>
            <w:gridSpan w:val="2"/>
          </w:tcPr>
          <w:p w:rsidR="00946D49" w:rsidRPr="006C34E6" w:rsidRDefault="00946D49" w:rsidP="00946D49">
            <w:pPr>
              <w:rPr>
                <w:rFonts w:cs="Times New Roman"/>
                <w:sz w:val="18"/>
                <w:szCs w:val="18"/>
                <w:lang w:val="pt-PT"/>
              </w:rPr>
            </w:pPr>
            <w:r w:rsidRPr="006C34E6">
              <w:rPr>
                <w:rFonts w:cs="Times New Roman"/>
                <w:color w:val="808080" w:themeColor="background1" w:themeShade="80"/>
                <w:sz w:val="18"/>
                <w:szCs w:val="18"/>
                <w:lang w:val="pt-PT"/>
              </w:rPr>
              <w:t>Fonte: Autores basearam-se nos IDM  do Banco Mundial e bases de dados sobre inclusão financeira global dos WDI</w:t>
            </w:r>
          </w:p>
        </w:tc>
      </w:tr>
    </w:tbl>
    <w:p w:rsidR="00946D49" w:rsidRPr="006C34E6" w:rsidRDefault="00946D49" w:rsidP="00946D49">
      <w:pPr>
        <w:pStyle w:val="ListParagraph"/>
        <w:ind w:left="0"/>
        <w:jc w:val="center"/>
        <w:rPr>
          <w:rFonts w:cs="Times New Roman"/>
          <w:b/>
          <w:lang w:val="pt-PT"/>
        </w:rPr>
      </w:pPr>
    </w:p>
    <w:p w:rsidR="009010DA" w:rsidRDefault="009010DA">
      <w:pPr>
        <w:spacing w:after="200" w:line="276" w:lineRule="auto"/>
        <w:jc w:val="left"/>
        <w:rPr>
          <w:rFonts w:cs="TimesNewRomanPSMT"/>
          <w:b/>
          <w:noProof/>
          <w:color w:val="000000" w:themeColor="text1"/>
          <w:szCs w:val="18"/>
          <w:lang w:val="pt-PT"/>
        </w:rPr>
      </w:pPr>
      <w:r>
        <w:rPr>
          <w:b/>
          <w:lang w:val="pt-PT"/>
        </w:rPr>
        <w:br w:type="page"/>
      </w:r>
    </w:p>
    <w:p w:rsidR="00946D49" w:rsidRPr="006C34E6" w:rsidRDefault="00946D49" w:rsidP="0085133C">
      <w:pPr>
        <w:pStyle w:val="ParagraphNumbering"/>
        <w:rPr>
          <w:lang w:val="pt-PT"/>
        </w:rPr>
      </w:pPr>
      <w:r w:rsidRPr="006C34E6">
        <w:rPr>
          <w:b/>
          <w:lang w:val="pt-PT"/>
        </w:rPr>
        <w:lastRenderedPageBreak/>
        <w:t xml:space="preserve">Micro, pequenas e médias empresas (MPMEs) enfrentam obstáculos particularmente difíceis para obter crédito. </w:t>
      </w:r>
      <w:r w:rsidRPr="006C34E6">
        <w:rPr>
          <w:lang w:val="pt-PT"/>
        </w:rPr>
        <w:t xml:space="preserve">Como já foi discutido em detalhe </w:t>
      </w:r>
      <w:r w:rsidRPr="006C34E6">
        <w:rPr>
          <w:color w:val="auto"/>
          <w:lang w:val="pt-PT"/>
        </w:rPr>
        <w:t>no número anterior do Angola Economic Update (AEU), as empresas maiores e mais antigas têm sistematicamente mais facilidade de aceder ao crédito que as suas homólogas mais jovens. Do mesmo modo, as empresas estrangeiras e empresas localizadas em Luanda têm menos constrangimentos no crédito que empresas nacionais e firmas com sede fora da capital</w:t>
      </w:r>
      <w:r w:rsidRPr="006C34E6">
        <w:rPr>
          <w:lang w:val="pt-PT"/>
        </w:rPr>
        <w:t>.</w:t>
      </w:r>
      <w:r w:rsidRPr="006C34E6">
        <w:rPr>
          <w:rStyle w:val="FootnoteReference"/>
          <w:rFonts w:cs="Times New Roman"/>
          <w:noProof w:val="0"/>
          <w:szCs w:val="22"/>
          <w:lang w:val="pt-PT"/>
        </w:rPr>
        <w:footnoteReference w:id="13"/>
      </w:r>
      <w:r w:rsidRPr="006C34E6">
        <w:rPr>
          <w:lang w:val="pt-PT"/>
        </w:rPr>
        <w:t xml:space="preserve"> Para alargar o acesso ao crédito entre as MPMEs o governo lançou </w:t>
      </w:r>
      <w:r w:rsidRPr="006C34E6">
        <w:rPr>
          <w:i/>
          <w:lang w:val="pt-PT"/>
        </w:rPr>
        <w:t>Angola Investe</w:t>
      </w:r>
      <w:r w:rsidRPr="006C34E6">
        <w:rPr>
          <w:lang w:val="pt-PT"/>
        </w:rPr>
        <w:t>, um programa que ajuda estas firmas, garantindo até 70 por cento do valor de um empréstimo a pequenos negócios. Em 2013 o programa segurou parcialmente 187 empresas num valor total de 32,5 biliões de kwanzas. Os principais sectores que beneficiaram do programa incluíam os transportes e mineração (51 por cento), agricultura (13 por cento) e construção (6 por cento).</w:t>
      </w:r>
      <w:r w:rsidRPr="006C34E6">
        <w:rPr>
          <w:rStyle w:val="FootnoteReference"/>
          <w:rFonts w:cs="Times New Roman"/>
          <w:noProof w:val="0"/>
          <w:szCs w:val="22"/>
          <w:lang w:val="pt-PT"/>
        </w:rPr>
        <w:footnoteReference w:id="14"/>
      </w:r>
      <w:r w:rsidRPr="006C34E6">
        <w:rPr>
          <w:lang w:val="pt-PT"/>
        </w:rPr>
        <w:t xml:space="preserve"> O programa parece estar a ter sucesso, até ao presente e pode reforçar significativamente o crescimento entre as MPMEs, desde que os potenciais problemas de risco moral, tanto da parte dos mutuários como dos mutuantes, sejam detectados e evitados e que o programa possa ser extensivo a empresas fora da capital.</w:t>
      </w:r>
    </w:p>
    <w:p w:rsidR="00946D49" w:rsidRPr="006C34E6" w:rsidRDefault="00946D49" w:rsidP="0085133C">
      <w:pPr>
        <w:pStyle w:val="ParagraphNumbering"/>
        <w:numPr>
          <w:ilvl w:val="0"/>
          <w:numId w:val="0"/>
        </w:numPr>
        <w:rPr>
          <w:lang w:val="pt-PT"/>
        </w:rPr>
      </w:pPr>
    </w:p>
    <w:p w:rsidR="00946D49" w:rsidRPr="006C34E6" w:rsidRDefault="00946D49" w:rsidP="0085133C">
      <w:pPr>
        <w:pStyle w:val="ParagraphNumbering"/>
        <w:rPr>
          <w:lang w:val="pt-PT"/>
        </w:rPr>
      </w:pPr>
      <w:r w:rsidRPr="006C34E6">
        <w:rPr>
          <w:b/>
          <w:lang w:val="pt-PT"/>
        </w:rPr>
        <w:t>A nova Lei das Divisas Estrangeiras</w:t>
      </w:r>
      <w:r>
        <w:rPr>
          <w:b/>
          <w:lang w:val="pt-PT"/>
        </w:rPr>
        <w:t xml:space="preserve">, </w:t>
      </w:r>
      <w:r w:rsidRPr="00CC19CF">
        <w:rPr>
          <w:b/>
          <w:lang w:val="pt-PT"/>
        </w:rPr>
        <w:t xml:space="preserve">acima referida, </w:t>
      </w:r>
      <w:r w:rsidRPr="006C34E6">
        <w:rPr>
          <w:b/>
          <w:lang w:val="pt-PT"/>
        </w:rPr>
        <w:t>representa tanto oportunidades como desafios para o sector bancário.</w:t>
      </w:r>
      <w:r w:rsidRPr="006C34E6">
        <w:rPr>
          <w:lang w:val="pt-PT"/>
        </w:rPr>
        <w:t xml:space="preserve"> A Lei tem por objectivo reduzir a crescente dolarização financeira, obrigando as empresas petrolíferas que operam no país a pagarem aos seus fornecedores na moeda do país, e através de contas bancárias em Angola. Espera-se que a lei ajude a aprofundar a intermediação financeira e aumentar o crédito em moeda local. No entanto, um aumento muito rápido  da liquidez dos bancos nacionais poderá encorajar empréstimos com excessivo risco, o que pode fazer disparar a taxa de inflação e até desestabilizar o sector bancário. Os dados de 2013 revelam um abrandamento do crescimento do crédito o que pode, no entanto, reflectir a acentuada desaceleração da economia que se observou em 2013. É imperativo manter cautela no curto prazo. Como se prevê que a nova lei aumente o volume de operações efectuadas por bancos comerciais, o BNA tem trabalhado para reforçar a sua missão de supervisão, criando um departamento de supervisão prudencial para monitorizar a estabilidade geral do sistema financeiro e um departamento de protecção dos consumidores para defender os interesses dos mutuantes. O BCA introduziu também uma sério de regulamentos que obrigam os bancos a reforçar a sua estrutura corporativa e os sistemas internos de auditoria.</w:t>
      </w:r>
    </w:p>
    <w:p w:rsidR="00946D49" w:rsidRPr="006C34E6" w:rsidRDefault="00946D49" w:rsidP="0085133C">
      <w:pPr>
        <w:pStyle w:val="ListParagraph"/>
        <w:rPr>
          <w:lang w:val="pt-PT"/>
        </w:rPr>
      </w:pPr>
    </w:p>
    <w:p w:rsidR="00946D49" w:rsidRPr="006C34E6" w:rsidRDefault="00946D49" w:rsidP="0085133C">
      <w:pPr>
        <w:pStyle w:val="ParagraphNumbering"/>
        <w:rPr>
          <w:lang w:val="pt-PT"/>
        </w:rPr>
      </w:pPr>
      <w:r w:rsidRPr="005E469D">
        <w:rPr>
          <w:b/>
          <w:lang w:val="pt-PT"/>
        </w:rPr>
        <w:t>Apesar da continuada baixa da taxa de inflação de Angola, o diferencial de inflação com os principais parceiros de comércio tem feito subir a Taxa de Câmbio Efectiva Real (TCER), afectando negativamente a competitividade do sector de exportação.</w:t>
      </w:r>
      <w:r w:rsidRPr="006C34E6">
        <w:rPr>
          <w:lang w:val="pt-PT"/>
        </w:rPr>
        <w:t xml:space="preserve"> A inflação continua a descer, empurrada pela baixa dos preços internacionais dos alimentos. A taxa média de inflação está calculada em 8,8 por cento em 2013, reflectindo a tendência global dos preços dos alimentos ( Figura </w:t>
      </w:r>
      <w:r w:rsidRPr="006C34E6">
        <w:rPr>
          <w:color w:val="auto"/>
          <w:lang w:val="pt-PT"/>
        </w:rPr>
        <w:t xml:space="preserve">16). </w:t>
      </w:r>
      <w:r w:rsidRPr="006C34E6">
        <w:rPr>
          <w:lang w:val="pt-PT"/>
        </w:rPr>
        <w:t>Como a importação de alimentos é um importante componente do cabaz de consumo de Angola, a inflação nos preços ao consumidor é extremamente sensível a alterações nos preços mundial do alimentos e a flutuações do câmbio de divisas. Em Setembro 2013, a taxa de inflação homóloga dos principais parceiros comerciais de Angola estava calculada em 2,9 por cento, enquanto a taxa de inflação do país era de 8,9 por cento. O diferencial da inflação não foi compensado por uma depreciação nominal da moeda e continua a exercer pressão de subida da TCER, diminuindo a competitividade na exportação das empresas angolanas.</w:t>
      </w:r>
    </w:p>
    <w:p w:rsidR="00946D49" w:rsidRPr="006C34E6" w:rsidRDefault="00946D49" w:rsidP="0085133C">
      <w:pPr>
        <w:pStyle w:val="ParagraphNumbering"/>
        <w:numPr>
          <w:ilvl w:val="0"/>
          <w:numId w:val="0"/>
        </w:numPr>
        <w:rPr>
          <w:lang w:val="pt-PT"/>
        </w:rPr>
      </w:pPr>
    </w:p>
    <w:p w:rsidR="009010DA" w:rsidRPr="005E469D" w:rsidRDefault="009010DA">
      <w:pPr>
        <w:rPr>
          <w:lang w:val="pt-PT"/>
        </w:rPr>
      </w:pPr>
      <w:bookmarkStart w:id="75" w:name="_Ref375570564"/>
      <w:bookmarkStart w:id="76" w:name="_Toc384305316"/>
      <w:r w:rsidRPr="005E469D">
        <w:rPr>
          <w:lang w:val="pt-PT"/>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5046"/>
      </w:tblGrid>
      <w:tr w:rsidR="00946D49" w:rsidRPr="006C34E6" w:rsidTr="00946D49">
        <w:trPr>
          <w:trHeight w:val="522"/>
        </w:trPr>
        <w:tc>
          <w:tcPr>
            <w:tcW w:w="0" w:type="auto"/>
          </w:tcPr>
          <w:p w:rsidR="00946D49" w:rsidRPr="006C34E6" w:rsidRDefault="00946D49" w:rsidP="00946D49">
            <w:pPr>
              <w:jc w:val="left"/>
              <w:rPr>
                <w:rFonts w:asciiTheme="minorHAnsi" w:hAnsiTheme="minorHAnsi" w:cs="Times New Roman"/>
                <w:b/>
                <w:color w:val="943634" w:themeColor="accent2" w:themeShade="BF"/>
                <w:sz w:val="18"/>
                <w:szCs w:val="18"/>
                <w:lang w:val="pt-PT"/>
              </w:rPr>
            </w:pPr>
            <w:r w:rsidRPr="006C34E6">
              <w:rPr>
                <w:rFonts w:asciiTheme="minorHAnsi" w:hAnsiTheme="minorHAnsi" w:cs="Times New Roman"/>
                <w:b/>
                <w:color w:val="943634" w:themeColor="accent2" w:themeShade="BF"/>
                <w:sz w:val="18"/>
                <w:szCs w:val="18"/>
                <w:lang w:val="pt-PT"/>
              </w:rPr>
              <w:lastRenderedPageBreak/>
              <w:t xml:space="preserve">Figura </w:t>
            </w:r>
            <w:bookmarkEnd w:id="75"/>
            <w:r w:rsidRPr="006C34E6">
              <w:rPr>
                <w:rFonts w:asciiTheme="minorHAnsi" w:hAnsiTheme="minorHAnsi" w:cs="Times New Roman"/>
                <w:b/>
                <w:color w:val="943634" w:themeColor="accent2" w:themeShade="BF"/>
                <w:sz w:val="18"/>
                <w:szCs w:val="18"/>
                <w:lang w:val="pt-PT"/>
              </w:rPr>
              <w:t>15: A inflação tem baixado, com a baixa de preços globais dos alimentos...</w:t>
            </w:r>
            <w:bookmarkEnd w:id="76"/>
          </w:p>
          <w:p w:rsidR="00946D49" w:rsidRPr="006C34E6" w:rsidRDefault="00946D49" w:rsidP="00946D49">
            <w:pPr>
              <w:jc w:val="left"/>
              <w:rPr>
                <w:rFonts w:asciiTheme="minorHAnsi" w:hAnsiTheme="minorHAnsi" w:cs="Times New Roman"/>
                <w:b/>
                <w:i/>
                <w:color w:val="943634" w:themeColor="accent2" w:themeShade="BF"/>
                <w:sz w:val="18"/>
                <w:szCs w:val="18"/>
                <w:lang w:val="pt-PT"/>
              </w:rPr>
            </w:pPr>
            <w:r w:rsidRPr="006C34E6">
              <w:rPr>
                <w:rFonts w:asciiTheme="minorHAnsi" w:hAnsiTheme="minorHAnsi" w:cs="Times New Roman"/>
                <w:b/>
                <w:i/>
                <w:sz w:val="18"/>
                <w:szCs w:val="18"/>
                <w:lang w:val="pt-PT"/>
              </w:rPr>
              <w:t>(Taxas de inflação, CPI, alimentares, não alimentares e transaccionáveis</w:t>
            </w:r>
          </w:p>
        </w:tc>
        <w:tc>
          <w:tcPr>
            <w:tcW w:w="0" w:type="auto"/>
          </w:tcPr>
          <w:p w:rsidR="00946D49" w:rsidRPr="006C34E6" w:rsidRDefault="00946D49" w:rsidP="00946D49">
            <w:pPr>
              <w:jc w:val="left"/>
              <w:rPr>
                <w:rFonts w:asciiTheme="minorHAnsi" w:hAnsiTheme="minorHAnsi" w:cs="Times New Roman"/>
                <w:b/>
                <w:color w:val="943634" w:themeColor="accent2" w:themeShade="BF"/>
                <w:sz w:val="18"/>
                <w:szCs w:val="18"/>
                <w:lang w:val="pt-PT"/>
              </w:rPr>
            </w:pPr>
            <w:bookmarkStart w:id="77" w:name="_Toc384305317"/>
            <w:r w:rsidRPr="006C34E6">
              <w:rPr>
                <w:rFonts w:asciiTheme="minorHAnsi" w:hAnsiTheme="minorHAnsi" w:cs="Times New Roman"/>
                <w:b/>
                <w:color w:val="943634" w:themeColor="accent2" w:themeShade="BF"/>
                <w:sz w:val="18"/>
                <w:szCs w:val="18"/>
                <w:lang w:val="pt-PT"/>
              </w:rPr>
              <w:t>…mas o diferencial de inflação está a fazer subir a TCER.</w:t>
            </w:r>
            <w:bookmarkEnd w:id="77"/>
          </w:p>
          <w:p w:rsidR="00946D49" w:rsidRPr="006C34E6" w:rsidRDefault="00946D49" w:rsidP="00946D49">
            <w:pPr>
              <w:jc w:val="left"/>
              <w:rPr>
                <w:rFonts w:asciiTheme="minorHAnsi" w:hAnsiTheme="minorHAnsi" w:cs="Times New Roman"/>
                <w:b/>
                <w:i/>
                <w:color w:val="943634" w:themeColor="accent2" w:themeShade="BF"/>
                <w:sz w:val="18"/>
                <w:szCs w:val="18"/>
                <w:lang w:val="pt-PT"/>
              </w:rPr>
            </w:pPr>
            <w:r w:rsidRPr="006C34E6">
              <w:rPr>
                <w:rFonts w:asciiTheme="minorHAnsi" w:hAnsiTheme="minorHAnsi" w:cs="Times New Roman"/>
                <w:b/>
                <w:i/>
                <w:sz w:val="18"/>
                <w:szCs w:val="18"/>
                <w:lang w:val="pt-PT"/>
              </w:rPr>
              <w:t>(TCER, % alter., 2010-2013)</w:t>
            </w:r>
          </w:p>
        </w:tc>
      </w:tr>
      <w:tr w:rsidR="00946D49" w:rsidRPr="006C34E6" w:rsidTr="00946D49">
        <w:trPr>
          <w:trHeight w:val="439"/>
        </w:trPr>
        <w:tc>
          <w:tcPr>
            <w:tcW w:w="0" w:type="auto"/>
          </w:tcPr>
          <w:p w:rsidR="00946D49" w:rsidRPr="006C34E6" w:rsidRDefault="00946D49" w:rsidP="00946D49">
            <w:pPr>
              <w:rPr>
                <w:rFonts w:cs="Times New Roman"/>
                <w:lang w:val="pt-PT"/>
              </w:rPr>
            </w:pPr>
            <w:r>
              <w:rPr>
                <w:rFonts w:cs="Times New Roman"/>
                <w:noProof/>
              </w:rPr>
              <w:drawing>
                <wp:inline distT="0" distB="0" distL="0" distR="0" wp14:anchorId="00796C58" wp14:editId="4D3E1029">
                  <wp:extent cx="2380528" cy="2095500"/>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84226" cy="2098755"/>
                          </a:xfrm>
                          <a:prstGeom prst="rect">
                            <a:avLst/>
                          </a:prstGeom>
                          <a:noFill/>
                        </pic:spPr>
                      </pic:pic>
                    </a:graphicData>
                  </a:graphic>
                </wp:inline>
              </w:drawing>
            </w:r>
          </w:p>
        </w:tc>
        <w:tc>
          <w:tcPr>
            <w:tcW w:w="0" w:type="auto"/>
          </w:tcPr>
          <w:p w:rsidR="00946D49" w:rsidRPr="006C34E6" w:rsidRDefault="00946D49" w:rsidP="00946D49">
            <w:pPr>
              <w:rPr>
                <w:rFonts w:cs="Times New Roman"/>
                <w:lang w:val="pt-PT"/>
              </w:rPr>
            </w:pPr>
            <w:r>
              <w:rPr>
                <w:rFonts w:cs="Times New Roman"/>
                <w:noProof/>
              </w:rPr>
              <w:drawing>
                <wp:inline distT="0" distB="0" distL="0" distR="0" wp14:anchorId="60FECFF7" wp14:editId="2A7D2ADF">
                  <wp:extent cx="3067050" cy="17621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74196" cy="1766231"/>
                          </a:xfrm>
                          <a:prstGeom prst="rect">
                            <a:avLst/>
                          </a:prstGeom>
                          <a:noFill/>
                        </pic:spPr>
                      </pic:pic>
                    </a:graphicData>
                  </a:graphic>
                </wp:inline>
              </w:drawing>
            </w:r>
          </w:p>
        </w:tc>
      </w:tr>
      <w:tr w:rsidR="00946D49" w:rsidRPr="004E1715" w:rsidTr="00946D49">
        <w:trPr>
          <w:trHeight w:val="431"/>
        </w:trPr>
        <w:tc>
          <w:tcPr>
            <w:tcW w:w="0" w:type="auto"/>
          </w:tcPr>
          <w:p w:rsidR="00946D49" w:rsidRPr="006C34E6" w:rsidRDefault="00946D49" w:rsidP="00946D49">
            <w:pPr>
              <w:rPr>
                <w:rFonts w:cs="Times New Roman"/>
                <w:color w:val="808080" w:themeColor="background1" w:themeShade="80"/>
                <w:sz w:val="16"/>
                <w:szCs w:val="16"/>
                <w:lang w:val="pt-PT"/>
              </w:rPr>
            </w:pPr>
            <w:r w:rsidRPr="006C34E6">
              <w:rPr>
                <w:rFonts w:cs="Times New Roman"/>
                <w:color w:val="808080" w:themeColor="background1" w:themeShade="80"/>
                <w:sz w:val="16"/>
                <w:szCs w:val="16"/>
                <w:lang w:val="pt-PT"/>
              </w:rPr>
              <w:t>Fonte: INE</w:t>
            </w:r>
          </w:p>
        </w:tc>
        <w:tc>
          <w:tcPr>
            <w:tcW w:w="0" w:type="auto"/>
          </w:tcPr>
          <w:p w:rsidR="00946D49" w:rsidRPr="006C34E6" w:rsidRDefault="00946D49" w:rsidP="00946D49">
            <w:pPr>
              <w:rPr>
                <w:rFonts w:cs="Times New Roman"/>
                <w:color w:val="808080" w:themeColor="background1" w:themeShade="80"/>
                <w:sz w:val="16"/>
                <w:szCs w:val="16"/>
                <w:lang w:val="pt-PT"/>
              </w:rPr>
            </w:pPr>
            <w:r w:rsidRPr="006C34E6">
              <w:rPr>
                <w:rFonts w:cs="Times New Roman"/>
                <w:color w:val="808080" w:themeColor="background1" w:themeShade="80"/>
                <w:sz w:val="16"/>
                <w:szCs w:val="16"/>
                <w:lang w:val="pt-PT"/>
              </w:rPr>
              <w:t>Fonte: Estim. Banco Mundial com base no BNA, Eurostat, e IFS</w:t>
            </w:r>
          </w:p>
        </w:tc>
      </w:tr>
    </w:tbl>
    <w:p w:rsidR="00946D49" w:rsidRPr="006C34E6" w:rsidRDefault="00946D49" w:rsidP="00946D49">
      <w:pPr>
        <w:spacing w:after="200" w:line="276" w:lineRule="auto"/>
        <w:jc w:val="left"/>
        <w:rPr>
          <w:rFonts w:asciiTheme="majorHAnsi" w:eastAsiaTheme="majorEastAsia" w:hAnsiTheme="majorHAnsi" w:cstheme="majorBidi"/>
          <w:b/>
          <w:bCs/>
          <w:color w:val="365F91" w:themeColor="accent1" w:themeShade="BF"/>
          <w:sz w:val="40"/>
          <w:szCs w:val="28"/>
          <w:lang w:val="pt-PT"/>
        </w:rPr>
      </w:pPr>
      <w:bookmarkStart w:id="78" w:name="_Toc330283804"/>
      <w:bookmarkStart w:id="79" w:name="_Toc331228881"/>
      <w:bookmarkStart w:id="80" w:name="_Toc331230265"/>
      <w:bookmarkStart w:id="81" w:name="_Toc345748746"/>
      <w:bookmarkStart w:id="82" w:name="_Toc349150432"/>
      <w:bookmarkStart w:id="83" w:name="_Toc349391126"/>
      <w:bookmarkStart w:id="84" w:name="_Toc349668949"/>
      <w:bookmarkStart w:id="85" w:name="_Toc349818332"/>
      <w:r w:rsidRPr="006C34E6">
        <w:rPr>
          <w:sz w:val="40"/>
          <w:lang w:val="pt-PT"/>
        </w:rPr>
        <w:br w:type="page"/>
      </w:r>
    </w:p>
    <w:p w:rsidR="00946D49" w:rsidRPr="006C34E6" w:rsidRDefault="00946D49" w:rsidP="00946D49">
      <w:pPr>
        <w:pStyle w:val="Heading1"/>
        <w:spacing w:before="0"/>
        <w:ind w:left="1080"/>
        <w:rPr>
          <w:lang w:val="pt-PT"/>
        </w:rPr>
      </w:pPr>
      <w:bookmarkStart w:id="86" w:name="_Toc387169368"/>
      <w:bookmarkStart w:id="87" w:name="_Toc391261702"/>
      <w:r w:rsidRPr="006C34E6">
        <w:rPr>
          <w:lang w:val="pt-PT"/>
        </w:rPr>
        <w:lastRenderedPageBreak/>
        <w:t>PERSPECTIVA ECONÓMICA E RISCOS</w:t>
      </w:r>
      <w:bookmarkEnd w:id="78"/>
      <w:bookmarkEnd w:id="79"/>
      <w:bookmarkEnd w:id="80"/>
      <w:bookmarkEnd w:id="81"/>
      <w:bookmarkEnd w:id="82"/>
      <w:bookmarkEnd w:id="83"/>
      <w:bookmarkEnd w:id="84"/>
      <w:bookmarkEnd w:id="85"/>
      <w:bookmarkEnd w:id="86"/>
      <w:bookmarkEnd w:id="87"/>
    </w:p>
    <w:p w:rsidR="00946D49" w:rsidRPr="006C34E6" w:rsidRDefault="00946D49" w:rsidP="00946D49">
      <w:pPr>
        <w:pStyle w:val="NoSpacing"/>
        <w:rPr>
          <w:lang w:val="pt-PT"/>
        </w:rPr>
      </w:pPr>
    </w:p>
    <w:p w:rsidR="00946D49" w:rsidRPr="006C34E6" w:rsidRDefault="0026323F" w:rsidP="00946D49">
      <w:pPr>
        <w:pStyle w:val="NoSpacing"/>
        <w:rPr>
          <w:lang w:val="pt-PT"/>
        </w:rPr>
      </w:pPr>
      <w:r>
        <w:rPr>
          <w:noProof/>
          <w:lang w:val="en-US"/>
        </w:rPr>
        <mc:AlternateContent>
          <mc:Choice Requires="wps">
            <w:drawing>
              <wp:anchor distT="0" distB="0" distL="114300" distR="114300" simplePos="0" relativeHeight="251697152" behindDoc="0" locked="0" layoutInCell="1" allowOverlap="1" wp14:anchorId="1EE27552" wp14:editId="70BB8920">
                <wp:simplePos x="0" y="0"/>
                <wp:positionH relativeFrom="column">
                  <wp:posOffset>96520</wp:posOffset>
                </wp:positionH>
                <wp:positionV relativeFrom="paragraph">
                  <wp:posOffset>60325</wp:posOffset>
                </wp:positionV>
                <wp:extent cx="909320" cy="146685"/>
                <wp:effectExtent l="0" t="0" r="5080" b="5715"/>
                <wp:wrapNone/>
                <wp:docPr id="30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146685"/>
                        </a:xfrm>
                        <a:prstGeom prst="rect">
                          <a:avLst/>
                        </a:prstGeom>
                        <a:gradFill rotWithShape="1">
                          <a:gsLst>
                            <a:gs pos="60000">
                              <a:schemeClr val="bg1">
                                <a:lumMod val="75000"/>
                                <a:lumOff val="0"/>
                              </a:schemeClr>
                            </a:gs>
                            <a:gs pos="100000">
                              <a:schemeClr val="bg1">
                                <a:lumMod val="50000"/>
                              </a:schemeClr>
                            </a:gs>
                          </a:gsLst>
                          <a:lin ang="5400000" scaled="1"/>
                        </a:gra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7.6pt;margin-top:4.75pt;width:71.6pt;height:11.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" fillcolor="#bfbfbf [2412]" stroked="f">
                <v:fill color2="#7f7f7f [1612]" rotate="t" colors="0 #bfbfbf;39322f #bfbfbf" focus="100%" type="gradient"/>
              </v:rect>
            </w:pict>
          </mc:Fallback>
        </mc:AlternateContent>
      </w:r>
      <w:r>
        <w:rPr>
          <w:noProof/>
          <w:lang w:val="en-US"/>
        </w:rPr>
        <mc:AlternateContent>
          <mc:Choice Requires="wps">
            <w:drawing>
              <wp:anchor distT="0" distB="0" distL="114300" distR="114300" simplePos="0" relativeHeight="251696128" behindDoc="0" locked="0" layoutInCell="1" allowOverlap="1" wp14:anchorId="6588959F" wp14:editId="43E0DE7C">
                <wp:simplePos x="0" y="0"/>
                <wp:positionH relativeFrom="column">
                  <wp:posOffset>1111250</wp:posOffset>
                </wp:positionH>
                <wp:positionV relativeFrom="paragraph">
                  <wp:posOffset>61595</wp:posOffset>
                </wp:positionV>
                <wp:extent cx="5186045" cy="146685"/>
                <wp:effectExtent l="0" t="0" r="0" b="5715"/>
                <wp:wrapNone/>
                <wp:docPr id="30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6045" cy="146685"/>
                        </a:xfrm>
                        <a:prstGeom prst="rect">
                          <a:avLst/>
                        </a:prstGeom>
                        <a:gradFill>
                          <a:gsLst>
                            <a:gs pos="70000">
                              <a:schemeClr val="accent2">
                                <a:lumMod val="75000"/>
                              </a:schemeClr>
                            </a:gs>
                            <a:gs pos="100000">
                              <a:schemeClr val="accent2">
                                <a:lumMod val="50000"/>
                              </a:schemeClr>
                            </a:gs>
                          </a:gsLst>
                          <a:lin ang="5400000" scaled="0"/>
                        </a:gra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87.5pt;margin-top:4.85pt;width:408.35pt;height:1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" fillcolor="#943634 [2405]" stroked="f">
                <v:fill color2="#622423 [1605]" colors="0 #953735;45875f #953735" focus="100%" type="gradient">
                  <o:fill v:ext="view" type="gradientUnscaled"/>
                </v:fill>
              </v:rect>
            </w:pict>
          </mc:Fallback>
        </mc:AlternateContent>
      </w:r>
    </w:p>
    <w:p w:rsidR="00946D49" w:rsidRPr="006C34E6" w:rsidRDefault="00946D49" w:rsidP="00946D49">
      <w:pPr>
        <w:pStyle w:val="NoSpacing"/>
        <w:rPr>
          <w:lang w:val="pt-PT"/>
        </w:rPr>
      </w:pPr>
    </w:p>
    <w:p w:rsidR="00946D49" w:rsidRPr="006C34E6" w:rsidRDefault="00946D49" w:rsidP="00946D49">
      <w:pPr>
        <w:pStyle w:val="Heading2"/>
        <w:rPr>
          <w:rFonts w:ascii="Times New Roman" w:eastAsiaTheme="minorHAnsi" w:hAnsi="Times New Roman" w:cstheme="minorBidi"/>
          <w:b w:val="0"/>
          <w:bCs w:val="0"/>
          <w:color w:val="auto"/>
          <w:sz w:val="22"/>
          <w:szCs w:val="22"/>
          <w:lang w:val="pt-PT"/>
        </w:rPr>
      </w:pPr>
      <w:bookmarkStart w:id="88" w:name="_Toc387169369"/>
    </w:p>
    <w:p w:rsidR="00946D49" w:rsidRPr="006C34E6" w:rsidRDefault="00946D49" w:rsidP="00946D49">
      <w:pPr>
        <w:pStyle w:val="Heading2"/>
        <w:rPr>
          <w:lang w:val="pt-PT"/>
        </w:rPr>
      </w:pPr>
      <w:bookmarkStart w:id="89" w:name="_Toc391261703"/>
      <w:r w:rsidRPr="006C34E6">
        <w:rPr>
          <w:rFonts w:ascii="Cambria" w:hAnsi="Cambria"/>
          <w:sz w:val="28"/>
          <w:lang w:val="pt-PT"/>
        </w:rPr>
        <w:t>Angola e a Economia Global</w:t>
      </w:r>
      <w:bookmarkEnd w:id="88"/>
      <w:bookmarkEnd w:id="89"/>
    </w:p>
    <w:p w:rsidR="00946D49" w:rsidRPr="006C34E6" w:rsidRDefault="00946D49" w:rsidP="0085133C">
      <w:pPr>
        <w:pStyle w:val="ParagraphNumbering"/>
        <w:numPr>
          <w:ilvl w:val="0"/>
          <w:numId w:val="0"/>
        </w:numPr>
        <w:rPr>
          <w:lang w:val="pt-PT"/>
        </w:rPr>
      </w:pPr>
    </w:p>
    <w:p w:rsidR="00946D49" w:rsidRPr="006C34E6" w:rsidRDefault="00946D49" w:rsidP="0085133C">
      <w:pPr>
        <w:pStyle w:val="ParagraphNumbering"/>
        <w:rPr>
          <w:lang w:val="pt-PT"/>
        </w:rPr>
      </w:pPr>
      <w:r w:rsidRPr="005E469D">
        <w:rPr>
          <w:b/>
          <w:lang w:val="pt-PT"/>
        </w:rPr>
        <w:t>A perspectiva para a economia global é de um gradual reforço da recuperação global, com perspectivas de que o crescimento do mercado emergente se mantenha estável, mas moderado, no curto prazo o que pode afectar a procura das exportações de Angola.</w:t>
      </w:r>
      <w:r w:rsidRPr="006C34E6">
        <w:rPr>
          <w:lang w:val="pt-PT"/>
        </w:rPr>
        <w:t xml:space="preserve"> O crescimento do PIB global deverá ser reforçado, de 2,4 por cento em 2013 para 3.0 por cento no corrente ano e 3,4 por cento em 2015. Liderado pelos E.U.A., o crescimento em economias de elevado rendimento crescerá previsivelmente de 1,3 por cento em 2013, para 2,1 por cento em 2015 e atingir 2,4 por cento em 2016, com uma consolidação da procura dos consumidores e do investimento. Prevê-se um reforço do crescimento na Índia em 2014, apoiado por um ressalto na procura interna e melhores condições nos principais mercados de exportação. Na África do sul o crescimento manter-se-á moderado, devido ao efeito combinado de rigor na política e estrangulamentos nas infra-estruturas. A China estabelecer a sua meta de crescimento em 7,5 por cento em 2014, e um reequilibrar dos impulsionadores de crescimento para uma maior dependência da procura e menos no investimento, deverá verificar-se nos próximos anos. O crescimento nos países em desenvolvimento deverá crescer moderadamente, de 4,8 por cento em 2013 para 5,0 por cento em 2014, reflectindo em parte constrangimentos de capacidade, mas também condições mais restritivas de financiamento externo.</w:t>
      </w:r>
    </w:p>
    <w:p w:rsidR="00946D49" w:rsidRPr="006C34E6" w:rsidRDefault="00946D49" w:rsidP="0085133C">
      <w:pPr>
        <w:pStyle w:val="ParagraphNumbering"/>
        <w:numPr>
          <w:ilvl w:val="0"/>
          <w:numId w:val="0"/>
        </w:numPr>
        <w:rPr>
          <w:lang w:val="pt-PT"/>
        </w:rPr>
      </w:pPr>
    </w:p>
    <w:p w:rsidR="00946D49" w:rsidRPr="006C34E6" w:rsidRDefault="00946D49" w:rsidP="0085133C">
      <w:pPr>
        <w:pStyle w:val="ParagraphNumbering"/>
        <w:rPr>
          <w:lang w:val="pt-PT"/>
        </w:rPr>
      </w:pPr>
      <w:r w:rsidRPr="005E469D">
        <w:rPr>
          <w:b/>
          <w:lang w:val="pt-PT"/>
        </w:rPr>
        <w:t>O crescimento em Angola deverá acelerar, com base numa recuperação do sector do petróleo, crescimento nos países de elevado rendimento e uma estabilização do preço do petróleo (Caixa 6).</w:t>
      </w:r>
      <w:r w:rsidRPr="006C34E6">
        <w:rPr>
          <w:lang w:val="pt-PT"/>
        </w:rPr>
        <w:t xml:space="preserve"> O projectado aumento na produção de petróleo mais do que compensará uma redução de 2,4 por cento nos preços do petróleo e o crescimento do PIB está previsto atingir 5,4 por cento em 2014 e 5,5 por cento em 2015. Estes números baseiam-se no pressuposto de que a produção de petróleo aumentará 3 por cento adicionais, em resultado de uma maior eficiência na extracção. Mais aumentos na produção de petróleo são considerados como um risco ascendente. A Sonangol, empresa do estado que gere a produção do petróleo em Angola, prevê que o sector passe a produzir 2 milhões de barris por dia até 2015, e nesse caso o crescimento do PIB poderá eventualmente atingir os 8 por cento. No entanto o AEU utiliza uma previsão mais conservadora, para cobrir o risco de problemas técnicos imprevistos na extracção do petróleo, tal como já aconteceu no passado. O investimento público deverá impulsionar o crescimento não relacionado com o petróleo. Os grandes projectos incluem a recuperação de estradas secundárias e terciárias, a construção de mais capacidade de geração e distribuição de energia e o desenvolvimento de novos sistemas de irrigação para estimular a produtividade agrícola. O sector dos serviços, incluindo hotéis e restaurantes, também deverá contribuir para o crescimento do PIB não relacionado com o petróleo.</w:t>
      </w:r>
      <w:r w:rsidRPr="006C34E6">
        <w:rPr>
          <w:rStyle w:val="FootnoteReference"/>
          <w:rFonts w:cs="Times New Roman"/>
          <w:noProof w:val="0"/>
          <w:szCs w:val="22"/>
          <w:lang w:val="pt-PT"/>
        </w:rPr>
        <w:footnoteReference w:id="15"/>
      </w:r>
      <w:r w:rsidRPr="006C34E6">
        <w:rPr>
          <w:lang w:val="pt-PT"/>
        </w:rPr>
        <w:t xml:space="preserve"> </w:t>
      </w:r>
    </w:p>
    <w:p w:rsidR="00946D49" w:rsidRPr="006C34E6" w:rsidRDefault="00946D49" w:rsidP="0085133C">
      <w:pPr>
        <w:pStyle w:val="ParagraphNumbering"/>
        <w:numPr>
          <w:ilvl w:val="0"/>
          <w:numId w:val="0"/>
        </w:numPr>
        <w:rPr>
          <w:lang w:val="pt-PT"/>
        </w:rPr>
      </w:pPr>
    </w:p>
    <w:p w:rsidR="00946D49" w:rsidRPr="006C34E6" w:rsidRDefault="00946D49" w:rsidP="0085133C">
      <w:pPr>
        <w:pStyle w:val="ParagraphNumbering"/>
        <w:rPr>
          <w:lang w:val="pt-PT"/>
        </w:rPr>
      </w:pPr>
      <w:r w:rsidRPr="006C34E6">
        <w:rPr>
          <w:b/>
          <w:lang w:val="pt-PT"/>
        </w:rPr>
        <w:t xml:space="preserve">Riscos que poderão afectar estas projecções incluem um mais lento crescimento nos principais parceiros de comércio de Angola. </w:t>
      </w:r>
      <w:r w:rsidRPr="006C34E6">
        <w:rPr>
          <w:lang w:val="pt-PT"/>
        </w:rPr>
        <w:t xml:space="preserve">O PIB da China abrandou para o número mais baixo dos últimos 18 meses, no primeiro trimestre de 2014 em relação ao ano anterior, cifrando-se em 7,4 por cento no período homólogo, superando expectativas, mas mais baixo que os 7.7 por cento no quarto trimestre de 2013. O crescimento do investimento fixo abrandou e exportações e importações sofreram contracção. Um crescimento mais baixo na China e em outros mercados emergente iria traduzir-se numa procura mais </w:t>
      </w:r>
      <w:r w:rsidRPr="006C34E6">
        <w:rPr>
          <w:lang w:val="pt-PT"/>
        </w:rPr>
        <w:lastRenderedPageBreak/>
        <w:t>baixa de mercadorias. Outros riscos no sentido de baixa para as perspectivas globais, incluem os que resultam dos elevados níveis de dívida da China e de tensões geopolíticas. O compromisso da China em melhorar a atribuição de recursos e aumentar a presença de forças de mercado na economia, tem-se reflectido em algumas grandes reformas desde Novembro 2013. Mas um reequilíbrio, que o governo tenciona fazer acompanhar de medidas para abrandar o crédito, será tarefa difícil. Uma “aterragem brusca” poderia ter importantes consequências na região da Ásia Oriental e para os exportadores de produtos de base, nos mercados financeiros globais.</w:t>
      </w:r>
    </w:p>
    <w:p w:rsidR="00946D49" w:rsidRPr="006C34E6" w:rsidRDefault="00946D49" w:rsidP="00946D49">
      <w:pPr>
        <w:rPr>
          <w:lang w:val="pt-PT"/>
        </w:rPr>
      </w:pPr>
    </w:p>
    <w:tbl>
      <w:tblPr>
        <w:tblStyle w:val="ColorfulList-Accent1"/>
        <w:tblW w:w="9592" w:type="dxa"/>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990"/>
        <w:gridCol w:w="8602"/>
      </w:tblGrid>
      <w:tr w:rsidR="00946D49" w:rsidRPr="004E1715" w:rsidTr="00267766">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90" w:type="dxa"/>
            <w:vAlign w:val="center"/>
          </w:tcPr>
          <w:p w:rsidR="00946D49" w:rsidRPr="006C34E6" w:rsidRDefault="00946D49" w:rsidP="00946D49">
            <w:pPr>
              <w:pStyle w:val="NoSpacing"/>
              <w:jc w:val="left"/>
              <w:rPr>
                <w:rFonts w:asciiTheme="minorHAnsi" w:hAnsiTheme="minorHAnsi"/>
                <w:b w:val="0"/>
                <w:lang w:val="pt-PT"/>
              </w:rPr>
            </w:pPr>
            <w:bookmarkStart w:id="90" w:name="_Ref384633127"/>
            <w:r w:rsidRPr="006C34E6">
              <w:rPr>
                <w:rFonts w:asciiTheme="minorHAnsi" w:hAnsiTheme="minorHAnsi" w:cstheme="minorHAnsi"/>
                <w:sz w:val="24"/>
                <w:szCs w:val="24"/>
                <w:lang w:val="pt-PT"/>
              </w:rPr>
              <w:t xml:space="preserve">Caixa </w:t>
            </w:r>
            <w:r w:rsidRPr="006C34E6">
              <w:rPr>
                <w:rFonts w:asciiTheme="minorHAnsi" w:hAnsiTheme="minorHAnsi" w:cstheme="minorHAnsi"/>
                <w:sz w:val="24"/>
                <w:szCs w:val="24"/>
                <w:lang w:val="pt-PT"/>
              </w:rPr>
              <w:fldChar w:fldCharType="begin"/>
            </w:r>
            <w:r w:rsidRPr="006C34E6">
              <w:rPr>
                <w:rFonts w:asciiTheme="minorHAnsi" w:hAnsiTheme="minorHAnsi" w:cstheme="minorHAnsi"/>
                <w:sz w:val="24"/>
                <w:szCs w:val="24"/>
                <w:lang w:val="pt-PT"/>
              </w:rPr>
              <w:instrText xml:space="preserve"> SEQ Box \* ARABIC </w:instrText>
            </w:r>
            <w:r w:rsidRPr="006C34E6">
              <w:rPr>
                <w:rFonts w:asciiTheme="minorHAnsi" w:hAnsiTheme="minorHAnsi" w:cstheme="minorHAnsi"/>
                <w:sz w:val="24"/>
                <w:szCs w:val="24"/>
                <w:lang w:val="pt-PT"/>
              </w:rPr>
              <w:fldChar w:fldCharType="separate"/>
            </w:r>
            <w:r w:rsidR="004F553E">
              <w:rPr>
                <w:rFonts w:asciiTheme="minorHAnsi" w:hAnsiTheme="minorHAnsi" w:cstheme="minorHAnsi"/>
                <w:noProof/>
                <w:sz w:val="24"/>
                <w:szCs w:val="24"/>
                <w:lang w:val="pt-PT"/>
              </w:rPr>
              <w:t>6</w:t>
            </w:r>
            <w:r w:rsidRPr="006C34E6">
              <w:rPr>
                <w:rFonts w:asciiTheme="minorHAnsi" w:hAnsiTheme="minorHAnsi" w:cstheme="minorHAnsi"/>
                <w:sz w:val="24"/>
                <w:szCs w:val="24"/>
                <w:lang w:val="pt-PT"/>
              </w:rPr>
              <w:fldChar w:fldCharType="end"/>
            </w:r>
            <w:bookmarkEnd w:id="90"/>
          </w:p>
        </w:tc>
        <w:tc>
          <w:tcPr>
            <w:tcW w:w="8602" w:type="dxa"/>
            <w:shd w:val="clear" w:color="auto" w:fill="000000" w:themeFill="text1"/>
            <w:vAlign w:val="center"/>
          </w:tcPr>
          <w:p w:rsidR="00946D49" w:rsidRPr="006C34E6" w:rsidRDefault="00946D49" w:rsidP="00946D49">
            <w:pPr>
              <w:pStyle w:val="NoSpacing"/>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lang w:val="pt-PT"/>
              </w:rPr>
            </w:pPr>
            <w:r w:rsidRPr="006C34E6">
              <w:rPr>
                <w:rFonts w:asciiTheme="minorHAnsi" w:hAnsiTheme="minorHAnsi" w:cstheme="minorHAnsi"/>
                <w:sz w:val="24"/>
                <w:szCs w:val="24"/>
                <w:lang w:val="pt-PT"/>
              </w:rPr>
              <w:t>Perspectivas dos Preços  dos Produtos de Base</w:t>
            </w:r>
          </w:p>
        </w:tc>
      </w:tr>
      <w:tr w:rsidR="00946D49" w:rsidRPr="004E1715" w:rsidTr="00267766">
        <w:trPr>
          <w:cnfStyle w:val="000000100000" w:firstRow="0" w:lastRow="0" w:firstColumn="0" w:lastColumn="0" w:oddVBand="0" w:evenVBand="0" w:oddHBand="1" w:evenHBand="0" w:firstRowFirstColumn="0" w:firstRowLastColumn="0" w:lastRowFirstColumn="0" w:lastRowLastColumn="0"/>
          <w:trHeight w:val="6576"/>
        </w:trPr>
        <w:tc>
          <w:tcPr>
            <w:cnfStyle w:val="001000000000" w:firstRow="0" w:lastRow="0" w:firstColumn="1" w:lastColumn="0" w:oddVBand="0" w:evenVBand="0" w:oddHBand="0" w:evenHBand="0" w:firstRowFirstColumn="0" w:firstRowLastColumn="0" w:lastRowFirstColumn="0" w:lastRowLastColumn="0"/>
            <w:tcW w:w="9592" w:type="dxa"/>
            <w:gridSpan w:val="2"/>
          </w:tcPr>
          <w:p w:rsidR="00946D49" w:rsidRPr="00267766" w:rsidRDefault="00946D49" w:rsidP="00946D49">
            <w:pPr>
              <w:rPr>
                <w:rFonts w:asciiTheme="minorHAnsi" w:hAnsiTheme="minorHAnsi" w:cstheme="minorHAnsi"/>
                <w:sz w:val="18"/>
                <w:szCs w:val="18"/>
                <w:lang w:val="pt-PT"/>
              </w:rPr>
            </w:pPr>
          </w:p>
          <w:p w:rsidR="00946D49" w:rsidRPr="00267766" w:rsidRDefault="00946D49" w:rsidP="0085133C">
            <w:pPr>
              <w:pStyle w:val="ParagraphNumbering"/>
              <w:numPr>
                <w:ilvl w:val="0"/>
                <w:numId w:val="0"/>
              </w:numPr>
              <w:rPr>
                <w:b w:val="0"/>
                <w:lang w:val="pt-PT"/>
              </w:rPr>
            </w:pPr>
            <w:r w:rsidRPr="00267766">
              <w:rPr>
                <w:lang w:val="pt-PT"/>
              </w:rPr>
              <w:t xml:space="preserve">Os preços dos produtos de base devem manter-se baixos em 2014, devido ao efeito combinado de uma procura fraca e de um aumento da oferta. </w:t>
            </w:r>
            <w:r w:rsidRPr="00267766">
              <w:rPr>
                <w:b w:val="0"/>
                <w:lang w:val="pt-PT"/>
              </w:rPr>
              <w:t xml:space="preserve">Os preços dos metais devem ter uma redução adicional de 1,7 por cento em 2014, pois prevê-se a entrada no mercado de novos fornecimentos. Do mesmo modo, os metais preciosos deverão cair mais de 13 por cento em 2014, pois os investidores institucionais estão a considerá-los com alternativas “de segurança” menos atraentes. Os preços agrícolas devem também declinar mais 2,5 por cento em 2014, partido do pressuposto que as melhores condições das safras devem continuar durante o resto do ano. Os preços, especificamente, da alimentação e bebidas deverão cair 3,7 e 2.0 por cento respectivamente.  </w:t>
            </w:r>
          </w:p>
          <w:p w:rsidR="00946D49" w:rsidRPr="00267766" w:rsidRDefault="00946D49" w:rsidP="0085133C">
            <w:pPr>
              <w:pStyle w:val="ParagraphNumbering"/>
              <w:numPr>
                <w:ilvl w:val="0"/>
                <w:numId w:val="0"/>
              </w:numPr>
              <w:rPr>
                <w:lang w:val="pt-PT"/>
              </w:rPr>
            </w:pPr>
          </w:p>
          <w:p w:rsidR="00946D49" w:rsidRPr="00267766" w:rsidRDefault="00946D49" w:rsidP="0085133C">
            <w:pPr>
              <w:pStyle w:val="ParagraphNumbering"/>
              <w:numPr>
                <w:ilvl w:val="0"/>
                <w:numId w:val="0"/>
              </w:numPr>
              <w:rPr>
                <w:b w:val="0"/>
                <w:lang w:val="pt-PT"/>
              </w:rPr>
            </w:pPr>
            <w:r w:rsidRPr="00267766">
              <w:rPr>
                <w:lang w:val="pt-PT"/>
              </w:rPr>
              <w:t xml:space="preserve">Os preços do petróleo devem manter-se geralmente estáveis com uma média de USD103/bbl por dia em 2014, apenas 1 por cento abaixo da média de 2013. </w:t>
            </w:r>
            <w:r w:rsidRPr="00267766">
              <w:rPr>
                <w:b w:val="0"/>
                <w:lang w:val="pt-PT"/>
              </w:rPr>
              <w:t xml:space="preserve">Depois de atingirem os USD100/bbl no início de 201, pela primeira vez após a crise financeira de 2008, os preços do </w:t>
            </w:r>
            <w:r w:rsidRPr="00267766">
              <w:rPr>
                <w:b w:val="0"/>
                <w:i/>
                <w:lang w:val="pt-PT"/>
              </w:rPr>
              <w:t>crude</w:t>
            </w:r>
            <w:r w:rsidRPr="00267766">
              <w:rPr>
                <w:b w:val="0"/>
                <w:lang w:val="pt-PT"/>
              </w:rPr>
              <w:t xml:space="preserve"> têm flutuado dentro de uma estreita banda à volta dos USD105/bbl. O período 2011-2013 tem sido um dos menos voláteis triénios na história recente do mercado do petróleo. Prevê-se que o preço nominal do petróleo seja em média de USD103/bbl durante 2014 (baixando de USD104/bbl em 2013) e que baixe para USD100/bbl em 2015. A mais longo prazo, os preços em termos reais deverão cair, devido à crescente disponibilidade de petróleo não-convencional, ganhos de eficiência e (ainda que menos) a substituição do petróleo. A principal presunção subjacente a estas projecções reflecte o custo máximo do desenvolvimento de capacidade do petróleo das areias de óleo do Canadá, actualmente calculado em USD80/bbl em dólares constantes de 2014.</w:t>
            </w:r>
          </w:p>
          <w:p w:rsidR="00946D49" w:rsidRPr="00267766" w:rsidRDefault="00946D49" w:rsidP="0085133C">
            <w:pPr>
              <w:pStyle w:val="ParagraphNumbering"/>
              <w:numPr>
                <w:ilvl w:val="0"/>
                <w:numId w:val="0"/>
              </w:numPr>
              <w:rPr>
                <w:lang w:val="pt-PT"/>
              </w:rPr>
            </w:pPr>
          </w:p>
          <w:p w:rsidR="00946D49" w:rsidRPr="00267766" w:rsidRDefault="00946D49" w:rsidP="0085133C">
            <w:pPr>
              <w:pStyle w:val="ParagraphNumbering"/>
              <w:numPr>
                <w:ilvl w:val="0"/>
                <w:numId w:val="0"/>
              </w:numPr>
              <w:rPr>
                <w:b w:val="0"/>
                <w:color w:val="auto"/>
                <w:lang w:val="pt-PT"/>
              </w:rPr>
            </w:pPr>
            <w:r w:rsidRPr="00267766">
              <w:rPr>
                <w:lang w:val="pt-PT"/>
              </w:rPr>
              <w:t xml:space="preserve">A nível mundial, a procura do petróleo bruto deve crescer a menos de 1,5 por cento ao ano ao longo do período analisado, vindo o crescimento de países fora da OCDE, como tem sido o caso em anos recentes. </w:t>
            </w:r>
            <w:r w:rsidRPr="00267766">
              <w:rPr>
                <w:b w:val="0"/>
                <w:lang w:val="pt-PT"/>
              </w:rPr>
              <w:t xml:space="preserve">O crescimento do consumo nas economias da OCDE continuará moderado por um crescimento económico lento e melhorias de eficiência nos veículos de transporte, provocados pelos elevados preços – incluindo a troca por transportes híbridos, a gás natural e eléctricos. A pressão para reduzir emissões devido a preocupações ambientais deverá arrefecer o crescimento da procura a nível global. Do lado da oferta, prevê-se que a produção de petróleo não-OPEP deverá a continuar a sua progressão, pois os preços elevados têm accionado um aumento de técnicas inovadoras de exploração (incluindo a perfuração </w:t>
            </w:r>
            <w:r w:rsidRPr="00267766">
              <w:rPr>
                <w:b w:val="0"/>
                <w:i/>
                <w:lang w:val="pt-PT"/>
              </w:rPr>
              <w:t>offshore</w:t>
            </w:r>
            <w:r w:rsidRPr="00267766">
              <w:rPr>
                <w:b w:val="0"/>
                <w:lang w:val="pt-PT"/>
              </w:rPr>
              <w:t xml:space="preserve"> a grande profundidade e a extracção de </w:t>
            </w:r>
            <w:r w:rsidRPr="00267766">
              <w:rPr>
                <w:b w:val="0"/>
                <w:color w:val="auto"/>
                <w:lang w:val="pt-PT"/>
              </w:rPr>
              <w:t>óleo de xisto) e</w:t>
            </w:r>
            <w:r w:rsidRPr="00267766">
              <w:rPr>
                <w:b w:val="0"/>
                <w:color w:val="FF0000"/>
                <w:lang w:val="pt-PT"/>
              </w:rPr>
              <w:t xml:space="preserve"> </w:t>
            </w:r>
            <w:r w:rsidRPr="00267766">
              <w:rPr>
                <w:b w:val="0"/>
                <w:color w:val="auto"/>
                <w:lang w:val="pt-PT"/>
              </w:rPr>
              <w:t>a implementação de novas tecnologias extractivas para aumentar a produção dos poços existentes. Por último, os preços do gás natural (nos EUA) e de carvão deverão manter-se baixos em relação ao petróleo bruto, bem como os preços do gás natural europeu e japonês. Espera-se que ocorra alguma convergência de preços, mas a sua rapidez dependerá de diversos factores, incluindo o desenvolvimento de fornecimentos não convencionais de petróleo fora dos E.U., a construção de instalações de GLN e de gasodutos, a deslocalização de indústrias de uso intensivo de energia para os EUA, substituição por carvão, e políticas.</w:t>
            </w:r>
          </w:p>
          <w:p w:rsidR="00946D49" w:rsidRPr="006C34E6" w:rsidRDefault="00946D49" w:rsidP="00946D49">
            <w:pPr>
              <w:ind w:left="-360"/>
              <w:rPr>
                <w:rFonts w:asciiTheme="minorHAnsi" w:hAnsiTheme="minorHAnsi" w:cstheme="minorHAnsi"/>
                <w:b w:val="0"/>
                <w:bCs w:val="0"/>
                <w:color w:val="auto"/>
                <w:sz w:val="18"/>
                <w:szCs w:val="18"/>
                <w:lang w:val="pt-PT"/>
              </w:rPr>
            </w:pPr>
            <w:r w:rsidRPr="006C34E6">
              <w:rPr>
                <w:rFonts w:asciiTheme="minorHAnsi" w:hAnsiTheme="minorHAnsi"/>
                <w:color w:val="808080" w:themeColor="background1" w:themeShade="80"/>
                <w:sz w:val="18"/>
                <w:szCs w:val="18"/>
                <w:lang w:val="pt-PT"/>
              </w:rPr>
              <w:t xml:space="preserve">    </w:t>
            </w:r>
          </w:p>
        </w:tc>
      </w:tr>
    </w:tbl>
    <w:p w:rsidR="00946D49" w:rsidRPr="006C34E6" w:rsidRDefault="00946D49" w:rsidP="0085133C">
      <w:pPr>
        <w:pStyle w:val="ParagraphNumbering"/>
        <w:numPr>
          <w:ilvl w:val="0"/>
          <w:numId w:val="0"/>
        </w:numPr>
        <w:rPr>
          <w:lang w:val="pt-PT"/>
        </w:rPr>
      </w:pPr>
    </w:p>
    <w:p w:rsidR="00946D49" w:rsidRPr="006C34E6" w:rsidRDefault="00946D49" w:rsidP="0085133C">
      <w:pPr>
        <w:pStyle w:val="ParagraphNumbering"/>
        <w:rPr>
          <w:lang w:val="pt-PT"/>
        </w:rPr>
      </w:pPr>
      <w:r w:rsidRPr="0085133C">
        <w:rPr>
          <w:lang w:val="pt-PT"/>
        </w:rPr>
        <w:t>Em 2014, o défice orçamental de Angola deverá ser igual a cerca de 0,9 por cento do PIB, bem abaixo dos 5 por cento previstos no orçamento do governo para 2014.</w:t>
      </w:r>
      <w:r w:rsidRPr="006C34E6">
        <w:rPr>
          <w:lang w:val="pt-PT"/>
        </w:rPr>
        <w:t xml:space="preserve"> A diferença deve-se às divergências </w:t>
      </w:r>
      <w:r w:rsidRPr="006C34E6">
        <w:rPr>
          <w:lang w:val="pt-PT"/>
        </w:rPr>
        <w:lastRenderedPageBreak/>
        <w:t>nas previsões dos preços do petróleo e da sua produção, sendo esta última baseada na média de anos recentes. Do lado da despesa, os gastos actuais deverão aumentar ao mesmo ritmo que o observado em 2013. Prevê-se que o investimento de capital de aumente gradualmente, atingindo cerca de 10 por cento do PIB em 2014. O AEU prevê um défice mais estreito da balança de transacções correntes, devido a uma conjugação de preços do petróleo mais elevados do que o esperado, em comparação com as previsões do orçamento de 2014 e a uma previsível subexecução das dotações orçamentais.</w:t>
      </w:r>
    </w:p>
    <w:p w:rsidR="00946D49" w:rsidRPr="006C34E6" w:rsidRDefault="00946D49" w:rsidP="0085133C">
      <w:pPr>
        <w:pStyle w:val="ParagraphNumbering"/>
        <w:numPr>
          <w:ilvl w:val="0"/>
          <w:numId w:val="0"/>
        </w:numPr>
        <w:rPr>
          <w:lang w:val="pt-PT"/>
        </w:rPr>
      </w:pPr>
    </w:p>
    <w:p w:rsidR="00946D49" w:rsidRPr="006C34E6" w:rsidRDefault="00946D49" w:rsidP="0085133C">
      <w:pPr>
        <w:pStyle w:val="ParagraphNumbering"/>
        <w:rPr>
          <w:lang w:val="pt-PT"/>
        </w:rPr>
      </w:pPr>
      <w:r w:rsidRPr="005E469D">
        <w:rPr>
          <w:b/>
          <w:lang w:val="pt-PT"/>
        </w:rPr>
        <w:t>Recentrar a despesa em investimentos de capital poderia influenciar positivamente as perspectivas económicas de Angola, mas só se a capacidade de execução puder ser aumentada e garantida a qualidade do investimento público.</w:t>
      </w:r>
      <w:r w:rsidRPr="006C34E6">
        <w:rPr>
          <w:lang w:val="pt-PT"/>
        </w:rPr>
        <w:t xml:space="preserve"> A situação do sistema de gestão do investimento público de Angola é apresentada na próxima secção. O défice de infra-estruturas do país e o seu histórico de baixas taxas de investimento público, indicam que é necessário um aumento sustentado do orçamento de capital para elevar a trajectória de crescimento, e reformas no investimento público poderiam aumentar grandemente o impacto de maiores despesas de capital.</w:t>
      </w:r>
    </w:p>
    <w:p w:rsidR="00946D49" w:rsidRPr="006C34E6" w:rsidRDefault="00946D49" w:rsidP="0085133C">
      <w:pPr>
        <w:pStyle w:val="ParagraphNumbering"/>
        <w:numPr>
          <w:ilvl w:val="0"/>
          <w:numId w:val="0"/>
        </w:numPr>
        <w:rPr>
          <w:lang w:val="pt-PT"/>
        </w:rPr>
      </w:pPr>
    </w:p>
    <w:p w:rsidR="00946D49" w:rsidRPr="006C34E6" w:rsidRDefault="00946D49" w:rsidP="0085133C">
      <w:pPr>
        <w:pStyle w:val="ParagraphNumbering"/>
        <w:rPr>
          <w:lang w:val="pt-PT"/>
        </w:rPr>
      </w:pPr>
      <w:r w:rsidRPr="006C34E6">
        <w:rPr>
          <w:b/>
          <w:lang w:val="pt-PT"/>
        </w:rPr>
        <w:t xml:space="preserve">Houve também recentes e importantes desenvolvimentos na política social e comercial. </w:t>
      </w:r>
      <w:r w:rsidRPr="006C34E6">
        <w:rPr>
          <w:lang w:val="pt-PT"/>
        </w:rPr>
        <w:t>Uma nova ronda de reformas fiscais está actualmente em discussão na Assembleia Nacional e diz-se que as autoridades estão a trabalhar num plano para reduzir os subsídios ao sector da energia.</w:t>
      </w:r>
      <w:r w:rsidRPr="006C34E6">
        <w:rPr>
          <w:rStyle w:val="FootnoteReference"/>
          <w:rFonts w:cs="Times New Roman"/>
          <w:noProof w:val="0"/>
          <w:szCs w:val="22"/>
          <w:lang w:val="pt-PT"/>
        </w:rPr>
        <w:footnoteReference w:id="16"/>
      </w:r>
      <w:r w:rsidRPr="006C34E6">
        <w:rPr>
          <w:lang w:val="pt-PT"/>
        </w:rPr>
        <w:t xml:space="preserve"> Embora não se saibam os pormenores das novas políticas de taxas e subsídios, se forem adequadamente desenhadas estas reformas poderão simultaneamente aumentar a eficiência da despesa pública e reduzir a dependência de Angola do seu sector de petróleo. Por último, em Março 2013, foi introduzida uma nova pauta de tarifas de importação.</w:t>
      </w:r>
      <w:r w:rsidRPr="006C34E6">
        <w:rPr>
          <w:rStyle w:val="FootnoteReference"/>
          <w:rFonts w:cs="Times New Roman"/>
          <w:noProof w:val="0"/>
          <w:szCs w:val="22"/>
          <w:lang w:val="pt-PT"/>
        </w:rPr>
        <w:footnoteReference w:id="17"/>
      </w:r>
      <w:r w:rsidRPr="006C34E6">
        <w:rPr>
          <w:lang w:val="pt-PT"/>
        </w:rPr>
        <w:t xml:space="preserve"> Esta nova pauta aduaneira deverá aumentar a receita, elevando as taxas aduaneiras obre alguns bens agrícolas e matéria primas, mas por afectar negativamente o crescimento do PIB e/ou pressionar a subida da inflação, pois os produtores internos terão de se ajustar a novos preços de importação e tarifas mais elevadas poderão eventualmente elevar os custos dos produtos intermédios.</w:t>
      </w:r>
    </w:p>
    <w:p w:rsidR="00946D49" w:rsidRPr="006C34E6" w:rsidRDefault="00946D49" w:rsidP="0085133C">
      <w:pPr>
        <w:pStyle w:val="ParagraphNumbering"/>
        <w:numPr>
          <w:ilvl w:val="0"/>
          <w:numId w:val="0"/>
        </w:numPr>
        <w:rPr>
          <w:lang w:val="pt-PT"/>
        </w:rPr>
      </w:pPr>
    </w:p>
    <w:p w:rsidR="00946D49" w:rsidRPr="006C34E6" w:rsidRDefault="00946D49" w:rsidP="0085133C">
      <w:pPr>
        <w:pStyle w:val="ParagraphNumbering"/>
        <w:rPr>
          <w:lang w:val="pt-PT"/>
        </w:rPr>
      </w:pPr>
      <w:r w:rsidRPr="005E469D">
        <w:rPr>
          <w:b/>
          <w:lang w:val="pt-PT"/>
        </w:rPr>
        <w:t>Apesar das tarifas mais elevadas em certos bens importados, prevê-se que em 2014 as importações continuem a crescer, impulsionadas pela expansão orçamental prevista pelo governo</w:t>
      </w:r>
      <w:r w:rsidRPr="0085133C">
        <w:rPr>
          <w:lang w:val="pt-PT"/>
        </w:rPr>
        <w:t>.</w:t>
      </w:r>
      <w:r w:rsidRPr="006C34E6">
        <w:rPr>
          <w:lang w:val="pt-PT"/>
        </w:rPr>
        <w:t xml:space="preserve"> As projecções para 2014 sugerem uma redução do actual excedente da conta corrente, pois o crescimento das importações deverá exceder o crescimento das exportações. Com um continuado declínio dos preços do petróleo, diminuindo o impacto da subida da produção, as exportações deverão atingir cerca de 52,7 por cento do PIB em 2014. O novo tarifário não deverá reduzir grandemente as importações em 2014, mas pode fazer baixar a projectada redução da inflação.</w:t>
      </w:r>
    </w:p>
    <w:p w:rsidR="00946D49" w:rsidRPr="006C34E6" w:rsidRDefault="00946D49" w:rsidP="0085133C">
      <w:pPr>
        <w:pStyle w:val="ListParagraph"/>
        <w:rPr>
          <w:lang w:val="pt-PT"/>
        </w:rPr>
      </w:pPr>
    </w:p>
    <w:p w:rsidR="00946D49" w:rsidRPr="006C34E6" w:rsidRDefault="00946D49" w:rsidP="0085133C">
      <w:pPr>
        <w:pStyle w:val="ParagraphNumbering"/>
        <w:rPr>
          <w:lang w:val="pt-PT"/>
        </w:rPr>
      </w:pPr>
      <w:r w:rsidRPr="006C34E6">
        <w:rPr>
          <w:b/>
          <w:lang w:val="pt-PT"/>
        </w:rPr>
        <w:t xml:space="preserve">A inflação deve continuar em descida. </w:t>
      </w:r>
      <w:r w:rsidRPr="006C34E6">
        <w:rPr>
          <w:lang w:val="pt-PT"/>
        </w:rPr>
        <w:t>Prevê-se que a taxa média de inflação possa descer para 7,7 por cento em 2014, com a quebra nos preços da agricultura. Os riscos inflacionários estão associados principalmente à prevista expansão orçamental, pois os novos investimentos não se traduzirão imediatamente em aumento de oferta. For razões similares, a recente introdução de uma nova tabela de tarifas de importação poderá dar um impulso um impulso à inflação, como referido acima. A recente Lei Cambial Petrolífera pode gerar adicionais pressões inflacionistas, pois o aumento da liquidez poderá encorajar os bancos comerciais a darem crédito a projectos de mais alto risco.</w:t>
      </w:r>
    </w:p>
    <w:p w:rsidR="00946D49" w:rsidRPr="006C34E6" w:rsidRDefault="00946D49" w:rsidP="0085133C">
      <w:pPr>
        <w:pStyle w:val="ParagraphNumbering"/>
        <w:numPr>
          <w:ilvl w:val="0"/>
          <w:numId w:val="0"/>
        </w:numPr>
        <w:rPr>
          <w:lang w:val="pt-PT"/>
        </w:rPr>
      </w:pPr>
    </w:p>
    <w:p w:rsidR="00946D49" w:rsidRPr="006C34E6" w:rsidRDefault="00946D49" w:rsidP="00946D49">
      <w:pPr>
        <w:pStyle w:val="ListParagraph"/>
        <w:rPr>
          <w:lang w:val="pt-PT"/>
        </w:rPr>
      </w:pPr>
    </w:p>
    <w:p w:rsidR="00946D49" w:rsidRPr="006C34E6" w:rsidRDefault="00946D49" w:rsidP="009010DA">
      <w:pPr>
        <w:pStyle w:val="Heading1"/>
        <w:numPr>
          <w:ilvl w:val="0"/>
          <w:numId w:val="0"/>
        </w:numPr>
        <w:ind w:left="360"/>
        <w:rPr>
          <w:sz w:val="22"/>
          <w:szCs w:val="18"/>
          <w:lang w:val="pt-PT"/>
        </w:rPr>
      </w:pPr>
      <w:r w:rsidRPr="006C34E6">
        <w:rPr>
          <w:lang w:val="pt-PT"/>
        </w:rPr>
        <w:br w:type="page"/>
      </w:r>
      <w:bookmarkStart w:id="91" w:name="_Toc387169370"/>
      <w:bookmarkStart w:id="92" w:name="_Toc391261704"/>
      <w:r w:rsidRPr="006C34E6">
        <w:rPr>
          <w:lang w:val="pt-PT"/>
        </w:rPr>
        <w:lastRenderedPageBreak/>
        <w:t>SECÇÃO DE ENFOQUE ESPECIAL: VALORIZAR A GESTÃO DO INVESTIMENTO PÚBLICO</w:t>
      </w:r>
      <w:bookmarkEnd w:id="91"/>
      <w:bookmarkEnd w:id="92"/>
    </w:p>
    <w:p w:rsidR="00946D49" w:rsidRPr="006C34E6" w:rsidRDefault="0026323F" w:rsidP="00946D49">
      <w:pPr>
        <w:pStyle w:val="NoSpacing"/>
        <w:rPr>
          <w:lang w:val="pt-PT"/>
        </w:rPr>
      </w:pPr>
      <w:r>
        <w:rPr>
          <w:noProof/>
          <w:lang w:val="en-US"/>
        </w:rPr>
        <mc:AlternateContent>
          <mc:Choice Requires="wps">
            <w:drawing>
              <wp:anchor distT="0" distB="0" distL="114300" distR="114300" simplePos="0" relativeHeight="251699200" behindDoc="0" locked="0" layoutInCell="1" allowOverlap="1" wp14:anchorId="0F561769" wp14:editId="74CCD87B">
                <wp:simplePos x="0" y="0"/>
                <wp:positionH relativeFrom="column">
                  <wp:posOffset>96520</wp:posOffset>
                </wp:positionH>
                <wp:positionV relativeFrom="paragraph">
                  <wp:posOffset>60325</wp:posOffset>
                </wp:positionV>
                <wp:extent cx="909320" cy="146685"/>
                <wp:effectExtent l="0" t="0" r="5080" b="5715"/>
                <wp:wrapNone/>
                <wp:docPr id="30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146685"/>
                        </a:xfrm>
                        <a:prstGeom prst="rect">
                          <a:avLst/>
                        </a:prstGeom>
                        <a:gradFill rotWithShape="1">
                          <a:gsLst>
                            <a:gs pos="60000">
                              <a:schemeClr val="bg1">
                                <a:lumMod val="75000"/>
                                <a:lumOff val="0"/>
                              </a:schemeClr>
                            </a:gs>
                            <a:gs pos="100000">
                              <a:schemeClr val="bg1">
                                <a:lumMod val="50000"/>
                              </a:schemeClr>
                            </a:gs>
                          </a:gsLst>
                          <a:lin ang="5400000" scaled="1"/>
                        </a:gra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7.6pt;margin-top:4.75pt;width:71.6pt;height:11.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" fillcolor="#bfbfbf [2412]" stroked="f">
                <v:fill color2="#7f7f7f [1612]" rotate="t" colors="0 #bfbfbf;39322f #bfbfbf" focus="100%" type="gradient"/>
              </v:rect>
            </w:pict>
          </mc:Fallback>
        </mc:AlternateContent>
      </w:r>
      <w:r>
        <w:rPr>
          <w:noProof/>
          <w:lang w:val="en-US"/>
        </w:rPr>
        <mc:AlternateContent>
          <mc:Choice Requires="wps">
            <w:drawing>
              <wp:anchor distT="0" distB="0" distL="114300" distR="114300" simplePos="0" relativeHeight="251698176" behindDoc="0" locked="0" layoutInCell="1" allowOverlap="1" wp14:anchorId="7199CF81" wp14:editId="34BA8C90">
                <wp:simplePos x="0" y="0"/>
                <wp:positionH relativeFrom="column">
                  <wp:posOffset>1111250</wp:posOffset>
                </wp:positionH>
                <wp:positionV relativeFrom="paragraph">
                  <wp:posOffset>61595</wp:posOffset>
                </wp:positionV>
                <wp:extent cx="5186045" cy="146685"/>
                <wp:effectExtent l="0" t="0" r="0" b="5715"/>
                <wp:wrapNone/>
                <wp:docPr id="30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6045" cy="146685"/>
                        </a:xfrm>
                        <a:prstGeom prst="rect">
                          <a:avLst/>
                        </a:prstGeom>
                        <a:gradFill>
                          <a:gsLst>
                            <a:gs pos="70000">
                              <a:schemeClr val="accent2">
                                <a:lumMod val="75000"/>
                              </a:schemeClr>
                            </a:gs>
                            <a:gs pos="100000">
                              <a:schemeClr val="accent2">
                                <a:lumMod val="50000"/>
                              </a:schemeClr>
                            </a:gs>
                          </a:gsLst>
                          <a:lin ang="5400000" scaled="0"/>
                        </a:gra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87.5pt;margin-top:4.85pt;width:408.35pt;height:11.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" fillcolor="#943634 [2405]" stroked="f">
                <v:fill color2="#622423 [1605]" colors="0 #953735;45875f #953735" focus="100%" type="gradient">
                  <o:fill v:ext="view" type="gradientUnscaled"/>
                </v:fill>
              </v:rect>
            </w:pict>
          </mc:Fallback>
        </mc:AlternateContent>
      </w:r>
    </w:p>
    <w:p w:rsidR="00946D49" w:rsidRPr="006C34E6" w:rsidRDefault="00946D49" w:rsidP="00946D49">
      <w:pPr>
        <w:pStyle w:val="NoSpacing"/>
        <w:rPr>
          <w:lang w:val="pt-PT"/>
        </w:rPr>
      </w:pPr>
    </w:p>
    <w:p w:rsidR="00946D49" w:rsidRPr="006C34E6" w:rsidRDefault="00946D49" w:rsidP="00946D49">
      <w:pPr>
        <w:pStyle w:val="NoSpacing"/>
        <w:rPr>
          <w:lang w:val="pt-PT"/>
        </w:rPr>
      </w:pPr>
    </w:p>
    <w:p w:rsidR="00946D49" w:rsidRPr="006C34E6" w:rsidRDefault="00946D49" w:rsidP="00946D49">
      <w:pPr>
        <w:pStyle w:val="Heading2"/>
        <w:rPr>
          <w:sz w:val="28"/>
          <w:szCs w:val="28"/>
          <w:lang w:val="pt-PT"/>
        </w:rPr>
      </w:pPr>
      <w:bookmarkStart w:id="93" w:name="_Toc387169371"/>
      <w:bookmarkStart w:id="94" w:name="_Toc391261705"/>
      <w:r w:rsidRPr="006C34E6">
        <w:rPr>
          <w:sz w:val="28"/>
          <w:szCs w:val="28"/>
          <w:lang w:val="pt-PT"/>
        </w:rPr>
        <w:t>Introdu</w:t>
      </w:r>
      <w:bookmarkEnd w:id="93"/>
      <w:r w:rsidRPr="006C34E6">
        <w:rPr>
          <w:sz w:val="28"/>
          <w:szCs w:val="28"/>
          <w:lang w:val="pt-PT"/>
        </w:rPr>
        <w:t>ção</w:t>
      </w:r>
      <w:bookmarkEnd w:id="94"/>
    </w:p>
    <w:p w:rsidR="00946D49" w:rsidRPr="006C34E6" w:rsidRDefault="00946D49" w:rsidP="00946D49">
      <w:pPr>
        <w:rPr>
          <w:rFonts w:cs="Times New Roman"/>
          <w:lang w:val="pt-PT"/>
        </w:rPr>
      </w:pPr>
    </w:p>
    <w:p w:rsidR="00946D49" w:rsidRPr="006C34E6" w:rsidRDefault="00946D49" w:rsidP="0085133C">
      <w:pPr>
        <w:pStyle w:val="ParagraphNumbering"/>
        <w:rPr>
          <w:rFonts w:cs="Times New Roman"/>
          <w:lang w:val="pt-PT"/>
        </w:rPr>
      </w:pPr>
      <w:r w:rsidRPr="0085133C">
        <w:rPr>
          <w:b/>
          <w:lang w:val="pt-PT"/>
        </w:rPr>
        <w:t>Angola atingiu um ponto de viragem crítico no seu desenvolvimento e a gestão do investimento público (GIP) desempenhará um papel fulcral no futuro do país.</w:t>
      </w:r>
      <w:r w:rsidRPr="006C34E6">
        <w:rPr>
          <w:lang w:val="pt-PT"/>
        </w:rPr>
        <w:t xml:space="preserve"> O défice de infra-estruturas de Angola é um impedimento importante para o crescimento económico, dificultando a diversificação e desencorajando o investimento privado fora do sector dos recursos naturais. Neste contexto, o actual influxo das receitas do petróleo oferece aos decisores políticos uma enorme oportunidade, pois um investimento responsável das rendas dos seus recursos poderia permitir mobilizar o capital público necessário para elevar definitivamente a sua trajectória de crescimento. Para aproveitar esta oportunidade, o governo terá de ultrapassar uma série de desafios macroeconómicos, incluindo o efeito de distorção das indústrias extractivas e a crescente dependência do país de exportações voláteis, bem como resolver as persistentes fraquezas estruturais no quadro legal e administrativo do sistema GIP.</w:t>
      </w:r>
    </w:p>
    <w:p w:rsidR="00946D49" w:rsidRPr="006C34E6" w:rsidRDefault="00946D49" w:rsidP="0085133C">
      <w:pPr>
        <w:pStyle w:val="ParagraphNumbering"/>
        <w:numPr>
          <w:ilvl w:val="0"/>
          <w:numId w:val="0"/>
        </w:numPr>
        <w:rPr>
          <w:lang w:val="pt-PT"/>
        </w:rPr>
      </w:pPr>
    </w:p>
    <w:p w:rsidR="00946D49" w:rsidRPr="006C34E6" w:rsidRDefault="00946D49" w:rsidP="0085133C">
      <w:pPr>
        <w:pStyle w:val="ParagraphNumbering"/>
        <w:rPr>
          <w:rFonts w:cs="Times New Roman"/>
          <w:lang w:val="pt-PT"/>
        </w:rPr>
      </w:pPr>
      <w:r w:rsidRPr="0085133C">
        <w:rPr>
          <w:b/>
          <w:lang w:val="pt-PT"/>
        </w:rPr>
        <w:t xml:space="preserve">Para alavancar de forma eficaz as suas reservas de petróleo e construir uma base de crescimento sustentável e de base alargada, o governo precisa de transformar o seu </w:t>
      </w:r>
      <w:r w:rsidRPr="0085133C">
        <w:rPr>
          <w:b/>
          <w:i/>
          <w:lang w:val="pt-PT"/>
        </w:rPr>
        <w:t>stock</w:t>
      </w:r>
      <w:r w:rsidRPr="0085133C">
        <w:rPr>
          <w:b/>
          <w:lang w:val="pt-PT"/>
        </w:rPr>
        <w:t xml:space="preserve"> esgotável de riqueza natural em capital físico e humano que se possa reproduzir.</w:t>
      </w:r>
      <w:r w:rsidRPr="006C34E6">
        <w:rPr>
          <w:lang w:val="pt-PT"/>
        </w:rPr>
        <w:t xml:space="preserve"> A taxa de investimento público de Angola é baixa, pelos padrões de países comparáveis, e estabelecer condições de crescimento duradouro no sector real</w:t>
      </w:r>
      <w:r w:rsidRPr="006C34E6">
        <w:rPr>
          <w:color w:val="FF0000"/>
          <w:lang w:val="pt-PT"/>
        </w:rPr>
        <w:t xml:space="preserve"> </w:t>
      </w:r>
      <w:r w:rsidRPr="006C34E6">
        <w:rPr>
          <w:color w:val="auto"/>
          <w:lang w:val="pt-PT"/>
        </w:rPr>
        <w:t>necessitará um alargamento sustentado de investimento público – as primeiras fases do qual já se iniciaram. No entanto, o sucesso a longo prazo destes esforços dependerá da eficiência e integridade dos sistemas GIP (Gestão do Investimento Público) Se o governo não puder assegurar um retorno adequado no investimento público, corre o risco de que esse aumento de despesa seja ineficaz e até mesmo contraprodutivo.</w:t>
      </w:r>
    </w:p>
    <w:p w:rsidR="00946D49" w:rsidRPr="006C34E6" w:rsidRDefault="00946D49" w:rsidP="00946D49">
      <w:pPr>
        <w:pStyle w:val="ListParagraph"/>
        <w:rPr>
          <w:rFonts w:cs="Times New Roman"/>
          <w:lang w:val="pt-PT"/>
        </w:rPr>
      </w:pPr>
    </w:p>
    <w:p w:rsidR="00946D49" w:rsidRPr="006C34E6" w:rsidRDefault="00946D49" w:rsidP="0085133C">
      <w:pPr>
        <w:pStyle w:val="ParagraphNumbering"/>
        <w:rPr>
          <w:lang w:val="pt-PT"/>
        </w:rPr>
      </w:pPr>
      <w:r w:rsidRPr="0085133C">
        <w:rPr>
          <w:b/>
          <w:lang w:val="pt-PT"/>
        </w:rPr>
        <w:t>O governo angolano tem feito consideráveis esforços para melhorar a qualidade dos sistemas GIP e alavancar investimento para impulsionar o crescimento do país e os objectivos de redução da pobreza.</w:t>
      </w:r>
      <w:r w:rsidRPr="006C34E6">
        <w:rPr>
          <w:lang w:val="pt-PT"/>
        </w:rPr>
        <w:t xml:space="preserve"> Os decisores públicos têm conseguido alguns louváveis êxitos nesta área, incluindo um maior cumprimento das regras de administração do orçamento, contabilidade e supervisão dos investimentos públicos, práticas de contratação e aquisição, e procedimentos de investimento, e a actual administração assume o seu compromisso em continuar com o processo de reforma da GIP. Entretanto, os anteriores esforços de reforma apresentaram resultados mistos e o sistema GIP de Angola não é ainda suficientemente forte para assegurar que projectos financiados por dinheiros públicos são adequadamente seleccionados, eficientemente implementados, conscienciosamente monitorizados e profundamente analisados. </w:t>
      </w:r>
    </w:p>
    <w:p w:rsidR="00946D49" w:rsidRPr="006C34E6" w:rsidRDefault="00946D49" w:rsidP="00946D49">
      <w:pPr>
        <w:pStyle w:val="ListParagraph"/>
        <w:rPr>
          <w:rFonts w:cs="Times New Roman"/>
          <w:lang w:val="pt-PT"/>
        </w:rPr>
      </w:pPr>
    </w:p>
    <w:p w:rsidR="00946D49" w:rsidRPr="006C34E6" w:rsidRDefault="00946D49" w:rsidP="0085133C">
      <w:pPr>
        <w:pStyle w:val="ParagraphNumbering"/>
        <w:rPr>
          <w:lang w:val="pt-PT"/>
        </w:rPr>
      </w:pPr>
      <w:r w:rsidRPr="0085133C">
        <w:rPr>
          <w:b/>
          <w:lang w:val="pt-PT"/>
        </w:rPr>
        <w:t>Neste contexto, a próxima Secção sobre Enfoque Especial, examina desenvolvimentos recentes em reforma da GIP e destaca áreas em que há ainda mais a fazer, para maximizar o valor do aumento de investimento público.</w:t>
      </w:r>
      <w:r w:rsidRPr="006C34E6">
        <w:rPr>
          <w:lang w:val="pt-PT"/>
        </w:rPr>
        <w:t xml:space="preserve"> Esta análise e as suas conclusões foram concebidas para apoiar a agenda de reformas GIP das autoridades e fazer avançar o diálogo entre o governo, os seus parceiros de desenvolvimento e os muitos intervenientes internacionais interessados nesta área essencial da política de desenvolvimento.</w:t>
      </w:r>
    </w:p>
    <w:p w:rsidR="00946D49" w:rsidRPr="006C34E6" w:rsidRDefault="00946D49" w:rsidP="00946D49">
      <w:pPr>
        <w:pStyle w:val="ListParagraph"/>
        <w:rPr>
          <w:lang w:val="pt-PT"/>
        </w:rPr>
      </w:pPr>
    </w:p>
    <w:p w:rsidR="00946D49" w:rsidRPr="006C34E6" w:rsidRDefault="00946D49" w:rsidP="00946D49">
      <w:pPr>
        <w:spacing w:line="276" w:lineRule="auto"/>
        <w:rPr>
          <w:rFonts w:cs="Times New Roman"/>
          <w:lang w:val="pt-PT"/>
        </w:rPr>
      </w:pPr>
    </w:p>
    <w:p w:rsidR="00946D49" w:rsidRPr="006C34E6" w:rsidRDefault="00946D49" w:rsidP="00946D49">
      <w:pPr>
        <w:pStyle w:val="Heading2"/>
        <w:spacing w:line="276" w:lineRule="auto"/>
        <w:rPr>
          <w:sz w:val="28"/>
          <w:szCs w:val="28"/>
          <w:lang w:val="pt-PT"/>
        </w:rPr>
      </w:pPr>
      <w:bookmarkStart w:id="95" w:name="_Toc387169372"/>
      <w:bookmarkStart w:id="96" w:name="_Toc391261706"/>
      <w:r w:rsidRPr="006C34E6">
        <w:rPr>
          <w:sz w:val="28"/>
          <w:szCs w:val="28"/>
          <w:lang w:val="pt-PT"/>
        </w:rPr>
        <w:lastRenderedPageBreak/>
        <w:t>Aumentar o Investimento Público e Melhorar a Qualidade do Investimento</w:t>
      </w:r>
      <w:bookmarkEnd w:id="95"/>
      <w:bookmarkEnd w:id="96"/>
    </w:p>
    <w:p w:rsidR="00946D49" w:rsidRPr="006C34E6" w:rsidRDefault="00946D49" w:rsidP="00946D49">
      <w:pPr>
        <w:spacing w:line="276" w:lineRule="auto"/>
        <w:rPr>
          <w:rFonts w:cs="Times New Roman"/>
          <w:lang w:val="pt-PT"/>
        </w:rPr>
      </w:pPr>
    </w:p>
    <w:p w:rsidR="00946D49" w:rsidRPr="006C34E6" w:rsidRDefault="00946D49" w:rsidP="0085133C">
      <w:pPr>
        <w:pStyle w:val="ParagraphNumbering"/>
        <w:rPr>
          <w:lang w:val="pt-PT"/>
        </w:rPr>
      </w:pPr>
      <w:r w:rsidRPr="0085133C">
        <w:rPr>
          <w:b/>
          <w:lang w:val="pt-PT"/>
        </w:rPr>
        <w:t>A qualidade das infra-estruturas públicas de um país exerce uma enorme influência no crescimento e competitividade da sua economia.</w:t>
      </w:r>
      <w:r w:rsidRPr="006C34E6">
        <w:rPr>
          <w:lang w:val="pt-PT"/>
        </w:rPr>
        <w:t xml:space="preserve"> O investimento público tem um impacto directo na economia, canalizando recursos para a produção de novo capital público, e também estimula o crescimento, indirectamente, aumentando os retornos dos factores privados de produção.</w:t>
      </w:r>
      <w:r w:rsidRPr="006C34E6">
        <w:rPr>
          <w:rStyle w:val="FootnoteReference"/>
          <w:rFonts w:cs="Times New Roman"/>
          <w:noProof w:val="0"/>
          <w:lang w:val="pt-PT"/>
        </w:rPr>
        <w:footnoteReference w:id="18"/>
      </w:r>
      <w:r w:rsidRPr="006C34E6">
        <w:rPr>
          <w:lang w:val="pt-PT"/>
        </w:rPr>
        <w:t xml:space="preserve"> O primeiro efeito é imediato, mas temporário; quando começa a implementação de um novo projecto de investimento, é gerado um aumento de emprego e da procura da construção e outros sectores que contribuem para o projecto, mas uma vez completado o projecto, essas dinâmicas praticamente esgotam-se. O segundo, pelo contrário, produz um impacto duradouro na competitividade do sector privado e acelera o desenvolvimento a longo prazo da economia. À medida que cresce a disponibilidade de infra-estruturas, o acesso aos transportes e redes de serviço público alarga reduzindo o custo de fazer negócios e abrindo novas oportunidades de investimento privado, emprego e geração de rendimentos.</w:t>
      </w:r>
    </w:p>
    <w:p w:rsidR="00946D49" w:rsidRPr="006C34E6" w:rsidRDefault="00946D49" w:rsidP="0085133C">
      <w:pPr>
        <w:pStyle w:val="ParagraphNumbering"/>
        <w:numPr>
          <w:ilvl w:val="0"/>
          <w:numId w:val="0"/>
        </w:numPr>
        <w:rPr>
          <w:lang w:val="pt-PT"/>
        </w:rPr>
      </w:pPr>
    </w:p>
    <w:p w:rsidR="00946D49" w:rsidRPr="006C34E6" w:rsidRDefault="00946D49" w:rsidP="0085133C">
      <w:pPr>
        <w:pStyle w:val="ParagraphNumbering"/>
        <w:rPr>
          <w:lang w:val="pt-PT"/>
        </w:rPr>
      </w:pPr>
      <w:r w:rsidRPr="006C34E6">
        <w:rPr>
          <w:b/>
          <w:lang w:val="pt-PT"/>
        </w:rPr>
        <w:t xml:space="preserve">É importante distinguir entre os efeitos económicos públicos e privados, dos investimentos em infra-estruturas. </w:t>
      </w:r>
      <w:r w:rsidRPr="006C34E6">
        <w:rPr>
          <w:lang w:val="pt-PT"/>
        </w:rPr>
        <w:t>O impacto directo do investimento público é essencialmente automático e depende grandemente do nível de gastos em investimento, enquanto o impacto indirecto é condicional ao valor das infra-estruturas resultantes e tem apenas uma limitada ligação ao montante despendido. O efeito indirecto do investimento público em competitividade e crescimento a longo prazo, é na realidade determinado pela qualidade da GIP – a medida em que o gasto em investimento é dirigido a projectos com alto valor económico e a eficiência técnica com que esses projectos são executados. Consequentemente, aumentar a qualidade da GIP pode aumentar permanentemente os retornos marginais dos gastos em investimento, e impulsionar os níveis de investimento, no contexto de um sistema GIP cada vez mais eficiente, pode ampliar grandemente o impacto da política fiscal sobre o crescimento económico. Inversamente, o custo de um sistema GIP fraco pode ser medido não apenas em termos de recursos desperdiçados em projectos mal escolhidos, ou ineficientemente implementado, mas também o custo de oportunidade perdida de melhorar a base de um crescimento económico mais robusto e duradouro.</w:t>
      </w:r>
    </w:p>
    <w:p w:rsidR="00946D49" w:rsidRPr="006C34E6" w:rsidRDefault="00946D49" w:rsidP="0085133C">
      <w:pPr>
        <w:pStyle w:val="ParagraphNumbering"/>
        <w:numPr>
          <w:ilvl w:val="0"/>
          <w:numId w:val="0"/>
        </w:numPr>
        <w:rPr>
          <w:lang w:val="pt-PT"/>
        </w:rPr>
      </w:pPr>
    </w:p>
    <w:p w:rsidR="00946D49" w:rsidRPr="006C34E6" w:rsidRDefault="00946D49" w:rsidP="0085133C">
      <w:pPr>
        <w:pStyle w:val="ParagraphNumbering"/>
        <w:rPr>
          <w:lang w:val="pt-PT"/>
        </w:rPr>
      </w:pPr>
      <w:r w:rsidRPr="0085133C">
        <w:rPr>
          <w:b/>
          <w:lang w:val="pt-PT"/>
        </w:rPr>
        <w:t>Resolver os desafios ao desenvolvimento, específicos a Angola, vai necessitar de uma combinação de gastos alargados em investimento público e de melhor qualidade de investimento.</w:t>
      </w:r>
      <w:r w:rsidRPr="006C34E6">
        <w:rPr>
          <w:lang w:val="pt-PT"/>
        </w:rPr>
        <w:t xml:space="preserve"> O sector privado está crescendo rapidamente, na passada de um sector petrolífero em ascensão, mas este modelo de crescimento é inerentemente insustentável e, como se nota acima, o horizonte temporal para a extracção de petróleo é relativamente curto. Entretanto, o crescimento do sector privado, fora das indústrias extractivas, está abaixo do seu potencial (Ver Secção II).</w:t>
      </w:r>
    </w:p>
    <w:p w:rsidR="00946D49" w:rsidRPr="006C34E6" w:rsidRDefault="00946D49" w:rsidP="00946D49">
      <w:pPr>
        <w:pStyle w:val="ListParagraph"/>
        <w:spacing w:line="276" w:lineRule="auto"/>
        <w:rPr>
          <w:rFonts w:cs="Times New Roman"/>
          <w:lang w:val="pt-PT"/>
        </w:rPr>
      </w:pPr>
    </w:p>
    <w:p w:rsidR="00946D49" w:rsidRPr="006C34E6" w:rsidRDefault="00946D49" w:rsidP="0085133C">
      <w:pPr>
        <w:pStyle w:val="ParagraphNumbering"/>
        <w:rPr>
          <w:lang w:val="pt-PT"/>
        </w:rPr>
      </w:pPr>
      <w:r w:rsidRPr="0085133C">
        <w:rPr>
          <w:b/>
          <w:lang w:val="pt-PT"/>
        </w:rPr>
        <w:t>Embora um sector privado, mais robusto e diversificado, seja de importância vital para o desenvolvimento do país, aumentar o investimento público oferece importantes vantagens imediatas.</w:t>
      </w:r>
      <w:r w:rsidRPr="006C34E6">
        <w:rPr>
          <w:lang w:val="pt-PT"/>
        </w:rPr>
        <w:t xml:space="preserve"> Um investimento maior pode ajudar a reforçar o emprego e a combater a pobreza, aliviando simultaneamente o estrangulamento de importantes infra-estruturas públicas.</w:t>
      </w:r>
      <w:r w:rsidRPr="006C34E6">
        <w:rPr>
          <w:rStyle w:val="FootnoteReference"/>
          <w:rFonts w:cs="Times New Roman"/>
          <w:noProof w:val="0"/>
          <w:lang w:val="pt-PT"/>
        </w:rPr>
        <w:footnoteReference w:id="19"/>
      </w:r>
      <w:r w:rsidRPr="006C34E6">
        <w:rPr>
          <w:lang w:val="pt-PT"/>
        </w:rPr>
        <w:t xml:space="preserve"> Além disso, a crescente importância da indústria petrolífera pode estar a distorcer o crescimento da economia no seu todo, e causar danos à competitividade de sectores não relacionados com as matérias-primas. Neste contexto, uma maior expansão do investimento público, pode tornar realidade os principais objectivos da política a curto prazo, mas melhorar a eficiência do processo de investimento pode fazer avançar significativamente os objectivos do governo para desenvolvimento a longo prazo.</w:t>
      </w:r>
    </w:p>
    <w:p w:rsidR="00946D49" w:rsidRPr="006C34E6" w:rsidRDefault="00946D49" w:rsidP="00946D49">
      <w:pPr>
        <w:spacing w:line="276" w:lineRule="auto"/>
        <w:rPr>
          <w:rFonts w:cs="Times New Roman"/>
          <w:lang w:val="pt-PT"/>
        </w:rPr>
      </w:pPr>
    </w:p>
    <w:p w:rsidR="00946D49" w:rsidRPr="006C34E6" w:rsidRDefault="00946D49" w:rsidP="0085133C">
      <w:pPr>
        <w:pStyle w:val="ParagraphNumbering"/>
        <w:rPr>
          <w:lang w:val="pt-PT"/>
        </w:rPr>
      </w:pPr>
      <w:r w:rsidRPr="0085133C">
        <w:rPr>
          <w:b/>
          <w:lang w:val="pt-PT"/>
        </w:rPr>
        <w:t xml:space="preserve">Graças à melhoria do clima externo, Angola tem agora suficiente margem orçamental para </w:t>
      </w:r>
      <w:r w:rsidRPr="0085133C">
        <w:rPr>
          <w:b/>
          <w:lang w:val="pt-PT"/>
        </w:rPr>
        <w:lastRenderedPageBreak/>
        <w:t>aumentar o investimento público sem desestabilizar as finanças públicas.</w:t>
      </w:r>
      <w:r w:rsidRPr="006C34E6">
        <w:rPr>
          <w:lang w:val="pt-PT"/>
        </w:rPr>
        <w:t xml:space="preserve"> Embora o financiamento externo tenha sido significativamente afectado pelas crises financeiras, global e da zona-euro, a estabilização dos mercados de capitais internacionais oferece actualmente ao governo bom acesso a financiamento em condições preferenciais. Apesar de um aumento extremamente agressivo em despesas de investimento poder originar riscos de declínio resultantes de choques de preços das matérias-primas,</w:t>
      </w:r>
      <w:r w:rsidRPr="006C34E6">
        <w:rPr>
          <w:rStyle w:val="FootnoteReference"/>
          <w:rFonts w:cs="Times New Roman"/>
          <w:noProof w:val="0"/>
          <w:lang w:val="pt-PT"/>
        </w:rPr>
        <w:footnoteReference w:id="20"/>
      </w:r>
      <w:r w:rsidRPr="006C34E6">
        <w:rPr>
          <w:lang w:val="pt-PT"/>
        </w:rPr>
        <w:t xml:space="preserve"> o significativo historial de poupança pública de Angola e encargo de dívida pública relativamente baixo – actualmente correspondente a cerca de 26,5 por cento do PIB – colocam Angola numa posição confortável para aumentar a despesa de investimento, no médio prazo.</w:t>
      </w:r>
    </w:p>
    <w:p w:rsidR="00946D49" w:rsidRPr="006C34E6" w:rsidRDefault="00946D49" w:rsidP="00946D49">
      <w:pPr>
        <w:spacing w:line="276" w:lineRule="auto"/>
        <w:rPr>
          <w:rFonts w:cs="Times New Roman"/>
          <w:b/>
          <w:lang w:val="pt-PT"/>
        </w:rPr>
      </w:pPr>
    </w:p>
    <w:p w:rsidR="00946D49" w:rsidRPr="006C34E6" w:rsidRDefault="00946D49" w:rsidP="0085133C">
      <w:pPr>
        <w:pStyle w:val="ParagraphNumbering"/>
        <w:rPr>
          <w:lang w:val="pt-PT"/>
        </w:rPr>
      </w:pPr>
      <w:r w:rsidRPr="0085133C">
        <w:rPr>
          <w:b/>
          <w:lang w:val="pt-PT"/>
        </w:rPr>
        <w:t>Entretanto, a expansão do investimento público sem adequada atenção à qualidade do investimento, pode ter consequências profundamente contraproducentes.</w:t>
      </w:r>
      <w:r w:rsidRPr="006C34E6">
        <w:rPr>
          <w:lang w:val="pt-PT"/>
        </w:rPr>
        <w:t xml:space="preserve"> Um grupo crescente de investigadores demonstra o elo crítico entre qualidade institucional e o impacto económico do investimento público. Um substancial investimento em infra-estruturas económicas é geralmente visto como um pré-requisito do desenvolvimento sustentável a longo prazo.</w:t>
      </w:r>
      <w:r w:rsidRPr="006C34E6">
        <w:rPr>
          <w:rStyle w:val="FootnoteReference"/>
          <w:rFonts w:cs="Times New Roman"/>
          <w:noProof w:val="0"/>
          <w:lang w:val="pt-PT"/>
        </w:rPr>
        <w:footnoteReference w:id="21"/>
      </w:r>
      <w:r w:rsidRPr="006C34E6">
        <w:rPr>
          <w:lang w:val="pt-PT"/>
        </w:rPr>
        <w:t xml:space="preserve"> Mas, aumentar o volume dos gastos em investimento público num contexto de fracos controlos financeiros e limitada supervisão, pode resultar no desperdício de recursos em projectos mal executados, de baixa qualidade, com escassos efeitos na trajectória macroeconómica do país. A relação entre a qualidade da GIP e o crescimento é tão forte, que em muitos países em desenvolvimento investir no processo de investimento é uma das mais produtivas aplicações dos recursos públicos.</w:t>
      </w:r>
      <w:r w:rsidRPr="006C34E6">
        <w:rPr>
          <w:rStyle w:val="FootnoteReference"/>
          <w:rFonts w:cs="Times New Roman"/>
          <w:noProof w:val="0"/>
          <w:lang w:val="pt-PT"/>
        </w:rPr>
        <w:footnoteReference w:id="22"/>
      </w:r>
      <w:r w:rsidRPr="006C34E6">
        <w:rPr>
          <w:lang w:val="pt-PT"/>
        </w:rPr>
        <w:t xml:space="preserve"> Isto é especialmente o caso de países em desenvolvimento ricos em recursos, onde a natureza das receitas públicas introduz uma volatilidade orçamental adicional e aumenta a urgência de medidas efectivas, para garantir transparência e responsabilização na gestão das finanças públicas.</w:t>
      </w:r>
      <w:r w:rsidRPr="006C34E6">
        <w:rPr>
          <w:rStyle w:val="FootnoteReference"/>
          <w:rFonts w:cs="Times New Roman"/>
          <w:noProof w:val="0"/>
          <w:lang w:val="pt-PT"/>
        </w:rPr>
        <w:footnoteReference w:id="23"/>
      </w:r>
      <w:r w:rsidRPr="006C34E6">
        <w:rPr>
          <w:lang w:val="pt-PT"/>
        </w:rPr>
        <w:t xml:space="preserve"> </w:t>
      </w:r>
    </w:p>
    <w:p w:rsidR="00946D49" w:rsidRPr="006C34E6" w:rsidRDefault="00946D49" w:rsidP="00946D49">
      <w:pPr>
        <w:pStyle w:val="ListParagraph"/>
        <w:spacing w:line="276" w:lineRule="auto"/>
        <w:rPr>
          <w:rFonts w:cs="Times New Roman"/>
          <w:sz w:val="16"/>
          <w:lang w:val="pt-PT"/>
        </w:rPr>
      </w:pPr>
    </w:p>
    <w:p w:rsidR="00946D49" w:rsidRPr="006C34E6" w:rsidRDefault="00946D49" w:rsidP="0085133C">
      <w:pPr>
        <w:pStyle w:val="ParagraphNumbering"/>
        <w:rPr>
          <w:lang w:val="pt-PT"/>
        </w:rPr>
      </w:pPr>
      <w:r w:rsidRPr="006C34E6">
        <w:rPr>
          <w:b/>
          <w:lang w:val="pt-PT"/>
        </w:rPr>
        <w:t xml:space="preserve">Consequentemente, o reforço dos sistemas GIP é um pré-requisito essencial para um alargar dos gastos de investimento. </w:t>
      </w:r>
      <w:r w:rsidRPr="006C34E6">
        <w:rPr>
          <w:lang w:val="pt-PT"/>
        </w:rPr>
        <w:t xml:space="preserve">Um importante primeiro passo, é rever o conjunto de processos através dos quais os projectos de investimento público são propostos, avaliados, aprovados e implementados. De acordo com o frequentemente citado trabalho de Rajaram et al. (2010), há oito componentes de um sistema GIP eficaz. São eles (i) orientação e selecção, (ii) avaliação formal do projecto, (iii) análise da avaliação, (iv) selecção do projecto e orçamentação, (v) implementação, (vi) ajustamento do projecto, (vii) conclusão e entrada em funcionamento, e (viii) avaliação </w:t>
      </w:r>
      <w:r w:rsidRPr="006C34E6">
        <w:rPr>
          <w:i/>
          <w:lang w:val="pt-PT"/>
        </w:rPr>
        <w:t>ex-post</w:t>
      </w:r>
      <w:r w:rsidRPr="006C34E6">
        <w:rPr>
          <w:lang w:val="pt-PT"/>
        </w:rPr>
        <w:t>. Num sistema GIP ideal, estas funções seriam claramente organizadas e distribuídas por vários ministérios e outros departamentos públicos.</w:t>
      </w:r>
      <w:r w:rsidRPr="006C34E6">
        <w:rPr>
          <w:b/>
          <w:lang w:val="pt-PT"/>
        </w:rPr>
        <w:t xml:space="preserve"> </w:t>
      </w:r>
      <w:r w:rsidRPr="006C34E6">
        <w:rPr>
          <w:lang w:val="pt-PT"/>
        </w:rPr>
        <w:t>No entanto, na prática, não é sempre assim e complicadas relações interfuncionais são uma causa importante de fraca GIP.</w:t>
      </w:r>
    </w:p>
    <w:p w:rsidR="00946D49" w:rsidRPr="006C34E6" w:rsidRDefault="00946D49" w:rsidP="00946D49">
      <w:pPr>
        <w:spacing w:line="276" w:lineRule="auto"/>
        <w:rPr>
          <w:rFonts w:cs="Times New Roman"/>
          <w:b/>
          <w:sz w:val="14"/>
          <w:lang w:val="pt-PT"/>
        </w:rPr>
      </w:pPr>
    </w:p>
    <w:p w:rsidR="00946D49" w:rsidRPr="006C34E6" w:rsidRDefault="00946D49" w:rsidP="00946D49">
      <w:pPr>
        <w:pStyle w:val="Heading2"/>
        <w:spacing w:line="276" w:lineRule="auto"/>
        <w:rPr>
          <w:sz w:val="28"/>
          <w:szCs w:val="28"/>
          <w:lang w:val="pt-PT"/>
        </w:rPr>
      </w:pPr>
      <w:bookmarkStart w:id="97" w:name="_Toc387169373"/>
      <w:bookmarkStart w:id="98" w:name="_Toc391261707"/>
      <w:r w:rsidRPr="006C34E6">
        <w:rPr>
          <w:sz w:val="28"/>
          <w:szCs w:val="28"/>
          <w:lang w:val="pt-PT"/>
        </w:rPr>
        <w:t>A Estrutura do Sistema GIP de Angola</w:t>
      </w:r>
      <w:bookmarkEnd w:id="97"/>
      <w:bookmarkEnd w:id="98"/>
    </w:p>
    <w:p w:rsidR="00946D49" w:rsidRPr="006C34E6" w:rsidRDefault="00946D49" w:rsidP="00946D49">
      <w:pPr>
        <w:pStyle w:val="ListParagraph"/>
        <w:spacing w:line="276" w:lineRule="auto"/>
        <w:ind w:firstLine="720"/>
        <w:rPr>
          <w:rFonts w:cs="Times New Roman"/>
          <w:b/>
          <w:sz w:val="10"/>
          <w:lang w:val="pt-PT"/>
        </w:rPr>
      </w:pPr>
    </w:p>
    <w:p w:rsidR="00946D49" w:rsidRPr="006C34E6" w:rsidRDefault="00946D49" w:rsidP="0085133C">
      <w:pPr>
        <w:pStyle w:val="ParagraphNumbering"/>
        <w:rPr>
          <w:lang w:val="pt-PT"/>
        </w:rPr>
      </w:pPr>
      <w:r w:rsidRPr="0085133C">
        <w:rPr>
          <w:b/>
          <w:lang w:val="pt-PT"/>
        </w:rPr>
        <w:t>Em Angola, a fragmentada divisão de responsabilidades para as funções principais do sistema GIP, o limitado poder de fiscalização da agência central GIP, reduzem grandemente a eficiência dos gastos de investimento.</w:t>
      </w:r>
      <w:r w:rsidRPr="006C34E6">
        <w:rPr>
          <w:lang w:val="pt-PT"/>
        </w:rPr>
        <w:t xml:space="preserve"> Os Projectos de Investimento Público são consolidados num plano plurianual de investimento conhecido como Programa de Investimento Público (PIP), que é administrado pela Direcção Nacional para o Investimento Público (DNIP), no Ministério do Planeamento e do Desenvolvimento Territorial. O PIP é o produto de um processo de reforma concebido para racionalizar o investimento público – que anteriormente era em larga medida descoordenado, com projectos aprovados, financiados e implementados numa   base </w:t>
      </w:r>
      <w:r w:rsidRPr="006C34E6">
        <w:rPr>
          <w:i/>
          <w:lang w:val="pt-PT"/>
        </w:rPr>
        <w:t>ad hoc</w:t>
      </w:r>
      <w:r w:rsidRPr="006C34E6">
        <w:rPr>
          <w:lang w:val="pt-PT"/>
        </w:rPr>
        <w:t xml:space="preserve"> – mas até à data estas reformas produziram apenas resultados irregulares e por vezes contraproducentes.</w:t>
      </w:r>
    </w:p>
    <w:p w:rsidR="00946D49" w:rsidRPr="006C34E6" w:rsidRDefault="00946D49" w:rsidP="0085133C">
      <w:pPr>
        <w:pStyle w:val="ParagraphNumbering"/>
        <w:rPr>
          <w:lang w:val="pt-PT"/>
        </w:rPr>
      </w:pPr>
      <w:r w:rsidRPr="0085133C">
        <w:rPr>
          <w:b/>
          <w:lang w:val="pt-PT"/>
        </w:rPr>
        <w:lastRenderedPageBreak/>
        <w:t>Após as eleições de 2008, o governo iniciou uma profunda reorganização da sua governação económica, incluindo o enquadramento institucional da GIP. Este esforço continuou após a adopção de uma nova Constituição angolana em 2010.</w:t>
      </w:r>
      <w:r w:rsidRPr="006C34E6">
        <w:rPr>
          <w:lang w:val="pt-PT"/>
        </w:rPr>
        <w:t xml:space="preserve"> Envolvia a criação ou substancial restruturação de uma série das mais importantes instituições de política económica, como o Ministério das Finanças, Ministério da Coordenação Económica e o Tribunal de Contas. Durante este período, as responsabilidades formais institucionais da GIP estavam numa situação de incerteza e as mudanças de pessoas e transferências de tarefas e as mudanças de responsabilidades administrativas parecem ter, inadvertidamente, tornado lento o processo da tomada de decisões económicas.</w:t>
      </w:r>
      <w:r w:rsidRPr="006C34E6">
        <w:rPr>
          <w:rStyle w:val="FootnoteReference"/>
          <w:rFonts w:cs="Times New Roman"/>
          <w:noProof w:val="0"/>
          <w:lang w:val="pt-PT"/>
        </w:rPr>
        <w:footnoteReference w:id="24"/>
      </w:r>
      <w:r w:rsidRPr="006C34E6">
        <w:rPr>
          <w:lang w:val="pt-PT"/>
        </w:rPr>
        <w:t xml:space="preserve"> </w:t>
      </w:r>
    </w:p>
    <w:p w:rsidR="00946D49" w:rsidRPr="006C34E6" w:rsidRDefault="00946D49" w:rsidP="00946D49">
      <w:pPr>
        <w:pStyle w:val="ListParagraph"/>
        <w:rPr>
          <w:rFonts w:cs="Times New Roman"/>
          <w:lang w:val="pt-PT"/>
        </w:rPr>
      </w:pPr>
    </w:p>
    <w:p w:rsidR="00946D49" w:rsidRPr="006C34E6" w:rsidRDefault="00946D49" w:rsidP="0085133C">
      <w:pPr>
        <w:pStyle w:val="ParagraphNumbering"/>
        <w:rPr>
          <w:lang w:val="pt-PT"/>
        </w:rPr>
      </w:pPr>
      <w:r w:rsidRPr="0085133C">
        <w:rPr>
          <w:b/>
          <w:lang w:val="pt-PT"/>
        </w:rPr>
        <w:t>A reforma da GIP implicou rondas sucessivas de legislação; embora concebidas para modernizar o sistema estas revisões ao enquadramento legal também aumentaram a sua complexidade.</w:t>
      </w:r>
      <w:r w:rsidRPr="006C34E6">
        <w:rPr>
          <w:lang w:val="pt-PT"/>
        </w:rPr>
        <w:t xml:space="preserve"> O sistema de investimento público é actualmente regulado pelo Decreto Presidencial 31/10, que determina a aprovação, preparação, implementação e monitorização do PIP, e pelo Decreto 24/10, que regula a execução do orçamento e de reporte financeiro. O PIP é também orientado pelo Decreto Presidencial 320/11, que estabelece as regras anuais para a implementação do orçamento, e pela Lei do Orçamento, que define a distribuição geográfica dos projectos incluídos no PIP. </w:t>
      </w:r>
    </w:p>
    <w:p w:rsidR="00946D49" w:rsidRPr="006C34E6" w:rsidRDefault="00946D49" w:rsidP="00946D49">
      <w:pPr>
        <w:pStyle w:val="ListParagraph"/>
        <w:spacing w:line="276" w:lineRule="auto"/>
        <w:ind w:left="0"/>
        <w:rPr>
          <w:rFonts w:cs="Times New Roman"/>
          <w:b/>
          <w:lang w:val="pt-PT"/>
        </w:rPr>
      </w:pPr>
    </w:p>
    <w:p w:rsidR="00946D49" w:rsidRPr="006C34E6" w:rsidRDefault="00946D49" w:rsidP="0085133C">
      <w:pPr>
        <w:pStyle w:val="ParagraphNumbering"/>
        <w:rPr>
          <w:lang w:val="pt-PT"/>
        </w:rPr>
      </w:pPr>
      <w:r w:rsidRPr="0085133C">
        <w:rPr>
          <w:b/>
          <w:lang w:val="pt-PT"/>
        </w:rPr>
        <w:t>A actual estrutura do sistema GIP tenta conseguir um equilíbrio entre a centralização administrativa dos processos de investimento e o controlo local quanto a prioridades de investimento e o desenho dos projectos.</w:t>
      </w:r>
      <w:r w:rsidRPr="006C34E6">
        <w:rPr>
          <w:lang w:val="pt-PT"/>
        </w:rPr>
        <w:t xml:space="preserve"> O PIP estabelece os critérios para preparar projectos de investimento público e determina a base para a selecção dos projectos a financiar. Os ministérios competentes, e governos provinciais e municipais apresentam projectos de investimento e a </w:t>
      </w:r>
      <w:r w:rsidRPr="006C34E6">
        <w:rPr>
          <w:color w:val="auto"/>
          <w:lang w:val="pt-PT"/>
        </w:rPr>
        <w:t xml:space="preserve">DNIP coordena a inclusão dos projectos no PIP. O ramo executivo também contribui para a formulação do programa. Uma vez que o projecto esteja integrado no PIP, começa o processo de dotação orçamental. </w:t>
      </w:r>
      <w:r w:rsidRPr="006C34E6">
        <w:rPr>
          <w:lang w:val="pt-PT"/>
        </w:rPr>
        <w:t>A selecção de projectos e a sua integração no PIP é condicionada pela disponibilidade de financiamento específico e prioridades sectoriais, os quais são definidos por cada ministério de tutela e pelo governo provincial ou municipal.</w:t>
      </w:r>
    </w:p>
    <w:p w:rsidR="00946D49" w:rsidRPr="006C34E6" w:rsidRDefault="00946D49" w:rsidP="0085133C">
      <w:pPr>
        <w:pStyle w:val="ParagraphNumbering"/>
        <w:numPr>
          <w:ilvl w:val="0"/>
          <w:numId w:val="0"/>
        </w:numPr>
        <w:rPr>
          <w:lang w:val="pt-PT"/>
        </w:rPr>
      </w:pPr>
    </w:p>
    <w:p w:rsidR="00946D49" w:rsidRPr="006C34E6" w:rsidRDefault="00946D49" w:rsidP="0085133C">
      <w:pPr>
        <w:pStyle w:val="ParagraphNumbering"/>
        <w:rPr>
          <w:b/>
          <w:lang w:val="pt-PT"/>
        </w:rPr>
      </w:pPr>
      <w:r w:rsidRPr="006C34E6">
        <w:rPr>
          <w:b/>
          <w:lang w:val="pt-PT"/>
        </w:rPr>
        <w:t xml:space="preserve">Este processo, ainda que bem-intencionado, cria resultados contraditórios. </w:t>
      </w:r>
      <w:r w:rsidRPr="006C34E6">
        <w:rPr>
          <w:lang w:val="pt-PT"/>
        </w:rPr>
        <w:t xml:space="preserve">Em princípio, as funções e os procedimentos acima descritos deveriam simplificar o sistema de investimento público, através de processos iguais para todos os projectos, realçar o impacto de investimentos completados, permitindo uma maior coordenação entre agências públicas e alavancar conhecimentos específicos através de uma atenção à autonomia de agências locais e tecnicamente especializadas. Na prática, porém, o processo de formular, rever e implementar o PIP, é muitas vezes impossivelmente complexo e a limitada capacidade da </w:t>
      </w:r>
      <w:r w:rsidRPr="006C34E6">
        <w:rPr>
          <w:color w:val="auto"/>
          <w:lang w:val="pt-PT"/>
        </w:rPr>
        <w:t xml:space="preserve">DNIP </w:t>
      </w:r>
      <w:r w:rsidRPr="006C34E6">
        <w:rPr>
          <w:lang w:val="pt-PT"/>
        </w:rPr>
        <w:t>para o superintender com eficácia e fazer cumprir a legislação que o rege, reduz a eficiência do sistema GIP. Esta complexidade é agravada pelos mecanismos adicionais utilizados para rever o PIP e o incorporar no orçamento anual.</w:t>
      </w:r>
    </w:p>
    <w:p w:rsidR="00946D49" w:rsidRPr="006C34E6" w:rsidRDefault="00946D49" w:rsidP="00946D49">
      <w:pPr>
        <w:pStyle w:val="ListParagraph"/>
        <w:rPr>
          <w:b/>
          <w:lang w:val="pt-PT"/>
        </w:rPr>
      </w:pPr>
    </w:p>
    <w:p w:rsidR="00946D49" w:rsidRPr="006C34E6" w:rsidRDefault="00946D49" w:rsidP="0085133C">
      <w:pPr>
        <w:pStyle w:val="ParagraphNumbering"/>
        <w:rPr>
          <w:lang w:val="pt-PT"/>
        </w:rPr>
      </w:pPr>
      <w:r w:rsidRPr="0085133C">
        <w:rPr>
          <w:b/>
          <w:lang w:val="pt-PT"/>
        </w:rPr>
        <w:t>Num esforço para dar maior flexibilidade e capacidade de resposta ao PIP, o governo estabeleceu um processo de rotina de alterações, o Programa Anual de Ajustamentos (PAA).</w:t>
      </w:r>
      <w:r w:rsidRPr="006C34E6">
        <w:rPr>
          <w:lang w:val="pt-PT"/>
        </w:rPr>
        <w:t xml:space="preserve"> O PAA para o ano seguinte é elaborado entre Julho e Setembro de cada ano, através do seguinte processo: primeiro, é criado um no programa de ajustamento, com base no actual. Os ministérios de tutela e outras agências governamentais responsáveis pela implementação dentro do prazo em causa são identificados e dá-se início a um período de encomenda, negociação e arbitragem, com os parceiros interessados do sector. Uma vez completado este processo, o PAA entra em vigor a 1 de Janeiro do ano seguinte. Embora o mecanismo PAA deva ter espaço para permitir revisões e actualizações do PIP, o processo em si aumenta significativamente tanto a sobrecarga administrativa para as agências envolvidas, como a ambiguidade e incerteza impostas por um processo GIP altamente complicado.</w:t>
      </w:r>
    </w:p>
    <w:p w:rsidR="00946D49" w:rsidRPr="006C34E6" w:rsidRDefault="00946D49" w:rsidP="0085133C">
      <w:pPr>
        <w:pStyle w:val="ParagraphNumbering"/>
        <w:numPr>
          <w:ilvl w:val="0"/>
          <w:numId w:val="0"/>
        </w:numPr>
        <w:rPr>
          <w:lang w:val="pt-PT"/>
        </w:rPr>
      </w:pPr>
    </w:p>
    <w:p w:rsidR="00946D49" w:rsidRPr="006C34E6" w:rsidRDefault="00946D49" w:rsidP="009010DA">
      <w:pPr>
        <w:pStyle w:val="Caption"/>
        <w:keepNext/>
        <w:spacing w:after="120"/>
        <w:jc w:val="center"/>
        <w:rPr>
          <w:sz w:val="24"/>
          <w:szCs w:val="24"/>
          <w:lang w:val="pt-PT"/>
        </w:rPr>
      </w:pPr>
      <w:r w:rsidRPr="006C34E6">
        <w:rPr>
          <w:sz w:val="24"/>
          <w:szCs w:val="24"/>
          <w:lang w:val="pt-PT"/>
        </w:rPr>
        <w:lastRenderedPageBreak/>
        <w:t xml:space="preserve">Caixa </w:t>
      </w:r>
      <w:r w:rsidRPr="006C34E6">
        <w:rPr>
          <w:sz w:val="24"/>
          <w:szCs w:val="24"/>
          <w:lang w:val="pt-PT"/>
        </w:rPr>
        <w:fldChar w:fldCharType="begin"/>
      </w:r>
      <w:r w:rsidRPr="006C34E6">
        <w:rPr>
          <w:sz w:val="24"/>
          <w:szCs w:val="24"/>
          <w:lang w:val="pt-PT"/>
        </w:rPr>
        <w:instrText xml:space="preserve"> SEQ Box \* ARABIC </w:instrText>
      </w:r>
      <w:r w:rsidRPr="006C34E6">
        <w:rPr>
          <w:sz w:val="24"/>
          <w:szCs w:val="24"/>
          <w:lang w:val="pt-PT"/>
        </w:rPr>
        <w:fldChar w:fldCharType="separate"/>
      </w:r>
      <w:r w:rsidR="004F553E">
        <w:rPr>
          <w:noProof/>
          <w:sz w:val="24"/>
          <w:szCs w:val="24"/>
          <w:lang w:val="pt-PT"/>
        </w:rPr>
        <w:t>7</w:t>
      </w:r>
      <w:r w:rsidRPr="006C34E6">
        <w:rPr>
          <w:sz w:val="24"/>
          <w:szCs w:val="24"/>
          <w:lang w:val="pt-PT"/>
        </w:rPr>
        <w:fldChar w:fldCharType="end"/>
      </w:r>
      <w:r w:rsidRPr="006C34E6">
        <w:rPr>
          <w:sz w:val="24"/>
          <w:szCs w:val="24"/>
          <w:lang w:val="pt-PT"/>
        </w:rPr>
        <w:t>: Instituições Responsáveis pelo Plan</w:t>
      </w:r>
      <w:r w:rsidR="009010DA">
        <w:rPr>
          <w:sz w:val="24"/>
          <w:szCs w:val="24"/>
          <w:lang w:val="pt-PT"/>
        </w:rPr>
        <w:t>eamento do Investimento Público</w:t>
      </w:r>
      <w:r w:rsidRPr="006C34E6">
        <w:rPr>
          <w:sz w:val="24"/>
          <w:szCs w:val="24"/>
          <w:lang w:val="pt-PT"/>
        </w:rPr>
        <w:t xml:space="preserve"> em Angola</w:t>
      </w:r>
    </w:p>
    <w:p w:rsidR="00946D49" w:rsidRPr="006C34E6" w:rsidRDefault="00946D49" w:rsidP="00946D49">
      <w:pPr>
        <w:pBdr>
          <w:top w:val="single" w:sz="4" w:space="1" w:color="auto"/>
          <w:left w:val="single" w:sz="4" w:space="4" w:color="auto"/>
          <w:bottom w:val="single" w:sz="4" w:space="1" w:color="auto"/>
          <w:right w:val="single" w:sz="4" w:space="4" w:color="auto"/>
        </w:pBdr>
        <w:rPr>
          <w:rFonts w:cs="Times New Roman"/>
          <w:sz w:val="16"/>
          <w:szCs w:val="16"/>
          <w:lang w:val="pt-PT"/>
        </w:rPr>
      </w:pPr>
    </w:p>
    <w:p w:rsidR="00946D49" w:rsidRPr="006C34E6" w:rsidRDefault="00946D49" w:rsidP="00946D49">
      <w:pPr>
        <w:pBdr>
          <w:top w:val="single" w:sz="4" w:space="1" w:color="auto"/>
          <w:left w:val="single" w:sz="4" w:space="4" w:color="auto"/>
          <w:bottom w:val="single" w:sz="4" w:space="1" w:color="auto"/>
          <w:right w:val="single" w:sz="4" w:space="4" w:color="auto"/>
        </w:pBdr>
        <w:rPr>
          <w:rFonts w:cs="Times New Roman"/>
          <w:lang w:val="pt-PT"/>
        </w:rPr>
      </w:pPr>
      <w:r w:rsidRPr="006C34E6">
        <w:rPr>
          <w:rFonts w:cs="Times New Roman"/>
          <w:lang w:val="pt-PT"/>
        </w:rPr>
        <w:t xml:space="preserve">O </w:t>
      </w:r>
      <w:r w:rsidRPr="006C34E6">
        <w:rPr>
          <w:rFonts w:cs="Times New Roman"/>
          <w:i/>
          <w:lang w:val="pt-PT"/>
        </w:rPr>
        <w:t xml:space="preserve">Ministério do Planeamento, Ministério das Finanças, Departamentos Ministeriais, Governos das Províncias, Governos Municipais </w:t>
      </w:r>
      <w:r w:rsidRPr="006C34E6">
        <w:rPr>
          <w:rFonts w:cs="Times New Roman"/>
          <w:lang w:val="pt-PT"/>
        </w:rPr>
        <w:t>e o</w:t>
      </w:r>
      <w:r w:rsidRPr="006C34E6">
        <w:rPr>
          <w:rFonts w:cs="Times New Roman"/>
          <w:i/>
          <w:lang w:val="pt-PT"/>
        </w:rPr>
        <w:t xml:space="preserve"> Ramo Executivo, </w:t>
      </w:r>
      <w:r w:rsidRPr="006C34E6">
        <w:rPr>
          <w:rFonts w:cs="Times New Roman"/>
          <w:lang w:val="pt-PT"/>
        </w:rPr>
        <w:t>são responsáveis por diferentes elementos envolvidos no processo de formulação do PIP.</w:t>
      </w:r>
    </w:p>
    <w:p w:rsidR="00946D49" w:rsidRPr="006C34E6" w:rsidRDefault="00946D49" w:rsidP="00946D49">
      <w:pPr>
        <w:pBdr>
          <w:top w:val="single" w:sz="4" w:space="1" w:color="auto"/>
          <w:left w:val="single" w:sz="4" w:space="4" w:color="auto"/>
          <w:bottom w:val="single" w:sz="4" w:space="1" w:color="auto"/>
          <w:right w:val="single" w:sz="4" w:space="4" w:color="auto"/>
        </w:pBdr>
        <w:rPr>
          <w:rFonts w:cs="Times New Roman"/>
          <w:lang w:val="pt-PT"/>
        </w:rPr>
      </w:pPr>
    </w:p>
    <w:p w:rsidR="00946D49" w:rsidRPr="006C34E6" w:rsidRDefault="00946D49" w:rsidP="00946D49">
      <w:pPr>
        <w:pBdr>
          <w:top w:val="single" w:sz="4" w:space="1" w:color="auto"/>
          <w:left w:val="single" w:sz="4" w:space="4" w:color="auto"/>
          <w:bottom w:val="single" w:sz="4" w:space="1" w:color="auto"/>
          <w:right w:val="single" w:sz="4" w:space="4" w:color="auto"/>
        </w:pBdr>
        <w:rPr>
          <w:rFonts w:cs="Times New Roman"/>
          <w:u w:val="single"/>
          <w:lang w:val="pt-PT"/>
        </w:rPr>
      </w:pPr>
      <w:r w:rsidRPr="006C34E6">
        <w:rPr>
          <w:rFonts w:cs="Times New Roman"/>
          <w:u w:val="single"/>
          <w:lang w:val="pt-PT"/>
        </w:rPr>
        <w:t xml:space="preserve">O </w:t>
      </w:r>
      <w:r w:rsidRPr="006C34E6">
        <w:rPr>
          <w:rFonts w:cs="Times New Roman"/>
          <w:i/>
          <w:u w:val="single"/>
          <w:lang w:val="pt-PT"/>
        </w:rPr>
        <w:t xml:space="preserve">Ministério do Planeamento </w:t>
      </w:r>
      <w:r w:rsidRPr="006C34E6">
        <w:rPr>
          <w:rFonts w:cs="Times New Roman"/>
          <w:u w:val="single"/>
          <w:lang w:val="pt-PT"/>
        </w:rPr>
        <w:t>é responsável por:</w:t>
      </w:r>
    </w:p>
    <w:p w:rsidR="00946D49" w:rsidRPr="006C34E6" w:rsidRDefault="00946D49" w:rsidP="00946D49">
      <w:pPr>
        <w:pBdr>
          <w:top w:val="single" w:sz="4" w:space="1" w:color="auto"/>
          <w:left w:val="single" w:sz="4" w:space="4" w:color="auto"/>
          <w:bottom w:val="single" w:sz="4" w:space="1" w:color="auto"/>
          <w:right w:val="single" w:sz="4" w:space="4" w:color="auto"/>
        </w:pBdr>
        <w:rPr>
          <w:rFonts w:cs="Times New Roman"/>
          <w:lang w:val="pt-PT"/>
        </w:rPr>
      </w:pPr>
      <w:r w:rsidRPr="006C34E6">
        <w:rPr>
          <w:rFonts w:cs="Times New Roman"/>
          <w:lang w:val="pt-PT"/>
        </w:rPr>
        <w:t>• Elaborar as orientações para o PIP e APA;</w:t>
      </w:r>
    </w:p>
    <w:p w:rsidR="00946D49" w:rsidRPr="006C34E6" w:rsidRDefault="00946D49" w:rsidP="00946D49">
      <w:pPr>
        <w:pBdr>
          <w:top w:val="single" w:sz="4" w:space="1" w:color="auto"/>
          <w:left w:val="single" w:sz="4" w:space="4" w:color="auto"/>
          <w:bottom w:val="single" w:sz="4" w:space="1" w:color="auto"/>
          <w:right w:val="single" w:sz="4" w:space="4" w:color="auto"/>
        </w:pBdr>
        <w:rPr>
          <w:rFonts w:cs="Times New Roman"/>
          <w:lang w:val="pt-PT"/>
        </w:rPr>
      </w:pPr>
      <w:r w:rsidRPr="006C34E6">
        <w:rPr>
          <w:rFonts w:cs="Times New Roman"/>
          <w:lang w:val="pt-PT"/>
        </w:rPr>
        <w:t>• Desenvolver e divulgar metodologias de apreciação e avaliação de projectos;</w:t>
      </w:r>
    </w:p>
    <w:p w:rsidR="00946D49" w:rsidRPr="006C34E6" w:rsidRDefault="00946D49" w:rsidP="00946D49">
      <w:pPr>
        <w:pBdr>
          <w:top w:val="single" w:sz="4" w:space="1" w:color="auto"/>
          <w:left w:val="single" w:sz="4" w:space="4" w:color="auto"/>
          <w:bottom w:val="single" w:sz="4" w:space="1" w:color="auto"/>
          <w:right w:val="single" w:sz="4" w:space="4" w:color="auto"/>
        </w:pBdr>
        <w:rPr>
          <w:rFonts w:cs="Times New Roman"/>
          <w:lang w:val="pt-PT"/>
        </w:rPr>
      </w:pPr>
      <w:r w:rsidRPr="006C34E6">
        <w:rPr>
          <w:rFonts w:cs="Times New Roman"/>
          <w:lang w:val="pt-PT"/>
        </w:rPr>
        <w:t>• Determinar os projectos nacionais a serem incluídos na carteira;</w:t>
      </w:r>
    </w:p>
    <w:p w:rsidR="00946D49" w:rsidRPr="006C34E6" w:rsidRDefault="00946D49" w:rsidP="00946D49">
      <w:pPr>
        <w:pBdr>
          <w:top w:val="single" w:sz="4" w:space="1" w:color="auto"/>
          <w:left w:val="single" w:sz="4" w:space="4" w:color="auto"/>
          <w:bottom w:val="single" w:sz="4" w:space="1" w:color="auto"/>
          <w:right w:val="single" w:sz="4" w:space="4" w:color="auto"/>
        </w:pBdr>
        <w:rPr>
          <w:rFonts w:cs="Times New Roman"/>
          <w:lang w:val="pt-PT"/>
        </w:rPr>
      </w:pPr>
      <w:r w:rsidRPr="006C34E6">
        <w:rPr>
          <w:rFonts w:cs="Times New Roman"/>
          <w:lang w:val="pt-PT"/>
        </w:rPr>
        <w:t>• Assegurar a compatibilidade dos programas com os objectivos das respectivas estratégias de desenvolvimento nacional;</w:t>
      </w:r>
    </w:p>
    <w:p w:rsidR="00946D49" w:rsidRPr="006C34E6" w:rsidRDefault="00946D49" w:rsidP="00946D49">
      <w:pPr>
        <w:pBdr>
          <w:top w:val="single" w:sz="4" w:space="1" w:color="auto"/>
          <w:left w:val="single" w:sz="4" w:space="4" w:color="auto"/>
          <w:bottom w:val="single" w:sz="4" w:space="1" w:color="auto"/>
          <w:right w:val="single" w:sz="4" w:space="4" w:color="auto"/>
        </w:pBdr>
        <w:rPr>
          <w:rFonts w:cs="Times New Roman"/>
          <w:lang w:val="pt-PT"/>
        </w:rPr>
      </w:pPr>
      <w:r w:rsidRPr="006C34E6">
        <w:rPr>
          <w:rFonts w:cs="Times New Roman"/>
          <w:lang w:val="pt-PT"/>
        </w:rPr>
        <w:t>• Preparar o PIP; e</w:t>
      </w:r>
    </w:p>
    <w:p w:rsidR="00946D49" w:rsidRPr="006C34E6" w:rsidRDefault="00946D49" w:rsidP="00946D49">
      <w:pPr>
        <w:pBdr>
          <w:top w:val="single" w:sz="4" w:space="1" w:color="auto"/>
          <w:left w:val="single" w:sz="4" w:space="4" w:color="auto"/>
          <w:bottom w:val="single" w:sz="4" w:space="1" w:color="auto"/>
          <w:right w:val="single" w:sz="4" w:space="4" w:color="auto"/>
        </w:pBdr>
        <w:rPr>
          <w:rFonts w:cs="Times New Roman"/>
          <w:lang w:val="pt-PT"/>
        </w:rPr>
      </w:pPr>
      <w:r w:rsidRPr="006C34E6">
        <w:rPr>
          <w:rFonts w:cs="Times New Roman"/>
          <w:lang w:val="pt-PT"/>
        </w:rPr>
        <w:t>• Monitorizar e avaliar a implementação do PIP.</w:t>
      </w:r>
    </w:p>
    <w:p w:rsidR="00946D49" w:rsidRPr="006C34E6" w:rsidRDefault="00946D49" w:rsidP="00946D49">
      <w:pPr>
        <w:pBdr>
          <w:top w:val="single" w:sz="4" w:space="1" w:color="auto"/>
          <w:left w:val="single" w:sz="4" w:space="4" w:color="auto"/>
          <w:bottom w:val="single" w:sz="4" w:space="1" w:color="auto"/>
          <w:right w:val="single" w:sz="4" w:space="4" w:color="auto"/>
        </w:pBdr>
        <w:rPr>
          <w:rFonts w:cs="Times New Roman"/>
          <w:i/>
          <w:lang w:val="pt-PT"/>
        </w:rPr>
      </w:pPr>
    </w:p>
    <w:p w:rsidR="00946D49" w:rsidRPr="006C34E6" w:rsidRDefault="00946D49" w:rsidP="00946D49">
      <w:pPr>
        <w:pBdr>
          <w:top w:val="single" w:sz="4" w:space="1" w:color="auto"/>
          <w:left w:val="single" w:sz="4" w:space="4" w:color="auto"/>
          <w:bottom w:val="single" w:sz="4" w:space="1" w:color="auto"/>
          <w:right w:val="single" w:sz="4" w:space="4" w:color="auto"/>
        </w:pBdr>
        <w:rPr>
          <w:rFonts w:cs="Times New Roman"/>
          <w:u w:val="single"/>
          <w:lang w:val="pt-PT"/>
        </w:rPr>
      </w:pPr>
      <w:r w:rsidRPr="006C34E6">
        <w:rPr>
          <w:rFonts w:cs="Times New Roman"/>
          <w:u w:val="single"/>
          <w:lang w:val="pt-PT"/>
        </w:rPr>
        <w:t xml:space="preserve">O </w:t>
      </w:r>
      <w:r w:rsidRPr="006C34E6">
        <w:rPr>
          <w:rFonts w:cs="Times New Roman"/>
          <w:i/>
          <w:u w:val="single"/>
          <w:lang w:val="pt-PT"/>
        </w:rPr>
        <w:t xml:space="preserve"> Ministério das Finanças </w:t>
      </w:r>
      <w:r w:rsidRPr="006C34E6">
        <w:rPr>
          <w:rFonts w:cs="Times New Roman"/>
          <w:u w:val="single"/>
          <w:lang w:val="pt-PT"/>
        </w:rPr>
        <w:t>é responsável por:</w:t>
      </w:r>
    </w:p>
    <w:p w:rsidR="00946D49" w:rsidRPr="006C34E6" w:rsidRDefault="00946D49" w:rsidP="00946D49">
      <w:pPr>
        <w:pBdr>
          <w:top w:val="single" w:sz="4" w:space="1" w:color="auto"/>
          <w:left w:val="single" w:sz="4" w:space="4" w:color="auto"/>
          <w:bottom w:val="single" w:sz="4" w:space="1" w:color="auto"/>
          <w:right w:val="single" w:sz="4" w:space="4" w:color="auto"/>
        </w:pBdr>
        <w:rPr>
          <w:rFonts w:cs="Times New Roman"/>
          <w:lang w:val="pt-PT"/>
        </w:rPr>
      </w:pPr>
      <w:r w:rsidRPr="006C34E6">
        <w:rPr>
          <w:rFonts w:cs="Times New Roman"/>
          <w:lang w:val="pt-PT"/>
        </w:rPr>
        <w:t>• Estabelecer os limites dos investimentos públicos propostos;</w:t>
      </w:r>
    </w:p>
    <w:p w:rsidR="00946D49" w:rsidRPr="006C34E6" w:rsidRDefault="00946D49" w:rsidP="00946D49">
      <w:pPr>
        <w:pBdr>
          <w:top w:val="single" w:sz="4" w:space="1" w:color="auto"/>
          <w:left w:val="single" w:sz="4" w:space="4" w:color="auto"/>
          <w:bottom w:val="single" w:sz="4" w:space="1" w:color="auto"/>
          <w:right w:val="single" w:sz="4" w:space="4" w:color="auto"/>
        </w:pBdr>
        <w:rPr>
          <w:rFonts w:cs="Times New Roman"/>
          <w:lang w:val="pt-PT"/>
        </w:rPr>
      </w:pPr>
      <w:r w:rsidRPr="006C34E6">
        <w:rPr>
          <w:rFonts w:cs="Times New Roman"/>
          <w:lang w:val="pt-PT"/>
        </w:rPr>
        <w:t>• Integrar o PIP no Orçamento Geral; e</w:t>
      </w:r>
    </w:p>
    <w:p w:rsidR="00946D49" w:rsidRPr="006C34E6" w:rsidRDefault="00946D49" w:rsidP="00946D49">
      <w:pPr>
        <w:pBdr>
          <w:top w:val="single" w:sz="4" w:space="1" w:color="auto"/>
          <w:left w:val="single" w:sz="4" w:space="4" w:color="auto"/>
          <w:bottom w:val="single" w:sz="4" w:space="1" w:color="auto"/>
          <w:right w:val="single" w:sz="4" w:space="4" w:color="auto"/>
        </w:pBdr>
        <w:rPr>
          <w:rFonts w:cs="Times New Roman"/>
          <w:lang w:val="pt-PT"/>
        </w:rPr>
      </w:pPr>
      <w:r w:rsidRPr="006C34E6">
        <w:rPr>
          <w:rFonts w:cs="Times New Roman"/>
          <w:lang w:val="pt-PT"/>
        </w:rPr>
        <w:t>• Supervisionar a implementação financeira do PIP.</w:t>
      </w:r>
    </w:p>
    <w:p w:rsidR="00946D49" w:rsidRPr="006C34E6" w:rsidRDefault="00946D49" w:rsidP="00946D49">
      <w:pPr>
        <w:pBdr>
          <w:top w:val="single" w:sz="4" w:space="1" w:color="auto"/>
          <w:left w:val="single" w:sz="4" w:space="4" w:color="auto"/>
          <w:bottom w:val="single" w:sz="4" w:space="1" w:color="auto"/>
          <w:right w:val="single" w:sz="4" w:space="4" w:color="auto"/>
        </w:pBdr>
        <w:rPr>
          <w:rFonts w:cs="Times New Roman"/>
          <w:lang w:val="pt-PT"/>
        </w:rPr>
      </w:pPr>
    </w:p>
    <w:p w:rsidR="00946D49" w:rsidRPr="006C34E6" w:rsidRDefault="00946D49" w:rsidP="00946D49">
      <w:pPr>
        <w:pBdr>
          <w:top w:val="single" w:sz="4" w:space="1" w:color="auto"/>
          <w:left w:val="single" w:sz="4" w:space="4" w:color="auto"/>
          <w:bottom w:val="single" w:sz="4" w:space="1" w:color="auto"/>
          <w:right w:val="single" w:sz="4" w:space="4" w:color="auto"/>
        </w:pBdr>
        <w:rPr>
          <w:rFonts w:cs="Times New Roman"/>
          <w:u w:val="single"/>
          <w:lang w:val="pt-PT"/>
        </w:rPr>
      </w:pPr>
      <w:r w:rsidRPr="006C34E6">
        <w:rPr>
          <w:rFonts w:cs="Times New Roman"/>
          <w:i/>
          <w:u w:val="single"/>
          <w:lang w:val="pt-PT"/>
        </w:rPr>
        <w:t>Os Departamentos Ministeriais e Governos Provinciais são responsáveis por</w:t>
      </w:r>
      <w:r w:rsidRPr="006C34E6">
        <w:rPr>
          <w:rFonts w:cs="Times New Roman"/>
          <w:u w:val="single"/>
          <w:lang w:val="pt-PT"/>
        </w:rPr>
        <w:t>:</w:t>
      </w:r>
    </w:p>
    <w:p w:rsidR="00946D49" w:rsidRPr="006C34E6" w:rsidRDefault="00946D49" w:rsidP="00946D49">
      <w:pPr>
        <w:pBdr>
          <w:top w:val="single" w:sz="4" w:space="1" w:color="auto"/>
          <w:left w:val="single" w:sz="4" w:space="4" w:color="auto"/>
          <w:bottom w:val="single" w:sz="4" w:space="1" w:color="auto"/>
          <w:right w:val="single" w:sz="4" w:space="4" w:color="auto"/>
        </w:pBdr>
        <w:rPr>
          <w:rFonts w:cs="Times New Roman"/>
          <w:lang w:val="pt-PT"/>
        </w:rPr>
      </w:pPr>
      <w:r w:rsidRPr="006C34E6">
        <w:rPr>
          <w:rFonts w:cs="Times New Roman"/>
          <w:lang w:val="pt-PT"/>
        </w:rPr>
        <w:t>• Efectuar estudos de programas e projectos apresentados para inclusão no PIP;</w:t>
      </w:r>
    </w:p>
    <w:p w:rsidR="00946D49" w:rsidRPr="006C34E6" w:rsidRDefault="00946D49" w:rsidP="00946D49">
      <w:pPr>
        <w:pBdr>
          <w:top w:val="single" w:sz="4" w:space="1" w:color="auto"/>
          <w:left w:val="single" w:sz="4" w:space="4" w:color="auto"/>
          <w:bottom w:val="single" w:sz="4" w:space="1" w:color="auto"/>
          <w:right w:val="single" w:sz="4" w:space="4" w:color="auto"/>
        </w:pBdr>
        <w:rPr>
          <w:rFonts w:cs="Times New Roman"/>
          <w:lang w:val="pt-PT"/>
        </w:rPr>
      </w:pPr>
      <w:r w:rsidRPr="006C34E6">
        <w:rPr>
          <w:rFonts w:cs="Times New Roman"/>
          <w:lang w:val="pt-PT"/>
        </w:rPr>
        <w:t>• Formular e submeter carteiras de projectos específicos para a província ou para certos sectores;</w:t>
      </w:r>
    </w:p>
    <w:p w:rsidR="00946D49" w:rsidRPr="006C34E6" w:rsidRDefault="00946D49" w:rsidP="00946D49">
      <w:pPr>
        <w:pBdr>
          <w:top w:val="single" w:sz="4" w:space="1" w:color="auto"/>
          <w:left w:val="single" w:sz="4" w:space="4" w:color="auto"/>
          <w:bottom w:val="single" w:sz="4" w:space="1" w:color="auto"/>
          <w:right w:val="single" w:sz="4" w:space="4" w:color="auto"/>
        </w:pBdr>
        <w:rPr>
          <w:rFonts w:cs="Times New Roman"/>
          <w:lang w:val="pt-PT"/>
        </w:rPr>
      </w:pPr>
      <w:r w:rsidRPr="006C34E6">
        <w:rPr>
          <w:rFonts w:cs="Times New Roman"/>
          <w:lang w:val="pt-PT"/>
        </w:rPr>
        <w:t>• Seleccionar e prioritizar os projectos incluídos em cada portfólio; e</w:t>
      </w:r>
    </w:p>
    <w:p w:rsidR="00946D49" w:rsidRPr="006C34E6" w:rsidRDefault="00946D49" w:rsidP="00946D49">
      <w:pPr>
        <w:pBdr>
          <w:top w:val="single" w:sz="4" w:space="1" w:color="auto"/>
          <w:left w:val="single" w:sz="4" w:space="4" w:color="auto"/>
          <w:bottom w:val="single" w:sz="4" w:space="1" w:color="auto"/>
          <w:right w:val="single" w:sz="4" w:space="4" w:color="auto"/>
        </w:pBdr>
        <w:rPr>
          <w:rFonts w:cs="Times New Roman"/>
          <w:lang w:val="pt-PT"/>
        </w:rPr>
      </w:pPr>
      <w:r w:rsidRPr="006C34E6">
        <w:rPr>
          <w:rFonts w:cs="Times New Roman"/>
          <w:lang w:val="pt-PT"/>
        </w:rPr>
        <w:t>• Monitorizar a implementação de Portefólios PIP provinciais ou relativos a sectores específicos.</w:t>
      </w:r>
    </w:p>
    <w:p w:rsidR="00946D49" w:rsidRPr="006C34E6" w:rsidRDefault="00946D49" w:rsidP="00946D49">
      <w:pPr>
        <w:pBdr>
          <w:top w:val="single" w:sz="4" w:space="1" w:color="auto"/>
          <w:left w:val="single" w:sz="4" w:space="4" w:color="auto"/>
          <w:bottom w:val="single" w:sz="4" w:space="1" w:color="auto"/>
          <w:right w:val="single" w:sz="4" w:space="4" w:color="auto"/>
        </w:pBdr>
        <w:rPr>
          <w:rFonts w:cs="Times New Roman"/>
          <w:lang w:val="pt-PT"/>
        </w:rPr>
      </w:pPr>
    </w:p>
    <w:p w:rsidR="00946D49" w:rsidRPr="006C34E6" w:rsidRDefault="00946D49" w:rsidP="00946D49">
      <w:pPr>
        <w:pBdr>
          <w:top w:val="single" w:sz="4" w:space="1" w:color="auto"/>
          <w:left w:val="single" w:sz="4" w:space="4" w:color="auto"/>
          <w:bottom w:val="single" w:sz="4" w:space="1" w:color="auto"/>
          <w:right w:val="single" w:sz="4" w:space="4" w:color="auto"/>
        </w:pBdr>
        <w:rPr>
          <w:rFonts w:cs="Times New Roman"/>
          <w:u w:val="single"/>
          <w:lang w:val="pt-PT"/>
        </w:rPr>
      </w:pPr>
      <w:r w:rsidRPr="006C34E6">
        <w:rPr>
          <w:rFonts w:cs="Times New Roman"/>
          <w:i/>
          <w:u w:val="single"/>
          <w:lang w:val="pt-PT"/>
        </w:rPr>
        <w:t>Os Governos Municipais são responsáveis por</w:t>
      </w:r>
      <w:r w:rsidRPr="006C34E6">
        <w:rPr>
          <w:rFonts w:cs="Times New Roman"/>
          <w:u w:val="single"/>
          <w:lang w:val="pt-PT"/>
        </w:rPr>
        <w:t>:</w:t>
      </w:r>
    </w:p>
    <w:p w:rsidR="00946D49" w:rsidRPr="006C34E6" w:rsidRDefault="00946D49" w:rsidP="00946D49">
      <w:pPr>
        <w:pBdr>
          <w:top w:val="single" w:sz="4" w:space="1" w:color="auto"/>
          <w:left w:val="single" w:sz="4" w:space="4" w:color="auto"/>
          <w:bottom w:val="single" w:sz="4" w:space="1" w:color="auto"/>
          <w:right w:val="single" w:sz="4" w:space="4" w:color="auto"/>
        </w:pBdr>
        <w:rPr>
          <w:rFonts w:cs="Times New Roman"/>
          <w:lang w:val="pt-PT"/>
        </w:rPr>
      </w:pPr>
      <w:r w:rsidRPr="006C34E6">
        <w:rPr>
          <w:rFonts w:cs="Times New Roman"/>
          <w:lang w:val="pt-PT"/>
        </w:rPr>
        <w:t>• Efectuar estudos, programas e projectos elaborados a nível municipal;</w:t>
      </w:r>
    </w:p>
    <w:p w:rsidR="00946D49" w:rsidRPr="006C34E6" w:rsidRDefault="00946D49" w:rsidP="00946D49">
      <w:pPr>
        <w:pBdr>
          <w:top w:val="single" w:sz="4" w:space="1" w:color="auto"/>
          <w:left w:val="single" w:sz="4" w:space="4" w:color="auto"/>
          <w:bottom w:val="single" w:sz="4" w:space="1" w:color="auto"/>
          <w:right w:val="single" w:sz="4" w:space="4" w:color="auto"/>
        </w:pBdr>
        <w:rPr>
          <w:rFonts w:cs="Times New Roman"/>
          <w:lang w:val="pt-PT"/>
        </w:rPr>
      </w:pPr>
      <w:r w:rsidRPr="006C34E6">
        <w:rPr>
          <w:rFonts w:cs="Times New Roman"/>
          <w:lang w:val="pt-PT"/>
        </w:rPr>
        <w:t>• Determinar a elegibilidade dos projectos municipais;</w:t>
      </w:r>
    </w:p>
    <w:p w:rsidR="00946D49" w:rsidRPr="006C34E6" w:rsidRDefault="00946D49" w:rsidP="00946D49">
      <w:pPr>
        <w:pBdr>
          <w:top w:val="single" w:sz="4" w:space="1" w:color="auto"/>
          <w:left w:val="single" w:sz="4" w:space="4" w:color="auto"/>
          <w:bottom w:val="single" w:sz="4" w:space="1" w:color="auto"/>
          <w:right w:val="single" w:sz="4" w:space="4" w:color="auto"/>
        </w:pBdr>
        <w:rPr>
          <w:rFonts w:cs="Times New Roman"/>
          <w:lang w:val="pt-PT"/>
        </w:rPr>
      </w:pPr>
      <w:r w:rsidRPr="006C34E6">
        <w:rPr>
          <w:rFonts w:cs="Times New Roman"/>
          <w:lang w:val="pt-PT"/>
        </w:rPr>
        <w:t xml:space="preserve">• Incluir os projectos municipais propostos nos orçamentos provinciais; e </w:t>
      </w:r>
    </w:p>
    <w:p w:rsidR="00946D49" w:rsidRPr="006C34E6" w:rsidRDefault="00946D49" w:rsidP="00946D49">
      <w:pPr>
        <w:pBdr>
          <w:top w:val="single" w:sz="4" w:space="1" w:color="auto"/>
          <w:left w:val="single" w:sz="4" w:space="4" w:color="auto"/>
          <w:bottom w:val="single" w:sz="4" w:space="1" w:color="auto"/>
          <w:right w:val="single" w:sz="4" w:space="4" w:color="auto"/>
        </w:pBdr>
        <w:rPr>
          <w:rFonts w:cs="Times New Roman"/>
          <w:lang w:val="pt-PT"/>
        </w:rPr>
      </w:pPr>
      <w:r w:rsidRPr="006C34E6">
        <w:rPr>
          <w:rFonts w:cs="Times New Roman"/>
          <w:lang w:val="pt-PT"/>
        </w:rPr>
        <w:t>• Apoiar a implementação de projectos de investimento municipais.</w:t>
      </w:r>
    </w:p>
    <w:p w:rsidR="00946D49" w:rsidRPr="006C34E6" w:rsidRDefault="00946D49" w:rsidP="00946D49">
      <w:pPr>
        <w:pBdr>
          <w:top w:val="single" w:sz="4" w:space="1" w:color="auto"/>
          <w:left w:val="single" w:sz="4" w:space="4" w:color="auto"/>
          <w:bottom w:val="single" w:sz="4" w:space="1" w:color="auto"/>
          <w:right w:val="single" w:sz="4" w:space="4" w:color="auto"/>
        </w:pBdr>
        <w:rPr>
          <w:rFonts w:cs="Times New Roman"/>
          <w:lang w:val="pt-PT"/>
        </w:rPr>
      </w:pPr>
    </w:p>
    <w:p w:rsidR="00946D49" w:rsidRPr="006C34E6" w:rsidRDefault="00946D49" w:rsidP="00946D49">
      <w:pPr>
        <w:pBdr>
          <w:top w:val="single" w:sz="4" w:space="1" w:color="auto"/>
          <w:left w:val="single" w:sz="4" w:space="4" w:color="auto"/>
          <w:bottom w:val="single" w:sz="4" w:space="1" w:color="auto"/>
          <w:right w:val="single" w:sz="4" w:space="4" w:color="auto"/>
        </w:pBdr>
        <w:rPr>
          <w:rFonts w:cs="Times New Roman"/>
          <w:u w:val="single"/>
          <w:lang w:val="pt-PT"/>
        </w:rPr>
      </w:pPr>
      <w:r w:rsidRPr="006C34E6">
        <w:rPr>
          <w:rFonts w:cs="Times New Roman"/>
          <w:i/>
          <w:u w:val="single"/>
          <w:lang w:val="pt-PT"/>
        </w:rPr>
        <w:t>O Poder Executivo é responsável por</w:t>
      </w:r>
      <w:r w:rsidRPr="006C34E6">
        <w:rPr>
          <w:rFonts w:cs="Times New Roman"/>
          <w:u w:val="single"/>
          <w:lang w:val="pt-PT"/>
        </w:rPr>
        <w:t>:</w:t>
      </w:r>
    </w:p>
    <w:p w:rsidR="00946D49" w:rsidRPr="006C34E6" w:rsidRDefault="00946D49" w:rsidP="00946D49">
      <w:pPr>
        <w:pBdr>
          <w:top w:val="single" w:sz="4" w:space="1" w:color="auto"/>
          <w:left w:val="single" w:sz="4" w:space="4" w:color="auto"/>
          <w:bottom w:val="single" w:sz="4" w:space="1" w:color="auto"/>
          <w:right w:val="single" w:sz="4" w:space="4" w:color="auto"/>
        </w:pBdr>
        <w:rPr>
          <w:rFonts w:cs="Times New Roman"/>
          <w:lang w:val="pt-PT"/>
        </w:rPr>
      </w:pPr>
      <w:r w:rsidRPr="006C34E6">
        <w:rPr>
          <w:rFonts w:cs="Times New Roman"/>
          <w:lang w:val="pt-PT"/>
        </w:rPr>
        <w:t>• Aprovar o  PIP;</w:t>
      </w:r>
    </w:p>
    <w:p w:rsidR="00946D49" w:rsidRPr="006C34E6" w:rsidRDefault="00946D49" w:rsidP="00946D49">
      <w:pPr>
        <w:pBdr>
          <w:top w:val="single" w:sz="4" w:space="1" w:color="auto"/>
          <w:left w:val="single" w:sz="4" w:space="4" w:color="auto"/>
          <w:bottom w:val="single" w:sz="4" w:space="1" w:color="auto"/>
          <w:right w:val="single" w:sz="4" w:space="4" w:color="auto"/>
        </w:pBdr>
        <w:rPr>
          <w:rFonts w:cs="Times New Roman"/>
          <w:lang w:val="pt-PT"/>
        </w:rPr>
      </w:pPr>
      <w:r w:rsidRPr="006C34E6">
        <w:rPr>
          <w:rFonts w:cs="Times New Roman"/>
          <w:lang w:val="pt-PT"/>
        </w:rPr>
        <w:t>• Aprovar o  APA; e</w:t>
      </w:r>
    </w:p>
    <w:p w:rsidR="00946D49" w:rsidRPr="006C34E6" w:rsidRDefault="00946D49" w:rsidP="00946D49">
      <w:pPr>
        <w:pBdr>
          <w:top w:val="single" w:sz="4" w:space="1" w:color="auto"/>
          <w:left w:val="single" w:sz="4" w:space="4" w:color="auto"/>
          <w:bottom w:val="single" w:sz="4" w:space="1" w:color="auto"/>
          <w:right w:val="single" w:sz="4" w:space="4" w:color="auto"/>
        </w:pBdr>
        <w:rPr>
          <w:rFonts w:cs="Times New Roman"/>
          <w:lang w:val="pt-PT"/>
        </w:rPr>
      </w:pPr>
      <w:r w:rsidRPr="006C34E6">
        <w:rPr>
          <w:rFonts w:cs="Times New Roman"/>
          <w:lang w:val="pt-PT"/>
        </w:rPr>
        <w:t>• Introduzir, independentemente, projectos do Ramo Executivo no PIP.</w:t>
      </w:r>
    </w:p>
    <w:p w:rsidR="00946D49" w:rsidRPr="006C34E6" w:rsidRDefault="00946D49" w:rsidP="00946D49">
      <w:pPr>
        <w:pBdr>
          <w:top w:val="single" w:sz="4" w:space="1" w:color="auto"/>
          <w:left w:val="single" w:sz="4" w:space="4" w:color="auto"/>
          <w:bottom w:val="single" w:sz="4" w:space="1" w:color="auto"/>
          <w:right w:val="single" w:sz="4" w:space="4" w:color="auto"/>
        </w:pBdr>
        <w:rPr>
          <w:b/>
          <w:color w:val="808080" w:themeColor="background1" w:themeShade="80"/>
          <w:sz w:val="16"/>
          <w:szCs w:val="16"/>
          <w:lang w:val="pt-PT"/>
        </w:rPr>
      </w:pPr>
    </w:p>
    <w:p w:rsidR="00946D49" w:rsidRPr="006C34E6" w:rsidRDefault="00946D49" w:rsidP="00946D49">
      <w:pPr>
        <w:pStyle w:val="ListParagraph"/>
        <w:rPr>
          <w:rFonts w:cs="Times New Roman"/>
          <w:lang w:val="pt-PT"/>
        </w:rPr>
      </w:pPr>
    </w:p>
    <w:p w:rsidR="00946D49" w:rsidRPr="006C34E6" w:rsidRDefault="00946D49" w:rsidP="00946D49">
      <w:pPr>
        <w:spacing w:line="276" w:lineRule="auto"/>
        <w:rPr>
          <w:rFonts w:cs="Times New Roman"/>
          <w:lang w:val="pt-PT"/>
        </w:rPr>
      </w:pPr>
      <w:r w:rsidRPr="006C34E6">
        <w:rPr>
          <w:rFonts w:cs="Times New Roman"/>
          <w:lang w:val="pt-PT"/>
        </w:rPr>
        <w:br w:type="page"/>
      </w:r>
    </w:p>
    <w:p w:rsidR="00946D49" w:rsidRPr="006C34E6" w:rsidRDefault="0026323F" w:rsidP="00946D49">
      <w:pPr>
        <w:widowControl w:val="0"/>
        <w:rPr>
          <w:rFonts w:eastAsia="Times New Roman" w:cs="Times New Roman"/>
          <w:sz w:val="24"/>
          <w:szCs w:val="24"/>
          <w:lang w:val="pt-PT"/>
        </w:rPr>
      </w:pPr>
      <w:r>
        <w:rPr>
          <w:noProof/>
        </w:rPr>
        <w:lastRenderedPageBreak/>
        <mc:AlternateContent>
          <mc:Choice Requires="wpc">
            <w:drawing>
              <wp:anchor distT="0" distB="0" distL="114300" distR="114300" simplePos="0" relativeHeight="251702272" behindDoc="0" locked="0" layoutInCell="1" allowOverlap="1" wp14:anchorId="6C49FFC4" wp14:editId="6DE5FE95">
                <wp:simplePos x="0" y="0"/>
                <wp:positionH relativeFrom="page">
                  <wp:posOffset>685800</wp:posOffset>
                </wp:positionH>
                <wp:positionV relativeFrom="line">
                  <wp:posOffset>47625</wp:posOffset>
                </wp:positionV>
                <wp:extent cx="6477000" cy="7981950"/>
                <wp:effectExtent l="0" t="0" r="57150" b="19050"/>
                <wp:wrapNone/>
                <wp:docPr id="304" name="Canvas 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58" name="AutoShape 143"/>
                        <wps:cNvSpPr>
                          <a:spLocks noChangeArrowheads="1"/>
                        </wps:cNvSpPr>
                        <wps:spPr bwMode="auto">
                          <a:xfrm>
                            <a:off x="1945005" y="1507683"/>
                            <a:ext cx="2173605" cy="811530"/>
                          </a:xfrm>
                          <a:prstGeom prst="flowChartConnector">
                            <a:avLst/>
                          </a:prstGeom>
                          <a:gradFill flip="none" rotWithShape="1">
                            <a:gsLst>
                              <a:gs pos="0">
                                <a:schemeClr val="accent4">
                                  <a:lumMod val="60000"/>
                                  <a:lumOff val="40000"/>
                                  <a:tint val="66000"/>
                                  <a:satMod val="160000"/>
                                </a:schemeClr>
                              </a:gs>
                              <a:gs pos="50000">
                                <a:schemeClr val="accent4">
                                  <a:lumMod val="60000"/>
                                  <a:lumOff val="40000"/>
                                  <a:tint val="44500"/>
                                  <a:satMod val="160000"/>
                                </a:schemeClr>
                              </a:gs>
                              <a:gs pos="100000">
                                <a:schemeClr val="accent4">
                                  <a:lumMod val="60000"/>
                                  <a:lumOff val="40000"/>
                                  <a:tint val="23500"/>
                                  <a:satMod val="160000"/>
                                </a:schemeClr>
                              </a:gs>
                            </a:gsLst>
                            <a:lin ang="8100000" scaled="1"/>
                            <a:tileRect/>
                          </a:gradFill>
                          <a:ln>
                            <a:headEnd/>
                            <a:tailEnd/>
                          </a:ln>
                          <a:effectLst>
                            <a:outerShdw blurRad="40000" dist="20000" dir="5400000" rotWithShape="0">
                              <a:srgbClr val="000000">
                                <a:alpha val="38000"/>
                              </a:srgbClr>
                            </a:outerShdw>
                          </a:effectLst>
                        </wps:spPr>
                        <wps:style>
                          <a:lnRef idx="1">
                            <a:schemeClr val="accent1"/>
                          </a:lnRef>
                          <a:fillRef idx="2">
                            <a:schemeClr val="accent1"/>
                          </a:fillRef>
                          <a:effectRef idx="1">
                            <a:schemeClr val="accent1"/>
                          </a:effectRef>
                          <a:fontRef idx="minor">
                            <a:schemeClr val="dk1"/>
                          </a:fontRef>
                        </wps:style>
                        <wps:txbx>
                          <w:txbxContent>
                            <w:p w:rsidR="004E1715" w:rsidRPr="00193098" w:rsidRDefault="004E1715" w:rsidP="00946D49">
                              <w:pPr>
                                <w:jc w:val="center"/>
                                <w:rPr>
                                  <w:rFonts w:ascii="Arial" w:hAnsi="Arial" w:cs="Arial"/>
                                  <w:lang w:val="pt-PT"/>
                                </w:rPr>
                              </w:pPr>
                              <w:r w:rsidRPr="00193098">
                                <w:rPr>
                                  <w:rFonts w:ascii="Arial" w:hAnsi="Arial" w:cs="Arial"/>
                                  <w:lang w:val="pt-PT"/>
                                </w:rPr>
                                <w:t xml:space="preserve">Direcção Nacional do </w:t>
                              </w:r>
                              <w:r>
                                <w:rPr>
                                  <w:rFonts w:ascii="Arial" w:hAnsi="Arial" w:cs="Arial"/>
                                  <w:lang w:val="pt-PT"/>
                                </w:rPr>
                                <w:t>Investimento Público</w:t>
                              </w:r>
                              <w:r w:rsidRPr="00193098">
                                <w:rPr>
                                  <w:rFonts w:ascii="Arial" w:hAnsi="Arial" w:cs="Arial"/>
                                  <w:lang w:val="pt-PT"/>
                                </w:rPr>
                                <w:t xml:space="preserve"> </w:t>
                              </w:r>
                            </w:p>
                          </w:txbxContent>
                        </wps:txbx>
                        <wps:bodyPr rot="0" vert="horz" wrap="square" lIns="83942" tIns="41972" rIns="83942" bIns="41972" anchor="t" anchorCtr="0" upright="1">
                          <a:noAutofit/>
                        </wps:bodyPr>
                      </wps:wsp>
                      <wps:wsp>
                        <wps:cNvPr id="59" name="AutoShape 144"/>
                        <wps:cNvSpPr>
                          <a:spLocks noChangeAspect="1" noChangeArrowheads="1"/>
                        </wps:cNvSpPr>
                        <wps:spPr bwMode="auto">
                          <a:xfrm>
                            <a:off x="2320507" y="4051493"/>
                            <a:ext cx="1330744" cy="1057910"/>
                          </a:xfrm>
                          <a:prstGeom prst="flowChartConnector">
                            <a:avLst/>
                          </a:prstGeom>
                          <a:gradFill flip="none" rotWithShape="1">
                            <a:gsLst>
                              <a:gs pos="0">
                                <a:srgbClr val="FFFF00">
                                  <a:tint val="66000"/>
                                  <a:satMod val="160000"/>
                                </a:srgbClr>
                              </a:gs>
                              <a:gs pos="27000">
                                <a:srgbClr val="FFFF00">
                                  <a:tint val="44500"/>
                                  <a:satMod val="160000"/>
                                </a:srgbClr>
                              </a:gs>
                              <a:gs pos="100000">
                                <a:srgbClr val="FFFF00">
                                  <a:tint val="23500"/>
                                  <a:satMod val="160000"/>
                                </a:srgbClr>
                              </a:gs>
                            </a:gsLst>
                            <a:lin ang="13500000" scaled="1"/>
                            <a:tileRect/>
                          </a:gradFill>
                          <a:ln w="9525">
                            <a:solidFill>
                              <a:srgbClr val="000000"/>
                            </a:solidFill>
                            <a:round/>
                            <a:headEnd/>
                            <a:tailEnd/>
                          </a:ln>
                        </wps:spPr>
                        <wps:txbx>
                          <w:txbxContent>
                            <w:p w:rsidR="004E1715" w:rsidRDefault="004E1715" w:rsidP="00946D49">
                              <w:pPr>
                                <w:jc w:val="center"/>
                                <w:rPr>
                                  <w:rFonts w:ascii="Arial" w:hAnsi="Arial" w:cs="Arial"/>
                                </w:rPr>
                              </w:pPr>
                              <w:r>
                                <w:rPr>
                                  <w:rFonts w:ascii="Arial" w:hAnsi="Arial" w:cs="Arial"/>
                                </w:rPr>
                                <w:t>Processo</w:t>
                              </w:r>
                            </w:p>
                            <w:p w:rsidR="004E1715" w:rsidRDefault="004E1715" w:rsidP="00946D49">
                              <w:pPr>
                                <w:jc w:val="center"/>
                                <w:rPr>
                                  <w:rFonts w:ascii="Arial" w:hAnsi="Arial" w:cs="Arial"/>
                                </w:rPr>
                              </w:pPr>
                              <w:r>
                                <w:rPr>
                                  <w:rFonts w:ascii="Arial" w:hAnsi="Arial" w:cs="Arial"/>
                                </w:rPr>
                                <w:t>Orçamental</w:t>
                              </w:r>
                            </w:p>
                            <w:p w:rsidR="004E1715" w:rsidRPr="00036FC6" w:rsidRDefault="004E1715" w:rsidP="00946D49">
                              <w:pPr>
                                <w:jc w:val="center"/>
                                <w:rPr>
                                  <w:rFonts w:ascii="Arial" w:hAnsi="Arial" w:cs="Arial"/>
                                </w:rPr>
                              </w:pPr>
                              <w:r>
                                <w:rPr>
                                  <w:rFonts w:ascii="Arial" w:hAnsi="Arial" w:cs="Arial"/>
                                </w:rPr>
                                <w:t>Nacional</w:t>
                              </w:r>
                            </w:p>
                          </w:txbxContent>
                        </wps:txbx>
                        <wps:bodyPr rot="0" vert="horz" wrap="square" lIns="83942" tIns="41972" rIns="83942" bIns="41972" anchor="t" anchorCtr="0" upright="1">
                          <a:noAutofit/>
                        </wps:bodyPr>
                      </wps:wsp>
                      <wps:wsp>
                        <wps:cNvPr id="60" name="AutoShape 146"/>
                        <wps:cNvCnPr>
                          <a:cxnSpLocks noChangeShapeType="1"/>
                        </wps:cNvCnPr>
                        <wps:spPr bwMode="auto">
                          <a:xfrm>
                            <a:off x="1245870" y="2450023"/>
                            <a:ext cx="1325722" cy="7079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147"/>
                        <wps:cNvCnPr>
                          <a:cxnSpLocks noChangeShapeType="1"/>
                        </wps:cNvCnPr>
                        <wps:spPr bwMode="auto">
                          <a:xfrm flipH="1">
                            <a:off x="3800475" y="771083"/>
                            <a:ext cx="13335" cy="855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148"/>
                        <wps:cNvCnPr>
                          <a:cxnSpLocks noChangeShapeType="1"/>
                        </wps:cNvCnPr>
                        <wps:spPr bwMode="auto">
                          <a:xfrm flipH="1">
                            <a:off x="2985879" y="3814436"/>
                            <a:ext cx="42754" cy="2370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149"/>
                        <wps:cNvCnPr>
                          <a:cxnSpLocks noChangeShapeType="1"/>
                        </wps:cNvCnPr>
                        <wps:spPr bwMode="auto">
                          <a:xfrm>
                            <a:off x="3456368" y="4954476"/>
                            <a:ext cx="1685862" cy="7080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AutoShape 150"/>
                        <wps:cNvCnPr>
                          <a:cxnSpLocks noChangeShapeType="1"/>
                        </wps:cNvCnPr>
                        <wps:spPr bwMode="auto">
                          <a:xfrm>
                            <a:off x="837565" y="771083"/>
                            <a:ext cx="1425575" cy="855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AutoShape 151"/>
                        <wps:cNvCnPr>
                          <a:cxnSpLocks noChangeShapeType="1"/>
                        </wps:cNvCnPr>
                        <wps:spPr bwMode="auto">
                          <a:xfrm>
                            <a:off x="2370455" y="771083"/>
                            <a:ext cx="661670" cy="736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AutoShape 152"/>
                        <wps:cNvSpPr>
                          <a:spLocks noChangeArrowheads="1"/>
                        </wps:cNvSpPr>
                        <wps:spPr bwMode="auto">
                          <a:xfrm>
                            <a:off x="301625" y="260543"/>
                            <a:ext cx="1071880" cy="491490"/>
                          </a:xfrm>
                          <a:prstGeom prst="flowChartProcess">
                            <a:avLst/>
                          </a:prstGeom>
                          <a:solidFill>
                            <a:srgbClr val="4F81BD"/>
                          </a:solidFill>
                          <a:ln w="38100">
                            <a:solidFill>
                              <a:srgbClr val="F2F2F2"/>
                            </a:solidFill>
                            <a:miter lim="800000"/>
                            <a:headEnd/>
                            <a:tailEnd/>
                          </a:ln>
                          <a:effectLst>
                            <a:outerShdw dist="28398" dir="3806097" algn="ctr" rotWithShape="0">
                              <a:srgbClr val="205867">
                                <a:alpha val="50000"/>
                              </a:srgbClr>
                            </a:outerShdw>
                          </a:effectLst>
                        </wps:spPr>
                        <wps:txbx>
                          <w:txbxContent>
                            <w:p w:rsidR="004E1715" w:rsidRDefault="004E1715" w:rsidP="00946D49">
                              <w:pPr>
                                <w:jc w:val="center"/>
                                <w:rPr>
                                  <w:rFonts w:ascii="Arial" w:hAnsi="Arial" w:cs="Arial"/>
                                  <w:lang w:val="pt-PT"/>
                                </w:rPr>
                              </w:pPr>
                              <w:r>
                                <w:rPr>
                                  <w:rFonts w:ascii="Arial" w:hAnsi="Arial" w:cs="Arial"/>
                                  <w:lang w:val="pt-PT"/>
                                </w:rPr>
                                <w:t>Ministérios</w:t>
                              </w:r>
                            </w:p>
                            <w:p w:rsidR="004E1715" w:rsidRPr="00C90DE7" w:rsidRDefault="004E1715" w:rsidP="00946D49">
                              <w:pPr>
                                <w:jc w:val="center"/>
                                <w:rPr>
                                  <w:rFonts w:ascii="Arial" w:hAnsi="Arial" w:cs="Arial"/>
                                  <w:lang w:val="pt-PT"/>
                                </w:rPr>
                              </w:pPr>
                              <w:r>
                                <w:rPr>
                                  <w:rFonts w:ascii="Arial" w:hAnsi="Arial" w:cs="Arial"/>
                                  <w:lang w:val="pt-PT"/>
                                </w:rPr>
                                <w:t>da Tutela</w:t>
                              </w:r>
                            </w:p>
                          </w:txbxContent>
                        </wps:txbx>
                        <wps:bodyPr rot="0" vert="horz" wrap="square" lIns="83942" tIns="41972" rIns="83942" bIns="41972" anchor="t" anchorCtr="0" upright="1">
                          <a:noAutofit/>
                        </wps:bodyPr>
                      </wps:wsp>
                      <wps:wsp>
                        <wps:cNvPr id="71" name="AutoShape 153"/>
                        <wps:cNvSpPr>
                          <a:spLocks noChangeArrowheads="1"/>
                        </wps:cNvSpPr>
                        <wps:spPr bwMode="auto">
                          <a:xfrm>
                            <a:off x="131445" y="2204278"/>
                            <a:ext cx="1114425" cy="491490"/>
                          </a:xfrm>
                          <a:prstGeom prst="flowChartProcess">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4E1715" w:rsidRDefault="004E1715" w:rsidP="00946D49">
                              <w:pPr>
                                <w:jc w:val="center"/>
                              </w:pPr>
                              <w:r>
                                <w:rPr>
                                  <w:rFonts w:ascii="Arial" w:hAnsi="Arial" w:cs="Arial"/>
                                </w:rPr>
                                <w:t>Poder Executivo</w:t>
                              </w:r>
                            </w:p>
                          </w:txbxContent>
                        </wps:txbx>
                        <wps:bodyPr rot="0" vert="horz" wrap="square" lIns="83942" tIns="41972" rIns="83942" bIns="41972" anchor="t" anchorCtr="0" upright="1">
                          <a:noAutofit/>
                        </wps:bodyPr>
                      </wps:wsp>
                      <wps:wsp>
                        <wps:cNvPr id="73" name="AutoShape 154"/>
                        <wps:cNvSpPr>
                          <a:spLocks noChangeArrowheads="1"/>
                        </wps:cNvSpPr>
                        <wps:spPr bwMode="auto">
                          <a:xfrm>
                            <a:off x="1809750" y="260543"/>
                            <a:ext cx="1121410" cy="491490"/>
                          </a:xfrm>
                          <a:prstGeom prst="flowChartProcess">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4E1715" w:rsidRPr="00036FC6" w:rsidRDefault="004E1715" w:rsidP="00946D49">
                              <w:pPr>
                                <w:jc w:val="center"/>
                                <w:rPr>
                                  <w:rFonts w:ascii="Arial" w:hAnsi="Arial" w:cs="Arial"/>
                                </w:rPr>
                              </w:pPr>
                              <w:r>
                                <w:rPr>
                                  <w:rFonts w:ascii="Arial" w:hAnsi="Arial" w:cs="Arial"/>
                                </w:rPr>
                                <w:t>Governos Provinciais</w:t>
                              </w:r>
                            </w:p>
                            <w:p w:rsidR="004E1715" w:rsidRPr="00036FC6" w:rsidRDefault="004E1715" w:rsidP="00946D49">
                              <w:pPr>
                                <w:jc w:val="center"/>
                                <w:rPr>
                                  <w:rFonts w:ascii="Arial" w:hAnsi="Arial" w:cs="Arial"/>
                                </w:rPr>
                              </w:pPr>
                            </w:p>
                          </w:txbxContent>
                        </wps:txbx>
                        <wps:bodyPr rot="0" vert="horz" wrap="square" lIns="83942" tIns="41972" rIns="83942" bIns="41972" anchor="t" anchorCtr="0" upright="1">
                          <a:noAutofit/>
                        </wps:bodyPr>
                      </wps:wsp>
                      <wps:wsp>
                        <wps:cNvPr id="76" name="AutoShape 155"/>
                        <wps:cNvSpPr>
                          <a:spLocks noChangeArrowheads="1"/>
                        </wps:cNvSpPr>
                        <wps:spPr bwMode="auto">
                          <a:xfrm>
                            <a:off x="3288665" y="260543"/>
                            <a:ext cx="1050290" cy="491490"/>
                          </a:xfrm>
                          <a:prstGeom prst="flowChartProcess">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4E1715" w:rsidRPr="00036FC6" w:rsidRDefault="004E1715" w:rsidP="00946D49">
                              <w:pPr>
                                <w:jc w:val="center"/>
                                <w:rPr>
                                  <w:rFonts w:ascii="Arial" w:hAnsi="Arial" w:cs="Arial"/>
                                </w:rPr>
                              </w:pPr>
                              <w:r>
                                <w:rPr>
                                  <w:rFonts w:ascii="Arial" w:hAnsi="Arial" w:cs="Arial"/>
                                </w:rPr>
                                <w:t>Governos Municipais</w:t>
                              </w:r>
                            </w:p>
                          </w:txbxContent>
                        </wps:txbx>
                        <wps:bodyPr rot="0" vert="horz" wrap="square" lIns="83942" tIns="41972" rIns="83942" bIns="41972" anchor="t" anchorCtr="0" upright="1">
                          <a:noAutofit/>
                        </wps:bodyPr>
                      </wps:wsp>
                      <wps:wsp>
                        <wps:cNvPr id="77" name="AutoShape 156"/>
                        <wps:cNvSpPr>
                          <a:spLocks noChangeArrowheads="1"/>
                        </wps:cNvSpPr>
                        <wps:spPr bwMode="auto">
                          <a:xfrm>
                            <a:off x="2114551" y="2501577"/>
                            <a:ext cx="1828164" cy="1312859"/>
                          </a:xfrm>
                          <a:prstGeom prst="flowChartExtra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rsidR="004E1715" w:rsidRPr="00193098" w:rsidRDefault="004E1715" w:rsidP="00946D49">
                              <w:pPr>
                                <w:jc w:val="center"/>
                                <w:rPr>
                                  <w:rFonts w:ascii="Arial" w:hAnsi="Arial" w:cs="Arial"/>
                                  <w:sz w:val="20"/>
                                  <w:szCs w:val="20"/>
                                  <w:lang w:val="pt-BR"/>
                                </w:rPr>
                              </w:pPr>
                              <w:r w:rsidRPr="00193098">
                                <w:rPr>
                                  <w:rFonts w:ascii="Arial" w:hAnsi="Arial" w:cs="Arial"/>
                                  <w:sz w:val="20"/>
                                  <w:szCs w:val="20"/>
                                  <w:lang w:val="pt-BR"/>
                                </w:rPr>
                                <w:t>Programa de Investimento Público</w:t>
                              </w:r>
                            </w:p>
                          </w:txbxContent>
                        </wps:txbx>
                        <wps:bodyPr rot="0" vert="horz" wrap="square" lIns="83942" tIns="41972" rIns="83942" bIns="41972" anchor="t" anchorCtr="0" upright="1">
                          <a:noAutofit/>
                        </wps:bodyPr>
                      </wps:wsp>
                      <wps:wsp>
                        <wps:cNvPr id="78" name="AutoShape 157"/>
                        <wps:cNvCnPr>
                          <a:cxnSpLocks noChangeShapeType="1"/>
                        </wps:cNvCnPr>
                        <wps:spPr bwMode="auto">
                          <a:xfrm flipH="1">
                            <a:off x="3028633" y="2319213"/>
                            <a:ext cx="3175" cy="1823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AutoShape 158"/>
                        <wps:cNvSpPr>
                          <a:spLocks noChangeArrowheads="1"/>
                        </wps:cNvSpPr>
                        <wps:spPr bwMode="auto">
                          <a:xfrm>
                            <a:off x="4660900" y="2488222"/>
                            <a:ext cx="1808479" cy="1312951"/>
                          </a:xfrm>
                          <a:prstGeom prst="flowChartExtra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4E1715" w:rsidRPr="00A13481" w:rsidRDefault="004E1715" w:rsidP="00946D49">
                              <w:pPr>
                                <w:ind w:left="-142"/>
                                <w:jc w:val="center"/>
                                <w:rPr>
                                  <w:rFonts w:ascii="Arial" w:hAnsi="Arial" w:cs="Arial"/>
                                </w:rPr>
                              </w:pPr>
                              <w:r>
                                <w:rPr>
                                  <w:rFonts w:ascii="Arial" w:hAnsi="Arial" w:cs="Arial"/>
                                </w:rPr>
                                <w:t>Ajustamento Anual do Programa</w:t>
                              </w:r>
                            </w:p>
                          </w:txbxContent>
                        </wps:txbx>
                        <wps:bodyPr rot="0" vert="horz" wrap="square" lIns="83942" tIns="41972" rIns="83942" bIns="41972" anchor="t" anchorCtr="0" upright="1">
                          <a:noAutofit/>
                        </wps:bodyPr>
                      </wps:wsp>
                      <wps:wsp>
                        <wps:cNvPr id="80" name="AutoShape 159"/>
                        <wps:cNvSpPr>
                          <a:spLocks noChangeArrowheads="1"/>
                        </wps:cNvSpPr>
                        <wps:spPr bwMode="auto">
                          <a:xfrm>
                            <a:off x="4733290" y="57906"/>
                            <a:ext cx="1705610" cy="693985"/>
                          </a:xfrm>
                          <a:prstGeom prst="hexagon">
                            <a:avLst>
                              <a:gd name="adj" fmla="val 64315"/>
                              <a:gd name="vf" fmla="val 115470"/>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4E1715" w:rsidRPr="00036FC6" w:rsidRDefault="004E1715" w:rsidP="00946D49">
                              <w:pPr>
                                <w:jc w:val="center"/>
                                <w:rPr>
                                  <w:rFonts w:ascii="Arial" w:hAnsi="Arial" w:cs="Arial"/>
                                </w:rPr>
                              </w:pPr>
                              <w:r>
                                <w:rPr>
                                  <w:rFonts w:ascii="Arial" w:hAnsi="Arial" w:cs="Arial"/>
                                </w:rPr>
                                <w:t>Agências de Execução</w:t>
                              </w:r>
                            </w:p>
                          </w:txbxContent>
                        </wps:txbx>
                        <wps:bodyPr rot="0" vert="horz" wrap="square" lIns="83942" tIns="41972" rIns="83942" bIns="41972" anchor="t" anchorCtr="0" upright="1">
                          <a:noAutofit/>
                        </wps:bodyPr>
                      </wps:wsp>
                      <wps:wsp>
                        <wps:cNvPr id="81" name="AutoShape 160"/>
                        <wps:cNvSpPr>
                          <a:spLocks noChangeArrowheads="1"/>
                        </wps:cNvSpPr>
                        <wps:spPr bwMode="auto">
                          <a:xfrm>
                            <a:off x="4681855" y="1626428"/>
                            <a:ext cx="1728470" cy="692785"/>
                          </a:xfrm>
                          <a:prstGeom prst="flowChartConnector">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4E1715" w:rsidRPr="00036FC6" w:rsidRDefault="004E1715" w:rsidP="00946D49">
                              <w:pPr>
                                <w:jc w:val="center"/>
                                <w:rPr>
                                  <w:rFonts w:ascii="Arial" w:hAnsi="Arial" w:cs="Arial"/>
                                </w:rPr>
                              </w:pPr>
                              <w:r>
                                <w:rPr>
                                  <w:rFonts w:ascii="Arial" w:hAnsi="Arial" w:cs="Arial"/>
                                </w:rPr>
                                <w:t xml:space="preserve">Assembleia  Nacional </w:t>
                              </w:r>
                            </w:p>
                          </w:txbxContent>
                        </wps:txbx>
                        <wps:bodyPr rot="0" vert="horz" wrap="square" lIns="83942" tIns="41972" rIns="83942" bIns="41972" anchor="t" anchorCtr="0" upright="1">
                          <a:noAutofit/>
                        </wps:bodyPr>
                      </wps:wsp>
                      <wps:wsp>
                        <wps:cNvPr id="82" name="AutoShape 161"/>
                        <wps:cNvCnPr>
                          <a:cxnSpLocks noChangeShapeType="1"/>
                        </wps:cNvCnPr>
                        <wps:spPr bwMode="auto">
                          <a:xfrm>
                            <a:off x="5546090" y="2319213"/>
                            <a:ext cx="19050" cy="1690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AutoShape 162"/>
                        <wps:cNvSpPr>
                          <a:spLocks noChangeArrowheads="1"/>
                        </wps:cNvSpPr>
                        <wps:spPr bwMode="auto">
                          <a:xfrm>
                            <a:off x="837565" y="938723"/>
                            <a:ext cx="886460" cy="417830"/>
                          </a:xfrm>
                          <a:prstGeom prst="roundRect">
                            <a:avLst>
                              <a:gd name="adj" fmla="val 16667"/>
                            </a:avLst>
                          </a:prstGeom>
                          <a:solidFill>
                            <a:srgbClr val="FFFFFF"/>
                          </a:solidFill>
                          <a:ln w="9525">
                            <a:solidFill>
                              <a:srgbClr val="000000"/>
                            </a:solidFill>
                            <a:round/>
                            <a:headEnd/>
                            <a:tailEnd/>
                          </a:ln>
                        </wps:spPr>
                        <wps:txbx>
                          <w:txbxContent>
                            <w:p w:rsidR="004E1715" w:rsidRPr="00521C66" w:rsidRDefault="004E1715" w:rsidP="00946D49">
                              <w:pPr>
                                <w:jc w:val="center"/>
                                <w:rPr>
                                  <w:rFonts w:ascii="Arial" w:hAnsi="Arial" w:cs="Arial"/>
                                  <w:b/>
                                  <w:color w:val="365F91"/>
                                  <w:sz w:val="18"/>
                                  <w:szCs w:val="18"/>
                                </w:rPr>
                              </w:pPr>
                              <w:r>
                                <w:rPr>
                                  <w:rFonts w:ascii="Arial" w:hAnsi="Arial" w:cs="Arial"/>
                                  <w:b/>
                                  <w:color w:val="365F91"/>
                                  <w:sz w:val="18"/>
                                  <w:szCs w:val="18"/>
                                </w:rPr>
                                <w:t>Projectos</w:t>
                              </w:r>
                            </w:p>
                            <w:p w:rsidR="004E1715" w:rsidRPr="00521C66" w:rsidRDefault="004E1715" w:rsidP="00946D49">
                              <w:pPr>
                                <w:jc w:val="center"/>
                                <w:rPr>
                                  <w:rFonts w:ascii="Arial" w:hAnsi="Arial" w:cs="Arial"/>
                                  <w:b/>
                                  <w:color w:val="365F91"/>
                                  <w:sz w:val="18"/>
                                  <w:szCs w:val="18"/>
                                </w:rPr>
                              </w:pPr>
                              <w:r>
                                <w:rPr>
                                  <w:rFonts w:ascii="Arial" w:hAnsi="Arial" w:cs="Arial"/>
                                  <w:b/>
                                  <w:color w:val="365F91"/>
                                  <w:sz w:val="18"/>
                                  <w:szCs w:val="18"/>
                                </w:rPr>
                                <w:t>Propostos</w:t>
                              </w:r>
                            </w:p>
                          </w:txbxContent>
                        </wps:txbx>
                        <wps:bodyPr rot="0" vert="horz" wrap="square" lIns="91440" tIns="45720" rIns="91440" bIns="45720" anchor="t" anchorCtr="0" upright="1">
                          <a:noAutofit/>
                        </wps:bodyPr>
                      </wps:wsp>
                      <wps:wsp>
                        <wps:cNvPr id="84" name="AutoShape 163"/>
                        <wps:cNvSpPr>
                          <a:spLocks noChangeArrowheads="1"/>
                        </wps:cNvSpPr>
                        <wps:spPr bwMode="auto">
                          <a:xfrm>
                            <a:off x="1583054" y="2568133"/>
                            <a:ext cx="901353" cy="417830"/>
                          </a:xfrm>
                          <a:prstGeom prst="roundRect">
                            <a:avLst>
                              <a:gd name="adj" fmla="val 16667"/>
                            </a:avLst>
                          </a:prstGeom>
                          <a:solidFill>
                            <a:srgbClr val="FFFFFF"/>
                          </a:solidFill>
                          <a:ln w="9525">
                            <a:solidFill>
                              <a:srgbClr val="000000"/>
                            </a:solidFill>
                            <a:round/>
                            <a:headEnd/>
                            <a:tailEnd/>
                          </a:ln>
                        </wps:spPr>
                        <wps:txbx>
                          <w:txbxContent>
                            <w:p w:rsidR="004E1715" w:rsidRPr="008F467E" w:rsidRDefault="004E1715" w:rsidP="00946D49">
                              <w:pPr>
                                <w:jc w:val="center"/>
                                <w:rPr>
                                  <w:rFonts w:ascii="Arial" w:hAnsi="Arial" w:cs="Arial"/>
                                  <w:b/>
                                  <w:color w:val="1F497D" w:themeColor="text2"/>
                                  <w:sz w:val="18"/>
                                  <w:szCs w:val="18"/>
                                </w:rPr>
                              </w:pPr>
                              <w:r>
                                <w:rPr>
                                  <w:rFonts w:ascii="Arial" w:hAnsi="Arial" w:cs="Arial"/>
                                  <w:b/>
                                  <w:color w:val="1F497D" w:themeColor="text2"/>
                                  <w:sz w:val="18"/>
                                  <w:szCs w:val="18"/>
                                </w:rPr>
                                <w:t>Projectos</w:t>
                              </w:r>
                            </w:p>
                            <w:p w:rsidR="004E1715" w:rsidRPr="008F467E" w:rsidRDefault="004E1715" w:rsidP="00946D49">
                              <w:pPr>
                                <w:jc w:val="center"/>
                                <w:rPr>
                                  <w:rFonts w:ascii="Arial" w:hAnsi="Arial" w:cs="Arial"/>
                                  <w:b/>
                                  <w:color w:val="1F497D" w:themeColor="text2"/>
                                  <w:sz w:val="18"/>
                                  <w:szCs w:val="18"/>
                                </w:rPr>
                              </w:pPr>
                              <w:r>
                                <w:rPr>
                                  <w:rFonts w:ascii="Arial" w:hAnsi="Arial" w:cs="Arial"/>
                                  <w:b/>
                                  <w:color w:val="1F497D" w:themeColor="text2"/>
                                  <w:sz w:val="18"/>
                                  <w:szCs w:val="18"/>
                                </w:rPr>
                                <w:t>Propostos</w:t>
                              </w:r>
                            </w:p>
                          </w:txbxContent>
                        </wps:txbx>
                        <wps:bodyPr rot="0" vert="horz" wrap="square" lIns="91440" tIns="45720" rIns="91440" bIns="45720" anchor="t" anchorCtr="0" upright="1">
                          <a:noAutofit/>
                        </wps:bodyPr>
                      </wps:wsp>
                      <wps:wsp>
                        <wps:cNvPr id="85" name="AutoShape 164"/>
                        <wps:cNvSpPr>
                          <a:spLocks noChangeArrowheads="1"/>
                        </wps:cNvSpPr>
                        <wps:spPr bwMode="auto">
                          <a:xfrm>
                            <a:off x="2249805" y="902528"/>
                            <a:ext cx="818515" cy="417830"/>
                          </a:xfrm>
                          <a:prstGeom prst="roundRect">
                            <a:avLst>
                              <a:gd name="adj" fmla="val 16667"/>
                            </a:avLst>
                          </a:prstGeom>
                          <a:solidFill>
                            <a:srgbClr val="FFFFFF"/>
                          </a:solidFill>
                          <a:ln w="9525">
                            <a:solidFill>
                              <a:srgbClr val="000000"/>
                            </a:solidFill>
                            <a:round/>
                            <a:headEnd/>
                            <a:tailEnd/>
                          </a:ln>
                        </wps:spPr>
                        <wps:txbx>
                          <w:txbxContent>
                            <w:p w:rsidR="004E1715" w:rsidRPr="00521C66" w:rsidRDefault="004E1715" w:rsidP="00946D49">
                              <w:pPr>
                                <w:jc w:val="center"/>
                                <w:rPr>
                                  <w:rFonts w:ascii="Arial" w:hAnsi="Arial" w:cs="Arial"/>
                                  <w:b/>
                                  <w:color w:val="365F91"/>
                                  <w:sz w:val="18"/>
                                  <w:szCs w:val="18"/>
                                </w:rPr>
                              </w:pPr>
                              <w:r>
                                <w:rPr>
                                  <w:rFonts w:ascii="Arial" w:hAnsi="Arial" w:cs="Arial"/>
                                  <w:b/>
                                  <w:color w:val="365F91"/>
                                  <w:sz w:val="18"/>
                                  <w:szCs w:val="18"/>
                                </w:rPr>
                                <w:t>Projectos</w:t>
                              </w:r>
                            </w:p>
                            <w:p w:rsidR="004E1715" w:rsidRPr="00521C66" w:rsidRDefault="004E1715" w:rsidP="00946D49">
                              <w:pPr>
                                <w:jc w:val="center"/>
                                <w:rPr>
                                  <w:rFonts w:ascii="Arial" w:hAnsi="Arial" w:cs="Arial"/>
                                  <w:b/>
                                  <w:color w:val="365F91"/>
                                  <w:sz w:val="18"/>
                                  <w:szCs w:val="18"/>
                                </w:rPr>
                              </w:pPr>
                              <w:r w:rsidRPr="00521C66">
                                <w:rPr>
                                  <w:rFonts w:ascii="Arial" w:hAnsi="Arial" w:cs="Arial"/>
                                  <w:b/>
                                  <w:color w:val="365F91"/>
                                  <w:sz w:val="18"/>
                                  <w:szCs w:val="18"/>
                                </w:rPr>
                                <w:t>Pro</w:t>
                              </w:r>
                              <w:r>
                                <w:rPr>
                                  <w:rFonts w:ascii="Arial" w:hAnsi="Arial" w:cs="Arial"/>
                                  <w:b/>
                                  <w:color w:val="365F91"/>
                                  <w:sz w:val="18"/>
                                  <w:szCs w:val="18"/>
                                </w:rPr>
                                <w:t>postos</w:t>
                              </w:r>
                              <w:r w:rsidRPr="00521C66">
                                <w:rPr>
                                  <w:rFonts w:ascii="Arial" w:hAnsi="Arial" w:cs="Arial"/>
                                  <w:b/>
                                  <w:color w:val="365F91"/>
                                  <w:sz w:val="18"/>
                                  <w:szCs w:val="18"/>
                                </w:rPr>
                                <w:t>jects</w:t>
                              </w:r>
                            </w:p>
                          </w:txbxContent>
                        </wps:txbx>
                        <wps:bodyPr rot="0" vert="horz" wrap="square" lIns="91440" tIns="45720" rIns="91440" bIns="45720" anchor="t" anchorCtr="0" upright="1">
                          <a:noAutofit/>
                        </wps:bodyPr>
                      </wps:wsp>
                      <wps:wsp>
                        <wps:cNvPr id="86" name="AutoShape 165"/>
                        <wps:cNvSpPr>
                          <a:spLocks noChangeArrowheads="1"/>
                        </wps:cNvSpPr>
                        <wps:spPr bwMode="auto">
                          <a:xfrm>
                            <a:off x="3406140" y="902528"/>
                            <a:ext cx="787400" cy="417830"/>
                          </a:xfrm>
                          <a:prstGeom prst="roundRect">
                            <a:avLst>
                              <a:gd name="adj" fmla="val 16667"/>
                            </a:avLst>
                          </a:prstGeom>
                          <a:solidFill>
                            <a:srgbClr val="FFFFFF"/>
                          </a:solidFill>
                          <a:ln w="9525">
                            <a:solidFill>
                              <a:srgbClr val="000000"/>
                            </a:solidFill>
                            <a:round/>
                            <a:headEnd/>
                            <a:tailEnd/>
                          </a:ln>
                        </wps:spPr>
                        <wps:txbx>
                          <w:txbxContent>
                            <w:p w:rsidR="004E1715" w:rsidRPr="00521C66" w:rsidRDefault="004E1715" w:rsidP="00946D49">
                              <w:pPr>
                                <w:jc w:val="center"/>
                                <w:rPr>
                                  <w:rFonts w:ascii="Arial" w:hAnsi="Arial" w:cs="Arial"/>
                                  <w:b/>
                                  <w:color w:val="365F91"/>
                                  <w:sz w:val="18"/>
                                  <w:szCs w:val="18"/>
                                </w:rPr>
                              </w:pPr>
                              <w:r>
                                <w:rPr>
                                  <w:rFonts w:ascii="Arial" w:hAnsi="Arial" w:cs="Arial"/>
                                  <w:b/>
                                  <w:color w:val="365F91"/>
                                  <w:sz w:val="18"/>
                                  <w:szCs w:val="18"/>
                                </w:rPr>
                                <w:t>Projectos</w:t>
                              </w:r>
                            </w:p>
                            <w:p w:rsidR="004E1715" w:rsidRPr="00521C66" w:rsidRDefault="004E1715" w:rsidP="00946D49">
                              <w:pPr>
                                <w:jc w:val="center"/>
                                <w:rPr>
                                  <w:rFonts w:ascii="Arial" w:hAnsi="Arial" w:cs="Arial"/>
                                  <w:b/>
                                  <w:color w:val="365F91"/>
                                  <w:sz w:val="18"/>
                                  <w:szCs w:val="18"/>
                                </w:rPr>
                              </w:pPr>
                              <w:r w:rsidRPr="00521C66">
                                <w:rPr>
                                  <w:rFonts w:ascii="Arial" w:hAnsi="Arial" w:cs="Arial"/>
                                  <w:b/>
                                  <w:color w:val="365F91"/>
                                  <w:sz w:val="18"/>
                                  <w:szCs w:val="18"/>
                                </w:rPr>
                                <w:t>Pro</w:t>
                              </w:r>
                              <w:r>
                                <w:rPr>
                                  <w:rFonts w:ascii="Arial" w:hAnsi="Arial" w:cs="Arial"/>
                                  <w:b/>
                                  <w:color w:val="365F91"/>
                                  <w:sz w:val="18"/>
                                  <w:szCs w:val="18"/>
                                </w:rPr>
                                <w:t>postoss</w:t>
                              </w:r>
                              <w:r w:rsidRPr="00521C66">
                                <w:rPr>
                                  <w:rFonts w:ascii="Arial" w:hAnsi="Arial" w:cs="Arial"/>
                                  <w:b/>
                                  <w:color w:val="365F91"/>
                                  <w:sz w:val="18"/>
                                  <w:szCs w:val="18"/>
                                </w:rPr>
                                <w:t>cts</w:t>
                              </w:r>
                            </w:p>
                          </w:txbxContent>
                        </wps:txbx>
                        <wps:bodyPr rot="0" vert="horz" wrap="square" lIns="91440" tIns="45720" rIns="91440" bIns="45720" anchor="t" anchorCtr="0" upright="1">
                          <a:noAutofit/>
                        </wps:bodyPr>
                      </wps:wsp>
                      <wps:wsp>
                        <wps:cNvPr id="87" name="AutoShape 166"/>
                        <wps:cNvCnPr>
                          <a:cxnSpLocks noChangeShapeType="1"/>
                        </wps:cNvCnPr>
                        <wps:spPr bwMode="auto">
                          <a:xfrm>
                            <a:off x="5541010" y="819343"/>
                            <a:ext cx="5080" cy="807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AutoShape 167"/>
                        <wps:cNvSpPr>
                          <a:spLocks noChangeArrowheads="1"/>
                        </wps:cNvSpPr>
                        <wps:spPr bwMode="auto">
                          <a:xfrm>
                            <a:off x="5211445" y="938720"/>
                            <a:ext cx="787400" cy="417830"/>
                          </a:xfrm>
                          <a:prstGeom prst="roundRect">
                            <a:avLst>
                              <a:gd name="adj" fmla="val 16667"/>
                            </a:avLst>
                          </a:prstGeom>
                          <a:solidFill>
                            <a:srgbClr val="FFFFFF"/>
                          </a:solidFill>
                          <a:ln w="9525">
                            <a:solidFill>
                              <a:srgbClr val="000000"/>
                            </a:solidFill>
                            <a:round/>
                            <a:headEnd/>
                            <a:tailEnd/>
                          </a:ln>
                        </wps:spPr>
                        <wps:txbx>
                          <w:txbxContent>
                            <w:p w:rsidR="004E1715" w:rsidRPr="00521C66" w:rsidRDefault="004E1715" w:rsidP="00946D49">
                              <w:pPr>
                                <w:jc w:val="center"/>
                                <w:rPr>
                                  <w:rFonts w:ascii="Arial" w:hAnsi="Arial" w:cs="Arial"/>
                                  <w:b/>
                                  <w:color w:val="943634"/>
                                  <w:sz w:val="18"/>
                                  <w:szCs w:val="18"/>
                                </w:rPr>
                              </w:pPr>
                              <w:r>
                                <w:rPr>
                                  <w:rFonts w:ascii="Arial" w:hAnsi="Arial" w:cs="Arial"/>
                                  <w:b/>
                                  <w:color w:val="943634"/>
                                  <w:sz w:val="18"/>
                                  <w:szCs w:val="18"/>
                                </w:rPr>
                                <w:t>Projectos</w:t>
                              </w:r>
                            </w:p>
                            <w:p w:rsidR="004E1715" w:rsidRPr="00521C66" w:rsidRDefault="004E1715" w:rsidP="00946D49">
                              <w:pPr>
                                <w:jc w:val="center"/>
                                <w:rPr>
                                  <w:rFonts w:ascii="Arial" w:hAnsi="Arial" w:cs="Arial"/>
                                  <w:b/>
                                  <w:color w:val="943634"/>
                                  <w:sz w:val="18"/>
                                  <w:szCs w:val="18"/>
                                </w:rPr>
                              </w:pPr>
                              <w:r>
                                <w:rPr>
                                  <w:rFonts w:ascii="Arial" w:hAnsi="Arial" w:cs="Arial"/>
                                  <w:b/>
                                  <w:color w:val="943634"/>
                                  <w:sz w:val="18"/>
                                  <w:szCs w:val="18"/>
                                </w:rPr>
                                <w:t>Revistos</w:t>
                              </w:r>
                            </w:p>
                          </w:txbxContent>
                        </wps:txbx>
                        <wps:bodyPr rot="0" vert="horz" wrap="square" lIns="91440" tIns="45720" rIns="91440" bIns="45720" anchor="t" anchorCtr="0" upright="1">
                          <a:noAutofit/>
                        </wps:bodyPr>
                      </wps:wsp>
                      <wps:wsp>
                        <wps:cNvPr id="89" name="AutoShape 168"/>
                        <wps:cNvSpPr>
                          <a:spLocks noChangeArrowheads="1"/>
                        </wps:cNvSpPr>
                        <wps:spPr bwMode="auto">
                          <a:xfrm>
                            <a:off x="3977640" y="3079631"/>
                            <a:ext cx="639445" cy="828135"/>
                          </a:xfrm>
                          <a:prstGeom prst="flowChartOffpageConnector">
                            <a:avLst/>
                          </a:prstGeom>
                          <a:solidFill>
                            <a:schemeClr val="accent1"/>
                          </a:solidFill>
                          <a:ln>
                            <a:headEnd/>
                            <a:tailEnd/>
                          </a:ln>
                        </wps:spPr>
                        <wps:style>
                          <a:lnRef idx="1">
                            <a:schemeClr val="dk1"/>
                          </a:lnRef>
                          <a:fillRef idx="2">
                            <a:schemeClr val="dk1"/>
                          </a:fillRef>
                          <a:effectRef idx="1">
                            <a:schemeClr val="dk1"/>
                          </a:effectRef>
                          <a:fontRef idx="minor">
                            <a:schemeClr val="dk1"/>
                          </a:fontRef>
                        </wps:style>
                        <wps:txbx>
                          <w:txbxContent>
                            <w:p w:rsidR="004E1715" w:rsidRPr="00193098" w:rsidRDefault="004E1715" w:rsidP="00946D49">
                              <w:pPr>
                                <w:jc w:val="center"/>
                                <w:rPr>
                                  <w:rFonts w:ascii="Arial" w:hAnsi="Arial" w:cs="Arial"/>
                                  <w:i/>
                                  <w:color w:val="FFFFFF" w:themeColor="background1"/>
                                  <w:sz w:val="16"/>
                                  <w:szCs w:val="16"/>
                                  <w:lang w:val="pt-PT"/>
                                </w:rPr>
                              </w:pPr>
                              <w:r w:rsidRPr="00193098">
                                <w:rPr>
                                  <w:rFonts w:ascii="Arial" w:hAnsi="Arial" w:cs="Arial"/>
                                  <w:i/>
                                  <w:color w:val="FFFFFF" w:themeColor="background1"/>
                                  <w:sz w:val="16"/>
                                  <w:szCs w:val="16"/>
                                  <w:lang w:val="pt-PT"/>
                                </w:rPr>
                                <w:t xml:space="preserve">Aprovado em conjunto </w:t>
                              </w:r>
                              <w:r>
                                <w:rPr>
                                  <w:rFonts w:ascii="Arial" w:hAnsi="Arial" w:cs="Arial"/>
                                  <w:i/>
                                  <w:color w:val="FFFFFF" w:themeColor="background1"/>
                                  <w:sz w:val="16"/>
                                  <w:szCs w:val="16"/>
                                  <w:lang w:val="pt-PT"/>
                                </w:rPr>
                                <w:t>com o</w:t>
                              </w:r>
                              <w:r w:rsidRPr="00193098">
                                <w:rPr>
                                  <w:rFonts w:ascii="Arial" w:hAnsi="Arial" w:cs="Arial"/>
                                  <w:i/>
                                  <w:color w:val="FFFFFF" w:themeColor="background1"/>
                                  <w:sz w:val="16"/>
                                  <w:szCs w:val="16"/>
                                  <w:lang w:val="pt-PT"/>
                                </w:rPr>
                                <w:t xml:space="preserve"> Executiv</w:t>
                              </w:r>
                              <w:r>
                                <w:rPr>
                                  <w:rFonts w:ascii="Arial" w:hAnsi="Arial" w:cs="Arial"/>
                                  <w:i/>
                                  <w:color w:val="FFFFFF" w:themeColor="background1"/>
                                  <w:sz w:val="16"/>
                                  <w:szCs w:val="16"/>
                                  <w:lang w:val="pt-PT"/>
                                </w:rPr>
                                <w:t>o</w:t>
                              </w:r>
                            </w:p>
                          </w:txbxContent>
                        </wps:txbx>
                        <wps:bodyPr rot="0" vert="horz" wrap="square" lIns="91440" tIns="45720" rIns="91440" bIns="45720" anchor="t" anchorCtr="0" upright="1">
                          <a:noAutofit/>
                        </wps:bodyPr>
                      </wps:wsp>
                      <wps:wsp>
                        <wps:cNvPr id="90" name="AutoShape 169"/>
                        <wps:cNvCnPr>
                          <a:cxnSpLocks noChangeShapeType="1"/>
                        </wps:cNvCnPr>
                        <wps:spPr bwMode="auto">
                          <a:xfrm flipH="1">
                            <a:off x="3651251" y="3801173"/>
                            <a:ext cx="1913889" cy="779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AutoShape 170"/>
                        <wps:cNvSpPr>
                          <a:spLocks noChangeArrowheads="1"/>
                        </wps:cNvSpPr>
                        <wps:spPr bwMode="auto">
                          <a:xfrm>
                            <a:off x="1859280" y="5662488"/>
                            <a:ext cx="1071880" cy="491490"/>
                          </a:xfrm>
                          <a:prstGeom prst="flowChartProcess">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4E1715" w:rsidRDefault="004E1715" w:rsidP="00946D49">
                              <w:pPr>
                                <w:jc w:val="center"/>
                                <w:rPr>
                                  <w:rFonts w:ascii="Arial" w:hAnsi="Arial" w:cs="Arial"/>
                                </w:rPr>
                              </w:pPr>
                              <w:r>
                                <w:rPr>
                                  <w:rFonts w:ascii="Arial" w:hAnsi="Arial" w:cs="Arial"/>
                                </w:rPr>
                                <w:t xml:space="preserve">Ministérios </w:t>
                              </w:r>
                            </w:p>
                            <w:p w:rsidR="004E1715" w:rsidRPr="00036FC6" w:rsidRDefault="004E1715" w:rsidP="00946D49">
                              <w:pPr>
                                <w:jc w:val="center"/>
                                <w:rPr>
                                  <w:rFonts w:ascii="Arial" w:hAnsi="Arial" w:cs="Arial"/>
                                </w:rPr>
                              </w:pPr>
                              <w:r>
                                <w:rPr>
                                  <w:rFonts w:ascii="Arial" w:hAnsi="Arial" w:cs="Arial"/>
                                </w:rPr>
                                <w:t>da Tutela</w:t>
                              </w:r>
                            </w:p>
                          </w:txbxContent>
                        </wps:txbx>
                        <wps:bodyPr rot="0" vert="horz" wrap="square" lIns="83942" tIns="41972" rIns="83942" bIns="41972" anchor="t" anchorCtr="0" upright="1">
                          <a:noAutofit/>
                        </wps:bodyPr>
                      </wps:wsp>
                      <wps:wsp>
                        <wps:cNvPr id="92" name="AutoShape 171"/>
                        <wps:cNvSpPr>
                          <a:spLocks noChangeArrowheads="1"/>
                        </wps:cNvSpPr>
                        <wps:spPr bwMode="auto">
                          <a:xfrm>
                            <a:off x="3230245" y="5662488"/>
                            <a:ext cx="1121410" cy="491490"/>
                          </a:xfrm>
                          <a:prstGeom prst="flowChartProcess">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4E1715" w:rsidRPr="00036FC6" w:rsidRDefault="004E1715" w:rsidP="00946D49">
                              <w:pPr>
                                <w:jc w:val="center"/>
                                <w:rPr>
                                  <w:rFonts w:ascii="Arial" w:hAnsi="Arial" w:cs="Arial"/>
                                </w:rPr>
                              </w:pPr>
                              <w:r>
                                <w:rPr>
                                  <w:rFonts w:ascii="Arial" w:hAnsi="Arial" w:cs="Arial"/>
                                </w:rPr>
                                <w:t>Governos Provinciais</w:t>
                              </w:r>
                            </w:p>
                            <w:p w:rsidR="004E1715" w:rsidRPr="00036FC6" w:rsidRDefault="004E1715" w:rsidP="00946D49">
                              <w:pPr>
                                <w:jc w:val="center"/>
                                <w:rPr>
                                  <w:rFonts w:ascii="Arial" w:hAnsi="Arial" w:cs="Arial"/>
                                </w:rPr>
                              </w:pPr>
                            </w:p>
                          </w:txbxContent>
                        </wps:txbx>
                        <wps:bodyPr rot="0" vert="horz" wrap="square" lIns="83942" tIns="41972" rIns="83942" bIns="41972" anchor="t" anchorCtr="0" upright="1">
                          <a:noAutofit/>
                        </wps:bodyPr>
                      </wps:wsp>
                      <wps:wsp>
                        <wps:cNvPr id="93" name="AutoShape 172"/>
                        <wps:cNvSpPr>
                          <a:spLocks noChangeArrowheads="1"/>
                        </wps:cNvSpPr>
                        <wps:spPr bwMode="auto">
                          <a:xfrm>
                            <a:off x="4617085" y="5662488"/>
                            <a:ext cx="1050290" cy="491490"/>
                          </a:xfrm>
                          <a:prstGeom prst="flowChartProcess">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4E1715" w:rsidRPr="00036FC6" w:rsidRDefault="004E1715" w:rsidP="00946D49">
                              <w:pPr>
                                <w:jc w:val="center"/>
                                <w:rPr>
                                  <w:rFonts w:ascii="Arial" w:hAnsi="Arial" w:cs="Arial"/>
                                </w:rPr>
                              </w:pPr>
                              <w:r>
                                <w:rPr>
                                  <w:rFonts w:ascii="Arial" w:hAnsi="Arial" w:cs="Arial"/>
                                </w:rPr>
                                <w:t>Governos Municipais</w:t>
                              </w:r>
                            </w:p>
                          </w:txbxContent>
                        </wps:txbx>
                        <wps:bodyPr rot="0" vert="horz" wrap="square" lIns="83942" tIns="41972" rIns="83942" bIns="41972" anchor="t" anchorCtr="0" upright="1">
                          <a:noAutofit/>
                        </wps:bodyPr>
                      </wps:wsp>
                      <wps:wsp>
                        <wps:cNvPr id="94" name="AutoShape 173"/>
                        <wps:cNvSpPr>
                          <a:spLocks noChangeArrowheads="1"/>
                        </wps:cNvSpPr>
                        <wps:spPr bwMode="auto">
                          <a:xfrm>
                            <a:off x="2249805" y="7144179"/>
                            <a:ext cx="1692910" cy="771723"/>
                          </a:xfrm>
                          <a:prstGeom prst="hexagon">
                            <a:avLst>
                              <a:gd name="adj" fmla="val 57645"/>
                              <a:gd name="vf" fmla="val 115470"/>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4E1715" w:rsidRPr="00BB4FBA" w:rsidRDefault="004E1715" w:rsidP="00946D49">
                              <w:pPr>
                                <w:jc w:val="center"/>
                                <w:rPr>
                                  <w:rFonts w:ascii="Arial" w:hAnsi="Arial" w:cs="Arial"/>
                                  <w:sz w:val="20"/>
                                  <w:szCs w:val="20"/>
                                </w:rPr>
                              </w:pPr>
                              <w:r w:rsidRPr="00BB4FBA">
                                <w:rPr>
                                  <w:rFonts w:ascii="Arial" w:hAnsi="Arial" w:cs="Arial"/>
                                  <w:sz w:val="20"/>
                                  <w:szCs w:val="20"/>
                                </w:rPr>
                                <w:t>Agências de Implementação</w:t>
                              </w:r>
                            </w:p>
                          </w:txbxContent>
                        </wps:txbx>
                        <wps:bodyPr rot="0" vert="horz" wrap="square" lIns="83942" tIns="41972" rIns="83942" bIns="41972" anchor="t" anchorCtr="0" upright="1">
                          <a:noAutofit/>
                        </wps:bodyPr>
                      </wps:wsp>
                      <wps:wsp>
                        <wps:cNvPr id="95" name="AutoShape 174"/>
                        <wps:cNvCnPr>
                          <a:cxnSpLocks noChangeShapeType="1"/>
                        </wps:cNvCnPr>
                        <wps:spPr bwMode="auto">
                          <a:xfrm>
                            <a:off x="2985879" y="5109403"/>
                            <a:ext cx="805071" cy="553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AutoShape 175"/>
                        <wps:cNvCnPr>
                          <a:cxnSpLocks noChangeShapeType="1"/>
                        </wps:cNvCnPr>
                        <wps:spPr bwMode="auto">
                          <a:xfrm flipH="1">
                            <a:off x="2395220" y="4954476"/>
                            <a:ext cx="120170" cy="7080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 name="AutoShape 176"/>
                        <wps:cNvCnPr>
                          <a:cxnSpLocks noChangeShapeType="1"/>
                        </wps:cNvCnPr>
                        <wps:spPr bwMode="auto">
                          <a:xfrm flipV="1">
                            <a:off x="3485674" y="3144698"/>
                            <a:ext cx="1627346" cy="133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AutoShape 177"/>
                        <wps:cNvSpPr>
                          <a:spLocks noChangeArrowheads="1"/>
                        </wps:cNvSpPr>
                        <wps:spPr bwMode="auto">
                          <a:xfrm>
                            <a:off x="468630" y="5662488"/>
                            <a:ext cx="1114425" cy="491490"/>
                          </a:xfrm>
                          <a:prstGeom prst="flowChartProcess">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4E1715" w:rsidRDefault="004E1715" w:rsidP="00946D49">
                              <w:pPr>
                                <w:jc w:val="center"/>
                                <w:rPr>
                                  <w:rFonts w:ascii="Arial" w:hAnsi="Arial" w:cs="Arial"/>
                                </w:rPr>
                              </w:pPr>
                              <w:r>
                                <w:rPr>
                                  <w:rFonts w:ascii="Arial" w:hAnsi="Arial" w:cs="Arial"/>
                                </w:rPr>
                                <w:t>Ramo</w:t>
                              </w:r>
                            </w:p>
                            <w:p w:rsidR="004E1715" w:rsidRDefault="004E1715" w:rsidP="00946D49">
                              <w:pPr>
                                <w:jc w:val="center"/>
                              </w:pPr>
                              <w:r>
                                <w:rPr>
                                  <w:rFonts w:ascii="Arial" w:hAnsi="Arial" w:cs="Arial"/>
                                </w:rPr>
                                <w:t>Executivo</w:t>
                              </w:r>
                            </w:p>
                          </w:txbxContent>
                        </wps:txbx>
                        <wps:bodyPr rot="0" vert="horz" wrap="square" lIns="83942" tIns="41972" rIns="83942" bIns="41972" anchor="t" anchorCtr="0" upright="1">
                          <a:noAutofit/>
                        </wps:bodyPr>
                      </wps:wsp>
                      <wps:wsp>
                        <wps:cNvPr id="291" name="AutoShape 178"/>
                        <wps:cNvCnPr>
                          <a:cxnSpLocks noChangeShapeType="1"/>
                        </wps:cNvCnPr>
                        <wps:spPr bwMode="auto">
                          <a:xfrm flipH="1">
                            <a:off x="1025843" y="4580448"/>
                            <a:ext cx="1294664" cy="1082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AutoShape 179"/>
                        <wps:cNvCnPr>
                          <a:cxnSpLocks noChangeShapeType="1"/>
                        </wps:cNvCnPr>
                        <wps:spPr bwMode="auto">
                          <a:xfrm>
                            <a:off x="1025843" y="6153978"/>
                            <a:ext cx="1223962" cy="13760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 name="AutoShape 180"/>
                        <wps:cNvCnPr>
                          <a:cxnSpLocks noChangeShapeType="1"/>
                        </wps:cNvCnPr>
                        <wps:spPr bwMode="auto">
                          <a:xfrm>
                            <a:off x="2395220" y="6153978"/>
                            <a:ext cx="299445" cy="9902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 name="AutoShape 181"/>
                        <wps:cNvCnPr>
                          <a:cxnSpLocks noChangeShapeType="1"/>
                        </wps:cNvCnPr>
                        <wps:spPr bwMode="auto">
                          <a:xfrm flipH="1">
                            <a:off x="3497855" y="6153978"/>
                            <a:ext cx="293095" cy="9902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AutoShape 182"/>
                        <wps:cNvCnPr>
                          <a:cxnSpLocks noChangeShapeType="1"/>
                        </wps:cNvCnPr>
                        <wps:spPr bwMode="auto">
                          <a:xfrm flipH="1">
                            <a:off x="3942715" y="6153978"/>
                            <a:ext cx="1199515" cy="13760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 name="AutoShape 183"/>
                        <wps:cNvSpPr>
                          <a:spLocks noChangeArrowheads="1"/>
                        </wps:cNvSpPr>
                        <wps:spPr bwMode="auto">
                          <a:xfrm>
                            <a:off x="1025843" y="6482913"/>
                            <a:ext cx="787400" cy="417830"/>
                          </a:xfrm>
                          <a:prstGeom prst="roundRect">
                            <a:avLst>
                              <a:gd name="adj" fmla="val 16667"/>
                            </a:avLst>
                          </a:prstGeom>
                          <a:solidFill>
                            <a:srgbClr val="FFFFFF"/>
                          </a:solidFill>
                          <a:ln w="9525">
                            <a:solidFill>
                              <a:srgbClr val="000000"/>
                            </a:solidFill>
                            <a:round/>
                            <a:headEnd/>
                            <a:tailEnd/>
                          </a:ln>
                        </wps:spPr>
                        <wps:txbx>
                          <w:txbxContent>
                            <w:p w:rsidR="004E1715" w:rsidRPr="00BB4FBA" w:rsidRDefault="004E1715" w:rsidP="00946D49">
                              <w:pPr>
                                <w:jc w:val="center"/>
                                <w:rPr>
                                  <w:rFonts w:ascii="Arial" w:hAnsi="Arial" w:cs="Arial"/>
                                  <w:b/>
                                  <w:color w:val="008000"/>
                                  <w:sz w:val="16"/>
                                  <w:szCs w:val="16"/>
                                </w:rPr>
                              </w:pPr>
                              <w:r w:rsidRPr="00BB4FBA">
                                <w:rPr>
                                  <w:rFonts w:ascii="Arial" w:hAnsi="Arial" w:cs="Arial"/>
                                  <w:b/>
                                  <w:color w:val="008000"/>
                                  <w:sz w:val="16"/>
                                  <w:szCs w:val="16"/>
                                </w:rPr>
                                <w:t>Projectos</w:t>
                              </w:r>
                            </w:p>
                            <w:p w:rsidR="004E1715" w:rsidRPr="00BB4FBA" w:rsidRDefault="004E1715" w:rsidP="00946D49">
                              <w:pPr>
                                <w:jc w:val="center"/>
                                <w:rPr>
                                  <w:rFonts w:ascii="Arial" w:hAnsi="Arial" w:cs="Arial"/>
                                  <w:b/>
                                  <w:color w:val="008000"/>
                                  <w:sz w:val="16"/>
                                  <w:szCs w:val="16"/>
                                </w:rPr>
                              </w:pPr>
                              <w:r w:rsidRPr="00BB4FBA">
                                <w:rPr>
                                  <w:rFonts w:ascii="Arial" w:hAnsi="Arial" w:cs="Arial"/>
                                  <w:b/>
                                  <w:color w:val="008000"/>
                                  <w:sz w:val="16"/>
                                  <w:szCs w:val="16"/>
                                </w:rPr>
                                <w:t>Aprovados</w:t>
                              </w:r>
                            </w:p>
                          </w:txbxContent>
                        </wps:txbx>
                        <wps:bodyPr rot="0" vert="horz" wrap="square" lIns="91440" tIns="45720" rIns="91440" bIns="45720" anchor="t" anchorCtr="0" upright="1">
                          <a:noAutofit/>
                        </wps:bodyPr>
                      </wps:wsp>
                      <wps:wsp>
                        <wps:cNvPr id="297" name="AutoShape 184"/>
                        <wps:cNvSpPr>
                          <a:spLocks noChangeArrowheads="1"/>
                        </wps:cNvSpPr>
                        <wps:spPr bwMode="auto">
                          <a:xfrm>
                            <a:off x="2131696" y="6482908"/>
                            <a:ext cx="787400" cy="417830"/>
                          </a:xfrm>
                          <a:prstGeom prst="roundRect">
                            <a:avLst>
                              <a:gd name="adj" fmla="val 16667"/>
                            </a:avLst>
                          </a:prstGeom>
                          <a:solidFill>
                            <a:srgbClr val="FFFFFF"/>
                          </a:solidFill>
                          <a:ln w="9525">
                            <a:solidFill>
                              <a:srgbClr val="000000"/>
                            </a:solidFill>
                            <a:round/>
                            <a:headEnd/>
                            <a:tailEnd/>
                          </a:ln>
                        </wps:spPr>
                        <wps:txbx>
                          <w:txbxContent>
                            <w:p w:rsidR="004E1715" w:rsidRPr="00BB4FBA" w:rsidRDefault="004E1715" w:rsidP="00946D49">
                              <w:pPr>
                                <w:jc w:val="center"/>
                                <w:rPr>
                                  <w:rFonts w:ascii="Arial" w:hAnsi="Arial" w:cs="Arial"/>
                                  <w:b/>
                                  <w:color w:val="008000"/>
                                  <w:sz w:val="16"/>
                                  <w:szCs w:val="16"/>
                                </w:rPr>
                              </w:pPr>
                              <w:r w:rsidRPr="00BB4FBA">
                                <w:rPr>
                                  <w:rFonts w:ascii="Arial" w:hAnsi="Arial" w:cs="Arial"/>
                                  <w:b/>
                                  <w:color w:val="008000"/>
                                  <w:sz w:val="16"/>
                                  <w:szCs w:val="16"/>
                                </w:rPr>
                                <w:t>Projectos</w:t>
                              </w:r>
                            </w:p>
                            <w:p w:rsidR="004E1715" w:rsidRPr="00BB4FBA" w:rsidRDefault="004E1715" w:rsidP="00946D49">
                              <w:pPr>
                                <w:jc w:val="center"/>
                                <w:rPr>
                                  <w:rFonts w:ascii="Arial" w:hAnsi="Arial" w:cs="Arial"/>
                                  <w:b/>
                                  <w:color w:val="008000"/>
                                  <w:sz w:val="16"/>
                                  <w:szCs w:val="16"/>
                                </w:rPr>
                              </w:pPr>
                              <w:r w:rsidRPr="00BB4FBA">
                                <w:rPr>
                                  <w:rFonts w:ascii="Arial" w:hAnsi="Arial" w:cs="Arial"/>
                                  <w:b/>
                                  <w:color w:val="008000"/>
                                  <w:sz w:val="16"/>
                                  <w:szCs w:val="16"/>
                                </w:rPr>
                                <w:t>Aprovados</w:t>
                              </w:r>
                            </w:p>
                            <w:p w:rsidR="004E1715" w:rsidRPr="00521C66" w:rsidRDefault="004E1715" w:rsidP="00946D49">
                              <w:pPr>
                                <w:jc w:val="center"/>
                                <w:rPr>
                                  <w:rFonts w:ascii="Arial" w:hAnsi="Arial" w:cs="Arial"/>
                                  <w:b/>
                                  <w:color w:val="008000"/>
                                  <w:sz w:val="18"/>
                                  <w:szCs w:val="18"/>
                                </w:rPr>
                              </w:pPr>
                            </w:p>
                          </w:txbxContent>
                        </wps:txbx>
                        <wps:bodyPr rot="0" vert="horz" wrap="square" lIns="91440" tIns="45720" rIns="91440" bIns="45720" anchor="t" anchorCtr="0" upright="1">
                          <a:noAutofit/>
                        </wps:bodyPr>
                      </wps:wsp>
                      <wps:wsp>
                        <wps:cNvPr id="298" name="AutoShape 185"/>
                        <wps:cNvSpPr>
                          <a:spLocks noChangeArrowheads="1"/>
                        </wps:cNvSpPr>
                        <wps:spPr bwMode="auto">
                          <a:xfrm>
                            <a:off x="3190240" y="6482918"/>
                            <a:ext cx="787400" cy="417830"/>
                          </a:xfrm>
                          <a:prstGeom prst="roundRect">
                            <a:avLst>
                              <a:gd name="adj" fmla="val 16667"/>
                            </a:avLst>
                          </a:prstGeom>
                          <a:solidFill>
                            <a:srgbClr val="FFFFFF"/>
                          </a:solidFill>
                          <a:ln w="9525">
                            <a:solidFill>
                              <a:srgbClr val="000000"/>
                            </a:solidFill>
                            <a:round/>
                            <a:headEnd/>
                            <a:tailEnd/>
                          </a:ln>
                        </wps:spPr>
                        <wps:txbx>
                          <w:txbxContent>
                            <w:p w:rsidR="004E1715" w:rsidRPr="00BB4FBA" w:rsidRDefault="004E1715" w:rsidP="00946D49">
                              <w:pPr>
                                <w:jc w:val="center"/>
                                <w:rPr>
                                  <w:rFonts w:ascii="Arial" w:hAnsi="Arial" w:cs="Arial"/>
                                  <w:b/>
                                  <w:color w:val="008000"/>
                                  <w:sz w:val="16"/>
                                  <w:szCs w:val="16"/>
                                </w:rPr>
                              </w:pPr>
                              <w:r w:rsidRPr="00BB4FBA">
                                <w:rPr>
                                  <w:rFonts w:ascii="Arial" w:hAnsi="Arial" w:cs="Arial"/>
                                  <w:b/>
                                  <w:color w:val="008000"/>
                                  <w:sz w:val="16"/>
                                  <w:szCs w:val="16"/>
                                </w:rPr>
                                <w:t>Projectos</w:t>
                              </w:r>
                            </w:p>
                            <w:p w:rsidR="004E1715" w:rsidRPr="00BB4FBA" w:rsidRDefault="004E1715" w:rsidP="00946D49">
                              <w:pPr>
                                <w:jc w:val="center"/>
                                <w:rPr>
                                  <w:rFonts w:ascii="Arial" w:hAnsi="Arial" w:cs="Arial"/>
                                  <w:b/>
                                  <w:color w:val="008000"/>
                                  <w:sz w:val="16"/>
                                  <w:szCs w:val="16"/>
                                </w:rPr>
                              </w:pPr>
                              <w:r w:rsidRPr="00BB4FBA">
                                <w:rPr>
                                  <w:rFonts w:ascii="Arial" w:hAnsi="Arial" w:cs="Arial"/>
                                  <w:b/>
                                  <w:color w:val="008000"/>
                                  <w:sz w:val="16"/>
                                  <w:szCs w:val="16"/>
                                </w:rPr>
                                <w:t>Aprovados</w:t>
                              </w:r>
                            </w:p>
                            <w:p w:rsidR="004E1715" w:rsidRPr="00521C66" w:rsidRDefault="004E1715" w:rsidP="00946D49">
                              <w:pPr>
                                <w:jc w:val="center"/>
                                <w:rPr>
                                  <w:rFonts w:ascii="Arial" w:hAnsi="Arial" w:cs="Arial"/>
                                  <w:b/>
                                  <w:color w:val="008000"/>
                                  <w:sz w:val="18"/>
                                  <w:szCs w:val="18"/>
                                </w:rPr>
                              </w:pPr>
                            </w:p>
                          </w:txbxContent>
                        </wps:txbx>
                        <wps:bodyPr rot="0" vert="horz" wrap="square" lIns="91440" tIns="45720" rIns="91440" bIns="45720" anchor="t" anchorCtr="0" upright="1">
                          <a:noAutofit/>
                        </wps:bodyPr>
                      </wps:wsp>
                      <wps:wsp>
                        <wps:cNvPr id="299" name="AutoShape 186"/>
                        <wps:cNvSpPr>
                          <a:spLocks noChangeArrowheads="1"/>
                        </wps:cNvSpPr>
                        <wps:spPr bwMode="auto">
                          <a:xfrm>
                            <a:off x="4424045" y="6482923"/>
                            <a:ext cx="787400" cy="417830"/>
                          </a:xfrm>
                          <a:prstGeom prst="roundRect">
                            <a:avLst>
                              <a:gd name="adj" fmla="val 16667"/>
                            </a:avLst>
                          </a:prstGeom>
                          <a:solidFill>
                            <a:srgbClr val="FFFFFF"/>
                          </a:solidFill>
                          <a:ln w="9525">
                            <a:solidFill>
                              <a:srgbClr val="000000"/>
                            </a:solidFill>
                            <a:round/>
                            <a:headEnd/>
                            <a:tailEnd/>
                          </a:ln>
                        </wps:spPr>
                        <wps:txbx>
                          <w:txbxContent>
                            <w:p w:rsidR="004E1715" w:rsidRPr="00BB4FBA" w:rsidRDefault="004E1715" w:rsidP="00946D49">
                              <w:pPr>
                                <w:jc w:val="center"/>
                                <w:rPr>
                                  <w:rFonts w:ascii="Arial" w:hAnsi="Arial" w:cs="Arial"/>
                                  <w:b/>
                                  <w:color w:val="008000"/>
                                  <w:sz w:val="16"/>
                                  <w:szCs w:val="16"/>
                                </w:rPr>
                              </w:pPr>
                              <w:r w:rsidRPr="00BB4FBA">
                                <w:rPr>
                                  <w:rFonts w:ascii="Arial" w:hAnsi="Arial" w:cs="Arial"/>
                                  <w:b/>
                                  <w:color w:val="008000"/>
                                  <w:sz w:val="16"/>
                                  <w:szCs w:val="16"/>
                                </w:rPr>
                                <w:t>Projectos</w:t>
                              </w:r>
                            </w:p>
                            <w:p w:rsidR="004E1715" w:rsidRPr="00BB4FBA" w:rsidRDefault="004E1715" w:rsidP="00946D49">
                              <w:pPr>
                                <w:jc w:val="center"/>
                                <w:rPr>
                                  <w:rFonts w:ascii="Arial" w:hAnsi="Arial" w:cs="Arial"/>
                                  <w:b/>
                                  <w:color w:val="008000"/>
                                  <w:sz w:val="16"/>
                                  <w:szCs w:val="16"/>
                                </w:rPr>
                              </w:pPr>
                              <w:r w:rsidRPr="00BB4FBA">
                                <w:rPr>
                                  <w:rFonts w:ascii="Arial" w:hAnsi="Arial" w:cs="Arial"/>
                                  <w:b/>
                                  <w:color w:val="008000"/>
                                  <w:sz w:val="16"/>
                                  <w:szCs w:val="16"/>
                                </w:rPr>
                                <w:t>Aprovados</w:t>
                              </w:r>
                            </w:p>
                            <w:p w:rsidR="004E1715" w:rsidRPr="00521C66" w:rsidRDefault="004E1715" w:rsidP="00946D49">
                              <w:pPr>
                                <w:jc w:val="center"/>
                                <w:rPr>
                                  <w:rFonts w:ascii="Arial" w:hAnsi="Arial" w:cs="Arial"/>
                                  <w:b/>
                                  <w:color w:val="008000"/>
                                  <w:sz w:val="18"/>
                                  <w:szCs w:val="18"/>
                                </w:rPr>
                              </w:pPr>
                            </w:p>
                          </w:txbxContent>
                        </wps:txbx>
                        <wps:bodyPr rot="0" vert="horz" wrap="square" lIns="91440" tIns="45720" rIns="91440" bIns="45720" anchor="t" anchorCtr="0" upright="1">
                          <a:noAutofit/>
                        </wps:bodyPr>
                      </wps:wsp>
                      <wps:wsp>
                        <wps:cNvPr id="300" name="Flowchart: Process 184"/>
                        <wps:cNvSpPr/>
                        <wps:spPr>
                          <a:xfrm>
                            <a:off x="1374735" y="4837181"/>
                            <a:ext cx="787441" cy="272222"/>
                          </a:xfrm>
                          <a:prstGeom prst="flowChartProcess">
                            <a:avLst/>
                          </a:prstGeom>
                          <a:ln/>
                        </wps:spPr>
                        <wps:style>
                          <a:lnRef idx="1">
                            <a:schemeClr val="accent3"/>
                          </a:lnRef>
                          <a:fillRef idx="2">
                            <a:schemeClr val="accent3"/>
                          </a:fillRef>
                          <a:effectRef idx="1">
                            <a:schemeClr val="accent3"/>
                          </a:effectRef>
                          <a:fontRef idx="minor">
                            <a:schemeClr val="dk1"/>
                          </a:fontRef>
                        </wps:style>
                        <wps:txbx>
                          <w:txbxContent>
                            <w:p w:rsidR="004E1715" w:rsidRDefault="004E1715" w:rsidP="00946D49">
                              <w:pPr>
                                <w:jc w:val="center"/>
                              </w:pPr>
                              <w:r>
                                <w:t>Recursos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Flowchart: Process 186"/>
                        <wps:cNvSpPr/>
                        <wps:spPr>
                          <a:xfrm>
                            <a:off x="2065021" y="5179073"/>
                            <a:ext cx="773429" cy="271780"/>
                          </a:xfrm>
                          <a:prstGeom prst="flowChartProcess">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style>
                          <a:lnRef idx="1">
                            <a:schemeClr val="accent3"/>
                          </a:lnRef>
                          <a:fillRef idx="2">
                            <a:schemeClr val="accent3"/>
                          </a:fillRef>
                          <a:effectRef idx="1">
                            <a:schemeClr val="accent3"/>
                          </a:effectRef>
                          <a:fontRef idx="minor">
                            <a:schemeClr val="dk1"/>
                          </a:fontRef>
                        </wps:style>
                        <wps:txbx>
                          <w:txbxContent>
                            <w:p w:rsidR="004E1715" w:rsidRDefault="004E1715" w:rsidP="00946D49">
                              <w:pPr>
                                <w:jc w:val="center"/>
                              </w:pPr>
                              <w:r>
                                <w:t>Recursos</w:t>
                              </w:r>
                            </w:p>
                            <w:p w:rsidR="004E1715" w:rsidRDefault="004E1715" w:rsidP="00946D49">
                              <w:pPr>
                                <w:pStyle w:val="NormalWeb"/>
                                <w:spacing w:before="0" w:beforeAutospacing="0" w:after="0" w:afterAutospacing="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2" name="Flowchart: Process 187"/>
                        <wps:cNvSpPr/>
                        <wps:spPr>
                          <a:xfrm>
                            <a:off x="4178935" y="5275875"/>
                            <a:ext cx="802639" cy="271780"/>
                          </a:xfrm>
                          <a:prstGeom prst="flowChartProcess">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style>
                          <a:lnRef idx="1">
                            <a:schemeClr val="accent3"/>
                          </a:lnRef>
                          <a:fillRef idx="2">
                            <a:schemeClr val="accent3"/>
                          </a:fillRef>
                          <a:effectRef idx="1">
                            <a:schemeClr val="accent3"/>
                          </a:effectRef>
                          <a:fontRef idx="minor">
                            <a:schemeClr val="dk1"/>
                          </a:fontRef>
                        </wps:style>
                        <wps:txbx>
                          <w:txbxContent>
                            <w:p w:rsidR="004E1715" w:rsidRDefault="004E1715" w:rsidP="00946D49">
                              <w:pPr>
                                <w:jc w:val="center"/>
                              </w:pPr>
                              <w:r>
                                <w:t>Recursos</w:t>
                              </w:r>
                            </w:p>
                            <w:p w:rsidR="004E1715" w:rsidRDefault="004E1715" w:rsidP="00946D49">
                              <w:pPr>
                                <w:pStyle w:val="NormalWeb"/>
                                <w:spacing w:before="0" w:beforeAutospacing="0" w:after="0" w:afterAutospacing="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3" name="Flowchart: Process 188"/>
                        <wps:cNvSpPr/>
                        <wps:spPr>
                          <a:xfrm>
                            <a:off x="3108325" y="5255850"/>
                            <a:ext cx="777875" cy="271780"/>
                          </a:xfrm>
                          <a:prstGeom prst="flowChartProcess">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style>
                          <a:lnRef idx="1">
                            <a:schemeClr val="accent3"/>
                          </a:lnRef>
                          <a:fillRef idx="2">
                            <a:schemeClr val="accent3"/>
                          </a:fillRef>
                          <a:effectRef idx="1">
                            <a:schemeClr val="accent3"/>
                          </a:effectRef>
                          <a:fontRef idx="minor">
                            <a:schemeClr val="dk1"/>
                          </a:fontRef>
                        </wps:style>
                        <wps:txbx>
                          <w:txbxContent>
                            <w:p w:rsidR="004E1715" w:rsidRDefault="004E1715" w:rsidP="00946D49">
                              <w:pPr>
                                <w:jc w:val="center"/>
                              </w:pPr>
                              <w:r>
                                <w:t>Recursos</w:t>
                              </w:r>
                            </w:p>
                            <w:p w:rsidR="004E1715" w:rsidRDefault="004E1715" w:rsidP="00946D49">
                              <w:pPr>
                                <w:pStyle w:val="NormalWeb"/>
                                <w:spacing w:before="0" w:beforeAutospacing="0" w:after="0" w:afterAutospacing="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76" o:spid="_x0000_s1029" editas="canvas" style="position:absolute;left:0;text-align:left;margin-left:54pt;margin-top:3.75pt;width:510pt;height:628.5pt;z-index:251702272;mso-position-horizontal-relative:page;mso-position-vertical-relative:line" coordsize="64770,79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64770;height:79819;visibility:visible;mso-wrap-style:square" stroked="t">
                  <v:fill o:detectmouseclick="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43" o:spid="_x0000_s1031" type="#_x0000_t120" style="position:absolute;left:19450;top:15076;width:21736;height:8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A8er8A&#10;AADbAAAADwAAAGRycy9kb3ducmV2LnhtbERPy4rCMBTdC/MP4QqzEU1HcRiqUUSUmaVWP+Da3D6w&#10;uSlJauvfTxaCy8N5r7eDacSDnK8tK/iaJSCIc6trLhVcL8fpDwgfkDU2lknBkzxsNx+jNaba9nym&#10;RxZKEUPYp6igCqFNpfR5RQb9zLbEkSusMxgidKXUDvsYbho5T5JvabDm2FBhS/uK8nvWGQWH62JX&#10;FJNOH/j39jzdutK1+16pz/GwW4EINIS3+OX+0wqWcWz8En+A3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YDx6vwAAANsAAAAPAAAAAAAAAAAAAAAAAJgCAABkcnMvZG93bnJl&#10;di54bWxQSwUGAAAAAAQABAD1AAAAhAMAAAAA&#10;" fillcolor="#b2a1c7 [1943]" strokecolor="#4579b8 [3044]">
                  <v:fill color2="#b2a1c7 [1943]" rotate="t" angle="315" colors="0 #d0c2e2;.5 #e1d8ec;1 #f0ecf5" focus="100%" type="gradient"/>
                  <v:shadow on="t" color="black" opacity="24903f" origin=",.5" offset="0,.55556mm"/>
                  <v:textbox inset="2.33172mm,1.1659mm,2.33172mm,1.1659mm">
                    <w:txbxContent>
                      <w:p w:rsidR="004E1715" w:rsidRPr="00193098" w:rsidRDefault="004E1715" w:rsidP="00946D49">
                        <w:pPr>
                          <w:jc w:val="center"/>
                          <w:rPr>
                            <w:rFonts w:ascii="Arial" w:hAnsi="Arial" w:cs="Arial"/>
                            <w:lang w:val="pt-PT"/>
                          </w:rPr>
                        </w:pPr>
                        <w:r w:rsidRPr="00193098">
                          <w:rPr>
                            <w:rFonts w:ascii="Arial" w:hAnsi="Arial" w:cs="Arial"/>
                            <w:lang w:val="pt-PT"/>
                          </w:rPr>
                          <w:t xml:space="preserve">Direcção Nacional do </w:t>
                        </w:r>
                        <w:r>
                          <w:rPr>
                            <w:rFonts w:ascii="Arial" w:hAnsi="Arial" w:cs="Arial"/>
                            <w:lang w:val="pt-PT"/>
                          </w:rPr>
                          <w:t>Investimento Público</w:t>
                        </w:r>
                        <w:r w:rsidRPr="00193098">
                          <w:rPr>
                            <w:rFonts w:ascii="Arial" w:hAnsi="Arial" w:cs="Arial"/>
                            <w:lang w:val="pt-PT"/>
                          </w:rPr>
                          <w:t xml:space="preserve"> </w:t>
                        </w:r>
                      </w:p>
                    </w:txbxContent>
                  </v:textbox>
                </v:shape>
                <v:shape id="AutoShape 144" o:spid="_x0000_s1032" type="#_x0000_t120" style="position:absolute;left:23205;top:40514;width:13307;height:10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ypsUA&#10;AADbAAAADwAAAGRycy9kb3ducmV2LnhtbESP3WrCQBSE7wXfYTmCd7qJf7TRjZRCqYWCRFv08pA9&#10;JrHZsyG7jenbdwtCL4eZ+YbZbHtTi45aV1lWEE8jEMS51RUXCj6OL5MHEM4ja6wtk4IfcrBNh4MN&#10;JtreOKPu4AsRIOwSVFB63yRSurwkg25qG+LgXWxr0AfZFlK3eAtwU8tZFK2kwYrDQokNPZeUfx2+&#10;jQLt3077qzt1n/r1PFvs37N43mVKjUf90xqEp97/h+/tnVawfIS/L+EH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KmxQAAANsAAAAPAAAAAAAAAAAAAAAAAJgCAABkcnMv&#10;ZG93bnJldi54bWxQSwUGAAAAAAQABAD1AAAAigMAAAAA&#10;" fillcolor="#ffff80">
                  <v:fill color2="#ffffda" rotate="t" angle="225" colors="0 #ffff80;17695f #ffffb3;1 #ffffda" focus="100%" type="gradient"/>
                  <o:lock v:ext="edit" aspectratio="t"/>
                  <v:textbox inset="2.33172mm,1.1659mm,2.33172mm,1.1659mm">
                    <w:txbxContent>
                      <w:p w:rsidR="004E1715" w:rsidRDefault="004E1715" w:rsidP="00946D49">
                        <w:pPr>
                          <w:jc w:val="center"/>
                          <w:rPr>
                            <w:rFonts w:ascii="Arial" w:hAnsi="Arial" w:cs="Arial"/>
                          </w:rPr>
                        </w:pPr>
                        <w:proofErr w:type="spellStart"/>
                        <w:r>
                          <w:rPr>
                            <w:rFonts w:ascii="Arial" w:hAnsi="Arial" w:cs="Arial"/>
                          </w:rPr>
                          <w:t>Processo</w:t>
                        </w:r>
                        <w:proofErr w:type="spellEnd"/>
                      </w:p>
                      <w:p w:rsidR="004E1715" w:rsidRDefault="004E1715" w:rsidP="00946D49">
                        <w:pPr>
                          <w:jc w:val="center"/>
                          <w:rPr>
                            <w:rFonts w:ascii="Arial" w:hAnsi="Arial" w:cs="Arial"/>
                          </w:rPr>
                        </w:pPr>
                        <w:proofErr w:type="spellStart"/>
                        <w:r>
                          <w:rPr>
                            <w:rFonts w:ascii="Arial" w:hAnsi="Arial" w:cs="Arial"/>
                          </w:rPr>
                          <w:t>Orçamental</w:t>
                        </w:r>
                        <w:proofErr w:type="spellEnd"/>
                      </w:p>
                      <w:p w:rsidR="004E1715" w:rsidRPr="00036FC6" w:rsidRDefault="004E1715" w:rsidP="00946D49">
                        <w:pPr>
                          <w:jc w:val="center"/>
                          <w:rPr>
                            <w:rFonts w:ascii="Arial" w:hAnsi="Arial" w:cs="Arial"/>
                          </w:rPr>
                        </w:pPr>
                        <w:proofErr w:type="spellStart"/>
                        <w:r>
                          <w:rPr>
                            <w:rFonts w:ascii="Arial" w:hAnsi="Arial" w:cs="Arial"/>
                          </w:rPr>
                          <w:t>Nacional</w:t>
                        </w:r>
                        <w:proofErr w:type="spellEnd"/>
                      </w:p>
                    </w:txbxContent>
                  </v:textbox>
                </v:shape>
                <v:shapetype id="_x0000_t32" coordsize="21600,21600" o:spt="32" o:oned="t" path="m,l21600,21600e" filled="f">
                  <v:path arrowok="t" fillok="f" o:connecttype="none"/>
                  <o:lock v:ext="edit" shapetype="t"/>
                </v:shapetype>
                <v:shape id="AutoShape 146" o:spid="_x0000_s1033" type="#_x0000_t32" style="position:absolute;left:12458;top:24500;width:13257;height:7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bBMAAAADbAAAADwAAAGRycy9kb3ducmV2LnhtbERPy4rCMBTdC/5DuMLsNHUWotUoIjgM&#10;igsfFN1dmmtbbG5KErX69WYxMMvDec8WranFg5yvLCsYDhIQxLnVFRcKTsd1fwzCB2SNtWVS8CIP&#10;i3m3M8NU2yfv6XEIhYgh7FNUUIbQpFL6vCSDfmAb4shdrTMYInSF1A6fMdzU8jtJRtJgxbGhxIZW&#10;JeW3w90oOG8n9+yV7WiTDSebCzrj38cfpb567XIKIlAb/sV/7l+tYBTXxy/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HmwTAAAAA2wAAAA8AAAAAAAAAAAAAAAAA&#10;oQIAAGRycy9kb3ducmV2LnhtbFBLBQYAAAAABAAEAPkAAACOAwAAAAA=&#10;">
                  <v:stroke endarrow="block"/>
                </v:shape>
                <v:shape id="AutoShape 147" o:spid="_x0000_s1034" type="#_x0000_t32" style="position:absolute;left:38004;top:7710;width:134;height:85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DGvcIAAADbAAAADwAAAGRycy9kb3ducmV2LnhtbESPwWrDMBBE74X8g9hAbrWcQExxrYQ2&#10;EAi9hLqF9rhYG1vEWhlLtZy/jwqFHoeZecNU+9n2YqLRG8cK1lkOgrhx2nCr4PPj+PgEwgdkjb1j&#10;UnAjD/vd4qHCUrvI7zTVoRUJwr5EBV0IQymlbzqy6DM3ECfv4kaLIcmxlXrEmOC2l5s8L6RFw2mh&#10;w4EOHTXX+scqMPFspuF0iK9vX99eRzK3rTNKrZbzyzOIQHP4D/+1T1pBsYbfL+kHy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DGvcIAAADbAAAADwAAAAAAAAAAAAAA&#10;AAChAgAAZHJzL2Rvd25yZXYueG1sUEsFBgAAAAAEAAQA+QAAAJADAAAAAA==&#10;">
                  <v:stroke endarrow="block"/>
                </v:shape>
                <v:shape id="AutoShape 148" o:spid="_x0000_s1035" type="#_x0000_t32" style="position:absolute;left:29858;top:38144;width:428;height:23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YysEAAADbAAAADwAAAGRycy9kb3ducmV2LnhtbESPT4vCMBTE78J+h/AW9qbpCitSjaLC&#10;gnhZ/AN6fDTPNti8lCY29dtvBMHjMDO/YebL3taio9Ybxwq+RxkI4sJpw6WC0/F3OAXhA7LG2jEp&#10;eJCH5eJjMMdcu8h76g6hFAnCPkcFVQhNLqUvKrLoR64hTt7VtRZDkm0pdYsxwW0tx1k2kRYNp4UK&#10;G9pUVNwOd6vAxD/TNdtNXO/OF68jmcePM0p9ffarGYhAfXiHX+2tVjAZw/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4ljKwQAAANsAAAAPAAAAAAAAAAAAAAAA&#10;AKECAABkcnMvZG93bnJldi54bWxQSwUGAAAAAAQABAD5AAAAjwMAAAAA&#10;">
                  <v:stroke endarrow="block"/>
                </v:shape>
                <v:shape id="AutoShape 149" o:spid="_x0000_s1036" type="#_x0000_t32" style="position:absolute;left:34563;top:49544;width:16859;height:7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UFc8UAAADbAAAADwAAAGRycy9kb3ducmV2LnhtbESPQWvCQBSE7wX/w/KE3uomL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UFc8UAAADbAAAADwAAAAAAAAAA&#10;AAAAAAChAgAAZHJzL2Rvd25yZXYueG1sUEsFBgAAAAAEAAQA+QAAAJMDAAAAAA==&#10;">
                  <v:stroke endarrow="block"/>
                </v:shape>
                <v:shape id="AutoShape 150" o:spid="_x0000_s1037" type="#_x0000_t32" style="position:absolute;left:8375;top:7710;width:14256;height:85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XAsAAAADbAAAADwAAAGRycy9kb3ducmV2LnhtbERPy4rCMBTdC/5DuMLsNHUWotUoIjgM&#10;igsfFN1dmmtbbG5KErX69WYxMMvDec8WranFg5yvLCsYDhIQxLnVFRcKTsd1fwzCB2SNtWVS8CIP&#10;i3m3M8NU2yfv6XEIhYgh7FNUUIbQpFL6vCSDfmAb4shdrTMYInSF1A6fMdzU8jtJRtJgxbGhxIZW&#10;JeW3w90oOG8n9+yV7WiTDSebCzrj38cfpb567XIKIlAb/sV/7l+tYBTHxi/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xlwLAAAAA2wAAAA8AAAAAAAAAAAAAAAAA&#10;oQIAAGRycy9kb3ducmV2LnhtbFBLBQYAAAAABAAEAPkAAACOAwAAAAA=&#10;">
                  <v:stroke endarrow="block"/>
                </v:shape>
                <v:shape id="AutoShape 151" o:spid="_x0000_s1038" type="#_x0000_t32" style="position:absolute;left:23704;top:7710;width:6617;height:73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0ymcUAAADbAAAADwAAAGRycy9kb3ducmV2LnhtbESPQWvCQBSE70L/w/IKvekmPYhJXYMU&#10;WorioVpCvT2yzySYfRt2V43++q4g9DjMzDfMvBhMJ87kfGtZQTpJQBBXVrdcK/jZfYxnIHxA1thZ&#10;JgVX8lAsnkZzzLW98Dedt6EWEcI+RwVNCH0upa8aMugntieO3sE6gyFKV0vt8BLhppOvSTKVBluO&#10;Cw329N5QddyejILfdXYqr+WGVmWarfbojL/tPpV6eR6WbyACDeE//Gh/aQX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0ymcUAAADbAAAADwAAAAAAAAAA&#10;AAAAAAChAgAAZHJzL2Rvd25yZXYueG1sUEsFBgAAAAAEAAQA+QAAAJMDAAAAAA==&#10;">
                  <v:stroke endarrow="block"/>
                </v:shape>
                <v:shapetype id="_x0000_t109" coordsize="21600,21600" o:spt="109" path="m,l,21600r21600,l21600,xe">
                  <v:stroke joinstyle="miter"/>
                  <v:path gradientshapeok="t" o:connecttype="rect"/>
                </v:shapetype>
                <v:shape id="AutoShape 152" o:spid="_x0000_s1039" type="#_x0000_t109" style="position:absolute;left:3016;top:2605;width:10719;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Od74A&#10;AADbAAAADwAAAGRycy9kb3ducmV2LnhtbERPS27CMBDdI3EHa5DYgQMLqFKciCIB3QY4wBBPPm08&#10;jmxDwu3rBVKXT++/y0fTiSc531pWsFomIIhLq1uuFdyux8UHCB+QNXaWScGLPOTZdLLDVNuBC3pe&#10;Qi1iCPsUFTQh9KmUvmzIoF/anjhylXUGQ4SultrhEMNNJ9dJspEGW44NDfZ0aKj8vTyMgqEw1Uv/&#10;VGVtN93X1Z3vp33hlJrPxv0niEBj+Be/3d9awTauj1/iD5DZ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B8Dne+AAAA2wAAAA8AAAAAAAAAAAAAAAAAmAIAAGRycy9kb3ducmV2&#10;LnhtbFBLBQYAAAAABAAEAPUAAACDAwAAAAA=&#10;" fillcolor="#4f81bd" strokecolor="#f2f2f2" strokeweight="3pt">
                  <v:shadow on="t" color="#205867" opacity=".5" offset="1pt"/>
                  <v:textbox inset="2.33172mm,1.1659mm,2.33172mm,1.1659mm">
                    <w:txbxContent>
                      <w:p w:rsidR="004E1715" w:rsidRDefault="004E1715" w:rsidP="00946D49">
                        <w:pPr>
                          <w:jc w:val="center"/>
                          <w:rPr>
                            <w:rFonts w:ascii="Arial" w:hAnsi="Arial" w:cs="Arial"/>
                            <w:lang w:val="pt-PT"/>
                          </w:rPr>
                        </w:pPr>
                        <w:r>
                          <w:rPr>
                            <w:rFonts w:ascii="Arial" w:hAnsi="Arial" w:cs="Arial"/>
                            <w:lang w:val="pt-PT"/>
                          </w:rPr>
                          <w:t>Ministérios</w:t>
                        </w:r>
                      </w:p>
                      <w:p w:rsidR="004E1715" w:rsidRPr="00C90DE7" w:rsidRDefault="004E1715" w:rsidP="00946D49">
                        <w:pPr>
                          <w:jc w:val="center"/>
                          <w:rPr>
                            <w:rFonts w:ascii="Arial" w:hAnsi="Arial" w:cs="Arial"/>
                            <w:lang w:val="pt-PT"/>
                          </w:rPr>
                        </w:pPr>
                        <w:r>
                          <w:rPr>
                            <w:rFonts w:ascii="Arial" w:hAnsi="Arial" w:cs="Arial"/>
                            <w:lang w:val="pt-PT"/>
                          </w:rPr>
                          <w:t>da Tutela</w:t>
                        </w:r>
                      </w:p>
                    </w:txbxContent>
                  </v:textbox>
                </v:shape>
                <v:shape id="AutoShape 153" o:spid="_x0000_s1040" type="#_x0000_t109" style="position:absolute;left:1314;top:22042;width:11144;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FMMQA&#10;AADbAAAADwAAAGRycy9kb3ducmV2LnhtbESPT2sCMRTE70K/Q3gFL6JZBatsjbIVpfXoH/T63Lzu&#10;Lt28LEmqq5++EQoeh5n5DTNbtKYWF3K+sqxgOEhAEOdWV1woOOzX/SkIH5A11pZJwY08LOYvnRmm&#10;2l55S5ddKESEsE9RQRlCk0rp85IM+oFtiKP3bZ3BEKUrpHZ4jXBTy1GSvEmDFceFEhtalpT/7H6N&#10;Avo4mt7m834+jTPjs7VeuXs4KNV9bbN3EIHa8Az/t7+0gskQHl/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4hTDEAAAA2wAAAA8AAAAAAAAAAAAAAAAAmAIAAGRycy9k&#10;b3ducmV2LnhtbFBLBQYAAAAABAAEAPUAAACJAwAAAAA=&#10;" fillcolor="#4f81bd" strokecolor="#f2f2f2" strokeweight="3pt">
                  <v:shadow on="t" color="#243f60" opacity=".5" offset="1pt"/>
                  <v:textbox inset="2.33172mm,1.1659mm,2.33172mm,1.1659mm">
                    <w:txbxContent>
                      <w:p w:rsidR="004E1715" w:rsidRDefault="004E1715" w:rsidP="00946D49">
                        <w:pPr>
                          <w:jc w:val="center"/>
                        </w:pPr>
                        <w:proofErr w:type="spellStart"/>
                        <w:r>
                          <w:rPr>
                            <w:rFonts w:ascii="Arial" w:hAnsi="Arial" w:cs="Arial"/>
                          </w:rPr>
                          <w:t>Poder</w:t>
                        </w:r>
                        <w:proofErr w:type="spellEnd"/>
                        <w:r>
                          <w:rPr>
                            <w:rFonts w:ascii="Arial" w:hAnsi="Arial" w:cs="Arial"/>
                          </w:rPr>
                          <w:t xml:space="preserve"> </w:t>
                        </w:r>
                        <w:proofErr w:type="spellStart"/>
                        <w:r>
                          <w:rPr>
                            <w:rFonts w:ascii="Arial" w:hAnsi="Arial" w:cs="Arial"/>
                          </w:rPr>
                          <w:t>Executivo</w:t>
                        </w:r>
                        <w:proofErr w:type="spellEnd"/>
                      </w:p>
                    </w:txbxContent>
                  </v:textbox>
                </v:shape>
                <v:shape id="AutoShape 154" o:spid="_x0000_s1041" type="#_x0000_t109" style="position:absolute;left:18097;top:2605;width:11214;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a+3MQA&#10;AADbAAAADwAAAGRycy9kb3ducmV2LnhtbESPT2sCMRTE7wW/Q3hCL0WzWqqyGmWVSuvRP+j1uXnu&#10;Lm5eliTVrZ++KRR6HGbmN8xs0Zpa3Mj5yrKCQT8BQZxbXXGh4LBf9yYgfEDWWFsmBd/kYTHvPM0w&#10;1fbOW7rtQiEihH2KCsoQmlRKn5dk0PdtQxy9i3UGQ5SukNrhPcJNLYdJMpIGK44LJTa0Kim/7r6M&#10;Aloezcvm43E+vWXGZ2v97h7hoNRzt82mIAK14T/81/7UCsav8Psl/g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mvtzEAAAA2wAAAA8AAAAAAAAAAAAAAAAAmAIAAGRycy9k&#10;b3ducmV2LnhtbFBLBQYAAAAABAAEAPUAAACJAwAAAAA=&#10;" fillcolor="#4f81bd" strokecolor="#f2f2f2" strokeweight="3pt">
                  <v:shadow on="t" color="#243f60" opacity=".5" offset="1pt"/>
                  <v:textbox inset="2.33172mm,1.1659mm,2.33172mm,1.1659mm">
                    <w:txbxContent>
                      <w:p w:rsidR="004E1715" w:rsidRPr="00036FC6" w:rsidRDefault="004E1715" w:rsidP="00946D49">
                        <w:pPr>
                          <w:jc w:val="center"/>
                          <w:rPr>
                            <w:rFonts w:ascii="Arial" w:hAnsi="Arial" w:cs="Arial"/>
                          </w:rPr>
                        </w:pPr>
                        <w:proofErr w:type="spellStart"/>
                        <w:r>
                          <w:rPr>
                            <w:rFonts w:ascii="Arial" w:hAnsi="Arial" w:cs="Arial"/>
                          </w:rPr>
                          <w:t>Governos</w:t>
                        </w:r>
                        <w:proofErr w:type="spellEnd"/>
                        <w:r>
                          <w:rPr>
                            <w:rFonts w:ascii="Arial" w:hAnsi="Arial" w:cs="Arial"/>
                          </w:rPr>
                          <w:t xml:space="preserve"> </w:t>
                        </w:r>
                        <w:proofErr w:type="spellStart"/>
                        <w:r>
                          <w:rPr>
                            <w:rFonts w:ascii="Arial" w:hAnsi="Arial" w:cs="Arial"/>
                          </w:rPr>
                          <w:t>Provinciais</w:t>
                        </w:r>
                        <w:proofErr w:type="spellEnd"/>
                      </w:p>
                      <w:p w:rsidR="004E1715" w:rsidRPr="00036FC6" w:rsidRDefault="004E1715" w:rsidP="00946D49">
                        <w:pPr>
                          <w:jc w:val="center"/>
                          <w:rPr>
                            <w:rFonts w:ascii="Arial" w:hAnsi="Arial" w:cs="Arial"/>
                          </w:rPr>
                        </w:pPr>
                      </w:p>
                    </w:txbxContent>
                  </v:textbox>
                </v:shape>
                <v:shape id="AutoShape 155" o:spid="_x0000_s1042" type="#_x0000_t109" style="position:absolute;left:32886;top:2605;width:10503;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EdRMQA&#10;AADbAAAADwAAAGRycy9kb3ducmV2LnhtbESPQWvCQBSE7wX/w/KEXorZWKgtMatEqbQetWKvr9ln&#10;Esy+DbtbTf31riD0OMzMN0w+700rTuR8Y1nBOElBEJdWN1wp2H2tRm8gfEDW2FomBX/kYT4bPOSY&#10;aXvmDZ22oRIRwj5DBXUIXSalL2sy6BPbEUfvYJ3BEKWrpHZ4jnDTyuc0nUiDDceFGjta1lQet79G&#10;AS325mn9cfn5fimML1b63V3CTqnHYV9MQQTqw3/43v7UCl4ncPsSf4C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RHUTEAAAA2wAAAA8AAAAAAAAAAAAAAAAAmAIAAGRycy9k&#10;b3ducmV2LnhtbFBLBQYAAAAABAAEAPUAAACJAwAAAAA=&#10;" fillcolor="#4f81bd" strokecolor="#f2f2f2" strokeweight="3pt">
                  <v:shadow on="t" color="#243f60" opacity=".5" offset="1pt"/>
                  <v:textbox inset="2.33172mm,1.1659mm,2.33172mm,1.1659mm">
                    <w:txbxContent>
                      <w:p w:rsidR="004E1715" w:rsidRPr="00036FC6" w:rsidRDefault="004E1715" w:rsidP="00946D49">
                        <w:pPr>
                          <w:jc w:val="center"/>
                          <w:rPr>
                            <w:rFonts w:ascii="Arial" w:hAnsi="Arial" w:cs="Arial"/>
                          </w:rPr>
                        </w:pPr>
                        <w:proofErr w:type="spellStart"/>
                        <w:r>
                          <w:rPr>
                            <w:rFonts w:ascii="Arial" w:hAnsi="Arial" w:cs="Arial"/>
                          </w:rPr>
                          <w:t>Governos</w:t>
                        </w:r>
                        <w:proofErr w:type="spellEnd"/>
                        <w:r>
                          <w:rPr>
                            <w:rFonts w:ascii="Arial" w:hAnsi="Arial" w:cs="Arial"/>
                          </w:rPr>
                          <w:t xml:space="preserve"> </w:t>
                        </w:r>
                        <w:proofErr w:type="spellStart"/>
                        <w:r>
                          <w:rPr>
                            <w:rFonts w:ascii="Arial" w:hAnsi="Arial" w:cs="Arial"/>
                          </w:rPr>
                          <w:t>Municipais</w:t>
                        </w:r>
                        <w:proofErr w:type="spellEnd"/>
                      </w:p>
                    </w:txbxContent>
                  </v:textbox>
                </v:shape>
                <v:shapetype id="_x0000_t127" coordsize="21600,21600" o:spt="127" path="m10800,l21600,21600,,21600xe">
                  <v:stroke joinstyle="miter"/>
                  <v:path gradientshapeok="t" o:connecttype="custom" o:connectlocs="10800,0;5400,10800;10800,21600;16200,10800" textboxrect="5400,10800,16200,21600"/>
                </v:shapetype>
                <v:shape id="AutoShape 156" o:spid="_x0000_s1043" type="#_x0000_t127" style="position:absolute;left:21145;top:25015;width:18282;height:13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6R0cUA&#10;AADbAAAADwAAAGRycy9kb3ducmV2LnhtbESPT2uDQBTE74F+h+UVegnNGg9GrGsIhRLppeYP7fXh&#10;vqjEfSvumthv3y0Uehxm5jdMvp1NL240us6ygvUqAkFcW91xo+B8entOQTiPrLG3TAq+ycG2eFjk&#10;mGl75wPdjr4RAcIuQwWt90MmpatbMuhWdiAO3sWOBn2QYyP1iPcAN72MoyiRBjsOCy0O9NpSfT1O&#10;RsHH+T1NqlN6Hfql/lxW01cZl3ulnh7n3QsIT7P/D/+1S61gs4HfL+EH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pHRxQAAANsAAAAPAAAAAAAAAAAAAAAAAJgCAABkcnMv&#10;ZG93bnJldi54bWxQSwUGAAAAAAQABAD1AAAAigMAAAAA&#10;" fillcolor="#fabf8f" strokecolor="#f79646" strokeweight="1pt">
                  <v:fill color2="#f79646" focus="50%" type="gradient"/>
                  <v:shadow on="t" color="#974706" offset="1pt"/>
                  <v:textbox inset="2.33172mm,1.1659mm,2.33172mm,1.1659mm">
                    <w:txbxContent>
                      <w:p w:rsidR="004E1715" w:rsidRPr="00193098" w:rsidRDefault="004E1715" w:rsidP="00946D49">
                        <w:pPr>
                          <w:jc w:val="center"/>
                          <w:rPr>
                            <w:rFonts w:ascii="Arial" w:hAnsi="Arial" w:cs="Arial"/>
                            <w:sz w:val="20"/>
                            <w:szCs w:val="20"/>
                            <w:lang w:val="pt-BR"/>
                          </w:rPr>
                        </w:pPr>
                        <w:r w:rsidRPr="00193098">
                          <w:rPr>
                            <w:rFonts w:ascii="Arial" w:hAnsi="Arial" w:cs="Arial"/>
                            <w:sz w:val="20"/>
                            <w:szCs w:val="20"/>
                            <w:lang w:val="pt-BR"/>
                          </w:rPr>
                          <w:t>Programa de Investimento Público</w:t>
                        </w:r>
                      </w:p>
                    </w:txbxContent>
                  </v:textbox>
                </v:shape>
                <v:shape id="AutoShape 157" o:spid="_x0000_s1044" type="#_x0000_t32" style="position:absolute;left:30286;top:23192;width:32;height:18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5/b4AAADbAAAADwAAAGRycy9kb3ducmV2LnhtbERPTYvCMBC9L/gfwgje1lTBXalGUUEQ&#10;L8u6C3ocmrENNpPSxKb+e3MQPD7e93Ld21p01HrjWMFknIEgLpw2XCr4/9t/zkH4gKyxdkwKHuRh&#10;vRp8LDHXLvIvdadQihTCPkcFVQhNLqUvKrLox64hTtzVtRZDgm0pdYsxhdtaTrPsS1o0nBoqbGhX&#10;UXE73a0CE39M1xx2cXs8X7yOZB4zZ5QaDfvNAkSgPrzFL/dBK/hO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0/n9vgAAANsAAAAPAAAAAAAAAAAAAAAAAKEC&#10;AABkcnMvZG93bnJldi54bWxQSwUGAAAAAAQABAD5AAAAjAMAAAAA&#10;">
                  <v:stroke endarrow="block"/>
                </v:shape>
                <v:shape id="AutoShape 158" o:spid="_x0000_s1045" type="#_x0000_t127" style="position:absolute;left:46609;top:24882;width:18084;height:13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d/sQA&#10;AADbAAAADwAAAGRycy9kb3ducmV2LnhtbESPQWvCQBSE74L/YXlCb7ppDzamrhIsiqUnE5EeH9nX&#10;JJh9G7OrSf99VxA8DjPzDbNcD6YRN+pcbVnB6ywCQVxYXXOp4JhvpzEI55E1NpZJwR85WK/GoyUm&#10;2vZ8oFvmSxEg7BJUUHnfJlK6oiKDbmZb4uD92s6gD7Irpe6wD3DTyLcomkuDNYeFClvaVFScs6tR&#10;sP3a+fSc5v0p/oy/Dz/ZPJP7i1IvkyH9AOFp8M/wo73XCt4XcP8Sf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mHf7EAAAA2wAAAA8AAAAAAAAAAAAAAAAAmAIAAGRycy9k&#10;b3ducmV2LnhtbFBLBQYAAAAABAAEAPUAAACJAwAAAAA=&#10;" fillcolor="#dfa7a6 [1621]" strokecolor="#bc4542 [3045]">
                  <v:fill color2="#f5e4e4 [501]" rotate="t" angle="180" colors="0 #ffa2a1;22938f #ffbebd;1 #ffe5e5" focus="100%" type="gradient"/>
                  <v:shadow on="t" color="black" opacity="24903f" origin=",.5" offset="0,.55556mm"/>
                  <v:textbox inset="2.33172mm,1.1659mm,2.33172mm,1.1659mm">
                    <w:txbxContent>
                      <w:p w:rsidR="004E1715" w:rsidRPr="00A13481" w:rsidRDefault="004E1715" w:rsidP="00946D49">
                        <w:pPr>
                          <w:ind w:left="-142"/>
                          <w:jc w:val="center"/>
                          <w:rPr>
                            <w:rFonts w:ascii="Arial" w:hAnsi="Arial" w:cs="Arial"/>
                          </w:rPr>
                        </w:pPr>
                        <w:proofErr w:type="spellStart"/>
                        <w:r>
                          <w:rPr>
                            <w:rFonts w:ascii="Arial" w:hAnsi="Arial" w:cs="Arial"/>
                          </w:rPr>
                          <w:t>Ajustamento</w:t>
                        </w:r>
                        <w:proofErr w:type="spellEnd"/>
                        <w:r>
                          <w:rPr>
                            <w:rFonts w:ascii="Arial" w:hAnsi="Arial" w:cs="Arial"/>
                          </w:rPr>
                          <w:t xml:space="preserve"> </w:t>
                        </w:r>
                        <w:proofErr w:type="spellStart"/>
                        <w:r>
                          <w:rPr>
                            <w:rFonts w:ascii="Arial" w:hAnsi="Arial" w:cs="Arial"/>
                          </w:rPr>
                          <w:t>Anual</w:t>
                        </w:r>
                        <w:proofErr w:type="spellEnd"/>
                        <w:r>
                          <w:rPr>
                            <w:rFonts w:ascii="Arial" w:hAnsi="Arial" w:cs="Arial"/>
                          </w:rPr>
                          <w:t xml:space="preserve"> </w:t>
                        </w:r>
                        <w:proofErr w:type="gramStart"/>
                        <w:r>
                          <w:rPr>
                            <w:rFonts w:ascii="Arial" w:hAnsi="Arial" w:cs="Arial"/>
                          </w:rPr>
                          <w:t>do</w:t>
                        </w:r>
                        <w:proofErr w:type="gramEnd"/>
                        <w:r>
                          <w:rPr>
                            <w:rFonts w:ascii="Arial" w:hAnsi="Arial" w:cs="Arial"/>
                          </w:rPr>
                          <w:t xml:space="preserve"> </w:t>
                        </w:r>
                        <w:proofErr w:type="spellStart"/>
                        <w:r>
                          <w:rPr>
                            <w:rFonts w:ascii="Arial" w:hAnsi="Arial" w:cs="Arial"/>
                          </w:rPr>
                          <w:t>Programa</w:t>
                        </w:r>
                        <w:proofErr w:type="spellEnd"/>
                      </w:p>
                    </w:txbxContent>
                  </v:textbox>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59" o:spid="_x0000_s1046" type="#_x0000_t9" style="position:absolute;left:47332;top:579;width:17057;height:6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md8AA&#10;AADbAAAADwAAAGRycy9kb3ducmV2LnhtbERPTYvCMBC9C/sfwix409Q9LFKNInZ32YsHqwWPQzO2&#10;wWZSmqjx35uD4PHxvpfraDtxo8Ebxwpm0wwEce204UbB8fA7mYPwAVlj55gUPMjDevUxWmKu3Z33&#10;dCtDI1II+xwVtCH0uZS+bsmin7qeOHFnN1gMCQ6N1APeU7jt5FeWfUuLhlNDiz1tW6ov5dUqKIrz&#10;z7Wq9sVh83fa+cZEI8uo1PgzbhYgAsXwFr/c/1rBPK1PX9IP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Gmd8AAAADbAAAADwAAAAAAAAAAAAAAAACYAgAAZHJzL2Rvd25y&#10;ZXYueG1sUEsFBgAAAAAEAAQA9QAAAIUDAAAAAA==&#10;" adj="5652" fillcolor="#c0504d" strokecolor="#f2f2f2" strokeweight="3pt">
                  <v:shadow on="t" color="#622423" opacity=".5" offset="1pt"/>
                  <v:textbox inset="2.33172mm,1.1659mm,2.33172mm,1.1659mm">
                    <w:txbxContent>
                      <w:p w:rsidR="004E1715" w:rsidRPr="00036FC6" w:rsidRDefault="004E1715" w:rsidP="00946D49">
                        <w:pPr>
                          <w:jc w:val="center"/>
                          <w:rPr>
                            <w:rFonts w:ascii="Arial" w:hAnsi="Arial" w:cs="Arial"/>
                          </w:rPr>
                        </w:pPr>
                        <w:proofErr w:type="spellStart"/>
                        <w:r>
                          <w:rPr>
                            <w:rFonts w:ascii="Arial" w:hAnsi="Arial" w:cs="Arial"/>
                          </w:rPr>
                          <w:t>Agências</w:t>
                        </w:r>
                        <w:proofErr w:type="spellEnd"/>
                        <w:r>
                          <w:rPr>
                            <w:rFonts w:ascii="Arial" w:hAnsi="Arial" w:cs="Arial"/>
                          </w:rPr>
                          <w:t xml:space="preserve"> de </w:t>
                        </w:r>
                        <w:proofErr w:type="spellStart"/>
                        <w:r>
                          <w:rPr>
                            <w:rFonts w:ascii="Arial" w:hAnsi="Arial" w:cs="Arial"/>
                          </w:rPr>
                          <w:t>Execução</w:t>
                        </w:r>
                        <w:proofErr w:type="spellEnd"/>
                      </w:p>
                    </w:txbxContent>
                  </v:textbox>
                </v:shape>
                <v:shape id="AutoShape 160" o:spid="_x0000_s1047" type="#_x0000_t120" style="position:absolute;left:46818;top:16264;width:17285;height:6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B+cUA&#10;AADbAAAADwAAAGRycy9kb3ducmV2LnhtbESPQWvCQBSE7wX/w/IEb7pRQTR1E2qpVAgtVL309sw+&#10;N6nZtyG71fTfdwtCj8PMfMOs89424kqdrx0rmE4SEMSl0zUbBcfDdrwE4QOyxsYxKfghD3k2eFhj&#10;qt2NP+i6D0ZECPsUFVQhtKmUvqzIop+4ljh6Z9dZDFF2RuoObxFuGzlLkoW0WHNcqLCl54rKy/7b&#10;Kph5Pn6dXovtvPlcvbWbF/NeFEap0bB/egQRqA//4Xt7pxUsp/D3Jf4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YH5xQAAANsAAAAPAAAAAAAAAAAAAAAAAJgCAABkcnMv&#10;ZG93bnJldi54bWxQSwUGAAAAAAQABAD1AAAAigMAAAAA&#10;" fillcolor="#92cddc" strokecolor="#92cddc" strokeweight="1pt">
                  <v:fill color2="#daeef3" angle="135" focus="50%" type="gradient"/>
                  <v:shadow on="t" color="#205867" opacity=".5" offset="1pt"/>
                  <v:textbox inset="2.33172mm,1.1659mm,2.33172mm,1.1659mm">
                    <w:txbxContent>
                      <w:p w:rsidR="004E1715" w:rsidRPr="00036FC6" w:rsidRDefault="004E1715" w:rsidP="00946D49">
                        <w:pPr>
                          <w:jc w:val="center"/>
                          <w:rPr>
                            <w:rFonts w:ascii="Arial" w:hAnsi="Arial" w:cs="Arial"/>
                          </w:rPr>
                        </w:pPr>
                        <w:proofErr w:type="gramStart"/>
                        <w:r>
                          <w:rPr>
                            <w:rFonts w:ascii="Arial" w:hAnsi="Arial" w:cs="Arial"/>
                          </w:rPr>
                          <w:t xml:space="preserve">Assembleia  </w:t>
                        </w:r>
                        <w:proofErr w:type="spellStart"/>
                        <w:r>
                          <w:rPr>
                            <w:rFonts w:ascii="Arial" w:hAnsi="Arial" w:cs="Arial"/>
                          </w:rPr>
                          <w:t>Nacional</w:t>
                        </w:r>
                        <w:proofErr w:type="spellEnd"/>
                        <w:proofErr w:type="gramEnd"/>
                        <w:r>
                          <w:rPr>
                            <w:rFonts w:ascii="Arial" w:hAnsi="Arial" w:cs="Arial"/>
                          </w:rPr>
                          <w:t xml:space="preserve"> </w:t>
                        </w:r>
                      </w:p>
                    </w:txbxContent>
                  </v:textbox>
                </v:shape>
                <v:shape id="AutoShape 161" o:spid="_x0000_s1048" type="#_x0000_t32" style="position:absolute;left:55460;top:23192;width:191;height:16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VGEsUAAADbAAAADwAAAGRycy9kb3ducmV2LnhtbESPQWvCQBSE70L/w/IKvZmNHorGrFIK&#10;SknpoSpBb4/saxKafRt2VxP767uFgsdhZr5h8s1oOnEl51vLCmZJCoK4srrlWsHxsJ0uQPiArLGz&#10;TApu5GGzfpjkmGk78Cdd96EWEcI+QwVNCH0mpa8aMugT2xNH78s6gyFKV0vtcIhw08l5mj5Lgy3H&#10;hQZ7em2o+t5fjILT+/JS3soPKsrZsjijM/7nsFPq6XF8WYEINIZ7+L/9phUs5vD3Jf4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VGEsUAAADbAAAADwAAAAAAAAAA&#10;AAAAAAChAgAAZHJzL2Rvd25yZXYueG1sUEsFBgAAAAAEAAQA+QAAAJMDAAAAAA==&#10;">
                  <v:stroke endarrow="block"/>
                </v:shape>
                <v:roundrect id="AutoShape 162" o:spid="_x0000_s1049" style="position:absolute;left:8375;top:9387;width:8865;height:41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9msMA&#10;AADbAAAADwAAAGRycy9kb3ducmV2LnhtbESPQWsCMRSE7wX/Q3hCbzWx0qKrUUSo9Fa6evD43Dx3&#10;Fzcva5Jdt/31TaHQ4zAz3zCrzWAb0ZMPtWMN04kCQVw4U3Op4Xh4e5qDCBHZYOOYNHxRgM169LDC&#10;zLg7f1Kfx1IkCIcMNVQxtpmUoajIYpi4ljh5F+ctxiR9KY3He4LbRj4r9Sot1pwWKmxpV1FxzTur&#10;oTCqU/7UfyzOLzH/7rsby/1N68fxsF2CiDTE//Bf+91omM/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h9msMAAADbAAAADwAAAAAAAAAAAAAAAACYAgAAZHJzL2Rv&#10;d25yZXYueG1sUEsFBgAAAAAEAAQA9QAAAIgDAAAAAA==&#10;">
                  <v:textbox>
                    <w:txbxContent>
                      <w:p w:rsidR="004E1715" w:rsidRPr="00521C66" w:rsidRDefault="004E1715" w:rsidP="00946D49">
                        <w:pPr>
                          <w:jc w:val="center"/>
                          <w:rPr>
                            <w:rFonts w:ascii="Arial" w:hAnsi="Arial" w:cs="Arial"/>
                            <w:b/>
                            <w:color w:val="365F91"/>
                            <w:sz w:val="18"/>
                            <w:szCs w:val="18"/>
                          </w:rPr>
                        </w:pPr>
                        <w:proofErr w:type="spellStart"/>
                        <w:r>
                          <w:rPr>
                            <w:rFonts w:ascii="Arial" w:hAnsi="Arial" w:cs="Arial"/>
                            <w:b/>
                            <w:color w:val="365F91"/>
                            <w:sz w:val="18"/>
                            <w:szCs w:val="18"/>
                          </w:rPr>
                          <w:t>Projectos</w:t>
                        </w:r>
                        <w:proofErr w:type="spellEnd"/>
                      </w:p>
                      <w:p w:rsidR="004E1715" w:rsidRPr="00521C66" w:rsidRDefault="004E1715" w:rsidP="00946D49">
                        <w:pPr>
                          <w:jc w:val="center"/>
                          <w:rPr>
                            <w:rFonts w:ascii="Arial" w:hAnsi="Arial" w:cs="Arial"/>
                            <w:b/>
                            <w:color w:val="365F91"/>
                            <w:sz w:val="18"/>
                            <w:szCs w:val="18"/>
                          </w:rPr>
                        </w:pPr>
                        <w:proofErr w:type="spellStart"/>
                        <w:r>
                          <w:rPr>
                            <w:rFonts w:ascii="Arial" w:hAnsi="Arial" w:cs="Arial"/>
                            <w:b/>
                            <w:color w:val="365F91"/>
                            <w:sz w:val="18"/>
                            <w:szCs w:val="18"/>
                          </w:rPr>
                          <w:t>Propostos</w:t>
                        </w:r>
                        <w:proofErr w:type="spellEnd"/>
                      </w:p>
                    </w:txbxContent>
                  </v:textbox>
                </v:roundrect>
                <v:roundrect id="AutoShape 163" o:spid="_x0000_s1050" style="position:absolute;left:15830;top:25681;width:9014;height:41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l7sMA&#10;AADbAAAADwAAAGRycy9kb3ducmV2LnhtbESPQWsCMRSE7wX/Q3hCbzWx2KKrUUSo9Fa6evD43Dx3&#10;Fzcva5Jdt/31TaHQ4zAz3zCrzWAb0ZMPtWMN04kCQVw4U3Op4Xh4e5qDCBHZYOOYNHxRgM169LDC&#10;zLg7f1Kfx1IkCIcMNVQxtpmUoajIYpi4ljh5F+ctxiR9KY3He4LbRj4r9Sot1pwWKmxpV1FxzTur&#10;oTCqU/7UfyzOLzH/7rsby/1N68fxsF2CiDTE//Bf+91omM/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Hl7sMAAADbAAAADwAAAAAAAAAAAAAAAACYAgAAZHJzL2Rv&#10;d25yZXYueG1sUEsFBgAAAAAEAAQA9QAAAIgDAAAAAA==&#10;">
                  <v:textbox>
                    <w:txbxContent>
                      <w:p w:rsidR="004E1715" w:rsidRPr="008F467E" w:rsidRDefault="004E1715" w:rsidP="00946D49">
                        <w:pPr>
                          <w:jc w:val="center"/>
                          <w:rPr>
                            <w:rFonts w:ascii="Arial" w:hAnsi="Arial" w:cs="Arial"/>
                            <w:b/>
                            <w:color w:val="1F497D" w:themeColor="text2"/>
                            <w:sz w:val="18"/>
                            <w:szCs w:val="18"/>
                          </w:rPr>
                        </w:pPr>
                        <w:proofErr w:type="spellStart"/>
                        <w:r>
                          <w:rPr>
                            <w:rFonts w:ascii="Arial" w:hAnsi="Arial" w:cs="Arial"/>
                            <w:b/>
                            <w:color w:val="1F497D" w:themeColor="text2"/>
                            <w:sz w:val="18"/>
                            <w:szCs w:val="18"/>
                          </w:rPr>
                          <w:t>Projectos</w:t>
                        </w:r>
                        <w:proofErr w:type="spellEnd"/>
                      </w:p>
                      <w:p w:rsidR="004E1715" w:rsidRPr="008F467E" w:rsidRDefault="004E1715" w:rsidP="00946D49">
                        <w:pPr>
                          <w:jc w:val="center"/>
                          <w:rPr>
                            <w:rFonts w:ascii="Arial" w:hAnsi="Arial" w:cs="Arial"/>
                            <w:b/>
                            <w:color w:val="1F497D" w:themeColor="text2"/>
                            <w:sz w:val="18"/>
                            <w:szCs w:val="18"/>
                          </w:rPr>
                        </w:pPr>
                        <w:proofErr w:type="spellStart"/>
                        <w:r>
                          <w:rPr>
                            <w:rFonts w:ascii="Arial" w:hAnsi="Arial" w:cs="Arial"/>
                            <w:b/>
                            <w:color w:val="1F497D" w:themeColor="text2"/>
                            <w:sz w:val="18"/>
                            <w:szCs w:val="18"/>
                          </w:rPr>
                          <w:t>Propostos</w:t>
                        </w:r>
                        <w:proofErr w:type="spellEnd"/>
                      </w:p>
                    </w:txbxContent>
                  </v:textbox>
                </v:roundrect>
                <v:roundrect id="AutoShape 164" o:spid="_x0000_s1051" style="position:absolute;left:22498;top:9025;width:8185;height:41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1AdcMA&#10;AADbAAAADwAAAGRycy9kb3ducmV2LnhtbESPQWsCMRSE7wX/Q3iCt5pYsOhqFBEs3kq3Hjw+N8/d&#10;xc3LmmTXbX99Uyj0OMzMN8x6O9hG9ORD7VjDbKpAEBfO1FxqOH0enhcgQkQ22DgmDV8UYLsZPa0x&#10;M+7BH9TnsRQJwiFDDVWMbSZlKCqyGKauJU7e1XmLMUlfSuPxkeC2kS9KvUqLNaeFClvaV1Tc8s5q&#10;KIzqlD/378vLPObffXdn+XbXejIedisQkYb4H/5rH42GxR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1AdcMAAADbAAAADwAAAAAAAAAAAAAAAACYAgAAZHJzL2Rv&#10;d25yZXYueG1sUEsFBgAAAAAEAAQA9QAAAIgDAAAAAA==&#10;">
                  <v:textbox>
                    <w:txbxContent>
                      <w:p w:rsidR="004E1715" w:rsidRPr="00521C66" w:rsidRDefault="004E1715" w:rsidP="00946D49">
                        <w:pPr>
                          <w:jc w:val="center"/>
                          <w:rPr>
                            <w:rFonts w:ascii="Arial" w:hAnsi="Arial" w:cs="Arial"/>
                            <w:b/>
                            <w:color w:val="365F91"/>
                            <w:sz w:val="18"/>
                            <w:szCs w:val="18"/>
                          </w:rPr>
                        </w:pPr>
                        <w:proofErr w:type="spellStart"/>
                        <w:r>
                          <w:rPr>
                            <w:rFonts w:ascii="Arial" w:hAnsi="Arial" w:cs="Arial"/>
                            <w:b/>
                            <w:color w:val="365F91"/>
                            <w:sz w:val="18"/>
                            <w:szCs w:val="18"/>
                          </w:rPr>
                          <w:t>Projectos</w:t>
                        </w:r>
                        <w:proofErr w:type="spellEnd"/>
                      </w:p>
                      <w:p w:rsidR="004E1715" w:rsidRPr="00521C66" w:rsidRDefault="004E1715" w:rsidP="00946D49">
                        <w:pPr>
                          <w:jc w:val="center"/>
                          <w:rPr>
                            <w:rFonts w:ascii="Arial" w:hAnsi="Arial" w:cs="Arial"/>
                            <w:b/>
                            <w:color w:val="365F91"/>
                            <w:sz w:val="18"/>
                            <w:szCs w:val="18"/>
                          </w:rPr>
                        </w:pPr>
                        <w:proofErr w:type="spellStart"/>
                        <w:r w:rsidRPr="00521C66">
                          <w:rPr>
                            <w:rFonts w:ascii="Arial" w:hAnsi="Arial" w:cs="Arial"/>
                            <w:b/>
                            <w:color w:val="365F91"/>
                            <w:sz w:val="18"/>
                            <w:szCs w:val="18"/>
                          </w:rPr>
                          <w:t>Pro</w:t>
                        </w:r>
                        <w:r>
                          <w:rPr>
                            <w:rFonts w:ascii="Arial" w:hAnsi="Arial" w:cs="Arial"/>
                            <w:b/>
                            <w:color w:val="365F91"/>
                            <w:sz w:val="18"/>
                            <w:szCs w:val="18"/>
                          </w:rPr>
                          <w:t>postos</w:t>
                        </w:r>
                        <w:r w:rsidRPr="00521C66">
                          <w:rPr>
                            <w:rFonts w:ascii="Arial" w:hAnsi="Arial" w:cs="Arial"/>
                            <w:b/>
                            <w:color w:val="365F91"/>
                            <w:sz w:val="18"/>
                            <w:szCs w:val="18"/>
                          </w:rPr>
                          <w:t>jects</w:t>
                        </w:r>
                        <w:proofErr w:type="spellEnd"/>
                      </w:p>
                    </w:txbxContent>
                  </v:textbox>
                </v:roundrect>
                <v:roundrect id="AutoShape 165" o:spid="_x0000_s1052" style="position:absolute;left:34061;top:9025;width:7874;height:41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AsMA&#10;AADbAAAADwAAAGRycy9kb3ducmV2LnhtbESPQWsCMRSE7wX/Q3hCbzWxoOhqFBEs3kq3Hjw+N8/d&#10;xc3LmmTXbX99Uyj0OMzMN8x6O9hG9ORD7VjDdKJAEBfO1FxqOH0eXhYgQkQ22DgmDV8UYLsZPa0x&#10;M+7BH9TnsRQJwiFDDVWMbSZlKCqyGCauJU7e1XmLMUlfSuPxkeC2ka9KzaXFmtNChS3tKypueWc1&#10;FEZ1yp/79+VlFvPvvruzfLtr/TwedisQkYb4H/5rH42GxR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eAsMAAADbAAAADwAAAAAAAAAAAAAAAACYAgAAZHJzL2Rv&#10;d25yZXYueG1sUEsFBgAAAAAEAAQA9QAAAIgDAAAAAA==&#10;">
                  <v:textbox>
                    <w:txbxContent>
                      <w:p w:rsidR="004E1715" w:rsidRPr="00521C66" w:rsidRDefault="004E1715" w:rsidP="00946D49">
                        <w:pPr>
                          <w:jc w:val="center"/>
                          <w:rPr>
                            <w:rFonts w:ascii="Arial" w:hAnsi="Arial" w:cs="Arial"/>
                            <w:b/>
                            <w:color w:val="365F91"/>
                            <w:sz w:val="18"/>
                            <w:szCs w:val="18"/>
                          </w:rPr>
                        </w:pPr>
                        <w:proofErr w:type="spellStart"/>
                        <w:r>
                          <w:rPr>
                            <w:rFonts w:ascii="Arial" w:hAnsi="Arial" w:cs="Arial"/>
                            <w:b/>
                            <w:color w:val="365F91"/>
                            <w:sz w:val="18"/>
                            <w:szCs w:val="18"/>
                          </w:rPr>
                          <w:t>Projectos</w:t>
                        </w:r>
                        <w:proofErr w:type="spellEnd"/>
                      </w:p>
                      <w:p w:rsidR="004E1715" w:rsidRPr="00521C66" w:rsidRDefault="004E1715" w:rsidP="00946D49">
                        <w:pPr>
                          <w:jc w:val="center"/>
                          <w:rPr>
                            <w:rFonts w:ascii="Arial" w:hAnsi="Arial" w:cs="Arial"/>
                            <w:b/>
                            <w:color w:val="365F91"/>
                            <w:sz w:val="18"/>
                            <w:szCs w:val="18"/>
                          </w:rPr>
                        </w:pPr>
                        <w:proofErr w:type="spellStart"/>
                        <w:r w:rsidRPr="00521C66">
                          <w:rPr>
                            <w:rFonts w:ascii="Arial" w:hAnsi="Arial" w:cs="Arial"/>
                            <w:b/>
                            <w:color w:val="365F91"/>
                            <w:sz w:val="18"/>
                            <w:szCs w:val="18"/>
                          </w:rPr>
                          <w:t>Pro</w:t>
                        </w:r>
                        <w:r>
                          <w:rPr>
                            <w:rFonts w:ascii="Arial" w:hAnsi="Arial" w:cs="Arial"/>
                            <w:b/>
                            <w:color w:val="365F91"/>
                            <w:sz w:val="18"/>
                            <w:szCs w:val="18"/>
                          </w:rPr>
                          <w:t>postoss</w:t>
                        </w:r>
                        <w:r w:rsidRPr="00521C66">
                          <w:rPr>
                            <w:rFonts w:ascii="Arial" w:hAnsi="Arial" w:cs="Arial"/>
                            <w:b/>
                            <w:color w:val="365F91"/>
                            <w:sz w:val="18"/>
                            <w:szCs w:val="18"/>
                          </w:rPr>
                          <w:t>cts</w:t>
                        </w:r>
                        <w:proofErr w:type="spellEnd"/>
                      </w:p>
                    </w:txbxContent>
                  </v:textbox>
                </v:roundrect>
                <v:shape id="AutoShape 166" o:spid="_x0000_s1053" type="#_x0000_t32" style="position:absolute;left:55410;top:8193;width:50;height:80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LlisUAAADbAAAADwAAAGRycy9kb3ducmV2LnhtbESPQWvCQBSE7wX/w/KE3urGHqpGVxHB&#10;Uiw9aErQ2yP7TILZt2F31eiv7wpCj8PMfMPMFp1pxIWcry0rGA4SEMSF1TWXCn6z9dsYhA/IGhvL&#10;pOBGHhbz3ssMU22vvKXLLpQiQtinqKAKoU2l9EVFBv3AtsTRO1pnMETpSqkdXiPcNPI9ST6kwZrj&#10;QoUtrSoqTruzUbD/npzzW/5Dm3w42RzQGX/PPpV67XfLKYhAXfgPP9tfWsF4BI8v8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LlisUAAADbAAAADwAAAAAAAAAA&#10;AAAAAAChAgAAZHJzL2Rvd25yZXYueG1sUEsFBgAAAAAEAAQA+QAAAJMDAAAAAA==&#10;">
                  <v:stroke endarrow="block"/>
                </v:shape>
                <v:roundrect id="AutoShape 167" o:spid="_x0000_s1054" style="position:absolute;left:52114;top:9387;width:7874;height:41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v68AA&#10;AADbAAAADwAAAGRycy9kb3ducmV2LnhtbERPz2vCMBS+C/4P4Qm7aeJA0c4oMtjwNqwePL41b21Z&#10;81KTtHb7681B8Pjx/d7sBtuInnyoHWuYzxQI4sKZmksN59PHdAUiRGSDjWPS8EcBdtvxaIOZcTc+&#10;Up/HUqQQDhlqqGJsMylDUZHFMHMtceJ+nLcYE/SlNB5vKdw28lWppbRYc2qosKX3iorfvLMaCqM6&#10;5S/91/p7EfP/vruy/Lxq/TIZ9m8gIg3xKX64D0bDKo1NX9IP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zv68AAAADbAAAADwAAAAAAAAAAAAAAAACYAgAAZHJzL2Rvd25y&#10;ZXYueG1sUEsFBgAAAAAEAAQA9QAAAIUDAAAAAA==&#10;">
                  <v:textbox>
                    <w:txbxContent>
                      <w:p w:rsidR="004E1715" w:rsidRPr="00521C66" w:rsidRDefault="004E1715" w:rsidP="00946D49">
                        <w:pPr>
                          <w:jc w:val="center"/>
                          <w:rPr>
                            <w:rFonts w:ascii="Arial" w:hAnsi="Arial" w:cs="Arial"/>
                            <w:b/>
                            <w:color w:val="943634"/>
                            <w:sz w:val="18"/>
                            <w:szCs w:val="18"/>
                          </w:rPr>
                        </w:pPr>
                        <w:proofErr w:type="spellStart"/>
                        <w:r>
                          <w:rPr>
                            <w:rFonts w:ascii="Arial" w:hAnsi="Arial" w:cs="Arial"/>
                            <w:b/>
                            <w:color w:val="943634"/>
                            <w:sz w:val="18"/>
                            <w:szCs w:val="18"/>
                          </w:rPr>
                          <w:t>Projectos</w:t>
                        </w:r>
                        <w:proofErr w:type="spellEnd"/>
                      </w:p>
                      <w:p w:rsidR="004E1715" w:rsidRPr="00521C66" w:rsidRDefault="004E1715" w:rsidP="00946D49">
                        <w:pPr>
                          <w:jc w:val="center"/>
                          <w:rPr>
                            <w:rFonts w:ascii="Arial" w:hAnsi="Arial" w:cs="Arial"/>
                            <w:b/>
                            <w:color w:val="943634"/>
                            <w:sz w:val="18"/>
                            <w:szCs w:val="18"/>
                          </w:rPr>
                        </w:pPr>
                        <w:proofErr w:type="spellStart"/>
                        <w:r>
                          <w:rPr>
                            <w:rFonts w:ascii="Arial" w:hAnsi="Arial" w:cs="Arial"/>
                            <w:b/>
                            <w:color w:val="943634"/>
                            <w:sz w:val="18"/>
                            <w:szCs w:val="18"/>
                          </w:rPr>
                          <w:t>Revistos</w:t>
                        </w:r>
                        <w:proofErr w:type="spellEnd"/>
                      </w:p>
                    </w:txbxContent>
                  </v:textbox>
                </v:roundrect>
                <v:shapetype id="_x0000_t177" coordsize="21600,21600" o:spt="177" path="m,l21600,r,17255l10800,21600,,17255xe">
                  <v:stroke joinstyle="miter"/>
                  <v:path gradientshapeok="t" o:connecttype="rect" textboxrect="0,0,21600,17255"/>
                </v:shapetype>
                <v:shape id="AutoShape 168" o:spid="_x0000_s1055" type="#_x0000_t177" style="position:absolute;left:39776;top:30796;width:6394;height:8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hVfcEA&#10;AADbAAAADwAAAGRycy9kb3ducmV2LnhtbESPQYvCMBSE74L/ITzBi6ypgqJdo4igeHK1etnbo3nb&#10;FpuXkkSt/94ICx6HmfmGWaxaU4s7OV9ZVjAaJiCIc6srLhRcztuvGQgfkDXWlknBkzyslt3OAlNt&#10;H3yiexYKESHsU1RQhtCkUvq8JIN+aBvi6P1ZZzBE6QqpHT4i3NRynCRTabDiuFBiQ5uS8mt2M5Hy&#10;OznkOz5u1pQN7A/XA3eWB6X6vXb9DSJQGz7h//ZeK5jN4f0l/g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oVX3BAAAA2wAAAA8AAAAAAAAAAAAAAAAAmAIAAGRycy9kb3du&#10;cmV2LnhtbFBLBQYAAAAABAAEAPUAAACGAwAAAAA=&#10;" fillcolor="#4f81bd [3204]" strokecolor="black [3040]">
                  <v:shadow on="t" color="black" opacity="24903f" origin=",.5" offset="0,.55556mm"/>
                  <v:textbox>
                    <w:txbxContent>
                      <w:p w:rsidR="004E1715" w:rsidRPr="00193098" w:rsidRDefault="004E1715" w:rsidP="00946D49">
                        <w:pPr>
                          <w:jc w:val="center"/>
                          <w:rPr>
                            <w:rFonts w:ascii="Arial" w:hAnsi="Arial" w:cs="Arial"/>
                            <w:i/>
                            <w:color w:val="FFFFFF" w:themeColor="background1"/>
                            <w:sz w:val="16"/>
                            <w:szCs w:val="16"/>
                            <w:lang w:val="pt-PT"/>
                          </w:rPr>
                        </w:pPr>
                        <w:r w:rsidRPr="00193098">
                          <w:rPr>
                            <w:rFonts w:ascii="Arial" w:hAnsi="Arial" w:cs="Arial"/>
                            <w:i/>
                            <w:color w:val="FFFFFF" w:themeColor="background1"/>
                            <w:sz w:val="16"/>
                            <w:szCs w:val="16"/>
                            <w:lang w:val="pt-PT"/>
                          </w:rPr>
                          <w:t xml:space="preserve">Aprovado em conjunto </w:t>
                        </w:r>
                        <w:r>
                          <w:rPr>
                            <w:rFonts w:ascii="Arial" w:hAnsi="Arial" w:cs="Arial"/>
                            <w:i/>
                            <w:color w:val="FFFFFF" w:themeColor="background1"/>
                            <w:sz w:val="16"/>
                            <w:szCs w:val="16"/>
                            <w:lang w:val="pt-PT"/>
                          </w:rPr>
                          <w:t>com o</w:t>
                        </w:r>
                        <w:r w:rsidRPr="00193098">
                          <w:rPr>
                            <w:rFonts w:ascii="Arial" w:hAnsi="Arial" w:cs="Arial"/>
                            <w:i/>
                            <w:color w:val="FFFFFF" w:themeColor="background1"/>
                            <w:sz w:val="16"/>
                            <w:szCs w:val="16"/>
                            <w:lang w:val="pt-PT"/>
                          </w:rPr>
                          <w:t xml:space="preserve"> Executiv</w:t>
                        </w:r>
                        <w:r>
                          <w:rPr>
                            <w:rFonts w:ascii="Arial" w:hAnsi="Arial" w:cs="Arial"/>
                            <w:i/>
                            <w:color w:val="FFFFFF" w:themeColor="background1"/>
                            <w:sz w:val="16"/>
                            <w:szCs w:val="16"/>
                            <w:lang w:val="pt-PT"/>
                          </w:rPr>
                          <w:t>o</w:t>
                        </w:r>
                      </w:p>
                    </w:txbxContent>
                  </v:textbox>
                </v:shape>
                <v:shape id="AutoShape 169" o:spid="_x0000_s1056" type="#_x0000_t32" style="position:absolute;left:36512;top:38011;width:19139;height:77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kTAb4AAADbAAAADwAAAGRycy9kb3ducmV2LnhtbERPTYvCMBC9L/gfwgje1lTBZa1GUUEQ&#10;L8u6C3ocmrENNpPSxKb+e3MQPD7e93Ld21p01HrjWMFknIEgLpw2XCr4/9t/foPwAVlj7ZgUPMjD&#10;ejX4WGKuXeRf6k6hFCmEfY4KqhCaXEpfVGTRj11DnLiray2GBNtS6hZjCre1nGbZl7RoODVU2NCu&#10;ouJ2ulsFJv6Yrjns4vZ4vngdyTxmzig1GvabBYhAfXiLX+6DVjBP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qRMBvgAAANsAAAAPAAAAAAAAAAAAAAAAAKEC&#10;AABkcnMvZG93bnJldi54bWxQSwUGAAAAAAQABAD5AAAAjAMAAAAA&#10;">
                  <v:stroke endarrow="block"/>
                </v:shape>
                <v:shape id="AutoShape 170" o:spid="_x0000_s1057" type="#_x0000_t109" style="position:absolute;left:18592;top:56624;width:10719;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jysQA&#10;AADbAAAADwAAAGRycy9kb3ducmV2LnhtbESPT2sCMRTE70K/Q3gFL6JZBYtujbIVpfXoH/T63Lzu&#10;Lt28LEmqq5++EQoeh5n5DTNbtKYWF3K+sqxgOEhAEOdWV1woOOzX/QkIH5A11pZJwY08LOYvnRmm&#10;2l55S5ddKESEsE9RQRlCk0rp85IM+oFtiKP3bZ3BEKUrpHZ4jXBTy1GSvEmDFceFEhtalpT/7H6N&#10;Avo4mt7m834+jTPjs7VeuXs4KNV9bbN3EIHa8Az/t7+0gukQHl/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0Y8rEAAAA2wAAAA8AAAAAAAAAAAAAAAAAmAIAAGRycy9k&#10;b3ducmV2LnhtbFBLBQYAAAAABAAEAPUAAACJAwAAAAA=&#10;" fillcolor="#4f81bd" strokecolor="#f2f2f2" strokeweight="3pt">
                  <v:shadow on="t" color="#243f60" opacity=".5" offset="1pt"/>
                  <v:textbox inset="2.33172mm,1.1659mm,2.33172mm,1.1659mm">
                    <w:txbxContent>
                      <w:p w:rsidR="004E1715" w:rsidRDefault="004E1715" w:rsidP="00946D49">
                        <w:pPr>
                          <w:jc w:val="center"/>
                          <w:rPr>
                            <w:rFonts w:ascii="Arial" w:hAnsi="Arial" w:cs="Arial"/>
                          </w:rPr>
                        </w:pPr>
                        <w:proofErr w:type="spellStart"/>
                        <w:r>
                          <w:rPr>
                            <w:rFonts w:ascii="Arial" w:hAnsi="Arial" w:cs="Arial"/>
                          </w:rPr>
                          <w:t>Ministérios</w:t>
                        </w:r>
                        <w:proofErr w:type="spellEnd"/>
                        <w:r>
                          <w:rPr>
                            <w:rFonts w:ascii="Arial" w:hAnsi="Arial" w:cs="Arial"/>
                          </w:rPr>
                          <w:t xml:space="preserve"> </w:t>
                        </w:r>
                      </w:p>
                      <w:p w:rsidR="004E1715" w:rsidRPr="00036FC6" w:rsidRDefault="004E1715" w:rsidP="00946D49">
                        <w:pPr>
                          <w:jc w:val="center"/>
                          <w:rPr>
                            <w:rFonts w:ascii="Arial" w:hAnsi="Arial" w:cs="Arial"/>
                          </w:rPr>
                        </w:pPr>
                        <w:proofErr w:type="gramStart"/>
                        <w:r>
                          <w:rPr>
                            <w:rFonts w:ascii="Arial" w:hAnsi="Arial" w:cs="Arial"/>
                          </w:rPr>
                          <w:t>da</w:t>
                        </w:r>
                        <w:proofErr w:type="gramEnd"/>
                        <w:r>
                          <w:rPr>
                            <w:rFonts w:ascii="Arial" w:hAnsi="Arial" w:cs="Arial"/>
                          </w:rPr>
                          <w:t xml:space="preserve"> </w:t>
                        </w:r>
                        <w:proofErr w:type="spellStart"/>
                        <w:r>
                          <w:rPr>
                            <w:rFonts w:ascii="Arial" w:hAnsi="Arial" w:cs="Arial"/>
                          </w:rPr>
                          <w:t>Tutela</w:t>
                        </w:r>
                        <w:proofErr w:type="spellEnd"/>
                      </w:p>
                    </w:txbxContent>
                  </v:textbox>
                </v:shape>
                <v:shape id="AutoShape 171" o:spid="_x0000_s1058" type="#_x0000_t109" style="position:absolute;left:32302;top:56624;width:11214;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b9vcQA&#10;AADbAAAADwAAAGRycy9kb3ducmV2LnhtbESPQWvCQBSE7wX/w/IEL8VsKlTamFViUWqPWrHX1+wz&#10;CWbfht2tpv56tyD0OMzMN0y+6E0rzuR8Y1nBU5KCIC6tbrhSsP9cj19A+ICssbVMCn7Jw2I+eMgx&#10;0/bCWzrvQiUihH2GCuoQukxKX9Zk0Ce2I47e0TqDIUpXSe3wEuGmlZM0nUqDDceFGjt6q6k87X6M&#10;AloezOPH+/X767kwvljrlbuGvVKjYV/MQATqw3/43t5oBa8T+PsSf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m/b3EAAAA2wAAAA8AAAAAAAAAAAAAAAAAmAIAAGRycy9k&#10;b3ducmV2LnhtbFBLBQYAAAAABAAEAPUAAACJAwAAAAA=&#10;" fillcolor="#4f81bd" strokecolor="#f2f2f2" strokeweight="3pt">
                  <v:shadow on="t" color="#243f60" opacity=".5" offset="1pt"/>
                  <v:textbox inset="2.33172mm,1.1659mm,2.33172mm,1.1659mm">
                    <w:txbxContent>
                      <w:p w:rsidR="004E1715" w:rsidRPr="00036FC6" w:rsidRDefault="004E1715" w:rsidP="00946D49">
                        <w:pPr>
                          <w:jc w:val="center"/>
                          <w:rPr>
                            <w:rFonts w:ascii="Arial" w:hAnsi="Arial" w:cs="Arial"/>
                          </w:rPr>
                        </w:pPr>
                        <w:proofErr w:type="spellStart"/>
                        <w:r>
                          <w:rPr>
                            <w:rFonts w:ascii="Arial" w:hAnsi="Arial" w:cs="Arial"/>
                          </w:rPr>
                          <w:t>Governos</w:t>
                        </w:r>
                        <w:proofErr w:type="spellEnd"/>
                        <w:r>
                          <w:rPr>
                            <w:rFonts w:ascii="Arial" w:hAnsi="Arial" w:cs="Arial"/>
                          </w:rPr>
                          <w:t xml:space="preserve"> </w:t>
                        </w:r>
                        <w:proofErr w:type="spellStart"/>
                        <w:r>
                          <w:rPr>
                            <w:rFonts w:ascii="Arial" w:hAnsi="Arial" w:cs="Arial"/>
                          </w:rPr>
                          <w:t>Provinciais</w:t>
                        </w:r>
                        <w:proofErr w:type="spellEnd"/>
                      </w:p>
                      <w:p w:rsidR="004E1715" w:rsidRPr="00036FC6" w:rsidRDefault="004E1715" w:rsidP="00946D49">
                        <w:pPr>
                          <w:jc w:val="center"/>
                          <w:rPr>
                            <w:rFonts w:ascii="Arial" w:hAnsi="Arial" w:cs="Arial"/>
                          </w:rPr>
                        </w:pPr>
                      </w:p>
                    </w:txbxContent>
                  </v:textbox>
                </v:shape>
                <v:shape id="AutoShape 172" o:spid="_x0000_s1059" type="#_x0000_t109" style="position:absolute;left:46170;top:56624;width:10503;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pYJsQA&#10;AADbAAAADwAAAGRycy9kb3ducmV2LnhtbESPT2sCMRTE7wW/Q3hCL0WzWiq6GmWVSuvRP+j1uXnu&#10;Lm5eliTVrZ++KRR6HGbmN8xs0Zpa3Mj5yrKCQT8BQZxbXXGh4LBf98YgfEDWWFsmBd/kYTHvPM0w&#10;1fbOW7rtQiEihH2KCsoQmlRKn5dk0PdtQxy9i3UGQ5SukNrhPcJNLYdJMpIGK44LJTa0Kim/7r6M&#10;Aloezcvm43E+vWXGZ2v97h7hoNRzt82mIAK14T/81/7UCiav8Psl/g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qWCbEAAAA2wAAAA8AAAAAAAAAAAAAAAAAmAIAAGRycy9k&#10;b3ducmV2LnhtbFBLBQYAAAAABAAEAPUAAACJAwAAAAA=&#10;" fillcolor="#4f81bd" strokecolor="#f2f2f2" strokeweight="3pt">
                  <v:shadow on="t" color="#243f60" opacity=".5" offset="1pt"/>
                  <v:textbox inset="2.33172mm,1.1659mm,2.33172mm,1.1659mm">
                    <w:txbxContent>
                      <w:p w:rsidR="004E1715" w:rsidRPr="00036FC6" w:rsidRDefault="004E1715" w:rsidP="00946D49">
                        <w:pPr>
                          <w:jc w:val="center"/>
                          <w:rPr>
                            <w:rFonts w:ascii="Arial" w:hAnsi="Arial" w:cs="Arial"/>
                          </w:rPr>
                        </w:pPr>
                        <w:proofErr w:type="spellStart"/>
                        <w:r>
                          <w:rPr>
                            <w:rFonts w:ascii="Arial" w:hAnsi="Arial" w:cs="Arial"/>
                          </w:rPr>
                          <w:t>Governos</w:t>
                        </w:r>
                        <w:proofErr w:type="spellEnd"/>
                        <w:r>
                          <w:rPr>
                            <w:rFonts w:ascii="Arial" w:hAnsi="Arial" w:cs="Arial"/>
                          </w:rPr>
                          <w:t xml:space="preserve"> </w:t>
                        </w:r>
                        <w:proofErr w:type="spellStart"/>
                        <w:r>
                          <w:rPr>
                            <w:rFonts w:ascii="Arial" w:hAnsi="Arial" w:cs="Arial"/>
                          </w:rPr>
                          <w:t>Municipais</w:t>
                        </w:r>
                        <w:proofErr w:type="spellEnd"/>
                      </w:p>
                    </w:txbxContent>
                  </v:textbox>
                </v:shape>
                <v:shape id="AutoShape 173" o:spid="_x0000_s1060" type="#_x0000_t9" style="position:absolute;left:22498;top:71441;width:16929;height:7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ngcQA&#10;AADbAAAADwAAAGRycy9kb3ducmV2LnhtbESPwW7CMBBE70j8g7VIvYHTqkU0YBAUlXKkSQ8cl3hJ&#10;UuJ1ahtI/x5XQupxNDNvNLNFZxpxIedrywoeRwkI4sLqmksFX/n7cALCB2SNjWVS8EseFvN+b4ap&#10;tlf+pEsWShEh7FNUUIXQplL6oiKDfmRb4ugdrTMYonSl1A6vEW4a+ZQkY2mw5rhQYUtvFRWn7GwU&#10;7Cfl5iMf565eHVrz/bPdrdcvS6UeBt1yCiJQF/7D9/ZWK3h9hr8v8Q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OJ4HEAAAA2wAAAA8AAAAAAAAAAAAAAAAAmAIAAGRycy9k&#10;b3ducmV2LnhtbFBLBQYAAAAABAAEAPUAAACJAwAAAAA=&#10;" adj="5676" fillcolor="#c0504d" strokecolor="#f2f2f2" strokeweight="3pt">
                  <v:shadow on="t" color="#622423" opacity=".5" offset="1pt"/>
                  <v:textbox inset="2.33172mm,1.1659mm,2.33172mm,1.1659mm">
                    <w:txbxContent>
                      <w:p w:rsidR="004E1715" w:rsidRPr="00BB4FBA" w:rsidRDefault="004E1715" w:rsidP="00946D49">
                        <w:pPr>
                          <w:jc w:val="center"/>
                          <w:rPr>
                            <w:rFonts w:ascii="Arial" w:hAnsi="Arial" w:cs="Arial"/>
                            <w:sz w:val="20"/>
                            <w:szCs w:val="20"/>
                          </w:rPr>
                        </w:pPr>
                        <w:proofErr w:type="spellStart"/>
                        <w:r w:rsidRPr="00BB4FBA">
                          <w:rPr>
                            <w:rFonts w:ascii="Arial" w:hAnsi="Arial" w:cs="Arial"/>
                            <w:sz w:val="20"/>
                            <w:szCs w:val="20"/>
                          </w:rPr>
                          <w:t>Agências</w:t>
                        </w:r>
                        <w:proofErr w:type="spellEnd"/>
                        <w:r w:rsidRPr="00BB4FBA">
                          <w:rPr>
                            <w:rFonts w:ascii="Arial" w:hAnsi="Arial" w:cs="Arial"/>
                            <w:sz w:val="20"/>
                            <w:szCs w:val="20"/>
                          </w:rPr>
                          <w:t xml:space="preserve"> de </w:t>
                        </w:r>
                        <w:proofErr w:type="spellStart"/>
                        <w:r w:rsidRPr="00BB4FBA">
                          <w:rPr>
                            <w:rFonts w:ascii="Arial" w:hAnsi="Arial" w:cs="Arial"/>
                            <w:sz w:val="20"/>
                            <w:szCs w:val="20"/>
                          </w:rPr>
                          <w:t>Implementação</w:t>
                        </w:r>
                        <w:proofErr w:type="spellEnd"/>
                      </w:p>
                    </w:txbxContent>
                  </v:textbox>
                </v:shape>
                <v:shape id="AutoShape 174" o:spid="_x0000_s1061" type="#_x0000_t32" style="position:absolute;left:29858;top:51094;width:8051;height:55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VIu8QAAADbAAAADwAAAGRycy9kb3ducmV2LnhtbESPQWvCQBSE74L/YXmF3nSjUG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pUi7xAAAANsAAAAPAAAAAAAAAAAA&#10;AAAAAKECAABkcnMvZG93bnJldi54bWxQSwUGAAAAAAQABAD5AAAAkgMAAAAA&#10;">
                  <v:stroke endarrow="block"/>
                </v:shape>
                <v:shape id="AutoShape 175" o:spid="_x0000_s1062" type="#_x0000_t32" style="position:absolute;left:23952;top:49544;width:1201;height:70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4L974AAADcAAAADwAAAGRycy9kb3ducmV2LnhtbERPTYvCMBC9L/gfwgje1lTBRapRVBDE&#10;i6wr6HFoxjbYTEoTm/rvzUHY4+N9L9e9rUVHrTeOFUzGGQjiwmnDpYLL3/57DsIHZI21Y1LwIg/r&#10;1eBribl2kX+pO4dSpBD2OSqoQmhyKX1RkUU/dg1x4u6utRgSbEupW4wp3NZymmU/0qLh1FBhQ7uK&#10;isf5aRWYeDJdc9jF7fF68zqSec2cUWo07DcLEIH68C/+uA9awXSe1qYz6QjI1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Lgv3vgAAANwAAAAPAAAAAAAAAAAAAAAAAKEC&#10;AABkcnMvZG93bnJldi54bWxQSwUGAAAAAAQABAD5AAAAjAMAAAAA&#10;">
                  <v:stroke endarrow="block"/>
                </v:shape>
                <v:shape id="AutoShape 176" o:spid="_x0000_s1063" type="#_x0000_t32" style="position:absolute;left:34856;top:31446;width:16274;height:1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XJE8QAAADcAAAADwAAAGRycy9kb3ducmV2LnhtbESPQWvCQBSE74L/YXmCF6mbeJA0dZVS&#10;EMSDoObg8bH7moRm36a7a0z/fVco9DjMzDfMZjfaTgzkQ+tYQb7MQBBrZ1quFVTX/UsBIkRkg51j&#10;UvBDAXbb6WSDpXEPPtNwibVIEA4lKmhi7Espg27IYli6njh5n85bjEn6WhqPjwS3nVxl2VpabDkt&#10;NNjTR0P663K3CtpjdaqGxXf0ujjmN5+H663TSs1n4/sbiEhj/A//tQ9Gwap4heeZd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ckTxAAAANwAAAAPAAAAAAAAAAAA&#10;AAAAAKECAABkcnMvZG93bnJldi54bWxQSwUGAAAAAAQABAD5AAAAkgMAAAAA&#10;"/>
                <v:shape id="AutoShape 177" o:spid="_x0000_s1064" type="#_x0000_t109" style="position:absolute;left:4686;top:56624;width:11144;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7JpMEA&#10;AADcAAAADwAAAGRycy9kb3ducmV2LnhtbERPz2vCMBS+D/wfwhO8iKYTHLMapQ5l23FV9Ppsnm2x&#10;eSlJptW/fjkIO358vxerzjTiSs7XlhW8jhMQxIXVNZcK9rvt6B2ED8gaG8uk4E4eVsveywJTbW/8&#10;Q9c8lCKGsE9RQRVCm0rpi4oM+rFtiSN3ts5giNCVUju8xXDTyEmSvEmDNceGClv6qKi45L9GAa0P&#10;Zvj9+Tgdp5nx2VZv3CPslRr0u2wOIlAX/sVP95dWMJnF+fFMPA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OyaTBAAAA3AAAAA8AAAAAAAAAAAAAAAAAmAIAAGRycy9kb3du&#10;cmV2LnhtbFBLBQYAAAAABAAEAPUAAACGAwAAAAA=&#10;" fillcolor="#4f81bd" strokecolor="#f2f2f2" strokeweight="3pt">
                  <v:shadow on="t" color="#243f60" opacity=".5" offset="1pt"/>
                  <v:textbox inset="2.33172mm,1.1659mm,2.33172mm,1.1659mm">
                    <w:txbxContent>
                      <w:p w:rsidR="004E1715" w:rsidRDefault="004E1715" w:rsidP="00946D49">
                        <w:pPr>
                          <w:jc w:val="center"/>
                          <w:rPr>
                            <w:rFonts w:ascii="Arial" w:hAnsi="Arial" w:cs="Arial"/>
                          </w:rPr>
                        </w:pPr>
                        <w:proofErr w:type="spellStart"/>
                        <w:r>
                          <w:rPr>
                            <w:rFonts w:ascii="Arial" w:hAnsi="Arial" w:cs="Arial"/>
                          </w:rPr>
                          <w:t>Ramo</w:t>
                        </w:r>
                        <w:proofErr w:type="spellEnd"/>
                      </w:p>
                      <w:p w:rsidR="004E1715" w:rsidRDefault="004E1715" w:rsidP="00946D49">
                        <w:pPr>
                          <w:jc w:val="center"/>
                        </w:pPr>
                        <w:proofErr w:type="spellStart"/>
                        <w:r>
                          <w:rPr>
                            <w:rFonts w:ascii="Arial" w:hAnsi="Arial" w:cs="Arial"/>
                          </w:rPr>
                          <w:t>Executivo</w:t>
                        </w:r>
                        <w:proofErr w:type="spellEnd"/>
                      </w:p>
                    </w:txbxContent>
                  </v:textbox>
                </v:shape>
                <v:shape id="AutoShape 178" o:spid="_x0000_s1065" type="#_x0000_t32" style="position:absolute;left:10258;top:45804;width:12947;height:108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00t8IAAADcAAAADwAAAGRycy9kb3ducmV2LnhtbESPQWsCMRSE70L/Q3gFb5pVUNrVKFYQ&#10;xIuohfb42Dx3g5uXZZNu1n9vBKHHYWa+YZbr3taio9Ybxwom4wwEceG04VLB92U3+gDhA7LG2jEp&#10;uJOH9eptsMRcu8gn6s6hFAnCPkcFVQhNLqUvKrLox64hTt7VtRZDkm0pdYsxwW0tp1k2lxYNp4UK&#10;G9pWVNzOf1aBiUfTNftt/Dr8/Hodydxnzig1fO83CxCB+vAffrX3WsH0cwL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00t8IAAADcAAAADwAAAAAAAAAAAAAA&#10;AAChAgAAZHJzL2Rvd25yZXYueG1sUEsFBgAAAAAEAAQA+QAAAJADAAAAAA==&#10;">
                  <v:stroke endarrow="block"/>
                </v:shape>
                <v:shape id="AutoShape 179" o:spid="_x0000_s1066" type="#_x0000_t32" style="position:absolute;left:10258;top:61539;width:12240;height:137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7hg8UAAADcAAAADwAAAGRycy9kb3ducmV2LnhtbESPQWvCQBSE74L/YXmCN92YgzSpqxTB&#10;UpQe1BLq7ZF9JqHZt2F31eivdwuFHoeZ+YZZrHrTiis531hWMJsmIIhLqxuuFHwdN5MXED4ga2wt&#10;k4I7eVgth4MF5treeE/XQ6hEhLDPUUEdQpdL6cuaDPqp7Yijd7bOYIjSVVI7vEW4aWWaJHNpsOG4&#10;UGNH65rKn8PFKPjeZZfiXnzStphl2xM64x/Hd6XGo/7tFUSgPvyH/9ofWkGapfB7Jh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7hg8UAAADcAAAADwAAAAAAAAAA&#10;AAAAAAChAgAAZHJzL2Rvd25yZXYueG1sUEsFBgAAAAAEAAQA+QAAAJMDAAAAAA==&#10;">
                  <v:stroke endarrow="block"/>
                </v:shape>
                <v:shape id="AutoShape 180" o:spid="_x0000_s1067" type="#_x0000_t32" style="position:absolute;left:23952;top:61539;width:2994;height:99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JEGMYAAADcAAAADwAAAGRycy9kb3ducmV2LnhtbESPT2vCQBTE7wW/w/KE3upGC8VEVymF&#10;ilg8+IfQ3h7ZZxKafRt2V41+elcQPA4z8xtmOu9MI07kfG1ZwXCQgCAurK65VLDffb+NQfiArLGx&#10;TAou5GE+671MMdP2zBs6bUMpIoR9hgqqENpMSl9UZNAPbEscvYN1BkOUrpTa4TnCTSNHSfIhDdYc&#10;Fyps6aui4n97NAp+f9JjfsnXtMqH6eoPnfHX3UKp1373OQERqAvP8KO91ApG6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CRBjGAAAA3AAAAA8AAAAAAAAA&#10;AAAAAAAAoQIAAGRycy9kb3ducmV2LnhtbFBLBQYAAAAABAAEAPkAAACUAwAAAAA=&#10;">
                  <v:stroke endarrow="block"/>
                </v:shape>
                <v:shape id="AutoShape 181" o:spid="_x0000_s1068" type="#_x0000_t32" style="position:absolute;left:34978;top:61539;width:2931;height:99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qXL8MAAADcAAAADwAAAGRycy9kb3ducmV2LnhtbESPQWsCMRSE7wX/Q3iCt5pVbNHVKFYQ&#10;pJdSFfT42Dx3g5uXZZNu1n9vCoUeh5n5hllteluLjlpvHCuYjDMQxIXThksF59P+dQ7CB2SNtWNS&#10;8CAPm/XgZYW5dpG/qTuGUiQI+xwVVCE0uZS+qMiiH7uGOHk311oMSbal1C3GBLe1nGbZu7RoOC1U&#10;2NCuouJ+/LEKTPwyXXPYxY/Py9XrSObx5oxSo2G/XYII1If/8F/7oBVMFz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6ly/DAAAA3AAAAA8AAAAAAAAAAAAA&#10;AAAAoQIAAGRycy9kb3ducmV2LnhtbFBLBQYAAAAABAAEAPkAAACRAwAAAAA=&#10;">
                  <v:stroke endarrow="block"/>
                </v:shape>
                <v:shape id="AutoShape 182" o:spid="_x0000_s1069" type="#_x0000_t32" style="position:absolute;left:39427;top:61539;width:11995;height:137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YytMMAAADcAAAADwAAAGRycy9kb3ducmV2LnhtbESPT2sCMRTE7wW/Q3iCt5pVUOrWKFUo&#10;iBfxD+jxsXndDd28LJt0s357Iwg9DjPzG2a57m0tOmq9caxgMs5AEBdOGy4VXM7f7x8gfEDWWDsm&#10;BXfysF4N3paYaxf5SN0plCJB2OeooAqhyaX0RUUW/dg1xMn7ca3FkGRbSt1iTHBby2mWzaVFw2mh&#10;woa2FRW/pz+rwMSD6ZrdNm7215vXkcx95oxSo2H/9QkiUB/+w6/2TiuYLmb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2MrTDAAAA3AAAAA8AAAAAAAAAAAAA&#10;AAAAoQIAAGRycy9kb3ducmV2LnhtbFBLBQYAAAAABAAEAPkAAACRAwAAAAA=&#10;">
                  <v:stroke endarrow="block"/>
                </v:shape>
                <v:roundrect id="AutoShape 183" o:spid="_x0000_s1070" style="position:absolute;left:10258;top:64829;width:7874;height:41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9GcQA&#10;AADcAAAADwAAAGRycy9kb3ducmV2LnhtbESPQWsCMRSE7wX/Q3iCt5ooKHU1igiW3kq3Hjw+N8/d&#10;xc3LmmTXbX99Uyj0OMzMN8xmN9hG9ORD7VjDbKpAEBfO1FxqOH0en19AhIhssHFMGr4owG47etpg&#10;ZtyDP6jPYykShEOGGqoY20zKUFRkMUxdS5y8q/MWY5K+lMbjI8FtI+dKLaXFmtNChS0dKipueWc1&#10;FEZ1yp/799VlEfPvvruzfL1rPRkP+zWISEP8D/+134yG+WoJ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RnEAAAA3AAAAA8AAAAAAAAAAAAAAAAAmAIAAGRycy9k&#10;b3ducmV2LnhtbFBLBQYAAAAABAAEAPUAAACJAwAAAAA=&#10;">
                  <v:textbox>
                    <w:txbxContent>
                      <w:p w:rsidR="004E1715" w:rsidRPr="00BB4FBA" w:rsidRDefault="004E1715" w:rsidP="00946D49">
                        <w:pPr>
                          <w:jc w:val="center"/>
                          <w:rPr>
                            <w:rFonts w:ascii="Arial" w:hAnsi="Arial" w:cs="Arial"/>
                            <w:b/>
                            <w:color w:val="008000"/>
                            <w:sz w:val="16"/>
                            <w:szCs w:val="16"/>
                          </w:rPr>
                        </w:pPr>
                        <w:proofErr w:type="spellStart"/>
                        <w:r w:rsidRPr="00BB4FBA">
                          <w:rPr>
                            <w:rFonts w:ascii="Arial" w:hAnsi="Arial" w:cs="Arial"/>
                            <w:b/>
                            <w:color w:val="008000"/>
                            <w:sz w:val="16"/>
                            <w:szCs w:val="16"/>
                          </w:rPr>
                          <w:t>Projectos</w:t>
                        </w:r>
                        <w:proofErr w:type="spellEnd"/>
                      </w:p>
                      <w:p w:rsidR="004E1715" w:rsidRPr="00BB4FBA" w:rsidRDefault="004E1715" w:rsidP="00946D49">
                        <w:pPr>
                          <w:jc w:val="center"/>
                          <w:rPr>
                            <w:rFonts w:ascii="Arial" w:hAnsi="Arial" w:cs="Arial"/>
                            <w:b/>
                            <w:color w:val="008000"/>
                            <w:sz w:val="16"/>
                            <w:szCs w:val="16"/>
                          </w:rPr>
                        </w:pPr>
                        <w:proofErr w:type="spellStart"/>
                        <w:r w:rsidRPr="00BB4FBA">
                          <w:rPr>
                            <w:rFonts w:ascii="Arial" w:hAnsi="Arial" w:cs="Arial"/>
                            <w:b/>
                            <w:color w:val="008000"/>
                            <w:sz w:val="16"/>
                            <w:szCs w:val="16"/>
                          </w:rPr>
                          <w:t>Aprovados</w:t>
                        </w:r>
                        <w:proofErr w:type="spellEnd"/>
                      </w:p>
                    </w:txbxContent>
                  </v:textbox>
                </v:roundrect>
                <v:roundrect id="AutoShape 184" o:spid="_x0000_s1071" style="position:absolute;left:21316;top:64829;width:7874;height:41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YgsQA&#10;AADcAAAADwAAAGRycy9kb3ducmV2LnhtbESPQWsCMRSE7wX/Q3hCbzVRsNXVKFKo9Fa6evD43Dx3&#10;Fzcva5Jdt/31TaHQ4zAz3zDr7WAb0ZMPtWMN04kCQVw4U3Op4Xh4e1qACBHZYOOYNHxRgO1m9LDG&#10;zLg7f1Kfx1IkCIcMNVQxtpmUoajIYpi4ljh5F+ctxiR9KY3He4LbRs6UepYWa04LFbb0WlFxzTur&#10;oTCqU/7UfyzP85h/992N5f6m9eN42K1ARBrif/iv/W40zJYv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2WILEAAAA3AAAAA8AAAAAAAAAAAAAAAAAmAIAAGRycy9k&#10;b3ducmV2LnhtbFBLBQYAAAAABAAEAPUAAACJAwAAAAA=&#10;">
                  <v:textbox>
                    <w:txbxContent>
                      <w:p w:rsidR="004E1715" w:rsidRPr="00BB4FBA" w:rsidRDefault="004E1715" w:rsidP="00946D49">
                        <w:pPr>
                          <w:jc w:val="center"/>
                          <w:rPr>
                            <w:rFonts w:ascii="Arial" w:hAnsi="Arial" w:cs="Arial"/>
                            <w:b/>
                            <w:color w:val="008000"/>
                            <w:sz w:val="16"/>
                            <w:szCs w:val="16"/>
                          </w:rPr>
                        </w:pPr>
                        <w:proofErr w:type="spellStart"/>
                        <w:r w:rsidRPr="00BB4FBA">
                          <w:rPr>
                            <w:rFonts w:ascii="Arial" w:hAnsi="Arial" w:cs="Arial"/>
                            <w:b/>
                            <w:color w:val="008000"/>
                            <w:sz w:val="16"/>
                            <w:szCs w:val="16"/>
                          </w:rPr>
                          <w:t>Projectos</w:t>
                        </w:r>
                        <w:proofErr w:type="spellEnd"/>
                      </w:p>
                      <w:p w:rsidR="004E1715" w:rsidRPr="00BB4FBA" w:rsidRDefault="004E1715" w:rsidP="00946D49">
                        <w:pPr>
                          <w:jc w:val="center"/>
                          <w:rPr>
                            <w:rFonts w:ascii="Arial" w:hAnsi="Arial" w:cs="Arial"/>
                            <w:b/>
                            <w:color w:val="008000"/>
                            <w:sz w:val="16"/>
                            <w:szCs w:val="16"/>
                          </w:rPr>
                        </w:pPr>
                        <w:proofErr w:type="spellStart"/>
                        <w:r w:rsidRPr="00BB4FBA">
                          <w:rPr>
                            <w:rFonts w:ascii="Arial" w:hAnsi="Arial" w:cs="Arial"/>
                            <w:b/>
                            <w:color w:val="008000"/>
                            <w:sz w:val="16"/>
                            <w:szCs w:val="16"/>
                          </w:rPr>
                          <w:t>Aprovados</w:t>
                        </w:r>
                        <w:proofErr w:type="spellEnd"/>
                      </w:p>
                      <w:p w:rsidR="004E1715" w:rsidRPr="00521C66" w:rsidRDefault="004E1715" w:rsidP="00946D49">
                        <w:pPr>
                          <w:jc w:val="center"/>
                          <w:rPr>
                            <w:rFonts w:ascii="Arial" w:hAnsi="Arial" w:cs="Arial"/>
                            <w:b/>
                            <w:color w:val="008000"/>
                            <w:sz w:val="18"/>
                            <w:szCs w:val="18"/>
                          </w:rPr>
                        </w:pPr>
                      </w:p>
                    </w:txbxContent>
                  </v:textbox>
                </v:roundrect>
                <v:roundrect id="AutoShape 185" o:spid="_x0000_s1072" style="position:absolute;left:31902;top:64829;width:7874;height:41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nM8MEA&#10;AADcAAAADwAAAGRycy9kb3ducmV2LnhtbERPz2vCMBS+D/wfwhO8zWSCY1ZjGYJjN1nnweOzeWvL&#10;mpc2SWvdX78cBjt+fL93+WRbMZIPjWMNT0sFgrh0puFKw/nz+PgCIkRkg61j0nCnAPl+9rDDzLgb&#10;f9BYxEqkEA4Zaqhj7DIpQ1mTxbB0HXHivpy3GBP0lTQebynctnKl1LO02HBqqLGjQ03ldzFYDaVR&#10;g/KX8bS5rmPxMw49y7de68V8et2CiDTFf/Gf+91oWG3S2nQmHQ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pzPDBAAAA3AAAAA8AAAAAAAAAAAAAAAAAmAIAAGRycy9kb3du&#10;cmV2LnhtbFBLBQYAAAAABAAEAPUAAACGAwAAAAA=&#10;">
                  <v:textbox>
                    <w:txbxContent>
                      <w:p w:rsidR="004E1715" w:rsidRPr="00BB4FBA" w:rsidRDefault="004E1715" w:rsidP="00946D49">
                        <w:pPr>
                          <w:jc w:val="center"/>
                          <w:rPr>
                            <w:rFonts w:ascii="Arial" w:hAnsi="Arial" w:cs="Arial"/>
                            <w:b/>
                            <w:color w:val="008000"/>
                            <w:sz w:val="16"/>
                            <w:szCs w:val="16"/>
                          </w:rPr>
                        </w:pPr>
                        <w:proofErr w:type="spellStart"/>
                        <w:r w:rsidRPr="00BB4FBA">
                          <w:rPr>
                            <w:rFonts w:ascii="Arial" w:hAnsi="Arial" w:cs="Arial"/>
                            <w:b/>
                            <w:color w:val="008000"/>
                            <w:sz w:val="16"/>
                            <w:szCs w:val="16"/>
                          </w:rPr>
                          <w:t>Projectos</w:t>
                        </w:r>
                        <w:proofErr w:type="spellEnd"/>
                      </w:p>
                      <w:p w:rsidR="004E1715" w:rsidRPr="00BB4FBA" w:rsidRDefault="004E1715" w:rsidP="00946D49">
                        <w:pPr>
                          <w:jc w:val="center"/>
                          <w:rPr>
                            <w:rFonts w:ascii="Arial" w:hAnsi="Arial" w:cs="Arial"/>
                            <w:b/>
                            <w:color w:val="008000"/>
                            <w:sz w:val="16"/>
                            <w:szCs w:val="16"/>
                          </w:rPr>
                        </w:pPr>
                        <w:proofErr w:type="spellStart"/>
                        <w:r w:rsidRPr="00BB4FBA">
                          <w:rPr>
                            <w:rFonts w:ascii="Arial" w:hAnsi="Arial" w:cs="Arial"/>
                            <w:b/>
                            <w:color w:val="008000"/>
                            <w:sz w:val="16"/>
                            <w:szCs w:val="16"/>
                          </w:rPr>
                          <w:t>Aprovados</w:t>
                        </w:r>
                        <w:proofErr w:type="spellEnd"/>
                      </w:p>
                      <w:p w:rsidR="004E1715" w:rsidRPr="00521C66" w:rsidRDefault="004E1715" w:rsidP="00946D49">
                        <w:pPr>
                          <w:jc w:val="center"/>
                          <w:rPr>
                            <w:rFonts w:ascii="Arial" w:hAnsi="Arial" w:cs="Arial"/>
                            <w:b/>
                            <w:color w:val="008000"/>
                            <w:sz w:val="18"/>
                            <w:szCs w:val="18"/>
                          </w:rPr>
                        </w:pPr>
                      </w:p>
                    </w:txbxContent>
                  </v:textbox>
                </v:roundrect>
                <v:roundrect id="AutoShape 186" o:spid="_x0000_s1073" style="position:absolute;left:44240;top:64829;width:7874;height:41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pa8QA&#10;AADcAAAADwAAAGRycy9kb3ducmV2LnhtbESPQWvCQBSE7wX/w/KE3uquQqVJXaUISm/S1IPHZ/Y1&#10;Cc2+jbubmPrru0Khx2FmvmFWm9G2YiAfGsca5jMFgrh0puFKw/Fz9/QCIkRkg61j0vBDATbrycMK&#10;c+Ou/EFDESuRIBxy1FDH2OVShrImi2HmOuLkfTlvMSbpK2k8XhPctnKh1FJabDgt1NjRtqbyu+it&#10;htKoXvnTcMjOz7G4Df2F5f6i9eN0fHsFEWmM/+G/9rvRsMgyuJ9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laWvEAAAA3AAAAA8AAAAAAAAAAAAAAAAAmAIAAGRycy9k&#10;b3ducmV2LnhtbFBLBQYAAAAABAAEAPUAAACJAwAAAAA=&#10;">
                  <v:textbox>
                    <w:txbxContent>
                      <w:p w:rsidR="004E1715" w:rsidRPr="00BB4FBA" w:rsidRDefault="004E1715" w:rsidP="00946D49">
                        <w:pPr>
                          <w:jc w:val="center"/>
                          <w:rPr>
                            <w:rFonts w:ascii="Arial" w:hAnsi="Arial" w:cs="Arial"/>
                            <w:b/>
                            <w:color w:val="008000"/>
                            <w:sz w:val="16"/>
                            <w:szCs w:val="16"/>
                          </w:rPr>
                        </w:pPr>
                        <w:proofErr w:type="spellStart"/>
                        <w:r w:rsidRPr="00BB4FBA">
                          <w:rPr>
                            <w:rFonts w:ascii="Arial" w:hAnsi="Arial" w:cs="Arial"/>
                            <w:b/>
                            <w:color w:val="008000"/>
                            <w:sz w:val="16"/>
                            <w:szCs w:val="16"/>
                          </w:rPr>
                          <w:t>Projectos</w:t>
                        </w:r>
                        <w:proofErr w:type="spellEnd"/>
                      </w:p>
                      <w:p w:rsidR="004E1715" w:rsidRPr="00BB4FBA" w:rsidRDefault="004E1715" w:rsidP="00946D49">
                        <w:pPr>
                          <w:jc w:val="center"/>
                          <w:rPr>
                            <w:rFonts w:ascii="Arial" w:hAnsi="Arial" w:cs="Arial"/>
                            <w:b/>
                            <w:color w:val="008000"/>
                            <w:sz w:val="16"/>
                            <w:szCs w:val="16"/>
                          </w:rPr>
                        </w:pPr>
                        <w:proofErr w:type="spellStart"/>
                        <w:r w:rsidRPr="00BB4FBA">
                          <w:rPr>
                            <w:rFonts w:ascii="Arial" w:hAnsi="Arial" w:cs="Arial"/>
                            <w:b/>
                            <w:color w:val="008000"/>
                            <w:sz w:val="16"/>
                            <w:szCs w:val="16"/>
                          </w:rPr>
                          <w:t>Aprovados</w:t>
                        </w:r>
                        <w:proofErr w:type="spellEnd"/>
                      </w:p>
                      <w:p w:rsidR="004E1715" w:rsidRPr="00521C66" w:rsidRDefault="004E1715" w:rsidP="00946D49">
                        <w:pPr>
                          <w:jc w:val="center"/>
                          <w:rPr>
                            <w:rFonts w:ascii="Arial" w:hAnsi="Arial" w:cs="Arial"/>
                            <w:b/>
                            <w:color w:val="008000"/>
                            <w:sz w:val="18"/>
                            <w:szCs w:val="18"/>
                          </w:rPr>
                        </w:pPr>
                      </w:p>
                    </w:txbxContent>
                  </v:textbox>
                </v:roundrect>
                <v:shape id="Flowchart: Process 184" o:spid="_x0000_s1074" type="#_x0000_t109" style="position:absolute;left:13747;top:48371;width:7874;height:27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QvuL8A&#10;AADcAAAADwAAAGRycy9kb3ducmV2LnhtbERPy4rCMBTdC/5DuII7m6ogUo0iglJQBnztr821D5ub&#10;0kTt/P1kMeDycN7LdWdq8abWlZYVjKMYBHFmdcm5gutlN5qDcB5ZY22ZFPySg/Wq31tiou2HT/Q+&#10;+1yEEHYJKii8bxIpXVaQQRfZhjhwD9sa9AG2udQtfkK4qeUkjmfSYMmhocCGtgVlz/PLKDimP4dZ&#10;Vt0m99O+M7v8UBlOK6WGg26zAOGp81/xvzvVCqZxmB/OhCMgV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VC+4vwAAANwAAAAPAAAAAAAAAAAAAAAAAJgCAABkcnMvZG93bnJl&#10;di54bWxQSwUGAAAAAAQABAD1AAAAhAMAAAAA&#10;" fillcolor="#cdddac [1622]" strokecolor="#94b64e [3046]">
                  <v:fill color2="#f0f4e6 [502]" rotate="t" angle="180" colors="0 #dafda7;22938f #e4fdc2;1 #f5ffe6" focus="100%" type="gradient"/>
                  <v:shadow on="t" color="black" opacity="24903f" origin=",.5" offset="0,.55556mm"/>
                  <v:textbox>
                    <w:txbxContent>
                      <w:p w:rsidR="004E1715" w:rsidRDefault="004E1715" w:rsidP="00946D49">
                        <w:pPr>
                          <w:jc w:val="center"/>
                        </w:pPr>
                        <w:proofErr w:type="spellStart"/>
                        <w:r>
                          <w:t>Recursos</w:t>
                        </w:r>
                        <w:proofErr w:type="spellEnd"/>
                      </w:p>
                    </w:txbxContent>
                  </v:textbox>
                </v:shape>
                <v:shape id="Flowchart: Process 186" o:spid="_x0000_s1075" type="#_x0000_t109" style="position:absolute;left:20650;top:51790;width:7734;height:2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q0oMEA&#10;AADcAAAADwAAAGRycy9kb3ducmV2LnhtbESPzYoCMRCE74LvEFrwpokKrswaRURxb4s/D9BMeiej&#10;k86QRB3ffrMg7LGoqq+o5bpzjXhQiLVnDZOxAkFcelNzpeFy3o8WIGJCNth4Jg0virBe9XtLLIx/&#10;8pEep1SJDOFYoAabUltIGUtLDuPYt8TZ+/HBYcoyVNIEfGa4a+RUqbl0WHNesNjS1lJ5O92dhsOV&#10;eGuvM/VdI942l+PHLt6D1sNBt/kEkahL/+F3+8tomKkJ/J3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qtKDBAAAA3AAAAA8AAAAAAAAAAAAAAAAAmAIAAGRycy9kb3du&#10;cmV2LnhtbFBLBQYAAAAABAAEAPUAAACGAwAAAAA=&#10;" fillcolor="#dafda7" strokecolor="#98b954">
                  <v:fill color2="#f5ffe6" rotate="t" angle="180" colors="0 #dafda7;22938f #e4fdc2;1 #f5ffe6" focus="100%" type="gradient"/>
                  <v:shadow on="t" color="black" opacity="24903f" origin=",.5" offset="0,.55556mm"/>
                  <v:textbox>
                    <w:txbxContent>
                      <w:p w:rsidR="004E1715" w:rsidRDefault="004E1715" w:rsidP="00946D49">
                        <w:pPr>
                          <w:jc w:val="center"/>
                        </w:pPr>
                        <w:proofErr w:type="spellStart"/>
                        <w:r>
                          <w:t>Recursos</w:t>
                        </w:r>
                        <w:proofErr w:type="spellEnd"/>
                      </w:p>
                      <w:p w:rsidR="004E1715" w:rsidRDefault="004E1715" w:rsidP="00946D49">
                        <w:pPr>
                          <w:pStyle w:val="NormalWeb"/>
                          <w:spacing w:before="0" w:beforeAutospacing="0" w:after="0" w:afterAutospacing="0"/>
                          <w:jc w:val="center"/>
                        </w:pPr>
                      </w:p>
                    </w:txbxContent>
                  </v:textbox>
                </v:shape>
                <v:shape id="Flowchart: Process 187" o:spid="_x0000_s1076" type="#_x0000_t109" style="position:absolute;left:41789;top:52758;width:8026;height:2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q18EA&#10;AADcAAAADwAAAGRycy9kb3ducmV2LnhtbESPzYoCMRCE74LvEFrwpokKuzJrFBHFvYk/D9BMeiej&#10;k86QRB3ffiMs7LGoqq+oxapzjXhQiLVnDZOxAkFcelNzpeFy3o3mIGJCNth4Jg0virBa9nsLLIx/&#10;8pEep1SJDOFYoAabUltIGUtLDuPYt8TZ+/HBYcoyVNIEfGa4a+RUqQ/psOa8YLGljaXydro7Dfsr&#10;8cZeZ+pQI97Wl+PnNt6D1sNBt/4CkahL/+G/9rfRMFNTeJ/JR0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4KtfBAAAA3AAAAA8AAAAAAAAAAAAAAAAAmAIAAGRycy9kb3du&#10;cmV2LnhtbFBLBQYAAAAABAAEAPUAAACGAwAAAAA=&#10;" fillcolor="#dafda7" strokecolor="#98b954">
                  <v:fill color2="#f5ffe6" rotate="t" angle="180" colors="0 #dafda7;22938f #e4fdc2;1 #f5ffe6" focus="100%" type="gradient"/>
                  <v:shadow on="t" color="black" opacity="24903f" origin=",.5" offset="0,.55556mm"/>
                  <v:textbox>
                    <w:txbxContent>
                      <w:p w:rsidR="004E1715" w:rsidRDefault="004E1715" w:rsidP="00946D49">
                        <w:pPr>
                          <w:jc w:val="center"/>
                        </w:pPr>
                        <w:proofErr w:type="spellStart"/>
                        <w:r>
                          <w:t>Recursos</w:t>
                        </w:r>
                        <w:proofErr w:type="spellEnd"/>
                      </w:p>
                      <w:p w:rsidR="004E1715" w:rsidRDefault="004E1715" w:rsidP="00946D49">
                        <w:pPr>
                          <w:pStyle w:val="NormalWeb"/>
                          <w:spacing w:before="0" w:beforeAutospacing="0" w:after="0" w:afterAutospacing="0"/>
                          <w:jc w:val="center"/>
                        </w:pPr>
                      </w:p>
                    </w:txbxContent>
                  </v:textbox>
                </v:shape>
                <v:shape id="Flowchart: Process 188" o:spid="_x0000_s1077" type="#_x0000_t109" style="position:absolute;left:31083;top:52558;width:7779;height:2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PTMEA&#10;AADcAAAADwAAAGRycy9kb3ducmV2LnhtbESP3WoCMRSE7wt9h3AKvauJLlRZjSKi2Dvx5wEOm+Nm&#10;dXOyJFG3b98IBS+HmfmGmS1614o7hdh41jAcKBDElTcN1xpOx83XBERMyAZbz6ThlyIs5u9vMyyN&#10;f/Ce7odUiwzhWKIGm1JXShkrSw7jwHfE2Tv74DBlGWppAj4y3LVypNS3dNhwXrDY0cpSdT3cnIbt&#10;hXhlL4XaNYjX5Wk/Xsdb0Przo19OQSTq0yv83/4xGgpVwPNMPgJ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0j0zBAAAA3AAAAA8AAAAAAAAAAAAAAAAAmAIAAGRycy9kb3du&#10;cmV2LnhtbFBLBQYAAAAABAAEAPUAAACGAwAAAAA=&#10;" fillcolor="#dafda7" strokecolor="#98b954">
                  <v:fill color2="#f5ffe6" rotate="t" angle="180" colors="0 #dafda7;22938f #e4fdc2;1 #f5ffe6" focus="100%" type="gradient"/>
                  <v:shadow on="t" color="black" opacity="24903f" origin=",.5" offset="0,.55556mm"/>
                  <v:textbox>
                    <w:txbxContent>
                      <w:p w:rsidR="004E1715" w:rsidRDefault="004E1715" w:rsidP="00946D49">
                        <w:pPr>
                          <w:jc w:val="center"/>
                        </w:pPr>
                        <w:proofErr w:type="spellStart"/>
                        <w:r>
                          <w:t>Recursos</w:t>
                        </w:r>
                        <w:proofErr w:type="spellEnd"/>
                      </w:p>
                      <w:p w:rsidR="004E1715" w:rsidRDefault="004E1715" w:rsidP="00946D49">
                        <w:pPr>
                          <w:pStyle w:val="NormalWeb"/>
                          <w:spacing w:before="0" w:beforeAutospacing="0" w:after="0" w:afterAutospacing="0"/>
                          <w:jc w:val="center"/>
                        </w:pPr>
                      </w:p>
                    </w:txbxContent>
                  </v:textbox>
                </v:shape>
                <w10:wrap anchorx="page" anchory="line"/>
              </v:group>
            </w:pict>
          </mc:Fallback>
        </mc:AlternateContent>
      </w:r>
      <w:r>
        <w:rPr>
          <w:noProof/>
        </w:rPr>
        <mc:AlternateContent>
          <mc:Choice Requires="wps">
            <w:drawing>
              <wp:anchor distT="0" distB="0" distL="114300" distR="114300" simplePos="0" relativeHeight="251703296" behindDoc="0" locked="0" layoutInCell="1" allowOverlap="1" wp14:anchorId="2B649397" wp14:editId="4C7ECC44">
                <wp:simplePos x="0" y="0"/>
                <wp:positionH relativeFrom="column">
                  <wp:posOffset>-228600</wp:posOffset>
                </wp:positionH>
                <wp:positionV relativeFrom="paragraph">
                  <wp:posOffset>-209550</wp:posOffset>
                </wp:positionV>
                <wp:extent cx="6410325" cy="209550"/>
                <wp:effectExtent l="0" t="0" r="9525" b="0"/>
                <wp:wrapNone/>
                <wp:docPr id="5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0325" cy="209550"/>
                        </a:xfrm>
                        <a:prstGeom prst="rect">
                          <a:avLst/>
                        </a:prstGeom>
                        <a:solidFill>
                          <a:prstClr val="white"/>
                        </a:solidFill>
                        <a:ln>
                          <a:noFill/>
                        </a:ln>
                        <a:effectLst/>
                      </wps:spPr>
                      <wps:txbx>
                        <w:txbxContent>
                          <w:p w:rsidR="004E1715" w:rsidRPr="00C90DE7" w:rsidRDefault="004E1715" w:rsidP="00946D49">
                            <w:pPr>
                              <w:pStyle w:val="Caption"/>
                              <w:jc w:val="center"/>
                              <w:rPr>
                                <w:rFonts w:eastAsia="Times New Roman" w:cs="Times New Roman"/>
                                <w:b w:val="0"/>
                                <w:noProof/>
                                <w:sz w:val="24"/>
                                <w:szCs w:val="24"/>
                                <w:lang w:val="pt-PT"/>
                              </w:rPr>
                            </w:pPr>
                            <w:r>
                              <w:rPr>
                                <w:b w:val="0"/>
                                <w:sz w:val="24"/>
                                <w:szCs w:val="24"/>
                                <w:lang w:val="pt-PT"/>
                              </w:rPr>
                              <w:t>Figura</w:t>
                            </w:r>
                            <w:r w:rsidRPr="00C90DE7">
                              <w:rPr>
                                <w:b w:val="0"/>
                                <w:sz w:val="24"/>
                                <w:szCs w:val="24"/>
                                <w:lang w:val="pt-PT"/>
                              </w:rPr>
                              <w:t xml:space="preserve"> </w:t>
                            </w:r>
                            <w:r w:rsidRPr="00384D94">
                              <w:rPr>
                                <w:b w:val="0"/>
                                <w:sz w:val="24"/>
                                <w:szCs w:val="24"/>
                              </w:rPr>
                              <w:fldChar w:fldCharType="begin"/>
                            </w:r>
                            <w:r w:rsidRPr="00C90DE7">
                              <w:rPr>
                                <w:b w:val="0"/>
                                <w:sz w:val="24"/>
                                <w:szCs w:val="24"/>
                                <w:lang w:val="pt-PT"/>
                              </w:rPr>
                              <w:instrText xml:space="preserve"> SEQ Figure \* ARABIC </w:instrText>
                            </w:r>
                            <w:r w:rsidRPr="00384D94">
                              <w:rPr>
                                <w:b w:val="0"/>
                                <w:sz w:val="24"/>
                                <w:szCs w:val="24"/>
                              </w:rPr>
                              <w:fldChar w:fldCharType="separate"/>
                            </w:r>
                            <w:r w:rsidR="004F553E">
                              <w:rPr>
                                <w:b w:val="0"/>
                                <w:noProof/>
                                <w:sz w:val="24"/>
                                <w:szCs w:val="24"/>
                                <w:lang w:val="pt-PT"/>
                              </w:rPr>
                              <w:t>12</w:t>
                            </w:r>
                            <w:r w:rsidRPr="00384D94">
                              <w:rPr>
                                <w:b w:val="0"/>
                                <w:sz w:val="24"/>
                                <w:szCs w:val="24"/>
                              </w:rPr>
                              <w:fldChar w:fldCharType="end"/>
                            </w:r>
                            <w:r w:rsidRPr="00C90DE7">
                              <w:rPr>
                                <w:b w:val="0"/>
                                <w:sz w:val="24"/>
                                <w:szCs w:val="24"/>
                                <w:lang w:val="pt-PT"/>
                              </w:rPr>
                              <w:t xml:space="preserve">: O Processo Angolano de Investimento Público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5" o:spid="_x0000_s1079" type="#_x0000_t202" style="position:absolute;left:0;text-align:left;margin-left:-18pt;margin-top:-16.5pt;width:504.75pt;height:1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" stroked="f">
                <v:path arrowok="t"/>
                <v:textbox inset="0,0,0,0">
                  <w:txbxContent>
                    <w:p w:rsidR="004E1715" w:rsidRPr="00C90DE7" w:rsidRDefault="004E1715" w:rsidP="00946D49">
                      <w:pPr>
                        <w:pStyle w:val="Caption"/>
                        <w:jc w:val="center"/>
                        <w:rPr>
                          <w:rFonts w:eastAsia="Times New Roman" w:cs="Times New Roman"/>
                          <w:b w:val="0"/>
                          <w:noProof/>
                          <w:sz w:val="24"/>
                          <w:szCs w:val="24"/>
                          <w:lang w:val="pt-PT"/>
                        </w:rPr>
                      </w:pPr>
                      <w:r>
                        <w:rPr>
                          <w:b w:val="0"/>
                          <w:sz w:val="24"/>
                          <w:szCs w:val="24"/>
                          <w:lang w:val="pt-PT"/>
                        </w:rPr>
                        <w:t>Figura</w:t>
                      </w:r>
                      <w:r w:rsidRPr="00C90DE7">
                        <w:rPr>
                          <w:b w:val="0"/>
                          <w:sz w:val="24"/>
                          <w:szCs w:val="24"/>
                          <w:lang w:val="pt-PT"/>
                        </w:rPr>
                        <w:t xml:space="preserve"> </w:t>
                      </w:r>
                      <w:r w:rsidRPr="00384D94">
                        <w:rPr>
                          <w:b w:val="0"/>
                          <w:sz w:val="24"/>
                          <w:szCs w:val="24"/>
                        </w:rPr>
                        <w:fldChar w:fldCharType="begin"/>
                      </w:r>
                      <w:r w:rsidRPr="00C90DE7">
                        <w:rPr>
                          <w:b w:val="0"/>
                          <w:sz w:val="24"/>
                          <w:szCs w:val="24"/>
                          <w:lang w:val="pt-PT"/>
                        </w:rPr>
                        <w:instrText xml:space="preserve"> SEQ Figure \* ARABIC </w:instrText>
                      </w:r>
                      <w:r w:rsidRPr="00384D94">
                        <w:rPr>
                          <w:b w:val="0"/>
                          <w:sz w:val="24"/>
                          <w:szCs w:val="24"/>
                        </w:rPr>
                        <w:fldChar w:fldCharType="separate"/>
                      </w:r>
                      <w:r w:rsidR="004F553E">
                        <w:rPr>
                          <w:b w:val="0"/>
                          <w:noProof/>
                          <w:sz w:val="24"/>
                          <w:szCs w:val="24"/>
                          <w:lang w:val="pt-PT"/>
                        </w:rPr>
                        <w:t>12</w:t>
                      </w:r>
                      <w:r w:rsidRPr="00384D94">
                        <w:rPr>
                          <w:b w:val="0"/>
                          <w:sz w:val="24"/>
                          <w:szCs w:val="24"/>
                        </w:rPr>
                        <w:fldChar w:fldCharType="end"/>
                      </w:r>
                      <w:r w:rsidRPr="00C90DE7">
                        <w:rPr>
                          <w:b w:val="0"/>
                          <w:sz w:val="24"/>
                          <w:szCs w:val="24"/>
                          <w:lang w:val="pt-PT"/>
                        </w:rPr>
                        <w:t xml:space="preserve">: O Processo Angolano de Investimento Público </w:t>
                      </w:r>
                    </w:p>
                  </w:txbxContent>
                </v:textbox>
              </v:shape>
            </w:pict>
          </mc:Fallback>
        </mc:AlternateContent>
      </w:r>
      <w:r>
        <w:rPr>
          <w:noProof/>
        </w:rPr>
        <mc:AlternateContent>
          <mc:Choice Requires="wps">
            <w:drawing>
              <wp:inline distT="0" distB="0" distL="0" distR="0" wp14:anchorId="376F2053" wp14:editId="3D37DEE7">
                <wp:extent cx="5486400" cy="8029575"/>
                <wp:effectExtent l="0" t="0" r="0" b="9525"/>
                <wp:docPr id="56" name="Rectangle 1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86400" cy="802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38" o:spid="_x0000_s1026" style="width:6in;height:6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" filled="f" stroked="f">
                <o:lock v:ext="edit" aspectratio="t"/>
                <w10:anchorlock/>
              </v:rect>
            </w:pict>
          </mc:Fallback>
        </mc:AlternateContent>
      </w:r>
    </w:p>
    <w:p w:rsidR="00946D49" w:rsidRPr="006C34E6" w:rsidRDefault="00946D49" w:rsidP="00946D49">
      <w:pPr>
        <w:spacing w:line="276" w:lineRule="auto"/>
        <w:rPr>
          <w:b/>
          <w:color w:val="808080" w:themeColor="background1" w:themeShade="80"/>
          <w:sz w:val="16"/>
          <w:szCs w:val="16"/>
          <w:lang w:val="pt-PT"/>
        </w:rPr>
      </w:pPr>
      <w:r w:rsidRPr="006C34E6">
        <w:rPr>
          <w:b/>
          <w:color w:val="808080" w:themeColor="background1" w:themeShade="80"/>
          <w:sz w:val="16"/>
          <w:szCs w:val="16"/>
          <w:lang w:val="pt-PT"/>
        </w:rPr>
        <w:t>Source: Authors</w:t>
      </w:r>
    </w:p>
    <w:p w:rsidR="00946D49" w:rsidRDefault="00946D49" w:rsidP="0085133C">
      <w:pPr>
        <w:pStyle w:val="ParagraphNumbering"/>
        <w:rPr>
          <w:lang w:val="pt-PT"/>
        </w:rPr>
      </w:pPr>
      <w:r w:rsidRPr="006C34E6">
        <w:rPr>
          <w:b/>
          <w:lang w:val="pt-PT"/>
        </w:rPr>
        <w:lastRenderedPageBreak/>
        <w:t xml:space="preserve">O PIP articula os seus objectivos a longo, médio e curto prazo, através da Lei Orçamental. </w:t>
      </w:r>
      <w:r w:rsidRPr="006C34E6">
        <w:rPr>
          <w:lang w:val="pt-PT"/>
        </w:rPr>
        <w:t>Os objectivos a longo prazo do PIP são concebidos em linha com a estratégia global de crescimento do país, enquanto os seus objectivos a médio prazo se alinham com Quadro dos Planos de Despesa a Médio Prazo da Direcção Nacional do Planeamento, o Plano Sectorial e Provincial, o Plano Nacional para o Desenvolvimento Regional e outros planos estratégicos. Os objectivos a curto prazo estão estabelecidos em linha con os actuais Planos de Acção, Planos Anuais e Planos de Contingência do Governo. Apesar desta multiplicidade de planos do sector público, a abordagem estratégica do PIP é geralmente eficaz na coordenação dos objectivos dos numerosos projectos de investimento propostos pelas agências públicas que actuam em diferentes sectores e em diferentes níveis do governo No entanto, não é suficiente para garantir a eficácia técnica dos projectos seleccionados para inclusão no PIP.</w:t>
      </w:r>
    </w:p>
    <w:p w:rsidR="005C6A3A" w:rsidRPr="006C34E6" w:rsidRDefault="005C6A3A" w:rsidP="005C6A3A">
      <w:pPr>
        <w:pStyle w:val="ParagraphNumbering"/>
        <w:numPr>
          <w:ilvl w:val="0"/>
          <w:numId w:val="0"/>
        </w:numPr>
        <w:rPr>
          <w:lang w:val="pt-PT"/>
        </w:rPr>
      </w:pPr>
    </w:p>
    <w:p w:rsidR="00946D49" w:rsidRPr="006C34E6" w:rsidRDefault="00946D49" w:rsidP="00946D49">
      <w:pPr>
        <w:pStyle w:val="Heading2"/>
        <w:spacing w:line="276" w:lineRule="auto"/>
        <w:rPr>
          <w:lang w:val="pt-PT"/>
        </w:rPr>
      </w:pPr>
      <w:bookmarkStart w:id="99" w:name="_Toc387169374"/>
      <w:bookmarkStart w:id="100" w:name="_Toc391261708"/>
      <w:r w:rsidRPr="006C34E6">
        <w:rPr>
          <w:lang w:val="pt-PT"/>
        </w:rPr>
        <w:t>Reforma GIP e Restantes Pontos Fracos Sistémicos</w:t>
      </w:r>
      <w:bookmarkEnd w:id="99"/>
      <w:bookmarkEnd w:id="100"/>
      <w:r w:rsidRPr="006C34E6">
        <w:rPr>
          <w:lang w:val="pt-PT"/>
        </w:rPr>
        <w:t xml:space="preserve"> </w:t>
      </w:r>
    </w:p>
    <w:p w:rsidR="00946D49" w:rsidRPr="006C34E6" w:rsidRDefault="00946D49" w:rsidP="00946D49">
      <w:pPr>
        <w:pStyle w:val="ListParagraph"/>
        <w:spacing w:line="276" w:lineRule="auto"/>
        <w:rPr>
          <w:rFonts w:cs="Times New Roman"/>
          <w:lang w:val="pt-PT"/>
        </w:rPr>
      </w:pPr>
    </w:p>
    <w:p w:rsidR="00946D49" w:rsidRPr="006C34E6" w:rsidRDefault="00946D49" w:rsidP="0085133C">
      <w:pPr>
        <w:pStyle w:val="ParagraphNumbering"/>
        <w:rPr>
          <w:lang w:val="pt-PT"/>
        </w:rPr>
      </w:pPr>
      <w:r w:rsidRPr="005C6A3A">
        <w:rPr>
          <w:b/>
          <w:lang w:val="pt-PT"/>
        </w:rPr>
        <w:t>Desde meados de 2000 o Governo angolano tem efectuado uma série de reformas de política e esforços para uma reestruturação institucional, com a intenção de reforçar a eficiência e integridade da GIP, e a estrutura do sistema GIP, acima descrito é, em parte, um reflexo desses esforços.</w:t>
      </w:r>
      <w:r w:rsidRPr="006C34E6">
        <w:rPr>
          <w:lang w:val="pt-PT"/>
        </w:rPr>
        <w:t xml:space="preserve"> O Governo reforçou o cumprimento das regras de administração do orçamento e procedimentos de investimento, a nível subnacional. Foram feitos esforços especiais para sistematizar os processos pelos quais os projectos eram avaliados e seleccionados para inclusão no PIP. Embora se tenham alcançado consideráveis progressos, nesta e noutras áreas do GIP, há ainda desafios significativos.</w:t>
      </w:r>
    </w:p>
    <w:p w:rsidR="00946D49" w:rsidRPr="006C34E6" w:rsidRDefault="00946D49" w:rsidP="00946D49">
      <w:pPr>
        <w:pStyle w:val="ListParagraph"/>
        <w:spacing w:line="276" w:lineRule="auto"/>
        <w:ind w:left="0"/>
        <w:rPr>
          <w:rFonts w:cs="Times New Roman"/>
          <w:b/>
          <w:lang w:val="pt-PT"/>
        </w:rPr>
      </w:pPr>
    </w:p>
    <w:p w:rsidR="00946D49" w:rsidRPr="006C34E6" w:rsidRDefault="00946D49" w:rsidP="0085133C">
      <w:pPr>
        <w:pStyle w:val="ParagraphNumbering"/>
        <w:rPr>
          <w:lang w:val="pt-PT"/>
        </w:rPr>
      </w:pPr>
      <w:r w:rsidRPr="005C6A3A">
        <w:rPr>
          <w:b/>
          <w:lang w:val="pt-PT"/>
        </w:rPr>
        <w:t>A gestão financeira do processo de investimento público tem sido substancialmente reforçada, e  o governo continua a empenhar-se em importantes reformas.</w:t>
      </w:r>
      <w:r w:rsidRPr="006C34E6">
        <w:rPr>
          <w:lang w:val="pt-PT"/>
        </w:rPr>
        <w:t xml:space="preserve"> O relatório sobre o país, do </w:t>
      </w:r>
      <w:r w:rsidRPr="006C34E6">
        <w:rPr>
          <w:i/>
          <w:lang w:val="pt-PT"/>
        </w:rPr>
        <w:t xml:space="preserve">African Economic Outlook </w:t>
      </w:r>
      <w:r w:rsidRPr="006C34E6">
        <w:rPr>
          <w:lang w:val="pt-PT"/>
        </w:rPr>
        <w:t>2012, resume o recente progresso alcançado nesta área:</w:t>
      </w:r>
    </w:p>
    <w:p w:rsidR="00946D49" w:rsidRPr="006C34E6" w:rsidRDefault="00946D49" w:rsidP="00946D49">
      <w:pPr>
        <w:pStyle w:val="ListParagraph"/>
        <w:ind w:left="0"/>
        <w:rPr>
          <w:rFonts w:cs="Times New Roman"/>
          <w:lang w:val="pt-PT"/>
        </w:rPr>
      </w:pPr>
    </w:p>
    <w:p w:rsidR="00946D49" w:rsidRPr="006C34E6" w:rsidRDefault="00946D49" w:rsidP="00946D49">
      <w:pPr>
        <w:pStyle w:val="ListParagraph"/>
        <w:ind w:right="720"/>
        <w:rPr>
          <w:rFonts w:cs="Times New Roman"/>
          <w:lang w:val="pt-PT"/>
        </w:rPr>
      </w:pPr>
      <w:r w:rsidRPr="006C34E6">
        <w:rPr>
          <w:rFonts w:cs="Times New Roman"/>
          <w:lang w:val="pt-PT"/>
        </w:rPr>
        <w:t>Angola está a melhorar os seus instrumentos de gestão financeira e tem diversos programas em marcha para melhorar a transparência e o controlo sobre as despesas.  Introduziu planos financeiros trimestrais para as despesas dos ministérios de tutela, para se certificar de que apenas serão implementados os projectos aprovados no orçamento. O Governo começou a publicar relatórios trimestrais da execução orçamental em 2011, tendo as contas do orçamento nacional de 2010 sido publicadas com menos de um ano de atraso. As contas nacionais são auditadas pela firma Ernst &amp; Young, que também está a apoiar o Governo no melhoramento da eficiência e transparência da execução orçamental. O Governo está a implementar uma completa remodelação da orçamentação, avaliação e capacidade de monitorização de projectos, para aumentar e melhorar os resultados do desenvolvimento. Durante 2011, o Governo promoveu uma reestruturação do Ministério da Economia, e criou um novo Instituto do Sector das Empresas Públicas, para reforçar a supervisão das empresas públicas e criar um novo enquadramento regulatório. As empresas públicas são agora obrigadas a fornecer relatórios trimestrais ao Instituto e a que  as contas anuais sejam auditadas externamente e tornadas públicas.</w:t>
      </w:r>
    </w:p>
    <w:p w:rsidR="00946D49" w:rsidRPr="006C34E6" w:rsidRDefault="00946D49" w:rsidP="00946D49">
      <w:pPr>
        <w:pStyle w:val="ListParagraph"/>
        <w:ind w:right="720"/>
        <w:rPr>
          <w:rFonts w:cs="Times New Roman"/>
          <w:lang w:val="pt-PT"/>
        </w:rPr>
      </w:pPr>
      <w:r w:rsidRPr="006C34E6">
        <w:rPr>
          <w:rFonts w:cs="Times New Roman"/>
          <w:lang w:val="pt-PT"/>
        </w:rPr>
        <w:t>(AEO 2012)</w:t>
      </w:r>
    </w:p>
    <w:p w:rsidR="00946D49" w:rsidRPr="006C34E6" w:rsidRDefault="00946D49" w:rsidP="00946D49">
      <w:pPr>
        <w:ind w:right="720"/>
        <w:rPr>
          <w:rFonts w:cs="Times New Roman"/>
          <w:b/>
          <w:lang w:val="pt-PT"/>
        </w:rPr>
      </w:pPr>
    </w:p>
    <w:p w:rsidR="00946D49" w:rsidRPr="006C34E6" w:rsidRDefault="00946D49" w:rsidP="0085133C">
      <w:pPr>
        <w:pStyle w:val="ParagraphNumbering"/>
        <w:rPr>
          <w:lang w:val="pt-PT"/>
        </w:rPr>
      </w:pPr>
      <w:r w:rsidRPr="005C6A3A">
        <w:rPr>
          <w:b/>
          <w:lang w:val="pt-PT"/>
        </w:rPr>
        <w:t>Ainda que estes desenvolvimentos sejam encorajadores, é muito cedo para determinar qual o será o será o seu impacto final na supervisão financeira do investimento público, uma área em reformas prometedoras já anteriormente falharam em produzir os resultados desejados.</w:t>
      </w:r>
      <w:r w:rsidRPr="006C34E6">
        <w:rPr>
          <w:lang w:val="pt-PT"/>
        </w:rPr>
        <w:t xml:space="preserve"> No entanto, o empenho no processo de reforma, evidenciado pelo governo, é já um motivo para optimismo, e muitas actuais reformas estão expressamente formuladas para resolver as debilidades identificadas nas análises do quadro GIP pós-2010. Um exemplo particularmente importante é o sistema de avaliação e monitorização dos projectos. As reformas de 2010 não actualizaram os procedimentos de avaliação e monitorização do investimento público, que foi citado por críticos com uma falha importante no sistema </w:t>
      </w:r>
      <w:r w:rsidRPr="006C34E6">
        <w:rPr>
          <w:lang w:val="pt-PT"/>
        </w:rPr>
        <w:lastRenderedPageBreak/>
        <w:t>GIP.</w:t>
      </w:r>
      <w:r w:rsidRPr="006C34E6">
        <w:rPr>
          <w:rStyle w:val="FootnoteReference"/>
          <w:rFonts w:cs="Times New Roman"/>
          <w:noProof w:val="0"/>
          <w:lang w:val="pt-PT"/>
        </w:rPr>
        <w:footnoteReference w:id="25"/>
      </w:r>
      <w:r w:rsidRPr="006C34E6">
        <w:rPr>
          <w:lang w:val="pt-PT"/>
        </w:rPr>
        <w:t xml:space="preserve"> Entretanto, em 2013, foi iniciado um novo sistema de avaliação monitorização, financiado pelo Banco Africano de Desenvolvimento foi </w:t>
      </w:r>
      <w:r w:rsidRPr="006C34E6">
        <w:rPr>
          <w:color w:val="auto"/>
          <w:lang w:val="pt-PT"/>
        </w:rPr>
        <w:t>testado pela DNIP. Se bem-sucedido, este sistema poderá reforçar grandemente a consistência, a previsibilidade e o rigor metodológico com que os processos de avaliação e monitorização são efectuados.</w:t>
      </w:r>
    </w:p>
    <w:p w:rsidR="00946D49" w:rsidRPr="006C34E6" w:rsidRDefault="00946D49" w:rsidP="00946D49">
      <w:pPr>
        <w:pStyle w:val="ListParagraph"/>
        <w:spacing w:line="276" w:lineRule="auto"/>
        <w:ind w:left="0"/>
        <w:rPr>
          <w:rFonts w:cs="Times New Roman"/>
          <w:lang w:val="pt-PT"/>
        </w:rPr>
      </w:pPr>
    </w:p>
    <w:p w:rsidR="00946D49" w:rsidRPr="006C34E6" w:rsidRDefault="00946D49" w:rsidP="0085133C">
      <w:pPr>
        <w:pStyle w:val="ParagraphNumbering"/>
        <w:rPr>
          <w:lang w:val="pt-PT"/>
        </w:rPr>
      </w:pPr>
      <w:r w:rsidRPr="006C34E6">
        <w:rPr>
          <w:b/>
          <w:lang w:val="pt-PT"/>
        </w:rPr>
        <w:t xml:space="preserve">Apesar dos esforços do governo para introduzir reformas, há ainda importantes desafios numa série de áreas importantes. </w:t>
      </w:r>
      <w:r w:rsidRPr="006C34E6">
        <w:rPr>
          <w:lang w:val="pt-PT"/>
        </w:rPr>
        <w:t>Os padrões de desenho dos projectos são muitas vezes superficiais e não há um conjunto de regras e métodos padrão para todos os projectos. Isto dá origem a um nível de imprevisibilidade quando ao tempo e custo necessários para a implementação, que leva a atrasos e ultrapassagem de custos. Segundo é relatado, a falta de normas uniformes para a formulação e avaliação de projectos – como as simples orientações para avaliar os custos iniciais e recorrentes do projecto proposto, ou para analisar os seus impactos, económicos e sociais – significa que cada ministério sectorial se guia pelos seus próprios estudos para a avaliação técnica e uma relação contabilística de custos-benefícios. A falta de simples regras e procedimentos, impede também que haja uma avaliação em diversas fases de cada projecto. Ainda que o sistema de avaliação do projecto-piloto e o sistema de avaliação referidos acima esteja concebido, em parte para resolver estas questões, a inexistência actual de métodos analíticos é uma importante lacuna do sistema GIP.</w:t>
      </w:r>
    </w:p>
    <w:p w:rsidR="00946D49" w:rsidRPr="006C34E6" w:rsidRDefault="00946D49" w:rsidP="00946D49">
      <w:pPr>
        <w:pStyle w:val="ListParagraph"/>
        <w:spacing w:line="276" w:lineRule="auto"/>
        <w:rPr>
          <w:rFonts w:cs="Times New Roman"/>
          <w:lang w:val="pt-PT"/>
        </w:rPr>
      </w:pPr>
    </w:p>
    <w:p w:rsidR="00946D49" w:rsidRPr="006C34E6" w:rsidRDefault="00946D49" w:rsidP="0085133C">
      <w:pPr>
        <w:pStyle w:val="ParagraphNumbering"/>
        <w:rPr>
          <w:lang w:val="pt-PT"/>
        </w:rPr>
      </w:pPr>
      <w:r w:rsidRPr="005C6A3A">
        <w:rPr>
          <w:b/>
          <w:lang w:val="pt-PT"/>
        </w:rPr>
        <w:t xml:space="preserve">A formulação dos projectos e dos processos de avaliação </w:t>
      </w:r>
      <w:r w:rsidRPr="005C6A3A">
        <w:rPr>
          <w:b/>
          <w:i/>
          <w:lang w:val="pt-PT"/>
        </w:rPr>
        <w:t>a priori</w:t>
      </w:r>
      <w:r w:rsidRPr="005C6A3A">
        <w:rPr>
          <w:b/>
          <w:lang w:val="pt-PT"/>
        </w:rPr>
        <w:t>, são ainda mais comprometidos pela limitada disponibilidade de essenciais dados económicos e informação relativa aos projectos.</w:t>
      </w:r>
      <w:r w:rsidRPr="006C34E6">
        <w:rPr>
          <w:lang w:val="pt-PT"/>
        </w:rPr>
        <w:t xml:space="preserve"> Angola sofre de grandes lacunas das mais básicas estatísticas económicas, bem como de dados registados pelo Banco Central. Isto inibe a capacidade dos ministérios e de outras agências públicas, para avaliar com exactidão o impacto económico dos projectos que propõem, e resulta numa atribuição inadequada dos recursos de investimento. Entretanto, a partilha inadequada de informação sobre projectos que estão a ser planeados por diferentes agências impede um planeamento coordenado e torna difícil integrar projectos complementares dentro de um mesmo programa de investimento. Isto cria ineficiências tanto em desenho como em implementação, levando a custos mais elevados e projectos com menor eficácia. Apesar de haver agora em funcionamento um sistema computorizado para acompanhar os projectos PIP, este não está ainda integrado no sistemas de contabilidade e fiscais ou nos sistemas do Tribunal de Contas.</w:t>
      </w:r>
    </w:p>
    <w:p w:rsidR="00946D49" w:rsidRPr="006C34E6" w:rsidRDefault="00946D49" w:rsidP="00946D49">
      <w:pPr>
        <w:pStyle w:val="ListParagraph"/>
        <w:spacing w:line="276" w:lineRule="auto"/>
        <w:ind w:left="0"/>
        <w:rPr>
          <w:rFonts w:cs="Times New Roman"/>
          <w:lang w:val="pt-PT"/>
        </w:rPr>
      </w:pPr>
    </w:p>
    <w:p w:rsidR="00946D49" w:rsidRPr="005C6A3A" w:rsidRDefault="00946D49" w:rsidP="005C6A3A">
      <w:pPr>
        <w:pStyle w:val="ParagraphNumbering"/>
        <w:rPr>
          <w:lang w:val="pt-PT"/>
        </w:rPr>
      </w:pPr>
      <w:r w:rsidRPr="005C6A3A">
        <w:rPr>
          <w:b/>
          <w:lang w:val="pt-PT"/>
        </w:rPr>
        <w:t>Uma área específica em que a falta de sistemas GIP uniformes compromete a qualidade do investimento, é a dos investimentos de empresas públicas e parcerias público privadas.</w:t>
      </w:r>
      <w:r w:rsidRPr="006C34E6">
        <w:rPr>
          <w:lang w:val="pt-PT"/>
        </w:rPr>
        <w:t xml:space="preserve"> As empresas públicas são autónomas e não estão sujeitas a avaliação pela DNIP,</w:t>
      </w:r>
      <w:r w:rsidRPr="006C34E6">
        <w:rPr>
          <w:color w:val="FF0000"/>
          <w:lang w:val="pt-PT"/>
        </w:rPr>
        <w:t xml:space="preserve"> </w:t>
      </w:r>
      <w:r w:rsidRPr="006C34E6">
        <w:rPr>
          <w:color w:val="auto"/>
          <w:lang w:val="pt-PT"/>
        </w:rPr>
        <w:t xml:space="preserve">mas os seus projectos de investimento são subscritos pelo Governo e, fundamentalmente, são semelhantes a outras formas de investimento público. A formulação da proposta, estimativa </w:t>
      </w:r>
      <w:r w:rsidRPr="006C34E6">
        <w:rPr>
          <w:i/>
          <w:color w:val="auto"/>
          <w:lang w:val="pt-PT"/>
        </w:rPr>
        <w:t>a priori</w:t>
      </w:r>
      <w:r w:rsidRPr="006C34E6">
        <w:rPr>
          <w:color w:val="auto"/>
          <w:lang w:val="pt-PT"/>
        </w:rPr>
        <w:t xml:space="preserve">, monitorização operacional e avaliação </w:t>
      </w:r>
      <w:r w:rsidRPr="006C34E6">
        <w:rPr>
          <w:i/>
          <w:color w:val="auto"/>
          <w:lang w:val="pt-PT"/>
        </w:rPr>
        <w:t>ex post</w:t>
      </w:r>
      <w:r w:rsidRPr="006C34E6">
        <w:rPr>
          <w:color w:val="auto"/>
          <w:lang w:val="pt-PT"/>
        </w:rPr>
        <w:t xml:space="preserve"> dos projectos implementados por empresas públicas são de qualidade técnica extremamente variável. Havendo embora processos estabelecidos para a avaliação </w:t>
      </w:r>
      <w:r w:rsidRPr="006C34E6">
        <w:rPr>
          <w:i/>
          <w:color w:val="auto"/>
          <w:lang w:val="pt-PT"/>
        </w:rPr>
        <w:t>ex post</w:t>
      </w:r>
      <w:r w:rsidRPr="006C34E6">
        <w:rPr>
          <w:color w:val="auto"/>
          <w:lang w:val="pt-PT"/>
        </w:rPr>
        <w:t>, não há um sistema para a monitorização do desenvolvimento das operações do projecto. Por último, os projectos financiados através de acordos de parcerias público-privadas (PPP) não são sujeitos ao mesmo sistema de avaliação que os projectos financiados directamente pelo governo</w:t>
      </w:r>
      <w:r>
        <w:rPr>
          <w:color w:val="auto"/>
          <w:lang w:val="pt-PT"/>
        </w:rPr>
        <w:t>,</w:t>
      </w:r>
      <w:r w:rsidRPr="006C34E6">
        <w:rPr>
          <w:color w:val="auto"/>
          <w:lang w:val="pt-PT"/>
        </w:rPr>
        <w:t xml:space="preserve"> e assim o desempenho dos projectos de PPP não pode ser</w:t>
      </w:r>
      <w:r>
        <w:rPr>
          <w:color w:val="auto"/>
          <w:lang w:val="pt-PT"/>
        </w:rPr>
        <w:t xml:space="preserve"> </w:t>
      </w:r>
      <w:r w:rsidRPr="006C34E6">
        <w:rPr>
          <w:color w:val="auto"/>
          <w:lang w:val="pt-PT"/>
        </w:rPr>
        <w:t xml:space="preserve">comparado com o de projectos financiados totalmente por fundos públicos. Apesar do recentemente criado Instituto Nacional de Empresas Públicas poder – e dever – adoptar um sistema de avaliação consistente com o que é utilizado pela DNIP, os projectos de </w:t>
      </w:r>
      <w:r>
        <w:rPr>
          <w:color w:val="auto"/>
          <w:lang w:val="pt-PT"/>
        </w:rPr>
        <w:t>P</w:t>
      </w:r>
      <w:r w:rsidRPr="006C34E6">
        <w:rPr>
          <w:color w:val="auto"/>
          <w:lang w:val="pt-PT"/>
        </w:rPr>
        <w:t>PP continuam comprometidos pela inconsistência que permeia a generalidade do sistema GIP.</w:t>
      </w:r>
    </w:p>
    <w:p w:rsidR="00946D49" w:rsidRPr="006C34E6" w:rsidRDefault="00946D49" w:rsidP="00946D49">
      <w:pPr>
        <w:pStyle w:val="ListParagraph"/>
        <w:spacing w:line="276" w:lineRule="auto"/>
        <w:rPr>
          <w:rFonts w:cs="Times New Roman"/>
          <w:lang w:val="pt-PT"/>
        </w:rPr>
      </w:pPr>
    </w:p>
    <w:p w:rsidR="00946D49" w:rsidRPr="006C34E6" w:rsidRDefault="00946D49" w:rsidP="0085133C">
      <w:pPr>
        <w:pStyle w:val="ParagraphNumbering"/>
        <w:rPr>
          <w:lang w:val="pt-PT"/>
        </w:rPr>
      </w:pPr>
      <w:r w:rsidRPr="005C6A3A">
        <w:rPr>
          <w:b/>
          <w:lang w:val="pt-PT"/>
        </w:rPr>
        <w:t xml:space="preserve">As dificuldades de obter capital humano criam um obstáculo adicional a uma formulação e avaliação eficaz de projectos, e a debilidade da capacidade administrativa afecta todos os aspectos </w:t>
      </w:r>
      <w:r w:rsidRPr="005C6A3A">
        <w:rPr>
          <w:b/>
          <w:lang w:val="pt-PT"/>
        </w:rPr>
        <w:lastRenderedPageBreak/>
        <w:t>do sistema GIP.</w:t>
      </w:r>
      <w:r w:rsidRPr="006C34E6">
        <w:rPr>
          <w:lang w:val="pt-PT"/>
        </w:rPr>
        <w:t xml:space="preserve"> O governo está a trabalhar para reforçar as capacidades dos seus funcionários, através de formação e apoio técnico do Banco Africano de Desenvolvimento, mas estes esforços estão ainda no início e estão concentrados num número reduzido de gabinetes públicos. A generalizada escassez de capital humano mais sofisticado prejudica o funcionamento de todo o sistema GIP; e complica também a comunicação entre os decisores políticos e especialistas técnicos e entre o estado e as suas instituições de financiamento, tanto estrangeiras como internas.</w:t>
      </w:r>
    </w:p>
    <w:p w:rsidR="00946D49" w:rsidRPr="006C34E6" w:rsidRDefault="00946D49" w:rsidP="00946D49">
      <w:pPr>
        <w:pStyle w:val="ListParagraph"/>
        <w:spacing w:line="276" w:lineRule="auto"/>
        <w:ind w:left="0"/>
        <w:rPr>
          <w:rFonts w:cs="Times New Roman"/>
          <w:lang w:val="pt-PT"/>
        </w:rPr>
      </w:pPr>
    </w:p>
    <w:p w:rsidR="00946D49" w:rsidRPr="006C34E6" w:rsidRDefault="00946D49" w:rsidP="0085133C">
      <w:pPr>
        <w:pStyle w:val="ParagraphNumbering"/>
        <w:rPr>
          <w:lang w:val="pt-PT"/>
        </w:rPr>
      </w:pPr>
      <w:r w:rsidRPr="005C6A3A">
        <w:rPr>
          <w:b/>
          <w:lang w:val="pt-PT"/>
        </w:rPr>
        <w:t>Graves falhas sistémicas na preparação, implementação e monitorização de projectos, contribuem para a reduzida taxa de execução de despesas de investimento público.</w:t>
      </w:r>
      <w:r w:rsidRPr="006C34E6">
        <w:rPr>
          <w:lang w:val="pt-PT"/>
        </w:rPr>
        <w:t xml:space="preserve"> Em 2012, o PIP registou uma taxa de execução financeira de 67 por cento, abaixo dos 74,9 por cento de 2011. Isto deve-se em parte à discrepância que continua a existir entre os recursos financeiros atribuídos a projectos PIP e os seus calendários de execução, mas também, em parte, aos atrasos na implementação causados por pesados processos administrativos, que são também responsáveis pela baixa taxa global de execução da despesa pública, por parte do governo.</w:t>
      </w:r>
    </w:p>
    <w:p w:rsidR="00946D49" w:rsidRPr="006C34E6" w:rsidRDefault="00946D49" w:rsidP="00946D49">
      <w:pPr>
        <w:pStyle w:val="ListParagraph"/>
        <w:spacing w:line="276" w:lineRule="auto"/>
        <w:ind w:left="0"/>
        <w:rPr>
          <w:rFonts w:cs="Times New Roman"/>
          <w:lang w:val="pt-PT"/>
        </w:rPr>
      </w:pPr>
    </w:p>
    <w:p w:rsidR="00946D49" w:rsidRPr="006C34E6" w:rsidRDefault="00946D49" w:rsidP="00946D49">
      <w:pPr>
        <w:pStyle w:val="Heading2"/>
        <w:rPr>
          <w:sz w:val="28"/>
          <w:szCs w:val="28"/>
          <w:lang w:val="pt-PT"/>
        </w:rPr>
      </w:pPr>
      <w:bookmarkStart w:id="101" w:name="_Toc387169375"/>
      <w:bookmarkStart w:id="102" w:name="_Toc391261709"/>
      <w:r w:rsidRPr="006C34E6">
        <w:rPr>
          <w:sz w:val="28"/>
          <w:szCs w:val="28"/>
          <w:lang w:val="pt-PT"/>
        </w:rPr>
        <w:t>Criar, em Angola, um Sistema GIP mais forte</w:t>
      </w:r>
      <w:bookmarkEnd w:id="101"/>
      <w:bookmarkEnd w:id="102"/>
    </w:p>
    <w:p w:rsidR="00946D49" w:rsidRPr="006C34E6" w:rsidRDefault="00946D49" w:rsidP="00946D49">
      <w:pPr>
        <w:pStyle w:val="ListParagraph"/>
        <w:spacing w:line="276" w:lineRule="auto"/>
        <w:ind w:left="0"/>
        <w:rPr>
          <w:rFonts w:cs="Times New Roman"/>
          <w:b/>
          <w:lang w:val="pt-PT"/>
        </w:rPr>
      </w:pPr>
    </w:p>
    <w:p w:rsidR="00946D49" w:rsidRPr="006C34E6" w:rsidRDefault="00946D49" w:rsidP="0085133C">
      <w:pPr>
        <w:pStyle w:val="ParagraphNumbering"/>
        <w:rPr>
          <w:lang w:val="pt-PT"/>
        </w:rPr>
      </w:pPr>
      <w:r w:rsidRPr="005C6A3A">
        <w:rPr>
          <w:b/>
          <w:lang w:val="pt-PT"/>
        </w:rPr>
        <w:t>As estruturas básicas de uma sólida GIP estão agora instituídas, mas serão necessárias mais reformas para garantir que os investimentos públicos serão avaliados com exactidão, avaliados com eficiência, implementados com eficácia e criteriosamente avaliados.</w:t>
      </w:r>
      <w:r w:rsidRPr="006C34E6">
        <w:rPr>
          <w:lang w:val="pt-PT"/>
        </w:rPr>
        <w:t xml:space="preserve"> Para tal, o governo deve desenvolver métodos consistentes para a monitorização de todos os elementos do PIP, tanto a nível nacional como regional. Tem também de desenvolver um enquadramento abrangente para as despesas a médio prazo, para assegurar a regularidade e previsibilidade da implementação do PIP, e tomar mais medidas para reforçar a eficiência e eficácia dos sistemas públicos de gestão financeira. Além disso, é essencial que os decisores políticos aprendam com os anteriores esforços de reforma e se empenhem em consolidar novas regras para a GIP e GFP (Gestão Financeira Pública)</w:t>
      </w:r>
      <w:r w:rsidRPr="006C34E6">
        <w:rPr>
          <w:color w:val="FF0000"/>
          <w:lang w:val="pt-PT"/>
        </w:rPr>
        <w:t xml:space="preserve"> </w:t>
      </w:r>
      <w:r w:rsidRPr="006C34E6">
        <w:rPr>
          <w:color w:val="auto"/>
          <w:lang w:val="pt-PT"/>
        </w:rPr>
        <w:t>com um enquadramento simples e abrangente. As novas regras ajudariam também a assegurar a permanência das mudanças estruturas, e a viabilidade do sistema, no longo prazo.</w:t>
      </w:r>
    </w:p>
    <w:p w:rsidR="00946D49" w:rsidRPr="006C34E6" w:rsidRDefault="00946D49" w:rsidP="005C6A3A">
      <w:pPr>
        <w:pStyle w:val="ParagraphNumbering"/>
        <w:numPr>
          <w:ilvl w:val="0"/>
          <w:numId w:val="0"/>
        </w:numPr>
        <w:rPr>
          <w:lang w:val="pt-PT"/>
        </w:rPr>
      </w:pPr>
    </w:p>
    <w:p w:rsidR="00946D49" w:rsidRPr="006C34E6" w:rsidRDefault="00946D49" w:rsidP="0085133C">
      <w:pPr>
        <w:pStyle w:val="ParagraphNumbering"/>
        <w:rPr>
          <w:lang w:val="pt-PT"/>
        </w:rPr>
      </w:pPr>
      <w:r w:rsidRPr="005C6A3A">
        <w:rPr>
          <w:b/>
          <w:lang w:val="pt-PT"/>
        </w:rPr>
        <w:t>Ainda que estes sejam consideráveis desafios, há uma clara evidência de que o governo tem a vontade política necessária para avançar com a agenda de reforma da GIP.</w:t>
      </w:r>
      <w:r w:rsidRPr="006C34E6">
        <w:rPr>
          <w:lang w:val="pt-PT"/>
        </w:rPr>
        <w:t xml:space="preserve"> As autoridades reconhecem, em termos gerais, a importância da formulação dos projectos, e de uma avaliação </w:t>
      </w:r>
      <w:r w:rsidRPr="006C34E6">
        <w:rPr>
          <w:i/>
          <w:lang w:val="pt-PT"/>
        </w:rPr>
        <w:t>a priori</w:t>
      </w:r>
      <w:r w:rsidRPr="006C34E6">
        <w:rPr>
          <w:lang w:val="pt-PT"/>
        </w:rPr>
        <w:t>, para garantir que os recursos são atribuídos de forma a maximizar o seu crescimento económico e impacto no bem-estar.</w:t>
      </w:r>
    </w:p>
    <w:p w:rsidR="00946D49" w:rsidRPr="006C34E6" w:rsidRDefault="00946D49" w:rsidP="00946D49">
      <w:pPr>
        <w:pStyle w:val="ListParagraph"/>
        <w:rPr>
          <w:rFonts w:cs="Times New Roman"/>
          <w:lang w:val="pt-PT"/>
        </w:rPr>
      </w:pPr>
    </w:p>
    <w:p w:rsidR="00946D49" w:rsidRPr="006C34E6" w:rsidRDefault="00946D49" w:rsidP="0085133C">
      <w:pPr>
        <w:pStyle w:val="ParagraphNumbering"/>
        <w:rPr>
          <w:lang w:val="pt-PT"/>
        </w:rPr>
      </w:pPr>
      <w:r w:rsidRPr="005C6A3A">
        <w:rPr>
          <w:b/>
          <w:lang w:val="pt-PT"/>
        </w:rPr>
        <w:t>A criação de um sistema estandardizado de avaliação de projectos, que articule claramente os critérios para determinar o que se espera do projecto, deve ser considerada como uma objectiva prioridade.</w:t>
      </w:r>
      <w:r w:rsidRPr="006C34E6">
        <w:rPr>
          <w:lang w:val="pt-PT"/>
        </w:rPr>
        <w:t xml:space="preserve"> Os métodos múltiplos, incompatíveis, que actualmente são utilizados pelas diferentes entidades governamentais, introduzem um elevado grau de incerteza nos cálculos custo-benefícios dos projectos individuais e tornam difícil comparar projectos entre si, com base na sua previsível taxa de retorno. De forma a assegurar a imparcialidade, o governo deverá consid</w:t>
      </w:r>
      <w:r>
        <w:rPr>
          <w:lang w:val="pt-PT"/>
        </w:rPr>
        <w:t>er</w:t>
      </w:r>
      <w:r w:rsidRPr="006C34E6">
        <w:rPr>
          <w:lang w:val="pt-PT"/>
        </w:rPr>
        <w:t xml:space="preserve">ar uma unidade independente de avaliação de projectos na </w:t>
      </w:r>
      <w:r w:rsidRPr="006C34E6">
        <w:rPr>
          <w:color w:val="auto"/>
          <w:lang w:val="pt-PT"/>
        </w:rPr>
        <w:t>DNIP</w:t>
      </w:r>
      <w:r w:rsidRPr="006C34E6">
        <w:rPr>
          <w:lang w:val="pt-PT"/>
        </w:rPr>
        <w:t>, para avaliar objectivamente os projectos de investimento proposto, de acordo com uma metodologia única e padronizada, antes de serem incluídos no PIP.</w:t>
      </w:r>
    </w:p>
    <w:p w:rsidR="00946D49" w:rsidRPr="006C34E6" w:rsidRDefault="00946D49" w:rsidP="00946D49">
      <w:pPr>
        <w:rPr>
          <w:rFonts w:cs="Times New Roman"/>
          <w:lang w:val="pt-PT"/>
        </w:rPr>
      </w:pPr>
    </w:p>
    <w:p w:rsidR="00946D49" w:rsidRPr="006C34E6" w:rsidRDefault="00946D49" w:rsidP="0085133C">
      <w:pPr>
        <w:pStyle w:val="ParagraphNumbering"/>
        <w:rPr>
          <w:lang w:val="pt-PT"/>
        </w:rPr>
      </w:pPr>
      <w:r w:rsidRPr="005C6A3A">
        <w:rPr>
          <w:b/>
          <w:lang w:val="pt-PT"/>
        </w:rPr>
        <w:t>A avaliação correcta de projectos tem de incluir um sistema formal de contabilização de todos os custos do projecto, tanto em termos das despesas de capital iniciais como das despesas recorrentes, a longo prazo.</w:t>
      </w:r>
      <w:r w:rsidRPr="006C34E6">
        <w:rPr>
          <w:lang w:val="pt-PT"/>
        </w:rPr>
        <w:t xml:space="preserve"> Os decisores políticos tendem muitas vezes a concentrarem a atenção nos custos iniciais de um projecto em vez de considerarem os custos de manutenção e funcionamento desse projecto, a longo prazo. A DNIP deve, consequentemente, adoptar um método padrão e abrangente de contabilização, para determinar o actual valor descontado de custos recorrentes do projecto e ordenar a </w:t>
      </w:r>
      <w:r w:rsidRPr="006C34E6">
        <w:rPr>
          <w:lang w:val="pt-PT"/>
        </w:rPr>
        <w:lastRenderedPageBreak/>
        <w:t xml:space="preserve">sua utilização em todas as propostas de projectos.   </w:t>
      </w:r>
    </w:p>
    <w:p w:rsidR="00946D49" w:rsidRPr="005C6A3A" w:rsidRDefault="00946D49" w:rsidP="005C6A3A">
      <w:pPr>
        <w:rPr>
          <w:rFonts w:cs="Times New Roman"/>
          <w:lang w:val="pt-PT"/>
        </w:rPr>
      </w:pPr>
    </w:p>
    <w:p w:rsidR="00946D49" w:rsidRPr="005C6A3A" w:rsidRDefault="00946D49" w:rsidP="005C6A3A">
      <w:pPr>
        <w:pStyle w:val="ParagraphNumbering"/>
        <w:rPr>
          <w:lang w:val="pt-PT"/>
        </w:rPr>
      </w:pPr>
      <w:r w:rsidRPr="006C34E6">
        <w:rPr>
          <w:b/>
          <w:lang w:val="pt-PT"/>
        </w:rPr>
        <w:t xml:space="preserve">O sistema GIP sofre também da falta de avaliação </w:t>
      </w:r>
      <w:r w:rsidRPr="006C34E6">
        <w:rPr>
          <w:b/>
          <w:i/>
          <w:lang w:val="pt-PT"/>
        </w:rPr>
        <w:t>ex-post</w:t>
      </w:r>
      <w:r w:rsidRPr="006C34E6">
        <w:rPr>
          <w:b/>
          <w:lang w:val="pt-PT"/>
        </w:rPr>
        <w:t xml:space="preserve"> credível. </w:t>
      </w:r>
      <w:r w:rsidRPr="006C34E6">
        <w:rPr>
          <w:lang w:val="pt-PT"/>
        </w:rPr>
        <w:t xml:space="preserve">Manter um sistema GIP eficaz requer um trabalho contínuo, para melhorar a eficiência dos processos GIP. Os projectos completados têm de ser rigorosamente analisados em confronto com as projecções iniciais, para avaliar a exactidão da generalidade das apreciações de projectos e, em particular, os métodos utilizados para calcular os custos dos projectos. Uma unidade independente de avaliação no NDPI poderia aplicar um conjunto padrão de critérios de avaliação </w:t>
      </w:r>
      <w:r w:rsidRPr="006C34E6">
        <w:rPr>
          <w:i/>
          <w:lang w:val="pt-PT"/>
        </w:rPr>
        <w:t>ex-post</w:t>
      </w:r>
      <w:r w:rsidRPr="006C34E6">
        <w:rPr>
          <w:lang w:val="pt-PT"/>
        </w:rPr>
        <w:t xml:space="preserve"> a todos os projectos terminados e providenciar para que as lições aprendidas com esses projectos sejam incorporadas no sistema GIP.</w:t>
      </w:r>
    </w:p>
    <w:p w:rsidR="00946D49" w:rsidRPr="006C34E6" w:rsidRDefault="00946D49" w:rsidP="00946D49">
      <w:pPr>
        <w:pStyle w:val="ListParagraph"/>
        <w:rPr>
          <w:rFonts w:cs="Times New Roman"/>
          <w:lang w:val="pt-PT"/>
        </w:rPr>
      </w:pPr>
    </w:p>
    <w:p w:rsidR="00946D49" w:rsidRPr="006C34E6" w:rsidRDefault="00946D49" w:rsidP="0085133C">
      <w:pPr>
        <w:pStyle w:val="ParagraphNumbering"/>
        <w:rPr>
          <w:lang w:val="pt-PT"/>
        </w:rPr>
      </w:pPr>
      <w:r w:rsidRPr="005C6A3A">
        <w:rPr>
          <w:b/>
          <w:lang w:val="pt-PT"/>
        </w:rPr>
        <w:t>Por último, uma área importante para análise mais aprofundada, é a excepcional latitude dada ao Ramo Executivo nas propostas e aprovações de projectos de investimento.</w:t>
      </w:r>
      <w:r w:rsidRPr="006C34E6">
        <w:rPr>
          <w:lang w:val="pt-PT"/>
        </w:rPr>
        <w:t xml:space="preserve"> Ao contrário de outras entidades encarregadas de propor projectos – os ministérios de tutela e os governos provinciais e municipais – o Ramo Executivo não submete as suas propostas ao NDPI. Em vez disso, incorpora os projectos propostos directamente nos PIP, cuja aprovação lhe compete. Consequentemente, o Ramo Executivo tem, na realidade, um quase total controlo sobre os seus próprios projectos e não é responsável perante qualquer outra entidade governamental. Há, simultaneamente, vantagens e desvantagens associadas a um tal grau de autonomia. No entanto, a falta de uma avaliação </w:t>
      </w:r>
      <w:r w:rsidRPr="006C34E6">
        <w:rPr>
          <w:i/>
          <w:lang w:val="pt-PT"/>
        </w:rPr>
        <w:t>ex post</w:t>
      </w:r>
      <w:r w:rsidRPr="006C34E6">
        <w:rPr>
          <w:lang w:val="pt-PT"/>
        </w:rPr>
        <w:t xml:space="preserve"> dos projectos torna difícil determinar se os projectos do Ramo Executivo são implementados com maior ou menor eficiência que os projectos propostos e aprovados através do sistema </w:t>
      </w:r>
      <w:r w:rsidRPr="008735F7">
        <w:rPr>
          <w:i/>
          <w:lang w:val="pt-PT"/>
        </w:rPr>
        <w:t>standard</w:t>
      </w:r>
      <w:r w:rsidRPr="006C34E6">
        <w:rPr>
          <w:lang w:val="pt-PT"/>
        </w:rPr>
        <w:t xml:space="preserve"> da GIP.</w:t>
      </w:r>
    </w:p>
    <w:p w:rsidR="005C6A3A" w:rsidRDefault="005C6A3A">
      <w:pPr>
        <w:spacing w:after="200" w:line="276" w:lineRule="auto"/>
        <w:jc w:val="left"/>
        <w:rPr>
          <w:rFonts w:cs="TimesNewRomanPSMT"/>
          <w:noProof/>
          <w:color w:val="000000" w:themeColor="text1"/>
          <w:szCs w:val="18"/>
          <w:lang w:val="pt-PT"/>
        </w:rPr>
      </w:pPr>
      <w:r>
        <w:rPr>
          <w:lang w:val="pt-PT"/>
        </w:rPr>
        <w:br w:type="page"/>
      </w:r>
    </w:p>
    <w:p w:rsidR="00946D49" w:rsidRPr="005C6A3A" w:rsidRDefault="00946D49" w:rsidP="005C6A3A">
      <w:pPr>
        <w:pStyle w:val="ParagraphNumbering"/>
        <w:numPr>
          <w:ilvl w:val="0"/>
          <w:numId w:val="0"/>
        </w:numPr>
        <w:rPr>
          <w:lang w:val="pt-PT"/>
        </w:rPr>
      </w:pPr>
    </w:p>
    <w:p w:rsidR="00946D49" w:rsidRPr="006C34E6" w:rsidRDefault="00946D49" w:rsidP="00946D49">
      <w:pPr>
        <w:spacing w:after="200" w:line="276" w:lineRule="auto"/>
        <w:jc w:val="left"/>
        <w:rPr>
          <w:rFonts w:cs="Times New Roman"/>
          <w:lang w:val="pt-PT"/>
        </w:rPr>
      </w:pPr>
    </w:p>
    <w:p w:rsidR="00946D49" w:rsidRPr="006C34E6" w:rsidRDefault="00946D49" w:rsidP="00946D49">
      <w:pPr>
        <w:spacing w:after="200" w:line="276" w:lineRule="auto"/>
        <w:jc w:val="left"/>
        <w:rPr>
          <w:rFonts w:cs="Times New Roman"/>
          <w:lang w:val="pt-PT"/>
        </w:rPr>
      </w:pPr>
    </w:p>
    <w:p w:rsidR="00946D49" w:rsidRPr="006C34E6" w:rsidRDefault="00946D49" w:rsidP="00946D49">
      <w:pPr>
        <w:spacing w:after="200" w:line="276" w:lineRule="auto"/>
        <w:jc w:val="left"/>
        <w:rPr>
          <w:rFonts w:cs="Times New Roman"/>
          <w:lang w:val="pt-PT"/>
        </w:rPr>
      </w:pPr>
    </w:p>
    <w:p w:rsidR="00946D49" w:rsidRPr="006C34E6" w:rsidRDefault="00946D49" w:rsidP="00946D49">
      <w:pPr>
        <w:spacing w:after="200" w:line="276" w:lineRule="auto"/>
        <w:jc w:val="left"/>
        <w:rPr>
          <w:rFonts w:cs="Times New Roman"/>
          <w:lang w:val="pt-PT"/>
        </w:rPr>
      </w:pPr>
    </w:p>
    <w:p w:rsidR="00946D49" w:rsidRPr="006C34E6" w:rsidRDefault="00946D49" w:rsidP="00946D49">
      <w:pPr>
        <w:spacing w:after="200" w:line="276" w:lineRule="auto"/>
        <w:jc w:val="left"/>
        <w:rPr>
          <w:rFonts w:cs="Times New Roman"/>
          <w:lang w:val="pt-PT"/>
        </w:rPr>
      </w:pPr>
    </w:p>
    <w:p w:rsidR="00946D49" w:rsidRPr="006C34E6" w:rsidRDefault="00946D49" w:rsidP="00946D49">
      <w:pPr>
        <w:spacing w:after="200" w:line="276" w:lineRule="auto"/>
        <w:jc w:val="left"/>
        <w:rPr>
          <w:rFonts w:cs="Times New Roman"/>
          <w:lang w:val="pt-PT"/>
        </w:rPr>
      </w:pPr>
    </w:p>
    <w:p w:rsidR="00946D49" w:rsidRPr="006C34E6" w:rsidRDefault="00946D49" w:rsidP="00946D49">
      <w:pPr>
        <w:spacing w:after="200" w:line="276" w:lineRule="auto"/>
        <w:jc w:val="left"/>
        <w:rPr>
          <w:rFonts w:cs="Times New Roman"/>
          <w:lang w:val="pt-PT"/>
        </w:rPr>
      </w:pPr>
    </w:p>
    <w:p w:rsidR="00946D49" w:rsidRPr="006C34E6" w:rsidRDefault="00946D49" w:rsidP="00946D49">
      <w:pPr>
        <w:spacing w:after="200" w:line="276" w:lineRule="auto"/>
        <w:jc w:val="left"/>
        <w:rPr>
          <w:rFonts w:cs="Times New Roman"/>
          <w:lang w:val="pt-PT"/>
        </w:rPr>
      </w:pPr>
    </w:p>
    <w:p w:rsidR="00946D49" w:rsidRPr="006C34E6" w:rsidRDefault="00946D49" w:rsidP="00946D49">
      <w:pPr>
        <w:spacing w:after="200" w:line="276" w:lineRule="auto"/>
        <w:jc w:val="left"/>
        <w:rPr>
          <w:rFonts w:cs="Times New Roman"/>
          <w:lang w:val="pt-PT"/>
        </w:rPr>
      </w:pPr>
    </w:p>
    <w:p w:rsidR="00946D49" w:rsidRPr="006C34E6" w:rsidRDefault="00946D49" w:rsidP="00946D49">
      <w:pPr>
        <w:spacing w:after="200" w:line="276" w:lineRule="auto"/>
        <w:jc w:val="left"/>
        <w:rPr>
          <w:rFonts w:cs="Times New Roman"/>
          <w:lang w:val="pt-PT"/>
        </w:rPr>
      </w:pPr>
    </w:p>
    <w:p w:rsidR="00946D49" w:rsidRPr="006C34E6" w:rsidRDefault="00946D49" w:rsidP="00946D49">
      <w:pPr>
        <w:spacing w:after="200" w:line="276" w:lineRule="auto"/>
        <w:jc w:val="left"/>
        <w:rPr>
          <w:rFonts w:cs="Times New Roman"/>
          <w:lang w:val="pt-PT"/>
        </w:rPr>
      </w:pPr>
    </w:p>
    <w:p w:rsidR="00946D49" w:rsidRPr="006C34E6" w:rsidRDefault="00946D49" w:rsidP="00946D49">
      <w:pPr>
        <w:spacing w:after="200" w:line="276" w:lineRule="auto"/>
        <w:jc w:val="left"/>
        <w:rPr>
          <w:rFonts w:cs="Times New Roman"/>
          <w:lang w:val="pt-PT"/>
        </w:rPr>
      </w:pPr>
    </w:p>
    <w:p w:rsidR="00946D49" w:rsidRPr="008735F7" w:rsidRDefault="00946D49" w:rsidP="00946D49">
      <w:pPr>
        <w:pStyle w:val="Heading1"/>
        <w:numPr>
          <w:ilvl w:val="0"/>
          <w:numId w:val="25"/>
        </w:numPr>
        <w:spacing w:before="0"/>
        <w:ind w:left="720"/>
        <w:rPr>
          <w:lang w:val="pt-PT"/>
        </w:rPr>
      </w:pPr>
      <w:bookmarkStart w:id="103" w:name="_Toc349668954"/>
      <w:bookmarkStart w:id="104" w:name="_Toc349818321"/>
      <w:bookmarkStart w:id="105" w:name="_Toc349818342"/>
      <w:bookmarkStart w:id="106" w:name="_Toc387169376"/>
      <w:bookmarkStart w:id="107" w:name="_Toc391261710"/>
      <w:r w:rsidRPr="008735F7">
        <w:rPr>
          <w:lang w:val="pt-PT"/>
        </w:rPr>
        <w:t>ANEX0S</w:t>
      </w:r>
      <w:bookmarkEnd w:id="103"/>
      <w:bookmarkEnd w:id="104"/>
      <w:bookmarkEnd w:id="105"/>
      <w:bookmarkEnd w:id="106"/>
      <w:bookmarkEnd w:id="107"/>
    </w:p>
    <w:p w:rsidR="00946D49" w:rsidRPr="006C34E6" w:rsidRDefault="00946D49" w:rsidP="00946D49">
      <w:pPr>
        <w:pStyle w:val="NoSpacing"/>
        <w:rPr>
          <w:lang w:val="pt-PT"/>
        </w:rPr>
      </w:pPr>
    </w:p>
    <w:p w:rsidR="00946D49" w:rsidRPr="006C34E6" w:rsidRDefault="0026323F" w:rsidP="00946D49">
      <w:pPr>
        <w:pStyle w:val="NoSpacing"/>
        <w:rPr>
          <w:lang w:val="pt-PT"/>
        </w:rPr>
      </w:pPr>
      <w:r>
        <w:rPr>
          <w:noProof/>
          <w:lang w:val="en-US"/>
        </w:rPr>
        <mc:AlternateContent>
          <mc:Choice Requires="wps">
            <w:drawing>
              <wp:anchor distT="0" distB="0" distL="114300" distR="114300" simplePos="0" relativeHeight="251701248" behindDoc="0" locked="0" layoutInCell="1" allowOverlap="1">
                <wp:simplePos x="0" y="0"/>
                <wp:positionH relativeFrom="column">
                  <wp:posOffset>87630</wp:posOffset>
                </wp:positionH>
                <wp:positionV relativeFrom="paragraph">
                  <wp:posOffset>48895</wp:posOffset>
                </wp:positionV>
                <wp:extent cx="909320" cy="146685"/>
                <wp:effectExtent l="0" t="0" r="5080" b="5715"/>
                <wp:wrapNone/>
                <wp:docPr id="5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146685"/>
                        </a:xfrm>
                        <a:prstGeom prst="rect">
                          <a:avLst/>
                        </a:prstGeom>
                        <a:gradFill rotWithShape="1">
                          <a:gsLst>
                            <a:gs pos="60000">
                              <a:schemeClr val="bg1">
                                <a:lumMod val="75000"/>
                                <a:lumOff val="0"/>
                              </a:schemeClr>
                            </a:gs>
                            <a:gs pos="100000">
                              <a:schemeClr val="bg1">
                                <a:lumMod val="50000"/>
                              </a:schemeClr>
                            </a:gs>
                          </a:gsLst>
                          <a:lin ang="5400000" scaled="1"/>
                        </a:gra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6.9pt;margin-top:3.85pt;width:71.6pt;height:11.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" fillcolor="#bfbfbf [2412]" stroked="f">
                <v:fill color2="#7f7f7f [1612]" rotate="t" colors="0 #bfbfbf;39322f #bfbfbf" focus="100%" type="gradient"/>
              </v:rect>
            </w:pict>
          </mc:Fallback>
        </mc:AlternateContent>
      </w:r>
      <w:r>
        <w:rPr>
          <w:noProof/>
          <w:lang w:val="en-US"/>
        </w:rPr>
        <mc:AlternateContent>
          <mc:Choice Requires="wps">
            <w:drawing>
              <wp:anchor distT="0" distB="0" distL="114300" distR="114300" simplePos="0" relativeHeight="251700224" behindDoc="0" locked="0" layoutInCell="1" allowOverlap="1">
                <wp:simplePos x="0" y="0"/>
                <wp:positionH relativeFrom="column">
                  <wp:posOffset>1102360</wp:posOffset>
                </wp:positionH>
                <wp:positionV relativeFrom="paragraph">
                  <wp:posOffset>50165</wp:posOffset>
                </wp:positionV>
                <wp:extent cx="5186045" cy="146685"/>
                <wp:effectExtent l="0" t="0" r="0" b="5715"/>
                <wp:wrapNone/>
                <wp:docPr id="4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6045" cy="146685"/>
                        </a:xfrm>
                        <a:prstGeom prst="rect">
                          <a:avLst/>
                        </a:prstGeom>
                        <a:gradFill>
                          <a:gsLst>
                            <a:gs pos="70000">
                              <a:schemeClr val="accent2">
                                <a:lumMod val="75000"/>
                              </a:schemeClr>
                            </a:gs>
                            <a:gs pos="100000">
                              <a:schemeClr val="accent2">
                                <a:lumMod val="50000"/>
                              </a:schemeClr>
                            </a:gs>
                          </a:gsLst>
                          <a:lin ang="5400000" scaled="0"/>
                        </a:gra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86.8pt;margin-top:3.95pt;width:408.35pt;height:11.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" fillcolor="#943634 [2405]" stroked="f">
                <v:fill color2="#622423 [1605]" colors="0 #953735;45875f #953735" focus="100%" type="gradient">
                  <o:fill v:ext="view" type="gradientUnscaled"/>
                </v:fill>
              </v:rect>
            </w:pict>
          </mc:Fallback>
        </mc:AlternateContent>
      </w:r>
    </w:p>
    <w:p w:rsidR="00946D49" w:rsidRPr="006C34E6" w:rsidRDefault="00946D49" w:rsidP="00946D49">
      <w:pPr>
        <w:pStyle w:val="NoSpacing"/>
        <w:rPr>
          <w:lang w:val="pt-PT"/>
        </w:rPr>
      </w:pPr>
    </w:p>
    <w:p w:rsidR="00946D49" w:rsidRPr="006C34E6" w:rsidRDefault="00946D49" w:rsidP="00946D49">
      <w:pPr>
        <w:spacing w:after="200" w:line="276" w:lineRule="auto"/>
        <w:jc w:val="left"/>
        <w:rPr>
          <w:rFonts w:cs="Times New Roman"/>
          <w:lang w:val="pt-PT"/>
        </w:rPr>
      </w:pPr>
      <w:r w:rsidRPr="006C34E6">
        <w:rPr>
          <w:rFonts w:cs="Times New Roman"/>
          <w:lang w:val="pt-PT"/>
        </w:rPr>
        <w:br w:type="page"/>
      </w:r>
    </w:p>
    <w:p w:rsidR="00946D49" w:rsidRDefault="00946D49" w:rsidP="00946D49">
      <w:pPr>
        <w:spacing w:after="200" w:line="276" w:lineRule="auto"/>
        <w:jc w:val="center"/>
        <w:rPr>
          <w:rFonts w:asciiTheme="minorHAnsi" w:hAnsiTheme="minorHAnsi" w:cs="TT15Et00"/>
          <w:b/>
          <w:lang w:val="pt-PT"/>
        </w:rPr>
      </w:pPr>
      <w:r w:rsidRPr="006C34E6">
        <w:rPr>
          <w:rFonts w:asciiTheme="minorHAnsi" w:hAnsiTheme="minorHAnsi" w:cs="TT15Et00"/>
          <w:b/>
          <w:lang w:val="pt-PT"/>
        </w:rPr>
        <w:lastRenderedPageBreak/>
        <w:t>Anexo 1: Angola – Principais Indicadores Económicos, 2009-2015</w:t>
      </w:r>
    </w:p>
    <w:p w:rsidR="00946D49" w:rsidRPr="00A65A40" w:rsidRDefault="00EB65E0" w:rsidP="00A65A40">
      <w:pPr>
        <w:spacing w:after="200" w:line="276" w:lineRule="auto"/>
        <w:jc w:val="center"/>
        <w:rPr>
          <w:rFonts w:asciiTheme="minorHAnsi" w:hAnsiTheme="minorHAnsi" w:cs="TT15Et00"/>
          <w:b/>
          <w:lang w:val="pt-PT"/>
        </w:rPr>
      </w:pPr>
      <w:r w:rsidRPr="00EB65E0">
        <w:rPr>
          <w:noProof/>
        </w:rPr>
        <w:drawing>
          <wp:inline distT="0" distB="0" distL="0" distR="0" wp14:anchorId="45565AF2" wp14:editId="1CEBCACF">
            <wp:extent cx="5943600" cy="7354903"/>
            <wp:effectExtent l="19050" t="19050" r="19050"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7354903"/>
                    </a:xfrm>
                    <a:prstGeom prst="rect">
                      <a:avLst/>
                    </a:prstGeom>
                    <a:noFill/>
                    <a:ln w="15875">
                      <a:solidFill>
                        <a:srgbClr val="C00000"/>
                      </a:solidFill>
                    </a:ln>
                  </pic:spPr>
                </pic:pic>
              </a:graphicData>
            </a:graphic>
          </wp:inline>
        </w:drawing>
      </w:r>
      <w:r w:rsidR="004E1715" w:rsidRPr="00EB65E0">
        <w:rPr>
          <w:lang w:val="pt-PT"/>
        </w:rPr>
        <w:t xml:space="preserve"> </w:t>
      </w:r>
      <w:r w:rsidR="00946D49" w:rsidRPr="006C34E6">
        <w:rPr>
          <w:rFonts w:cs="Times New Roman"/>
          <w:lang w:val="pt-PT"/>
        </w:rPr>
        <w:br w:type="page"/>
      </w:r>
    </w:p>
    <w:p w:rsidR="00946D49" w:rsidRDefault="00946D49" w:rsidP="00946D49">
      <w:pPr>
        <w:spacing w:after="200" w:line="276" w:lineRule="auto"/>
        <w:jc w:val="center"/>
        <w:rPr>
          <w:rFonts w:asciiTheme="minorHAnsi" w:hAnsiTheme="minorHAnsi" w:cs="TT15Et00"/>
          <w:b/>
          <w:lang w:val="pt-PT"/>
        </w:rPr>
      </w:pPr>
      <w:r w:rsidRPr="006C34E6">
        <w:rPr>
          <w:rFonts w:asciiTheme="minorHAnsi" w:hAnsiTheme="minorHAnsi" w:cs="TT15Et00"/>
          <w:b/>
          <w:lang w:val="pt-PT"/>
        </w:rPr>
        <w:lastRenderedPageBreak/>
        <w:t xml:space="preserve">Anexo  2: Angola – Produto Interno Bruto  </w:t>
      </w:r>
    </w:p>
    <w:p w:rsidR="00A65A40" w:rsidRPr="00EB65E0" w:rsidRDefault="00EB65E0" w:rsidP="00946D49">
      <w:pPr>
        <w:spacing w:after="200" w:line="276" w:lineRule="auto"/>
        <w:jc w:val="center"/>
        <w:rPr>
          <w:rFonts w:ascii="Calibri" w:hAnsi="Calibri" w:cs="Times New Roman"/>
          <w:b/>
          <w:caps/>
          <w:lang w:val="pt-PT"/>
        </w:rPr>
      </w:pPr>
      <w:r w:rsidRPr="00EB65E0">
        <w:rPr>
          <w:noProof/>
        </w:rPr>
        <w:drawing>
          <wp:inline distT="0" distB="0" distL="0" distR="0" wp14:anchorId="439571FF" wp14:editId="57432A5D">
            <wp:extent cx="5943600" cy="3586184"/>
            <wp:effectExtent l="19050" t="19050" r="19050"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586184"/>
                    </a:xfrm>
                    <a:prstGeom prst="rect">
                      <a:avLst/>
                    </a:prstGeom>
                    <a:noFill/>
                    <a:ln w="15875">
                      <a:solidFill>
                        <a:srgbClr val="C00000"/>
                      </a:solidFill>
                    </a:ln>
                  </pic:spPr>
                </pic:pic>
              </a:graphicData>
            </a:graphic>
          </wp:inline>
        </w:drawing>
      </w:r>
    </w:p>
    <w:p w:rsidR="00946D49" w:rsidRPr="00EB65E0" w:rsidRDefault="00946D49" w:rsidP="00946D49">
      <w:pPr>
        <w:rPr>
          <w:sz w:val="28"/>
          <w:szCs w:val="28"/>
          <w:lang w:val="pt-PT"/>
        </w:rPr>
      </w:pPr>
      <w:r w:rsidRPr="00EB65E0">
        <w:rPr>
          <w:lang w:val="pt-PT"/>
        </w:rPr>
        <w:br w:type="page"/>
      </w:r>
    </w:p>
    <w:p w:rsidR="00946D49" w:rsidRPr="006C34E6" w:rsidRDefault="00946D49" w:rsidP="00946D49">
      <w:pPr>
        <w:spacing w:after="200" w:line="276" w:lineRule="auto"/>
        <w:jc w:val="center"/>
        <w:rPr>
          <w:rFonts w:asciiTheme="minorHAnsi" w:hAnsiTheme="minorHAnsi" w:cs="TT15Et00"/>
          <w:b/>
          <w:lang w:val="pt-PT"/>
        </w:rPr>
      </w:pPr>
      <w:r w:rsidRPr="006C34E6">
        <w:rPr>
          <w:rFonts w:asciiTheme="minorHAnsi" w:hAnsiTheme="minorHAnsi" w:cs="TT15Et00"/>
          <w:b/>
          <w:lang w:val="pt-PT"/>
        </w:rPr>
        <w:lastRenderedPageBreak/>
        <w:t>Anexo 3: Angola: Operações Fiscais do Governo Central, 2009-2015</w:t>
      </w:r>
    </w:p>
    <w:p w:rsidR="00946D49" w:rsidRPr="005E469D" w:rsidRDefault="00946D49" w:rsidP="005E469D">
      <w:pPr>
        <w:spacing w:after="200" w:line="276" w:lineRule="auto"/>
        <w:jc w:val="center"/>
        <w:rPr>
          <w:rFonts w:asciiTheme="minorHAnsi" w:hAnsiTheme="minorHAnsi" w:cs="TT15Et00"/>
          <w:b/>
          <w:i/>
          <w:lang w:val="pt-PT"/>
        </w:rPr>
      </w:pPr>
      <w:r w:rsidRPr="006C34E6">
        <w:rPr>
          <w:rFonts w:asciiTheme="minorHAnsi" w:hAnsiTheme="minorHAnsi" w:cs="TT15Et00"/>
          <w:b/>
          <w:i/>
          <w:lang w:val="pt-PT"/>
        </w:rPr>
        <w:t>(Percentagem do PIB</w:t>
      </w:r>
      <w:r w:rsidR="005E469D">
        <w:rPr>
          <w:rFonts w:asciiTheme="minorHAnsi" w:hAnsiTheme="minorHAnsi" w:cs="TT15Et00"/>
          <w:b/>
          <w:i/>
          <w:lang w:val="pt-PT"/>
        </w:rPr>
        <w:t>)</w:t>
      </w:r>
    </w:p>
    <w:p w:rsidR="00946D49" w:rsidRPr="006C34E6" w:rsidRDefault="00EB65E0" w:rsidP="00946D49">
      <w:pPr>
        <w:spacing w:after="200" w:line="276" w:lineRule="auto"/>
        <w:jc w:val="center"/>
        <w:rPr>
          <w:rFonts w:cs="Times New Roman"/>
          <w:lang w:val="pt-PT"/>
        </w:rPr>
      </w:pPr>
      <w:r w:rsidRPr="00EB65E0">
        <w:rPr>
          <w:noProof/>
        </w:rPr>
        <w:drawing>
          <wp:inline distT="0" distB="0" distL="0" distR="0">
            <wp:extent cx="6509040" cy="5753100"/>
            <wp:effectExtent l="19050" t="19050" r="2540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09040" cy="5753100"/>
                    </a:xfrm>
                    <a:prstGeom prst="rect">
                      <a:avLst/>
                    </a:prstGeom>
                    <a:noFill/>
                    <a:ln w="15875">
                      <a:solidFill>
                        <a:srgbClr val="C00000"/>
                      </a:solidFill>
                    </a:ln>
                  </pic:spPr>
                </pic:pic>
              </a:graphicData>
            </a:graphic>
          </wp:inline>
        </w:drawing>
      </w:r>
      <w:r w:rsidRPr="00EB65E0">
        <w:rPr>
          <w:lang w:val="pt-PT"/>
        </w:rPr>
        <w:t xml:space="preserve"> </w:t>
      </w:r>
      <w:r w:rsidR="00946D49" w:rsidRPr="006C34E6">
        <w:rPr>
          <w:rFonts w:cs="Times New Roman"/>
          <w:lang w:val="pt-PT"/>
        </w:rPr>
        <w:br w:type="page"/>
      </w:r>
      <w:r w:rsidR="00946D49" w:rsidRPr="006C34E6">
        <w:rPr>
          <w:rFonts w:asciiTheme="minorHAnsi" w:hAnsiTheme="minorHAnsi" w:cs="TT15Et00"/>
          <w:b/>
          <w:lang w:val="pt-PT"/>
        </w:rPr>
        <w:lastRenderedPageBreak/>
        <w:t>Anexo 4:</w:t>
      </w:r>
      <w:r w:rsidR="00946D49" w:rsidRPr="006C34E6">
        <w:rPr>
          <w:rFonts w:cs="Times New Roman"/>
          <w:lang w:val="pt-PT"/>
        </w:rPr>
        <w:t xml:space="preserve"> </w:t>
      </w:r>
      <w:r w:rsidR="00946D49" w:rsidRPr="006C34E6">
        <w:rPr>
          <w:rFonts w:asciiTheme="minorHAnsi" w:hAnsiTheme="minorHAnsi" w:cs="TT15Et00"/>
          <w:b/>
          <w:lang w:val="pt-PT"/>
        </w:rPr>
        <w:t>Angola: Balança de Pagamentos 2009-2015</w:t>
      </w:r>
    </w:p>
    <w:p w:rsidR="00946D49" w:rsidRDefault="00946D49" w:rsidP="00946D49">
      <w:pPr>
        <w:jc w:val="center"/>
        <w:rPr>
          <w:rFonts w:asciiTheme="minorHAnsi" w:hAnsiTheme="minorHAnsi" w:cs="Times New Roman"/>
          <w:b/>
          <w:i/>
          <w:lang w:val="pt-PT"/>
        </w:rPr>
      </w:pPr>
      <w:r w:rsidRPr="006C34E6">
        <w:rPr>
          <w:rFonts w:asciiTheme="minorHAnsi" w:hAnsiTheme="minorHAnsi" w:cs="Times New Roman"/>
          <w:b/>
          <w:i/>
          <w:lang w:val="pt-PT"/>
        </w:rPr>
        <w:t>(Milhões de USD)</w:t>
      </w:r>
    </w:p>
    <w:p w:rsidR="00EB65E0" w:rsidRDefault="00EB65E0" w:rsidP="00946D49">
      <w:pPr>
        <w:jc w:val="center"/>
        <w:rPr>
          <w:rFonts w:asciiTheme="minorHAnsi" w:hAnsiTheme="minorHAnsi" w:cs="Times New Roman"/>
          <w:b/>
          <w:i/>
          <w:lang w:val="pt-PT"/>
        </w:rPr>
      </w:pPr>
    </w:p>
    <w:p w:rsidR="00EB65E0" w:rsidRPr="00EB65E0" w:rsidRDefault="00EB65E0" w:rsidP="00EB65E0">
      <w:pPr>
        <w:jc w:val="left"/>
        <w:rPr>
          <w:rFonts w:asciiTheme="minorHAnsi" w:hAnsiTheme="minorHAnsi" w:cs="Times New Roman"/>
          <w:lang w:val="pt-PT"/>
        </w:rPr>
      </w:pPr>
      <w:r w:rsidRPr="00EB65E0">
        <w:rPr>
          <w:noProof/>
        </w:rPr>
        <w:drawing>
          <wp:inline distT="0" distB="0" distL="0" distR="0" wp14:anchorId="14EB7207" wp14:editId="2782455F">
            <wp:extent cx="5943600" cy="6541896"/>
            <wp:effectExtent l="19050" t="19050" r="19050" b="114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6541896"/>
                    </a:xfrm>
                    <a:prstGeom prst="rect">
                      <a:avLst/>
                    </a:prstGeom>
                    <a:noFill/>
                    <a:ln w="15875">
                      <a:solidFill>
                        <a:srgbClr val="C00000"/>
                      </a:solidFill>
                    </a:ln>
                  </pic:spPr>
                </pic:pic>
              </a:graphicData>
            </a:graphic>
          </wp:inline>
        </w:drawing>
      </w:r>
    </w:p>
    <w:p w:rsidR="00EB65E0" w:rsidRPr="00EB65E0" w:rsidRDefault="00EB65E0" w:rsidP="00EB65E0">
      <w:pPr>
        <w:jc w:val="left"/>
        <w:rPr>
          <w:rFonts w:asciiTheme="minorHAnsi" w:hAnsiTheme="minorHAnsi" w:cs="Times New Roman"/>
          <w:lang w:val="pt-PT"/>
        </w:rPr>
      </w:pPr>
    </w:p>
    <w:p w:rsidR="00EB65E0" w:rsidRPr="00EB65E0" w:rsidRDefault="00EB65E0" w:rsidP="00EB65E0">
      <w:pPr>
        <w:jc w:val="left"/>
        <w:rPr>
          <w:color w:val="FF0000"/>
        </w:rPr>
      </w:pPr>
    </w:p>
    <w:p w:rsidR="00946D49" w:rsidRPr="00211E94" w:rsidRDefault="00946D49" w:rsidP="00946D49"/>
    <w:p w:rsidR="00946D49" w:rsidRDefault="00946D49" w:rsidP="00946D49">
      <w:pPr>
        <w:spacing w:after="200" w:line="276" w:lineRule="auto"/>
        <w:jc w:val="left"/>
        <w:rPr>
          <w:rFonts w:asciiTheme="majorHAnsi" w:eastAsiaTheme="majorEastAsia" w:hAnsiTheme="majorHAnsi" w:cstheme="majorBidi"/>
          <w:b/>
          <w:bCs/>
          <w:color w:val="4F81BD" w:themeColor="accent1"/>
          <w:sz w:val="26"/>
          <w:szCs w:val="26"/>
          <w:lang w:val="pt-PT"/>
        </w:rPr>
      </w:pPr>
      <w:bookmarkStart w:id="108" w:name="_Toc387169377"/>
      <w:r>
        <w:rPr>
          <w:lang w:val="pt-PT"/>
        </w:rPr>
        <w:br w:type="page"/>
      </w:r>
    </w:p>
    <w:p w:rsidR="00946D49" w:rsidRPr="006C34E6" w:rsidRDefault="00946D49" w:rsidP="00946D49">
      <w:pPr>
        <w:pStyle w:val="Heading2"/>
        <w:rPr>
          <w:lang w:val="pt-PT"/>
        </w:rPr>
      </w:pPr>
      <w:bookmarkStart w:id="109" w:name="_Toc391261711"/>
      <w:r w:rsidRPr="006C34E6">
        <w:rPr>
          <w:lang w:val="pt-PT"/>
        </w:rPr>
        <w:lastRenderedPageBreak/>
        <w:t>Biblio</w:t>
      </w:r>
      <w:bookmarkEnd w:id="108"/>
      <w:r w:rsidRPr="006C34E6">
        <w:rPr>
          <w:lang w:val="pt-PT"/>
        </w:rPr>
        <w:t>grafia</w:t>
      </w:r>
      <w:bookmarkEnd w:id="109"/>
    </w:p>
    <w:p w:rsidR="00946D49" w:rsidRPr="006C34E6" w:rsidRDefault="00946D49" w:rsidP="00946D49">
      <w:pPr>
        <w:rPr>
          <w:lang w:val="pt-PT"/>
        </w:rPr>
      </w:pPr>
    </w:p>
    <w:p w:rsidR="00946D49" w:rsidRPr="006C34E6" w:rsidRDefault="00946D49" w:rsidP="00946D49">
      <w:pPr>
        <w:rPr>
          <w:rFonts w:cs="Times New Roman"/>
          <w:lang w:val="pt-PT"/>
        </w:rPr>
      </w:pPr>
      <w:r w:rsidRPr="006C34E6">
        <w:rPr>
          <w:rFonts w:cs="Times New Roman"/>
          <w:lang w:val="pt-PT"/>
        </w:rPr>
        <w:t>AfDB (2012) “Angola Private Sector Country Profile” Túnis: Banco Africano de Desenvolvimento</w:t>
      </w:r>
    </w:p>
    <w:p w:rsidR="00946D49" w:rsidRPr="006C34E6" w:rsidRDefault="00946D49" w:rsidP="00946D49">
      <w:pPr>
        <w:rPr>
          <w:rFonts w:cs="Times New Roman"/>
          <w:lang w:val="pt-PT"/>
        </w:rPr>
      </w:pPr>
    </w:p>
    <w:p w:rsidR="00946D49" w:rsidRPr="005E469D" w:rsidRDefault="00946D49" w:rsidP="00946D49">
      <w:pPr>
        <w:rPr>
          <w:rFonts w:cs="Times New Roman"/>
          <w:lang w:val="pt-PT"/>
        </w:rPr>
      </w:pPr>
      <w:r w:rsidRPr="005E469D">
        <w:rPr>
          <w:rFonts w:cs="Times New Roman"/>
          <w:lang w:val="pt-PT"/>
        </w:rPr>
        <w:t>African Economic Outlook/Perspectivas Económicas de África (2012) “Angola 2012” França: OECD</w:t>
      </w:r>
    </w:p>
    <w:p w:rsidR="00946D49" w:rsidRPr="005E469D" w:rsidRDefault="00946D49" w:rsidP="00946D49">
      <w:pPr>
        <w:rPr>
          <w:rFonts w:cs="Times New Roman"/>
          <w:lang w:val="pt-PT"/>
        </w:rPr>
      </w:pPr>
    </w:p>
    <w:p w:rsidR="00946D49" w:rsidRPr="00211E94" w:rsidRDefault="00946D49" w:rsidP="00946D49">
      <w:pPr>
        <w:rPr>
          <w:rFonts w:cs="Times New Roman"/>
        </w:rPr>
      </w:pPr>
      <w:r w:rsidRPr="00211E94">
        <w:rPr>
          <w:rFonts w:cs="Times New Roman"/>
        </w:rPr>
        <w:t xml:space="preserve">Arezki, R., A. Dupuy e A. Gelb (2012) “Resource Windfalls, Optimal Public Investment and Redistribution: The Role of Total Factor Productivity and Administrative Capacity” </w:t>
      </w:r>
      <w:r w:rsidRPr="00211E94">
        <w:rPr>
          <w:rFonts w:cs="Times New Roman"/>
          <w:i/>
        </w:rPr>
        <w:t>IMF Working Paper</w:t>
      </w:r>
      <w:r w:rsidRPr="00211E94">
        <w:rPr>
          <w:rFonts w:cs="Times New Roman"/>
        </w:rPr>
        <w:t xml:space="preserve"> WP/12/200 Washington DC: FMI</w:t>
      </w:r>
    </w:p>
    <w:p w:rsidR="00946D49" w:rsidRPr="00211E94" w:rsidRDefault="00946D49" w:rsidP="00946D49">
      <w:pPr>
        <w:rPr>
          <w:rFonts w:cs="Times New Roman"/>
        </w:rPr>
      </w:pPr>
    </w:p>
    <w:p w:rsidR="00946D49" w:rsidRPr="00211E94" w:rsidRDefault="00946D49" w:rsidP="00946D49">
      <w:pPr>
        <w:rPr>
          <w:rFonts w:cs="Times New Roman"/>
        </w:rPr>
      </w:pPr>
      <w:r w:rsidRPr="00211E94">
        <w:rPr>
          <w:rFonts w:cs="Times New Roman"/>
        </w:rPr>
        <w:t xml:space="preserve">Berg, A., R. Portillo, S-C S. Yang, L-P Zanna (2012) “Public Investment in Resource-Abundant Developing Countries” </w:t>
      </w:r>
      <w:r w:rsidRPr="00211E94">
        <w:rPr>
          <w:rFonts w:cs="Times New Roman"/>
          <w:i/>
        </w:rPr>
        <w:t>IMF Working Paper</w:t>
      </w:r>
      <w:r w:rsidRPr="00211E94">
        <w:rPr>
          <w:rFonts w:cs="Times New Roman"/>
        </w:rPr>
        <w:t xml:space="preserve"> WP/12/274 Washington DC: FMI</w:t>
      </w:r>
    </w:p>
    <w:p w:rsidR="00946D49" w:rsidRPr="00211E94" w:rsidRDefault="00946D49" w:rsidP="00946D49">
      <w:pPr>
        <w:rPr>
          <w:rFonts w:cs="Times New Roman"/>
        </w:rPr>
      </w:pPr>
    </w:p>
    <w:p w:rsidR="00946D49" w:rsidRPr="00211E94" w:rsidRDefault="00946D49" w:rsidP="00946D49">
      <w:pPr>
        <w:rPr>
          <w:rFonts w:cs="Times New Roman"/>
        </w:rPr>
      </w:pPr>
      <w:r w:rsidRPr="00211E94">
        <w:rPr>
          <w:rFonts w:cs="Times New Roman"/>
        </w:rPr>
        <w:t xml:space="preserve">Collier, P. e A. Venables (2008) “Managing Resource Revenues: Lessons for Low Income </w:t>
      </w:r>
    </w:p>
    <w:p w:rsidR="00946D49" w:rsidRPr="00211E94" w:rsidRDefault="00946D49" w:rsidP="00946D49">
      <w:pPr>
        <w:rPr>
          <w:rFonts w:cs="Times New Roman"/>
        </w:rPr>
      </w:pPr>
      <w:r w:rsidRPr="00211E94">
        <w:rPr>
          <w:rFonts w:cs="Times New Roman"/>
        </w:rPr>
        <w:t>Countries” African Economic Research Consortium: 2008 Conferência Anual</w:t>
      </w:r>
    </w:p>
    <w:p w:rsidR="00946D49" w:rsidRPr="00211E94" w:rsidRDefault="00946D49" w:rsidP="00946D49">
      <w:pPr>
        <w:rPr>
          <w:rFonts w:cs="Times New Roman"/>
        </w:rPr>
      </w:pPr>
    </w:p>
    <w:p w:rsidR="00946D49" w:rsidRPr="00211E94" w:rsidRDefault="00946D49" w:rsidP="00946D49">
      <w:pPr>
        <w:rPr>
          <w:rFonts w:cs="Times New Roman"/>
        </w:rPr>
      </w:pPr>
      <w:r w:rsidRPr="00211E94">
        <w:rPr>
          <w:rFonts w:cs="Times New Roman"/>
        </w:rPr>
        <w:t xml:space="preserve">Esfahani, H.S. e M.T. Ramirez (2003) “Institutions, Infrastructure, and Economic Growth” </w:t>
      </w:r>
      <w:r w:rsidRPr="00211E94">
        <w:rPr>
          <w:rFonts w:cs="Times New Roman"/>
          <w:i/>
        </w:rPr>
        <w:t>Journal of Development Economics</w:t>
      </w:r>
      <w:r w:rsidRPr="00211E94">
        <w:rPr>
          <w:rFonts w:cs="Times New Roman"/>
        </w:rPr>
        <w:t xml:space="preserve"> 70: 443 – 477</w:t>
      </w:r>
    </w:p>
    <w:p w:rsidR="00946D49" w:rsidRPr="00211E94" w:rsidRDefault="00946D49" w:rsidP="00946D49">
      <w:pPr>
        <w:rPr>
          <w:rFonts w:cs="Times New Roman"/>
        </w:rPr>
      </w:pPr>
    </w:p>
    <w:p w:rsidR="00946D49" w:rsidRPr="00211E94" w:rsidRDefault="00946D49" w:rsidP="00946D49">
      <w:pPr>
        <w:rPr>
          <w:rFonts w:cs="Times New Roman"/>
        </w:rPr>
      </w:pPr>
      <w:r w:rsidRPr="00211E94">
        <w:rPr>
          <w:rFonts w:cs="Times New Roman"/>
        </w:rPr>
        <w:t>Global Economic Prospect Group (2014). “Commodity market outlook: January 2014”, Washington DC: Banco Mundial</w:t>
      </w:r>
    </w:p>
    <w:p w:rsidR="00946D49" w:rsidRPr="00211E94" w:rsidRDefault="00946D49" w:rsidP="00946D49">
      <w:pPr>
        <w:rPr>
          <w:rFonts w:cs="Times New Roman"/>
        </w:rPr>
      </w:pPr>
    </w:p>
    <w:p w:rsidR="00946D49" w:rsidRPr="00C556A7" w:rsidRDefault="00946D49" w:rsidP="00946D49">
      <w:pPr>
        <w:rPr>
          <w:rFonts w:cs="Times New Roman"/>
        </w:rPr>
      </w:pPr>
      <w:r w:rsidRPr="00C556A7">
        <w:rPr>
          <w:rFonts w:cs="Times New Roman"/>
        </w:rPr>
        <w:t>FMI (2012) “Angola—Sixth Review under the Stand-By Arrangement” Relatório sobre o País do FMI</w:t>
      </w:r>
      <w:r w:rsidRPr="00C556A7">
        <w:rPr>
          <w:rFonts w:cs="Times New Roman"/>
          <w:i/>
        </w:rPr>
        <w:t xml:space="preserve"> </w:t>
      </w:r>
      <w:r w:rsidRPr="00C556A7">
        <w:rPr>
          <w:rFonts w:cs="Times New Roman"/>
        </w:rPr>
        <w:t>No. 12/103 Washington DC: Fundo Monetário Internacional</w:t>
      </w:r>
    </w:p>
    <w:p w:rsidR="00946D49" w:rsidRPr="00C556A7" w:rsidRDefault="00946D49" w:rsidP="00946D49">
      <w:pPr>
        <w:rPr>
          <w:rFonts w:cs="Times New Roman"/>
        </w:rPr>
      </w:pPr>
    </w:p>
    <w:p w:rsidR="00946D49" w:rsidRPr="00211E94" w:rsidRDefault="00946D49" w:rsidP="00946D49">
      <w:pPr>
        <w:rPr>
          <w:rFonts w:cs="Times New Roman"/>
        </w:rPr>
      </w:pPr>
      <w:r w:rsidRPr="00211E94">
        <w:rPr>
          <w:rFonts w:cs="Times New Roman"/>
        </w:rPr>
        <w:t xml:space="preserve">FMI (2014) “Angola—Second Post-Program monitoring” </w:t>
      </w:r>
      <w:r w:rsidRPr="00211E94">
        <w:rPr>
          <w:rFonts w:cs="Times New Roman"/>
          <w:i/>
        </w:rPr>
        <w:t>IMF Country Report</w:t>
      </w:r>
      <w:r w:rsidRPr="00211E94">
        <w:rPr>
          <w:rFonts w:cs="Times New Roman"/>
        </w:rPr>
        <w:t xml:space="preserve"> No. 14/81 Washington DC: Fundo Monetário Internacional</w:t>
      </w:r>
    </w:p>
    <w:p w:rsidR="00946D49" w:rsidRPr="00211E94" w:rsidRDefault="00946D49" w:rsidP="00946D49">
      <w:pPr>
        <w:rPr>
          <w:rFonts w:cs="Times New Roman"/>
        </w:rPr>
      </w:pPr>
    </w:p>
    <w:p w:rsidR="00946D49" w:rsidRPr="00211E94" w:rsidRDefault="00946D49" w:rsidP="00946D49">
      <w:r w:rsidRPr="00211E94">
        <w:t xml:space="preserve">FMI Departamento de África (2013) “Energy Subsidy Reform in Sub-Saharan Africa Experiences and Lessons” mimeo Washington, D.C.: </w:t>
      </w:r>
      <w:r w:rsidRPr="00211E94">
        <w:rPr>
          <w:rFonts w:cs="Times New Roman"/>
        </w:rPr>
        <w:t>Fundo Monetário Internacional</w:t>
      </w:r>
    </w:p>
    <w:p w:rsidR="00946D49" w:rsidRPr="00211E94" w:rsidRDefault="00946D49" w:rsidP="00946D49">
      <w:pPr>
        <w:rPr>
          <w:rFonts w:cs="Times New Roman"/>
        </w:rPr>
      </w:pPr>
    </w:p>
    <w:p w:rsidR="00946D49" w:rsidRPr="00C556A7" w:rsidRDefault="00946D49" w:rsidP="00946D49">
      <w:pPr>
        <w:rPr>
          <w:rFonts w:cs="Times New Roman"/>
        </w:rPr>
      </w:pPr>
      <w:r w:rsidRPr="00211E94">
        <w:rPr>
          <w:rFonts w:cs="Times New Roman"/>
        </w:rPr>
        <w:t xml:space="preserve">Jensen S.K. e F.M. Paulo (2011) “Reforms of the Angolan Budget Process and Public Financial Management: Was the Crisis a Wakeup Call?” </w:t>
      </w:r>
      <w:r w:rsidRPr="00C556A7">
        <w:rPr>
          <w:rFonts w:cs="Times New Roman"/>
          <w:i/>
        </w:rPr>
        <w:t>CMI Report</w:t>
      </w:r>
      <w:r w:rsidRPr="00C556A7">
        <w:rPr>
          <w:rFonts w:cs="Times New Roman"/>
        </w:rPr>
        <w:t xml:space="preserve"> R 2011: 7 Bergen: Chr. Michelsen Institute</w:t>
      </w:r>
    </w:p>
    <w:p w:rsidR="00946D49" w:rsidRPr="00C556A7" w:rsidRDefault="00946D49" w:rsidP="00946D49">
      <w:pPr>
        <w:rPr>
          <w:rFonts w:cs="Times New Roman"/>
        </w:rPr>
      </w:pPr>
    </w:p>
    <w:p w:rsidR="00946D49" w:rsidRPr="00211E94" w:rsidRDefault="00946D49" w:rsidP="00946D49">
      <w:pPr>
        <w:rPr>
          <w:rFonts w:cs="Times New Roman"/>
        </w:rPr>
      </w:pPr>
      <w:r w:rsidRPr="00211E94">
        <w:rPr>
          <w:rFonts w:cs="Times New Roman"/>
        </w:rPr>
        <w:t xml:space="preserve">Ody, J.A., C.C. Griffin, D. de Ferranti, J. Jacinto e N. Warren (2006) “Enhancing Development through Better Use of Public Resources: How Independent Watchdog Groups Can Help” </w:t>
      </w:r>
      <w:r w:rsidRPr="00211E94">
        <w:rPr>
          <w:rFonts w:cs="Times New Roman"/>
          <w:i/>
        </w:rPr>
        <w:t>Brookings Policy Brief Series</w:t>
      </w:r>
      <w:r w:rsidRPr="00211E94">
        <w:rPr>
          <w:rFonts w:cs="Times New Roman"/>
        </w:rPr>
        <w:t xml:space="preserve"> No.157, Washington DC: Brookings</w:t>
      </w:r>
    </w:p>
    <w:p w:rsidR="00946D49" w:rsidRPr="00211E94" w:rsidRDefault="00946D49" w:rsidP="00946D49">
      <w:pPr>
        <w:rPr>
          <w:rFonts w:cs="Times New Roman"/>
        </w:rPr>
      </w:pPr>
    </w:p>
    <w:p w:rsidR="00946D49" w:rsidRPr="00C556A7" w:rsidRDefault="00946D49" w:rsidP="00946D49">
      <w:r w:rsidRPr="00211E94">
        <w:t xml:space="preserve">Partow, Zeinab. (2012). “Botswana development policy review: an agenda for competitiveness and diversification.” </w:t>
      </w:r>
      <w:r w:rsidRPr="00C556A7">
        <w:rPr>
          <w:i/>
        </w:rPr>
        <w:t>World Bank Public Expenditure Review</w:t>
      </w:r>
      <w:r w:rsidRPr="00C556A7">
        <w:t xml:space="preserve">. Washington DC: Banco Mundial; </w:t>
      </w:r>
    </w:p>
    <w:p w:rsidR="00946D49" w:rsidRPr="00C556A7" w:rsidRDefault="00946D49" w:rsidP="00946D49">
      <w:pPr>
        <w:rPr>
          <w:rFonts w:cs="Times New Roman"/>
        </w:rPr>
      </w:pPr>
    </w:p>
    <w:p w:rsidR="00946D49" w:rsidRPr="00211E94" w:rsidRDefault="00946D49" w:rsidP="00946D49">
      <w:pPr>
        <w:rPr>
          <w:rFonts w:cs="Times New Roman"/>
        </w:rPr>
      </w:pPr>
      <w:r w:rsidRPr="00211E94">
        <w:rPr>
          <w:rFonts w:cs="Times New Roman"/>
        </w:rPr>
        <w:t xml:space="preserve">Richmond, C., I. Yackovlev and S-C S. Yang (2013) “Investing Volatile Oil Revenues in Capital-Scarce Economies: An Application to Angola” </w:t>
      </w:r>
      <w:r w:rsidRPr="00211E94">
        <w:rPr>
          <w:rFonts w:cs="Times New Roman"/>
          <w:i/>
        </w:rPr>
        <w:t>IMF Working Paper</w:t>
      </w:r>
      <w:r w:rsidRPr="00211E94">
        <w:rPr>
          <w:rFonts w:cs="Times New Roman"/>
        </w:rPr>
        <w:t xml:space="preserve"> WP/13/147 Washington DC: FMI</w:t>
      </w:r>
    </w:p>
    <w:p w:rsidR="00946D49" w:rsidRPr="00211E94" w:rsidRDefault="00946D49" w:rsidP="00946D49"/>
    <w:p w:rsidR="00946D49" w:rsidRPr="00211E94" w:rsidRDefault="00946D49" w:rsidP="00946D49">
      <w:pPr>
        <w:rPr>
          <w:lang w:val="es-ES_tradnl"/>
        </w:rPr>
      </w:pPr>
      <w:r w:rsidRPr="00211E94">
        <w:t>Rodrik, Dani. (2008). “Normalizing Industrial Policy 2008.”</w:t>
      </w:r>
      <w:r w:rsidRPr="00211E94">
        <w:rPr>
          <w:i/>
        </w:rPr>
        <w:t>Growth Commission Working Paper n.3</w:t>
      </w:r>
      <w:r w:rsidRPr="00211E94">
        <w:t xml:space="preserve">. </w:t>
      </w:r>
      <w:r w:rsidRPr="00211E94">
        <w:rPr>
          <w:lang w:val="es-ES_tradnl"/>
        </w:rPr>
        <w:t>Washington DC: Banco Mundial</w:t>
      </w:r>
    </w:p>
    <w:p w:rsidR="00946D49" w:rsidRPr="00211E94" w:rsidRDefault="00946D49" w:rsidP="00946D49">
      <w:pPr>
        <w:rPr>
          <w:lang w:val="es-ES_tradnl"/>
        </w:rPr>
      </w:pPr>
    </w:p>
    <w:p w:rsidR="00946D49" w:rsidRPr="00211E94" w:rsidRDefault="00946D49" w:rsidP="00946D49">
      <w:pPr>
        <w:rPr>
          <w:lang w:val="es-ES_tradnl"/>
        </w:rPr>
      </w:pPr>
      <w:r w:rsidRPr="00211E94">
        <w:rPr>
          <w:lang w:val="es-ES_tradnl"/>
        </w:rPr>
        <w:t xml:space="preserve">Banco Mundial (2012) “Fuel Price Subsidies in Sub-Saharan Africa” </w:t>
      </w:r>
      <w:r w:rsidRPr="00211E94">
        <w:rPr>
          <w:i/>
          <w:lang w:val="es-ES_tradnl"/>
        </w:rPr>
        <w:t>Africa's Pulse Vol. 5</w:t>
      </w:r>
      <w:r w:rsidRPr="00211E94">
        <w:rPr>
          <w:lang w:val="es-ES_tradnl"/>
        </w:rPr>
        <w:t>, Washington DC: Banco Mundial</w:t>
      </w:r>
    </w:p>
    <w:p w:rsidR="00946D49" w:rsidRPr="00211E94" w:rsidRDefault="00946D49" w:rsidP="00946D49">
      <w:pPr>
        <w:rPr>
          <w:lang w:val="es-ES_tradnl"/>
        </w:rPr>
      </w:pPr>
    </w:p>
    <w:p w:rsidR="0075576E" w:rsidRPr="004222FB" w:rsidRDefault="00946D49" w:rsidP="00946D49">
      <w:r w:rsidRPr="00211E94">
        <w:t>UNCTAD (2013) “World Investment Report 2013” Geneva: UNCTAD/CNUCED (port acronym).</w:t>
      </w:r>
    </w:p>
    <w:sectPr w:rsidR="0075576E" w:rsidRPr="004222FB" w:rsidSect="00946D49">
      <w:footerReference w:type="default" r:id="rId4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1715" w:rsidRDefault="004E1715" w:rsidP="00216CEC">
      <w:r>
        <w:separator/>
      </w:r>
    </w:p>
  </w:endnote>
  <w:endnote w:type="continuationSeparator" w:id="0">
    <w:p w:rsidR="004E1715" w:rsidRDefault="004E1715" w:rsidP="00216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alatinoLinotype-Italic">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Univers 47 CondensedLight">
    <w:altName w:val="Univers 47 Condensed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Iskoola Pota">
    <w:panose1 w:val="020B0502040204020203"/>
    <w:charset w:val="00"/>
    <w:family w:val="swiss"/>
    <w:pitch w:val="variable"/>
    <w:sig w:usb0="00000003" w:usb1="00000000" w:usb2="00000200" w:usb3="00000000" w:csb0="00000001" w:csb1="00000000"/>
  </w:font>
  <w:font w:name="Garamond">
    <w:panose1 w:val="02020404030301010803"/>
    <w:charset w:val="00"/>
    <w:family w:val="roman"/>
    <w:pitch w:val="variable"/>
    <w:sig w:usb0="00000287" w:usb1="00000000" w:usb2="00000000" w:usb3="00000000" w:csb0="0000009F" w:csb1="00000000"/>
  </w:font>
  <w:font w:name="Times-Roman">
    <w:panose1 w:val="00000000000000000000"/>
    <w:charset w:val="00"/>
    <w:family w:val="roman"/>
    <w:notTrueType/>
    <w:pitch w:val="default"/>
    <w:sig w:usb0="00000003" w:usb1="00000000" w:usb2="00000000" w:usb3="00000000" w:csb0="00000001" w:csb1="00000000"/>
  </w:font>
  <w:font w:name="PalatinoLinotype-Roman">
    <w:panose1 w:val="00000000000000000000"/>
    <w:charset w:val="00"/>
    <w:family w:val="roman"/>
    <w:notTrueType/>
    <w:pitch w:val="default"/>
    <w:sig w:usb0="00000003" w:usb1="00000000" w:usb2="00000000" w:usb3="00000000" w:csb0="00000001" w:csb1="00000000"/>
  </w:font>
  <w:font w:name="TT15E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745"/>
      <w:gridCol w:w="565"/>
    </w:tblGrid>
    <w:tr w:rsidR="004E1715" w:rsidTr="00817AE8">
      <w:tc>
        <w:tcPr>
          <w:tcW w:w="4726" w:type="pct"/>
          <w:tcBorders>
            <w:top w:val="single" w:sz="4" w:space="0" w:color="000000" w:themeColor="text1"/>
          </w:tcBorders>
        </w:tcPr>
        <w:p w:rsidR="004E1715" w:rsidRPr="00285D57" w:rsidRDefault="004E1715" w:rsidP="000A5FD0">
          <w:pPr>
            <w:pStyle w:val="Footer"/>
            <w:jc w:val="right"/>
            <w:rPr>
              <w:rFonts w:asciiTheme="majorHAnsi" w:hAnsiTheme="majorHAnsi"/>
              <w:color w:val="943634" w:themeColor="accent2" w:themeShade="BF"/>
            </w:rPr>
          </w:pPr>
          <w:r w:rsidRPr="00285D57">
            <w:rPr>
              <w:rFonts w:asciiTheme="majorHAnsi" w:hAnsiTheme="majorHAnsi"/>
              <w:color w:val="943634" w:themeColor="accent2" w:themeShade="BF"/>
              <w:sz w:val="18"/>
            </w:rPr>
            <w:t xml:space="preserve">ANGOLA ECONOMIC UPDATE | </w:t>
          </w:r>
          <w:r w:rsidRPr="004E1715">
            <w:rPr>
              <w:rFonts w:asciiTheme="majorHAnsi" w:hAnsiTheme="majorHAnsi"/>
              <w:color w:val="943634" w:themeColor="accent2" w:themeShade="BF"/>
              <w:sz w:val="18"/>
              <w:lang w:val="pt-PT"/>
            </w:rPr>
            <w:t>Junho</w:t>
          </w:r>
          <w:r w:rsidRPr="000A5FD0">
            <w:rPr>
              <w:rFonts w:asciiTheme="majorHAnsi" w:hAnsiTheme="majorHAnsi"/>
              <w:color w:val="943634" w:themeColor="accent2" w:themeShade="BF"/>
              <w:sz w:val="18"/>
              <w:lang w:val="pt-PT"/>
            </w:rPr>
            <w:t xml:space="preserve"> 2014</w:t>
          </w:r>
        </w:p>
      </w:tc>
      <w:tc>
        <w:tcPr>
          <w:tcW w:w="274" w:type="pct"/>
          <w:tcBorders>
            <w:top w:val="single" w:sz="4" w:space="0" w:color="C0504D" w:themeColor="accent2"/>
          </w:tcBorders>
          <w:shd w:val="clear" w:color="auto" w:fill="943634" w:themeFill="accent2" w:themeFillShade="BF"/>
        </w:tcPr>
        <w:p w:rsidR="004E1715" w:rsidRPr="00285D57" w:rsidRDefault="004E1715">
          <w:pPr>
            <w:pStyle w:val="Header"/>
            <w:rPr>
              <w:rFonts w:asciiTheme="majorHAnsi" w:hAnsiTheme="majorHAnsi"/>
              <w:b/>
              <w:color w:val="943634" w:themeColor="accent2" w:themeShade="BF"/>
            </w:rPr>
          </w:pPr>
          <w:r w:rsidRPr="00A656D4">
            <w:rPr>
              <w:rFonts w:asciiTheme="majorHAnsi" w:hAnsiTheme="majorHAnsi"/>
              <w:b/>
            </w:rPr>
            <w:fldChar w:fldCharType="begin"/>
          </w:r>
          <w:r w:rsidRPr="00A656D4">
            <w:rPr>
              <w:rFonts w:asciiTheme="majorHAnsi" w:hAnsiTheme="majorHAnsi"/>
              <w:b/>
            </w:rPr>
            <w:instrText xml:space="preserve"> PAGE   \* MERGEFORMAT </w:instrText>
          </w:r>
          <w:r w:rsidRPr="00A656D4">
            <w:rPr>
              <w:rFonts w:asciiTheme="majorHAnsi" w:hAnsiTheme="majorHAnsi"/>
              <w:b/>
            </w:rPr>
            <w:fldChar w:fldCharType="separate"/>
          </w:r>
          <w:r w:rsidR="004F553E" w:rsidRPr="004F553E">
            <w:rPr>
              <w:rFonts w:asciiTheme="majorHAnsi" w:hAnsiTheme="majorHAnsi"/>
              <w:b/>
              <w:noProof/>
              <w:color w:val="FFFFFF" w:themeColor="background1"/>
            </w:rPr>
            <w:t>ii</w:t>
          </w:r>
          <w:r w:rsidRPr="00A656D4">
            <w:rPr>
              <w:rFonts w:asciiTheme="majorHAnsi" w:hAnsiTheme="majorHAnsi"/>
              <w:b/>
            </w:rPr>
            <w:fldChar w:fldCharType="end"/>
          </w:r>
        </w:p>
      </w:tc>
    </w:tr>
  </w:tbl>
  <w:p w:rsidR="004E1715" w:rsidRDefault="004E17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375" w:type="pct"/>
      <w:tblCellMar>
        <w:top w:w="72" w:type="dxa"/>
        <w:left w:w="115" w:type="dxa"/>
        <w:bottom w:w="72" w:type="dxa"/>
        <w:right w:w="115" w:type="dxa"/>
      </w:tblCellMar>
      <w:tblLook w:val="04A0" w:firstRow="1" w:lastRow="0" w:firstColumn="1" w:lastColumn="0" w:noHBand="0" w:noVBand="1"/>
    </w:tblPr>
    <w:tblGrid>
      <w:gridCol w:w="9744"/>
      <w:gridCol w:w="565"/>
    </w:tblGrid>
    <w:tr w:rsidR="004E1715" w:rsidTr="00F33279">
      <w:tc>
        <w:tcPr>
          <w:tcW w:w="4726" w:type="pct"/>
          <w:tcBorders>
            <w:top w:val="single" w:sz="4" w:space="0" w:color="000000" w:themeColor="text1"/>
          </w:tcBorders>
        </w:tcPr>
        <w:p w:rsidR="004E1715" w:rsidRPr="00285D57" w:rsidRDefault="004E1715" w:rsidP="00D35B10">
          <w:pPr>
            <w:pStyle w:val="Footer"/>
            <w:jc w:val="right"/>
            <w:rPr>
              <w:rFonts w:asciiTheme="majorHAnsi" w:hAnsiTheme="majorHAnsi"/>
              <w:color w:val="943634" w:themeColor="accent2" w:themeShade="BF"/>
            </w:rPr>
          </w:pPr>
          <w:r w:rsidRPr="00285D57">
            <w:rPr>
              <w:rFonts w:asciiTheme="majorHAnsi" w:hAnsiTheme="majorHAnsi"/>
              <w:color w:val="943634" w:themeColor="accent2" w:themeShade="BF"/>
              <w:sz w:val="18"/>
            </w:rPr>
            <w:t xml:space="preserve">ANGOLA ECONOMIC UPDATE </w:t>
          </w:r>
          <w:r w:rsidRPr="00D35B10">
            <w:rPr>
              <w:rFonts w:asciiTheme="majorHAnsi" w:hAnsiTheme="majorHAnsi"/>
              <w:color w:val="943634" w:themeColor="accent2" w:themeShade="BF"/>
              <w:sz w:val="18"/>
              <w:lang w:val="pt-PT"/>
            </w:rPr>
            <w:t xml:space="preserve">| </w:t>
          </w:r>
          <w:r w:rsidRPr="004E1715">
            <w:rPr>
              <w:rFonts w:asciiTheme="majorHAnsi" w:hAnsiTheme="majorHAnsi"/>
              <w:color w:val="943634" w:themeColor="accent2" w:themeShade="BF"/>
              <w:sz w:val="18"/>
              <w:lang w:val="pt-PT"/>
            </w:rPr>
            <w:t xml:space="preserve">Junho </w:t>
          </w:r>
          <w:r w:rsidRPr="00D35B10">
            <w:rPr>
              <w:rFonts w:asciiTheme="majorHAnsi" w:hAnsiTheme="majorHAnsi"/>
              <w:color w:val="943634" w:themeColor="accent2" w:themeShade="BF"/>
              <w:sz w:val="18"/>
              <w:lang w:val="pt-PT"/>
            </w:rPr>
            <w:t>2014</w:t>
          </w:r>
        </w:p>
      </w:tc>
      <w:tc>
        <w:tcPr>
          <w:tcW w:w="274" w:type="pct"/>
          <w:tcBorders>
            <w:top w:val="single" w:sz="4" w:space="0" w:color="C0504D" w:themeColor="accent2"/>
          </w:tcBorders>
          <w:shd w:val="clear" w:color="auto" w:fill="943634" w:themeFill="accent2" w:themeFillShade="BF"/>
        </w:tcPr>
        <w:p w:rsidR="004E1715" w:rsidRPr="00285D57" w:rsidRDefault="004E1715" w:rsidP="003E5100">
          <w:pPr>
            <w:pStyle w:val="Header"/>
            <w:rPr>
              <w:rFonts w:asciiTheme="majorHAnsi" w:hAnsiTheme="majorHAnsi"/>
              <w:b/>
              <w:color w:val="943634" w:themeColor="accent2" w:themeShade="BF"/>
            </w:rPr>
          </w:pPr>
          <w:r w:rsidRPr="00A656D4">
            <w:rPr>
              <w:rFonts w:asciiTheme="majorHAnsi" w:hAnsiTheme="majorHAnsi"/>
              <w:b/>
            </w:rPr>
            <w:fldChar w:fldCharType="begin"/>
          </w:r>
          <w:r w:rsidRPr="00A656D4">
            <w:rPr>
              <w:rFonts w:asciiTheme="majorHAnsi" w:hAnsiTheme="majorHAnsi"/>
              <w:b/>
            </w:rPr>
            <w:instrText xml:space="preserve"> PAGE   \* MERGEFORMAT </w:instrText>
          </w:r>
          <w:r w:rsidRPr="00A656D4">
            <w:rPr>
              <w:rFonts w:asciiTheme="majorHAnsi" w:hAnsiTheme="majorHAnsi"/>
              <w:b/>
            </w:rPr>
            <w:fldChar w:fldCharType="separate"/>
          </w:r>
          <w:r w:rsidR="004F553E" w:rsidRPr="004F553E">
            <w:rPr>
              <w:rFonts w:asciiTheme="majorHAnsi" w:hAnsiTheme="majorHAnsi"/>
              <w:b/>
              <w:noProof/>
              <w:color w:val="FFFFFF" w:themeColor="background1"/>
            </w:rPr>
            <w:t>19</w:t>
          </w:r>
          <w:r w:rsidRPr="00A656D4">
            <w:rPr>
              <w:rFonts w:asciiTheme="majorHAnsi" w:hAnsiTheme="majorHAnsi"/>
              <w:b/>
            </w:rPr>
            <w:fldChar w:fldCharType="end"/>
          </w:r>
        </w:p>
      </w:tc>
    </w:tr>
  </w:tbl>
  <w:p w:rsidR="004E1715" w:rsidRDefault="004E17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1715" w:rsidRDefault="004E1715" w:rsidP="00216CEC">
      <w:r>
        <w:separator/>
      </w:r>
    </w:p>
  </w:footnote>
  <w:footnote w:type="continuationSeparator" w:id="0">
    <w:p w:rsidR="004E1715" w:rsidRDefault="004E1715" w:rsidP="00216CEC">
      <w:r>
        <w:continuationSeparator/>
      </w:r>
    </w:p>
  </w:footnote>
  <w:footnote w:id="1">
    <w:p w:rsidR="004E1715" w:rsidRPr="00D85578" w:rsidRDefault="004E1715" w:rsidP="00817AE8">
      <w:pPr>
        <w:pStyle w:val="FootnoteText"/>
        <w:rPr>
          <w:sz w:val="18"/>
          <w:szCs w:val="18"/>
          <w:lang w:val="pt-PT"/>
        </w:rPr>
      </w:pPr>
      <w:r w:rsidRPr="00D85578">
        <w:rPr>
          <w:rStyle w:val="FootnoteReference"/>
          <w:rFonts w:ascii="Times New Roman" w:hAnsi="Times New Roman"/>
          <w:sz w:val="18"/>
          <w:szCs w:val="18"/>
          <w:lang w:val="pt-PT"/>
        </w:rPr>
        <w:footnoteRef/>
      </w:r>
      <w:r w:rsidRPr="00D85578">
        <w:rPr>
          <w:rFonts w:ascii="Times New Roman" w:hAnsi="Times New Roman"/>
          <w:sz w:val="18"/>
          <w:szCs w:val="18"/>
          <w:lang w:val="pt-PT"/>
        </w:rPr>
        <w:t xml:space="preserve"> As previsões relativas ao preço e à produção do petróleo baseiam-se em estimativas do FMI e do governo de Angola.</w:t>
      </w:r>
    </w:p>
  </w:footnote>
  <w:footnote w:id="2">
    <w:p w:rsidR="004E1715" w:rsidRPr="00546544" w:rsidRDefault="004E1715" w:rsidP="00E907F7">
      <w:pPr>
        <w:pStyle w:val="s1"/>
        <w:spacing w:before="0" w:beforeAutospacing="0" w:after="0" w:afterAutospacing="0"/>
        <w:rPr>
          <w:sz w:val="18"/>
          <w:szCs w:val="18"/>
          <w:lang w:val="pt-PT"/>
        </w:rPr>
      </w:pPr>
      <w:r w:rsidRPr="00BC1444">
        <w:rPr>
          <w:rStyle w:val="FootnoteReference"/>
          <w:sz w:val="18"/>
          <w:szCs w:val="18"/>
          <w:lang w:val="pt-PT"/>
        </w:rPr>
        <w:footnoteRef/>
      </w:r>
      <w:r>
        <w:rPr>
          <w:sz w:val="18"/>
          <w:szCs w:val="18"/>
          <w:lang w:val="pt-PT"/>
        </w:rPr>
        <w:t xml:space="preserve"> Entre os desenvolvimentos positivos recentes na modernização dos portos incluem-se a introdução de um novo sistema</w:t>
      </w:r>
      <w:r w:rsidRPr="00546544">
        <w:rPr>
          <w:sz w:val="18"/>
          <w:szCs w:val="18"/>
          <w:lang w:val="pt-PT"/>
        </w:rPr>
        <w:t xml:space="preserve"> electrónico</w:t>
      </w:r>
      <w:r>
        <w:rPr>
          <w:sz w:val="18"/>
          <w:szCs w:val="18"/>
          <w:lang w:val="pt-PT"/>
        </w:rPr>
        <w:t xml:space="preserve"> para localização de mercadorias</w:t>
      </w:r>
      <w:r w:rsidRPr="00546544">
        <w:rPr>
          <w:sz w:val="18"/>
          <w:szCs w:val="18"/>
          <w:lang w:val="pt-PT"/>
        </w:rPr>
        <w:t xml:space="preserve"> no Porto de Luanda. O novo sistema, introduzido em Fevereiro de 2014, deverá reduzir o tempo necessário para desalfandegar mercadorias. Estão, também, a ser construídas novas instalações portuárias a cerca de 40 km ao norte da capital, na Barra do Dande (EIU, 7 de Março de 2014). </w:t>
      </w:r>
    </w:p>
  </w:footnote>
  <w:footnote w:id="3">
    <w:p w:rsidR="004E1715" w:rsidRPr="00946D49" w:rsidRDefault="004E1715" w:rsidP="00DD19AB">
      <w:pPr>
        <w:autoSpaceDE w:val="0"/>
        <w:autoSpaceDN w:val="0"/>
        <w:adjustRightInd w:val="0"/>
        <w:jc w:val="left"/>
        <w:rPr>
          <w:lang w:val="pt-PT"/>
        </w:rPr>
      </w:pPr>
      <w:r w:rsidRPr="006F2E05">
        <w:rPr>
          <w:rStyle w:val="FootnoteReference"/>
          <w:sz w:val="18"/>
          <w:szCs w:val="18"/>
        </w:rPr>
        <w:footnoteRef/>
      </w:r>
      <w:r w:rsidRPr="00946D49">
        <w:rPr>
          <w:sz w:val="18"/>
          <w:szCs w:val="18"/>
          <w:lang w:val="pt-PT"/>
        </w:rPr>
        <w:t xml:space="preserve"> </w:t>
      </w:r>
      <w:r w:rsidRPr="00946D49">
        <w:rPr>
          <w:rFonts w:eastAsia="Times New Roman" w:cs="Times New Roman"/>
          <w:sz w:val="18"/>
          <w:szCs w:val="18"/>
          <w:lang w:val="pt-PT"/>
        </w:rPr>
        <w:t xml:space="preserve">Rodrik (2008), </w:t>
      </w:r>
      <w:r>
        <w:rPr>
          <w:rFonts w:eastAsia="Times New Roman" w:cs="Times New Roman"/>
          <w:sz w:val="18"/>
          <w:szCs w:val="18"/>
          <w:lang w:val="pt-PT"/>
        </w:rPr>
        <w:t>por exemplo, sugere que se siga um modelo semelhante ao utilizado por um banco central que define uma meta para a inflação como uma métrica de política monetária sólida</w:t>
      </w:r>
      <w:r w:rsidRPr="00946D49">
        <w:rPr>
          <w:rFonts w:eastAsia="Times New Roman" w:cs="Times New Roman"/>
          <w:sz w:val="18"/>
          <w:szCs w:val="18"/>
          <w:lang w:val="pt-PT"/>
        </w:rPr>
        <w:t>.</w:t>
      </w:r>
      <w:r w:rsidRPr="00946D49">
        <w:rPr>
          <w:rFonts w:ascii="PalatinoLinotype-Roman" w:hAnsi="PalatinoLinotype-Roman" w:cs="PalatinoLinotype-Roman"/>
          <w:sz w:val="18"/>
          <w:szCs w:val="18"/>
          <w:lang w:val="pt-PT"/>
        </w:rPr>
        <w:t xml:space="preserve"> </w:t>
      </w:r>
    </w:p>
  </w:footnote>
  <w:footnote w:id="4">
    <w:p w:rsidR="004E1715" w:rsidRPr="0034327A" w:rsidRDefault="004E1715" w:rsidP="00A91B0D">
      <w:pPr>
        <w:pStyle w:val="FootnoteText"/>
        <w:rPr>
          <w:rFonts w:ascii="Times New Roman" w:hAnsi="Times New Roman"/>
          <w:sz w:val="18"/>
          <w:szCs w:val="18"/>
          <w:lang w:val="pt-PT"/>
        </w:rPr>
      </w:pPr>
      <w:r w:rsidRPr="0034327A">
        <w:rPr>
          <w:rStyle w:val="FootnoteReference"/>
          <w:rFonts w:ascii="Times New Roman" w:hAnsi="Times New Roman"/>
          <w:sz w:val="18"/>
          <w:szCs w:val="18"/>
          <w:lang w:val="pt-PT"/>
        </w:rPr>
        <w:footnoteRef/>
      </w:r>
      <w:r>
        <w:rPr>
          <w:rFonts w:ascii="Times New Roman" w:hAnsi="Times New Roman"/>
          <w:sz w:val="18"/>
          <w:szCs w:val="18"/>
          <w:lang w:val="pt-PT"/>
        </w:rPr>
        <w:t xml:space="preserve"> O orçamento de 2</w:t>
      </w:r>
      <w:r w:rsidRPr="0034327A">
        <w:rPr>
          <w:rFonts w:ascii="Times New Roman" w:hAnsi="Times New Roman"/>
          <w:sz w:val="18"/>
          <w:szCs w:val="18"/>
          <w:lang w:val="pt-PT"/>
        </w:rPr>
        <w:t xml:space="preserve">013 </w:t>
      </w:r>
      <w:r>
        <w:rPr>
          <w:rFonts w:ascii="Times New Roman" w:hAnsi="Times New Roman"/>
          <w:sz w:val="18"/>
          <w:szCs w:val="18"/>
          <w:lang w:val="pt-PT"/>
        </w:rPr>
        <w:t>estimava a receita do petróleo em 3 281 mil milhões de Kwanza, enquanto nós estimamos que as receitas do petróleo se cifrem em cerca de Kwanza 3 472 mil milhões</w:t>
      </w:r>
      <w:r w:rsidRPr="0034327A">
        <w:rPr>
          <w:rFonts w:ascii="Times New Roman" w:hAnsi="Times New Roman"/>
          <w:sz w:val="18"/>
          <w:szCs w:val="18"/>
          <w:lang w:val="pt-PT"/>
        </w:rPr>
        <w:t xml:space="preserve">. </w:t>
      </w:r>
    </w:p>
  </w:footnote>
  <w:footnote w:id="5">
    <w:p w:rsidR="004E1715" w:rsidRPr="00EE2B7D" w:rsidRDefault="004E1715">
      <w:pPr>
        <w:pStyle w:val="FootnoteText"/>
        <w:rPr>
          <w:rFonts w:ascii="Times New Roman" w:hAnsi="Times New Roman"/>
          <w:sz w:val="18"/>
          <w:szCs w:val="18"/>
          <w:lang w:val="pt-PT"/>
        </w:rPr>
      </w:pPr>
      <w:r w:rsidRPr="00BA7281">
        <w:rPr>
          <w:rStyle w:val="FootnoteReference"/>
          <w:rFonts w:ascii="Times New Roman" w:hAnsi="Times New Roman"/>
        </w:rPr>
        <w:footnoteRef/>
      </w:r>
      <w:r w:rsidRPr="00946D49">
        <w:rPr>
          <w:lang w:val="pt-PT"/>
        </w:rPr>
        <w:t xml:space="preserve"> </w:t>
      </w:r>
      <w:r w:rsidRPr="00EE2B7D">
        <w:rPr>
          <w:rFonts w:ascii="Times New Roman" w:hAnsi="Times New Roman"/>
          <w:sz w:val="18"/>
          <w:szCs w:val="18"/>
          <w:lang w:val="pt-PT"/>
        </w:rPr>
        <w:t>Exclu</w:t>
      </w:r>
      <w:r>
        <w:rPr>
          <w:rFonts w:ascii="Times New Roman" w:hAnsi="Times New Roman"/>
          <w:sz w:val="18"/>
          <w:szCs w:val="18"/>
          <w:lang w:val="pt-PT"/>
        </w:rPr>
        <w:t>indo o pagamento de juros</w:t>
      </w:r>
    </w:p>
  </w:footnote>
  <w:footnote w:id="6">
    <w:p w:rsidR="004E1715" w:rsidRPr="00946D49" w:rsidRDefault="004E1715">
      <w:pPr>
        <w:pStyle w:val="FootnoteText"/>
        <w:rPr>
          <w:rFonts w:ascii="Times New Roman" w:hAnsi="Times New Roman"/>
          <w:sz w:val="18"/>
          <w:szCs w:val="18"/>
          <w:lang w:val="pt-PT"/>
        </w:rPr>
      </w:pPr>
      <w:r w:rsidRPr="00EE2B7D">
        <w:rPr>
          <w:rFonts w:ascii="Times New Roman" w:hAnsi="Times New Roman"/>
          <w:sz w:val="18"/>
          <w:szCs w:val="18"/>
          <w:vertAlign w:val="superscript"/>
          <w:lang w:val="pt-PT"/>
        </w:rPr>
        <w:footnoteRef/>
      </w:r>
      <w:r>
        <w:rPr>
          <w:rFonts w:ascii="Times New Roman" w:hAnsi="Times New Roman"/>
          <w:sz w:val="18"/>
          <w:szCs w:val="18"/>
          <w:lang w:val="pt-PT"/>
        </w:rPr>
        <w:t xml:space="preserve"> O cálculo assemelha-se ao do indicador Relação Capital/Produto Incremental (RCPI) que se define pelo rácio entre o investimento total e as alterações do PIB no período seguinte. Como os investimentos públicos representam 70% dos investimentos totais e estão sobretudo direccionados para o sector não petrolífero, utiliza-se o rácio entre os investimentos públicos e as alterações no PIB não petrolífero no período seguinte. Adicionalmente, em Angola o RCPI segue de perto as movimentações dos preços do petróleo: foi estimado em 4 em 2010, depois caiu para 3 em 2011 e chegou a 3,9 em 2012. O RCPI médio de Angola para o período de 2009-2011 foi estimado em 4, acima do RCPI médio observado no mesmo período na Namíbia </w:t>
      </w:r>
      <w:r w:rsidRPr="00EE2B7D">
        <w:rPr>
          <w:rFonts w:ascii="Times New Roman" w:hAnsi="Times New Roman"/>
          <w:sz w:val="18"/>
          <w:szCs w:val="18"/>
          <w:lang w:val="pt-PT"/>
        </w:rPr>
        <w:t xml:space="preserve">(3.8), </w:t>
      </w:r>
      <w:r>
        <w:rPr>
          <w:rFonts w:ascii="Times New Roman" w:hAnsi="Times New Roman"/>
          <w:sz w:val="18"/>
          <w:szCs w:val="18"/>
          <w:lang w:val="pt-PT"/>
        </w:rPr>
        <w:t xml:space="preserve">idêntico ao RCPI registado no Gabão (4) e inferior ao RCPI verificado no Botswana </w:t>
      </w:r>
      <w:r w:rsidRPr="00EE2B7D">
        <w:rPr>
          <w:rFonts w:ascii="Times New Roman" w:hAnsi="Times New Roman"/>
          <w:sz w:val="18"/>
          <w:szCs w:val="18"/>
          <w:lang w:val="pt-PT"/>
        </w:rPr>
        <w:t xml:space="preserve">(6). </w:t>
      </w:r>
      <w:r>
        <w:rPr>
          <w:rFonts w:ascii="Times New Roman" w:hAnsi="Times New Roman"/>
          <w:sz w:val="18"/>
          <w:szCs w:val="18"/>
          <w:lang w:val="pt-PT"/>
        </w:rPr>
        <w:t xml:space="preserve">Como o RCPI também está associado ao nível de desenvolvimento de um país, os valores de Angola estão igualmente bastante acima dos valores históricos do Botswana (RCPI estimado em 0,9%), Chile </w:t>
      </w:r>
      <w:r w:rsidRPr="00EE2B7D">
        <w:rPr>
          <w:rFonts w:ascii="Times New Roman" w:hAnsi="Times New Roman"/>
          <w:sz w:val="18"/>
          <w:szCs w:val="18"/>
          <w:lang w:val="pt-PT"/>
        </w:rPr>
        <w:t>(2</w:t>
      </w:r>
      <w:r>
        <w:rPr>
          <w:rFonts w:ascii="Times New Roman" w:hAnsi="Times New Roman"/>
          <w:sz w:val="18"/>
          <w:szCs w:val="18"/>
          <w:lang w:val="pt-PT"/>
        </w:rPr>
        <w:t>,</w:t>
      </w:r>
      <w:r w:rsidRPr="00EE2B7D">
        <w:rPr>
          <w:rFonts w:ascii="Times New Roman" w:hAnsi="Times New Roman"/>
          <w:sz w:val="18"/>
          <w:szCs w:val="18"/>
          <w:lang w:val="pt-PT"/>
        </w:rPr>
        <w:t>4)</w:t>
      </w:r>
      <w:r>
        <w:rPr>
          <w:rFonts w:ascii="Times New Roman" w:hAnsi="Times New Roman"/>
          <w:sz w:val="18"/>
          <w:szCs w:val="18"/>
          <w:lang w:val="pt-PT"/>
        </w:rPr>
        <w:t xml:space="preserve"> e da República da Coreia (2,5) quando estes países tinham o mesmo nível de desenvolvimento observado em Angola em 2012 (medido em termos de PIB real per capita</w:t>
      </w:r>
      <w:r w:rsidRPr="00946D49">
        <w:rPr>
          <w:rFonts w:ascii="Times New Roman" w:hAnsi="Times New Roman"/>
          <w:sz w:val="18"/>
          <w:szCs w:val="18"/>
          <w:lang w:val="pt-PT"/>
        </w:rPr>
        <w:t xml:space="preserve">). </w:t>
      </w:r>
    </w:p>
  </w:footnote>
  <w:footnote w:id="7">
    <w:p w:rsidR="004E1715" w:rsidRPr="001700C9" w:rsidRDefault="004E1715" w:rsidP="00946D49">
      <w:pPr>
        <w:pStyle w:val="FootnoteText"/>
        <w:rPr>
          <w:rFonts w:ascii="Times New Roman" w:hAnsi="Times New Roman"/>
          <w:lang w:val="pt-PT"/>
        </w:rPr>
      </w:pPr>
      <w:r w:rsidRPr="00144EE7">
        <w:rPr>
          <w:rStyle w:val="FootnoteReference"/>
          <w:rFonts w:ascii="Times New Roman" w:hAnsi="Times New Roman"/>
        </w:rPr>
        <w:footnoteRef/>
      </w:r>
      <w:r w:rsidRPr="001700C9">
        <w:rPr>
          <w:rFonts w:ascii="Times New Roman" w:hAnsi="Times New Roman"/>
          <w:lang w:val="pt-PT"/>
        </w:rPr>
        <w:t xml:space="preserve"> O índice de concentração de produtos de exportação mede a dispersão do valor do com</w:t>
      </w:r>
      <w:r>
        <w:rPr>
          <w:rFonts w:ascii="Times New Roman" w:hAnsi="Times New Roman"/>
          <w:lang w:val="pt-PT"/>
        </w:rPr>
        <w:t xml:space="preserve">ércio </w:t>
      </w:r>
      <w:r w:rsidRPr="001700C9">
        <w:rPr>
          <w:rFonts w:ascii="Times New Roman" w:hAnsi="Times New Roman"/>
          <w:lang w:val="pt-PT"/>
        </w:rPr>
        <w:t>considerando</w:t>
      </w:r>
      <w:r>
        <w:rPr>
          <w:rFonts w:ascii="Times New Roman" w:hAnsi="Times New Roman"/>
          <w:lang w:val="pt-PT"/>
        </w:rPr>
        <w:t xml:space="preserve"> os vários produtos de um exportador</w:t>
      </w:r>
      <w:r w:rsidRPr="001700C9">
        <w:rPr>
          <w:rFonts w:ascii="Times New Roman" w:hAnsi="Times New Roman"/>
          <w:lang w:val="pt-PT"/>
        </w:rPr>
        <w:t>. Um país com uma preponderância de valores de comércio</w:t>
      </w:r>
      <w:r>
        <w:rPr>
          <w:rFonts w:ascii="Times New Roman" w:hAnsi="Times New Roman"/>
          <w:lang w:val="pt-PT"/>
        </w:rPr>
        <w:t>,</w:t>
      </w:r>
      <w:r w:rsidRPr="001700C9">
        <w:rPr>
          <w:rFonts w:ascii="Times New Roman" w:hAnsi="Times New Roman"/>
          <w:lang w:val="pt-PT"/>
        </w:rPr>
        <w:t xml:space="preserve"> centrados em muito poucos produtos, ter</w:t>
      </w:r>
      <w:r>
        <w:rPr>
          <w:rFonts w:ascii="Times New Roman" w:hAnsi="Times New Roman"/>
          <w:lang w:val="pt-PT"/>
        </w:rPr>
        <w:t xml:space="preserve">á um valor de índice de cerca de 1 </w:t>
      </w:r>
      <w:r w:rsidRPr="001700C9">
        <w:rPr>
          <w:rFonts w:ascii="Times New Roman" w:hAnsi="Times New Roman"/>
          <w:lang w:val="pt-PT"/>
        </w:rPr>
        <w:t>(Fonte:</w:t>
      </w:r>
      <w:r>
        <w:rPr>
          <w:rFonts w:ascii="Times New Roman" w:hAnsi="Times New Roman"/>
          <w:lang w:val="pt-PT"/>
        </w:rPr>
        <w:t xml:space="preserve"> Indicadores de Comércio, base de dados WITS</w:t>
      </w:r>
      <w:r w:rsidRPr="001700C9">
        <w:rPr>
          <w:rFonts w:ascii="Times New Roman" w:hAnsi="Times New Roman"/>
          <w:lang w:val="pt-PT"/>
        </w:rPr>
        <w:t>).</w:t>
      </w:r>
    </w:p>
  </w:footnote>
  <w:footnote w:id="8">
    <w:p w:rsidR="004E1715" w:rsidRPr="00266E95" w:rsidRDefault="004E1715" w:rsidP="00946D49">
      <w:pPr>
        <w:pStyle w:val="FootnoteText"/>
        <w:rPr>
          <w:rFonts w:ascii="Times New Roman" w:hAnsi="Times New Roman"/>
          <w:lang w:val="pt-PT"/>
        </w:rPr>
      </w:pPr>
      <w:r w:rsidRPr="00144EE7">
        <w:rPr>
          <w:vertAlign w:val="superscript"/>
        </w:rPr>
        <w:footnoteRef/>
      </w:r>
      <w:r w:rsidRPr="00266E95">
        <w:rPr>
          <w:rFonts w:ascii="Times New Roman" w:hAnsi="Times New Roman"/>
          <w:vertAlign w:val="superscript"/>
          <w:lang w:val="pt-PT"/>
        </w:rPr>
        <w:t xml:space="preserve"> </w:t>
      </w:r>
      <w:r w:rsidRPr="00266E95">
        <w:rPr>
          <w:rFonts w:ascii="Times New Roman" w:hAnsi="Times New Roman"/>
          <w:lang w:val="pt-PT"/>
        </w:rPr>
        <w:t>O índice de penetração no mercado de exportação avalia a medida em que as exportaç</w:t>
      </w:r>
      <w:r>
        <w:rPr>
          <w:rFonts w:ascii="Times New Roman" w:hAnsi="Times New Roman"/>
          <w:lang w:val="pt-PT"/>
        </w:rPr>
        <w:t>ões de um país alcançam mercados já comprovados</w:t>
      </w:r>
      <w:r w:rsidRPr="00266E95">
        <w:rPr>
          <w:rFonts w:ascii="Times New Roman" w:hAnsi="Times New Roman"/>
          <w:lang w:val="pt-PT"/>
        </w:rPr>
        <w:t>.</w:t>
      </w:r>
      <w:r>
        <w:rPr>
          <w:rFonts w:ascii="Times New Roman" w:hAnsi="Times New Roman"/>
          <w:lang w:val="pt-PT"/>
        </w:rPr>
        <w:t xml:space="preserve"> </w:t>
      </w:r>
      <w:r w:rsidRPr="00266E95">
        <w:rPr>
          <w:rFonts w:ascii="Times New Roman" w:hAnsi="Times New Roman"/>
          <w:lang w:val="pt-PT"/>
        </w:rPr>
        <w:t>Calcula-se como o número de países para qual o declarante exporta um produto específico, dividido pelo número de pa</w:t>
      </w:r>
      <w:r>
        <w:rPr>
          <w:rFonts w:ascii="Times New Roman" w:hAnsi="Times New Roman"/>
          <w:lang w:val="pt-PT"/>
        </w:rPr>
        <w:t>íses que declararam importar esse produto, nesse mesmo ano</w:t>
      </w:r>
      <w:r w:rsidRPr="00266E95">
        <w:rPr>
          <w:rFonts w:ascii="Times New Roman" w:hAnsi="Times New Roman"/>
          <w:lang w:val="pt-PT"/>
        </w:rPr>
        <w:t xml:space="preserve"> (</w:t>
      </w:r>
      <w:r>
        <w:rPr>
          <w:rFonts w:ascii="Times New Roman" w:hAnsi="Times New Roman"/>
          <w:lang w:val="pt-PT"/>
        </w:rPr>
        <w:t>Fonte</w:t>
      </w:r>
      <w:r w:rsidRPr="00266E95">
        <w:rPr>
          <w:rFonts w:ascii="Times New Roman" w:hAnsi="Times New Roman"/>
          <w:lang w:val="pt-PT"/>
        </w:rPr>
        <w:t xml:space="preserve">: </w:t>
      </w:r>
      <w:r>
        <w:rPr>
          <w:rFonts w:ascii="Times New Roman" w:hAnsi="Times New Roman"/>
          <w:lang w:val="pt-PT"/>
        </w:rPr>
        <w:t>Indicador de Comércio</w:t>
      </w:r>
      <w:r w:rsidRPr="00266E95">
        <w:rPr>
          <w:rFonts w:ascii="Times New Roman" w:hAnsi="Times New Roman"/>
          <w:lang w:val="pt-PT"/>
        </w:rPr>
        <w:t>,</w:t>
      </w:r>
      <w:r>
        <w:rPr>
          <w:rFonts w:ascii="Times New Roman" w:hAnsi="Times New Roman"/>
          <w:lang w:val="pt-PT"/>
        </w:rPr>
        <w:t xml:space="preserve"> base de dados</w:t>
      </w:r>
      <w:r w:rsidRPr="00266E95">
        <w:rPr>
          <w:rFonts w:ascii="Times New Roman" w:hAnsi="Times New Roman"/>
          <w:lang w:val="pt-PT"/>
        </w:rPr>
        <w:t xml:space="preserve"> WITS).</w:t>
      </w:r>
    </w:p>
  </w:footnote>
  <w:footnote w:id="9">
    <w:p w:rsidR="004E1715" w:rsidRPr="007D055C" w:rsidRDefault="004E1715" w:rsidP="00946D49">
      <w:pPr>
        <w:pStyle w:val="FootnoteText"/>
        <w:rPr>
          <w:rFonts w:ascii="Times New Roman" w:hAnsi="Times New Roman"/>
          <w:sz w:val="16"/>
          <w:szCs w:val="16"/>
          <w:lang w:val="pt-PT"/>
        </w:rPr>
      </w:pPr>
      <w:r w:rsidRPr="00757D68">
        <w:rPr>
          <w:rStyle w:val="FootnoteReference"/>
          <w:rFonts w:ascii="Times New Roman" w:hAnsi="Times New Roman"/>
          <w:sz w:val="18"/>
          <w:szCs w:val="18"/>
        </w:rPr>
        <w:footnoteRef/>
      </w:r>
      <w:r w:rsidRPr="007D055C">
        <w:rPr>
          <w:rFonts w:ascii="Times New Roman" w:hAnsi="Times New Roman"/>
          <w:sz w:val="18"/>
          <w:szCs w:val="18"/>
          <w:lang w:val="pt-PT"/>
        </w:rPr>
        <w:t xml:space="preserve"> </w:t>
      </w:r>
      <w:r w:rsidRPr="007D055C">
        <w:rPr>
          <w:rFonts w:ascii="Times New Roman" w:hAnsi="Times New Roman"/>
          <w:sz w:val="16"/>
          <w:szCs w:val="16"/>
          <w:lang w:val="pt-PT"/>
        </w:rPr>
        <w:t xml:space="preserve">A  correlação  entre o  coeficiente da balança orçamental do </w:t>
      </w:r>
      <w:r>
        <w:rPr>
          <w:rFonts w:ascii="Times New Roman" w:hAnsi="Times New Roman"/>
          <w:sz w:val="16"/>
          <w:szCs w:val="16"/>
          <w:lang w:val="pt-PT"/>
        </w:rPr>
        <w:t>governo</w:t>
      </w:r>
      <w:r w:rsidRPr="007D055C">
        <w:rPr>
          <w:rFonts w:ascii="Times New Roman" w:hAnsi="Times New Roman"/>
          <w:sz w:val="16"/>
          <w:szCs w:val="16"/>
          <w:lang w:val="pt-PT"/>
        </w:rPr>
        <w:t xml:space="preserve"> ( </w:t>
      </w:r>
      <w:r>
        <w:rPr>
          <w:rFonts w:ascii="Times New Roman" w:hAnsi="Times New Roman"/>
          <w:sz w:val="16"/>
          <w:szCs w:val="16"/>
          <w:lang w:val="pt-PT"/>
        </w:rPr>
        <w:t>numa base de caixa)  e a conta corrente ao longo do período 2008-2012 é de cerca de 0,8</w:t>
      </w:r>
      <w:r w:rsidRPr="007D055C">
        <w:rPr>
          <w:rFonts w:ascii="Times New Roman" w:hAnsi="Times New Roman"/>
          <w:sz w:val="16"/>
          <w:szCs w:val="16"/>
          <w:lang w:val="pt-PT"/>
        </w:rPr>
        <w:t xml:space="preserve">. </w:t>
      </w:r>
    </w:p>
  </w:footnote>
  <w:footnote w:id="10">
    <w:p w:rsidR="004E1715" w:rsidRPr="00B83E9E" w:rsidRDefault="004E1715" w:rsidP="00946D49">
      <w:pPr>
        <w:pStyle w:val="FootnoteText"/>
        <w:rPr>
          <w:rFonts w:ascii="Times New Roman" w:hAnsi="Times New Roman"/>
          <w:sz w:val="16"/>
          <w:szCs w:val="16"/>
          <w:lang w:val="pt-PT"/>
        </w:rPr>
      </w:pPr>
      <w:r w:rsidRPr="00BF2E98">
        <w:rPr>
          <w:rStyle w:val="FootnoteReference"/>
          <w:rFonts w:ascii="Times New Roman" w:hAnsi="Times New Roman"/>
          <w:sz w:val="16"/>
          <w:szCs w:val="16"/>
        </w:rPr>
        <w:footnoteRef/>
      </w:r>
      <w:r w:rsidRPr="008862F4">
        <w:rPr>
          <w:rFonts w:ascii="Times New Roman" w:hAnsi="Times New Roman"/>
          <w:sz w:val="16"/>
          <w:szCs w:val="16"/>
          <w:lang w:val="pt-PT"/>
        </w:rPr>
        <w:t xml:space="preserve"> A posição líquida de IDE atraído para </w:t>
      </w:r>
      <w:r>
        <w:rPr>
          <w:rFonts w:ascii="Times New Roman" w:hAnsi="Times New Roman"/>
          <w:sz w:val="16"/>
          <w:szCs w:val="16"/>
          <w:lang w:val="pt-PT"/>
        </w:rPr>
        <w:t>um</w:t>
      </w:r>
      <w:r w:rsidRPr="008862F4">
        <w:rPr>
          <w:rFonts w:ascii="Times New Roman" w:hAnsi="Times New Roman"/>
          <w:sz w:val="16"/>
          <w:szCs w:val="16"/>
          <w:lang w:val="pt-PT"/>
        </w:rPr>
        <w:t xml:space="preserve"> país</w:t>
      </w:r>
      <w:r>
        <w:rPr>
          <w:rFonts w:ascii="Times New Roman" w:hAnsi="Times New Roman"/>
          <w:sz w:val="16"/>
          <w:szCs w:val="16"/>
          <w:lang w:val="pt-PT"/>
        </w:rPr>
        <w:t xml:space="preserve"> é a dimensão dos fluxos de IDE em relação ao PIB; mede o sucesso relativo do país em atrair IDE Global. Se os lucros repatriados forem subtraídos ao IDE, a diferença é o resultado </w:t>
      </w:r>
      <w:r w:rsidRPr="00B83E9E">
        <w:rPr>
          <w:rFonts w:ascii="Times New Roman" w:hAnsi="Times New Roman"/>
          <w:i/>
          <w:sz w:val="16"/>
          <w:szCs w:val="16"/>
          <w:lang w:val="pt-PT"/>
        </w:rPr>
        <w:t>net</w:t>
      </w:r>
      <w:r>
        <w:rPr>
          <w:rFonts w:ascii="Times New Roman" w:hAnsi="Times New Roman"/>
          <w:sz w:val="16"/>
          <w:szCs w:val="16"/>
          <w:lang w:val="pt-PT"/>
        </w:rPr>
        <w:t xml:space="preserve"> de IDE entrado.</w:t>
      </w:r>
    </w:p>
  </w:footnote>
  <w:footnote w:id="11">
    <w:p w:rsidR="004E1715" w:rsidRPr="00D8343E" w:rsidRDefault="004E1715" w:rsidP="00946D49">
      <w:pPr>
        <w:autoSpaceDE w:val="0"/>
        <w:autoSpaceDN w:val="0"/>
        <w:adjustRightInd w:val="0"/>
        <w:rPr>
          <w:rFonts w:cs="Times New Roman"/>
          <w:color w:val="000000"/>
          <w:sz w:val="16"/>
          <w:szCs w:val="16"/>
          <w:lang w:val="pt-PT"/>
        </w:rPr>
      </w:pPr>
      <w:r w:rsidRPr="00BF2E98">
        <w:rPr>
          <w:rStyle w:val="FootnoteReference"/>
          <w:sz w:val="16"/>
          <w:szCs w:val="16"/>
        </w:rPr>
        <w:footnoteRef/>
      </w:r>
      <w:r w:rsidRPr="001E6F37">
        <w:rPr>
          <w:sz w:val="16"/>
          <w:szCs w:val="16"/>
          <w:lang w:val="pt-PT"/>
        </w:rPr>
        <w:t xml:space="preserve"> </w:t>
      </w:r>
      <w:r w:rsidRPr="001E6F37">
        <w:rPr>
          <w:rFonts w:cs="Times New Roman"/>
          <w:color w:val="000000"/>
          <w:sz w:val="16"/>
          <w:szCs w:val="16"/>
          <w:lang w:val="pt-PT"/>
        </w:rPr>
        <w:t>A Criação do Comité para a Política</w:t>
      </w:r>
      <w:r>
        <w:rPr>
          <w:rFonts w:cs="Times New Roman"/>
          <w:color w:val="000000"/>
          <w:sz w:val="16"/>
          <w:szCs w:val="16"/>
          <w:lang w:val="pt-PT"/>
        </w:rPr>
        <w:t xml:space="preserve"> Monetária (MPC) foi acompanhada</w:t>
      </w:r>
      <w:r w:rsidRPr="001E6F37">
        <w:rPr>
          <w:rFonts w:cs="Times New Roman"/>
          <w:color w:val="000000"/>
          <w:sz w:val="16"/>
          <w:szCs w:val="16"/>
          <w:lang w:val="pt-PT"/>
        </w:rPr>
        <w:t xml:space="preserve"> de um alargamento </w:t>
      </w:r>
      <w:r>
        <w:rPr>
          <w:rFonts w:cs="Times New Roman"/>
          <w:color w:val="000000"/>
          <w:sz w:val="16"/>
          <w:szCs w:val="16"/>
          <w:lang w:val="pt-PT"/>
        </w:rPr>
        <w:t>dos instrumentos de política monetária. O BNA, em particular, pode agora aumentar a gestão do dinheiro público com instrumentos, incluindo as reservas obrigatórias, câmbio de divisas, e toda uma série de operações em mercado aberto (incluindo a compra e venda de obrigações do Tesouro e títulos do Banco Central). O BNA melhorou também a sua capacidade de monitorização financeira e de preparação para crises, e publica regularmente um relatório da estabilidade financeira. Em Maio 2012, o BNA criou o Comité de Estabilidade Financeira (COMEF) para monitorizar a evolução de condições r riscos no mercado financeiro (Fonte: Angola</w:t>
      </w:r>
      <w:r w:rsidRPr="00D8343E">
        <w:rPr>
          <w:rFonts w:cs="Times New Roman"/>
          <w:color w:val="000000"/>
          <w:sz w:val="18"/>
          <w:szCs w:val="18"/>
          <w:lang w:val="pt-PT"/>
        </w:rPr>
        <w:t xml:space="preserve"> Economic Update 1). </w:t>
      </w:r>
    </w:p>
  </w:footnote>
  <w:footnote w:id="12">
    <w:p w:rsidR="004E1715" w:rsidRPr="00815CE4" w:rsidRDefault="004E1715" w:rsidP="00946D49">
      <w:pPr>
        <w:pStyle w:val="FootnoteText"/>
        <w:rPr>
          <w:rFonts w:ascii="Times New Roman" w:hAnsi="Times New Roman"/>
          <w:sz w:val="18"/>
          <w:szCs w:val="18"/>
          <w:lang w:val="pt-PT"/>
        </w:rPr>
      </w:pPr>
      <w:r w:rsidRPr="00E014D4">
        <w:rPr>
          <w:rStyle w:val="FootnoteReference"/>
          <w:rFonts w:ascii="Times New Roman" w:hAnsi="Times New Roman"/>
          <w:sz w:val="18"/>
          <w:szCs w:val="18"/>
        </w:rPr>
        <w:footnoteRef/>
      </w:r>
      <w:r w:rsidRPr="00815CE4">
        <w:rPr>
          <w:rFonts w:ascii="Times New Roman" w:hAnsi="Times New Roman"/>
          <w:sz w:val="18"/>
          <w:szCs w:val="18"/>
          <w:lang w:val="pt-PT"/>
        </w:rPr>
        <w:t xml:space="preserve"> Neste contexto, a taxa de “bancarização” refere-se à quota d</w:t>
      </w:r>
      <w:r>
        <w:rPr>
          <w:rFonts w:ascii="Times New Roman" w:hAnsi="Times New Roman"/>
          <w:sz w:val="18"/>
          <w:szCs w:val="18"/>
          <w:lang w:val="pt-PT"/>
        </w:rPr>
        <w:t>e população com conta numa instituição financeira formal</w:t>
      </w:r>
      <w:r w:rsidRPr="00815CE4">
        <w:rPr>
          <w:rFonts w:ascii="Times New Roman" w:hAnsi="Times New Roman"/>
          <w:sz w:val="18"/>
          <w:szCs w:val="18"/>
          <w:lang w:val="pt-PT"/>
        </w:rPr>
        <w:t xml:space="preserve"> </w:t>
      </w:r>
    </w:p>
  </w:footnote>
  <w:footnote w:id="13">
    <w:p w:rsidR="004E1715" w:rsidRPr="00E107F1" w:rsidRDefault="004E1715" w:rsidP="00946D49">
      <w:pPr>
        <w:pStyle w:val="FootnoteText"/>
        <w:rPr>
          <w:rFonts w:ascii="Times New Roman" w:hAnsi="Times New Roman"/>
          <w:sz w:val="18"/>
          <w:szCs w:val="18"/>
        </w:rPr>
      </w:pPr>
      <w:r w:rsidRPr="00E107F1">
        <w:rPr>
          <w:rStyle w:val="FootnoteReference"/>
          <w:rFonts w:ascii="Times New Roman" w:hAnsi="Times New Roman"/>
          <w:sz w:val="18"/>
          <w:szCs w:val="18"/>
        </w:rPr>
        <w:footnoteRef/>
      </w:r>
      <w:r w:rsidRPr="00E107F1">
        <w:rPr>
          <w:rFonts w:ascii="Times New Roman" w:hAnsi="Times New Roman"/>
          <w:sz w:val="18"/>
          <w:szCs w:val="18"/>
        </w:rPr>
        <w:t xml:space="preserve"> </w:t>
      </w:r>
      <w:r>
        <w:rPr>
          <w:rFonts w:ascii="Times New Roman" w:hAnsi="Times New Roman"/>
          <w:sz w:val="18"/>
          <w:szCs w:val="18"/>
        </w:rPr>
        <w:t>Ver</w:t>
      </w:r>
      <w:r w:rsidRPr="00E107F1">
        <w:rPr>
          <w:rFonts w:ascii="Times New Roman" w:hAnsi="Times New Roman"/>
          <w:sz w:val="18"/>
          <w:szCs w:val="18"/>
        </w:rPr>
        <w:t xml:space="preserve"> World Bank. 2013. </w:t>
      </w:r>
      <w:r w:rsidRPr="00E107F1">
        <w:rPr>
          <w:rFonts w:ascii="Times New Roman" w:hAnsi="Times New Roman"/>
          <w:i/>
          <w:sz w:val="18"/>
          <w:szCs w:val="18"/>
        </w:rPr>
        <w:t>Angola Economic Update</w:t>
      </w:r>
      <w:r w:rsidRPr="00E107F1">
        <w:rPr>
          <w:rFonts w:ascii="Times New Roman" w:hAnsi="Times New Roman"/>
          <w:sz w:val="18"/>
          <w:szCs w:val="18"/>
        </w:rPr>
        <w:t xml:space="preserve">. </w:t>
      </w:r>
      <w:r>
        <w:rPr>
          <w:rFonts w:ascii="Times New Roman" w:hAnsi="Times New Roman"/>
          <w:sz w:val="18"/>
          <w:szCs w:val="18"/>
        </w:rPr>
        <w:t>Nº 1 (Março)</w:t>
      </w:r>
      <w:r w:rsidRPr="00E107F1">
        <w:rPr>
          <w:rFonts w:ascii="Times New Roman" w:hAnsi="Times New Roman"/>
          <w:sz w:val="18"/>
          <w:szCs w:val="18"/>
        </w:rPr>
        <w:t>. Washington DC: The World Bank</w:t>
      </w:r>
    </w:p>
  </w:footnote>
  <w:footnote w:id="14">
    <w:p w:rsidR="004E1715" w:rsidRDefault="004E1715" w:rsidP="00946D49">
      <w:pPr>
        <w:pStyle w:val="FootnoteText"/>
      </w:pPr>
      <w:r w:rsidRPr="00E107F1">
        <w:rPr>
          <w:rStyle w:val="FootnoteReference"/>
          <w:rFonts w:ascii="Times New Roman" w:hAnsi="Times New Roman"/>
          <w:sz w:val="18"/>
          <w:szCs w:val="18"/>
        </w:rPr>
        <w:footnoteRef/>
      </w:r>
      <w:r w:rsidRPr="00E107F1">
        <w:rPr>
          <w:rFonts w:ascii="Times New Roman" w:hAnsi="Times New Roman"/>
          <w:sz w:val="18"/>
          <w:szCs w:val="18"/>
        </w:rPr>
        <w:t xml:space="preserve"> http://www.portaldeangola.com/2013/12/</w:t>
      </w:r>
      <w:r>
        <w:rPr>
          <w:rFonts w:ascii="Times New Roman" w:hAnsi="Times New Roman"/>
          <w:sz w:val="18"/>
          <w:szCs w:val="18"/>
        </w:rPr>
        <w:t>governo</w:t>
      </w:r>
      <w:r w:rsidRPr="00E107F1">
        <w:rPr>
          <w:rFonts w:ascii="Times New Roman" w:hAnsi="Times New Roman"/>
          <w:sz w:val="18"/>
          <w:szCs w:val="18"/>
        </w:rPr>
        <w:t>-aprova-mais-de-180-projectos-no-ambito-do-angola</w:t>
      </w:r>
      <w:r w:rsidRPr="00BB5D33">
        <w:rPr>
          <w:rFonts w:ascii="Times New Roman" w:hAnsi="Times New Roman"/>
          <w:sz w:val="16"/>
          <w:szCs w:val="16"/>
        </w:rPr>
        <w:t>-investe/</w:t>
      </w:r>
    </w:p>
  </w:footnote>
  <w:footnote w:id="15">
    <w:p w:rsidR="004E1715" w:rsidRPr="00E650A5" w:rsidRDefault="004E1715" w:rsidP="00946D49">
      <w:pPr>
        <w:pStyle w:val="FootnoteText"/>
        <w:rPr>
          <w:rFonts w:ascii="Times New Roman" w:hAnsi="Times New Roman"/>
          <w:sz w:val="18"/>
          <w:szCs w:val="18"/>
          <w:lang w:val="pt-PT"/>
        </w:rPr>
      </w:pPr>
      <w:r w:rsidRPr="00B05EEA">
        <w:rPr>
          <w:rStyle w:val="FootnoteReference"/>
          <w:rFonts w:ascii="Times New Roman" w:hAnsi="Times New Roman"/>
          <w:sz w:val="18"/>
          <w:szCs w:val="18"/>
        </w:rPr>
        <w:footnoteRef/>
      </w:r>
      <w:r w:rsidRPr="00E650A5">
        <w:rPr>
          <w:rFonts w:ascii="Times New Roman" w:hAnsi="Times New Roman"/>
          <w:sz w:val="18"/>
          <w:szCs w:val="18"/>
          <w:lang w:val="pt-PT"/>
        </w:rPr>
        <w:t xml:space="preserve"> Por exemplo, de acordo com um relatório recente, o grupo hoteleiro francês Accor</w:t>
      </w:r>
      <w:r>
        <w:rPr>
          <w:rFonts w:ascii="Times New Roman" w:hAnsi="Times New Roman"/>
          <w:sz w:val="18"/>
          <w:szCs w:val="18"/>
          <w:lang w:val="pt-PT"/>
        </w:rPr>
        <w:t>d</w:t>
      </w:r>
      <w:r w:rsidRPr="00E650A5">
        <w:rPr>
          <w:rFonts w:ascii="Times New Roman" w:hAnsi="Times New Roman"/>
          <w:sz w:val="18"/>
          <w:szCs w:val="18"/>
          <w:lang w:val="pt-PT"/>
        </w:rPr>
        <w:t xml:space="preserve"> planeia construir 30 novos hotéis no Quénia, África do Sul, Angola, Nig</w:t>
      </w:r>
      <w:r>
        <w:rPr>
          <w:rFonts w:ascii="Times New Roman" w:hAnsi="Times New Roman"/>
          <w:sz w:val="18"/>
          <w:szCs w:val="18"/>
          <w:lang w:val="pt-PT"/>
        </w:rPr>
        <w:t>éria, Gana, Argélia e Marrocos, para alargar a sua rede total de quartos para 22.000</w:t>
      </w:r>
      <w:r w:rsidRPr="00E650A5">
        <w:rPr>
          <w:rFonts w:ascii="Times New Roman" w:hAnsi="Times New Roman"/>
          <w:sz w:val="18"/>
          <w:szCs w:val="18"/>
          <w:lang w:val="pt-PT"/>
        </w:rPr>
        <w:t xml:space="preserve"> (EIU, Março 11, 2014) .</w:t>
      </w:r>
    </w:p>
  </w:footnote>
  <w:footnote w:id="16">
    <w:p w:rsidR="004E1715" w:rsidRPr="00777231" w:rsidRDefault="004E1715" w:rsidP="00946D49">
      <w:pPr>
        <w:pStyle w:val="FootnoteText"/>
        <w:rPr>
          <w:rFonts w:ascii="Times New Roman" w:hAnsi="Times New Roman"/>
          <w:sz w:val="18"/>
          <w:szCs w:val="18"/>
          <w:lang w:val="pt-PT"/>
        </w:rPr>
      </w:pPr>
      <w:r w:rsidRPr="00E107F1">
        <w:rPr>
          <w:rStyle w:val="FootnoteReference"/>
          <w:rFonts w:ascii="Times New Roman" w:hAnsi="Times New Roman"/>
          <w:sz w:val="18"/>
          <w:szCs w:val="18"/>
        </w:rPr>
        <w:footnoteRef/>
      </w:r>
      <w:r w:rsidRPr="00777231">
        <w:rPr>
          <w:rFonts w:ascii="Times New Roman" w:hAnsi="Times New Roman"/>
          <w:sz w:val="18"/>
          <w:szCs w:val="18"/>
          <w:lang w:val="pt-PT"/>
        </w:rPr>
        <w:t xml:space="preserve"> EIU December 2016</w:t>
      </w:r>
    </w:p>
  </w:footnote>
  <w:footnote w:id="17">
    <w:p w:rsidR="004E1715" w:rsidRPr="00787009" w:rsidRDefault="004E1715" w:rsidP="00946D49">
      <w:pPr>
        <w:pStyle w:val="NormalWeb"/>
        <w:spacing w:before="0" w:beforeAutospacing="0" w:after="0" w:afterAutospacing="0"/>
        <w:rPr>
          <w:sz w:val="18"/>
          <w:szCs w:val="18"/>
        </w:rPr>
      </w:pPr>
      <w:r w:rsidRPr="00E107F1">
        <w:rPr>
          <w:rStyle w:val="FootnoteReference"/>
          <w:sz w:val="18"/>
          <w:szCs w:val="18"/>
        </w:rPr>
        <w:footnoteRef/>
      </w:r>
      <w:r w:rsidRPr="006126D4">
        <w:rPr>
          <w:sz w:val="18"/>
          <w:szCs w:val="18"/>
          <w:lang w:val="pt-PT"/>
        </w:rPr>
        <w:t xml:space="preserve"> O novo tarifário de alfând</w:t>
      </w:r>
      <w:r>
        <w:rPr>
          <w:sz w:val="18"/>
          <w:szCs w:val="18"/>
          <w:lang w:val="pt-PT"/>
        </w:rPr>
        <w:t xml:space="preserve">ega deverá aumentar a receita em cerca de 23 mil milhões de kwanzas por ano, de acordo com a agência noticiosa de Angola, Angop. Citando números oficiais a agência disse que o número representava um aumento de 10 por cento nas taxas alfandegárias, em relação aos números da tarifa anterior, que entrou em vigor em 2007. </w:t>
      </w:r>
      <w:r w:rsidRPr="00787009">
        <w:rPr>
          <w:sz w:val="18"/>
          <w:szCs w:val="18"/>
          <w:lang w:val="pt-PT"/>
        </w:rPr>
        <w:t xml:space="preserve"> </w:t>
      </w:r>
      <w:hyperlink r:id="rId1" w:history="1">
        <w:r w:rsidRPr="00E107F1">
          <w:rPr>
            <w:rStyle w:val="Hyperlink"/>
            <w:sz w:val="18"/>
            <w:szCs w:val="18"/>
          </w:rPr>
          <w:t>http://www.macauhub.com.mo/en/2014/03/04/angola%E2%80%99s-new-customs-tariff-expected-to-increase-tax-revenues/</w:t>
        </w:r>
      </w:hyperlink>
    </w:p>
    <w:p w:rsidR="004E1715" w:rsidRDefault="004E1715" w:rsidP="00946D49">
      <w:pPr>
        <w:pStyle w:val="FootnoteText"/>
      </w:pPr>
    </w:p>
  </w:footnote>
  <w:footnote w:id="18">
    <w:p w:rsidR="004E1715" w:rsidRPr="00A42F54" w:rsidRDefault="004E1715" w:rsidP="00946D49">
      <w:pPr>
        <w:pStyle w:val="FootnoteText"/>
        <w:rPr>
          <w:rFonts w:ascii="Times New Roman" w:hAnsi="Times New Roman"/>
          <w:sz w:val="18"/>
          <w:szCs w:val="18"/>
          <w:lang w:val="pt-PT"/>
        </w:rPr>
      </w:pPr>
      <w:r w:rsidRPr="00665573">
        <w:rPr>
          <w:rStyle w:val="FootnoteReference"/>
          <w:rFonts w:ascii="Times New Roman" w:hAnsi="Times New Roman"/>
          <w:sz w:val="18"/>
          <w:szCs w:val="18"/>
        </w:rPr>
        <w:footnoteRef/>
      </w:r>
      <w:r w:rsidRPr="00A42F54">
        <w:rPr>
          <w:rFonts w:ascii="Times New Roman" w:hAnsi="Times New Roman"/>
          <w:sz w:val="18"/>
          <w:szCs w:val="18"/>
          <w:lang w:val="pt-PT"/>
        </w:rPr>
        <w:t xml:space="preserve"> Ver Barro (1990) e Tanzi </w:t>
      </w:r>
      <w:r>
        <w:rPr>
          <w:rFonts w:ascii="Times New Roman" w:hAnsi="Times New Roman"/>
          <w:sz w:val="18"/>
          <w:szCs w:val="18"/>
          <w:lang w:val="pt-PT"/>
        </w:rPr>
        <w:t>e</w:t>
      </w:r>
      <w:r w:rsidRPr="00A42F54">
        <w:rPr>
          <w:rFonts w:ascii="Times New Roman" w:hAnsi="Times New Roman"/>
          <w:sz w:val="18"/>
          <w:szCs w:val="18"/>
          <w:lang w:val="pt-PT"/>
        </w:rPr>
        <w:t xml:space="preserve"> Zee (1997).</w:t>
      </w:r>
    </w:p>
  </w:footnote>
  <w:footnote w:id="19">
    <w:p w:rsidR="004E1715" w:rsidRPr="00D75AAB" w:rsidRDefault="004E1715" w:rsidP="00946D49">
      <w:pPr>
        <w:pStyle w:val="FootnoteText"/>
        <w:rPr>
          <w:rFonts w:ascii="Times New Roman" w:hAnsi="Times New Roman"/>
          <w:sz w:val="18"/>
          <w:szCs w:val="18"/>
          <w:lang w:val="pt-PT"/>
        </w:rPr>
      </w:pPr>
      <w:r w:rsidRPr="00665573">
        <w:rPr>
          <w:rStyle w:val="FootnoteReference"/>
          <w:rFonts w:ascii="Times New Roman" w:hAnsi="Times New Roman"/>
          <w:sz w:val="18"/>
          <w:szCs w:val="18"/>
        </w:rPr>
        <w:footnoteRef/>
      </w:r>
      <w:r w:rsidRPr="00D75AAB">
        <w:rPr>
          <w:rFonts w:ascii="Times New Roman" w:hAnsi="Times New Roman"/>
          <w:sz w:val="18"/>
          <w:szCs w:val="18"/>
          <w:lang w:val="pt-PT"/>
        </w:rPr>
        <w:t xml:space="preserve"> Ver AfDB (2012) e FMI (2012).</w:t>
      </w:r>
    </w:p>
  </w:footnote>
  <w:footnote w:id="20">
    <w:p w:rsidR="004E1715" w:rsidRPr="001B2C72" w:rsidRDefault="004E1715" w:rsidP="00946D49">
      <w:pPr>
        <w:pStyle w:val="FootnoteText"/>
        <w:rPr>
          <w:rFonts w:ascii="Times New Roman" w:hAnsi="Times New Roman"/>
          <w:lang w:val="pt-PT"/>
        </w:rPr>
      </w:pPr>
      <w:r w:rsidRPr="00665573">
        <w:rPr>
          <w:rStyle w:val="FootnoteReference"/>
          <w:rFonts w:ascii="Times New Roman" w:hAnsi="Times New Roman"/>
          <w:sz w:val="18"/>
          <w:szCs w:val="18"/>
        </w:rPr>
        <w:footnoteRef/>
      </w:r>
      <w:r w:rsidRPr="001B2C72">
        <w:rPr>
          <w:rFonts w:ascii="Times New Roman" w:hAnsi="Times New Roman"/>
          <w:sz w:val="18"/>
          <w:szCs w:val="18"/>
          <w:lang w:val="pt-PT"/>
        </w:rPr>
        <w:t xml:space="preserve"> Ver Richmond, Yackovlev e Yang (2013).</w:t>
      </w:r>
      <w:r w:rsidRPr="001B2C72">
        <w:rPr>
          <w:rFonts w:ascii="Times New Roman" w:hAnsi="Times New Roman"/>
          <w:lang w:val="pt-PT"/>
        </w:rPr>
        <w:t xml:space="preserve"> </w:t>
      </w:r>
    </w:p>
  </w:footnote>
  <w:footnote w:id="21">
    <w:p w:rsidR="004E1715" w:rsidRPr="001B2C72" w:rsidRDefault="004E1715" w:rsidP="00946D49">
      <w:pPr>
        <w:pStyle w:val="FootnoteText"/>
        <w:rPr>
          <w:rFonts w:ascii="Times New Roman" w:hAnsi="Times New Roman"/>
          <w:sz w:val="18"/>
          <w:szCs w:val="18"/>
          <w:lang w:val="es-ES_tradnl"/>
        </w:rPr>
      </w:pPr>
      <w:r w:rsidRPr="00665573">
        <w:rPr>
          <w:rStyle w:val="FootnoteReference"/>
          <w:rFonts w:ascii="Times New Roman" w:hAnsi="Times New Roman"/>
          <w:sz w:val="18"/>
          <w:szCs w:val="18"/>
        </w:rPr>
        <w:footnoteRef/>
      </w:r>
      <w:r w:rsidRPr="00AF5DBA">
        <w:rPr>
          <w:rFonts w:ascii="Times New Roman" w:hAnsi="Times New Roman"/>
          <w:sz w:val="18"/>
          <w:szCs w:val="18"/>
          <w:lang w:val="pt-PT"/>
        </w:rPr>
        <w:t xml:space="preserve"> Ainda que a natureza exacta da relação entre infra-estruturas e crescimento continue a ser tema de debate, há</w:t>
      </w:r>
      <w:r>
        <w:rPr>
          <w:rFonts w:ascii="Times New Roman" w:hAnsi="Times New Roman"/>
          <w:sz w:val="18"/>
          <w:szCs w:val="18"/>
          <w:lang w:val="pt-PT"/>
        </w:rPr>
        <w:t xml:space="preserve"> uma forte</w:t>
      </w:r>
      <w:r w:rsidRPr="00AF5DBA">
        <w:rPr>
          <w:rFonts w:ascii="Times New Roman" w:hAnsi="Times New Roman"/>
          <w:sz w:val="18"/>
          <w:szCs w:val="18"/>
          <w:lang w:val="pt-PT"/>
        </w:rPr>
        <w:t xml:space="preserve"> indicação de vários</w:t>
      </w:r>
      <w:r>
        <w:rPr>
          <w:rFonts w:ascii="Times New Roman" w:hAnsi="Times New Roman"/>
          <w:sz w:val="18"/>
          <w:szCs w:val="18"/>
          <w:lang w:val="pt-PT"/>
        </w:rPr>
        <w:t xml:space="preserve"> países que o contributo das infra-estruturas para o PIB geralmente excede o seu custo. </w:t>
      </w:r>
      <w:r w:rsidRPr="001B2C72">
        <w:rPr>
          <w:rFonts w:ascii="Times New Roman" w:hAnsi="Times New Roman"/>
          <w:sz w:val="18"/>
          <w:szCs w:val="18"/>
          <w:lang w:val="es-ES_tradnl"/>
        </w:rPr>
        <w:t>Ver  Esfahani e Ramírez (2003).</w:t>
      </w:r>
    </w:p>
  </w:footnote>
  <w:footnote w:id="22">
    <w:p w:rsidR="004E1715" w:rsidRPr="001B2C72" w:rsidRDefault="004E1715" w:rsidP="00946D49">
      <w:pPr>
        <w:pStyle w:val="FootnoteText"/>
        <w:rPr>
          <w:rFonts w:ascii="Times New Roman" w:hAnsi="Times New Roman"/>
          <w:sz w:val="18"/>
          <w:szCs w:val="18"/>
          <w:lang w:val="fr-FR"/>
        </w:rPr>
      </w:pPr>
      <w:r w:rsidRPr="00665573">
        <w:rPr>
          <w:rStyle w:val="FootnoteReference"/>
          <w:rFonts w:ascii="Times New Roman" w:hAnsi="Times New Roman"/>
          <w:sz w:val="18"/>
          <w:szCs w:val="18"/>
        </w:rPr>
        <w:footnoteRef/>
      </w:r>
      <w:r w:rsidRPr="001B2C72">
        <w:rPr>
          <w:rFonts w:ascii="Times New Roman" w:hAnsi="Times New Roman"/>
          <w:sz w:val="18"/>
          <w:szCs w:val="18"/>
          <w:lang w:val="es-ES_tradnl"/>
        </w:rPr>
        <w:t xml:space="preserve"> Ver, e.g., Dabla-Norris et al. </w:t>
      </w:r>
      <w:r w:rsidRPr="001B2C72">
        <w:rPr>
          <w:rFonts w:ascii="Times New Roman" w:hAnsi="Times New Roman"/>
          <w:sz w:val="18"/>
          <w:szCs w:val="18"/>
          <w:lang w:val="fr-FR"/>
        </w:rPr>
        <w:t>(2010) e Ody et al. (2006).</w:t>
      </w:r>
    </w:p>
  </w:footnote>
  <w:footnote w:id="23">
    <w:p w:rsidR="004E1715" w:rsidRPr="001B2C72" w:rsidRDefault="004E1715" w:rsidP="00946D49">
      <w:pPr>
        <w:pStyle w:val="FootnoteText"/>
        <w:rPr>
          <w:rFonts w:ascii="Times New Roman" w:hAnsi="Times New Roman"/>
          <w:lang w:val="fr-FR"/>
        </w:rPr>
      </w:pPr>
      <w:r w:rsidRPr="00665573">
        <w:rPr>
          <w:rStyle w:val="FootnoteReference"/>
          <w:rFonts w:ascii="Times New Roman" w:hAnsi="Times New Roman"/>
          <w:sz w:val="18"/>
          <w:szCs w:val="18"/>
        </w:rPr>
        <w:footnoteRef/>
      </w:r>
      <w:r w:rsidRPr="001B2C72">
        <w:rPr>
          <w:rFonts w:ascii="Times New Roman" w:hAnsi="Times New Roman"/>
          <w:sz w:val="18"/>
          <w:szCs w:val="18"/>
          <w:lang w:val="fr-FR"/>
        </w:rPr>
        <w:t xml:space="preserve"> Ver, e.g., Berg et al. (2012), Arezki et al. (2012) e Collier e Venables (2008).</w:t>
      </w:r>
    </w:p>
  </w:footnote>
  <w:footnote w:id="24">
    <w:p w:rsidR="004E1715" w:rsidRPr="005E469D" w:rsidRDefault="004E1715" w:rsidP="00946D49">
      <w:pPr>
        <w:pStyle w:val="FootnoteText"/>
        <w:rPr>
          <w:sz w:val="18"/>
          <w:szCs w:val="18"/>
          <w:lang w:val="pt-PT"/>
        </w:rPr>
      </w:pPr>
      <w:r w:rsidRPr="00665573">
        <w:rPr>
          <w:rStyle w:val="FootnoteReference"/>
          <w:rFonts w:ascii="Times New Roman" w:hAnsi="Times New Roman"/>
          <w:sz w:val="18"/>
          <w:szCs w:val="18"/>
        </w:rPr>
        <w:footnoteRef/>
      </w:r>
      <w:r w:rsidRPr="0003115C">
        <w:rPr>
          <w:rFonts w:ascii="Times New Roman" w:hAnsi="Times New Roman"/>
          <w:sz w:val="18"/>
          <w:szCs w:val="18"/>
          <w:lang w:val="pt-PT"/>
        </w:rPr>
        <w:t xml:space="preserve"> Jensen </w:t>
      </w:r>
      <w:r>
        <w:rPr>
          <w:rFonts w:ascii="Times New Roman" w:hAnsi="Times New Roman"/>
          <w:sz w:val="18"/>
          <w:szCs w:val="18"/>
          <w:lang w:val="pt-PT"/>
        </w:rPr>
        <w:t>e</w:t>
      </w:r>
      <w:r w:rsidRPr="0003115C">
        <w:rPr>
          <w:rFonts w:ascii="Times New Roman" w:hAnsi="Times New Roman"/>
          <w:sz w:val="18"/>
          <w:szCs w:val="18"/>
          <w:lang w:val="pt-PT"/>
        </w:rPr>
        <w:t xml:space="preserve"> </w:t>
      </w:r>
      <w:r w:rsidRPr="005E469D">
        <w:rPr>
          <w:rFonts w:ascii="Times New Roman" w:hAnsi="Times New Roman"/>
          <w:sz w:val="18"/>
          <w:szCs w:val="18"/>
          <w:lang w:val="pt-PT"/>
        </w:rPr>
        <w:t>Paolo (2011).</w:t>
      </w:r>
    </w:p>
  </w:footnote>
  <w:footnote w:id="25">
    <w:p w:rsidR="004E1715" w:rsidRPr="00FB3A22" w:rsidRDefault="004E1715" w:rsidP="00946D49">
      <w:pPr>
        <w:pStyle w:val="FootnoteText"/>
        <w:rPr>
          <w:rFonts w:ascii="Times New Roman" w:hAnsi="Times New Roman"/>
          <w:i/>
        </w:rPr>
      </w:pPr>
      <w:r w:rsidRPr="00FB3A22">
        <w:rPr>
          <w:rStyle w:val="FootnoteReference"/>
          <w:rFonts w:ascii="Times New Roman" w:hAnsi="Times New Roman"/>
        </w:rPr>
        <w:footnoteRef/>
      </w:r>
      <w:r w:rsidRPr="00FB3A22">
        <w:rPr>
          <w:rFonts w:ascii="Times New Roman" w:hAnsi="Times New Roman"/>
        </w:rPr>
        <w:t xml:space="preserve"> </w:t>
      </w:r>
      <w:r w:rsidRPr="00FB3A22">
        <w:rPr>
          <w:rFonts w:ascii="Times New Roman" w:hAnsi="Times New Roman"/>
          <w:i/>
        </w:rPr>
        <w:t>Ibid.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86F89"/>
    <w:multiLevelType w:val="hybridMultilevel"/>
    <w:tmpl w:val="A5C62A96"/>
    <w:lvl w:ilvl="0" w:tplc="71D469A8">
      <w:start w:val="4"/>
      <w:numFmt w:val="decimal"/>
      <w:lvlText w:val="%1."/>
      <w:lvlJc w:val="left"/>
      <w:pPr>
        <w:ind w:left="0" w:hanging="360"/>
      </w:pPr>
      <w:rPr>
        <w:rFonts w:ascii="Times New Roman" w:hAnsi="Times New Roman" w:cs="Times New Roman" w:hint="default"/>
        <w:b/>
        <w:color w:val="auto"/>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nsid w:val="08486CC5"/>
    <w:multiLevelType w:val="hybridMultilevel"/>
    <w:tmpl w:val="A348831A"/>
    <w:lvl w:ilvl="0" w:tplc="15802626">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nsid w:val="0AA86E43"/>
    <w:multiLevelType w:val="hybridMultilevel"/>
    <w:tmpl w:val="FEA84136"/>
    <w:lvl w:ilvl="0" w:tplc="24A4EDD4">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nsid w:val="0BB671C3"/>
    <w:multiLevelType w:val="hybridMultilevel"/>
    <w:tmpl w:val="1D2ECED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46178F"/>
    <w:multiLevelType w:val="hybridMultilevel"/>
    <w:tmpl w:val="B8C270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105CA9"/>
    <w:multiLevelType w:val="hybridMultilevel"/>
    <w:tmpl w:val="0ABC2FE2"/>
    <w:lvl w:ilvl="0" w:tplc="52F28648">
      <w:start w:val="1"/>
      <w:numFmt w:val="decimal"/>
      <w:lvlText w:val="%1."/>
      <w:lvlJc w:val="left"/>
      <w:pPr>
        <w:tabs>
          <w:tab w:val="num" w:pos="720"/>
        </w:tabs>
        <w:ind w:left="0" w:firstLine="0"/>
      </w:pPr>
      <w:rPr>
        <w:rFonts w:hint="default"/>
        <w:b/>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4F52F5B"/>
    <w:multiLevelType w:val="hybridMultilevel"/>
    <w:tmpl w:val="38B60550"/>
    <w:lvl w:ilvl="0" w:tplc="C5EED4B8">
      <w:start w:val="1"/>
      <w:numFmt w:val="decimal"/>
      <w:lvlText w:val="%1)"/>
      <w:lvlJc w:val="left"/>
      <w:pPr>
        <w:ind w:left="720" w:hanging="360"/>
      </w:pPr>
      <w:rPr>
        <w:rFonts w:ascii="PalatinoLinotype-Italic" w:hAnsi="PalatinoLinotype-Italic" w:cs="PalatinoLinotype-Italic"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754288"/>
    <w:multiLevelType w:val="hybridMultilevel"/>
    <w:tmpl w:val="3D9AC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B10649"/>
    <w:multiLevelType w:val="hybridMultilevel"/>
    <w:tmpl w:val="F39A0D9C"/>
    <w:lvl w:ilvl="0" w:tplc="7408B586">
      <w:start w:val="1"/>
      <w:numFmt w:val="decimal"/>
      <w:lvlText w:val="%1."/>
      <w:lvlJc w:val="left"/>
      <w:pPr>
        <w:ind w:left="0" w:firstLine="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EE678D"/>
    <w:multiLevelType w:val="hybridMultilevel"/>
    <w:tmpl w:val="1FF0B12A"/>
    <w:lvl w:ilvl="0" w:tplc="7FAC5708">
      <w:start w:val="1"/>
      <w:numFmt w:val="decimal"/>
      <w:lvlText w:val="%1."/>
      <w:lvlJc w:val="left"/>
      <w:pPr>
        <w:ind w:left="0" w:hanging="360"/>
      </w:pPr>
      <w:rPr>
        <w:rFonts w:hint="default"/>
        <w:b/>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nsid w:val="2931662E"/>
    <w:multiLevelType w:val="hybridMultilevel"/>
    <w:tmpl w:val="32E03734"/>
    <w:lvl w:ilvl="0" w:tplc="2A5A1FE4">
      <w:start w:val="1"/>
      <w:numFmt w:val="decimal"/>
      <w:lvlText w:val="%1."/>
      <w:lvlJc w:val="left"/>
      <w:pPr>
        <w:ind w:left="720" w:hanging="360"/>
      </w:pPr>
      <w:rPr>
        <w:rFonts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5012D5"/>
    <w:multiLevelType w:val="hybridMultilevel"/>
    <w:tmpl w:val="1D2ECED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5515A0"/>
    <w:multiLevelType w:val="multilevel"/>
    <w:tmpl w:val="9B36F1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1285CCE"/>
    <w:multiLevelType w:val="hybridMultilevel"/>
    <w:tmpl w:val="C366D194"/>
    <w:lvl w:ilvl="0" w:tplc="AE44F22A">
      <w:start w:val="1"/>
      <w:numFmt w:val="decimal"/>
      <w:lvlText w:val="%1)"/>
      <w:lvlJc w:val="left"/>
      <w:pPr>
        <w:ind w:left="450" w:hanging="360"/>
      </w:pPr>
      <w:rPr>
        <w:rFonts w:asciiTheme="minorHAnsi" w:hAnsiTheme="minorHAnsi" w:cs="PalatinoLinotype-Italic" w:hint="default"/>
        <w:b w:val="0"/>
        <w:i w:val="0"/>
        <w:sz w:val="20"/>
        <w:szCs w:val="2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nsid w:val="467D754E"/>
    <w:multiLevelType w:val="hybridMultilevel"/>
    <w:tmpl w:val="C0F4D1A2"/>
    <w:lvl w:ilvl="0" w:tplc="D376FCFC">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1F278A"/>
    <w:multiLevelType w:val="hybridMultilevel"/>
    <w:tmpl w:val="679896BA"/>
    <w:lvl w:ilvl="0" w:tplc="EFFE9F88">
      <w:start w:val="1"/>
      <w:numFmt w:val="decimal"/>
      <w:lvlText w:val="%1."/>
      <w:lvlJc w:val="left"/>
      <w:pPr>
        <w:ind w:left="294" w:hanging="360"/>
      </w:pPr>
      <w:rPr>
        <w:rFonts w:hint="default"/>
        <w:b w:val="0"/>
      </w:rPr>
    </w:lvl>
    <w:lvl w:ilvl="1" w:tplc="08160019" w:tentative="1">
      <w:start w:val="1"/>
      <w:numFmt w:val="lowerLetter"/>
      <w:lvlText w:val="%2."/>
      <w:lvlJc w:val="left"/>
      <w:pPr>
        <w:ind w:left="1014" w:hanging="360"/>
      </w:pPr>
    </w:lvl>
    <w:lvl w:ilvl="2" w:tplc="0816001B" w:tentative="1">
      <w:start w:val="1"/>
      <w:numFmt w:val="lowerRoman"/>
      <w:lvlText w:val="%3."/>
      <w:lvlJc w:val="right"/>
      <w:pPr>
        <w:ind w:left="1734" w:hanging="180"/>
      </w:pPr>
    </w:lvl>
    <w:lvl w:ilvl="3" w:tplc="0816000F" w:tentative="1">
      <w:start w:val="1"/>
      <w:numFmt w:val="decimal"/>
      <w:lvlText w:val="%4."/>
      <w:lvlJc w:val="left"/>
      <w:pPr>
        <w:ind w:left="2454" w:hanging="360"/>
      </w:pPr>
    </w:lvl>
    <w:lvl w:ilvl="4" w:tplc="08160019" w:tentative="1">
      <w:start w:val="1"/>
      <w:numFmt w:val="lowerLetter"/>
      <w:lvlText w:val="%5."/>
      <w:lvlJc w:val="left"/>
      <w:pPr>
        <w:ind w:left="3174" w:hanging="360"/>
      </w:pPr>
    </w:lvl>
    <w:lvl w:ilvl="5" w:tplc="0816001B" w:tentative="1">
      <w:start w:val="1"/>
      <w:numFmt w:val="lowerRoman"/>
      <w:lvlText w:val="%6."/>
      <w:lvlJc w:val="right"/>
      <w:pPr>
        <w:ind w:left="3894" w:hanging="180"/>
      </w:pPr>
    </w:lvl>
    <w:lvl w:ilvl="6" w:tplc="0816000F" w:tentative="1">
      <w:start w:val="1"/>
      <w:numFmt w:val="decimal"/>
      <w:lvlText w:val="%7."/>
      <w:lvlJc w:val="left"/>
      <w:pPr>
        <w:ind w:left="4614" w:hanging="360"/>
      </w:pPr>
    </w:lvl>
    <w:lvl w:ilvl="7" w:tplc="08160019" w:tentative="1">
      <w:start w:val="1"/>
      <w:numFmt w:val="lowerLetter"/>
      <w:lvlText w:val="%8."/>
      <w:lvlJc w:val="left"/>
      <w:pPr>
        <w:ind w:left="5334" w:hanging="360"/>
      </w:pPr>
    </w:lvl>
    <w:lvl w:ilvl="8" w:tplc="0816001B" w:tentative="1">
      <w:start w:val="1"/>
      <w:numFmt w:val="lowerRoman"/>
      <w:lvlText w:val="%9."/>
      <w:lvlJc w:val="right"/>
      <w:pPr>
        <w:ind w:left="6054" w:hanging="180"/>
      </w:pPr>
    </w:lvl>
  </w:abstractNum>
  <w:abstractNum w:abstractNumId="16">
    <w:nsid w:val="50B918AD"/>
    <w:multiLevelType w:val="hybridMultilevel"/>
    <w:tmpl w:val="D7DEEEA0"/>
    <w:lvl w:ilvl="0" w:tplc="189A0B10">
      <w:start w:val="1"/>
      <w:numFmt w:val="decimal"/>
      <w:lvlText w:val="%1)"/>
      <w:lvlJc w:val="left"/>
      <w:pPr>
        <w:ind w:left="450" w:hanging="360"/>
      </w:pPr>
      <w:rPr>
        <w:rFonts w:ascii="PalatinoLinotype-Italic" w:hAnsi="PalatinoLinotype-Italic" w:cs="PalatinoLinotype-Italic" w:hint="default"/>
        <w:i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nsid w:val="54F45981"/>
    <w:multiLevelType w:val="hybridMultilevel"/>
    <w:tmpl w:val="03320716"/>
    <w:lvl w:ilvl="0" w:tplc="3C9A5A8C">
      <w:start w:val="1"/>
      <w:numFmt w:val="decimal"/>
      <w:lvlText w:val="%1."/>
      <w:lvlJc w:val="left"/>
      <w:pPr>
        <w:ind w:left="-66" w:hanging="360"/>
      </w:pPr>
      <w:rPr>
        <w:rFonts w:hint="default"/>
        <w:b/>
      </w:rPr>
    </w:lvl>
    <w:lvl w:ilvl="1" w:tplc="08160019" w:tentative="1">
      <w:start w:val="1"/>
      <w:numFmt w:val="lowerLetter"/>
      <w:lvlText w:val="%2."/>
      <w:lvlJc w:val="left"/>
      <w:pPr>
        <w:ind w:left="654" w:hanging="360"/>
      </w:pPr>
    </w:lvl>
    <w:lvl w:ilvl="2" w:tplc="0816001B" w:tentative="1">
      <w:start w:val="1"/>
      <w:numFmt w:val="lowerRoman"/>
      <w:lvlText w:val="%3."/>
      <w:lvlJc w:val="right"/>
      <w:pPr>
        <w:ind w:left="1374" w:hanging="180"/>
      </w:pPr>
    </w:lvl>
    <w:lvl w:ilvl="3" w:tplc="0816000F" w:tentative="1">
      <w:start w:val="1"/>
      <w:numFmt w:val="decimal"/>
      <w:lvlText w:val="%4."/>
      <w:lvlJc w:val="left"/>
      <w:pPr>
        <w:ind w:left="2094" w:hanging="360"/>
      </w:pPr>
    </w:lvl>
    <w:lvl w:ilvl="4" w:tplc="08160019" w:tentative="1">
      <w:start w:val="1"/>
      <w:numFmt w:val="lowerLetter"/>
      <w:lvlText w:val="%5."/>
      <w:lvlJc w:val="left"/>
      <w:pPr>
        <w:ind w:left="2814" w:hanging="360"/>
      </w:pPr>
    </w:lvl>
    <w:lvl w:ilvl="5" w:tplc="0816001B" w:tentative="1">
      <w:start w:val="1"/>
      <w:numFmt w:val="lowerRoman"/>
      <w:lvlText w:val="%6."/>
      <w:lvlJc w:val="right"/>
      <w:pPr>
        <w:ind w:left="3534" w:hanging="180"/>
      </w:pPr>
    </w:lvl>
    <w:lvl w:ilvl="6" w:tplc="0816000F" w:tentative="1">
      <w:start w:val="1"/>
      <w:numFmt w:val="decimal"/>
      <w:lvlText w:val="%7."/>
      <w:lvlJc w:val="left"/>
      <w:pPr>
        <w:ind w:left="4254" w:hanging="360"/>
      </w:pPr>
    </w:lvl>
    <w:lvl w:ilvl="7" w:tplc="08160019" w:tentative="1">
      <w:start w:val="1"/>
      <w:numFmt w:val="lowerLetter"/>
      <w:lvlText w:val="%8."/>
      <w:lvlJc w:val="left"/>
      <w:pPr>
        <w:ind w:left="4974" w:hanging="360"/>
      </w:pPr>
    </w:lvl>
    <w:lvl w:ilvl="8" w:tplc="0816001B" w:tentative="1">
      <w:start w:val="1"/>
      <w:numFmt w:val="lowerRoman"/>
      <w:lvlText w:val="%9."/>
      <w:lvlJc w:val="right"/>
      <w:pPr>
        <w:ind w:left="5694" w:hanging="180"/>
      </w:pPr>
    </w:lvl>
  </w:abstractNum>
  <w:abstractNum w:abstractNumId="18">
    <w:nsid w:val="57077D7A"/>
    <w:multiLevelType w:val="hybridMultilevel"/>
    <w:tmpl w:val="ACFCD0E8"/>
    <w:lvl w:ilvl="0" w:tplc="D49E3B3E">
      <w:start w:val="1"/>
      <w:numFmt w:val="decimal"/>
      <w:lvlText w:val="%1."/>
      <w:lvlJc w:val="left"/>
      <w:pPr>
        <w:ind w:left="1080" w:hanging="360"/>
      </w:p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9">
    <w:nsid w:val="575641A4"/>
    <w:multiLevelType w:val="hybridMultilevel"/>
    <w:tmpl w:val="BA9A4F36"/>
    <w:lvl w:ilvl="0" w:tplc="490CB4A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9D55D7B"/>
    <w:multiLevelType w:val="hybridMultilevel"/>
    <w:tmpl w:val="1D2ECED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46304E"/>
    <w:multiLevelType w:val="hybridMultilevel"/>
    <w:tmpl w:val="2350021A"/>
    <w:lvl w:ilvl="0" w:tplc="4FA83B58">
      <w:start w:val="1"/>
      <w:numFmt w:val="decimal"/>
      <w:lvlText w:val="%1)"/>
      <w:lvlJc w:val="left"/>
      <w:pPr>
        <w:ind w:left="720" w:hanging="360"/>
      </w:pPr>
      <w:rPr>
        <w:rFonts w:asciiTheme="minorHAnsi" w:hAnsiTheme="minorHAnsi" w:cstheme="minorHAnsi"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19257F"/>
    <w:multiLevelType w:val="hybridMultilevel"/>
    <w:tmpl w:val="38B60550"/>
    <w:lvl w:ilvl="0" w:tplc="C5EED4B8">
      <w:start w:val="1"/>
      <w:numFmt w:val="decimal"/>
      <w:lvlText w:val="%1)"/>
      <w:lvlJc w:val="left"/>
      <w:pPr>
        <w:ind w:left="720" w:hanging="360"/>
      </w:pPr>
      <w:rPr>
        <w:rFonts w:ascii="PalatinoLinotype-Italic" w:hAnsi="PalatinoLinotype-Italic" w:cs="PalatinoLinotype-Italic"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8011B75"/>
    <w:multiLevelType w:val="hybridMultilevel"/>
    <w:tmpl w:val="20C2082C"/>
    <w:lvl w:ilvl="0" w:tplc="74C407C0">
      <w:start w:val="1"/>
      <w:numFmt w:val="upperRoman"/>
      <w:pStyle w:val="Heading1"/>
      <w:lvlText w:val="%1."/>
      <w:lvlJc w:val="right"/>
      <w:pPr>
        <w:ind w:left="360" w:hanging="360"/>
      </w:pPr>
      <w:rPr>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9795C5F"/>
    <w:multiLevelType w:val="hybridMultilevel"/>
    <w:tmpl w:val="196E1074"/>
    <w:lvl w:ilvl="0" w:tplc="AA48058E">
      <w:start w:val="1"/>
      <w:numFmt w:val="decimal"/>
      <w:pStyle w:val="ParagraphNumbering"/>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7"/>
  </w:num>
  <w:num w:numId="3">
    <w:abstractNumId w:val="5"/>
  </w:num>
  <w:num w:numId="4">
    <w:abstractNumId w:val="9"/>
  </w:num>
  <w:num w:numId="5">
    <w:abstractNumId w:val="0"/>
  </w:num>
  <w:num w:numId="6">
    <w:abstractNumId w:val="4"/>
  </w:num>
  <w:num w:numId="7">
    <w:abstractNumId w:val="12"/>
  </w:num>
  <w:num w:numId="8">
    <w:abstractNumId w:val="11"/>
  </w:num>
  <w:num w:numId="9">
    <w:abstractNumId w:val="21"/>
  </w:num>
  <w:num w:numId="10">
    <w:abstractNumId w:val="13"/>
  </w:num>
  <w:num w:numId="11">
    <w:abstractNumId w:val="22"/>
  </w:num>
  <w:num w:numId="12">
    <w:abstractNumId w:val="6"/>
  </w:num>
  <w:num w:numId="13">
    <w:abstractNumId w:val="16"/>
  </w:num>
  <w:num w:numId="14">
    <w:abstractNumId w:val="3"/>
  </w:num>
  <w:num w:numId="15">
    <w:abstractNumId w:val="14"/>
  </w:num>
  <w:num w:numId="16">
    <w:abstractNumId w:val="10"/>
  </w:num>
  <w:num w:numId="17">
    <w:abstractNumId w:val="20"/>
  </w:num>
  <w:num w:numId="18">
    <w:abstractNumId w:val="8"/>
  </w:num>
  <w:num w:numId="19">
    <w:abstractNumId w:val="23"/>
  </w:num>
  <w:num w:numId="20">
    <w:abstractNumId w:val="18"/>
  </w:num>
  <w:num w:numId="21">
    <w:abstractNumId w:val="17"/>
  </w:num>
  <w:num w:numId="22">
    <w:abstractNumId w:val="15"/>
  </w:num>
  <w:num w:numId="23">
    <w:abstractNumId w:val="1"/>
  </w:num>
  <w:num w:numId="24">
    <w:abstractNumId w:val="2"/>
  </w:num>
  <w:num w:numId="25">
    <w:abstractNumId w:val="23"/>
    <w:lvlOverride w:ilvl="0">
      <w:startOverride w:val="3"/>
    </w:lvlOverride>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3BF"/>
    <w:rsid w:val="0000121C"/>
    <w:rsid w:val="000024CB"/>
    <w:rsid w:val="000039DB"/>
    <w:rsid w:val="000055C7"/>
    <w:rsid w:val="00005840"/>
    <w:rsid w:val="00005D10"/>
    <w:rsid w:val="00007100"/>
    <w:rsid w:val="000104B0"/>
    <w:rsid w:val="000109AD"/>
    <w:rsid w:val="00011F49"/>
    <w:rsid w:val="000135F3"/>
    <w:rsid w:val="0001373B"/>
    <w:rsid w:val="00013EBD"/>
    <w:rsid w:val="00014AAA"/>
    <w:rsid w:val="00016345"/>
    <w:rsid w:val="000202C7"/>
    <w:rsid w:val="0002232F"/>
    <w:rsid w:val="00022EEC"/>
    <w:rsid w:val="00022FF0"/>
    <w:rsid w:val="00023C45"/>
    <w:rsid w:val="000249FC"/>
    <w:rsid w:val="00024D33"/>
    <w:rsid w:val="00024DB4"/>
    <w:rsid w:val="00025753"/>
    <w:rsid w:val="00025A9B"/>
    <w:rsid w:val="000261AA"/>
    <w:rsid w:val="00026CBB"/>
    <w:rsid w:val="00027036"/>
    <w:rsid w:val="00031507"/>
    <w:rsid w:val="00033FF6"/>
    <w:rsid w:val="00035425"/>
    <w:rsid w:val="00036279"/>
    <w:rsid w:val="00036830"/>
    <w:rsid w:val="00037799"/>
    <w:rsid w:val="00037947"/>
    <w:rsid w:val="0004077F"/>
    <w:rsid w:val="000407CB"/>
    <w:rsid w:val="000448E7"/>
    <w:rsid w:val="00046616"/>
    <w:rsid w:val="00046BCF"/>
    <w:rsid w:val="00050C19"/>
    <w:rsid w:val="00051651"/>
    <w:rsid w:val="000517DE"/>
    <w:rsid w:val="00053095"/>
    <w:rsid w:val="00053DF8"/>
    <w:rsid w:val="0005446A"/>
    <w:rsid w:val="0005474A"/>
    <w:rsid w:val="00055110"/>
    <w:rsid w:val="00055E27"/>
    <w:rsid w:val="000564B2"/>
    <w:rsid w:val="00060B44"/>
    <w:rsid w:val="0006143E"/>
    <w:rsid w:val="0006285F"/>
    <w:rsid w:val="0006325A"/>
    <w:rsid w:val="00065576"/>
    <w:rsid w:val="0006621E"/>
    <w:rsid w:val="00066C2C"/>
    <w:rsid w:val="00073FD8"/>
    <w:rsid w:val="0007459D"/>
    <w:rsid w:val="00074E4A"/>
    <w:rsid w:val="0007502F"/>
    <w:rsid w:val="00076224"/>
    <w:rsid w:val="0007717C"/>
    <w:rsid w:val="000775FC"/>
    <w:rsid w:val="00077B34"/>
    <w:rsid w:val="000800AF"/>
    <w:rsid w:val="00080114"/>
    <w:rsid w:val="00082984"/>
    <w:rsid w:val="00084D09"/>
    <w:rsid w:val="000854B7"/>
    <w:rsid w:val="00085EC5"/>
    <w:rsid w:val="000868FE"/>
    <w:rsid w:val="00086BE9"/>
    <w:rsid w:val="00087CDE"/>
    <w:rsid w:val="000908D8"/>
    <w:rsid w:val="00090997"/>
    <w:rsid w:val="00090B2A"/>
    <w:rsid w:val="00091569"/>
    <w:rsid w:val="00092E10"/>
    <w:rsid w:val="00093A73"/>
    <w:rsid w:val="00094628"/>
    <w:rsid w:val="000953E7"/>
    <w:rsid w:val="0009684B"/>
    <w:rsid w:val="000A02BE"/>
    <w:rsid w:val="000A100F"/>
    <w:rsid w:val="000A1E83"/>
    <w:rsid w:val="000A2960"/>
    <w:rsid w:val="000A29E0"/>
    <w:rsid w:val="000A2B95"/>
    <w:rsid w:val="000A3BFE"/>
    <w:rsid w:val="000A3C3A"/>
    <w:rsid w:val="000A3CC0"/>
    <w:rsid w:val="000A3FED"/>
    <w:rsid w:val="000A429D"/>
    <w:rsid w:val="000A43BF"/>
    <w:rsid w:val="000A5929"/>
    <w:rsid w:val="000A5FD0"/>
    <w:rsid w:val="000A6343"/>
    <w:rsid w:val="000A6FA7"/>
    <w:rsid w:val="000A7577"/>
    <w:rsid w:val="000B00C4"/>
    <w:rsid w:val="000B015F"/>
    <w:rsid w:val="000B05D0"/>
    <w:rsid w:val="000B1608"/>
    <w:rsid w:val="000B23DE"/>
    <w:rsid w:val="000B4A5B"/>
    <w:rsid w:val="000C13A4"/>
    <w:rsid w:val="000C31A6"/>
    <w:rsid w:val="000C4772"/>
    <w:rsid w:val="000C4895"/>
    <w:rsid w:val="000C4CDB"/>
    <w:rsid w:val="000C4E02"/>
    <w:rsid w:val="000C502C"/>
    <w:rsid w:val="000C664E"/>
    <w:rsid w:val="000D11C2"/>
    <w:rsid w:val="000D154D"/>
    <w:rsid w:val="000D1F15"/>
    <w:rsid w:val="000D353C"/>
    <w:rsid w:val="000D4CFF"/>
    <w:rsid w:val="000D506A"/>
    <w:rsid w:val="000D6513"/>
    <w:rsid w:val="000D6EA4"/>
    <w:rsid w:val="000D77C6"/>
    <w:rsid w:val="000E089A"/>
    <w:rsid w:val="000E0EBB"/>
    <w:rsid w:val="000E4267"/>
    <w:rsid w:val="000E6A6C"/>
    <w:rsid w:val="000F081E"/>
    <w:rsid w:val="000F3FEC"/>
    <w:rsid w:val="000F4416"/>
    <w:rsid w:val="000F5EE9"/>
    <w:rsid w:val="001007EC"/>
    <w:rsid w:val="00100844"/>
    <w:rsid w:val="00100E9D"/>
    <w:rsid w:val="001013EF"/>
    <w:rsid w:val="0010366E"/>
    <w:rsid w:val="00104644"/>
    <w:rsid w:val="00112BCA"/>
    <w:rsid w:val="00112CDA"/>
    <w:rsid w:val="00113449"/>
    <w:rsid w:val="00114564"/>
    <w:rsid w:val="00115562"/>
    <w:rsid w:val="001155F6"/>
    <w:rsid w:val="00115DAA"/>
    <w:rsid w:val="00116BB5"/>
    <w:rsid w:val="00120B80"/>
    <w:rsid w:val="001214C5"/>
    <w:rsid w:val="001224DE"/>
    <w:rsid w:val="0012280F"/>
    <w:rsid w:val="00123039"/>
    <w:rsid w:val="00123E9D"/>
    <w:rsid w:val="00125D20"/>
    <w:rsid w:val="00125F1A"/>
    <w:rsid w:val="001267E5"/>
    <w:rsid w:val="00126D7A"/>
    <w:rsid w:val="00126F6E"/>
    <w:rsid w:val="00127AE8"/>
    <w:rsid w:val="0013149B"/>
    <w:rsid w:val="001333B5"/>
    <w:rsid w:val="00134E41"/>
    <w:rsid w:val="00135864"/>
    <w:rsid w:val="00137F5E"/>
    <w:rsid w:val="0014171F"/>
    <w:rsid w:val="00142CA3"/>
    <w:rsid w:val="00142CF4"/>
    <w:rsid w:val="00143D39"/>
    <w:rsid w:val="00144EE7"/>
    <w:rsid w:val="00144F69"/>
    <w:rsid w:val="001454EB"/>
    <w:rsid w:val="00145F6F"/>
    <w:rsid w:val="0014701D"/>
    <w:rsid w:val="0014787A"/>
    <w:rsid w:val="0015072B"/>
    <w:rsid w:val="00152063"/>
    <w:rsid w:val="00152574"/>
    <w:rsid w:val="00153423"/>
    <w:rsid w:val="001534B4"/>
    <w:rsid w:val="001535C5"/>
    <w:rsid w:val="00153A0C"/>
    <w:rsid w:val="001540CF"/>
    <w:rsid w:val="00154B5F"/>
    <w:rsid w:val="001555F1"/>
    <w:rsid w:val="00156C0E"/>
    <w:rsid w:val="00161833"/>
    <w:rsid w:val="00163F09"/>
    <w:rsid w:val="00165FF6"/>
    <w:rsid w:val="00166AF3"/>
    <w:rsid w:val="00167E06"/>
    <w:rsid w:val="00170593"/>
    <w:rsid w:val="001705CF"/>
    <w:rsid w:val="00170651"/>
    <w:rsid w:val="00170835"/>
    <w:rsid w:val="00170F35"/>
    <w:rsid w:val="00171199"/>
    <w:rsid w:val="00175404"/>
    <w:rsid w:val="00175A22"/>
    <w:rsid w:val="00180B64"/>
    <w:rsid w:val="00181069"/>
    <w:rsid w:val="00183A7E"/>
    <w:rsid w:val="00183FDC"/>
    <w:rsid w:val="001845EA"/>
    <w:rsid w:val="001846AD"/>
    <w:rsid w:val="00186251"/>
    <w:rsid w:val="00186DB8"/>
    <w:rsid w:val="00187169"/>
    <w:rsid w:val="00190739"/>
    <w:rsid w:val="00195B78"/>
    <w:rsid w:val="0019640C"/>
    <w:rsid w:val="00196F11"/>
    <w:rsid w:val="00197A47"/>
    <w:rsid w:val="00197C3E"/>
    <w:rsid w:val="001A36A4"/>
    <w:rsid w:val="001A5520"/>
    <w:rsid w:val="001A57F8"/>
    <w:rsid w:val="001A5D6A"/>
    <w:rsid w:val="001A661D"/>
    <w:rsid w:val="001B0595"/>
    <w:rsid w:val="001B3648"/>
    <w:rsid w:val="001B3CD1"/>
    <w:rsid w:val="001B4742"/>
    <w:rsid w:val="001B5B00"/>
    <w:rsid w:val="001B7A81"/>
    <w:rsid w:val="001B7CE2"/>
    <w:rsid w:val="001C04EC"/>
    <w:rsid w:val="001C10C7"/>
    <w:rsid w:val="001C131B"/>
    <w:rsid w:val="001C187B"/>
    <w:rsid w:val="001C192D"/>
    <w:rsid w:val="001C3B9A"/>
    <w:rsid w:val="001C6280"/>
    <w:rsid w:val="001C6C36"/>
    <w:rsid w:val="001C7153"/>
    <w:rsid w:val="001D0DA5"/>
    <w:rsid w:val="001D1606"/>
    <w:rsid w:val="001D3C7C"/>
    <w:rsid w:val="001D474D"/>
    <w:rsid w:val="001D4F2C"/>
    <w:rsid w:val="001D5E89"/>
    <w:rsid w:val="001D5F1F"/>
    <w:rsid w:val="001D7A17"/>
    <w:rsid w:val="001E46A1"/>
    <w:rsid w:val="001E4FFA"/>
    <w:rsid w:val="001E5DD1"/>
    <w:rsid w:val="001E6F18"/>
    <w:rsid w:val="001E6F36"/>
    <w:rsid w:val="001F07BB"/>
    <w:rsid w:val="001F209D"/>
    <w:rsid w:val="001F2713"/>
    <w:rsid w:val="001F36CC"/>
    <w:rsid w:val="001F379C"/>
    <w:rsid w:val="001F71AC"/>
    <w:rsid w:val="002079BA"/>
    <w:rsid w:val="00207A5B"/>
    <w:rsid w:val="00207CA6"/>
    <w:rsid w:val="00207E5A"/>
    <w:rsid w:val="002102E7"/>
    <w:rsid w:val="00212403"/>
    <w:rsid w:val="002135A3"/>
    <w:rsid w:val="00213978"/>
    <w:rsid w:val="002140B6"/>
    <w:rsid w:val="00214AEE"/>
    <w:rsid w:val="00215DF8"/>
    <w:rsid w:val="00216950"/>
    <w:rsid w:val="00216CEC"/>
    <w:rsid w:val="00221D27"/>
    <w:rsid w:val="0022451F"/>
    <w:rsid w:val="00224961"/>
    <w:rsid w:val="00224D86"/>
    <w:rsid w:val="00225578"/>
    <w:rsid w:val="00231269"/>
    <w:rsid w:val="00232CDC"/>
    <w:rsid w:val="00234146"/>
    <w:rsid w:val="002344D3"/>
    <w:rsid w:val="00234B02"/>
    <w:rsid w:val="0023796E"/>
    <w:rsid w:val="00237EF5"/>
    <w:rsid w:val="00241379"/>
    <w:rsid w:val="00241808"/>
    <w:rsid w:val="00241A53"/>
    <w:rsid w:val="002426BC"/>
    <w:rsid w:val="002436CA"/>
    <w:rsid w:val="00243C10"/>
    <w:rsid w:val="0024480B"/>
    <w:rsid w:val="00245B5B"/>
    <w:rsid w:val="00245DF5"/>
    <w:rsid w:val="002471A2"/>
    <w:rsid w:val="002479CB"/>
    <w:rsid w:val="00250BAA"/>
    <w:rsid w:val="00251A1C"/>
    <w:rsid w:val="00252093"/>
    <w:rsid w:val="0025413B"/>
    <w:rsid w:val="00254F61"/>
    <w:rsid w:val="00260554"/>
    <w:rsid w:val="00261072"/>
    <w:rsid w:val="0026323F"/>
    <w:rsid w:val="002637FF"/>
    <w:rsid w:val="00263E89"/>
    <w:rsid w:val="00264434"/>
    <w:rsid w:val="00264FC3"/>
    <w:rsid w:val="0026505D"/>
    <w:rsid w:val="00267688"/>
    <w:rsid w:val="00267766"/>
    <w:rsid w:val="00270A6F"/>
    <w:rsid w:val="0027200F"/>
    <w:rsid w:val="0027213F"/>
    <w:rsid w:val="00273BD4"/>
    <w:rsid w:val="00273CA6"/>
    <w:rsid w:val="00274C1A"/>
    <w:rsid w:val="00275A26"/>
    <w:rsid w:val="00276365"/>
    <w:rsid w:val="002763C3"/>
    <w:rsid w:val="002775B4"/>
    <w:rsid w:val="00280A35"/>
    <w:rsid w:val="00281571"/>
    <w:rsid w:val="00281C28"/>
    <w:rsid w:val="00286040"/>
    <w:rsid w:val="00287023"/>
    <w:rsid w:val="002873E6"/>
    <w:rsid w:val="002903D1"/>
    <w:rsid w:val="00290A30"/>
    <w:rsid w:val="00290ECD"/>
    <w:rsid w:val="002913F3"/>
    <w:rsid w:val="002924C0"/>
    <w:rsid w:val="00294216"/>
    <w:rsid w:val="00295ABC"/>
    <w:rsid w:val="00295D1D"/>
    <w:rsid w:val="002973E9"/>
    <w:rsid w:val="002A0668"/>
    <w:rsid w:val="002A0BE4"/>
    <w:rsid w:val="002A115C"/>
    <w:rsid w:val="002A1CCA"/>
    <w:rsid w:val="002A3A29"/>
    <w:rsid w:val="002A7112"/>
    <w:rsid w:val="002A7E43"/>
    <w:rsid w:val="002B032B"/>
    <w:rsid w:val="002B179B"/>
    <w:rsid w:val="002B1B07"/>
    <w:rsid w:val="002B3720"/>
    <w:rsid w:val="002B79B5"/>
    <w:rsid w:val="002B7B67"/>
    <w:rsid w:val="002B7E51"/>
    <w:rsid w:val="002C04C6"/>
    <w:rsid w:val="002C07F1"/>
    <w:rsid w:val="002C0A99"/>
    <w:rsid w:val="002C1473"/>
    <w:rsid w:val="002C1A69"/>
    <w:rsid w:val="002C1E4B"/>
    <w:rsid w:val="002C279B"/>
    <w:rsid w:val="002C2D6C"/>
    <w:rsid w:val="002C3253"/>
    <w:rsid w:val="002C54DD"/>
    <w:rsid w:val="002C5DEA"/>
    <w:rsid w:val="002D08E0"/>
    <w:rsid w:val="002D0BD2"/>
    <w:rsid w:val="002D27A6"/>
    <w:rsid w:val="002D2863"/>
    <w:rsid w:val="002D358D"/>
    <w:rsid w:val="002D3AEB"/>
    <w:rsid w:val="002D3E8A"/>
    <w:rsid w:val="002D3F0F"/>
    <w:rsid w:val="002D4AB3"/>
    <w:rsid w:val="002D4DF5"/>
    <w:rsid w:val="002D682F"/>
    <w:rsid w:val="002D68B9"/>
    <w:rsid w:val="002D6A50"/>
    <w:rsid w:val="002D7528"/>
    <w:rsid w:val="002E0E2A"/>
    <w:rsid w:val="002E12D8"/>
    <w:rsid w:val="002E196F"/>
    <w:rsid w:val="002E1A5A"/>
    <w:rsid w:val="002E265B"/>
    <w:rsid w:val="002E40D2"/>
    <w:rsid w:val="002E4D77"/>
    <w:rsid w:val="002E5F85"/>
    <w:rsid w:val="002E68EB"/>
    <w:rsid w:val="002E7643"/>
    <w:rsid w:val="002E7798"/>
    <w:rsid w:val="002E7BDE"/>
    <w:rsid w:val="002F07C6"/>
    <w:rsid w:val="002F0F3E"/>
    <w:rsid w:val="002F19AB"/>
    <w:rsid w:val="002F200F"/>
    <w:rsid w:val="002F24F8"/>
    <w:rsid w:val="002F284C"/>
    <w:rsid w:val="002F3231"/>
    <w:rsid w:val="002F41BB"/>
    <w:rsid w:val="002F55E6"/>
    <w:rsid w:val="002F7DD3"/>
    <w:rsid w:val="003018A4"/>
    <w:rsid w:val="0030480C"/>
    <w:rsid w:val="00306BB6"/>
    <w:rsid w:val="003073A6"/>
    <w:rsid w:val="00310456"/>
    <w:rsid w:val="003136D5"/>
    <w:rsid w:val="00314406"/>
    <w:rsid w:val="0031588B"/>
    <w:rsid w:val="00315CAC"/>
    <w:rsid w:val="00323E0F"/>
    <w:rsid w:val="00323F63"/>
    <w:rsid w:val="00325656"/>
    <w:rsid w:val="00325856"/>
    <w:rsid w:val="00325DB1"/>
    <w:rsid w:val="003349BC"/>
    <w:rsid w:val="00336A87"/>
    <w:rsid w:val="00336AD3"/>
    <w:rsid w:val="00336BDA"/>
    <w:rsid w:val="003370B4"/>
    <w:rsid w:val="00337ECD"/>
    <w:rsid w:val="003407BB"/>
    <w:rsid w:val="00341E47"/>
    <w:rsid w:val="0034327A"/>
    <w:rsid w:val="00343871"/>
    <w:rsid w:val="0034614C"/>
    <w:rsid w:val="00350E94"/>
    <w:rsid w:val="00354C15"/>
    <w:rsid w:val="00356B73"/>
    <w:rsid w:val="00357458"/>
    <w:rsid w:val="00360A51"/>
    <w:rsid w:val="0036151E"/>
    <w:rsid w:val="003622FE"/>
    <w:rsid w:val="00363ABC"/>
    <w:rsid w:val="00364951"/>
    <w:rsid w:val="0036662A"/>
    <w:rsid w:val="00366930"/>
    <w:rsid w:val="00370622"/>
    <w:rsid w:val="00372FBE"/>
    <w:rsid w:val="003736C2"/>
    <w:rsid w:val="0037445B"/>
    <w:rsid w:val="00377813"/>
    <w:rsid w:val="00377877"/>
    <w:rsid w:val="003802E5"/>
    <w:rsid w:val="00383B13"/>
    <w:rsid w:val="003844E1"/>
    <w:rsid w:val="00386936"/>
    <w:rsid w:val="00386D8E"/>
    <w:rsid w:val="00390E56"/>
    <w:rsid w:val="00393346"/>
    <w:rsid w:val="00393A02"/>
    <w:rsid w:val="00393FE6"/>
    <w:rsid w:val="00395BA6"/>
    <w:rsid w:val="003964CA"/>
    <w:rsid w:val="00396B4A"/>
    <w:rsid w:val="00396B77"/>
    <w:rsid w:val="0039799F"/>
    <w:rsid w:val="003A22E9"/>
    <w:rsid w:val="003A2861"/>
    <w:rsid w:val="003A3676"/>
    <w:rsid w:val="003A5571"/>
    <w:rsid w:val="003A671E"/>
    <w:rsid w:val="003A7384"/>
    <w:rsid w:val="003B0A5F"/>
    <w:rsid w:val="003B11D9"/>
    <w:rsid w:val="003B14B7"/>
    <w:rsid w:val="003B1D81"/>
    <w:rsid w:val="003B2310"/>
    <w:rsid w:val="003B2A28"/>
    <w:rsid w:val="003B3C53"/>
    <w:rsid w:val="003B6CD6"/>
    <w:rsid w:val="003C2813"/>
    <w:rsid w:val="003C45D9"/>
    <w:rsid w:val="003C4829"/>
    <w:rsid w:val="003C63FD"/>
    <w:rsid w:val="003D3BA0"/>
    <w:rsid w:val="003D6D12"/>
    <w:rsid w:val="003D705B"/>
    <w:rsid w:val="003D77B9"/>
    <w:rsid w:val="003E1451"/>
    <w:rsid w:val="003E1727"/>
    <w:rsid w:val="003E4127"/>
    <w:rsid w:val="003E4324"/>
    <w:rsid w:val="003E5100"/>
    <w:rsid w:val="003E5C95"/>
    <w:rsid w:val="003F10BF"/>
    <w:rsid w:val="003F217A"/>
    <w:rsid w:val="003F2555"/>
    <w:rsid w:val="003F3070"/>
    <w:rsid w:val="003F6AF4"/>
    <w:rsid w:val="003F7A0D"/>
    <w:rsid w:val="00400763"/>
    <w:rsid w:val="00400ADC"/>
    <w:rsid w:val="00400FAA"/>
    <w:rsid w:val="004015C8"/>
    <w:rsid w:val="00402BFF"/>
    <w:rsid w:val="00405032"/>
    <w:rsid w:val="00405281"/>
    <w:rsid w:val="0040695F"/>
    <w:rsid w:val="00407A1B"/>
    <w:rsid w:val="00410E57"/>
    <w:rsid w:val="00411864"/>
    <w:rsid w:val="00412B2B"/>
    <w:rsid w:val="0041321D"/>
    <w:rsid w:val="00413B29"/>
    <w:rsid w:val="004157DF"/>
    <w:rsid w:val="00416962"/>
    <w:rsid w:val="0041743F"/>
    <w:rsid w:val="00417847"/>
    <w:rsid w:val="004208E4"/>
    <w:rsid w:val="00420DDE"/>
    <w:rsid w:val="004222FB"/>
    <w:rsid w:val="0042237F"/>
    <w:rsid w:val="00422F90"/>
    <w:rsid w:val="00424FD3"/>
    <w:rsid w:val="00425A50"/>
    <w:rsid w:val="0042683B"/>
    <w:rsid w:val="00426AC1"/>
    <w:rsid w:val="00427257"/>
    <w:rsid w:val="00427C5B"/>
    <w:rsid w:val="00427F1F"/>
    <w:rsid w:val="00430686"/>
    <w:rsid w:val="004309FB"/>
    <w:rsid w:val="004315AE"/>
    <w:rsid w:val="00431BD2"/>
    <w:rsid w:val="0043485C"/>
    <w:rsid w:val="00435247"/>
    <w:rsid w:val="00436AC8"/>
    <w:rsid w:val="004408DA"/>
    <w:rsid w:val="004412BF"/>
    <w:rsid w:val="0044328C"/>
    <w:rsid w:val="0044334A"/>
    <w:rsid w:val="00445162"/>
    <w:rsid w:val="00446782"/>
    <w:rsid w:val="00447383"/>
    <w:rsid w:val="00447689"/>
    <w:rsid w:val="00451006"/>
    <w:rsid w:val="00452ABC"/>
    <w:rsid w:val="00455278"/>
    <w:rsid w:val="00462744"/>
    <w:rsid w:val="00462EB5"/>
    <w:rsid w:val="004630D4"/>
    <w:rsid w:val="004638C5"/>
    <w:rsid w:val="004646B7"/>
    <w:rsid w:val="00464A47"/>
    <w:rsid w:val="00464A9D"/>
    <w:rsid w:val="004651F5"/>
    <w:rsid w:val="004655CA"/>
    <w:rsid w:val="004709DB"/>
    <w:rsid w:val="00472AD9"/>
    <w:rsid w:val="00474B1B"/>
    <w:rsid w:val="00474BBD"/>
    <w:rsid w:val="00475823"/>
    <w:rsid w:val="004775E2"/>
    <w:rsid w:val="00480176"/>
    <w:rsid w:val="00480635"/>
    <w:rsid w:val="004821C5"/>
    <w:rsid w:val="004839DD"/>
    <w:rsid w:val="00483C4D"/>
    <w:rsid w:val="004854EB"/>
    <w:rsid w:val="00485956"/>
    <w:rsid w:val="00486356"/>
    <w:rsid w:val="00486D4E"/>
    <w:rsid w:val="0049041A"/>
    <w:rsid w:val="00490BE2"/>
    <w:rsid w:val="0049321B"/>
    <w:rsid w:val="00497026"/>
    <w:rsid w:val="00497ADE"/>
    <w:rsid w:val="004A1F81"/>
    <w:rsid w:val="004A3D6D"/>
    <w:rsid w:val="004A4053"/>
    <w:rsid w:val="004A7096"/>
    <w:rsid w:val="004B0C71"/>
    <w:rsid w:val="004B13E2"/>
    <w:rsid w:val="004B144E"/>
    <w:rsid w:val="004B1495"/>
    <w:rsid w:val="004B1C9F"/>
    <w:rsid w:val="004B1DBC"/>
    <w:rsid w:val="004B2E5A"/>
    <w:rsid w:val="004C04BA"/>
    <w:rsid w:val="004C0CF2"/>
    <w:rsid w:val="004C0DF8"/>
    <w:rsid w:val="004C1146"/>
    <w:rsid w:val="004C3234"/>
    <w:rsid w:val="004C521C"/>
    <w:rsid w:val="004C5746"/>
    <w:rsid w:val="004C6C48"/>
    <w:rsid w:val="004D0E90"/>
    <w:rsid w:val="004D4FB7"/>
    <w:rsid w:val="004D5189"/>
    <w:rsid w:val="004D7739"/>
    <w:rsid w:val="004E0353"/>
    <w:rsid w:val="004E1715"/>
    <w:rsid w:val="004E1B73"/>
    <w:rsid w:val="004E23AD"/>
    <w:rsid w:val="004E318F"/>
    <w:rsid w:val="004E5F26"/>
    <w:rsid w:val="004E6636"/>
    <w:rsid w:val="004E6B94"/>
    <w:rsid w:val="004F0A6A"/>
    <w:rsid w:val="004F1CB9"/>
    <w:rsid w:val="004F272B"/>
    <w:rsid w:val="004F29D3"/>
    <w:rsid w:val="004F553E"/>
    <w:rsid w:val="004F6993"/>
    <w:rsid w:val="004F6BA1"/>
    <w:rsid w:val="004F7E97"/>
    <w:rsid w:val="00500503"/>
    <w:rsid w:val="00502018"/>
    <w:rsid w:val="005024F4"/>
    <w:rsid w:val="00502FFD"/>
    <w:rsid w:val="00503039"/>
    <w:rsid w:val="00503FE9"/>
    <w:rsid w:val="00504D93"/>
    <w:rsid w:val="0050527D"/>
    <w:rsid w:val="005059BC"/>
    <w:rsid w:val="005117CD"/>
    <w:rsid w:val="00514261"/>
    <w:rsid w:val="00516793"/>
    <w:rsid w:val="00516F68"/>
    <w:rsid w:val="0051753C"/>
    <w:rsid w:val="00517612"/>
    <w:rsid w:val="00521089"/>
    <w:rsid w:val="00521580"/>
    <w:rsid w:val="00522CC4"/>
    <w:rsid w:val="00522D99"/>
    <w:rsid w:val="005238E2"/>
    <w:rsid w:val="00527883"/>
    <w:rsid w:val="00527D04"/>
    <w:rsid w:val="00527D48"/>
    <w:rsid w:val="0053018D"/>
    <w:rsid w:val="00531AC3"/>
    <w:rsid w:val="00531D5F"/>
    <w:rsid w:val="00533A95"/>
    <w:rsid w:val="005365B6"/>
    <w:rsid w:val="005405E0"/>
    <w:rsid w:val="00540EAF"/>
    <w:rsid w:val="005420E0"/>
    <w:rsid w:val="00542228"/>
    <w:rsid w:val="00542779"/>
    <w:rsid w:val="00542A0B"/>
    <w:rsid w:val="00544695"/>
    <w:rsid w:val="005458D8"/>
    <w:rsid w:val="00546544"/>
    <w:rsid w:val="0055012C"/>
    <w:rsid w:val="005506BE"/>
    <w:rsid w:val="00551691"/>
    <w:rsid w:val="005518DD"/>
    <w:rsid w:val="005531F7"/>
    <w:rsid w:val="00553809"/>
    <w:rsid w:val="00554EA3"/>
    <w:rsid w:val="0055627D"/>
    <w:rsid w:val="005566BC"/>
    <w:rsid w:val="00556C2D"/>
    <w:rsid w:val="00557868"/>
    <w:rsid w:val="005601C3"/>
    <w:rsid w:val="00561128"/>
    <w:rsid w:val="0056148B"/>
    <w:rsid w:val="00563257"/>
    <w:rsid w:val="0056376D"/>
    <w:rsid w:val="005640FA"/>
    <w:rsid w:val="005649CD"/>
    <w:rsid w:val="005663D6"/>
    <w:rsid w:val="005678AA"/>
    <w:rsid w:val="005703E4"/>
    <w:rsid w:val="00571539"/>
    <w:rsid w:val="005736DA"/>
    <w:rsid w:val="00573DC3"/>
    <w:rsid w:val="00574451"/>
    <w:rsid w:val="005767F9"/>
    <w:rsid w:val="005802B6"/>
    <w:rsid w:val="005808B8"/>
    <w:rsid w:val="00581737"/>
    <w:rsid w:val="0058199D"/>
    <w:rsid w:val="00581DEC"/>
    <w:rsid w:val="00582767"/>
    <w:rsid w:val="00582E45"/>
    <w:rsid w:val="00583608"/>
    <w:rsid w:val="00585EDF"/>
    <w:rsid w:val="005869C6"/>
    <w:rsid w:val="0059135E"/>
    <w:rsid w:val="00592C6C"/>
    <w:rsid w:val="00593CBB"/>
    <w:rsid w:val="005961E7"/>
    <w:rsid w:val="005A018C"/>
    <w:rsid w:val="005A0ECC"/>
    <w:rsid w:val="005A1CA3"/>
    <w:rsid w:val="005A53DD"/>
    <w:rsid w:val="005A7403"/>
    <w:rsid w:val="005A7B62"/>
    <w:rsid w:val="005B00CD"/>
    <w:rsid w:val="005B1A96"/>
    <w:rsid w:val="005B2051"/>
    <w:rsid w:val="005B2846"/>
    <w:rsid w:val="005B372D"/>
    <w:rsid w:val="005B52D4"/>
    <w:rsid w:val="005C1B77"/>
    <w:rsid w:val="005C2AB5"/>
    <w:rsid w:val="005C3B9A"/>
    <w:rsid w:val="005C477A"/>
    <w:rsid w:val="005C4D38"/>
    <w:rsid w:val="005C52D1"/>
    <w:rsid w:val="005C5570"/>
    <w:rsid w:val="005C594C"/>
    <w:rsid w:val="005C5D16"/>
    <w:rsid w:val="005C6A29"/>
    <w:rsid w:val="005C6A3A"/>
    <w:rsid w:val="005D01CE"/>
    <w:rsid w:val="005D2C4B"/>
    <w:rsid w:val="005D3235"/>
    <w:rsid w:val="005D356B"/>
    <w:rsid w:val="005D7535"/>
    <w:rsid w:val="005E021C"/>
    <w:rsid w:val="005E08D9"/>
    <w:rsid w:val="005E207E"/>
    <w:rsid w:val="005E254B"/>
    <w:rsid w:val="005E27FF"/>
    <w:rsid w:val="005E33F7"/>
    <w:rsid w:val="005E3769"/>
    <w:rsid w:val="005E3CDF"/>
    <w:rsid w:val="005E4086"/>
    <w:rsid w:val="005E41F6"/>
    <w:rsid w:val="005E469D"/>
    <w:rsid w:val="005E4ABD"/>
    <w:rsid w:val="005E51CE"/>
    <w:rsid w:val="005E5E53"/>
    <w:rsid w:val="005E5FB6"/>
    <w:rsid w:val="005E6EA8"/>
    <w:rsid w:val="005E7114"/>
    <w:rsid w:val="005E7BB6"/>
    <w:rsid w:val="005F1983"/>
    <w:rsid w:val="005F213C"/>
    <w:rsid w:val="005F3453"/>
    <w:rsid w:val="005F4179"/>
    <w:rsid w:val="005F468A"/>
    <w:rsid w:val="005F6E67"/>
    <w:rsid w:val="005F752A"/>
    <w:rsid w:val="005F79BE"/>
    <w:rsid w:val="00600FB0"/>
    <w:rsid w:val="00602474"/>
    <w:rsid w:val="00602A4C"/>
    <w:rsid w:val="0060411F"/>
    <w:rsid w:val="006051B7"/>
    <w:rsid w:val="00605D31"/>
    <w:rsid w:val="006060CF"/>
    <w:rsid w:val="00610D73"/>
    <w:rsid w:val="00610F4C"/>
    <w:rsid w:val="006117D5"/>
    <w:rsid w:val="00611E3A"/>
    <w:rsid w:val="006125F8"/>
    <w:rsid w:val="00612C9A"/>
    <w:rsid w:val="00613AC6"/>
    <w:rsid w:val="00614B86"/>
    <w:rsid w:val="00614E86"/>
    <w:rsid w:val="006153B3"/>
    <w:rsid w:val="0061645D"/>
    <w:rsid w:val="00616C31"/>
    <w:rsid w:val="00616CD9"/>
    <w:rsid w:val="00621780"/>
    <w:rsid w:val="00622188"/>
    <w:rsid w:val="00622B2D"/>
    <w:rsid w:val="006249FB"/>
    <w:rsid w:val="0063222F"/>
    <w:rsid w:val="00633007"/>
    <w:rsid w:val="0063489B"/>
    <w:rsid w:val="00634F06"/>
    <w:rsid w:val="00635D95"/>
    <w:rsid w:val="00635F7D"/>
    <w:rsid w:val="00640B74"/>
    <w:rsid w:val="00640FDD"/>
    <w:rsid w:val="0064184D"/>
    <w:rsid w:val="00641EF2"/>
    <w:rsid w:val="00642D21"/>
    <w:rsid w:val="00650736"/>
    <w:rsid w:val="006512F3"/>
    <w:rsid w:val="006517AD"/>
    <w:rsid w:val="00651E3C"/>
    <w:rsid w:val="00651E5B"/>
    <w:rsid w:val="006523B7"/>
    <w:rsid w:val="006607A8"/>
    <w:rsid w:val="00661E17"/>
    <w:rsid w:val="006627A6"/>
    <w:rsid w:val="00663717"/>
    <w:rsid w:val="0066463E"/>
    <w:rsid w:val="006653F8"/>
    <w:rsid w:val="00665573"/>
    <w:rsid w:val="00665947"/>
    <w:rsid w:val="00665AE8"/>
    <w:rsid w:val="00665E2A"/>
    <w:rsid w:val="00666B79"/>
    <w:rsid w:val="00667FEC"/>
    <w:rsid w:val="006723B8"/>
    <w:rsid w:val="00672B96"/>
    <w:rsid w:val="00672CB0"/>
    <w:rsid w:val="00673BE1"/>
    <w:rsid w:val="0067612C"/>
    <w:rsid w:val="00677ADC"/>
    <w:rsid w:val="00680301"/>
    <w:rsid w:val="00683E24"/>
    <w:rsid w:val="006840A0"/>
    <w:rsid w:val="00684C0B"/>
    <w:rsid w:val="00684F36"/>
    <w:rsid w:val="006915CD"/>
    <w:rsid w:val="00693D44"/>
    <w:rsid w:val="00697BE6"/>
    <w:rsid w:val="006A35A3"/>
    <w:rsid w:val="006A4727"/>
    <w:rsid w:val="006A582B"/>
    <w:rsid w:val="006A5DEE"/>
    <w:rsid w:val="006A6141"/>
    <w:rsid w:val="006A6479"/>
    <w:rsid w:val="006A6C3D"/>
    <w:rsid w:val="006A70F1"/>
    <w:rsid w:val="006A712A"/>
    <w:rsid w:val="006A71AB"/>
    <w:rsid w:val="006B0184"/>
    <w:rsid w:val="006B0E8F"/>
    <w:rsid w:val="006B1B33"/>
    <w:rsid w:val="006B1FA2"/>
    <w:rsid w:val="006B20F0"/>
    <w:rsid w:val="006B51ED"/>
    <w:rsid w:val="006B6052"/>
    <w:rsid w:val="006B65C5"/>
    <w:rsid w:val="006C0F58"/>
    <w:rsid w:val="006C27D5"/>
    <w:rsid w:val="006C6EB8"/>
    <w:rsid w:val="006C7802"/>
    <w:rsid w:val="006D0416"/>
    <w:rsid w:val="006D0437"/>
    <w:rsid w:val="006D0587"/>
    <w:rsid w:val="006D100F"/>
    <w:rsid w:val="006D11E8"/>
    <w:rsid w:val="006D1F1C"/>
    <w:rsid w:val="006D380A"/>
    <w:rsid w:val="006D4022"/>
    <w:rsid w:val="006D4CF0"/>
    <w:rsid w:val="006D6196"/>
    <w:rsid w:val="006D6F9D"/>
    <w:rsid w:val="006E0638"/>
    <w:rsid w:val="006E2491"/>
    <w:rsid w:val="006E3E3B"/>
    <w:rsid w:val="006E4BF2"/>
    <w:rsid w:val="006E5A50"/>
    <w:rsid w:val="006E6314"/>
    <w:rsid w:val="006E7888"/>
    <w:rsid w:val="006E7D3A"/>
    <w:rsid w:val="006F012E"/>
    <w:rsid w:val="006F09E2"/>
    <w:rsid w:val="006F2E05"/>
    <w:rsid w:val="006F369E"/>
    <w:rsid w:val="006F4CF5"/>
    <w:rsid w:val="006F513D"/>
    <w:rsid w:val="006F5229"/>
    <w:rsid w:val="006F5C7B"/>
    <w:rsid w:val="006F6234"/>
    <w:rsid w:val="006F6B4C"/>
    <w:rsid w:val="006F7DE6"/>
    <w:rsid w:val="00701675"/>
    <w:rsid w:val="007019FA"/>
    <w:rsid w:val="0070217C"/>
    <w:rsid w:val="00702577"/>
    <w:rsid w:val="00703AC1"/>
    <w:rsid w:val="00704CEB"/>
    <w:rsid w:val="00705275"/>
    <w:rsid w:val="0070545C"/>
    <w:rsid w:val="007060EB"/>
    <w:rsid w:val="0070632E"/>
    <w:rsid w:val="0070637D"/>
    <w:rsid w:val="00710EF5"/>
    <w:rsid w:val="00712F6E"/>
    <w:rsid w:val="0071405A"/>
    <w:rsid w:val="007148E9"/>
    <w:rsid w:val="00716670"/>
    <w:rsid w:val="00716804"/>
    <w:rsid w:val="00722DD9"/>
    <w:rsid w:val="00723AAB"/>
    <w:rsid w:val="00723BE9"/>
    <w:rsid w:val="00723D48"/>
    <w:rsid w:val="0072419E"/>
    <w:rsid w:val="00724F9A"/>
    <w:rsid w:val="007256B5"/>
    <w:rsid w:val="00726BCE"/>
    <w:rsid w:val="00726F6F"/>
    <w:rsid w:val="00727B60"/>
    <w:rsid w:val="00732FE4"/>
    <w:rsid w:val="0073329D"/>
    <w:rsid w:val="00733F6A"/>
    <w:rsid w:val="007343FE"/>
    <w:rsid w:val="007358E6"/>
    <w:rsid w:val="00735CA6"/>
    <w:rsid w:val="00737F9D"/>
    <w:rsid w:val="00740109"/>
    <w:rsid w:val="0074023F"/>
    <w:rsid w:val="00740C20"/>
    <w:rsid w:val="00740D04"/>
    <w:rsid w:val="00741CDA"/>
    <w:rsid w:val="00742032"/>
    <w:rsid w:val="00742E03"/>
    <w:rsid w:val="007434A9"/>
    <w:rsid w:val="007440C0"/>
    <w:rsid w:val="007444EC"/>
    <w:rsid w:val="00745948"/>
    <w:rsid w:val="00746620"/>
    <w:rsid w:val="00751B3F"/>
    <w:rsid w:val="00753326"/>
    <w:rsid w:val="007533CB"/>
    <w:rsid w:val="007552F4"/>
    <w:rsid w:val="0075576E"/>
    <w:rsid w:val="00755A94"/>
    <w:rsid w:val="00756028"/>
    <w:rsid w:val="007565ED"/>
    <w:rsid w:val="0076167F"/>
    <w:rsid w:val="00761910"/>
    <w:rsid w:val="007623D7"/>
    <w:rsid w:val="0076490B"/>
    <w:rsid w:val="00764FDE"/>
    <w:rsid w:val="007654C2"/>
    <w:rsid w:val="00765AF0"/>
    <w:rsid w:val="0076782C"/>
    <w:rsid w:val="00770352"/>
    <w:rsid w:val="00770E87"/>
    <w:rsid w:val="00770F0A"/>
    <w:rsid w:val="00776A91"/>
    <w:rsid w:val="0077734E"/>
    <w:rsid w:val="0077747C"/>
    <w:rsid w:val="00777554"/>
    <w:rsid w:val="00777759"/>
    <w:rsid w:val="007802AD"/>
    <w:rsid w:val="007808B7"/>
    <w:rsid w:val="00783F17"/>
    <w:rsid w:val="007844E4"/>
    <w:rsid w:val="007856A6"/>
    <w:rsid w:val="00787264"/>
    <w:rsid w:val="00790415"/>
    <w:rsid w:val="007928D5"/>
    <w:rsid w:val="00793EC6"/>
    <w:rsid w:val="0079404A"/>
    <w:rsid w:val="00794392"/>
    <w:rsid w:val="00796295"/>
    <w:rsid w:val="007965F5"/>
    <w:rsid w:val="007A1651"/>
    <w:rsid w:val="007A1CBB"/>
    <w:rsid w:val="007A2B55"/>
    <w:rsid w:val="007A5C68"/>
    <w:rsid w:val="007A5CDC"/>
    <w:rsid w:val="007A7306"/>
    <w:rsid w:val="007A7D26"/>
    <w:rsid w:val="007B0382"/>
    <w:rsid w:val="007B1F99"/>
    <w:rsid w:val="007B269C"/>
    <w:rsid w:val="007B2B4B"/>
    <w:rsid w:val="007B327A"/>
    <w:rsid w:val="007B36A7"/>
    <w:rsid w:val="007B4105"/>
    <w:rsid w:val="007B6827"/>
    <w:rsid w:val="007C047E"/>
    <w:rsid w:val="007C0BB4"/>
    <w:rsid w:val="007C1685"/>
    <w:rsid w:val="007C1F53"/>
    <w:rsid w:val="007C24BA"/>
    <w:rsid w:val="007C2A04"/>
    <w:rsid w:val="007C47E1"/>
    <w:rsid w:val="007C604C"/>
    <w:rsid w:val="007C6667"/>
    <w:rsid w:val="007C7393"/>
    <w:rsid w:val="007C7CFF"/>
    <w:rsid w:val="007D09CA"/>
    <w:rsid w:val="007D1730"/>
    <w:rsid w:val="007D20AB"/>
    <w:rsid w:val="007D3712"/>
    <w:rsid w:val="007D41D9"/>
    <w:rsid w:val="007E3FCE"/>
    <w:rsid w:val="007E4034"/>
    <w:rsid w:val="007E4501"/>
    <w:rsid w:val="007E4A65"/>
    <w:rsid w:val="007E599F"/>
    <w:rsid w:val="007E6C30"/>
    <w:rsid w:val="007E6CD3"/>
    <w:rsid w:val="007E6F03"/>
    <w:rsid w:val="007F244F"/>
    <w:rsid w:val="007F24CF"/>
    <w:rsid w:val="007F35F5"/>
    <w:rsid w:val="007F375F"/>
    <w:rsid w:val="007F3802"/>
    <w:rsid w:val="007F50EA"/>
    <w:rsid w:val="007F6FDB"/>
    <w:rsid w:val="0080003B"/>
    <w:rsid w:val="00800D8D"/>
    <w:rsid w:val="00801665"/>
    <w:rsid w:val="0080509C"/>
    <w:rsid w:val="00807742"/>
    <w:rsid w:val="00807E88"/>
    <w:rsid w:val="00807F8F"/>
    <w:rsid w:val="00810081"/>
    <w:rsid w:val="00811814"/>
    <w:rsid w:val="008130AE"/>
    <w:rsid w:val="0081348B"/>
    <w:rsid w:val="0081384A"/>
    <w:rsid w:val="008147B5"/>
    <w:rsid w:val="00815628"/>
    <w:rsid w:val="00816518"/>
    <w:rsid w:val="0081725D"/>
    <w:rsid w:val="00817AE8"/>
    <w:rsid w:val="00817AEB"/>
    <w:rsid w:val="00817BDD"/>
    <w:rsid w:val="00817BE5"/>
    <w:rsid w:val="00820864"/>
    <w:rsid w:val="008227DD"/>
    <w:rsid w:val="008235A1"/>
    <w:rsid w:val="00823BB0"/>
    <w:rsid w:val="00824011"/>
    <w:rsid w:val="00824087"/>
    <w:rsid w:val="00824369"/>
    <w:rsid w:val="00825594"/>
    <w:rsid w:val="0083297D"/>
    <w:rsid w:val="00833C33"/>
    <w:rsid w:val="00834256"/>
    <w:rsid w:val="0083445A"/>
    <w:rsid w:val="008367FA"/>
    <w:rsid w:val="00840E15"/>
    <w:rsid w:val="00840F0E"/>
    <w:rsid w:val="008440D6"/>
    <w:rsid w:val="008444F8"/>
    <w:rsid w:val="008453C5"/>
    <w:rsid w:val="00845D98"/>
    <w:rsid w:val="0084741A"/>
    <w:rsid w:val="008500A8"/>
    <w:rsid w:val="008502D1"/>
    <w:rsid w:val="00850DF2"/>
    <w:rsid w:val="0085133C"/>
    <w:rsid w:val="00851C5F"/>
    <w:rsid w:val="0085268A"/>
    <w:rsid w:val="00856CAE"/>
    <w:rsid w:val="008602D4"/>
    <w:rsid w:val="00860865"/>
    <w:rsid w:val="00860EEF"/>
    <w:rsid w:val="0086376F"/>
    <w:rsid w:val="00863A33"/>
    <w:rsid w:val="00863B66"/>
    <w:rsid w:val="00863E4C"/>
    <w:rsid w:val="0086404C"/>
    <w:rsid w:val="0086414C"/>
    <w:rsid w:val="00865672"/>
    <w:rsid w:val="0086595E"/>
    <w:rsid w:val="008665FC"/>
    <w:rsid w:val="00866EFA"/>
    <w:rsid w:val="008678D7"/>
    <w:rsid w:val="00867C5A"/>
    <w:rsid w:val="00871606"/>
    <w:rsid w:val="00871C54"/>
    <w:rsid w:val="008722CC"/>
    <w:rsid w:val="00872698"/>
    <w:rsid w:val="00873303"/>
    <w:rsid w:val="00873838"/>
    <w:rsid w:val="00874DA2"/>
    <w:rsid w:val="0087571F"/>
    <w:rsid w:val="008758AD"/>
    <w:rsid w:val="00877618"/>
    <w:rsid w:val="00877868"/>
    <w:rsid w:val="008805A9"/>
    <w:rsid w:val="0088135D"/>
    <w:rsid w:val="00882D8B"/>
    <w:rsid w:val="00885265"/>
    <w:rsid w:val="00887F1C"/>
    <w:rsid w:val="00890457"/>
    <w:rsid w:val="00890EC6"/>
    <w:rsid w:val="00891723"/>
    <w:rsid w:val="0089247F"/>
    <w:rsid w:val="00893CAC"/>
    <w:rsid w:val="00895B16"/>
    <w:rsid w:val="00895B3C"/>
    <w:rsid w:val="00897F69"/>
    <w:rsid w:val="008A1525"/>
    <w:rsid w:val="008A795E"/>
    <w:rsid w:val="008A7CDF"/>
    <w:rsid w:val="008A7E74"/>
    <w:rsid w:val="008B1BDA"/>
    <w:rsid w:val="008B1C4E"/>
    <w:rsid w:val="008B1C82"/>
    <w:rsid w:val="008B26AB"/>
    <w:rsid w:val="008B2AC2"/>
    <w:rsid w:val="008B3488"/>
    <w:rsid w:val="008C05CF"/>
    <w:rsid w:val="008C48EE"/>
    <w:rsid w:val="008C5133"/>
    <w:rsid w:val="008C5B38"/>
    <w:rsid w:val="008C5CD3"/>
    <w:rsid w:val="008C6445"/>
    <w:rsid w:val="008C7036"/>
    <w:rsid w:val="008C75F8"/>
    <w:rsid w:val="008D1768"/>
    <w:rsid w:val="008D17FF"/>
    <w:rsid w:val="008D1FFF"/>
    <w:rsid w:val="008D2C0D"/>
    <w:rsid w:val="008D6B5B"/>
    <w:rsid w:val="008D73AA"/>
    <w:rsid w:val="008E0E4F"/>
    <w:rsid w:val="008E2B32"/>
    <w:rsid w:val="008E492A"/>
    <w:rsid w:val="008E52AF"/>
    <w:rsid w:val="008E5E88"/>
    <w:rsid w:val="008F1147"/>
    <w:rsid w:val="008F3582"/>
    <w:rsid w:val="008F373F"/>
    <w:rsid w:val="008F39CF"/>
    <w:rsid w:val="008F6647"/>
    <w:rsid w:val="00900201"/>
    <w:rsid w:val="009010DA"/>
    <w:rsid w:val="009016E6"/>
    <w:rsid w:val="00901D98"/>
    <w:rsid w:val="00902101"/>
    <w:rsid w:val="0090259C"/>
    <w:rsid w:val="00902D33"/>
    <w:rsid w:val="00903A0E"/>
    <w:rsid w:val="00903A43"/>
    <w:rsid w:val="00904528"/>
    <w:rsid w:val="0090477D"/>
    <w:rsid w:val="009050E0"/>
    <w:rsid w:val="00910C65"/>
    <w:rsid w:val="00912D56"/>
    <w:rsid w:val="00913F89"/>
    <w:rsid w:val="0091456E"/>
    <w:rsid w:val="00914C00"/>
    <w:rsid w:val="009155BF"/>
    <w:rsid w:val="00916D0F"/>
    <w:rsid w:val="009174F0"/>
    <w:rsid w:val="009205B2"/>
    <w:rsid w:val="009229FA"/>
    <w:rsid w:val="00924FDA"/>
    <w:rsid w:val="00925B1D"/>
    <w:rsid w:val="00926368"/>
    <w:rsid w:val="00926378"/>
    <w:rsid w:val="00927A2C"/>
    <w:rsid w:val="00927CAF"/>
    <w:rsid w:val="00930495"/>
    <w:rsid w:val="00931D66"/>
    <w:rsid w:val="00932CC0"/>
    <w:rsid w:val="00933322"/>
    <w:rsid w:val="0093446B"/>
    <w:rsid w:val="009355EF"/>
    <w:rsid w:val="00935608"/>
    <w:rsid w:val="00935883"/>
    <w:rsid w:val="00935A72"/>
    <w:rsid w:val="00935D9A"/>
    <w:rsid w:val="00935EE8"/>
    <w:rsid w:val="00936349"/>
    <w:rsid w:val="009366FC"/>
    <w:rsid w:val="00937485"/>
    <w:rsid w:val="009400D5"/>
    <w:rsid w:val="009402B0"/>
    <w:rsid w:val="009416A2"/>
    <w:rsid w:val="00941DE1"/>
    <w:rsid w:val="00941E5A"/>
    <w:rsid w:val="00941FBB"/>
    <w:rsid w:val="0094254F"/>
    <w:rsid w:val="00943568"/>
    <w:rsid w:val="00943944"/>
    <w:rsid w:val="00944CC1"/>
    <w:rsid w:val="00944F27"/>
    <w:rsid w:val="009450DE"/>
    <w:rsid w:val="0094634E"/>
    <w:rsid w:val="00946705"/>
    <w:rsid w:val="00946D49"/>
    <w:rsid w:val="00946F32"/>
    <w:rsid w:val="009506A4"/>
    <w:rsid w:val="0095260F"/>
    <w:rsid w:val="00953712"/>
    <w:rsid w:val="00953E3D"/>
    <w:rsid w:val="00953FAB"/>
    <w:rsid w:val="00954F3A"/>
    <w:rsid w:val="009551B7"/>
    <w:rsid w:val="0095523F"/>
    <w:rsid w:val="009556AB"/>
    <w:rsid w:val="00955BA6"/>
    <w:rsid w:val="00955E9E"/>
    <w:rsid w:val="00956B7C"/>
    <w:rsid w:val="00960DDD"/>
    <w:rsid w:val="00963DEC"/>
    <w:rsid w:val="009644E5"/>
    <w:rsid w:val="00967ACC"/>
    <w:rsid w:val="009706BD"/>
    <w:rsid w:val="009709C2"/>
    <w:rsid w:val="00970A03"/>
    <w:rsid w:val="00971152"/>
    <w:rsid w:val="00972A40"/>
    <w:rsid w:val="00973480"/>
    <w:rsid w:val="009740BD"/>
    <w:rsid w:val="00974500"/>
    <w:rsid w:val="00974A01"/>
    <w:rsid w:val="0098213A"/>
    <w:rsid w:val="0098260D"/>
    <w:rsid w:val="00982BCF"/>
    <w:rsid w:val="00982DB3"/>
    <w:rsid w:val="00982DC3"/>
    <w:rsid w:val="0098362A"/>
    <w:rsid w:val="00984449"/>
    <w:rsid w:val="00985662"/>
    <w:rsid w:val="009867A9"/>
    <w:rsid w:val="00990699"/>
    <w:rsid w:val="00990864"/>
    <w:rsid w:val="00990CF6"/>
    <w:rsid w:val="00991438"/>
    <w:rsid w:val="0099196A"/>
    <w:rsid w:val="00991D4D"/>
    <w:rsid w:val="009946B6"/>
    <w:rsid w:val="00996398"/>
    <w:rsid w:val="009A04FA"/>
    <w:rsid w:val="009A1CBC"/>
    <w:rsid w:val="009A2D68"/>
    <w:rsid w:val="009A48E2"/>
    <w:rsid w:val="009A5719"/>
    <w:rsid w:val="009A5AD3"/>
    <w:rsid w:val="009A5FB4"/>
    <w:rsid w:val="009A5FFC"/>
    <w:rsid w:val="009A6875"/>
    <w:rsid w:val="009A7FEB"/>
    <w:rsid w:val="009B2117"/>
    <w:rsid w:val="009B5B32"/>
    <w:rsid w:val="009B70EC"/>
    <w:rsid w:val="009B7143"/>
    <w:rsid w:val="009B7CDB"/>
    <w:rsid w:val="009C0703"/>
    <w:rsid w:val="009C0F76"/>
    <w:rsid w:val="009C27EB"/>
    <w:rsid w:val="009C29AE"/>
    <w:rsid w:val="009C383D"/>
    <w:rsid w:val="009C480F"/>
    <w:rsid w:val="009C4A2B"/>
    <w:rsid w:val="009C6AC7"/>
    <w:rsid w:val="009C6DA3"/>
    <w:rsid w:val="009C7539"/>
    <w:rsid w:val="009D0154"/>
    <w:rsid w:val="009D51DA"/>
    <w:rsid w:val="009D5EBD"/>
    <w:rsid w:val="009D666C"/>
    <w:rsid w:val="009D693C"/>
    <w:rsid w:val="009E0C45"/>
    <w:rsid w:val="009E2A2F"/>
    <w:rsid w:val="009E2E8F"/>
    <w:rsid w:val="009E301E"/>
    <w:rsid w:val="009E388C"/>
    <w:rsid w:val="009E4E44"/>
    <w:rsid w:val="009E5A27"/>
    <w:rsid w:val="009E5C3D"/>
    <w:rsid w:val="009E6E2B"/>
    <w:rsid w:val="009F00D5"/>
    <w:rsid w:val="009F1500"/>
    <w:rsid w:val="009F22EB"/>
    <w:rsid w:val="009F23F9"/>
    <w:rsid w:val="009F24C0"/>
    <w:rsid w:val="009F2736"/>
    <w:rsid w:val="009F3B6E"/>
    <w:rsid w:val="009F3D94"/>
    <w:rsid w:val="009F530B"/>
    <w:rsid w:val="009F55D6"/>
    <w:rsid w:val="009F5B8D"/>
    <w:rsid w:val="009F7695"/>
    <w:rsid w:val="009F79F6"/>
    <w:rsid w:val="00A00183"/>
    <w:rsid w:val="00A0104F"/>
    <w:rsid w:val="00A02EC2"/>
    <w:rsid w:val="00A041BC"/>
    <w:rsid w:val="00A051B6"/>
    <w:rsid w:val="00A06C80"/>
    <w:rsid w:val="00A07260"/>
    <w:rsid w:val="00A13A45"/>
    <w:rsid w:val="00A13CDB"/>
    <w:rsid w:val="00A15471"/>
    <w:rsid w:val="00A155EE"/>
    <w:rsid w:val="00A159B5"/>
    <w:rsid w:val="00A16B4E"/>
    <w:rsid w:val="00A20CFC"/>
    <w:rsid w:val="00A2369F"/>
    <w:rsid w:val="00A23A39"/>
    <w:rsid w:val="00A24D33"/>
    <w:rsid w:val="00A2560C"/>
    <w:rsid w:val="00A25767"/>
    <w:rsid w:val="00A25E6B"/>
    <w:rsid w:val="00A25E6F"/>
    <w:rsid w:val="00A278C1"/>
    <w:rsid w:val="00A27B4A"/>
    <w:rsid w:val="00A30BBB"/>
    <w:rsid w:val="00A31BEC"/>
    <w:rsid w:val="00A32004"/>
    <w:rsid w:val="00A325FD"/>
    <w:rsid w:val="00A338C9"/>
    <w:rsid w:val="00A346E5"/>
    <w:rsid w:val="00A354A7"/>
    <w:rsid w:val="00A37297"/>
    <w:rsid w:val="00A4029D"/>
    <w:rsid w:val="00A40608"/>
    <w:rsid w:val="00A40BCA"/>
    <w:rsid w:val="00A419A2"/>
    <w:rsid w:val="00A423C4"/>
    <w:rsid w:val="00A42829"/>
    <w:rsid w:val="00A4344C"/>
    <w:rsid w:val="00A43622"/>
    <w:rsid w:val="00A44541"/>
    <w:rsid w:val="00A446FC"/>
    <w:rsid w:val="00A471DC"/>
    <w:rsid w:val="00A5007A"/>
    <w:rsid w:val="00A50480"/>
    <w:rsid w:val="00A53C11"/>
    <w:rsid w:val="00A55777"/>
    <w:rsid w:val="00A5582A"/>
    <w:rsid w:val="00A55AF4"/>
    <w:rsid w:val="00A57B10"/>
    <w:rsid w:val="00A60341"/>
    <w:rsid w:val="00A60418"/>
    <w:rsid w:val="00A61E14"/>
    <w:rsid w:val="00A643AC"/>
    <w:rsid w:val="00A650F4"/>
    <w:rsid w:val="00A659F7"/>
    <w:rsid w:val="00A65A40"/>
    <w:rsid w:val="00A65B18"/>
    <w:rsid w:val="00A66E0E"/>
    <w:rsid w:val="00A70E42"/>
    <w:rsid w:val="00A71CD4"/>
    <w:rsid w:val="00A747E6"/>
    <w:rsid w:val="00A75DDD"/>
    <w:rsid w:val="00A772CC"/>
    <w:rsid w:val="00A80CD8"/>
    <w:rsid w:val="00A81BE2"/>
    <w:rsid w:val="00A81FF1"/>
    <w:rsid w:val="00A8402A"/>
    <w:rsid w:val="00A84145"/>
    <w:rsid w:val="00A84796"/>
    <w:rsid w:val="00A84C0C"/>
    <w:rsid w:val="00A85272"/>
    <w:rsid w:val="00A90002"/>
    <w:rsid w:val="00A9179D"/>
    <w:rsid w:val="00A91B0D"/>
    <w:rsid w:val="00A91F24"/>
    <w:rsid w:val="00A9216F"/>
    <w:rsid w:val="00A9249C"/>
    <w:rsid w:val="00A94626"/>
    <w:rsid w:val="00A94FD4"/>
    <w:rsid w:val="00A97BB7"/>
    <w:rsid w:val="00AA0BBD"/>
    <w:rsid w:val="00AA10E1"/>
    <w:rsid w:val="00AA6724"/>
    <w:rsid w:val="00AA68EA"/>
    <w:rsid w:val="00AA77AB"/>
    <w:rsid w:val="00AA78F5"/>
    <w:rsid w:val="00AB0C21"/>
    <w:rsid w:val="00AB4C55"/>
    <w:rsid w:val="00AB51CA"/>
    <w:rsid w:val="00AB59E3"/>
    <w:rsid w:val="00AB603F"/>
    <w:rsid w:val="00AB6626"/>
    <w:rsid w:val="00AB7572"/>
    <w:rsid w:val="00AB7AB5"/>
    <w:rsid w:val="00AC046D"/>
    <w:rsid w:val="00AC1BB1"/>
    <w:rsid w:val="00AC217F"/>
    <w:rsid w:val="00AC2D3E"/>
    <w:rsid w:val="00AC38CC"/>
    <w:rsid w:val="00AC3939"/>
    <w:rsid w:val="00AC3B65"/>
    <w:rsid w:val="00AC4723"/>
    <w:rsid w:val="00AC4B0C"/>
    <w:rsid w:val="00AC638C"/>
    <w:rsid w:val="00AD1B97"/>
    <w:rsid w:val="00AD24C1"/>
    <w:rsid w:val="00AD25E2"/>
    <w:rsid w:val="00AD350F"/>
    <w:rsid w:val="00AD3534"/>
    <w:rsid w:val="00AD5601"/>
    <w:rsid w:val="00AD6ED0"/>
    <w:rsid w:val="00AD7133"/>
    <w:rsid w:val="00AE129F"/>
    <w:rsid w:val="00AE575E"/>
    <w:rsid w:val="00AE7124"/>
    <w:rsid w:val="00AF01D9"/>
    <w:rsid w:val="00AF06EE"/>
    <w:rsid w:val="00AF17A8"/>
    <w:rsid w:val="00AF280D"/>
    <w:rsid w:val="00AF2EFA"/>
    <w:rsid w:val="00AF3B87"/>
    <w:rsid w:val="00AF54D1"/>
    <w:rsid w:val="00AF6075"/>
    <w:rsid w:val="00AF607B"/>
    <w:rsid w:val="00AF767E"/>
    <w:rsid w:val="00B00867"/>
    <w:rsid w:val="00B00A6C"/>
    <w:rsid w:val="00B017A1"/>
    <w:rsid w:val="00B018C7"/>
    <w:rsid w:val="00B03E2B"/>
    <w:rsid w:val="00B04E48"/>
    <w:rsid w:val="00B0572E"/>
    <w:rsid w:val="00B05786"/>
    <w:rsid w:val="00B05EEA"/>
    <w:rsid w:val="00B06996"/>
    <w:rsid w:val="00B10FC2"/>
    <w:rsid w:val="00B12BDB"/>
    <w:rsid w:val="00B14841"/>
    <w:rsid w:val="00B14D50"/>
    <w:rsid w:val="00B15F82"/>
    <w:rsid w:val="00B21C94"/>
    <w:rsid w:val="00B22143"/>
    <w:rsid w:val="00B225D9"/>
    <w:rsid w:val="00B2385E"/>
    <w:rsid w:val="00B24C47"/>
    <w:rsid w:val="00B3107B"/>
    <w:rsid w:val="00B31E99"/>
    <w:rsid w:val="00B3663F"/>
    <w:rsid w:val="00B36C5A"/>
    <w:rsid w:val="00B37BFA"/>
    <w:rsid w:val="00B41E75"/>
    <w:rsid w:val="00B42C39"/>
    <w:rsid w:val="00B431CB"/>
    <w:rsid w:val="00B44204"/>
    <w:rsid w:val="00B444FE"/>
    <w:rsid w:val="00B446AF"/>
    <w:rsid w:val="00B5008D"/>
    <w:rsid w:val="00B51E94"/>
    <w:rsid w:val="00B52334"/>
    <w:rsid w:val="00B528A5"/>
    <w:rsid w:val="00B5392A"/>
    <w:rsid w:val="00B64521"/>
    <w:rsid w:val="00B64B42"/>
    <w:rsid w:val="00B65A50"/>
    <w:rsid w:val="00B67BDF"/>
    <w:rsid w:val="00B713F7"/>
    <w:rsid w:val="00B714F3"/>
    <w:rsid w:val="00B72013"/>
    <w:rsid w:val="00B72963"/>
    <w:rsid w:val="00B72E0B"/>
    <w:rsid w:val="00B73EB4"/>
    <w:rsid w:val="00B743F9"/>
    <w:rsid w:val="00B76282"/>
    <w:rsid w:val="00B7722C"/>
    <w:rsid w:val="00B8019E"/>
    <w:rsid w:val="00B802B0"/>
    <w:rsid w:val="00B80554"/>
    <w:rsid w:val="00B811E7"/>
    <w:rsid w:val="00B81C2B"/>
    <w:rsid w:val="00B81EE6"/>
    <w:rsid w:val="00B8270C"/>
    <w:rsid w:val="00B839C3"/>
    <w:rsid w:val="00B83FA3"/>
    <w:rsid w:val="00B84ECD"/>
    <w:rsid w:val="00B86103"/>
    <w:rsid w:val="00B87261"/>
    <w:rsid w:val="00B87E82"/>
    <w:rsid w:val="00B87ED2"/>
    <w:rsid w:val="00B90A71"/>
    <w:rsid w:val="00B90FA7"/>
    <w:rsid w:val="00B91071"/>
    <w:rsid w:val="00B913E3"/>
    <w:rsid w:val="00B92F80"/>
    <w:rsid w:val="00B959B6"/>
    <w:rsid w:val="00B96735"/>
    <w:rsid w:val="00B96ABA"/>
    <w:rsid w:val="00BA009D"/>
    <w:rsid w:val="00BA1700"/>
    <w:rsid w:val="00BA28E4"/>
    <w:rsid w:val="00BA7281"/>
    <w:rsid w:val="00BA78D8"/>
    <w:rsid w:val="00BB2DFF"/>
    <w:rsid w:val="00BB432A"/>
    <w:rsid w:val="00BB5D33"/>
    <w:rsid w:val="00BC010D"/>
    <w:rsid w:val="00BC1444"/>
    <w:rsid w:val="00BC1D64"/>
    <w:rsid w:val="00BC2354"/>
    <w:rsid w:val="00BC2F02"/>
    <w:rsid w:val="00BC4455"/>
    <w:rsid w:val="00BC4645"/>
    <w:rsid w:val="00BC4676"/>
    <w:rsid w:val="00BC4C3F"/>
    <w:rsid w:val="00BC5F7B"/>
    <w:rsid w:val="00BD144A"/>
    <w:rsid w:val="00BD23A9"/>
    <w:rsid w:val="00BD27FE"/>
    <w:rsid w:val="00BD4E03"/>
    <w:rsid w:val="00BD57B8"/>
    <w:rsid w:val="00BD6BEA"/>
    <w:rsid w:val="00BD702F"/>
    <w:rsid w:val="00BE2106"/>
    <w:rsid w:val="00BE47A9"/>
    <w:rsid w:val="00BE503D"/>
    <w:rsid w:val="00BE562F"/>
    <w:rsid w:val="00BE7BFD"/>
    <w:rsid w:val="00BE7C75"/>
    <w:rsid w:val="00BF0591"/>
    <w:rsid w:val="00BF090F"/>
    <w:rsid w:val="00BF0978"/>
    <w:rsid w:val="00BF0B3F"/>
    <w:rsid w:val="00BF2E98"/>
    <w:rsid w:val="00BF3B32"/>
    <w:rsid w:val="00BF497E"/>
    <w:rsid w:val="00BF4B9D"/>
    <w:rsid w:val="00BF72D2"/>
    <w:rsid w:val="00C0173B"/>
    <w:rsid w:val="00C02297"/>
    <w:rsid w:val="00C02515"/>
    <w:rsid w:val="00C0350B"/>
    <w:rsid w:val="00C04603"/>
    <w:rsid w:val="00C04698"/>
    <w:rsid w:val="00C05789"/>
    <w:rsid w:val="00C10A9E"/>
    <w:rsid w:val="00C110B2"/>
    <w:rsid w:val="00C121F3"/>
    <w:rsid w:val="00C14141"/>
    <w:rsid w:val="00C155B3"/>
    <w:rsid w:val="00C15DDF"/>
    <w:rsid w:val="00C20F2E"/>
    <w:rsid w:val="00C225E2"/>
    <w:rsid w:val="00C24E2D"/>
    <w:rsid w:val="00C25262"/>
    <w:rsid w:val="00C2710C"/>
    <w:rsid w:val="00C271AE"/>
    <w:rsid w:val="00C272DC"/>
    <w:rsid w:val="00C313EA"/>
    <w:rsid w:val="00C32BE0"/>
    <w:rsid w:val="00C32E22"/>
    <w:rsid w:val="00C3385C"/>
    <w:rsid w:val="00C34C37"/>
    <w:rsid w:val="00C372FD"/>
    <w:rsid w:val="00C40D67"/>
    <w:rsid w:val="00C416AA"/>
    <w:rsid w:val="00C42321"/>
    <w:rsid w:val="00C42AE2"/>
    <w:rsid w:val="00C42E33"/>
    <w:rsid w:val="00C46B0E"/>
    <w:rsid w:val="00C503B6"/>
    <w:rsid w:val="00C511CF"/>
    <w:rsid w:val="00C51260"/>
    <w:rsid w:val="00C52175"/>
    <w:rsid w:val="00C52BAE"/>
    <w:rsid w:val="00C537B2"/>
    <w:rsid w:val="00C546E7"/>
    <w:rsid w:val="00C6024B"/>
    <w:rsid w:val="00C60576"/>
    <w:rsid w:val="00C60A54"/>
    <w:rsid w:val="00C61963"/>
    <w:rsid w:val="00C6279E"/>
    <w:rsid w:val="00C652AB"/>
    <w:rsid w:val="00C673FC"/>
    <w:rsid w:val="00C67D02"/>
    <w:rsid w:val="00C736DC"/>
    <w:rsid w:val="00C74F7A"/>
    <w:rsid w:val="00C75277"/>
    <w:rsid w:val="00C754EB"/>
    <w:rsid w:val="00C75A63"/>
    <w:rsid w:val="00C75F43"/>
    <w:rsid w:val="00C76DB0"/>
    <w:rsid w:val="00C772AC"/>
    <w:rsid w:val="00C8066C"/>
    <w:rsid w:val="00C8108F"/>
    <w:rsid w:val="00C84D5F"/>
    <w:rsid w:val="00C85FB0"/>
    <w:rsid w:val="00C8656B"/>
    <w:rsid w:val="00C86D39"/>
    <w:rsid w:val="00C87A33"/>
    <w:rsid w:val="00C90767"/>
    <w:rsid w:val="00C90BB5"/>
    <w:rsid w:val="00C91D52"/>
    <w:rsid w:val="00C936E1"/>
    <w:rsid w:val="00C93CD6"/>
    <w:rsid w:val="00C94261"/>
    <w:rsid w:val="00C957D4"/>
    <w:rsid w:val="00C96DCF"/>
    <w:rsid w:val="00C97209"/>
    <w:rsid w:val="00CA022E"/>
    <w:rsid w:val="00CA0CD7"/>
    <w:rsid w:val="00CA11D4"/>
    <w:rsid w:val="00CA17C6"/>
    <w:rsid w:val="00CA184B"/>
    <w:rsid w:val="00CA1AA1"/>
    <w:rsid w:val="00CA1DD7"/>
    <w:rsid w:val="00CA45F9"/>
    <w:rsid w:val="00CA54BC"/>
    <w:rsid w:val="00CA5DF7"/>
    <w:rsid w:val="00CA7689"/>
    <w:rsid w:val="00CB0560"/>
    <w:rsid w:val="00CB1298"/>
    <w:rsid w:val="00CB2336"/>
    <w:rsid w:val="00CB33FD"/>
    <w:rsid w:val="00CB51B2"/>
    <w:rsid w:val="00CB7454"/>
    <w:rsid w:val="00CC361B"/>
    <w:rsid w:val="00CC42BF"/>
    <w:rsid w:val="00CC4AEE"/>
    <w:rsid w:val="00CC53C5"/>
    <w:rsid w:val="00CC61DC"/>
    <w:rsid w:val="00CC666F"/>
    <w:rsid w:val="00CC6779"/>
    <w:rsid w:val="00CC7A14"/>
    <w:rsid w:val="00CD0300"/>
    <w:rsid w:val="00CD0830"/>
    <w:rsid w:val="00CD0CCB"/>
    <w:rsid w:val="00CD457D"/>
    <w:rsid w:val="00CD5BCB"/>
    <w:rsid w:val="00CD5EDD"/>
    <w:rsid w:val="00CD66EF"/>
    <w:rsid w:val="00CD76A9"/>
    <w:rsid w:val="00CE0292"/>
    <w:rsid w:val="00CE0739"/>
    <w:rsid w:val="00CE09DE"/>
    <w:rsid w:val="00CE15B8"/>
    <w:rsid w:val="00CE201F"/>
    <w:rsid w:val="00CE3016"/>
    <w:rsid w:val="00CE49E5"/>
    <w:rsid w:val="00CE7119"/>
    <w:rsid w:val="00CF2673"/>
    <w:rsid w:val="00CF2B29"/>
    <w:rsid w:val="00CF47BD"/>
    <w:rsid w:val="00CF48C2"/>
    <w:rsid w:val="00CF4AAC"/>
    <w:rsid w:val="00CF4ACF"/>
    <w:rsid w:val="00CF4B31"/>
    <w:rsid w:val="00CF5BE4"/>
    <w:rsid w:val="00CF5F97"/>
    <w:rsid w:val="00CF7B24"/>
    <w:rsid w:val="00D006A9"/>
    <w:rsid w:val="00D00E8A"/>
    <w:rsid w:val="00D01FAD"/>
    <w:rsid w:val="00D02225"/>
    <w:rsid w:val="00D02660"/>
    <w:rsid w:val="00D02E4B"/>
    <w:rsid w:val="00D05A15"/>
    <w:rsid w:val="00D060C5"/>
    <w:rsid w:val="00D0643A"/>
    <w:rsid w:val="00D07711"/>
    <w:rsid w:val="00D10CB7"/>
    <w:rsid w:val="00D11643"/>
    <w:rsid w:val="00D13CAE"/>
    <w:rsid w:val="00D1447F"/>
    <w:rsid w:val="00D145FA"/>
    <w:rsid w:val="00D1582B"/>
    <w:rsid w:val="00D15FE8"/>
    <w:rsid w:val="00D17130"/>
    <w:rsid w:val="00D17F86"/>
    <w:rsid w:val="00D20406"/>
    <w:rsid w:val="00D207E8"/>
    <w:rsid w:val="00D2175C"/>
    <w:rsid w:val="00D23181"/>
    <w:rsid w:val="00D24BD2"/>
    <w:rsid w:val="00D25338"/>
    <w:rsid w:val="00D25B42"/>
    <w:rsid w:val="00D30108"/>
    <w:rsid w:val="00D3033F"/>
    <w:rsid w:val="00D309F7"/>
    <w:rsid w:val="00D310C6"/>
    <w:rsid w:val="00D32D96"/>
    <w:rsid w:val="00D32EE1"/>
    <w:rsid w:val="00D33887"/>
    <w:rsid w:val="00D348D1"/>
    <w:rsid w:val="00D35B10"/>
    <w:rsid w:val="00D36C99"/>
    <w:rsid w:val="00D40C63"/>
    <w:rsid w:val="00D412CE"/>
    <w:rsid w:val="00D429F6"/>
    <w:rsid w:val="00D42ED3"/>
    <w:rsid w:val="00D42F36"/>
    <w:rsid w:val="00D43549"/>
    <w:rsid w:val="00D45A3D"/>
    <w:rsid w:val="00D45FA8"/>
    <w:rsid w:val="00D509BF"/>
    <w:rsid w:val="00D50FB4"/>
    <w:rsid w:val="00D5193E"/>
    <w:rsid w:val="00D51975"/>
    <w:rsid w:val="00D54668"/>
    <w:rsid w:val="00D547FE"/>
    <w:rsid w:val="00D55400"/>
    <w:rsid w:val="00D55C19"/>
    <w:rsid w:val="00D567F3"/>
    <w:rsid w:val="00D56A11"/>
    <w:rsid w:val="00D6092F"/>
    <w:rsid w:val="00D62C9B"/>
    <w:rsid w:val="00D62EFD"/>
    <w:rsid w:val="00D63ED9"/>
    <w:rsid w:val="00D65139"/>
    <w:rsid w:val="00D6552C"/>
    <w:rsid w:val="00D65EF7"/>
    <w:rsid w:val="00D67001"/>
    <w:rsid w:val="00D67F73"/>
    <w:rsid w:val="00D726E2"/>
    <w:rsid w:val="00D73488"/>
    <w:rsid w:val="00D77CA5"/>
    <w:rsid w:val="00D77FFB"/>
    <w:rsid w:val="00D803E1"/>
    <w:rsid w:val="00D81048"/>
    <w:rsid w:val="00D82564"/>
    <w:rsid w:val="00D825DA"/>
    <w:rsid w:val="00D8287F"/>
    <w:rsid w:val="00D8361A"/>
    <w:rsid w:val="00D84DD6"/>
    <w:rsid w:val="00D854CD"/>
    <w:rsid w:val="00D85578"/>
    <w:rsid w:val="00D85B7A"/>
    <w:rsid w:val="00D8729F"/>
    <w:rsid w:val="00D90F18"/>
    <w:rsid w:val="00D916E7"/>
    <w:rsid w:val="00D91BB0"/>
    <w:rsid w:val="00D92489"/>
    <w:rsid w:val="00D93F82"/>
    <w:rsid w:val="00D94206"/>
    <w:rsid w:val="00D956A8"/>
    <w:rsid w:val="00D95B2F"/>
    <w:rsid w:val="00D95B6C"/>
    <w:rsid w:val="00DA0A66"/>
    <w:rsid w:val="00DA12C3"/>
    <w:rsid w:val="00DA50E9"/>
    <w:rsid w:val="00DA5295"/>
    <w:rsid w:val="00DA6D99"/>
    <w:rsid w:val="00DA78AA"/>
    <w:rsid w:val="00DB3F22"/>
    <w:rsid w:val="00DB46D8"/>
    <w:rsid w:val="00DB50F1"/>
    <w:rsid w:val="00DB5C79"/>
    <w:rsid w:val="00DB614D"/>
    <w:rsid w:val="00DB62BA"/>
    <w:rsid w:val="00DB6F25"/>
    <w:rsid w:val="00DC0A7E"/>
    <w:rsid w:val="00DC0AC8"/>
    <w:rsid w:val="00DC1520"/>
    <w:rsid w:val="00DC187D"/>
    <w:rsid w:val="00DC22A6"/>
    <w:rsid w:val="00DC4123"/>
    <w:rsid w:val="00DC4BBA"/>
    <w:rsid w:val="00DC5B41"/>
    <w:rsid w:val="00DC5CD0"/>
    <w:rsid w:val="00DD192E"/>
    <w:rsid w:val="00DD19AB"/>
    <w:rsid w:val="00DD237D"/>
    <w:rsid w:val="00DD2FB7"/>
    <w:rsid w:val="00DD3C50"/>
    <w:rsid w:val="00DD4BDF"/>
    <w:rsid w:val="00DD4F48"/>
    <w:rsid w:val="00DE20C5"/>
    <w:rsid w:val="00DE2868"/>
    <w:rsid w:val="00DE483A"/>
    <w:rsid w:val="00DE5E00"/>
    <w:rsid w:val="00DE6DFF"/>
    <w:rsid w:val="00DE7417"/>
    <w:rsid w:val="00DF11BE"/>
    <w:rsid w:val="00DF210B"/>
    <w:rsid w:val="00DF2D64"/>
    <w:rsid w:val="00DF3B2B"/>
    <w:rsid w:val="00DF5818"/>
    <w:rsid w:val="00DF5A97"/>
    <w:rsid w:val="00DF5C66"/>
    <w:rsid w:val="00DF5F3E"/>
    <w:rsid w:val="00E016BF"/>
    <w:rsid w:val="00E02E45"/>
    <w:rsid w:val="00E05742"/>
    <w:rsid w:val="00E057A2"/>
    <w:rsid w:val="00E05803"/>
    <w:rsid w:val="00E06246"/>
    <w:rsid w:val="00E107F1"/>
    <w:rsid w:val="00E12A00"/>
    <w:rsid w:val="00E13AE9"/>
    <w:rsid w:val="00E15884"/>
    <w:rsid w:val="00E15C0D"/>
    <w:rsid w:val="00E1645C"/>
    <w:rsid w:val="00E170D9"/>
    <w:rsid w:val="00E1795C"/>
    <w:rsid w:val="00E20D50"/>
    <w:rsid w:val="00E21106"/>
    <w:rsid w:val="00E218C6"/>
    <w:rsid w:val="00E21F64"/>
    <w:rsid w:val="00E24F3B"/>
    <w:rsid w:val="00E25673"/>
    <w:rsid w:val="00E25C6D"/>
    <w:rsid w:val="00E27358"/>
    <w:rsid w:val="00E2753D"/>
    <w:rsid w:val="00E27C4B"/>
    <w:rsid w:val="00E27F92"/>
    <w:rsid w:val="00E3395D"/>
    <w:rsid w:val="00E341C2"/>
    <w:rsid w:val="00E343F9"/>
    <w:rsid w:val="00E3539F"/>
    <w:rsid w:val="00E354B5"/>
    <w:rsid w:val="00E36101"/>
    <w:rsid w:val="00E411D1"/>
    <w:rsid w:val="00E4339A"/>
    <w:rsid w:val="00E453A8"/>
    <w:rsid w:val="00E46CCA"/>
    <w:rsid w:val="00E47D1E"/>
    <w:rsid w:val="00E50777"/>
    <w:rsid w:val="00E516AE"/>
    <w:rsid w:val="00E52AE3"/>
    <w:rsid w:val="00E536CA"/>
    <w:rsid w:val="00E54BE1"/>
    <w:rsid w:val="00E5546D"/>
    <w:rsid w:val="00E56899"/>
    <w:rsid w:val="00E5735E"/>
    <w:rsid w:val="00E57DD8"/>
    <w:rsid w:val="00E6092F"/>
    <w:rsid w:val="00E60989"/>
    <w:rsid w:val="00E61683"/>
    <w:rsid w:val="00E64C2A"/>
    <w:rsid w:val="00E6523D"/>
    <w:rsid w:val="00E67487"/>
    <w:rsid w:val="00E67D78"/>
    <w:rsid w:val="00E70B00"/>
    <w:rsid w:val="00E733D9"/>
    <w:rsid w:val="00E73F90"/>
    <w:rsid w:val="00E74D3B"/>
    <w:rsid w:val="00E75782"/>
    <w:rsid w:val="00E75941"/>
    <w:rsid w:val="00E77A5D"/>
    <w:rsid w:val="00E80576"/>
    <w:rsid w:val="00E8061F"/>
    <w:rsid w:val="00E84E86"/>
    <w:rsid w:val="00E85517"/>
    <w:rsid w:val="00E85C7B"/>
    <w:rsid w:val="00E907F7"/>
    <w:rsid w:val="00E936EB"/>
    <w:rsid w:val="00E950E8"/>
    <w:rsid w:val="00E95F75"/>
    <w:rsid w:val="00E96CE4"/>
    <w:rsid w:val="00E97FAA"/>
    <w:rsid w:val="00EA03D6"/>
    <w:rsid w:val="00EA100E"/>
    <w:rsid w:val="00EA2AA7"/>
    <w:rsid w:val="00EA3409"/>
    <w:rsid w:val="00EA4F41"/>
    <w:rsid w:val="00EA53DF"/>
    <w:rsid w:val="00EA5C1E"/>
    <w:rsid w:val="00EA7396"/>
    <w:rsid w:val="00EB0DC2"/>
    <w:rsid w:val="00EB1ABF"/>
    <w:rsid w:val="00EB1E9D"/>
    <w:rsid w:val="00EB2080"/>
    <w:rsid w:val="00EB39E1"/>
    <w:rsid w:val="00EB4108"/>
    <w:rsid w:val="00EB4283"/>
    <w:rsid w:val="00EB5379"/>
    <w:rsid w:val="00EB65E0"/>
    <w:rsid w:val="00EC006E"/>
    <w:rsid w:val="00EC193A"/>
    <w:rsid w:val="00EC2087"/>
    <w:rsid w:val="00EC2529"/>
    <w:rsid w:val="00EC33E4"/>
    <w:rsid w:val="00EC36BC"/>
    <w:rsid w:val="00EC6FDA"/>
    <w:rsid w:val="00ED0683"/>
    <w:rsid w:val="00ED343B"/>
    <w:rsid w:val="00ED3993"/>
    <w:rsid w:val="00ED6013"/>
    <w:rsid w:val="00ED638E"/>
    <w:rsid w:val="00ED6FD3"/>
    <w:rsid w:val="00EE0911"/>
    <w:rsid w:val="00EE250C"/>
    <w:rsid w:val="00EE2B7D"/>
    <w:rsid w:val="00EE4B2F"/>
    <w:rsid w:val="00EE5A04"/>
    <w:rsid w:val="00EE621F"/>
    <w:rsid w:val="00EE7817"/>
    <w:rsid w:val="00EF1636"/>
    <w:rsid w:val="00EF2514"/>
    <w:rsid w:val="00EF26E2"/>
    <w:rsid w:val="00EF421E"/>
    <w:rsid w:val="00EF50C5"/>
    <w:rsid w:val="00EF524D"/>
    <w:rsid w:val="00EF5251"/>
    <w:rsid w:val="00EF661F"/>
    <w:rsid w:val="00EF6806"/>
    <w:rsid w:val="00EF6D43"/>
    <w:rsid w:val="00EF76C8"/>
    <w:rsid w:val="00F00699"/>
    <w:rsid w:val="00F01D90"/>
    <w:rsid w:val="00F0419F"/>
    <w:rsid w:val="00F041A7"/>
    <w:rsid w:val="00F05380"/>
    <w:rsid w:val="00F06090"/>
    <w:rsid w:val="00F067D5"/>
    <w:rsid w:val="00F109EE"/>
    <w:rsid w:val="00F11910"/>
    <w:rsid w:val="00F11BCB"/>
    <w:rsid w:val="00F11CF5"/>
    <w:rsid w:val="00F1253B"/>
    <w:rsid w:val="00F128C3"/>
    <w:rsid w:val="00F148F3"/>
    <w:rsid w:val="00F14EE4"/>
    <w:rsid w:val="00F16338"/>
    <w:rsid w:val="00F1692B"/>
    <w:rsid w:val="00F16E7E"/>
    <w:rsid w:val="00F20471"/>
    <w:rsid w:val="00F21B25"/>
    <w:rsid w:val="00F227C8"/>
    <w:rsid w:val="00F22823"/>
    <w:rsid w:val="00F22A69"/>
    <w:rsid w:val="00F258E0"/>
    <w:rsid w:val="00F25C69"/>
    <w:rsid w:val="00F26C29"/>
    <w:rsid w:val="00F3010B"/>
    <w:rsid w:val="00F306A4"/>
    <w:rsid w:val="00F30983"/>
    <w:rsid w:val="00F3135C"/>
    <w:rsid w:val="00F325F2"/>
    <w:rsid w:val="00F33279"/>
    <w:rsid w:val="00F34806"/>
    <w:rsid w:val="00F35372"/>
    <w:rsid w:val="00F361ED"/>
    <w:rsid w:val="00F408E4"/>
    <w:rsid w:val="00F410C7"/>
    <w:rsid w:val="00F431F9"/>
    <w:rsid w:val="00F434A9"/>
    <w:rsid w:val="00F4382C"/>
    <w:rsid w:val="00F43F4B"/>
    <w:rsid w:val="00F502D0"/>
    <w:rsid w:val="00F5062A"/>
    <w:rsid w:val="00F506C1"/>
    <w:rsid w:val="00F519A0"/>
    <w:rsid w:val="00F5285D"/>
    <w:rsid w:val="00F52985"/>
    <w:rsid w:val="00F52F4E"/>
    <w:rsid w:val="00F53F48"/>
    <w:rsid w:val="00F541B5"/>
    <w:rsid w:val="00F56632"/>
    <w:rsid w:val="00F567B2"/>
    <w:rsid w:val="00F56B8C"/>
    <w:rsid w:val="00F56F00"/>
    <w:rsid w:val="00F572C2"/>
    <w:rsid w:val="00F577DB"/>
    <w:rsid w:val="00F60D99"/>
    <w:rsid w:val="00F636DA"/>
    <w:rsid w:val="00F6516F"/>
    <w:rsid w:val="00F65603"/>
    <w:rsid w:val="00F66B57"/>
    <w:rsid w:val="00F66E87"/>
    <w:rsid w:val="00F67EA2"/>
    <w:rsid w:val="00F70F55"/>
    <w:rsid w:val="00F718CE"/>
    <w:rsid w:val="00F71C6E"/>
    <w:rsid w:val="00F73851"/>
    <w:rsid w:val="00F74D44"/>
    <w:rsid w:val="00F76565"/>
    <w:rsid w:val="00F77156"/>
    <w:rsid w:val="00F77FF0"/>
    <w:rsid w:val="00F80AEF"/>
    <w:rsid w:val="00F82671"/>
    <w:rsid w:val="00F8612D"/>
    <w:rsid w:val="00F86C26"/>
    <w:rsid w:val="00F8730E"/>
    <w:rsid w:val="00F90127"/>
    <w:rsid w:val="00F9149F"/>
    <w:rsid w:val="00F944B8"/>
    <w:rsid w:val="00F94C54"/>
    <w:rsid w:val="00F94D9A"/>
    <w:rsid w:val="00F95C6B"/>
    <w:rsid w:val="00FA338A"/>
    <w:rsid w:val="00FA33D2"/>
    <w:rsid w:val="00FA3835"/>
    <w:rsid w:val="00FA54A8"/>
    <w:rsid w:val="00FB17FE"/>
    <w:rsid w:val="00FB19D7"/>
    <w:rsid w:val="00FB3B8E"/>
    <w:rsid w:val="00FB4248"/>
    <w:rsid w:val="00FB4D9B"/>
    <w:rsid w:val="00FB4E23"/>
    <w:rsid w:val="00FB4F43"/>
    <w:rsid w:val="00FB781A"/>
    <w:rsid w:val="00FC215F"/>
    <w:rsid w:val="00FC46C1"/>
    <w:rsid w:val="00FC5D1F"/>
    <w:rsid w:val="00FC7E3A"/>
    <w:rsid w:val="00FD5053"/>
    <w:rsid w:val="00FD51E9"/>
    <w:rsid w:val="00FD561A"/>
    <w:rsid w:val="00FD5C8D"/>
    <w:rsid w:val="00FD64BA"/>
    <w:rsid w:val="00FD72B9"/>
    <w:rsid w:val="00FD775F"/>
    <w:rsid w:val="00FD7FAD"/>
    <w:rsid w:val="00FE03B7"/>
    <w:rsid w:val="00FE1BCD"/>
    <w:rsid w:val="00FE2487"/>
    <w:rsid w:val="00FE2E89"/>
    <w:rsid w:val="00FE32F0"/>
    <w:rsid w:val="00FE54F8"/>
    <w:rsid w:val="00FE5FAC"/>
    <w:rsid w:val="00FE60E6"/>
    <w:rsid w:val="00FE71DF"/>
    <w:rsid w:val="00FF0A50"/>
    <w:rsid w:val="00FF27E5"/>
    <w:rsid w:val="00FF2A1C"/>
    <w:rsid w:val="00FF323F"/>
    <w:rsid w:val="00FF34BC"/>
    <w:rsid w:val="00FF4432"/>
    <w:rsid w:val="00FF453F"/>
    <w:rsid w:val="00FF59E7"/>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0081"/>
    <w:pPr>
      <w:spacing w:after="0" w:line="240" w:lineRule="auto"/>
      <w:jc w:val="both"/>
    </w:pPr>
    <w:rPr>
      <w:rFonts w:ascii="Times New Roman" w:hAnsi="Times New Roman"/>
    </w:rPr>
  </w:style>
  <w:style w:type="paragraph" w:styleId="Heading1">
    <w:name w:val="heading 1"/>
    <w:basedOn w:val="Normal"/>
    <w:next w:val="Normal"/>
    <w:link w:val="Heading1Char"/>
    <w:uiPriority w:val="9"/>
    <w:qFormat/>
    <w:rsid w:val="00703AC1"/>
    <w:pPr>
      <w:keepNext/>
      <w:keepLines/>
      <w:numPr>
        <w:numId w:val="19"/>
      </w:numPr>
      <w:spacing w:before="480"/>
      <w:ind w:left="720"/>
      <w:outlineLvl w:val="0"/>
    </w:pPr>
    <w:rPr>
      <w:rFonts w:asciiTheme="majorHAnsi" w:eastAsiaTheme="majorEastAsia" w:hAnsiTheme="majorHAnsi" w:cstheme="majorBidi"/>
      <w:b/>
      <w:bCs/>
      <w:color w:val="365F91" w:themeColor="accent1" w:themeShade="BF"/>
      <w:sz w:val="40"/>
      <w:szCs w:val="28"/>
    </w:rPr>
  </w:style>
  <w:style w:type="paragraph" w:styleId="Heading2">
    <w:name w:val="heading 2"/>
    <w:basedOn w:val="Normal"/>
    <w:next w:val="Normal"/>
    <w:link w:val="Heading2Char"/>
    <w:uiPriority w:val="9"/>
    <w:unhideWhenUsed/>
    <w:qFormat/>
    <w:rsid w:val="00810081"/>
    <w:pPr>
      <w:keepNext/>
      <w:keepLines/>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ListParagraph"/>
    <w:link w:val="Style1Char"/>
    <w:autoRedefine/>
    <w:qFormat/>
    <w:rsid w:val="00022FF0"/>
    <w:pPr>
      <w:spacing w:line="360" w:lineRule="auto"/>
      <w:ind w:left="0"/>
      <w:contextualSpacing w:val="0"/>
    </w:pPr>
    <w:rPr>
      <w:rFonts w:eastAsia="Times New Roman" w:cs="Times New Roman"/>
      <w:sz w:val="24"/>
      <w:szCs w:val="24"/>
    </w:rPr>
  </w:style>
  <w:style w:type="character" w:customStyle="1" w:styleId="Style1Char">
    <w:name w:val="Style1 Char"/>
    <w:basedOn w:val="DefaultParagraphFont"/>
    <w:link w:val="Style1"/>
    <w:rsid w:val="00022FF0"/>
    <w:rPr>
      <w:rFonts w:ascii="Times New Roman" w:eastAsia="Times New Roman" w:hAnsi="Times New Roman" w:cs="Times New Roman"/>
      <w:sz w:val="24"/>
      <w:szCs w:val="24"/>
    </w:rPr>
  </w:style>
  <w:style w:type="paragraph" w:styleId="ListParagraph">
    <w:name w:val="List Paragraph"/>
    <w:basedOn w:val="Normal"/>
    <w:uiPriority w:val="34"/>
    <w:qFormat/>
    <w:rsid w:val="00022FF0"/>
    <w:pPr>
      <w:ind w:left="720"/>
      <w:contextualSpacing/>
    </w:pPr>
  </w:style>
  <w:style w:type="paragraph" w:styleId="BalloonText">
    <w:name w:val="Balloon Text"/>
    <w:basedOn w:val="Normal"/>
    <w:link w:val="BalloonTextChar"/>
    <w:uiPriority w:val="99"/>
    <w:semiHidden/>
    <w:unhideWhenUsed/>
    <w:rsid w:val="00F577DB"/>
    <w:rPr>
      <w:rFonts w:ascii="Tahoma" w:hAnsi="Tahoma" w:cs="Tahoma"/>
      <w:sz w:val="16"/>
      <w:szCs w:val="16"/>
    </w:rPr>
  </w:style>
  <w:style w:type="character" w:customStyle="1" w:styleId="BalloonTextChar">
    <w:name w:val="Balloon Text Char"/>
    <w:basedOn w:val="DefaultParagraphFont"/>
    <w:link w:val="BalloonText"/>
    <w:uiPriority w:val="99"/>
    <w:semiHidden/>
    <w:rsid w:val="00F577DB"/>
    <w:rPr>
      <w:rFonts w:ascii="Tahoma" w:hAnsi="Tahoma" w:cs="Tahoma"/>
      <w:sz w:val="16"/>
      <w:szCs w:val="16"/>
    </w:rPr>
  </w:style>
  <w:style w:type="paragraph" w:styleId="FootnoteText">
    <w:name w:val="footnote text"/>
    <w:aliases w:val="ft,fn,Char,Footnote Text Char Char Char Char Char Char,single space,footnote text,FOOTNOTES,WB-Fußnotentext,Footnote,Fußnote,Note de bas de page Car,Footnote Text Char Car,Footnote Text Char1 Car,texto de nota al pie Car1,FN,Geneva 9, Char"/>
    <w:basedOn w:val="Normal"/>
    <w:link w:val="FootnoteTextChar"/>
    <w:uiPriority w:val="99"/>
    <w:unhideWhenUsed/>
    <w:rsid w:val="00216CEC"/>
    <w:rPr>
      <w:rFonts w:ascii="Calibri" w:eastAsia="Calibri" w:hAnsi="Calibri" w:cs="Times New Roman"/>
      <w:sz w:val="20"/>
      <w:szCs w:val="20"/>
    </w:rPr>
  </w:style>
  <w:style w:type="character" w:customStyle="1" w:styleId="FootnoteTextChar">
    <w:name w:val="Footnote Text Char"/>
    <w:aliases w:val="ft Char,fn Char,Char Char,Footnote Text Char Char Char Char Char Char Char,single space Char,footnote text Char,FOOTNOTES Char,WB-Fußnotentext Char,Footnote Char,Fußnote Char,Note de bas de page Car Char,Footnote Text Char Car Char"/>
    <w:basedOn w:val="DefaultParagraphFont"/>
    <w:link w:val="FootnoteText"/>
    <w:uiPriority w:val="99"/>
    <w:rsid w:val="00216CEC"/>
    <w:rPr>
      <w:rFonts w:ascii="Calibri" w:eastAsia="Calibri" w:hAnsi="Calibri" w:cs="Times New Roman"/>
      <w:sz w:val="20"/>
      <w:szCs w:val="20"/>
    </w:rPr>
  </w:style>
  <w:style w:type="character" w:styleId="FootnoteReference">
    <w:name w:val="footnote reference"/>
    <w:aliases w:val="ftref,referencia nota al pie,footnote ref,16 Point,Superscript 6 Point,fr,(NECG) Footnote Reference, BVI fnr,BVI fnr,Footnote Reference Number"/>
    <w:basedOn w:val="DefaultParagraphFont"/>
    <w:uiPriority w:val="99"/>
    <w:unhideWhenUsed/>
    <w:rsid w:val="00216CEC"/>
    <w:rPr>
      <w:vertAlign w:val="superscript"/>
    </w:rPr>
  </w:style>
  <w:style w:type="table" w:styleId="TableGrid">
    <w:name w:val="Table Grid"/>
    <w:basedOn w:val="TableNormal"/>
    <w:uiPriority w:val="59"/>
    <w:rsid w:val="00F353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Numbering">
    <w:name w:val="Paragraph Numbering"/>
    <w:basedOn w:val="Normal"/>
    <w:autoRedefine/>
    <w:uiPriority w:val="1"/>
    <w:qFormat/>
    <w:rsid w:val="0085133C"/>
    <w:pPr>
      <w:widowControl w:val="0"/>
      <w:numPr>
        <w:numId w:val="26"/>
      </w:numPr>
      <w:autoSpaceDE w:val="0"/>
      <w:autoSpaceDN w:val="0"/>
      <w:adjustRightInd w:val="0"/>
      <w:spacing w:line="0" w:lineRule="atLeast"/>
      <w:ind w:left="0" w:firstLine="0"/>
    </w:pPr>
    <w:rPr>
      <w:rFonts w:cs="TimesNewRomanPSMT"/>
      <w:noProof/>
      <w:color w:val="000000" w:themeColor="text1"/>
      <w:szCs w:val="18"/>
    </w:rPr>
  </w:style>
  <w:style w:type="character" w:customStyle="1" w:styleId="Heading1Char">
    <w:name w:val="Heading 1 Char"/>
    <w:basedOn w:val="DefaultParagraphFont"/>
    <w:link w:val="Heading1"/>
    <w:uiPriority w:val="9"/>
    <w:rsid w:val="00703AC1"/>
    <w:rPr>
      <w:rFonts w:asciiTheme="majorHAnsi" w:eastAsiaTheme="majorEastAsia" w:hAnsiTheme="majorHAnsi" w:cstheme="majorBidi"/>
      <w:b/>
      <w:bCs/>
      <w:color w:val="365F91" w:themeColor="accent1" w:themeShade="BF"/>
      <w:sz w:val="40"/>
      <w:szCs w:val="28"/>
    </w:rPr>
  </w:style>
  <w:style w:type="paragraph" w:styleId="Caption">
    <w:name w:val="caption"/>
    <w:aliases w:val="quarterly chart caption,quarterly chart caption Char Char,chart title,Caption SEETO,Beskrivning Char,Beskrivning Char1 Char,Beskrivning Char Char Char,Beskrivning Char1 Char Char Char,Beskrivning Char Char Char Char Char"/>
    <w:basedOn w:val="Normal"/>
    <w:next w:val="Normal"/>
    <w:link w:val="CaptionChar"/>
    <w:uiPriority w:val="35"/>
    <w:unhideWhenUsed/>
    <w:qFormat/>
    <w:rsid w:val="00E6092F"/>
    <w:rPr>
      <w:b/>
      <w:bCs/>
      <w:color w:val="4F81BD" w:themeColor="accent1"/>
      <w:sz w:val="18"/>
      <w:szCs w:val="18"/>
    </w:rPr>
  </w:style>
  <w:style w:type="character" w:customStyle="1" w:styleId="Heading2Char">
    <w:name w:val="Heading 2 Char"/>
    <w:basedOn w:val="DefaultParagraphFont"/>
    <w:link w:val="Heading2"/>
    <w:uiPriority w:val="9"/>
    <w:rsid w:val="00810081"/>
    <w:rPr>
      <w:rFonts w:asciiTheme="majorHAnsi" w:eastAsiaTheme="majorEastAsia" w:hAnsiTheme="majorHAnsi" w:cstheme="majorBidi"/>
      <w:b/>
      <w:bCs/>
      <w:color w:val="4F81BD" w:themeColor="accent1"/>
      <w:sz w:val="26"/>
      <w:szCs w:val="26"/>
    </w:rPr>
  </w:style>
  <w:style w:type="paragraph" w:customStyle="1" w:styleId="Default">
    <w:name w:val="Default"/>
    <w:rsid w:val="007D20AB"/>
    <w:pPr>
      <w:autoSpaceDE w:val="0"/>
      <w:autoSpaceDN w:val="0"/>
      <w:adjustRightInd w:val="0"/>
      <w:spacing w:after="0" w:line="240" w:lineRule="auto"/>
    </w:pPr>
    <w:rPr>
      <w:rFonts w:ascii="Univers 47 CondensedLight" w:hAnsi="Univers 47 CondensedLight" w:cs="Univers 47 CondensedLight"/>
      <w:color w:val="000000"/>
      <w:sz w:val="24"/>
      <w:szCs w:val="24"/>
    </w:rPr>
  </w:style>
  <w:style w:type="character" w:customStyle="1" w:styleId="A8">
    <w:name w:val="A8"/>
    <w:uiPriority w:val="99"/>
    <w:rsid w:val="007D20AB"/>
    <w:rPr>
      <w:rFonts w:cs="Univers 47 CondensedLight"/>
      <w:color w:val="000000"/>
      <w:sz w:val="18"/>
      <w:szCs w:val="18"/>
    </w:rPr>
  </w:style>
  <w:style w:type="paragraph" w:styleId="NormalWeb">
    <w:name w:val="Normal (Web)"/>
    <w:basedOn w:val="Normal"/>
    <w:uiPriority w:val="99"/>
    <w:unhideWhenUsed/>
    <w:rsid w:val="00DC22A6"/>
    <w:pPr>
      <w:spacing w:before="100" w:beforeAutospacing="1" w:after="100" w:afterAutospacing="1"/>
      <w:jc w:val="left"/>
    </w:pPr>
    <w:rPr>
      <w:rFonts w:eastAsia="Times New Roman" w:cs="Times New Roman"/>
      <w:sz w:val="24"/>
      <w:szCs w:val="24"/>
    </w:rPr>
  </w:style>
  <w:style w:type="paragraph" w:customStyle="1" w:styleId="s1">
    <w:name w:val="s1"/>
    <w:basedOn w:val="Normal"/>
    <w:rsid w:val="00DC22A6"/>
    <w:pPr>
      <w:spacing w:before="100" w:beforeAutospacing="1" w:after="100" w:afterAutospacing="1"/>
      <w:jc w:val="left"/>
    </w:pPr>
    <w:rPr>
      <w:rFonts w:eastAsia="Times New Roman" w:cs="Times New Roman"/>
      <w:sz w:val="24"/>
      <w:szCs w:val="24"/>
    </w:rPr>
  </w:style>
  <w:style w:type="character" w:customStyle="1" w:styleId="Date1">
    <w:name w:val="Date1"/>
    <w:basedOn w:val="DefaultParagraphFont"/>
    <w:rsid w:val="00DC22A6"/>
  </w:style>
  <w:style w:type="character" w:customStyle="1" w:styleId="topic">
    <w:name w:val="topic"/>
    <w:basedOn w:val="DefaultParagraphFont"/>
    <w:rsid w:val="00DC22A6"/>
  </w:style>
  <w:style w:type="character" w:styleId="Hyperlink">
    <w:name w:val="Hyperlink"/>
    <w:basedOn w:val="DefaultParagraphFont"/>
    <w:uiPriority w:val="99"/>
    <w:unhideWhenUsed/>
    <w:rsid w:val="00FD5C8D"/>
    <w:rPr>
      <w:color w:val="0000FF" w:themeColor="hyperlink"/>
      <w:u w:val="single"/>
    </w:rPr>
  </w:style>
  <w:style w:type="character" w:styleId="FollowedHyperlink">
    <w:name w:val="FollowedHyperlink"/>
    <w:basedOn w:val="DefaultParagraphFont"/>
    <w:uiPriority w:val="99"/>
    <w:semiHidden/>
    <w:unhideWhenUsed/>
    <w:rsid w:val="00F80AEF"/>
    <w:rPr>
      <w:color w:val="800080" w:themeColor="followedHyperlink"/>
      <w:u w:val="single"/>
    </w:rPr>
  </w:style>
  <w:style w:type="paragraph" w:styleId="NoSpacing">
    <w:name w:val="No Spacing"/>
    <w:link w:val="NoSpacingChar"/>
    <w:uiPriority w:val="1"/>
    <w:qFormat/>
    <w:rsid w:val="006B65C5"/>
    <w:pPr>
      <w:spacing w:after="0" w:line="240" w:lineRule="auto"/>
      <w:jc w:val="both"/>
    </w:pPr>
    <w:rPr>
      <w:rFonts w:ascii="Times New Roman" w:hAnsi="Times New Roman"/>
      <w:lang w:val="es-ES"/>
    </w:rPr>
  </w:style>
  <w:style w:type="character" w:customStyle="1" w:styleId="NoSpacingChar">
    <w:name w:val="No Spacing Char"/>
    <w:basedOn w:val="DefaultParagraphFont"/>
    <w:link w:val="NoSpacing"/>
    <w:uiPriority w:val="1"/>
    <w:rsid w:val="006B65C5"/>
    <w:rPr>
      <w:rFonts w:ascii="Times New Roman" w:hAnsi="Times New Roman"/>
      <w:lang w:val="es-ES"/>
    </w:rPr>
  </w:style>
  <w:style w:type="paragraph" w:styleId="Header">
    <w:name w:val="header"/>
    <w:basedOn w:val="Normal"/>
    <w:link w:val="HeaderChar"/>
    <w:uiPriority w:val="99"/>
    <w:unhideWhenUsed/>
    <w:rsid w:val="006B65C5"/>
    <w:pPr>
      <w:tabs>
        <w:tab w:val="center" w:pos="4680"/>
        <w:tab w:val="right" w:pos="9360"/>
      </w:tabs>
    </w:pPr>
  </w:style>
  <w:style w:type="character" w:customStyle="1" w:styleId="HeaderChar">
    <w:name w:val="Header Char"/>
    <w:basedOn w:val="DefaultParagraphFont"/>
    <w:link w:val="Header"/>
    <w:uiPriority w:val="99"/>
    <w:rsid w:val="006B65C5"/>
    <w:rPr>
      <w:rFonts w:ascii="Times New Roman" w:hAnsi="Times New Roman"/>
    </w:rPr>
  </w:style>
  <w:style w:type="paragraph" w:styleId="Footer">
    <w:name w:val="footer"/>
    <w:basedOn w:val="Normal"/>
    <w:link w:val="FooterChar"/>
    <w:uiPriority w:val="99"/>
    <w:unhideWhenUsed/>
    <w:rsid w:val="006B65C5"/>
    <w:pPr>
      <w:tabs>
        <w:tab w:val="center" w:pos="4680"/>
        <w:tab w:val="right" w:pos="9360"/>
      </w:tabs>
    </w:pPr>
  </w:style>
  <w:style w:type="character" w:customStyle="1" w:styleId="FooterChar">
    <w:name w:val="Footer Char"/>
    <w:basedOn w:val="DefaultParagraphFont"/>
    <w:link w:val="Footer"/>
    <w:uiPriority w:val="99"/>
    <w:rsid w:val="006B65C5"/>
    <w:rPr>
      <w:rFonts w:ascii="Times New Roman" w:hAnsi="Times New Roman"/>
    </w:rPr>
  </w:style>
  <w:style w:type="paragraph" w:styleId="TOC1">
    <w:name w:val="toc 1"/>
    <w:basedOn w:val="Normal"/>
    <w:next w:val="Normal"/>
    <w:autoRedefine/>
    <w:uiPriority w:val="39"/>
    <w:unhideWhenUsed/>
    <w:qFormat/>
    <w:rsid w:val="005808B8"/>
    <w:pPr>
      <w:spacing w:before="240" w:after="120" w:line="276" w:lineRule="auto"/>
      <w:jc w:val="left"/>
    </w:pPr>
    <w:rPr>
      <w:rFonts w:asciiTheme="minorHAnsi" w:hAnsiTheme="minorHAnsi" w:cstheme="minorHAnsi"/>
      <w:b/>
      <w:bCs/>
      <w:sz w:val="20"/>
      <w:szCs w:val="20"/>
      <w:lang w:val="es-ES"/>
    </w:rPr>
  </w:style>
  <w:style w:type="paragraph" w:styleId="TOC2">
    <w:name w:val="toc 2"/>
    <w:basedOn w:val="Normal"/>
    <w:next w:val="Normal"/>
    <w:autoRedefine/>
    <w:uiPriority w:val="39"/>
    <w:unhideWhenUsed/>
    <w:qFormat/>
    <w:rsid w:val="005808B8"/>
    <w:pPr>
      <w:spacing w:before="120" w:line="276" w:lineRule="auto"/>
      <w:ind w:left="220"/>
      <w:jc w:val="left"/>
    </w:pPr>
    <w:rPr>
      <w:rFonts w:asciiTheme="minorHAnsi" w:hAnsiTheme="minorHAnsi" w:cstheme="minorHAnsi"/>
      <w:i/>
      <w:iCs/>
      <w:sz w:val="20"/>
      <w:szCs w:val="20"/>
      <w:lang w:val="es-ES"/>
    </w:rPr>
  </w:style>
  <w:style w:type="character" w:styleId="CommentReference">
    <w:name w:val="annotation reference"/>
    <w:basedOn w:val="DefaultParagraphFont"/>
    <w:uiPriority w:val="99"/>
    <w:semiHidden/>
    <w:unhideWhenUsed/>
    <w:rsid w:val="005808B8"/>
    <w:rPr>
      <w:sz w:val="16"/>
      <w:szCs w:val="16"/>
    </w:rPr>
  </w:style>
  <w:style w:type="paragraph" w:styleId="CommentText">
    <w:name w:val="annotation text"/>
    <w:basedOn w:val="Normal"/>
    <w:link w:val="CommentTextChar"/>
    <w:uiPriority w:val="99"/>
    <w:unhideWhenUsed/>
    <w:rsid w:val="005808B8"/>
    <w:pPr>
      <w:spacing w:after="200"/>
      <w:jc w:val="left"/>
    </w:pPr>
    <w:rPr>
      <w:rFonts w:asciiTheme="minorHAnsi" w:hAnsiTheme="minorHAnsi"/>
      <w:sz w:val="20"/>
      <w:szCs w:val="20"/>
      <w:lang w:val="es-PE"/>
    </w:rPr>
  </w:style>
  <w:style w:type="character" w:customStyle="1" w:styleId="CommentTextChar">
    <w:name w:val="Comment Text Char"/>
    <w:basedOn w:val="DefaultParagraphFont"/>
    <w:link w:val="CommentText"/>
    <w:uiPriority w:val="99"/>
    <w:rsid w:val="005808B8"/>
    <w:rPr>
      <w:sz w:val="20"/>
      <w:szCs w:val="20"/>
      <w:lang w:val="es-PE"/>
    </w:rPr>
  </w:style>
  <w:style w:type="paragraph" w:styleId="BodyText">
    <w:name w:val="Body Text"/>
    <w:basedOn w:val="Normal"/>
    <w:link w:val="BodyTextChar"/>
    <w:uiPriority w:val="99"/>
    <w:rsid w:val="00F6516F"/>
    <w:rPr>
      <w:rFonts w:ascii="Arial" w:eastAsia="Times New Roman" w:hAnsi="Arial" w:cs="Arial"/>
      <w:kern w:val="28"/>
      <w:sz w:val="18"/>
      <w:szCs w:val="20"/>
    </w:rPr>
  </w:style>
  <w:style w:type="character" w:customStyle="1" w:styleId="BodyTextChar">
    <w:name w:val="Body Text Char"/>
    <w:basedOn w:val="DefaultParagraphFont"/>
    <w:link w:val="BodyText"/>
    <w:uiPriority w:val="99"/>
    <w:rsid w:val="00F6516F"/>
    <w:rPr>
      <w:rFonts w:ascii="Arial" w:eastAsia="Times New Roman" w:hAnsi="Arial" w:cs="Arial"/>
      <w:kern w:val="28"/>
      <w:sz w:val="18"/>
      <w:szCs w:val="20"/>
    </w:rPr>
  </w:style>
  <w:style w:type="paragraph" w:customStyle="1" w:styleId="quarterly-chart-subtitle">
    <w:name w:val="quarterly-chart-subtitle"/>
    <w:basedOn w:val="BodyText"/>
    <w:rsid w:val="00F6516F"/>
    <w:rPr>
      <w:rFonts w:ascii="Times New Roman" w:hAnsi="Times New Roman"/>
      <w:b/>
      <w:i/>
    </w:rPr>
  </w:style>
  <w:style w:type="paragraph" w:customStyle="1" w:styleId="quarterly-chart-notes">
    <w:name w:val="quarterly-chart-notes"/>
    <w:basedOn w:val="BodyText"/>
    <w:link w:val="quarterly-chart-notesCharChar"/>
    <w:rsid w:val="00F6516F"/>
    <w:rPr>
      <w:b/>
      <w:color w:val="808080"/>
      <w:sz w:val="16"/>
    </w:rPr>
  </w:style>
  <w:style w:type="character" w:customStyle="1" w:styleId="CaptionChar">
    <w:name w:val="Caption Char"/>
    <w:aliases w:val="quarterly chart caption Char,quarterly chart caption Char Char Char,chart title Char,Caption SEETO Char,Beskrivning Char Char,Beskrivning Char1 Char Char,Beskrivning Char Char Char Char,Beskrivning Char1 Char Char Char Char"/>
    <w:basedOn w:val="DefaultParagraphFont"/>
    <w:link w:val="Caption"/>
    <w:uiPriority w:val="35"/>
    <w:locked/>
    <w:rsid w:val="00F6516F"/>
    <w:rPr>
      <w:rFonts w:ascii="Times New Roman" w:hAnsi="Times New Roman"/>
      <w:b/>
      <w:bCs/>
      <w:color w:val="4F81BD" w:themeColor="accent1"/>
      <w:sz w:val="18"/>
      <w:szCs w:val="18"/>
    </w:rPr>
  </w:style>
  <w:style w:type="character" w:customStyle="1" w:styleId="quarterly-chart-notesCharChar">
    <w:name w:val="quarterly-chart-notes Char Char"/>
    <w:basedOn w:val="BodyTextChar"/>
    <w:link w:val="quarterly-chart-notes"/>
    <w:locked/>
    <w:rsid w:val="00F6516F"/>
    <w:rPr>
      <w:rFonts w:ascii="Arial" w:eastAsia="Times New Roman" w:hAnsi="Arial" w:cs="Arial"/>
      <w:b/>
      <w:color w:val="808080"/>
      <w:kern w:val="28"/>
      <w:sz w:val="16"/>
      <w:szCs w:val="20"/>
    </w:rPr>
  </w:style>
  <w:style w:type="paragraph" w:styleId="CommentSubject">
    <w:name w:val="annotation subject"/>
    <w:basedOn w:val="CommentText"/>
    <w:next w:val="CommentText"/>
    <w:link w:val="CommentSubjectChar"/>
    <w:uiPriority w:val="99"/>
    <w:semiHidden/>
    <w:unhideWhenUsed/>
    <w:rsid w:val="00EA53DF"/>
    <w:pPr>
      <w:spacing w:after="0"/>
      <w:jc w:val="both"/>
    </w:pPr>
    <w:rPr>
      <w:rFonts w:ascii="Times New Roman" w:hAnsi="Times New Roman"/>
      <w:b/>
      <w:bCs/>
      <w:lang w:val="en-US"/>
    </w:rPr>
  </w:style>
  <w:style w:type="character" w:customStyle="1" w:styleId="CommentSubjectChar">
    <w:name w:val="Comment Subject Char"/>
    <w:basedOn w:val="CommentTextChar"/>
    <w:link w:val="CommentSubject"/>
    <w:uiPriority w:val="99"/>
    <w:semiHidden/>
    <w:rsid w:val="00EA53DF"/>
    <w:rPr>
      <w:rFonts w:ascii="Times New Roman" w:hAnsi="Times New Roman"/>
      <w:b/>
      <w:bCs/>
      <w:sz w:val="20"/>
      <w:szCs w:val="20"/>
      <w:lang w:val="es-PE"/>
    </w:rPr>
  </w:style>
  <w:style w:type="character" w:styleId="Emphasis">
    <w:name w:val="Emphasis"/>
    <w:basedOn w:val="DefaultParagraphFont"/>
    <w:uiPriority w:val="20"/>
    <w:qFormat/>
    <w:rsid w:val="00A9216F"/>
    <w:rPr>
      <w:i/>
      <w:iCs/>
    </w:rPr>
  </w:style>
  <w:style w:type="table" w:styleId="ColorfulList-Accent1">
    <w:name w:val="Colorful List Accent 1"/>
    <w:basedOn w:val="TableNormal"/>
    <w:uiPriority w:val="72"/>
    <w:rsid w:val="00CA022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A4">
    <w:name w:val="A4"/>
    <w:uiPriority w:val="99"/>
    <w:rsid w:val="004F1CB9"/>
    <w:rPr>
      <w:rFonts w:cs="Myriad Pro Light"/>
      <w:color w:val="000000"/>
      <w:sz w:val="18"/>
      <w:szCs w:val="18"/>
    </w:rPr>
  </w:style>
  <w:style w:type="paragraph" w:styleId="Revision">
    <w:name w:val="Revision"/>
    <w:hidden/>
    <w:uiPriority w:val="99"/>
    <w:semiHidden/>
    <w:rsid w:val="00E453A8"/>
    <w:pPr>
      <w:spacing w:after="0" w:line="240" w:lineRule="auto"/>
    </w:pPr>
    <w:rPr>
      <w:rFonts w:ascii="Times New Roman" w:hAnsi="Times New Roman"/>
    </w:rPr>
  </w:style>
  <w:style w:type="paragraph" w:styleId="TableofFigures">
    <w:name w:val="table of figures"/>
    <w:basedOn w:val="Normal"/>
    <w:next w:val="Normal"/>
    <w:uiPriority w:val="99"/>
    <w:unhideWhenUsed/>
    <w:rsid w:val="00B91071"/>
  </w:style>
  <w:style w:type="paragraph" w:customStyle="1" w:styleId="SAEUbodytext">
    <w:name w:val="SAEU body text"/>
    <w:basedOn w:val="Normal"/>
    <w:qFormat/>
    <w:rsid w:val="00FF34BC"/>
    <w:pPr>
      <w:spacing w:after="120" w:line="276" w:lineRule="auto"/>
    </w:pPr>
    <w:rPr>
      <w:rFonts w:eastAsiaTheme="minorEastAsia" w:cs="Times New Roman"/>
      <w:color w:val="1C1C1C"/>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0081"/>
    <w:pPr>
      <w:spacing w:after="0" w:line="240" w:lineRule="auto"/>
      <w:jc w:val="both"/>
    </w:pPr>
    <w:rPr>
      <w:rFonts w:ascii="Times New Roman" w:hAnsi="Times New Roman"/>
    </w:rPr>
  </w:style>
  <w:style w:type="paragraph" w:styleId="Heading1">
    <w:name w:val="heading 1"/>
    <w:basedOn w:val="Normal"/>
    <w:next w:val="Normal"/>
    <w:link w:val="Heading1Char"/>
    <w:uiPriority w:val="9"/>
    <w:qFormat/>
    <w:rsid w:val="00703AC1"/>
    <w:pPr>
      <w:keepNext/>
      <w:keepLines/>
      <w:numPr>
        <w:numId w:val="19"/>
      </w:numPr>
      <w:spacing w:before="480"/>
      <w:ind w:left="720"/>
      <w:outlineLvl w:val="0"/>
    </w:pPr>
    <w:rPr>
      <w:rFonts w:asciiTheme="majorHAnsi" w:eastAsiaTheme="majorEastAsia" w:hAnsiTheme="majorHAnsi" w:cstheme="majorBidi"/>
      <w:b/>
      <w:bCs/>
      <w:color w:val="365F91" w:themeColor="accent1" w:themeShade="BF"/>
      <w:sz w:val="40"/>
      <w:szCs w:val="28"/>
    </w:rPr>
  </w:style>
  <w:style w:type="paragraph" w:styleId="Heading2">
    <w:name w:val="heading 2"/>
    <w:basedOn w:val="Normal"/>
    <w:next w:val="Normal"/>
    <w:link w:val="Heading2Char"/>
    <w:uiPriority w:val="9"/>
    <w:unhideWhenUsed/>
    <w:qFormat/>
    <w:rsid w:val="00810081"/>
    <w:pPr>
      <w:keepNext/>
      <w:keepLines/>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ListParagraph"/>
    <w:link w:val="Style1Char"/>
    <w:autoRedefine/>
    <w:qFormat/>
    <w:rsid w:val="00022FF0"/>
    <w:pPr>
      <w:spacing w:line="360" w:lineRule="auto"/>
      <w:ind w:left="0"/>
      <w:contextualSpacing w:val="0"/>
    </w:pPr>
    <w:rPr>
      <w:rFonts w:eastAsia="Times New Roman" w:cs="Times New Roman"/>
      <w:sz w:val="24"/>
      <w:szCs w:val="24"/>
    </w:rPr>
  </w:style>
  <w:style w:type="character" w:customStyle="1" w:styleId="Style1Char">
    <w:name w:val="Style1 Char"/>
    <w:basedOn w:val="DefaultParagraphFont"/>
    <w:link w:val="Style1"/>
    <w:rsid w:val="00022FF0"/>
    <w:rPr>
      <w:rFonts w:ascii="Times New Roman" w:eastAsia="Times New Roman" w:hAnsi="Times New Roman" w:cs="Times New Roman"/>
      <w:sz w:val="24"/>
      <w:szCs w:val="24"/>
    </w:rPr>
  </w:style>
  <w:style w:type="paragraph" w:styleId="ListParagraph">
    <w:name w:val="List Paragraph"/>
    <w:basedOn w:val="Normal"/>
    <w:uiPriority w:val="34"/>
    <w:qFormat/>
    <w:rsid w:val="00022FF0"/>
    <w:pPr>
      <w:ind w:left="720"/>
      <w:contextualSpacing/>
    </w:pPr>
  </w:style>
  <w:style w:type="paragraph" w:styleId="BalloonText">
    <w:name w:val="Balloon Text"/>
    <w:basedOn w:val="Normal"/>
    <w:link w:val="BalloonTextChar"/>
    <w:uiPriority w:val="99"/>
    <w:semiHidden/>
    <w:unhideWhenUsed/>
    <w:rsid w:val="00F577DB"/>
    <w:rPr>
      <w:rFonts w:ascii="Tahoma" w:hAnsi="Tahoma" w:cs="Tahoma"/>
      <w:sz w:val="16"/>
      <w:szCs w:val="16"/>
    </w:rPr>
  </w:style>
  <w:style w:type="character" w:customStyle="1" w:styleId="BalloonTextChar">
    <w:name w:val="Balloon Text Char"/>
    <w:basedOn w:val="DefaultParagraphFont"/>
    <w:link w:val="BalloonText"/>
    <w:uiPriority w:val="99"/>
    <w:semiHidden/>
    <w:rsid w:val="00F577DB"/>
    <w:rPr>
      <w:rFonts w:ascii="Tahoma" w:hAnsi="Tahoma" w:cs="Tahoma"/>
      <w:sz w:val="16"/>
      <w:szCs w:val="16"/>
    </w:rPr>
  </w:style>
  <w:style w:type="paragraph" w:styleId="FootnoteText">
    <w:name w:val="footnote text"/>
    <w:aliases w:val="ft,fn,Char,Footnote Text Char Char Char Char Char Char,single space,footnote text,FOOTNOTES,WB-Fußnotentext,Footnote,Fußnote,Note de bas de page Car,Footnote Text Char Car,Footnote Text Char1 Car,texto de nota al pie Car1,FN,Geneva 9, Char"/>
    <w:basedOn w:val="Normal"/>
    <w:link w:val="FootnoteTextChar"/>
    <w:uiPriority w:val="99"/>
    <w:unhideWhenUsed/>
    <w:rsid w:val="00216CEC"/>
    <w:rPr>
      <w:rFonts w:ascii="Calibri" w:eastAsia="Calibri" w:hAnsi="Calibri" w:cs="Times New Roman"/>
      <w:sz w:val="20"/>
      <w:szCs w:val="20"/>
    </w:rPr>
  </w:style>
  <w:style w:type="character" w:customStyle="1" w:styleId="FootnoteTextChar">
    <w:name w:val="Footnote Text Char"/>
    <w:aliases w:val="ft Char,fn Char,Char Char,Footnote Text Char Char Char Char Char Char Char,single space Char,footnote text Char,FOOTNOTES Char,WB-Fußnotentext Char,Footnote Char,Fußnote Char,Note de bas de page Car Char,Footnote Text Char Car Char"/>
    <w:basedOn w:val="DefaultParagraphFont"/>
    <w:link w:val="FootnoteText"/>
    <w:uiPriority w:val="99"/>
    <w:rsid w:val="00216CEC"/>
    <w:rPr>
      <w:rFonts w:ascii="Calibri" w:eastAsia="Calibri" w:hAnsi="Calibri" w:cs="Times New Roman"/>
      <w:sz w:val="20"/>
      <w:szCs w:val="20"/>
    </w:rPr>
  </w:style>
  <w:style w:type="character" w:styleId="FootnoteReference">
    <w:name w:val="footnote reference"/>
    <w:aliases w:val="ftref,referencia nota al pie,footnote ref,16 Point,Superscript 6 Point,fr,(NECG) Footnote Reference, BVI fnr,BVI fnr,Footnote Reference Number"/>
    <w:basedOn w:val="DefaultParagraphFont"/>
    <w:uiPriority w:val="99"/>
    <w:unhideWhenUsed/>
    <w:rsid w:val="00216CEC"/>
    <w:rPr>
      <w:vertAlign w:val="superscript"/>
    </w:rPr>
  </w:style>
  <w:style w:type="table" w:styleId="TableGrid">
    <w:name w:val="Table Grid"/>
    <w:basedOn w:val="TableNormal"/>
    <w:uiPriority w:val="59"/>
    <w:rsid w:val="00F353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Numbering">
    <w:name w:val="Paragraph Numbering"/>
    <w:basedOn w:val="Normal"/>
    <w:autoRedefine/>
    <w:uiPriority w:val="1"/>
    <w:qFormat/>
    <w:rsid w:val="0085133C"/>
    <w:pPr>
      <w:widowControl w:val="0"/>
      <w:numPr>
        <w:numId w:val="26"/>
      </w:numPr>
      <w:autoSpaceDE w:val="0"/>
      <w:autoSpaceDN w:val="0"/>
      <w:adjustRightInd w:val="0"/>
      <w:spacing w:line="0" w:lineRule="atLeast"/>
      <w:ind w:left="0" w:firstLine="0"/>
    </w:pPr>
    <w:rPr>
      <w:rFonts w:cs="TimesNewRomanPSMT"/>
      <w:noProof/>
      <w:color w:val="000000" w:themeColor="text1"/>
      <w:szCs w:val="18"/>
    </w:rPr>
  </w:style>
  <w:style w:type="character" w:customStyle="1" w:styleId="Heading1Char">
    <w:name w:val="Heading 1 Char"/>
    <w:basedOn w:val="DefaultParagraphFont"/>
    <w:link w:val="Heading1"/>
    <w:uiPriority w:val="9"/>
    <w:rsid w:val="00703AC1"/>
    <w:rPr>
      <w:rFonts w:asciiTheme="majorHAnsi" w:eastAsiaTheme="majorEastAsia" w:hAnsiTheme="majorHAnsi" w:cstheme="majorBidi"/>
      <w:b/>
      <w:bCs/>
      <w:color w:val="365F91" w:themeColor="accent1" w:themeShade="BF"/>
      <w:sz w:val="40"/>
      <w:szCs w:val="28"/>
    </w:rPr>
  </w:style>
  <w:style w:type="paragraph" w:styleId="Caption">
    <w:name w:val="caption"/>
    <w:aliases w:val="quarterly chart caption,quarterly chart caption Char Char,chart title,Caption SEETO,Beskrivning Char,Beskrivning Char1 Char,Beskrivning Char Char Char,Beskrivning Char1 Char Char Char,Beskrivning Char Char Char Char Char"/>
    <w:basedOn w:val="Normal"/>
    <w:next w:val="Normal"/>
    <w:link w:val="CaptionChar"/>
    <w:uiPriority w:val="35"/>
    <w:unhideWhenUsed/>
    <w:qFormat/>
    <w:rsid w:val="00E6092F"/>
    <w:rPr>
      <w:b/>
      <w:bCs/>
      <w:color w:val="4F81BD" w:themeColor="accent1"/>
      <w:sz w:val="18"/>
      <w:szCs w:val="18"/>
    </w:rPr>
  </w:style>
  <w:style w:type="character" w:customStyle="1" w:styleId="Heading2Char">
    <w:name w:val="Heading 2 Char"/>
    <w:basedOn w:val="DefaultParagraphFont"/>
    <w:link w:val="Heading2"/>
    <w:uiPriority w:val="9"/>
    <w:rsid w:val="00810081"/>
    <w:rPr>
      <w:rFonts w:asciiTheme="majorHAnsi" w:eastAsiaTheme="majorEastAsia" w:hAnsiTheme="majorHAnsi" w:cstheme="majorBidi"/>
      <w:b/>
      <w:bCs/>
      <w:color w:val="4F81BD" w:themeColor="accent1"/>
      <w:sz w:val="26"/>
      <w:szCs w:val="26"/>
    </w:rPr>
  </w:style>
  <w:style w:type="paragraph" w:customStyle="1" w:styleId="Default">
    <w:name w:val="Default"/>
    <w:rsid w:val="007D20AB"/>
    <w:pPr>
      <w:autoSpaceDE w:val="0"/>
      <w:autoSpaceDN w:val="0"/>
      <w:adjustRightInd w:val="0"/>
      <w:spacing w:after="0" w:line="240" w:lineRule="auto"/>
    </w:pPr>
    <w:rPr>
      <w:rFonts w:ascii="Univers 47 CondensedLight" w:hAnsi="Univers 47 CondensedLight" w:cs="Univers 47 CondensedLight"/>
      <w:color w:val="000000"/>
      <w:sz w:val="24"/>
      <w:szCs w:val="24"/>
    </w:rPr>
  </w:style>
  <w:style w:type="character" w:customStyle="1" w:styleId="A8">
    <w:name w:val="A8"/>
    <w:uiPriority w:val="99"/>
    <w:rsid w:val="007D20AB"/>
    <w:rPr>
      <w:rFonts w:cs="Univers 47 CondensedLight"/>
      <w:color w:val="000000"/>
      <w:sz w:val="18"/>
      <w:szCs w:val="18"/>
    </w:rPr>
  </w:style>
  <w:style w:type="paragraph" w:styleId="NormalWeb">
    <w:name w:val="Normal (Web)"/>
    <w:basedOn w:val="Normal"/>
    <w:uiPriority w:val="99"/>
    <w:unhideWhenUsed/>
    <w:rsid w:val="00DC22A6"/>
    <w:pPr>
      <w:spacing w:before="100" w:beforeAutospacing="1" w:after="100" w:afterAutospacing="1"/>
      <w:jc w:val="left"/>
    </w:pPr>
    <w:rPr>
      <w:rFonts w:eastAsia="Times New Roman" w:cs="Times New Roman"/>
      <w:sz w:val="24"/>
      <w:szCs w:val="24"/>
    </w:rPr>
  </w:style>
  <w:style w:type="paragraph" w:customStyle="1" w:styleId="s1">
    <w:name w:val="s1"/>
    <w:basedOn w:val="Normal"/>
    <w:rsid w:val="00DC22A6"/>
    <w:pPr>
      <w:spacing w:before="100" w:beforeAutospacing="1" w:after="100" w:afterAutospacing="1"/>
      <w:jc w:val="left"/>
    </w:pPr>
    <w:rPr>
      <w:rFonts w:eastAsia="Times New Roman" w:cs="Times New Roman"/>
      <w:sz w:val="24"/>
      <w:szCs w:val="24"/>
    </w:rPr>
  </w:style>
  <w:style w:type="character" w:customStyle="1" w:styleId="Date1">
    <w:name w:val="Date1"/>
    <w:basedOn w:val="DefaultParagraphFont"/>
    <w:rsid w:val="00DC22A6"/>
  </w:style>
  <w:style w:type="character" w:customStyle="1" w:styleId="topic">
    <w:name w:val="topic"/>
    <w:basedOn w:val="DefaultParagraphFont"/>
    <w:rsid w:val="00DC22A6"/>
  </w:style>
  <w:style w:type="character" w:styleId="Hyperlink">
    <w:name w:val="Hyperlink"/>
    <w:basedOn w:val="DefaultParagraphFont"/>
    <w:uiPriority w:val="99"/>
    <w:unhideWhenUsed/>
    <w:rsid w:val="00FD5C8D"/>
    <w:rPr>
      <w:color w:val="0000FF" w:themeColor="hyperlink"/>
      <w:u w:val="single"/>
    </w:rPr>
  </w:style>
  <w:style w:type="character" w:styleId="FollowedHyperlink">
    <w:name w:val="FollowedHyperlink"/>
    <w:basedOn w:val="DefaultParagraphFont"/>
    <w:uiPriority w:val="99"/>
    <w:semiHidden/>
    <w:unhideWhenUsed/>
    <w:rsid w:val="00F80AEF"/>
    <w:rPr>
      <w:color w:val="800080" w:themeColor="followedHyperlink"/>
      <w:u w:val="single"/>
    </w:rPr>
  </w:style>
  <w:style w:type="paragraph" w:styleId="NoSpacing">
    <w:name w:val="No Spacing"/>
    <w:link w:val="NoSpacingChar"/>
    <w:uiPriority w:val="1"/>
    <w:qFormat/>
    <w:rsid w:val="006B65C5"/>
    <w:pPr>
      <w:spacing w:after="0" w:line="240" w:lineRule="auto"/>
      <w:jc w:val="both"/>
    </w:pPr>
    <w:rPr>
      <w:rFonts w:ascii="Times New Roman" w:hAnsi="Times New Roman"/>
      <w:lang w:val="es-ES"/>
    </w:rPr>
  </w:style>
  <w:style w:type="character" w:customStyle="1" w:styleId="NoSpacingChar">
    <w:name w:val="No Spacing Char"/>
    <w:basedOn w:val="DefaultParagraphFont"/>
    <w:link w:val="NoSpacing"/>
    <w:uiPriority w:val="1"/>
    <w:rsid w:val="006B65C5"/>
    <w:rPr>
      <w:rFonts w:ascii="Times New Roman" w:hAnsi="Times New Roman"/>
      <w:lang w:val="es-ES"/>
    </w:rPr>
  </w:style>
  <w:style w:type="paragraph" w:styleId="Header">
    <w:name w:val="header"/>
    <w:basedOn w:val="Normal"/>
    <w:link w:val="HeaderChar"/>
    <w:uiPriority w:val="99"/>
    <w:unhideWhenUsed/>
    <w:rsid w:val="006B65C5"/>
    <w:pPr>
      <w:tabs>
        <w:tab w:val="center" w:pos="4680"/>
        <w:tab w:val="right" w:pos="9360"/>
      </w:tabs>
    </w:pPr>
  </w:style>
  <w:style w:type="character" w:customStyle="1" w:styleId="HeaderChar">
    <w:name w:val="Header Char"/>
    <w:basedOn w:val="DefaultParagraphFont"/>
    <w:link w:val="Header"/>
    <w:uiPriority w:val="99"/>
    <w:rsid w:val="006B65C5"/>
    <w:rPr>
      <w:rFonts w:ascii="Times New Roman" w:hAnsi="Times New Roman"/>
    </w:rPr>
  </w:style>
  <w:style w:type="paragraph" w:styleId="Footer">
    <w:name w:val="footer"/>
    <w:basedOn w:val="Normal"/>
    <w:link w:val="FooterChar"/>
    <w:uiPriority w:val="99"/>
    <w:unhideWhenUsed/>
    <w:rsid w:val="006B65C5"/>
    <w:pPr>
      <w:tabs>
        <w:tab w:val="center" w:pos="4680"/>
        <w:tab w:val="right" w:pos="9360"/>
      </w:tabs>
    </w:pPr>
  </w:style>
  <w:style w:type="character" w:customStyle="1" w:styleId="FooterChar">
    <w:name w:val="Footer Char"/>
    <w:basedOn w:val="DefaultParagraphFont"/>
    <w:link w:val="Footer"/>
    <w:uiPriority w:val="99"/>
    <w:rsid w:val="006B65C5"/>
    <w:rPr>
      <w:rFonts w:ascii="Times New Roman" w:hAnsi="Times New Roman"/>
    </w:rPr>
  </w:style>
  <w:style w:type="paragraph" w:styleId="TOC1">
    <w:name w:val="toc 1"/>
    <w:basedOn w:val="Normal"/>
    <w:next w:val="Normal"/>
    <w:autoRedefine/>
    <w:uiPriority w:val="39"/>
    <w:unhideWhenUsed/>
    <w:qFormat/>
    <w:rsid w:val="005808B8"/>
    <w:pPr>
      <w:spacing w:before="240" w:after="120" w:line="276" w:lineRule="auto"/>
      <w:jc w:val="left"/>
    </w:pPr>
    <w:rPr>
      <w:rFonts w:asciiTheme="minorHAnsi" w:hAnsiTheme="minorHAnsi" w:cstheme="minorHAnsi"/>
      <w:b/>
      <w:bCs/>
      <w:sz w:val="20"/>
      <w:szCs w:val="20"/>
      <w:lang w:val="es-ES"/>
    </w:rPr>
  </w:style>
  <w:style w:type="paragraph" w:styleId="TOC2">
    <w:name w:val="toc 2"/>
    <w:basedOn w:val="Normal"/>
    <w:next w:val="Normal"/>
    <w:autoRedefine/>
    <w:uiPriority w:val="39"/>
    <w:unhideWhenUsed/>
    <w:qFormat/>
    <w:rsid w:val="005808B8"/>
    <w:pPr>
      <w:spacing w:before="120" w:line="276" w:lineRule="auto"/>
      <w:ind w:left="220"/>
      <w:jc w:val="left"/>
    </w:pPr>
    <w:rPr>
      <w:rFonts w:asciiTheme="minorHAnsi" w:hAnsiTheme="minorHAnsi" w:cstheme="minorHAnsi"/>
      <w:i/>
      <w:iCs/>
      <w:sz w:val="20"/>
      <w:szCs w:val="20"/>
      <w:lang w:val="es-ES"/>
    </w:rPr>
  </w:style>
  <w:style w:type="character" w:styleId="CommentReference">
    <w:name w:val="annotation reference"/>
    <w:basedOn w:val="DefaultParagraphFont"/>
    <w:uiPriority w:val="99"/>
    <w:semiHidden/>
    <w:unhideWhenUsed/>
    <w:rsid w:val="005808B8"/>
    <w:rPr>
      <w:sz w:val="16"/>
      <w:szCs w:val="16"/>
    </w:rPr>
  </w:style>
  <w:style w:type="paragraph" w:styleId="CommentText">
    <w:name w:val="annotation text"/>
    <w:basedOn w:val="Normal"/>
    <w:link w:val="CommentTextChar"/>
    <w:uiPriority w:val="99"/>
    <w:unhideWhenUsed/>
    <w:rsid w:val="005808B8"/>
    <w:pPr>
      <w:spacing w:after="200"/>
      <w:jc w:val="left"/>
    </w:pPr>
    <w:rPr>
      <w:rFonts w:asciiTheme="minorHAnsi" w:hAnsiTheme="minorHAnsi"/>
      <w:sz w:val="20"/>
      <w:szCs w:val="20"/>
      <w:lang w:val="es-PE"/>
    </w:rPr>
  </w:style>
  <w:style w:type="character" w:customStyle="1" w:styleId="CommentTextChar">
    <w:name w:val="Comment Text Char"/>
    <w:basedOn w:val="DefaultParagraphFont"/>
    <w:link w:val="CommentText"/>
    <w:uiPriority w:val="99"/>
    <w:rsid w:val="005808B8"/>
    <w:rPr>
      <w:sz w:val="20"/>
      <w:szCs w:val="20"/>
      <w:lang w:val="es-PE"/>
    </w:rPr>
  </w:style>
  <w:style w:type="paragraph" w:styleId="BodyText">
    <w:name w:val="Body Text"/>
    <w:basedOn w:val="Normal"/>
    <w:link w:val="BodyTextChar"/>
    <w:uiPriority w:val="99"/>
    <w:rsid w:val="00F6516F"/>
    <w:rPr>
      <w:rFonts w:ascii="Arial" w:eastAsia="Times New Roman" w:hAnsi="Arial" w:cs="Arial"/>
      <w:kern w:val="28"/>
      <w:sz w:val="18"/>
      <w:szCs w:val="20"/>
    </w:rPr>
  </w:style>
  <w:style w:type="character" w:customStyle="1" w:styleId="BodyTextChar">
    <w:name w:val="Body Text Char"/>
    <w:basedOn w:val="DefaultParagraphFont"/>
    <w:link w:val="BodyText"/>
    <w:uiPriority w:val="99"/>
    <w:rsid w:val="00F6516F"/>
    <w:rPr>
      <w:rFonts w:ascii="Arial" w:eastAsia="Times New Roman" w:hAnsi="Arial" w:cs="Arial"/>
      <w:kern w:val="28"/>
      <w:sz w:val="18"/>
      <w:szCs w:val="20"/>
    </w:rPr>
  </w:style>
  <w:style w:type="paragraph" w:customStyle="1" w:styleId="quarterly-chart-subtitle">
    <w:name w:val="quarterly-chart-subtitle"/>
    <w:basedOn w:val="BodyText"/>
    <w:rsid w:val="00F6516F"/>
    <w:rPr>
      <w:rFonts w:ascii="Times New Roman" w:hAnsi="Times New Roman"/>
      <w:b/>
      <w:i/>
    </w:rPr>
  </w:style>
  <w:style w:type="paragraph" w:customStyle="1" w:styleId="quarterly-chart-notes">
    <w:name w:val="quarterly-chart-notes"/>
    <w:basedOn w:val="BodyText"/>
    <w:link w:val="quarterly-chart-notesCharChar"/>
    <w:rsid w:val="00F6516F"/>
    <w:rPr>
      <w:b/>
      <w:color w:val="808080"/>
      <w:sz w:val="16"/>
    </w:rPr>
  </w:style>
  <w:style w:type="character" w:customStyle="1" w:styleId="CaptionChar">
    <w:name w:val="Caption Char"/>
    <w:aliases w:val="quarterly chart caption Char,quarterly chart caption Char Char Char,chart title Char,Caption SEETO Char,Beskrivning Char Char,Beskrivning Char1 Char Char,Beskrivning Char Char Char Char,Beskrivning Char1 Char Char Char Char"/>
    <w:basedOn w:val="DefaultParagraphFont"/>
    <w:link w:val="Caption"/>
    <w:uiPriority w:val="35"/>
    <w:locked/>
    <w:rsid w:val="00F6516F"/>
    <w:rPr>
      <w:rFonts w:ascii="Times New Roman" w:hAnsi="Times New Roman"/>
      <w:b/>
      <w:bCs/>
      <w:color w:val="4F81BD" w:themeColor="accent1"/>
      <w:sz w:val="18"/>
      <w:szCs w:val="18"/>
    </w:rPr>
  </w:style>
  <w:style w:type="character" w:customStyle="1" w:styleId="quarterly-chart-notesCharChar">
    <w:name w:val="quarterly-chart-notes Char Char"/>
    <w:basedOn w:val="BodyTextChar"/>
    <w:link w:val="quarterly-chart-notes"/>
    <w:locked/>
    <w:rsid w:val="00F6516F"/>
    <w:rPr>
      <w:rFonts w:ascii="Arial" w:eastAsia="Times New Roman" w:hAnsi="Arial" w:cs="Arial"/>
      <w:b/>
      <w:color w:val="808080"/>
      <w:kern w:val="28"/>
      <w:sz w:val="16"/>
      <w:szCs w:val="20"/>
    </w:rPr>
  </w:style>
  <w:style w:type="paragraph" w:styleId="CommentSubject">
    <w:name w:val="annotation subject"/>
    <w:basedOn w:val="CommentText"/>
    <w:next w:val="CommentText"/>
    <w:link w:val="CommentSubjectChar"/>
    <w:uiPriority w:val="99"/>
    <w:semiHidden/>
    <w:unhideWhenUsed/>
    <w:rsid w:val="00EA53DF"/>
    <w:pPr>
      <w:spacing w:after="0"/>
      <w:jc w:val="both"/>
    </w:pPr>
    <w:rPr>
      <w:rFonts w:ascii="Times New Roman" w:hAnsi="Times New Roman"/>
      <w:b/>
      <w:bCs/>
      <w:lang w:val="en-US"/>
    </w:rPr>
  </w:style>
  <w:style w:type="character" w:customStyle="1" w:styleId="CommentSubjectChar">
    <w:name w:val="Comment Subject Char"/>
    <w:basedOn w:val="CommentTextChar"/>
    <w:link w:val="CommentSubject"/>
    <w:uiPriority w:val="99"/>
    <w:semiHidden/>
    <w:rsid w:val="00EA53DF"/>
    <w:rPr>
      <w:rFonts w:ascii="Times New Roman" w:hAnsi="Times New Roman"/>
      <w:b/>
      <w:bCs/>
      <w:sz w:val="20"/>
      <w:szCs w:val="20"/>
      <w:lang w:val="es-PE"/>
    </w:rPr>
  </w:style>
  <w:style w:type="character" w:styleId="Emphasis">
    <w:name w:val="Emphasis"/>
    <w:basedOn w:val="DefaultParagraphFont"/>
    <w:uiPriority w:val="20"/>
    <w:qFormat/>
    <w:rsid w:val="00A9216F"/>
    <w:rPr>
      <w:i/>
      <w:iCs/>
    </w:rPr>
  </w:style>
  <w:style w:type="table" w:styleId="ColorfulList-Accent1">
    <w:name w:val="Colorful List Accent 1"/>
    <w:basedOn w:val="TableNormal"/>
    <w:uiPriority w:val="72"/>
    <w:rsid w:val="00CA022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A4">
    <w:name w:val="A4"/>
    <w:uiPriority w:val="99"/>
    <w:rsid w:val="004F1CB9"/>
    <w:rPr>
      <w:rFonts w:cs="Myriad Pro Light"/>
      <w:color w:val="000000"/>
      <w:sz w:val="18"/>
      <w:szCs w:val="18"/>
    </w:rPr>
  </w:style>
  <w:style w:type="paragraph" w:styleId="Revision">
    <w:name w:val="Revision"/>
    <w:hidden/>
    <w:uiPriority w:val="99"/>
    <w:semiHidden/>
    <w:rsid w:val="00E453A8"/>
    <w:pPr>
      <w:spacing w:after="0" w:line="240" w:lineRule="auto"/>
    </w:pPr>
    <w:rPr>
      <w:rFonts w:ascii="Times New Roman" w:hAnsi="Times New Roman"/>
    </w:rPr>
  </w:style>
  <w:style w:type="paragraph" w:styleId="TableofFigures">
    <w:name w:val="table of figures"/>
    <w:basedOn w:val="Normal"/>
    <w:next w:val="Normal"/>
    <w:uiPriority w:val="99"/>
    <w:unhideWhenUsed/>
    <w:rsid w:val="00B91071"/>
  </w:style>
  <w:style w:type="paragraph" w:customStyle="1" w:styleId="SAEUbodytext">
    <w:name w:val="SAEU body text"/>
    <w:basedOn w:val="Normal"/>
    <w:qFormat/>
    <w:rsid w:val="00FF34BC"/>
    <w:pPr>
      <w:spacing w:after="120" w:line="276" w:lineRule="auto"/>
    </w:pPr>
    <w:rPr>
      <w:rFonts w:eastAsiaTheme="minorEastAsia" w:cs="Times New Roman"/>
      <w:color w:val="1C1C1C"/>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349326">
      <w:bodyDiv w:val="1"/>
      <w:marLeft w:val="0"/>
      <w:marRight w:val="0"/>
      <w:marTop w:val="0"/>
      <w:marBottom w:val="0"/>
      <w:divBdr>
        <w:top w:val="none" w:sz="0" w:space="0" w:color="auto"/>
        <w:left w:val="none" w:sz="0" w:space="0" w:color="auto"/>
        <w:bottom w:val="none" w:sz="0" w:space="0" w:color="auto"/>
        <w:right w:val="none" w:sz="0" w:space="0" w:color="auto"/>
      </w:divBdr>
    </w:div>
    <w:div w:id="1032534157">
      <w:bodyDiv w:val="1"/>
      <w:marLeft w:val="0"/>
      <w:marRight w:val="0"/>
      <w:marTop w:val="0"/>
      <w:marBottom w:val="0"/>
      <w:divBdr>
        <w:top w:val="none" w:sz="0" w:space="0" w:color="auto"/>
        <w:left w:val="none" w:sz="0" w:space="0" w:color="auto"/>
        <w:bottom w:val="none" w:sz="0" w:space="0" w:color="auto"/>
        <w:right w:val="none" w:sz="0" w:space="0" w:color="auto"/>
      </w:divBdr>
      <w:divsChild>
        <w:div w:id="648561991">
          <w:marLeft w:val="0"/>
          <w:marRight w:val="0"/>
          <w:marTop w:val="0"/>
          <w:marBottom w:val="0"/>
          <w:divBdr>
            <w:top w:val="none" w:sz="0" w:space="0" w:color="auto"/>
            <w:left w:val="none" w:sz="0" w:space="0" w:color="auto"/>
            <w:bottom w:val="none" w:sz="0" w:space="0" w:color="auto"/>
            <w:right w:val="none" w:sz="0" w:space="0" w:color="auto"/>
          </w:divBdr>
          <w:divsChild>
            <w:div w:id="120613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74325">
      <w:bodyDiv w:val="1"/>
      <w:marLeft w:val="0"/>
      <w:marRight w:val="0"/>
      <w:marTop w:val="0"/>
      <w:marBottom w:val="0"/>
      <w:divBdr>
        <w:top w:val="none" w:sz="0" w:space="0" w:color="auto"/>
        <w:left w:val="none" w:sz="0" w:space="0" w:color="auto"/>
        <w:bottom w:val="none" w:sz="0" w:space="0" w:color="auto"/>
        <w:right w:val="none" w:sz="0" w:space="0" w:color="auto"/>
      </w:divBdr>
    </w:div>
    <w:div w:id="1665545496">
      <w:bodyDiv w:val="1"/>
      <w:marLeft w:val="0"/>
      <w:marRight w:val="0"/>
      <w:marTop w:val="0"/>
      <w:marBottom w:val="0"/>
      <w:divBdr>
        <w:top w:val="none" w:sz="0" w:space="0" w:color="auto"/>
        <w:left w:val="none" w:sz="0" w:space="0" w:color="auto"/>
        <w:bottom w:val="none" w:sz="0" w:space="0" w:color="auto"/>
        <w:right w:val="none" w:sz="0" w:space="0" w:color="auto"/>
      </w:divBdr>
    </w:div>
    <w:div w:id="1859850966">
      <w:bodyDiv w:val="1"/>
      <w:marLeft w:val="0"/>
      <w:marRight w:val="0"/>
      <w:marTop w:val="0"/>
      <w:marBottom w:val="0"/>
      <w:divBdr>
        <w:top w:val="none" w:sz="0" w:space="0" w:color="auto"/>
        <w:left w:val="none" w:sz="0" w:space="0" w:color="auto"/>
        <w:bottom w:val="none" w:sz="0" w:space="0" w:color="auto"/>
        <w:right w:val="none" w:sz="0" w:space="0" w:color="auto"/>
      </w:divBdr>
    </w:div>
    <w:div w:id="1956017078">
      <w:bodyDiv w:val="1"/>
      <w:marLeft w:val="0"/>
      <w:marRight w:val="0"/>
      <w:marTop w:val="0"/>
      <w:marBottom w:val="0"/>
      <w:divBdr>
        <w:top w:val="none" w:sz="0" w:space="0" w:color="auto"/>
        <w:left w:val="none" w:sz="0" w:space="0" w:color="auto"/>
        <w:bottom w:val="none" w:sz="0" w:space="0" w:color="auto"/>
        <w:right w:val="none" w:sz="0" w:space="0" w:color="auto"/>
      </w:divBdr>
      <w:divsChild>
        <w:div w:id="1484783886">
          <w:marLeft w:val="0"/>
          <w:marRight w:val="0"/>
          <w:marTop w:val="0"/>
          <w:marBottom w:val="0"/>
          <w:divBdr>
            <w:top w:val="none" w:sz="0" w:space="0" w:color="auto"/>
            <w:left w:val="none" w:sz="0" w:space="0" w:color="auto"/>
            <w:bottom w:val="none" w:sz="0" w:space="0" w:color="auto"/>
            <w:right w:val="none" w:sz="0" w:space="0" w:color="auto"/>
          </w:divBdr>
          <w:divsChild>
            <w:div w:id="1888486749">
              <w:marLeft w:val="0"/>
              <w:marRight w:val="0"/>
              <w:marTop w:val="0"/>
              <w:marBottom w:val="0"/>
              <w:divBdr>
                <w:top w:val="none" w:sz="0" w:space="0" w:color="auto"/>
                <w:left w:val="none" w:sz="0" w:space="0" w:color="auto"/>
                <w:bottom w:val="none" w:sz="0" w:space="0" w:color="auto"/>
                <w:right w:val="none" w:sz="0" w:space="0" w:color="auto"/>
              </w:divBdr>
              <w:divsChild>
                <w:div w:id="1377899361">
                  <w:marLeft w:val="0"/>
                  <w:marRight w:val="0"/>
                  <w:marTop w:val="0"/>
                  <w:marBottom w:val="0"/>
                  <w:divBdr>
                    <w:top w:val="none" w:sz="0" w:space="0" w:color="auto"/>
                    <w:left w:val="none" w:sz="0" w:space="0" w:color="auto"/>
                    <w:bottom w:val="none" w:sz="0" w:space="0" w:color="auto"/>
                    <w:right w:val="none" w:sz="0" w:space="0" w:color="auto"/>
                  </w:divBdr>
                  <w:divsChild>
                    <w:div w:id="140537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339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4.emf"/><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image" Target="media/image19.png"/><Relationship Id="rId42" Type="http://schemas.openxmlformats.org/officeDocument/2006/relationships/image" Target="media/image27.emf"/><Relationship Id="rId7" Type="http://schemas.openxmlformats.org/officeDocument/2006/relationships/footnotes" Target="footnotes.xml"/><Relationship Id="rId12" Type="http://schemas.openxmlformats.org/officeDocument/2006/relationships/hyperlink" Target="mailto:egamberoni@worldbank.org" TargetMode="Externa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1.xml"/><Relationship Id="rId29" Type="http://schemas.openxmlformats.org/officeDocument/2006/relationships/image" Target="media/image15.png"/><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orldbank.org/angola" TargetMode="External"/><Relationship Id="rId24" Type="http://schemas.openxmlformats.org/officeDocument/2006/relationships/image" Target="media/image10.png"/><Relationship Id="rId32" Type="http://schemas.openxmlformats.org/officeDocument/2006/relationships/image" Target="media/image170.wmf"/><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7.wmf"/><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www.enterprisesurveys.org"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macauhub.com.mo/en/2014/03/04/angola%E2%80%99s-new-customs-tariff-expected-to-increase-tax-revenue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wb337445\Documents\Angola\Angola%20-%20Macroeconomic%20Framework%20March%202014.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b337445\AppData\Local\Microsoft\Windows\Temporary%20Internet%20Files\Content.Outlook\5GMUW4GL\Angola%20electricity%20enterprise%20survey_M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676284464067542E-2"/>
          <c:y val="0.22564880017474698"/>
          <c:w val="0.8906940249524069"/>
          <c:h val="0.68093864504560697"/>
        </c:manualLayout>
      </c:layout>
      <c:barChart>
        <c:barDir val="col"/>
        <c:grouping val="clustered"/>
        <c:varyColors val="0"/>
        <c:ser>
          <c:idx val="0"/>
          <c:order val="0"/>
          <c:spPr>
            <a:solidFill>
              <a:srgbClr val="C00000"/>
            </a:solidFill>
          </c:spPr>
          <c:invertIfNegative val="0"/>
          <c:cat>
            <c:strRef>
              <c:f>Figures!$E$73:$E$80</c:f>
              <c:strCache>
                <c:ptCount val="8"/>
                <c:pt idx="0">
                  <c:v>Cote d'Ivoire</c:v>
                </c:pt>
                <c:pt idx="1">
                  <c:v>Chad</c:v>
                </c:pt>
                <c:pt idx="2">
                  <c:v>Gabon</c:v>
                </c:pt>
                <c:pt idx="3">
                  <c:v>Equatorial Guinea</c:v>
                </c:pt>
                <c:pt idx="4">
                  <c:v>Congo Rep</c:v>
                </c:pt>
                <c:pt idx="5">
                  <c:v>Cameroon</c:v>
                </c:pt>
                <c:pt idx="6">
                  <c:v>Nigeria</c:v>
                </c:pt>
                <c:pt idx="7">
                  <c:v>Angola</c:v>
                </c:pt>
              </c:strCache>
            </c:strRef>
          </c:cat>
          <c:val>
            <c:numRef>
              <c:f>Figures!$F$73:$F$80</c:f>
              <c:numCache>
                <c:formatCode>General</c:formatCode>
                <c:ptCount val="8"/>
                <c:pt idx="0">
                  <c:v>-0.60000000000000064</c:v>
                </c:pt>
                <c:pt idx="1">
                  <c:v>-0.4</c:v>
                </c:pt>
                <c:pt idx="2">
                  <c:v>0.30000000000000032</c:v>
                </c:pt>
                <c:pt idx="3">
                  <c:v>0.70000000000000062</c:v>
                </c:pt>
                <c:pt idx="4">
                  <c:v>0.9</c:v>
                </c:pt>
                <c:pt idx="5">
                  <c:v>0.9</c:v>
                </c:pt>
                <c:pt idx="6">
                  <c:v>2</c:v>
                </c:pt>
                <c:pt idx="7">
                  <c:v>2.5</c:v>
                </c:pt>
              </c:numCache>
            </c:numRef>
          </c:val>
        </c:ser>
        <c:dLbls>
          <c:showLegendKey val="0"/>
          <c:showVal val="0"/>
          <c:showCatName val="0"/>
          <c:showSerName val="0"/>
          <c:showPercent val="0"/>
          <c:showBubbleSize val="0"/>
        </c:dLbls>
        <c:gapWidth val="150"/>
        <c:axId val="103801600"/>
        <c:axId val="103803136"/>
      </c:barChart>
      <c:catAx>
        <c:axId val="103801600"/>
        <c:scaling>
          <c:orientation val="minMax"/>
        </c:scaling>
        <c:delete val="0"/>
        <c:axPos val="b"/>
        <c:majorTickMark val="none"/>
        <c:minorTickMark val="none"/>
        <c:tickLblPos val="nextTo"/>
        <c:crossAx val="103803136"/>
        <c:crosses val="autoZero"/>
        <c:auto val="1"/>
        <c:lblAlgn val="ctr"/>
        <c:lblOffset val="100"/>
        <c:noMultiLvlLbl val="0"/>
      </c:catAx>
      <c:valAx>
        <c:axId val="103803136"/>
        <c:scaling>
          <c:orientation val="minMax"/>
        </c:scaling>
        <c:delete val="0"/>
        <c:axPos val="l"/>
        <c:numFmt formatCode="General" sourceLinked="1"/>
        <c:majorTickMark val="none"/>
        <c:minorTickMark val="none"/>
        <c:tickLblPos val="nextTo"/>
        <c:crossAx val="103801600"/>
        <c:crosses val="autoZero"/>
        <c:crossBetween val="between"/>
      </c:valAx>
      <c:spPr>
        <a:noFill/>
      </c:spPr>
    </c:plotArea>
    <c:plotVisOnly val="1"/>
    <c:dispBlanksAs val="gap"/>
    <c:showDLblsOverMax val="0"/>
  </c:chart>
  <c:spPr>
    <a:noFill/>
    <a:ln>
      <a:solidFill>
        <a:schemeClr val="tx1"/>
      </a:solidFill>
    </a:ln>
  </c:spPr>
  <c:txPr>
    <a:bodyPr/>
    <a:lstStyle/>
    <a:p>
      <a:pPr>
        <a:defRPr sz="8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1"/>
    <c:plotArea>
      <c:layout>
        <c:manualLayout>
          <c:layoutTarget val="inner"/>
          <c:xMode val="edge"/>
          <c:yMode val="edge"/>
          <c:x val="5.0679381157757317E-2"/>
          <c:y val="3.9110587918106364E-2"/>
          <c:w val="0.9191698650733986"/>
          <c:h val="0.44482147278759965"/>
        </c:manualLayout>
      </c:layout>
      <c:barChart>
        <c:barDir val="col"/>
        <c:grouping val="clustered"/>
        <c:varyColors val="0"/>
        <c:ser>
          <c:idx val="0"/>
          <c:order val="0"/>
          <c:tx>
            <c:strRef>
              <c:f>'[Angola electricity enterprise survey_ML.xlsx]Figure'!$A$2</c:f>
              <c:strCache>
                <c:ptCount val="1"/>
                <c:pt idx="0">
                  <c:v>Médias globais</c:v>
                </c:pt>
              </c:strCache>
            </c:strRef>
          </c:tx>
          <c:invertIfNegative val="0"/>
          <c:cat>
            <c:strRef>
              <c:f>'[Angola electricity enterprise survey_ML.xlsx]Figure'!$B$1:$J$1</c:f>
              <c:strCache>
                <c:ptCount val="9"/>
                <c:pt idx="0">
                  <c:v>Número de cortes de abastecimento de electricidade num mês típico</c:v>
                </c:pt>
                <c:pt idx="1">
                  <c:v>Duração de um corte de abastecimento de electricidade típico (horas)</c:v>
                </c:pt>
                <c:pt idx="2">
                  <c:v>Se tiver havido cortes, duração média de um corte de electricidade típico (horas)</c:v>
                </c:pt>
                <c:pt idx="3">
                  <c:v>Perdas devidas a cortes de electricidade (% de vendas anuais)</c:v>
                </c:pt>
                <c:pt idx="4">
                  <c:v>Se tiver havido cortes, perdas médias devidas a cortes de electricidade (% de vendas anuais)</c:v>
                </c:pt>
                <c:pt idx="5">
                  <c:v>Percentagem de firmas que possuem ou partilham um gerador</c:v>
                </c:pt>
                <c:pt idx="6">
                  <c:v>Proporção de electricidade de um gerador (%)</c:v>
                </c:pt>
                <c:pt idx="7">
                  <c:v>Dias para obter uma ligação à electricidade (após pedido)</c:v>
                </c:pt>
                <c:pt idx="8">
                  <c:v>Percentagem de firmas que identificam a electricidade como um dos principais constrangimentos</c:v>
                </c:pt>
              </c:strCache>
            </c:strRef>
          </c:cat>
          <c:val>
            <c:numRef>
              <c:f>'[Angola electricity enterprise survey_ML.xlsx]Figure'!$B$2:$J$2</c:f>
              <c:numCache>
                <c:formatCode>#,##0.0</c:formatCode>
                <c:ptCount val="9"/>
                <c:pt idx="0">
                  <c:v>5.8</c:v>
                </c:pt>
                <c:pt idx="1">
                  <c:v>2.8</c:v>
                </c:pt>
                <c:pt idx="2">
                  <c:v>4.5999999999999996</c:v>
                </c:pt>
                <c:pt idx="3">
                  <c:v>2.5</c:v>
                </c:pt>
                <c:pt idx="4">
                  <c:v>4.7</c:v>
                </c:pt>
                <c:pt idx="5">
                  <c:v>32</c:v>
                </c:pt>
                <c:pt idx="6">
                  <c:v>5</c:v>
                </c:pt>
                <c:pt idx="7">
                  <c:v>35.700000000000003</c:v>
                </c:pt>
                <c:pt idx="8">
                  <c:v>36.799999999999997</c:v>
                </c:pt>
              </c:numCache>
            </c:numRef>
          </c:val>
        </c:ser>
        <c:ser>
          <c:idx val="1"/>
          <c:order val="1"/>
          <c:tx>
            <c:strRef>
              <c:f>'[Angola electricity enterprise survey_ML.xlsx]Figure'!$A$3</c:f>
              <c:strCache>
                <c:ptCount val="1"/>
                <c:pt idx="0">
                  <c:v>África Subsariana </c:v>
                </c:pt>
              </c:strCache>
            </c:strRef>
          </c:tx>
          <c:invertIfNegative val="0"/>
          <c:cat>
            <c:strRef>
              <c:f>'[Angola electricity enterprise survey_ML.xlsx]Figure'!$B$1:$J$1</c:f>
              <c:strCache>
                <c:ptCount val="9"/>
                <c:pt idx="0">
                  <c:v>Número de cortes de abastecimento de electricidade num mês típico</c:v>
                </c:pt>
                <c:pt idx="1">
                  <c:v>Duração de um corte de abastecimento de electricidade típico (horas)</c:v>
                </c:pt>
                <c:pt idx="2">
                  <c:v>Se tiver havido cortes, duração média de um corte de electricidade típico (horas)</c:v>
                </c:pt>
                <c:pt idx="3">
                  <c:v>Perdas devidas a cortes de electricidade (% de vendas anuais)</c:v>
                </c:pt>
                <c:pt idx="4">
                  <c:v>Se tiver havido cortes, perdas médias devidas a cortes de electricidade (% de vendas anuais)</c:v>
                </c:pt>
                <c:pt idx="5">
                  <c:v>Percentagem de firmas que possuem ou partilham um gerador</c:v>
                </c:pt>
                <c:pt idx="6">
                  <c:v>Proporção de electricidade de um gerador (%)</c:v>
                </c:pt>
                <c:pt idx="7">
                  <c:v>Dias para obter uma ligação à electricidade (após pedido)</c:v>
                </c:pt>
                <c:pt idx="8">
                  <c:v>Percentagem de firmas que identificam a electricidade como um dos principais constrangimentos</c:v>
                </c:pt>
              </c:strCache>
            </c:strRef>
          </c:cat>
          <c:val>
            <c:numRef>
              <c:f>'[Angola electricity enterprise survey_ML.xlsx]Figure'!$B$3:$J$3</c:f>
              <c:numCache>
                <c:formatCode>#,##0.0</c:formatCode>
                <c:ptCount val="9"/>
                <c:pt idx="0">
                  <c:v>8.3000000000000007</c:v>
                </c:pt>
                <c:pt idx="1">
                  <c:v>5.2</c:v>
                </c:pt>
                <c:pt idx="2">
                  <c:v>6.8</c:v>
                </c:pt>
                <c:pt idx="3">
                  <c:v>5.0999999999999996</c:v>
                </c:pt>
                <c:pt idx="4">
                  <c:v>7.9</c:v>
                </c:pt>
                <c:pt idx="5">
                  <c:v>46.1</c:v>
                </c:pt>
                <c:pt idx="6">
                  <c:v>10.6</c:v>
                </c:pt>
                <c:pt idx="7">
                  <c:v>36.700000000000003</c:v>
                </c:pt>
                <c:pt idx="8">
                  <c:v>45.8</c:v>
                </c:pt>
              </c:numCache>
            </c:numRef>
          </c:val>
        </c:ser>
        <c:ser>
          <c:idx val="2"/>
          <c:order val="2"/>
          <c:tx>
            <c:strRef>
              <c:f>'[Angola electricity enterprise survey_ML.xlsx]Figure'!$A$4</c:f>
              <c:strCache>
                <c:ptCount val="1"/>
                <c:pt idx="0">
                  <c:v>Angola</c:v>
                </c:pt>
              </c:strCache>
            </c:strRef>
          </c:tx>
          <c:invertIfNegative val="0"/>
          <c:cat>
            <c:strRef>
              <c:f>'[Angola electricity enterprise survey_ML.xlsx]Figure'!$B$1:$J$1</c:f>
              <c:strCache>
                <c:ptCount val="9"/>
                <c:pt idx="0">
                  <c:v>Número de cortes de abastecimento de electricidade num mês típico</c:v>
                </c:pt>
                <c:pt idx="1">
                  <c:v>Duração de um corte de abastecimento de electricidade típico (horas)</c:v>
                </c:pt>
                <c:pt idx="2">
                  <c:v>Se tiver havido cortes, duração média de um corte de electricidade típico (horas)</c:v>
                </c:pt>
                <c:pt idx="3">
                  <c:v>Perdas devidas a cortes de electricidade (% de vendas anuais)</c:v>
                </c:pt>
                <c:pt idx="4">
                  <c:v>Se tiver havido cortes, perdas médias devidas a cortes de electricidade (% de vendas anuais)</c:v>
                </c:pt>
                <c:pt idx="5">
                  <c:v>Percentagem de firmas que possuem ou partilham um gerador</c:v>
                </c:pt>
                <c:pt idx="6">
                  <c:v>Proporção de electricidade de um gerador (%)</c:v>
                </c:pt>
                <c:pt idx="7">
                  <c:v>Dias para obter uma ligação à electricidade (após pedido)</c:v>
                </c:pt>
                <c:pt idx="8">
                  <c:v>Percentagem de firmas que identificam a electricidade como um dos principais constrangimentos</c:v>
                </c:pt>
              </c:strCache>
            </c:strRef>
          </c:cat>
          <c:val>
            <c:numRef>
              <c:f>'[Angola electricity enterprise survey_ML.xlsx]Figure'!$B$4:$J$4</c:f>
              <c:numCache>
                <c:formatCode>#,##0.0</c:formatCode>
                <c:ptCount val="9"/>
                <c:pt idx="0">
                  <c:v>4.7</c:v>
                </c:pt>
                <c:pt idx="1">
                  <c:v>11.8</c:v>
                </c:pt>
                <c:pt idx="2">
                  <c:v>13.5</c:v>
                </c:pt>
                <c:pt idx="3">
                  <c:v>8.8000000000000007</c:v>
                </c:pt>
                <c:pt idx="4">
                  <c:v>12.6</c:v>
                </c:pt>
                <c:pt idx="5">
                  <c:v>79</c:v>
                </c:pt>
                <c:pt idx="6">
                  <c:v>17.3</c:v>
                </c:pt>
                <c:pt idx="7">
                  <c:v>7.7</c:v>
                </c:pt>
                <c:pt idx="8">
                  <c:v>35.700000000000003</c:v>
                </c:pt>
              </c:numCache>
            </c:numRef>
          </c:val>
        </c:ser>
        <c:dLbls>
          <c:showLegendKey val="0"/>
          <c:showVal val="0"/>
          <c:showCatName val="0"/>
          <c:showSerName val="0"/>
          <c:showPercent val="0"/>
          <c:showBubbleSize val="0"/>
        </c:dLbls>
        <c:gapWidth val="150"/>
        <c:axId val="144313344"/>
        <c:axId val="144352000"/>
      </c:barChart>
      <c:catAx>
        <c:axId val="144313344"/>
        <c:scaling>
          <c:orientation val="minMax"/>
        </c:scaling>
        <c:delete val="0"/>
        <c:axPos val="b"/>
        <c:majorTickMark val="none"/>
        <c:minorTickMark val="none"/>
        <c:tickLblPos val="nextTo"/>
        <c:txPr>
          <a:bodyPr rot="5400000" vert="horz"/>
          <a:lstStyle/>
          <a:p>
            <a:pPr>
              <a:defRPr/>
            </a:pPr>
            <a:endParaRPr lang="en-US"/>
          </a:p>
        </c:txPr>
        <c:crossAx val="144352000"/>
        <c:crosses val="autoZero"/>
        <c:auto val="1"/>
        <c:lblAlgn val="ctr"/>
        <c:lblOffset val="100"/>
        <c:noMultiLvlLbl val="0"/>
      </c:catAx>
      <c:valAx>
        <c:axId val="144352000"/>
        <c:scaling>
          <c:orientation val="minMax"/>
        </c:scaling>
        <c:delete val="0"/>
        <c:axPos val="l"/>
        <c:majorGridlines>
          <c:spPr>
            <a:ln>
              <a:solidFill>
                <a:schemeClr val="bg1">
                  <a:lumMod val="85000"/>
                </a:schemeClr>
              </a:solidFill>
            </a:ln>
          </c:spPr>
        </c:majorGridlines>
        <c:numFmt formatCode="#,##0" sourceLinked="0"/>
        <c:majorTickMark val="none"/>
        <c:minorTickMark val="none"/>
        <c:tickLblPos val="nextTo"/>
        <c:txPr>
          <a:bodyPr/>
          <a:lstStyle/>
          <a:p>
            <a:pPr>
              <a:defRPr sz="800"/>
            </a:pPr>
            <a:endParaRPr lang="en-US"/>
          </a:p>
        </c:txPr>
        <c:crossAx val="144313344"/>
        <c:crosses val="autoZero"/>
        <c:crossBetween val="between"/>
        <c:majorUnit val="20"/>
      </c:valAx>
      <c:spPr>
        <a:noFill/>
      </c:spPr>
    </c:plotArea>
    <c:legend>
      <c:legendPos val="b"/>
      <c:layout>
        <c:manualLayout>
          <c:xMode val="edge"/>
          <c:yMode val="edge"/>
          <c:x val="0.10058122451674673"/>
          <c:y val="9.9167038082503753E-2"/>
          <c:w val="0.42070771624461067"/>
          <c:h val="6.3700258486807854E-2"/>
        </c:manualLayout>
      </c:layout>
      <c:overlay val="0"/>
    </c:legend>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3329ED1-8208-40F8-96F2-90C956B63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17057</Words>
  <Characters>97227</Characters>
  <Application>Microsoft Office Word</Application>
  <DocSecurity>0</DocSecurity>
  <Lines>810</Lines>
  <Paragraphs>228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The World Bank Group</Company>
  <LinksUpToDate>false</LinksUpToDate>
  <CharactersWithSpaces>114056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 Gamberoni</dc:creator>
  <cp:lastModifiedBy>Jurgita Campbell</cp:lastModifiedBy>
  <cp:revision>2</cp:revision>
  <cp:lastPrinted>2014-07-01T18:50:00Z</cp:lastPrinted>
  <dcterms:created xsi:type="dcterms:W3CDTF">2014-07-01T18:51:00Z</dcterms:created>
  <dcterms:modified xsi:type="dcterms:W3CDTF">2014-07-01T18:51:00Z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